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7AE7F5">
      <w:pPr>
        <w:wordWrap w:val="0"/>
        <w:autoSpaceDE w:val="0"/>
        <w:autoSpaceDN w:val="0"/>
        <w:adjustRightInd w:val="0"/>
        <w:ind w:right="1124" w:firstLine="6400" w:firstLineChars="2000"/>
        <w:jc w:val="right"/>
        <w:rPr>
          <w:rFonts w:cs="宋体" w:asciiTheme="minorEastAsia" w:hAnsiTheme="minorEastAsia" w:eastAsiaTheme="minorEastAsia"/>
          <w:b/>
          <w:color w:val="auto"/>
          <w:szCs w:val="28"/>
          <w:highlight w:val="none"/>
        </w:rPr>
      </w:pPr>
      <w:r>
        <w:rPr>
          <w:rFonts w:hint="eastAsia"/>
          <w:color w:val="auto"/>
          <w:sz w:val="32"/>
          <w:szCs w:val="32"/>
          <w:highlight w:val="none"/>
          <w:lang w:val="en-US" w:eastAsia="zh-CN"/>
        </w:rPr>
        <w:t xml:space="preserve">                  </w:t>
      </w:r>
    </w:p>
    <w:p w14:paraId="1C2A187D">
      <w:pPr>
        <w:pStyle w:val="13"/>
        <w:rPr>
          <w:color w:val="auto"/>
          <w:highlight w:val="none"/>
        </w:rPr>
      </w:pPr>
    </w:p>
    <w:p w14:paraId="68751947">
      <w:pPr>
        <w:ind w:left="0" w:leftChars="0" w:firstLine="0" w:firstLineChars="0"/>
        <w:jc w:val="both"/>
        <w:rPr>
          <w:rFonts w:hint="eastAsia" w:ascii="宋体" w:hAnsi="宋体" w:eastAsia="宋体" w:cs="宋体"/>
          <w:b/>
          <w:color w:val="auto"/>
          <w:sz w:val="52"/>
          <w:szCs w:val="52"/>
          <w:highlight w:val="none"/>
          <w:lang w:val="en-US" w:eastAsia="zh-CN"/>
        </w:rPr>
      </w:pPr>
    </w:p>
    <w:p w14:paraId="5932206C">
      <w:pPr>
        <w:widowControl w:val="0"/>
        <w:autoSpaceDE w:val="0"/>
        <w:autoSpaceDN w:val="0"/>
        <w:adjustRightInd w:val="0"/>
        <w:snapToGrid w:val="0"/>
        <w:ind w:firstLine="0" w:firstLineChars="0"/>
        <w:jc w:val="center"/>
        <w:rPr>
          <w:rFonts w:hint="eastAsia" w:ascii="宋体" w:hAnsi="宋体" w:eastAsia="宋体" w:cs="Times New Roman"/>
          <w:b/>
          <w:sz w:val="56"/>
          <w:szCs w:val="56"/>
          <w:highlight w:val="none"/>
          <w:lang w:val="en-US" w:eastAsia="zh-CN"/>
          <w14:shadow w14:blurRad="50800" w14:dist="38100" w14:dir="2700000" w14:sx="100000" w14:sy="100000" w14:kx="0" w14:ky="0" w14:algn="tl">
            <w14:srgbClr w14:val="000000">
              <w14:alpha w14:val="60000"/>
            </w14:srgbClr>
          </w14:shadow>
        </w:rPr>
      </w:pPr>
      <w:r>
        <w:rPr>
          <w:rFonts w:hint="eastAsia" w:ascii="宋体" w:hAnsi="宋体" w:eastAsia="宋体" w:cs="Times New Roman"/>
          <w:b/>
          <w:sz w:val="56"/>
          <w:szCs w:val="56"/>
          <w:highlight w:val="none"/>
          <w:lang w:val="en-US" w:eastAsia="zh-CN"/>
          <w14:shadow w14:blurRad="50800" w14:dist="38100" w14:dir="2700000" w14:sx="100000" w14:sy="100000" w14:kx="0" w14:ky="0" w14:algn="tl">
            <w14:srgbClr w14:val="000000">
              <w14:alpha w14:val="60000"/>
            </w14:srgbClr>
          </w14:shadow>
        </w:rPr>
        <w:t>瑞云府项目架空层软装、儿童游乐设施、运动器械供货及安装</w:t>
      </w:r>
    </w:p>
    <w:p w14:paraId="4F9F482C">
      <w:pPr>
        <w:widowControl w:val="0"/>
        <w:autoSpaceDE w:val="0"/>
        <w:autoSpaceDN w:val="0"/>
        <w:adjustRightInd w:val="0"/>
        <w:snapToGrid w:val="0"/>
        <w:ind w:firstLine="0" w:firstLineChars="0"/>
        <w:jc w:val="center"/>
        <w:rPr>
          <w:rFonts w:hint="eastAsia" w:ascii="宋体" w:hAnsi="宋体" w:eastAsia="宋体" w:cs="Times New Roman"/>
          <w:b/>
          <w:sz w:val="56"/>
          <w:szCs w:val="56"/>
          <w:highlight w:val="none"/>
          <w:lang w:val="en-US" w:eastAsia="zh-CN"/>
          <w14:shadow w14:blurRad="50800" w14:dist="38100" w14:dir="2700000" w14:sx="100000" w14:sy="100000" w14:kx="0" w14:ky="0" w14:algn="tl">
            <w14:srgbClr w14:val="000000">
              <w14:alpha w14:val="60000"/>
            </w14:srgbClr>
          </w14:shadow>
        </w:rPr>
      </w:pPr>
      <w:r>
        <w:rPr>
          <w:rFonts w:hint="eastAsia" w:ascii="宋体" w:hAnsi="宋体" w:eastAsia="宋体" w:cs="Times New Roman"/>
          <w:b/>
          <w:sz w:val="56"/>
          <w:szCs w:val="56"/>
          <w:highlight w:val="none"/>
          <w:lang w:val="en-US" w:eastAsia="zh-CN"/>
          <w14:shadow w14:blurRad="50800" w14:dist="38100" w14:dir="2700000" w14:sx="100000" w14:sy="100000" w14:kx="0" w14:ky="0" w14:algn="tl">
            <w14:srgbClr w14:val="000000">
              <w14:alpha w14:val="60000"/>
            </w14:srgbClr>
          </w14:shadow>
        </w:rPr>
        <w:t>公开招标文件</w:t>
      </w:r>
    </w:p>
    <w:p w14:paraId="162E9C2E">
      <w:pPr>
        <w:pStyle w:val="26"/>
        <w:spacing w:line="240" w:lineRule="auto"/>
        <w:ind w:firstLine="0" w:firstLineChars="0"/>
        <w:jc w:val="center"/>
        <w:rPr>
          <w:rFonts w:ascii="华文仿宋" w:hAnsi="华文仿宋" w:cs="华文仿宋"/>
          <w:b/>
          <w:bCs/>
          <w:color w:val="auto"/>
          <w:sz w:val="48"/>
          <w:szCs w:val="48"/>
          <w:highlight w:val="none"/>
        </w:rPr>
      </w:pPr>
    </w:p>
    <w:p w14:paraId="4D0B9541">
      <w:pPr>
        <w:pStyle w:val="26"/>
        <w:ind w:left="0" w:leftChars="0" w:firstLine="0" w:firstLineChars="0"/>
        <w:rPr>
          <w:rFonts w:hint="eastAsia" w:hAnsi="宋体" w:cs="宋体"/>
          <w:b/>
          <w:color w:val="auto"/>
          <w:sz w:val="28"/>
          <w:szCs w:val="28"/>
          <w:highlight w:val="none"/>
        </w:rPr>
      </w:pPr>
    </w:p>
    <w:p w14:paraId="7D3D3093">
      <w:pPr>
        <w:pStyle w:val="26"/>
        <w:ind w:left="0" w:leftChars="0" w:firstLine="0" w:firstLineChars="0"/>
        <w:rPr>
          <w:rFonts w:hint="eastAsia" w:hAnsi="宋体" w:cs="宋体"/>
          <w:b/>
          <w:color w:val="auto"/>
          <w:sz w:val="28"/>
          <w:szCs w:val="28"/>
          <w:highlight w:val="none"/>
        </w:rPr>
      </w:pPr>
    </w:p>
    <w:p w14:paraId="3B85BBFC">
      <w:pPr>
        <w:pStyle w:val="26"/>
        <w:ind w:left="0" w:leftChars="0" w:firstLine="0" w:firstLineChars="0"/>
        <w:rPr>
          <w:rFonts w:hint="eastAsia" w:hAnsi="宋体" w:cs="宋体"/>
          <w:b/>
          <w:color w:val="auto"/>
          <w:sz w:val="28"/>
          <w:szCs w:val="28"/>
          <w:highlight w:val="none"/>
        </w:rPr>
      </w:pPr>
    </w:p>
    <w:p w14:paraId="2B55D3D6">
      <w:pPr>
        <w:pStyle w:val="26"/>
        <w:rPr>
          <w:rFonts w:hint="eastAsia" w:hAnsi="宋体" w:cs="宋体"/>
          <w:b/>
          <w:color w:val="auto"/>
          <w:sz w:val="28"/>
          <w:szCs w:val="28"/>
          <w:highlight w:val="none"/>
        </w:rPr>
      </w:pPr>
    </w:p>
    <w:tbl>
      <w:tblPr>
        <w:tblStyle w:val="53"/>
        <w:tblW w:w="4648" w:type="pct"/>
        <w:tblInd w:w="621" w:type="dxa"/>
        <w:tblLayout w:type="autofit"/>
        <w:tblCellMar>
          <w:top w:w="0" w:type="dxa"/>
          <w:left w:w="108" w:type="dxa"/>
          <w:bottom w:w="0" w:type="dxa"/>
          <w:right w:w="108" w:type="dxa"/>
        </w:tblCellMar>
      </w:tblPr>
      <w:tblGrid>
        <w:gridCol w:w="2275"/>
        <w:gridCol w:w="5647"/>
      </w:tblGrid>
      <w:tr w14:paraId="369DC3F9">
        <w:trPr>
          <w:trHeight w:val="794" w:hRule="atLeast"/>
        </w:trPr>
        <w:tc>
          <w:tcPr>
            <w:tcW w:w="1436" w:type="pct"/>
            <w:noWrap w:val="0"/>
            <w:vAlign w:val="center"/>
          </w:tcPr>
          <w:p w14:paraId="1ADD99BD">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项目名称：</w:t>
            </w:r>
          </w:p>
        </w:tc>
        <w:tc>
          <w:tcPr>
            <w:tcW w:w="3563" w:type="pct"/>
            <w:noWrap w:val="0"/>
            <w:vAlign w:val="center"/>
          </w:tcPr>
          <w:p w14:paraId="5DB71E1F">
            <w:pPr>
              <w:widowControl w:val="0"/>
              <w:autoSpaceDE w:val="0"/>
              <w:autoSpaceDN w:val="0"/>
              <w:adjustRightInd w:val="0"/>
              <w:snapToGrid w:val="0"/>
              <w:ind w:firstLine="0" w:firstLineChars="0"/>
              <w:rPr>
                <w:rFonts w:hint="eastAsia" w:ascii="宋体" w:hAnsi="宋体" w:eastAsia="宋体" w:cs="Times New Roman"/>
                <w:b/>
                <w:color w:val="auto"/>
                <w:sz w:val="32"/>
                <w:szCs w:val="32"/>
                <w:highlight w:val="none"/>
                <w:u w:val="single"/>
                <w:lang w:eastAsia="zh-CN"/>
              </w:rPr>
            </w:pPr>
            <w:r>
              <w:rPr>
                <w:rFonts w:hint="eastAsia" w:ascii="宋体" w:hAnsi="宋体" w:eastAsia="宋体" w:cs="Times New Roman"/>
                <w:b/>
                <w:color w:val="auto"/>
                <w:sz w:val="32"/>
                <w:szCs w:val="32"/>
                <w:highlight w:val="none"/>
                <w:u w:val="single"/>
                <w:lang w:eastAsia="zh-CN"/>
              </w:rPr>
              <w:t>瑞云府项目架空层软装、儿童游乐设施、运动器械供货及安装</w:t>
            </w:r>
          </w:p>
        </w:tc>
      </w:tr>
      <w:tr w14:paraId="368972D8">
        <w:tblPrEx>
          <w:tblCellMar>
            <w:top w:w="0" w:type="dxa"/>
            <w:left w:w="108" w:type="dxa"/>
            <w:bottom w:w="0" w:type="dxa"/>
            <w:right w:w="108" w:type="dxa"/>
          </w:tblCellMar>
        </w:tblPrEx>
        <w:trPr>
          <w:trHeight w:val="794" w:hRule="atLeast"/>
        </w:trPr>
        <w:tc>
          <w:tcPr>
            <w:tcW w:w="1436" w:type="pct"/>
            <w:noWrap w:val="0"/>
            <w:vAlign w:val="center"/>
          </w:tcPr>
          <w:p w14:paraId="24BBB6B5">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项目编号：</w:t>
            </w:r>
          </w:p>
        </w:tc>
        <w:tc>
          <w:tcPr>
            <w:tcW w:w="3563" w:type="pct"/>
            <w:noWrap w:val="0"/>
            <w:vAlign w:val="center"/>
          </w:tcPr>
          <w:p w14:paraId="298FF6B4">
            <w:pPr>
              <w:widowControl w:val="0"/>
              <w:autoSpaceDE w:val="0"/>
              <w:autoSpaceDN w:val="0"/>
              <w:adjustRightInd w:val="0"/>
              <w:snapToGrid w:val="0"/>
              <w:ind w:firstLine="0" w:firstLineChars="0"/>
              <w:rPr>
                <w:rFonts w:hint="default" w:ascii="宋体" w:hAnsi="宋体" w:eastAsia="宋体" w:cs="Times New Roman"/>
                <w:b/>
                <w:color w:val="auto"/>
                <w:sz w:val="32"/>
                <w:szCs w:val="32"/>
                <w:highlight w:val="none"/>
                <w:u w:val="single"/>
                <w:lang w:val="en-US" w:eastAsia="zh-CN"/>
              </w:rPr>
            </w:pPr>
            <w:r>
              <w:rPr>
                <w:rFonts w:hint="default" w:ascii="宋体" w:hAnsi="宋体" w:eastAsia="宋体" w:cs="Times New Roman"/>
                <w:b/>
                <w:color w:val="auto"/>
                <w:sz w:val="32"/>
                <w:szCs w:val="32"/>
                <w:highlight w:val="none"/>
                <w:u w:val="single"/>
                <w:lang w:val="en-US" w:eastAsia="zh-CN"/>
              </w:rPr>
              <w:t>YG26ZG0051483</w:t>
            </w:r>
          </w:p>
        </w:tc>
      </w:tr>
      <w:tr w14:paraId="6000296F">
        <w:tblPrEx>
          <w:tblCellMar>
            <w:top w:w="0" w:type="dxa"/>
            <w:left w:w="108" w:type="dxa"/>
            <w:bottom w:w="0" w:type="dxa"/>
            <w:right w:w="108" w:type="dxa"/>
          </w:tblCellMar>
        </w:tblPrEx>
        <w:trPr>
          <w:trHeight w:val="794" w:hRule="atLeast"/>
        </w:trPr>
        <w:tc>
          <w:tcPr>
            <w:tcW w:w="1436" w:type="pct"/>
            <w:noWrap w:val="0"/>
            <w:vAlign w:val="center"/>
          </w:tcPr>
          <w:p w14:paraId="60582275">
            <w:pPr>
              <w:widowControl w:val="0"/>
              <w:autoSpaceDE w:val="0"/>
              <w:autoSpaceDN w:val="0"/>
              <w:adjustRightInd w:val="0"/>
              <w:snapToGrid w:val="0"/>
              <w:ind w:firstLine="0" w:firstLineChars="0"/>
              <w:rPr>
                <w:rFonts w:ascii="宋体" w:hAnsi="宋体" w:eastAsia="宋体" w:cs="Times New Roman"/>
                <w:b/>
                <w:color w:val="auto"/>
                <w:sz w:val="32"/>
                <w:szCs w:val="32"/>
                <w:highlight w:val="none"/>
              </w:rPr>
            </w:pPr>
            <w:r>
              <w:rPr>
                <w:rFonts w:hint="eastAsia" w:ascii="宋体" w:hAnsi="宋体" w:eastAsia="宋体" w:cs="Times New Roman"/>
                <w:b/>
                <w:color w:val="auto"/>
                <w:sz w:val="32"/>
                <w:szCs w:val="32"/>
                <w:highlight w:val="none"/>
              </w:rPr>
              <w:t>招标人：</w:t>
            </w:r>
          </w:p>
        </w:tc>
        <w:tc>
          <w:tcPr>
            <w:tcW w:w="3563" w:type="pct"/>
            <w:noWrap w:val="0"/>
            <w:vAlign w:val="center"/>
          </w:tcPr>
          <w:p w14:paraId="75F63AD0">
            <w:pPr>
              <w:widowControl w:val="0"/>
              <w:autoSpaceDE w:val="0"/>
              <w:autoSpaceDN w:val="0"/>
              <w:adjustRightInd w:val="0"/>
              <w:snapToGrid w:val="0"/>
              <w:ind w:firstLine="0" w:firstLineChars="0"/>
              <w:rPr>
                <w:rFonts w:ascii="宋体" w:hAnsi="宋体" w:eastAsia="宋体" w:cs="Times New Roman"/>
                <w:b/>
                <w:color w:val="auto"/>
                <w:sz w:val="32"/>
                <w:szCs w:val="32"/>
                <w:highlight w:val="none"/>
                <w:u w:val="single"/>
              </w:rPr>
            </w:pPr>
            <w:r>
              <w:rPr>
                <w:rFonts w:hint="eastAsia" w:ascii="宋体" w:hAnsi="宋体" w:eastAsia="宋体" w:cs="宋体"/>
                <w:b/>
                <w:color w:val="auto"/>
                <w:sz w:val="32"/>
                <w:szCs w:val="32"/>
                <w:highlight w:val="none"/>
                <w:u w:val="single"/>
                <w:lang w:eastAsia="zh-CN"/>
              </w:rPr>
              <w:t>深圳市高新健置业开发有限公司</w:t>
            </w:r>
          </w:p>
        </w:tc>
      </w:tr>
    </w:tbl>
    <w:p w14:paraId="67D9A7C0">
      <w:pPr>
        <w:pStyle w:val="26"/>
        <w:ind w:left="0" w:leftChars="0" w:firstLine="0" w:firstLineChars="0"/>
        <w:rPr>
          <w:rFonts w:hint="eastAsia" w:cs="宋体" w:asciiTheme="minorEastAsia" w:hAnsiTheme="minorEastAsia" w:eastAsiaTheme="minorEastAsia"/>
          <w:b/>
          <w:color w:val="auto"/>
          <w:sz w:val="28"/>
          <w:szCs w:val="28"/>
          <w:highlight w:val="none"/>
        </w:rPr>
      </w:pPr>
    </w:p>
    <w:p w14:paraId="5F8622FD">
      <w:pPr>
        <w:ind w:left="0" w:leftChars="0" w:firstLine="0" w:firstLineChars="0"/>
        <w:rPr>
          <w:rFonts w:hint="eastAsia" w:hAnsi="宋体" w:cs="华文仿宋"/>
          <w:b/>
          <w:bCs/>
          <w:color w:val="auto"/>
          <w:sz w:val="24"/>
          <w:szCs w:val="24"/>
          <w:highlight w:val="none"/>
        </w:rPr>
      </w:pPr>
      <w:r>
        <w:rPr>
          <w:rFonts w:hint="eastAsia" w:hAnsi="宋体" w:cs="华文仿宋"/>
          <w:b/>
          <w:bCs/>
          <w:color w:val="auto"/>
          <w:sz w:val="24"/>
          <w:szCs w:val="24"/>
          <w:highlight w:val="none"/>
        </w:rPr>
        <w:br w:type="page"/>
      </w:r>
    </w:p>
    <w:p w14:paraId="1D1A9825">
      <w:pPr>
        <w:pStyle w:val="26"/>
        <w:ind w:firstLine="0" w:firstLineChars="0"/>
        <w:jc w:val="center"/>
        <w:rPr>
          <w:rFonts w:hint="eastAsia" w:hAnsi="宋体" w:cs="华文仿宋"/>
          <w:b/>
          <w:bCs/>
          <w:color w:val="auto"/>
          <w:sz w:val="28"/>
          <w:szCs w:val="28"/>
          <w:highlight w:val="none"/>
          <w:lang w:eastAsia="zh-CN"/>
        </w:rPr>
      </w:pPr>
      <w:r>
        <w:rPr>
          <w:rFonts w:hint="eastAsia" w:hAnsi="宋体" w:cs="华文仿宋"/>
          <w:b/>
          <w:bCs/>
          <w:color w:val="auto"/>
          <w:sz w:val="28"/>
          <w:szCs w:val="28"/>
          <w:highlight w:val="none"/>
        </w:rPr>
        <w:t>致</w:t>
      </w:r>
      <w:r>
        <w:rPr>
          <w:rFonts w:hint="eastAsia" w:hAnsi="宋体" w:cs="华文仿宋"/>
          <w:b/>
          <w:bCs/>
          <w:color w:val="auto"/>
          <w:sz w:val="28"/>
          <w:szCs w:val="28"/>
          <w:highlight w:val="none"/>
          <w:lang w:eastAsia="zh-CN"/>
        </w:rPr>
        <w:t>投标人</w:t>
      </w:r>
    </w:p>
    <w:p w14:paraId="2998D00E">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一、本公开招标文件是依据有关招标投标的法律、法规、规章和规范性文件的规定，根据本项目的特点和需要编制的。招标文件的编制遵循公开、公平、公正和诚实信用的原则，招标文件的内容已清楚地反映了项目的规模、性质以及商务和技术要求等。</w:t>
      </w:r>
    </w:p>
    <w:p w14:paraId="7ED127AD">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二、投标人获取招标文件后，应仔细阅读招标文件及附件的全部内容，招标文件与附件具有同等效力。</w:t>
      </w:r>
    </w:p>
    <w:p w14:paraId="726F3099">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三、投标人在投标报价截止时间前，应及时在</w:t>
      </w:r>
      <w:r>
        <w:rPr>
          <w:rFonts w:hint="default" w:ascii="宋体" w:hAnsi="宋体" w:eastAsia="宋体" w:cs="宋体"/>
          <w:color w:val="auto"/>
          <w:sz w:val="24"/>
          <w:highlight w:val="none"/>
          <w:lang w:val="en-US" w:eastAsia="zh-CN"/>
        </w:rPr>
        <w:t>深圳阳光采购平台（</w:t>
      </w:r>
      <w:r>
        <w:rPr>
          <w:rFonts w:hint="eastAsia" w:ascii="宋体" w:hAnsi="宋体" w:eastAsia="宋体" w:cs="宋体"/>
          <w:color w:val="auto"/>
          <w:sz w:val="24"/>
          <w:highlight w:val="none"/>
          <w:lang w:val="en-US" w:eastAsia="zh-CN"/>
        </w:rPr>
        <w:t>https://ygcg.szexgrp.com/jyxx</w:t>
      </w:r>
      <w:r>
        <w:rPr>
          <w:rFonts w:hint="default" w:ascii="宋体" w:hAnsi="宋体" w:eastAsia="宋体" w:cs="宋体"/>
          <w:color w:val="auto"/>
          <w:sz w:val="24"/>
          <w:highlight w:val="none"/>
          <w:lang w:val="en-US" w:eastAsia="zh-CN"/>
        </w:rPr>
        <w:t>）</w:t>
      </w:r>
      <w:r>
        <w:rPr>
          <w:rFonts w:hint="eastAsia" w:ascii="宋体" w:hAnsi="宋体" w:eastAsia="宋体" w:cs="华文仿宋"/>
          <w:color w:val="auto"/>
          <w:sz w:val="24"/>
          <w:highlight w:val="none"/>
          <w:lang w:val="en-US" w:eastAsia="zh-CN"/>
        </w:rPr>
        <w:t>或联系招标人，随时查看有关本公开招标文件的答疑、补遗内容。招标文件、答疑、补遗内容不一致时，以最后发出的为准。</w:t>
      </w:r>
    </w:p>
    <w:p w14:paraId="3FAF1B57">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四、投标人应在遵循招标文件的各项规定和要求的前提下，编制投标文件。编制投标文件时，应注意：</w:t>
      </w:r>
    </w:p>
    <w:p w14:paraId="01C2DC3F">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（一）投标文件必须满足招标文件中的实质性要求和条件。投标文件的所有否决性条款已在第二章“投标人须知”和第三章“评审细则”中明示，若出现其中任何一个情形的，其投标将会被否决。</w:t>
      </w:r>
    </w:p>
    <w:p w14:paraId="29272644">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（二）投标人对招标文件有不同意见或不明之处，应向招标人质疑，求得彻底澄清。若招标人不接受投标人提出的意见，投标人必须按招标文件办理，而不应在投标文件中加进额外的条件。</w:t>
      </w:r>
    </w:p>
    <w:p w14:paraId="7E4A23C8">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五、投标人在提交投标文件时，应注意：</w:t>
      </w:r>
    </w:p>
    <w:p w14:paraId="6DEF3139">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（一）投标人应严格按照招标文件的要求进行纸质投标文件的密封和标记。</w:t>
      </w:r>
    </w:p>
    <w:p w14:paraId="51D7B6D7">
      <w:pPr>
        <w:ind w:firstLine="480"/>
        <w:rPr>
          <w:rFonts w:hint="eastAsia" w:ascii="宋体" w:hAnsi="宋体" w:eastAsia="宋体" w:cs="华文仿宋"/>
          <w:color w:val="auto"/>
          <w:sz w:val="24"/>
          <w:highlight w:val="none"/>
          <w:lang w:val="en-US" w:eastAsia="zh-CN"/>
        </w:rPr>
      </w:pPr>
      <w:r>
        <w:rPr>
          <w:rFonts w:hint="eastAsia" w:ascii="宋体" w:hAnsi="宋体" w:eastAsia="宋体" w:cs="华文仿宋"/>
          <w:color w:val="auto"/>
          <w:sz w:val="24"/>
          <w:highlight w:val="none"/>
          <w:lang w:val="en-US" w:eastAsia="zh-CN"/>
        </w:rPr>
        <w:t>（二）投标人应当在投标报价截止时间前，将纸质投标文件送达指定地点。</w:t>
      </w:r>
    </w:p>
    <w:p w14:paraId="60CF5333">
      <w:pPr>
        <w:ind w:left="361" w:leftChars="129" w:firstLine="140" w:firstLineChars="50"/>
        <w:rPr>
          <w:color w:val="auto"/>
          <w:highlight w:val="none"/>
        </w:rPr>
      </w:pPr>
    </w:p>
    <w:p w14:paraId="548FD42A">
      <w:pPr>
        <w:ind w:left="361" w:leftChars="129" w:firstLine="140" w:firstLineChars="50"/>
        <w:rPr>
          <w:color w:val="auto"/>
          <w:highlight w:val="none"/>
        </w:rPr>
      </w:pPr>
    </w:p>
    <w:p w14:paraId="6237B3D2">
      <w:pPr>
        <w:rPr>
          <w:color w:val="auto"/>
          <w:highlight w:val="none"/>
        </w:rPr>
      </w:pPr>
      <w:r>
        <w:rPr>
          <w:color w:val="auto"/>
          <w:highlight w:val="none"/>
        </w:rPr>
        <w:br w:type="page"/>
      </w:r>
    </w:p>
    <w:p w14:paraId="4DD98266">
      <w:pPr>
        <w:pStyle w:val="62"/>
        <w:rPr>
          <w:color w:val="auto"/>
          <w:highlight w:val="none"/>
        </w:rPr>
      </w:pPr>
    </w:p>
    <w:p w14:paraId="23BBAA5E">
      <w:pPr>
        <w:ind w:left="0" w:leftChars="0" w:firstLine="0" w:firstLineChars="0"/>
        <w:jc w:val="center"/>
        <w:outlineLvl w:val="9"/>
        <w:rPr>
          <w:rFonts w:hint="eastAsia" w:ascii="宋体" w:hAnsi="宋体" w:eastAsia="宋体" w:cs="华文仿宋"/>
          <w:color w:val="auto"/>
          <w:sz w:val="24"/>
          <w:highlight w:val="none"/>
        </w:rPr>
      </w:pPr>
      <w:bookmarkStart w:id="0" w:name="_Toc12796"/>
      <w:bookmarkStart w:id="1" w:name="_Toc20613"/>
      <w:r>
        <w:rPr>
          <w:rFonts w:hint="eastAsia" w:ascii="宋体" w:hAnsi="宋体" w:eastAsia="宋体" w:cs="华文仿宋"/>
          <w:b/>
          <w:bCs/>
          <w:color w:val="auto"/>
          <w:sz w:val="28"/>
          <w:szCs w:val="28"/>
          <w:highlight w:val="none"/>
          <w:lang w:val="en-US" w:eastAsia="zh-CN"/>
        </w:rPr>
        <w:t>项目说明</w:t>
      </w:r>
      <w:bookmarkEnd w:id="0"/>
      <w:bookmarkEnd w:id="1"/>
    </w:p>
    <w:p w14:paraId="68AD33A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color w:val="auto"/>
          <w:sz w:val="24"/>
          <w:highlight w:val="none"/>
          <w:lang w:eastAsia="zh-CN"/>
        </w:rPr>
      </w:pPr>
    </w:p>
    <w:p w14:paraId="549B48C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color w:val="auto"/>
          <w:sz w:val="24"/>
          <w:highlight w:val="none"/>
        </w:rPr>
      </w:pPr>
      <w:r>
        <w:rPr>
          <w:rFonts w:hint="eastAsia" w:ascii="宋体" w:hAnsi="宋体" w:eastAsia="宋体" w:cs="华文仿宋"/>
          <w:b w:val="0"/>
          <w:bCs w:val="0"/>
          <w:color w:val="auto"/>
          <w:sz w:val="24"/>
          <w:highlight w:val="none"/>
          <w:u w:val="none"/>
          <w:lang w:eastAsia="zh-CN"/>
        </w:rPr>
        <w:t>深圳市高新健置业开发有限公司</w:t>
      </w:r>
      <w:r>
        <w:rPr>
          <w:rFonts w:hint="eastAsia" w:ascii="宋体" w:hAnsi="宋体" w:eastAsia="宋体" w:cs="华文仿宋"/>
          <w:b w:val="0"/>
          <w:bCs w:val="0"/>
          <w:color w:val="auto"/>
          <w:sz w:val="24"/>
          <w:highlight w:val="none"/>
          <w:u w:val="none"/>
        </w:rPr>
        <w:t>对</w:t>
      </w:r>
      <w:r>
        <w:rPr>
          <w:rFonts w:hint="eastAsia" w:ascii="宋体" w:hAnsi="宋体" w:eastAsia="宋体" w:cs="华文仿宋"/>
          <w:b/>
          <w:bCs/>
          <w:color w:val="auto"/>
          <w:sz w:val="24"/>
          <w:highlight w:val="none"/>
          <w:u w:val="single"/>
          <w:lang w:eastAsia="zh-CN"/>
        </w:rPr>
        <w:t>瑞云府项目架空层软装、儿童游乐设施、运动器械供货及安装</w:t>
      </w:r>
      <w:r>
        <w:rPr>
          <w:rFonts w:hint="eastAsia" w:ascii="宋体" w:hAnsi="宋体" w:eastAsia="宋体" w:cs="华文仿宋"/>
          <w:b w:val="0"/>
          <w:bCs w:val="0"/>
          <w:color w:val="auto"/>
          <w:sz w:val="24"/>
          <w:highlight w:val="none"/>
          <w:u w:val="none"/>
          <w:lang w:val="en-US" w:eastAsia="zh-CN"/>
        </w:rPr>
        <w:t>进行公开招标</w:t>
      </w:r>
      <w:r>
        <w:rPr>
          <w:rFonts w:hint="eastAsia" w:ascii="宋体" w:hAnsi="宋体" w:eastAsia="宋体" w:cs="华文仿宋"/>
          <w:b w:val="0"/>
          <w:bCs w:val="0"/>
          <w:color w:val="auto"/>
          <w:sz w:val="24"/>
          <w:highlight w:val="none"/>
          <w:u w:val="none"/>
        </w:rPr>
        <w:t>，欢迎符合资质并有意向的</w:t>
      </w:r>
      <w:r>
        <w:rPr>
          <w:rFonts w:hint="eastAsia" w:ascii="宋体" w:hAnsi="宋体" w:eastAsia="宋体" w:cs="华文仿宋"/>
          <w:b w:val="0"/>
          <w:bCs w:val="0"/>
          <w:color w:val="auto"/>
          <w:sz w:val="24"/>
          <w:highlight w:val="none"/>
          <w:u w:val="none"/>
          <w:lang w:eastAsia="zh-CN"/>
        </w:rPr>
        <w:t>投标人</w:t>
      </w:r>
      <w:r>
        <w:rPr>
          <w:rFonts w:hint="eastAsia" w:ascii="宋体" w:hAnsi="宋体" w:eastAsia="宋体" w:cs="华文仿宋"/>
          <w:b w:val="0"/>
          <w:bCs w:val="0"/>
          <w:color w:val="auto"/>
          <w:sz w:val="24"/>
          <w:highlight w:val="none"/>
          <w:u w:val="none"/>
          <w:lang w:val="en-US" w:eastAsia="zh-CN"/>
        </w:rPr>
        <w:t>参与投标</w:t>
      </w:r>
      <w:r>
        <w:rPr>
          <w:rFonts w:hint="eastAsia" w:ascii="宋体" w:hAnsi="宋体" w:eastAsia="宋体" w:cs="华文仿宋"/>
          <w:b w:val="0"/>
          <w:bCs w:val="0"/>
          <w:color w:val="auto"/>
          <w:sz w:val="24"/>
          <w:highlight w:val="none"/>
          <w:u w:val="none"/>
        </w:rPr>
        <w:t>，有关事项如下：</w:t>
      </w:r>
    </w:p>
    <w:p w14:paraId="4DA55960">
      <w:pPr>
        <w:pStyle w:val="26"/>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华文仿宋"/>
          <w:b/>
          <w:bCs/>
          <w:color w:val="auto"/>
          <w:kern w:val="2"/>
          <w:sz w:val="24"/>
          <w:szCs w:val="24"/>
          <w:highlight w:val="none"/>
          <w:u w:val="single"/>
          <w:lang w:val="en-US" w:eastAsia="zh-CN" w:bidi="ar-SA"/>
        </w:rPr>
      </w:pPr>
      <w:r>
        <w:rPr>
          <w:rFonts w:hint="eastAsia" w:hAnsi="宋体" w:cs="华文仿宋"/>
          <w:color w:val="auto"/>
          <w:sz w:val="24"/>
          <w:highlight w:val="none"/>
        </w:rPr>
        <w:t>项目名称：</w:t>
      </w:r>
      <w:r>
        <w:rPr>
          <w:rFonts w:hint="eastAsia" w:hAnsi="宋体" w:cs="华文仿宋"/>
          <w:b w:val="0"/>
          <w:bCs w:val="0"/>
          <w:color w:val="auto"/>
          <w:kern w:val="2"/>
          <w:sz w:val="24"/>
          <w:szCs w:val="24"/>
          <w:highlight w:val="none"/>
          <w:u w:val="single"/>
          <w:lang w:val="en-US" w:eastAsia="zh-CN" w:bidi="ar-SA"/>
        </w:rPr>
        <w:t>瑞云府项目架空层软装、儿童游乐设施、运动器械供货及安装</w:t>
      </w:r>
    </w:p>
    <w:p w14:paraId="4D0804E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color w:val="auto"/>
          <w:sz w:val="24"/>
          <w:highlight w:val="none"/>
          <w:u w:val="single"/>
          <w:lang w:val="en-US" w:eastAsia="zh-CN"/>
        </w:rPr>
      </w:pPr>
      <w:r>
        <w:rPr>
          <w:rFonts w:hint="eastAsia" w:ascii="宋体" w:hAnsi="宋体" w:eastAsia="宋体" w:cs="华文仿宋"/>
          <w:color w:val="auto"/>
          <w:sz w:val="24"/>
          <w:highlight w:val="none"/>
        </w:rPr>
        <w:t>联 系 人：</w:t>
      </w:r>
      <w:r>
        <w:rPr>
          <w:rFonts w:hint="eastAsia" w:ascii="宋体" w:hAnsi="宋体" w:eastAsia="宋体" w:cs="华文仿宋"/>
          <w:color w:val="auto"/>
          <w:sz w:val="24"/>
          <w:highlight w:val="none"/>
          <w:u w:val="single"/>
          <w:lang w:val="en-US" w:eastAsia="zh-CN"/>
        </w:rPr>
        <w:t xml:space="preserve">李工 </w:t>
      </w:r>
      <w:r>
        <w:rPr>
          <w:rFonts w:hint="eastAsia" w:ascii="宋体" w:hAnsi="宋体" w:eastAsia="宋体" w:cs="华文仿宋"/>
          <w:color w:val="auto"/>
          <w:sz w:val="24"/>
          <w:highlight w:val="none"/>
          <w:u w:val="none"/>
          <w:lang w:val="en-US" w:eastAsia="zh-CN"/>
        </w:rPr>
        <w:t xml:space="preserve">    </w:t>
      </w:r>
      <w:r>
        <w:rPr>
          <w:rFonts w:hint="eastAsia" w:ascii="宋体" w:hAnsi="宋体" w:eastAsia="宋体" w:cs="华文仿宋"/>
          <w:color w:val="auto"/>
          <w:sz w:val="24"/>
          <w:highlight w:val="none"/>
        </w:rPr>
        <w:t>联系电话：</w:t>
      </w:r>
      <w:r>
        <w:rPr>
          <w:rFonts w:hint="eastAsia" w:ascii="宋体" w:hAnsi="宋体" w:eastAsia="宋体" w:cs="华文仿宋"/>
          <w:color w:val="auto"/>
          <w:sz w:val="24"/>
          <w:highlight w:val="none"/>
          <w:u w:val="single"/>
          <w:lang w:val="en-US" w:eastAsia="zh-CN"/>
        </w:rPr>
        <w:t xml:space="preserve">0755-89668593 </w:t>
      </w:r>
    </w:p>
    <w:p w14:paraId="29C42351">
      <w:pPr>
        <w:keepNext w:val="0"/>
        <w:keepLines w:val="0"/>
        <w:pageBreakBefore w:val="0"/>
        <w:widowControl w:val="0"/>
        <w:kinsoku/>
        <w:wordWrap/>
        <w:overflowPunct/>
        <w:topLinePunct w:val="0"/>
        <w:autoSpaceDE/>
        <w:autoSpaceDN/>
        <w:bidi w:val="0"/>
        <w:adjustRightInd/>
        <w:snapToGrid/>
        <w:textAlignment w:val="auto"/>
        <w:rPr>
          <w:rFonts w:hint="default" w:ascii="宋体" w:hAnsi="宋体" w:eastAsia="宋体" w:cs="华文仿宋"/>
          <w:b w:val="0"/>
          <w:bCs/>
          <w:color w:val="auto"/>
          <w:sz w:val="24"/>
          <w:highlight w:val="none"/>
          <w:u w:val="single"/>
          <w:lang w:val="en-US" w:eastAsia="zh-CN"/>
        </w:rPr>
      </w:pPr>
      <w:r>
        <w:rPr>
          <w:rFonts w:hint="eastAsia" w:ascii="宋体" w:hAnsi="宋体" w:eastAsia="宋体" w:cs="华文仿宋"/>
          <w:color w:val="auto"/>
          <w:sz w:val="24"/>
          <w:highlight w:val="none"/>
        </w:rPr>
        <w:t>项目地址：</w:t>
      </w:r>
      <w:r>
        <w:rPr>
          <w:rFonts w:hint="eastAsia" w:ascii="宋体" w:hAnsi="宋体" w:eastAsia="宋体" w:cs="华文仿宋"/>
          <w:color w:val="auto"/>
          <w:sz w:val="24"/>
          <w:highlight w:val="none"/>
          <w:u w:val="single"/>
          <w:lang w:eastAsia="zh-CN"/>
        </w:rPr>
        <w:t>深圳市坪山区碧岭街道龙勤路与沙湖复兴路交汇处西北侧</w:t>
      </w:r>
    </w:p>
    <w:p w14:paraId="62BA73C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lang w:val="en-US" w:eastAsia="zh-CN"/>
        </w:rPr>
        <w:t>投标</w:t>
      </w:r>
      <w:r>
        <w:rPr>
          <w:rFonts w:hint="eastAsia" w:ascii="宋体" w:hAnsi="宋体" w:eastAsia="宋体" w:cs="华文仿宋"/>
          <w:b/>
          <w:bCs/>
          <w:color w:val="auto"/>
          <w:sz w:val="24"/>
          <w:highlight w:val="none"/>
        </w:rPr>
        <w:t>报价时间：</w:t>
      </w:r>
      <w:r>
        <w:rPr>
          <w:rFonts w:hint="eastAsia" w:ascii="宋体" w:hAnsi="宋体" w:eastAsia="宋体" w:cs="华文仿宋"/>
          <w:b/>
          <w:bCs/>
          <w:color w:val="auto"/>
          <w:sz w:val="24"/>
          <w:highlight w:val="none"/>
          <w:u w:val="single"/>
          <w:lang w:val="en-US" w:eastAsia="zh-CN"/>
        </w:rPr>
        <w:t xml:space="preserve"> </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 xml:space="preserve">6 </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 </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 11 </w:t>
      </w:r>
      <w:r>
        <w:rPr>
          <w:rFonts w:hint="eastAsia" w:ascii="宋体" w:hAnsi="宋体" w:eastAsia="宋体" w:cs="华文仿宋"/>
          <w:b/>
          <w:bCs/>
          <w:color w:val="auto"/>
          <w:sz w:val="24"/>
          <w:highlight w:val="none"/>
        </w:rPr>
        <w:t>日至</w:t>
      </w:r>
      <w:r>
        <w:rPr>
          <w:rFonts w:hint="eastAsia" w:ascii="宋体" w:hAnsi="宋体" w:eastAsia="宋体" w:cs="华文仿宋"/>
          <w:b/>
          <w:bCs/>
          <w:color w:val="auto"/>
          <w:sz w:val="24"/>
          <w:highlight w:val="none"/>
          <w:u w:val="single"/>
          <w:lang w:val="en-US" w:eastAsia="zh-CN"/>
        </w:rPr>
        <w:t xml:space="preserve"> </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 xml:space="preserve">6 </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 </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 22 </w:t>
      </w:r>
      <w:r>
        <w:rPr>
          <w:rFonts w:hint="eastAsia" w:ascii="宋体" w:hAnsi="宋体" w:eastAsia="宋体" w:cs="华文仿宋"/>
          <w:b/>
          <w:bCs/>
          <w:color w:val="auto"/>
          <w:sz w:val="24"/>
          <w:highlight w:val="none"/>
        </w:rPr>
        <w:t>日</w:t>
      </w:r>
    </w:p>
    <w:p w14:paraId="482CC6A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华文仿宋"/>
          <w:b/>
          <w:bCs/>
          <w:color w:val="auto"/>
          <w:sz w:val="24"/>
          <w:highlight w:val="none"/>
        </w:rPr>
      </w:pPr>
      <w:r>
        <w:rPr>
          <w:rFonts w:hint="eastAsia" w:ascii="宋体" w:hAnsi="宋体" w:eastAsia="宋体" w:cs="华文仿宋"/>
          <w:b/>
          <w:bCs/>
          <w:color w:val="auto"/>
          <w:sz w:val="24"/>
          <w:highlight w:val="none"/>
        </w:rPr>
        <w:t>（具体时间以深圳阳光采购平台公布时间为准）</w:t>
      </w:r>
    </w:p>
    <w:p w14:paraId="4DE44CCC">
      <w:pPr>
        <w:keepNext w:val="0"/>
        <w:keepLines w:val="0"/>
        <w:pageBreakBefore w:val="0"/>
        <w:widowControl w:val="0"/>
        <w:kinsoku/>
        <w:wordWrap/>
        <w:overflowPunct/>
        <w:topLinePunct w:val="0"/>
        <w:autoSpaceDE/>
        <w:autoSpaceDN/>
        <w:bidi w:val="0"/>
        <w:adjustRightInd/>
        <w:snapToGrid/>
        <w:ind w:firstLine="480" w:firstLineChars="200"/>
        <w:textAlignment w:val="auto"/>
        <w:rPr>
          <w:rFonts w:ascii="宋体" w:hAnsi="宋体" w:eastAsia="宋体" w:cs="华文仿宋"/>
          <w:color w:val="auto"/>
          <w:sz w:val="24"/>
          <w:highlight w:val="none"/>
        </w:rPr>
      </w:pPr>
      <w:r>
        <w:rPr>
          <w:rFonts w:hint="eastAsia" w:ascii="宋体" w:hAnsi="宋体" w:eastAsia="宋体" w:cs="华文仿宋"/>
          <w:color w:val="auto"/>
          <w:sz w:val="24"/>
          <w:highlight w:val="none"/>
          <w:lang w:val="en-US" w:eastAsia="zh-CN"/>
        </w:rPr>
        <w:t>本项目采用线上公告公示及线下投标报价、评审定标的方式，请各位投标人在投标报价截止日期前，向招标人进行投标报价并递交纸质文件。</w:t>
      </w:r>
    </w:p>
    <w:p w14:paraId="48BD32D0">
      <w:pPr>
        <w:ind w:firstLine="480"/>
        <w:rPr>
          <w:rFonts w:ascii="宋体" w:hAnsi="宋体" w:eastAsia="宋体" w:cs="华文仿宋"/>
          <w:color w:val="auto"/>
          <w:sz w:val="24"/>
          <w:highlight w:val="none"/>
        </w:rPr>
      </w:pPr>
    </w:p>
    <w:p w14:paraId="2FC22672">
      <w:pPr>
        <w:ind w:firstLine="480"/>
        <w:rPr>
          <w:rFonts w:ascii="宋体" w:hAnsi="宋体" w:eastAsia="宋体" w:cs="华文仿宋"/>
          <w:color w:val="auto"/>
          <w:sz w:val="24"/>
          <w:highlight w:val="none"/>
        </w:rPr>
      </w:pPr>
    </w:p>
    <w:p w14:paraId="4FEE5EA7">
      <w:pPr>
        <w:ind w:firstLine="480"/>
        <w:rPr>
          <w:rFonts w:ascii="宋体" w:hAnsi="宋体" w:eastAsia="宋体" w:cs="华文仿宋"/>
          <w:color w:val="auto"/>
          <w:sz w:val="24"/>
          <w:highlight w:val="none"/>
        </w:rPr>
      </w:pPr>
    </w:p>
    <w:p w14:paraId="05576C6F">
      <w:pPr>
        <w:ind w:firstLine="480"/>
        <w:rPr>
          <w:rFonts w:ascii="宋体" w:hAnsi="宋体" w:eastAsia="宋体" w:cs="华文仿宋"/>
          <w:color w:val="auto"/>
          <w:sz w:val="24"/>
          <w:highlight w:val="none"/>
        </w:rPr>
      </w:pPr>
    </w:p>
    <w:p w14:paraId="073823ED">
      <w:pPr>
        <w:ind w:firstLine="480"/>
        <w:rPr>
          <w:rFonts w:ascii="宋体" w:hAnsi="宋体" w:eastAsia="宋体" w:cs="华文仿宋"/>
          <w:color w:val="auto"/>
          <w:sz w:val="24"/>
          <w:highlight w:val="none"/>
        </w:rPr>
      </w:pPr>
    </w:p>
    <w:p w14:paraId="52E86475">
      <w:pPr>
        <w:ind w:firstLine="480"/>
        <w:rPr>
          <w:rFonts w:ascii="宋体" w:hAnsi="宋体" w:eastAsia="宋体" w:cs="华文仿宋"/>
          <w:color w:val="auto"/>
          <w:sz w:val="24"/>
          <w:highlight w:val="none"/>
        </w:rPr>
      </w:pPr>
    </w:p>
    <w:p w14:paraId="7FE51ECA">
      <w:pPr>
        <w:ind w:firstLine="480"/>
        <w:rPr>
          <w:rFonts w:ascii="宋体" w:hAnsi="宋体" w:eastAsia="宋体" w:cs="华文仿宋"/>
          <w:color w:val="auto"/>
          <w:sz w:val="24"/>
          <w:highlight w:val="none"/>
        </w:rPr>
      </w:pPr>
    </w:p>
    <w:p w14:paraId="4D8A61F9">
      <w:pPr>
        <w:ind w:firstLine="480"/>
        <w:rPr>
          <w:rFonts w:ascii="宋体" w:hAnsi="宋体" w:eastAsia="宋体" w:cs="华文仿宋"/>
          <w:color w:val="auto"/>
          <w:sz w:val="24"/>
          <w:highlight w:val="none"/>
        </w:rPr>
      </w:pPr>
    </w:p>
    <w:p w14:paraId="12C44A0F">
      <w:pPr>
        <w:ind w:firstLine="480"/>
        <w:rPr>
          <w:rFonts w:ascii="宋体" w:hAnsi="宋体" w:eastAsia="宋体" w:cs="华文仿宋"/>
          <w:color w:val="auto"/>
          <w:sz w:val="24"/>
          <w:highlight w:val="none"/>
        </w:rPr>
      </w:pPr>
    </w:p>
    <w:p w14:paraId="4651049C">
      <w:pPr>
        <w:rPr>
          <w:rFonts w:ascii="宋体" w:hAnsi="宋体" w:eastAsia="宋体" w:cs="华文仿宋"/>
          <w:color w:val="auto"/>
          <w:sz w:val="24"/>
          <w:highlight w:val="none"/>
        </w:rPr>
      </w:pPr>
      <w:r>
        <w:rPr>
          <w:rFonts w:ascii="宋体" w:hAnsi="宋体" w:eastAsia="宋体" w:cs="华文仿宋"/>
          <w:color w:val="auto"/>
          <w:sz w:val="24"/>
          <w:highlight w:val="none"/>
        </w:rPr>
        <w:br w:type="page"/>
      </w:r>
    </w:p>
    <w:p w14:paraId="6C6C6CF2">
      <w:pPr>
        <w:spacing w:line="240" w:lineRule="auto"/>
        <w:ind w:left="0" w:leftChars="0" w:firstLine="0" w:firstLineChars="0"/>
        <w:jc w:val="center"/>
        <w:rPr>
          <w:rFonts w:hint="eastAsia" w:ascii="宋体" w:hAnsi="宋体" w:eastAsia="宋体" w:cs="宋体"/>
          <w:b/>
          <w:bCs/>
          <w:color w:val="auto"/>
          <w:sz w:val="32"/>
          <w:szCs w:val="32"/>
          <w:highlight w:val="none"/>
        </w:rPr>
      </w:pPr>
    </w:p>
    <w:p w14:paraId="17253B17">
      <w:pPr>
        <w:spacing w:line="240" w:lineRule="auto"/>
        <w:ind w:left="0" w:leftChars="0" w:firstLine="0" w:firstLineChars="0"/>
        <w:jc w:val="center"/>
        <w:rPr>
          <w:rFonts w:hint="eastAsia" w:ascii="宋体" w:hAnsi="宋体" w:eastAsia="宋体" w:cs="宋体"/>
          <w:b/>
          <w:bCs/>
          <w:color w:val="auto"/>
          <w:sz w:val="32"/>
          <w:szCs w:val="32"/>
          <w:highlight w:val="none"/>
        </w:rPr>
      </w:pPr>
    </w:p>
    <w:p w14:paraId="71A01875">
      <w:pPr>
        <w:spacing w:line="240" w:lineRule="auto"/>
        <w:ind w:left="0" w:leftChars="0" w:firstLine="0" w:firstLineChars="0"/>
        <w:jc w:val="center"/>
        <w:rPr>
          <w:rFonts w:hint="eastAsia" w:ascii="宋体" w:hAnsi="宋体" w:eastAsia="宋体" w:cs="宋体"/>
          <w:b/>
          <w:bCs/>
          <w:color w:val="auto"/>
          <w:sz w:val="32"/>
          <w:szCs w:val="32"/>
          <w:highlight w:val="none"/>
        </w:rPr>
      </w:pPr>
    </w:p>
    <w:p w14:paraId="0FEF5A38">
      <w:pPr>
        <w:spacing w:line="240" w:lineRule="auto"/>
        <w:ind w:left="0" w:lef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1DE58789">
      <w:pPr>
        <w:pStyle w:val="34"/>
        <w:tabs>
          <w:tab w:val="right" w:leader="dot" w:pos="8640"/>
        </w:tabs>
        <w:ind w:left="0" w:leftChars="0" w:firstLine="561" w:firstLineChars="233"/>
        <w:rPr>
          <w:highlight w:val="none"/>
        </w:rPr>
      </w:pPr>
      <w:r>
        <w:rPr>
          <w:rFonts w:hint="eastAsia" w:ascii="宋体" w:hAnsi="宋体" w:eastAsia="宋体" w:cs="宋体"/>
          <w:b/>
          <w:bCs/>
          <w:color w:val="auto"/>
          <w:sz w:val="24"/>
          <w:szCs w:val="24"/>
          <w:highlight w:val="none"/>
        </w:rPr>
        <w:fldChar w:fldCharType="begin"/>
      </w:r>
      <w:r>
        <w:rPr>
          <w:rFonts w:hint="eastAsia" w:ascii="宋体" w:hAnsi="宋体" w:eastAsia="宋体" w:cs="宋体"/>
          <w:b/>
          <w:bCs/>
          <w:color w:val="auto"/>
          <w:sz w:val="24"/>
          <w:szCs w:val="24"/>
          <w:highlight w:val="none"/>
        </w:rPr>
        <w:instrText xml:space="preserve">TOC \o "1-3" \h \z \u</w:instrText>
      </w:r>
      <w:r>
        <w:rPr>
          <w:rFonts w:hint="eastAsia" w:ascii="宋体" w:hAnsi="宋体" w:eastAsia="宋体" w:cs="宋体"/>
          <w:b/>
          <w:bCs/>
          <w:color w:val="auto"/>
          <w:sz w:val="24"/>
          <w:szCs w:val="24"/>
          <w:highlight w:val="none"/>
        </w:rPr>
        <w:fldChar w:fldCharType="separate"/>
      </w: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_Toc31062 </w:instrText>
      </w:r>
      <w:r>
        <w:rPr>
          <w:rFonts w:hint="eastAsia" w:ascii="宋体" w:hAnsi="宋体" w:eastAsia="宋体" w:cs="宋体"/>
          <w:bCs/>
          <w:szCs w:val="24"/>
          <w:highlight w:val="none"/>
        </w:rPr>
        <w:fldChar w:fldCharType="separate"/>
      </w:r>
      <w:r>
        <w:rPr>
          <w:rFonts w:hint="eastAsia" w:ascii="宋体" w:hAnsi="宋体" w:eastAsia="宋体" w:cs="Times New Roman"/>
          <w:bCs/>
          <w:szCs w:val="32"/>
          <w:highlight w:val="none"/>
        </w:rPr>
        <w:t>第一</w:t>
      </w:r>
      <w:r>
        <w:rPr>
          <w:rFonts w:hint="eastAsia" w:ascii="宋体" w:hAnsi="宋体" w:eastAsia="宋体" w:cs="Times New Roman"/>
          <w:bCs/>
          <w:szCs w:val="32"/>
          <w:highlight w:val="none"/>
          <w:lang w:val="en-US" w:eastAsia="zh-CN"/>
        </w:rPr>
        <w:t>章</w:t>
      </w:r>
      <w:r>
        <w:rPr>
          <w:rFonts w:hint="eastAsia" w:ascii="宋体" w:hAnsi="宋体" w:eastAsia="宋体" w:cs="Times New Roman"/>
          <w:bCs/>
          <w:szCs w:val="32"/>
          <w:highlight w:val="none"/>
        </w:rPr>
        <w:t xml:space="preserve">  招标公告</w:t>
      </w:r>
      <w:r>
        <w:rPr>
          <w:highlight w:val="none"/>
        </w:rPr>
        <w:tab/>
      </w:r>
      <w:r>
        <w:rPr>
          <w:highlight w:val="none"/>
        </w:rPr>
        <w:fldChar w:fldCharType="begin"/>
      </w:r>
      <w:r>
        <w:rPr>
          <w:highlight w:val="none"/>
        </w:rPr>
        <w:instrText xml:space="preserve"> PAGEREF _Toc31062 \h </w:instrText>
      </w:r>
      <w:r>
        <w:rPr>
          <w:highlight w:val="none"/>
        </w:rPr>
        <w:fldChar w:fldCharType="separate"/>
      </w:r>
      <w:r>
        <w:rPr>
          <w:highlight w:val="none"/>
        </w:rPr>
        <w:t>5</w:t>
      </w:r>
      <w:r>
        <w:rPr>
          <w:highlight w:val="none"/>
        </w:rPr>
        <w:fldChar w:fldCharType="end"/>
      </w:r>
      <w:r>
        <w:rPr>
          <w:rFonts w:hint="eastAsia" w:ascii="宋体" w:hAnsi="宋体" w:eastAsia="宋体" w:cs="宋体"/>
          <w:bCs/>
          <w:color w:val="auto"/>
          <w:szCs w:val="24"/>
          <w:highlight w:val="none"/>
        </w:rPr>
        <w:fldChar w:fldCharType="end"/>
      </w:r>
    </w:p>
    <w:p w14:paraId="71F89E0F">
      <w:pPr>
        <w:pStyle w:val="34"/>
        <w:tabs>
          <w:tab w:val="right" w:leader="dot" w:pos="8640"/>
        </w:tabs>
        <w:rPr>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_Toc21380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第二</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投标人</w:t>
      </w:r>
      <w:r>
        <w:rPr>
          <w:rFonts w:hint="eastAsia" w:ascii="宋体" w:hAnsi="宋体" w:eastAsia="宋体" w:cs="Times New Roman"/>
          <w:szCs w:val="32"/>
          <w:highlight w:val="none"/>
        </w:rPr>
        <w:t>须知</w:t>
      </w:r>
      <w:r>
        <w:rPr>
          <w:highlight w:val="none"/>
        </w:rPr>
        <w:tab/>
      </w:r>
      <w:r>
        <w:rPr>
          <w:highlight w:val="none"/>
        </w:rPr>
        <w:fldChar w:fldCharType="begin"/>
      </w:r>
      <w:r>
        <w:rPr>
          <w:highlight w:val="none"/>
        </w:rPr>
        <w:instrText xml:space="preserve"> PAGEREF _Toc21380 \h </w:instrText>
      </w:r>
      <w:r>
        <w:rPr>
          <w:highlight w:val="none"/>
        </w:rPr>
        <w:fldChar w:fldCharType="separate"/>
      </w:r>
      <w:r>
        <w:rPr>
          <w:highlight w:val="none"/>
        </w:rPr>
        <w:t>9</w:t>
      </w:r>
      <w:r>
        <w:rPr>
          <w:highlight w:val="none"/>
        </w:rPr>
        <w:fldChar w:fldCharType="end"/>
      </w:r>
      <w:r>
        <w:rPr>
          <w:rFonts w:hint="eastAsia" w:ascii="宋体" w:hAnsi="宋体" w:eastAsia="宋体" w:cs="宋体"/>
          <w:bCs/>
          <w:color w:val="auto"/>
          <w:szCs w:val="24"/>
          <w:highlight w:val="none"/>
        </w:rPr>
        <w:fldChar w:fldCharType="end"/>
      </w:r>
    </w:p>
    <w:p w14:paraId="6985C587">
      <w:pPr>
        <w:pStyle w:val="34"/>
        <w:tabs>
          <w:tab w:val="right" w:leader="dot" w:pos="8640"/>
        </w:tabs>
        <w:rPr>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_Toc17471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第三</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评审细则</w:t>
      </w:r>
      <w:r>
        <w:rPr>
          <w:highlight w:val="none"/>
        </w:rPr>
        <w:tab/>
      </w:r>
      <w:r>
        <w:rPr>
          <w:highlight w:val="none"/>
        </w:rPr>
        <w:fldChar w:fldCharType="begin"/>
      </w:r>
      <w:r>
        <w:rPr>
          <w:highlight w:val="none"/>
        </w:rPr>
        <w:instrText xml:space="preserve"> PAGEREF _Toc17471 \h </w:instrText>
      </w:r>
      <w:r>
        <w:rPr>
          <w:highlight w:val="none"/>
        </w:rPr>
        <w:fldChar w:fldCharType="separate"/>
      </w:r>
      <w:r>
        <w:rPr>
          <w:highlight w:val="none"/>
        </w:rPr>
        <w:t>11</w:t>
      </w:r>
      <w:r>
        <w:rPr>
          <w:highlight w:val="none"/>
        </w:rPr>
        <w:fldChar w:fldCharType="end"/>
      </w:r>
      <w:r>
        <w:rPr>
          <w:rFonts w:hint="eastAsia" w:ascii="宋体" w:hAnsi="宋体" w:eastAsia="宋体" w:cs="宋体"/>
          <w:bCs/>
          <w:color w:val="auto"/>
          <w:szCs w:val="24"/>
          <w:highlight w:val="none"/>
        </w:rPr>
        <w:fldChar w:fldCharType="end"/>
      </w:r>
    </w:p>
    <w:p w14:paraId="15F6839E">
      <w:pPr>
        <w:pStyle w:val="34"/>
        <w:tabs>
          <w:tab w:val="right" w:leader="dot" w:pos="8640"/>
        </w:tabs>
        <w:rPr>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_Toc12109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rPr>
        <w:t>第四</w:t>
      </w:r>
      <w:r>
        <w:rPr>
          <w:rFonts w:hint="eastAsia" w:ascii="宋体" w:hAnsi="宋体" w:eastAsia="宋体" w:cs="Times New Roman"/>
          <w:szCs w:val="32"/>
          <w:highlight w:val="none"/>
          <w:lang w:val="en-US" w:eastAsia="zh-CN"/>
        </w:rPr>
        <w:t>章</w:t>
      </w:r>
      <w:r>
        <w:rPr>
          <w:rFonts w:hint="eastAsia" w:ascii="宋体" w:hAnsi="宋体" w:eastAsia="宋体" w:cs="Times New Roman"/>
          <w:szCs w:val="32"/>
          <w:highlight w:val="none"/>
        </w:rPr>
        <w:t xml:space="preserve"> </w:t>
      </w:r>
      <w:r>
        <w:rPr>
          <w:rFonts w:hint="eastAsia" w:ascii="宋体" w:hAnsi="宋体" w:eastAsia="宋体" w:cs="Times New Roman"/>
          <w:szCs w:val="32"/>
          <w:highlight w:val="none"/>
          <w:lang w:val="en-US" w:eastAsia="zh-CN"/>
        </w:rPr>
        <w:t xml:space="preserve"> </w:t>
      </w:r>
      <w:r>
        <w:rPr>
          <w:rFonts w:hint="eastAsia" w:ascii="宋体" w:hAnsi="宋体" w:eastAsia="宋体" w:cs="Times New Roman"/>
          <w:szCs w:val="32"/>
          <w:highlight w:val="none"/>
        </w:rPr>
        <w:t>合同条款及格式</w:t>
      </w:r>
      <w:r>
        <w:rPr>
          <w:highlight w:val="none"/>
        </w:rPr>
        <w:tab/>
      </w:r>
      <w:r>
        <w:rPr>
          <w:highlight w:val="none"/>
        </w:rPr>
        <w:fldChar w:fldCharType="begin"/>
      </w:r>
      <w:r>
        <w:rPr>
          <w:highlight w:val="none"/>
        </w:rPr>
        <w:instrText xml:space="preserve"> PAGEREF _Toc12109 \h </w:instrText>
      </w:r>
      <w:r>
        <w:rPr>
          <w:highlight w:val="none"/>
        </w:rPr>
        <w:fldChar w:fldCharType="separate"/>
      </w:r>
      <w:r>
        <w:rPr>
          <w:highlight w:val="none"/>
        </w:rPr>
        <w:t>19</w:t>
      </w:r>
      <w:r>
        <w:rPr>
          <w:highlight w:val="none"/>
        </w:rPr>
        <w:fldChar w:fldCharType="end"/>
      </w:r>
      <w:r>
        <w:rPr>
          <w:rFonts w:hint="eastAsia" w:ascii="宋体" w:hAnsi="宋体" w:eastAsia="宋体" w:cs="宋体"/>
          <w:bCs/>
          <w:color w:val="auto"/>
          <w:szCs w:val="24"/>
          <w:highlight w:val="none"/>
        </w:rPr>
        <w:fldChar w:fldCharType="end"/>
      </w:r>
    </w:p>
    <w:p w14:paraId="4D8D5E29">
      <w:pPr>
        <w:pStyle w:val="34"/>
        <w:tabs>
          <w:tab w:val="right" w:leader="dot" w:pos="8640"/>
        </w:tabs>
        <w:rPr>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_Toc2590 </w:instrText>
      </w:r>
      <w:r>
        <w:rPr>
          <w:rFonts w:hint="eastAsia" w:ascii="宋体" w:hAnsi="宋体" w:eastAsia="宋体" w:cs="宋体"/>
          <w:bCs/>
          <w:szCs w:val="24"/>
          <w:highlight w:val="none"/>
        </w:rPr>
        <w:fldChar w:fldCharType="separate"/>
      </w:r>
      <w:r>
        <w:rPr>
          <w:rFonts w:hint="eastAsia" w:ascii="宋体" w:hAnsi="宋体" w:eastAsia="宋体" w:cs="宋体"/>
          <w:szCs w:val="32"/>
          <w:highlight w:val="none"/>
        </w:rPr>
        <w:t>第</w:t>
      </w:r>
      <w:r>
        <w:rPr>
          <w:rFonts w:hint="eastAsia" w:ascii="宋体" w:hAnsi="宋体" w:eastAsia="宋体" w:cs="宋体"/>
          <w:szCs w:val="32"/>
          <w:highlight w:val="none"/>
          <w:lang w:val="en-US" w:eastAsia="zh-CN"/>
        </w:rPr>
        <w:t>五章</w:t>
      </w:r>
      <w:r>
        <w:rPr>
          <w:rFonts w:hint="eastAsia" w:ascii="宋体" w:hAnsi="宋体" w:eastAsia="宋体" w:cs="宋体"/>
          <w:szCs w:val="32"/>
          <w:highlight w:val="none"/>
        </w:rPr>
        <w:t xml:space="preserve"> </w:t>
      </w:r>
      <w:r>
        <w:rPr>
          <w:rFonts w:hint="eastAsia" w:ascii="宋体" w:hAnsi="宋体" w:eastAsia="宋体" w:cs="宋体"/>
          <w:szCs w:val="32"/>
          <w:highlight w:val="none"/>
          <w:lang w:val="en-US" w:eastAsia="zh-CN"/>
        </w:rPr>
        <w:t xml:space="preserve"> 技术要求</w:t>
      </w:r>
      <w:r>
        <w:rPr>
          <w:highlight w:val="none"/>
        </w:rPr>
        <w:tab/>
      </w:r>
      <w:r>
        <w:rPr>
          <w:highlight w:val="none"/>
        </w:rPr>
        <w:fldChar w:fldCharType="begin"/>
      </w:r>
      <w:r>
        <w:rPr>
          <w:highlight w:val="none"/>
        </w:rPr>
        <w:instrText xml:space="preserve"> PAGEREF _Toc2590 \h </w:instrText>
      </w:r>
      <w:r>
        <w:rPr>
          <w:highlight w:val="none"/>
        </w:rPr>
        <w:fldChar w:fldCharType="separate"/>
      </w:r>
      <w:r>
        <w:rPr>
          <w:highlight w:val="none"/>
        </w:rPr>
        <w:t>79</w:t>
      </w:r>
      <w:r>
        <w:rPr>
          <w:highlight w:val="none"/>
        </w:rPr>
        <w:fldChar w:fldCharType="end"/>
      </w:r>
      <w:r>
        <w:rPr>
          <w:rFonts w:hint="eastAsia" w:ascii="宋体" w:hAnsi="宋体" w:eastAsia="宋体" w:cs="宋体"/>
          <w:bCs/>
          <w:color w:val="auto"/>
          <w:szCs w:val="24"/>
          <w:highlight w:val="none"/>
        </w:rPr>
        <w:fldChar w:fldCharType="end"/>
      </w:r>
    </w:p>
    <w:p w14:paraId="3A5272A5">
      <w:pPr>
        <w:pStyle w:val="34"/>
        <w:tabs>
          <w:tab w:val="right" w:leader="dot" w:pos="8640"/>
        </w:tabs>
        <w:rPr>
          <w:highlight w:val="none"/>
        </w:rPr>
      </w:pPr>
      <w:r>
        <w:rPr>
          <w:rFonts w:hint="eastAsia" w:ascii="宋体" w:hAnsi="宋体" w:eastAsia="宋体" w:cs="宋体"/>
          <w:bCs/>
          <w:color w:val="auto"/>
          <w:szCs w:val="24"/>
          <w:highlight w:val="none"/>
        </w:rPr>
        <w:fldChar w:fldCharType="begin"/>
      </w:r>
      <w:r>
        <w:rPr>
          <w:rFonts w:hint="eastAsia" w:ascii="宋体" w:hAnsi="宋体" w:eastAsia="宋体" w:cs="宋体"/>
          <w:bCs/>
          <w:szCs w:val="24"/>
          <w:highlight w:val="none"/>
        </w:rPr>
        <w:instrText xml:space="preserve"> HYPERLINK \l _Toc10267 </w:instrText>
      </w:r>
      <w:r>
        <w:rPr>
          <w:rFonts w:hint="eastAsia" w:ascii="宋体" w:hAnsi="宋体" w:eastAsia="宋体" w:cs="宋体"/>
          <w:bCs/>
          <w:szCs w:val="24"/>
          <w:highlight w:val="none"/>
        </w:rPr>
        <w:fldChar w:fldCharType="separate"/>
      </w:r>
      <w:r>
        <w:rPr>
          <w:rFonts w:hint="eastAsia" w:ascii="宋体" w:hAnsi="宋体" w:eastAsia="宋体" w:cs="Times New Roman"/>
          <w:szCs w:val="32"/>
          <w:highlight w:val="none"/>
          <w:lang w:val="en-US" w:eastAsia="zh-CN"/>
        </w:rPr>
        <w:t>第六章  投标文件格式</w:t>
      </w:r>
      <w:r>
        <w:rPr>
          <w:highlight w:val="none"/>
        </w:rPr>
        <w:tab/>
      </w:r>
      <w:r>
        <w:rPr>
          <w:highlight w:val="none"/>
        </w:rPr>
        <w:fldChar w:fldCharType="begin"/>
      </w:r>
      <w:r>
        <w:rPr>
          <w:highlight w:val="none"/>
        </w:rPr>
        <w:instrText xml:space="preserve"> PAGEREF _Toc10267 \h </w:instrText>
      </w:r>
      <w:r>
        <w:rPr>
          <w:highlight w:val="none"/>
        </w:rPr>
        <w:fldChar w:fldCharType="separate"/>
      </w:r>
      <w:r>
        <w:rPr>
          <w:highlight w:val="none"/>
        </w:rPr>
        <w:t>116</w:t>
      </w:r>
      <w:r>
        <w:rPr>
          <w:highlight w:val="none"/>
        </w:rPr>
        <w:fldChar w:fldCharType="end"/>
      </w:r>
      <w:r>
        <w:rPr>
          <w:rFonts w:hint="eastAsia" w:ascii="宋体" w:hAnsi="宋体" w:eastAsia="宋体" w:cs="宋体"/>
          <w:bCs/>
          <w:color w:val="auto"/>
          <w:szCs w:val="24"/>
          <w:highlight w:val="none"/>
        </w:rPr>
        <w:fldChar w:fldCharType="end"/>
      </w:r>
    </w:p>
    <w:p w14:paraId="271A340E">
      <w:pPr>
        <w:spacing w:line="240" w:lineRule="auto"/>
        <w:ind w:firstLine="0" w:firstLineChars="0"/>
        <w:jc w:val="center"/>
        <w:outlineLvl w:val="0"/>
        <w:rPr>
          <w:rFonts w:hint="eastAsia" w:ascii="宋体" w:hAnsi="宋体" w:eastAsia="宋体" w:cs="Times New Roman"/>
          <w:b/>
          <w:bCs/>
          <w:color w:val="auto"/>
          <w:sz w:val="32"/>
          <w:szCs w:val="32"/>
          <w:highlight w:val="none"/>
        </w:rPr>
      </w:pPr>
      <w:bookmarkStart w:id="2" w:name="_Toc2152"/>
      <w:r>
        <w:rPr>
          <w:rFonts w:hint="eastAsia" w:ascii="宋体" w:hAnsi="宋体" w:eastAsia="宋体" w:cs="宋体"/>
          <w:bCs/>
          <w:color w:val="auto"/>
          <w:szCs w:val="24"/>
          <w:highlight w:val="none"/>
        </w:rPr>
        <w:fldChar w:fldCharType="end"/>
      </w:r>
      <w:bookmarkStart w:id="3" w:name="_Toc444266717"/>
      <w:bookmarkStart w:id="4" w:name="_Toc31062"/>
      <w:r>
        <w:rPr>
          <w:rFonts w:hint="eastAsia" w:ascii="宋体" w:hAnsi="宋体" w:eastAsia="宋体" w:cs="Times New Roman"/>
          <w:b/>
          <w:bCs/>
          <w:color w:val="auto"/>
          <w:sz w:val="32"/>
          <w:szCs w:val="32"/>
          <w:highlight w:val="none"/>
        </w:rPr>
        <w:br w:type="page"/>
      </w:r>
      <w:r>
        <w:rPr>
          <w:rFonts w:hint="eastAsia" w:ascii="宋体" w:hAnsi="宋体" w:eastAsia="宋体" w:cs="Times New Roman"/>
          <w:b/>
          <w:bCs/>
          <w:color w:val="auto"/>
          <w:sz w:val="32"/>
          <w:szCs w:val="32"/>
          <w:highlight w:val="none"/>
        </w:rPr>
        <w:t>第一</w:t>
      </w:r>
      <w:r>
        <w:rPr>
          <w:rFonts w:hint="eastAsia" w:ascii="宋体" w:hAnsi="宋体" w:eastAsia="宋体" w:cs="Times New Roman"/>
          <w:b/>
          <w:bCs/>
          <w:color w:val="auto"/>
          <w:sz w:val="32"/>
          <w:szCs w:val="32"/>
          <w:highlight w:val="none"/>
          <w:lang w:val="en-US" w:eastAsia="zh-CN"/>
        </w:rPr>
        <w:t>章</w:t>
      </w:r>
      <w:r>
        <w:rPr>
          <w:rFonts w:hint="eastAsia" w:ascii="宋体" w:hAnsi="宋体" w:eastAsia="宋体" w:cs="Times New Roman"/>
          <w:b/>
          <w:bCs/>
          <w:color w:val="auto"/>
          <w:sz w:val="32"/>
          <w:szCs w:val="32"/>
          <w:highlight w:val="none"/>
        </w:rPr>
        <w:t xml:space="preserve">  </w:t>
      </w:r>
      <w:bookmarkEnd w:id="3"/>
      <w:r>
        <w:rPr>
          <w:rFonts w:hint="eastAsia" w:ascii="宋体" w:hAnsi="宋体" w:eastAsia="宋体" w:cs="Times New Roman"/>
          <w:b/>
          <w:bCs/>
          <w:color w:val="auto"/>
          <w:sz w:val="32"/>
          <w:szCs w:val="32"/>
          <w:highlight w:val="none"/>
        </w:rPr>
        <w:t>招标公告</w:t>
      </w:r>
      <w:bookmarkEnd w:id="2"/>
      <w:bookmarkEnd w:id="4"/>
    </w:p>
    <w:p w14:paraId="76314032">
      <w:pPr>
        <w:snapToGrid w:val="0"/>
        <w:ind w:firstLine="0" w:firstLineChars="0"/>
        <w:jc w:val="left"/>
        <w:rPr>
          <w:rFonts w:ascii="宋体" w:hAnsi="宋体" w:eastAsia="宋体" w:cs="宋体"/>
          <w:color w:val="auto"/>
          <w:sz w:val="24"/>
          <w:highlight w:val="none"/>
        </w:rPr>
      </w:pPr>
    </w:p>
    <w:p w14:paraId="18FFEC99">
      <w:pPr>
        <w:pStyle w:val="3"/>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bCs/>
          <w:smallCaps w:val="0"/>
          <w:color w:val="auto"/>
          <w:kern w:val="2"/>
          <w:sz w:val="24"/>
          <w:szCs w:val="24"/>
          <w:highlight w:val="none"/>
        </w:rPr>
      </w:pPr>
      <w:bookmarkStart w:id="5" w:name="_Toc5437"/>
      <w:bookmarkStart w:id="6" w:name="_Toc444266718"/>
      <w:bookmarkStart w:id="7" w:name="_Toc6464"/>
      <w:bookmarkStart w:id="8" w:name="_Toc20083"/>
      <w:r>
        <w:rPr>
          <w:rFonts w:hint="eastAsia" w:ascii="宋体" w:hAnsi="宋体" w:eastAsia="宋体" w:cs="宋体"/>
          <w:bCs/>
          <w:smallCaps w:val="0"/>
          <w:color w:val="auto"/>
          <w:kern w:val="2"/>
          <w:sz w:val="24"/>
          <w:szCs w:val="24"/>
          <w:highlight w:val="none"/>
        </w:rPr>
        <w:t>1.1项目概况</w:t>
      </w:r>
      <w:bookmarkEnd w:id="5"/>
      <w:bookmarkEnd w:id="6"/>
      <w:bookmarkEnd w:id="7"/>
      <w:bookmarkEnd w:id="8"/>
    </w:p>
    <w:p w14:paraId="22AAA6E7">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color w:val="auto"/>
          <w:szCs w:val="21"/>
          <w:highlight w:val="none"/>
          <w:u w:val="single"/>
          <w:lang w:val="en-US" w:eastAsia="zh-CN"/>
        </w:rPr>
      </w:pPr>
      <w:bookmarkStart w:id="9" w:name="_Toc22591"/>
      <w:bookmarkStart w:id="10" w:name="_Toc29858"/>
      <w:bookmarkStart w:id="11" w:name="_Toc14519"/>
      <w:r>
        <w:rPr>
          <w:rFonts w:hint="eastAsia" w:ascii="宋体" w:hAnsi="宋体" w:cs="宋体"/>
          <w:color w:val="auto"/>
          <w:szCs w:val="21"/>
          <w:highlight w:val="none"/>
          <w:u w:val="single"/>
          <w:lang w:val="en-US" w:eastAsia="zh-CN"/>
        </w:rPr>
        <w:t>瑞云府项目位于深圳市坪山区碧岭街道龙勤路与沙湖复兴路交汇处西北侧。总用地面积36026.37㎡，容积率为4.75，总建筑面积222994.65㎡，计规定容积率建筑面积148882.00㎡，其中：住宅136552.00㎡（可售住宅112702.00㎡，保障房23700.00㎡，消防控制室150.00㎡），商业3000㎡，公共配套9330.00㎡（幼儿园3500㎡，物业服务用房300㎡，邮政支局2000㎡，文化活动室1500㎡，社区老年人日间照料中心2000㎡，社区警务室30㎡）。</w:t>
      </w:r>
    </w:p>
    <w:p w14:paraId="413B9DB6">
      <w:pPr>
        <w:pStyle w:val="3"/>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1.2</w:t>
      </w:r>
      <w:r>
        <w:rPr>
          <w:rFonts w:hint="eastAsia" w:ascii="宋体" w:hAnsi="宋体" w:eastAsia="宋体" w:cs="宋体"/>
          <w:color w:val="auto"/>
          <w:sz w:val="24"/>
          <w:szCs w:val="24"/>
          <w:highlight w:val="none"/>
          <w:lang w:val="en-US" w:eastAsia="zh-CN"/>
        </w:rPr>
        <w:t>招标范围</w:t>
      </w:r>
      <w:bookmarkEnd w:id="9"/>
      <w:bookmarkEnd w:id="10"/>
      <w:bookmarkEnd w:id="11"/>
    </w:p>
    <w:p w14:paraId="0CA1C07A">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宋体" w:hAnsi="宋体" w:cs="宋体"/>
          <w:color w:val="auto"/>
          <w:szCs w:val="21"/>
          <w:highlight w:val="none"/>
          <w:u w:val="single"/>
          <w:lang w:val="en-US" w:eastAsia="zh-CN"/>
        </w:rPr>
      </w:pPr>
      <w:bookmarkStart w:id="12" w:name="_Toc17031"/>
      <w:r>
        <w:rPr>
          <w:rFonts w:hint="eastAsia" w:ascii="宋体" w:hAnsi="宋体" w:cs="宋体"/>
          <w:color w:val="auto"/>
          <w:szCs w:val="21"/>
          <w:highlight w:val="none"/>
          <w:u w:val="single"/>
          <w:lang w:val="en-US" w:eastAsia="zh-CN"/>
        </w:rPr>
        <w:t>瑞云府项目架空层软装、儿童游乐设施、运动器械供货及安装</w:t>
      </w:r>
      <w:r>
        <w:rPr>
          <w:rFonts w:hint="eastAsia" w:ascii="宋体" w:hAnsi="宋体" w:eastAsia="宋体" w:cs="宋体"/>
          <w:color w:val="auto"/>
          <w:szCs w:val="21"/>
          <w:highlight w:val="none"/>
          <w:u w:val="single"/>
          <w:lang w:val="en-US" w:eastAsia="zh-CN"/>
        </w:rPr>
        <w:t>招标范围</w:t>
      </w:r>
      <w:r>
        <w:rPr>
          <w:rFonts w:hint="eastAsia" w:ascii="宋体" w:hAnsi="宋体" w:cs="宋体"/>
          <w:color w:val="auto"/>
          <w:szCs w:val="21"/>
          <w:highlight w:val="none"/>
          <w:u w:val="single"/>
          <w:lang w:val="en-US" w:eastAsia="zh-CN"/>
        </w:rPr>
        <w:t>为8栋塔楼首层大堂和架空层的软装、儿童游乐设施、运动器械等设施的供货及安装，包括但不限于供货、安装、调试、检测、试运行、验收、成品保护、开荒保洁、垃圾清理和外运、水电费用、安全文明施工费、措施费、资料归档移交、培训、维护保养、保修以及施工过程中对外部有关部门沟通协调等各项服务。</w:t>
      </w:r>
    </w:p>
    <w:p w14:paraId="122E35CF">
      <w:pPr>
        <w:pStyle w:val="62"/>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default" w:ascii="宋体" w:hAnsi="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备注：</w:t>
      </w:r>
      <w:bookmarkEnd w:id="12"/>
      <w:bookmarkStart w:id="13" w:name="_Toc22077"/>
      <w:bookmarkStart w:id="14" w:name="_Toc27704"/>
      <w:bookmarkStart w:id="15" w:name="_Toc17158"/>
      <w:r>
        <w:rPr>
          <w:rFonts w:hint="eastAsia" w:ascii="宋体" w:hAnsi="宋体" w:cs="宋体"/>
          <w:color w:val="auto"/>
          <w:szCs w:val="21"/>
          <w:highlight w:val="none"/>
          <w:u w:val="single"/>
          <w:lang w:val="en-US" w:eastAsia="zh-CN"/>
        </w:rPr>
        <w:t>物料清单详见技术要求附件，具体规格及数量以工程量清单、技术要求为准。</w:t>
      </w:r>
    </w:p>
    <w:p w14:paraId="24B1AC26">
      <w:pPr>
        <w:pStyle w:val="3"/>
        <w:pageBreakBefore w:val="0"/>
        <w:kinsoku/>
        <w:wordWrap/>
        <w:overflowPunct/>
        <w:topLinePunct w:val="0"/>
        <w:bidi w:val="0"/>
        <w:spacing w:before="0" w:after="0"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bookmarkStart w:id="16" w:name="_Toc444266720"/>
      <w:r>
        <w:rPr>
          <w:rFonts w:hint="eastAsia" w:ascii="宋体" w:hAnsi="宋体" w:eastAsia="宋体" w:cs="宋体"/>
          <w:color w:val="auto"/>
          <w:sz w:val="24"/>
          <w:szCs w:val="24"/>
          <w:highlight w:val="none"/>
          <w:lang w:val="en-US" w:eastAsia="zh-CN"/>
        </w:rPr>
        <w:t>供货期</w:t>
      </w:r>
      <w:r>
        <w:rPr>
          <w:rFonts w:hint="eastAsia" w:ascii="宋体" w:hAnsi="宋体" w:eastAsia="宋体" w:cs="宋体"/>
          <w:color w:val="auto"/>
          <w:sz w:val="24"/>
          <w:szCs w:val="24"/>
          <w:highlight w:val="none"/>
        </w:rPr>
        <w:t>要求</w:t>
      </w:r>
      <w:bookmarkEnd w:id="13"/>
      <w:bookmarkEnd w:id="14"/>
      <w:bookmarkEnd w:id="15"/>
      <w:bookmarkEnd w:id="16"/>
    </w:p>
    <w:p w14:paraId="0A65419C">
      <w:pPr>
        <w:pageBreakBefore w:val="0"/>
        <w:kinsoku/>
        <w:wordWrap/>
        <w:overflowPunct/>
        <w:topLinePunct w:val="0"/>
        <w:bidi w:val="0"/>
        <w:snapToGrid/>
        <w:spacing w:line="360" w:lineRule="auto"/>
        <w:ind w:firstLine="480" w:firstLineChars="200"/>
        <w:jc w:val="both"/>
        <w:textAlignment w:val="auto"/>
        <w:outlineLvl w:val="9"/>
        <w:rPr>
          <w:rFonts w:hint="eastAsia" w:ascii="宋体" w:hAnsi="宋体" w:eastAsia="宋体" w:cs="宋体"/>
          <w:color w:val="auto"/>
          <w:sz w:val="24"/>
          <w:szCs w:val="24"/>
          <w:highlight w:val="none"/>
          <w:u w:val="single"/>
          <w:lang w:eastAsia="zh-CN"/>
        </w:rPr>
      </w:pPr>
      <w:bookmarkStart w:id="17" w:name="_Toc3538"/>
      <w:bookmarkStart w:id="18" w:name="_Toc9665"/>
      <w:bookmarkStart w:id="19" w:name="_Toc2487"/>
      <w:r>
        <w:rPr>
          <w:rFonts w:hint="eastAsia" w:ascii="宋体" w:hAnsi="宋体" w:eastAsia="宋体" w:cs="宋体"/>
          <w:color w:val="auto"/>
          <w:sz w:val="24"/>
          <w:szCs w:val="24"/>
          <w:highlight w:val="none"/>
          <w:u w:val="single"/>
          <w:lang w:val="en-US" w:eastAsia="zh-CN"/>
        </w:rPr>
        <w:t>总周期45</w:t>
      </w:r>
      <w:r>
        <w:rPr>
          <w:rFonts w:hint="eastAsia" w:ascii="宋体" w:hAnsi="宋体" w:eastAsia="宋体" w:cs="宋体"/>
          <w:color w:val="auto"/>
          <w:sz w:val="24"/>
          <w:szCs w:val="24"/>
          <w:highlight w:val="none"/>
          <w:u w:val="single"/>
        </w:rPr>
        <w:t>日历天</w:t>
      </w:r>
      <w:r>
        <w:rPr>
          <w:rFonts w:hint="eastAsia" w:ascii="宋体" w:hAnsi="宋体" w:eastAsia="宋体" w:cs="宋体"/>
          <w:color w:val="auto"/>
          <w:sz w:val="24"/>
          <w:szCs w:val="24"/>
          <w:highlight w:val="none"/>
          <w:u w:val="single"/>
          <w:lang w:eastAsia="zh-CN"/>
        </w:rPr>
        <w:t>，具体供货时间以招标人书面签发的供货通知时间为准。</w:t>
      </w:r>
    </w:p>
    <w:p w14:paraId="22E428A3">
      <w:pPr>
        <w:pStyle w:val="3"/>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bookmarkEnd w:id="17"/>
      <w:bookmarkEnd w:id="18"/>
      <w:bookmarkStart w:id="20" w:name="_Toc29409"/>
      <w:bookmarkStart w:id="21" w:name="_Toc11120"/>
      <w:r>
        <w:rPr>
          <w:rFonts w:hint="eastAsia" w:ascii="宋体" w:hAnsi="宋体" w:eastAsia="宋体" w:cs="宋体"/>
          <w:color w:val="auto"/>
          <w:sz w:val="24"/>
          <w:szCs w:val="24"/>
          <w:highlight w:val="none"/>
        </w:rPr>
        <w:t>最高限</w:t>
      </w:r>
      <w:bookmarkEnd w:id="19"/>
      <w:bookmarkEnd w:id="20"/>
      <w:bookmarkEnd w:id="21"/>
      <w:r>
        <w:rPr>
          <w:rFonts w:hint="eastAsia" w:ascii="宋体" w:hAnsi="宋体" w:eastAsia="宋体" w:cs="宋体"/>
          <w:color w:val="auto"/>
          <w:sz w:val="24"/>
          <w:szCs w:val="24"/>
          <w:highlight w:val="none"/>
          <w:lang w:val="en-US" w:eastAsia="zh-CN"/>
        </w:rPr>
        <w:t>价</w:t>
      </w:r>
    </w:p>
    <w:p w14:paraId="22D88805">
      <w:pPr>
        <w:pageBreakBefore w:val="0"/>
        <w:kinsoku/>
        <w:wordWrap/>
        <w:overflowPunct/>
        <w:topLinePunct w:val="0"/>
        <w:bidi w:val="0"/>
        <w:snapToGrid/>
        <w:spacing w:line="360" w:lineRule="auto"/>
        <w:ind w:firstLine="480" w:firstLineChars="200"/>
        <w:jc w:val="both"/>
        <w:textAlignment w:val="auto"/>
        <w:outlineLvl w:val="9"/>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single"/>
          <w:lang w:val="en-US" w:eastAsia="zh-CN"/>
        </w:rPr>
        <w:t>最高限价（总价）为人民币438,235.60元。投标人含税投标总价不得超出最高报价，否则按废标处理。</w:t>
      </w:r>
    </w:p>
    <w:p w14:paraId="4FD4B5A2">
      <w:pPr>
        <w:pStyle w:val="3"/>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bookmarkStart w:id="22" w:name="_Toc32081"/>
      <w:bookmarkStart w:id="23" w:name="_Toc507"/>
      <w:bookmarkStart w:id="24" w:name="_Toc2979"/>
      <w:r>
        <w:rPr>
          <w:rFonts w:hint="eastAsia" w:ascii="宋体" w:hAnsi="宋体" w:eastAsia="宋体" w:cs="宋体"/>
          <w:color w:val="auto"/>
          <w:sz w:val="24"/>
          <w:szCs w:val="24"/>
          <w:highlight w:val="none"/>
          <w:lang w:val="en-US" w:eastAsia="zh-CN"/>
        </w:rPr>
        <w:t>1.6招标文件的获取方式</w:t>
      </w:r>
      <w:bookmarkEnd w:id="22"/>
      <w:bookmarkEnd w:id="23"/>
      <w:bookmarkEnd w:id="24"/>
    </w:p>
    <w:p w14:paraId="3962F48A">
      <w:pPr>
        <w:pageBreakBefore w:val="0"/>
        <w:kinsoku/>
        <w:wordWrap/>
        <w:overflowPunct/>
        <w:topLinePunct w:val="0"/>
        <w:bidi w:val="0"/>
        <w:snapToGrid/>
        <w:spacing w:line="360" w:lineRule="auto"/>
        <w:ind w:firstLine="480" w:firstLineChars="200"/>
        <w:jc w:val="both"/>
        <w:textAlignment w:val="auto"/>
        <w:outlineLvl w:val="9"/>
        <w:rPr>
          <w:rFonts w:hint="eastAsia" w:ascii="宋体" w:hAnsi="宋体" w:eastAsia="宋体" w:cs="宋体"/>
          <w:b w:val="0"/>
          <w:smallCaps w:val="0"/>
          <w:color w:val="000000"/>
          <w:kern w:val="0"/>
          <w:sz w:val="24"/>
          <w:szCs w:val="24"/>
          <w:highlight w:val="none"/>
          <w:u w:val="single"/>
          <w:lang w:val="en-US" w:eastAsia="zh-CN" w:bidi="ar-SA"/>
        </w:rPr>
      </w:pPr>
      <w:bookmarkStart w:id="25" w:name="_Toc31897"/>
      <w:r>
        <w:rPr>
          <w:rFonts w:hint="eastAsia" w:ascii="宋体" w:hAnsi="宋体" w:eastAsia="宋体" w:cs="宋体"/>
          <w:b w:val="0"/>
          <w:smallCaps w:val="0"/>
          <w:color w:val="000000"/>
          <w:kern w:val="0"/>
          <w:sz w:val="24"/>
          <w:szCs w:val="24"/>
          <w:highlight w:val="none"/>
          <w:u w:val="single"/>
          <w:lang w:val="en-US" w:eastAsia="zh-CN" w:bidi="ar-SA"/>
        </w:rPr>
        <w:t>请符合资格的投标人在</w:t>
      </w:r>
      <w:r>
        <w:rPr>
          <w:rFonts w:hint="eastAsia" w:ascii="宋体" w:hAnsi="宋体" w:eastAsia="宋体" w:cs="宋体"/>
          <w:b/>
          <w:bCs/>
          <w:smallCaps w:val="0"/>
          <w:color w:val="000000"/>
          <w:kern w:val="0"/>
          <w:sz w:val="24"/>
          <w:szCs w:val="24"/>
          <w:highlight w:val="none"/>
          <w:u w:val="single"/>
          <w:lang w:val="en-US" w:eastAsia="zh-CN" w:bidi="ar-SA"/>
        </w:rPr>
        <w:t>深圳阳光采购平台（https://ygcg.szexgrp.com/jyxx）→采购公告→招标公告附件</w:t>
      </w:r>
      <w:r>
        <w:rPr>
          <w:rFonts w:hint="eastAsia" w:ascii="宋体" w:hAnsi="宋体" w:eastAsia="宋体" w:cs="宋体"/>
          <w:b w:val="0"/>
          <w:smallCaps w:val="0"/>
          <w:color w:val="000000"/>
          <w:kern w:val="0"/>
          <w:sz w:val="24"/>
          <w:szCs w:val="24"/>
          <w:highlight w:val="none"/>
          <w:u w:val="single"/>
          <w:lang w:val="en-US" w:eastAsia="zh-CN" w:bidi="ar-SA"/>
        </w:rPr>
        <w:t>处下载招标文件或联系招标人接收电子招标文件。</w:t>
      </w:r>
    </w:p>
    <w:p w14:paraId="4C4AB5FB">
      <w:pPr>
        <w:pStyle w:val="3"/>
        <w:pageBreakBefore w:val="0"/>
        <w:kinsoku/>
        <w:wordWrap/>
        <w:overflowPunct/>
        <w:topLinePunct w:val="0"/>
        <w:bidi w:val="0"/>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bookmarkStart w:id="26" w:name="_Toc2195"/>
      <w:bookmarkStart w:id="27" w:name="_Toc28026"/>
      <w:r>
        <w:rPr>
          <w:rFonts w:hint="eastAsia" w:ascii="宋体" w:hAnsi="宋体" w:eastAsia="宋体" w:cs="宋体"/>
          <w:color w:val="auto"/>
          <w:sz w:val="24"/>
          <w:szCs w:val="24"/>
          <w:highlight w:val="none"/>
          <w:lang w:val="en-US" w:eastAsia="zh-CN"/>
        </w:rPr>
        <w:t>1.7</w:t>
      </w:r>
      <w:r>
        <w:rPr>
          <w:rFonts w:hint="eastAsia" w:ascii="宋体" w:hAnsi="宋体" w:eastAsia="宋体" w:cs="宋体"/>
          <w:color w:val="auto"/>
          <w:sz w:val="24"/>
          <w:szCs w:val="24"/>
          <w:highlight w:val="none"/>
        </w:rPr>
        <w:t>报价方式、内容、截止时间</w:t>
      </w:r>
      <w:bookmarkEnd w:id="25"/>
      <w:bookmarkEnd w:id="26"/>
      <w:bookmarkEnd w:id="27"/>
      <w:bookmarkStart w:id="455" w:name="_GoBack"/>
      <w:bookmarkEnd w:id="455"/>
    </w:p>
    <w:p w14:paraId="045B026E">
      <w:pPr>
        <w:pageBreakBefore w:val="0"/>
        <w:kinsoku/>
        <w:wordWrap/>
        <w:overflowPunct/>
        <w:topLinePunct w:val="0"/>
        <w:bidi w:val="0"/>
        <w:snapToGrid/>
        <w:spacing w:line="360" w:lineRule="auto"/>
        <w:ind w:firstLine="480" w:firstLineChars="200"/>
        <w:jc w:val="both"/>
        <w:textAlignment w:val="auto"/>
        <w:rPr>
          <w:rFonts w:hint="eastAsia" w:ascii="宋体" w:hAnsi="宋体" w:eastAsia="宋体" w:cs="宋体"/>
          <w:b/>
          <w:bCs/>
          <w:color w:val="auto"/>
          <w:sz w:val="24"/>
          <w:szCs w:val="24"/>
          <w:highlight w:val="none"/>
        </w:rPr>
      </w:pPr>
      <w:bookmarkStart w:id="28" w:name="_Toc444266722"/>
      <w:r>
        <w:rPr>
          <w:rFonts w:hint="eastAsia" w:ascii="宋体" w:hAnsi="宋体" w:eastAsia="宋体" w:cs="宋体"/>
          <w:color w:val="auto"/>
          <w:sz w:val="24"/>
          <w:szCs w:val="24"/>
          <w:highlight w:val="none"/>
        </w:rPr>
        <w:t>投标文件为纸质文档，必须在</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报价截止时间前送至或快递至</w:t>
      </w:r>
      <w:r>
        <w:rPr>
          <w:rFonts w:hint="eastAsia" w:ascii="宋体" w:hAnsi="宋体" w:eastAsia="宋体" w:cs="宋体"/>
          <w:color w:val="auto"/>
          <w:sz w:val="24"/>
          <w:szCs w:val="24"/>
          <w:highlight w:val="none"/>
          <w:lang w:eastAsia="zh-CN"/>
        </w:rPr>
        <w:t>深圳市高新健置业开发有限公司。</w:t>
      </w:r>
      <w:r>
        <w:rPr>
          <w:rFonts w:hint="eastAsia" w:ascii="宋体" w:hAnsi="宋体" w:eastAsia="宋体" w:cs="宋体"/>
          <w:b/>
          <w:bCs/>
          <w:color w:val="auto"/>
          <w:sz w:val="24"/>
          <w:szCs w:val="24"/>
          <w:highlight w:val="none"/>
          <w:lang w:eastAsia="zh-CN"/>
        </w:rPr>
        <w:t>快递以签收时间为准，逾期送达的</w:t>
      </w:r>
      <w:r>
        <w:rPr>
          <w:rFonts w:hint="eastAsia" w:ascii="宋体" w:hAnsi="宋体" w:eastAsia="宋体" w:cs="宋体"/>
          <w:b/>
          <w:bCs/>
          <w:color w:val="auto"/>
          <w:sz w:val="24"/>
          <w:szCs w:val="24"/>
          <w:highlight w:val="none"/>
        </w:rPr>
        <w:t>投标文件</w:t>
      </w:r>
      <w:r>
        <w:rPr>
          <w:rFonts w:hint="eastAsia" w:ascii="宋体" w:hAnsi="宋体" w:eastAsia="宋体" w:cs="宋体"/>
          <w:b/>
          <w:bCs/>
          <w:color w:val="auto"/>
          <w:sz w:val="24"/>
          <w:szCs w:val="24"/>
          <w:highlight w:val="none"/>
          <w:lang w:eastAsia="zh-CN"/>
        </w:rPr>
        <w:t>将不予接受。</w:t>
      </w:r>
    </w:p>
    <w:p w14:paraId="7F2C2352">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纸质文件递交</w:t>
      </w:r>
      <w:r>
        <w:rPr>
          <w:rFonts w:hint="eastAsia" w:ascii="宋体" w:hAnsi="宋体" w:eastAsia="宋体" w:cs="宋体"/>
          <w:b/>
          <w:bCs/>
          <w:color w:val="auto"/>
          <w:sz w:val="24"/>
          <w:szCs w:val="24"/>
          <w:highlight w:val="none"/>
        </w:rPr>
        <w:t>地址：</w:t>
      </w:r>
      <w:r>
        <w:rPr>
          <w:rFonts w:hint="eastAsia" w:ascii="宋体" w:hAnsi="宋体" w:eastAsia="宋体" w:cs="宋体"/>
          <w:b/>
          <w:bCs/>
          <w:color w:val="auto"/>
          <w:sz w:val="24"/>
          <w:szCs w:val="24"/>
          <w:highlight w:val="none"/>
          <w:u w:val="single"/>
        </w:rPr>
        <w:t>深圳市坪山区坪山街道六联社区坪山大道2009号城投芯时代大厦501</w:t>
      </w:r>
      <w:r>
        <w:rPr>
          <w:rFonts w:hint="eastAsia" w:ascii="宋体" w:hAnsi="宋体" w:eastAsia="宋体" w:cs="宋体"/>
          <w:color w:val="auto"/>
          <w:sz w:val="24"/>
          <w:szCs w:val="24"/>
          <w:highlight w:val="none"/>
          <w:lang w:val="en-US" w:eastAsia="zh-CN"/>
        </w:rPr>
        <w:t xml:space="preserve"> </w:t>
      </w:r>
    </w:p>
    <w:p w14:paraId="2868F8B0">
      <w:pPr>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签收人：</w:t>
      </w:r>
      <w:r>
        <w:rPr>
          <w:rFonts w:hint="eastAsia" w:ascii="宋体" w:hAnsi="宋体" w:eastAsia="宋体" w:cs="宋体"/>
          <w:color w:val="auto"/>
          <w:sz w:val="24"/>
          <w:szCs w:val="24"/>
          <w:highlight w:val="none"/>
          <w:u w:val="single"/>
          <w:lang w:val="en-US" w:eastAsia="zh-CN"/>
        </w:rPr>
        <w:t>李工</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b/>
          <w:bCs/>
          <w:color w:val="auto"/>
          <w:sz w:val="24"/>
          <w:szCs w:val="24"/>
          <w:highlight w:val="none"/>
        </w:rPr>
        <w:t>联系电话</w:t>
      </w:r>
      <w:r>
        <w:rPr>
          <w:rFonts w:hint="eastAsia" w:ascii="宋体" w:hAnsi="宋体" w:eastAsia="宋体" w:cs="宋体"/>
          <w:b/>
          <w:bCs/>
          <w:color w:val="auto"/>
          <w:sz w:val="24"/>
          <w:szCs w:val="24"/>
          <w:highlight w:val="none"/>
          <w:lang w:eastAsia="zh-CN"/>
        </w:rPr>
        <w:t>：</w:t>
      </w:r>
      <w:r>
        <w:rPr>
          <w:rFonts w:hint="eastAsia" w:ascii="宋体" w:hAnsi="宋体" w:eastAsia="宋体" w:cs="华文仿宋"/>
          <w:color w:val="auto"/>
          <w:sz w:val="24"/>
          <w:highlight w:val="none"/>
          <w:u w:val="single"/>
          <w:lang w:val="en-US" w:eastAsia="zh-CN"/>
        </w:rPr>
        <w:t>0755-89668593</w:t>
      </w:r>
    </w:p>
    <w:p w14:paraId="19D87DE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投标报价截止时间：</w:t>
      </w:r>
      <w:r>
        <w:rPr>
          <w:rFonts w:hint="eastAsia" w:ascii="宋体" w:hAnsi="宋体" w:eastAsia="宋体" w:cs="华文仿宋"/>
          <w:b/>
          <w:bCs/>
          <w:color w:val="auto"/>
          <w:sz w:val="24"/>
          <w:highlight w:val="none"/>
          <w:u w:val="single"/>
          <w:lang w:eastAsia="zh-CN"/>
        </w:rPr>
        <w:t>202</w:t>
      </w:r>
      <w:r>
        <w:rPr>
          <w:rFonts w:hint="eastAsia" w:ascii="宋体" w:hAnsi="宋体" w:eastAsia="宋体" w:cs="华文仿宋"/>
          <w:b/>
          <w:bCs/>
          <w:color w:val="auto"/>
          <w:sz w:val="24"/>
          <w:highlight w:val="none"/>
          <w:u w:val="single"/>
          <w:lang w:val="en-US" w:eastAsia="zh-CN"/>
        </w:rPr>
        <w:t xml:space="preserve">6 </w:t>
      </w:r>
      <w:r>
        <w:rPr>
          <w:rFonts w:hint="eastAsia" w:ascii="宋体" w:hAnsi="宋体" w:eastAsia="宋体" w:cs="华文仿宋"/>
          <w:b/>
          <w:bCs/>
          <w:color w:val="auto"/>
          <w:sz w:val="24"/>
          <w:highlight w:val="none"/>
        </w:rPr>
        <w:t>年</w:t>
      </w:r>
      <w:r>
        <w:rPr>
          <w:rFonts w:hint="eastAsia" w:ascii="宋体" w:hAnsi="宋体" w:eastAsia="宋体" w:cs="华文仿宋"/>
          <w:b/>
          <w:bCs/>
          <w:color w:val="auto"/>
          <w:sz w:val="24"/>
          <w:highlight w:val="none"/>
          <w:u w:val="single"/>
          <w:lang w:val="en-US" w:eastAsia="zh-CN"/>
        </w:rPr>
        <w:t xml:space="preserve"> 9 </w:t>
      </w:r>
      <w:r>
        <w:rPr>
          <w:rFonts w:hint="eastAsia" w:ascii="宋体" w:hAnsi="宋体" w:eastAsia="宋体" w:cs="华文仿宋"/>
          <w:b/>
          <w:bCs/>
          <w:color w:val="auto"/>
          <w:sz w:val="24"/>
          <w:highlight w:val="none"/>
        </w:rPr>
        <w:t>月</w:t>
      </w:r>
      <w:r>
        <w:rPr>
          <w:rFonts w:hint="eastAsia" w:ascii="宋体" w:hAnsi="宋体" w:eastAsia="宋体" w:cs="华文仿宋"/>
          <w:b/>
          <w:bCs/>
          <w:color w:val="auto"/>
          <w:sz w:val="24"/>
          <w:highlight w:val="none"/>
          <w:u w:val="single"/>
          <w:lang w:val="en-US" w:eastAsia="zh-CN"/>
        </w:rPr>
        <w:t xml:space="preserve"> 22 </w:t>
      </w:r>
      <w:r>
        <w:rPr>
          <w:rFonts w:hint="eastAsia" w:ascii="宋体" w:hAnsi="宋体" w:eastAsia="宋体" w:cs="华文仿宋"/>
          <w:b/>
          <w:bCs/>
          <w:color w:val="auto"/>
          <w:sz w:val="24"/>
          <w:highlight w:val="none"/>
        </w:rPr>
        <w:t>日</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具体时间</w:t>
      </w:r>
      <w:r>
        <w:rPr>
          <w:rFonts w:hint="eastAsia" w:ascii="宋体" w:hAnsi="宋体" w:eastAsia="宋体" w:cs="宋体"/>
          <w:b/>
          <w:bCs/>
          <w:color w:val="auto"/>
          <w:sz w:val="24"/>
          <w:szCs w:val="24"/>
          <w:highlight w:val="none"/>
        </w:rPr>
        <w:t>以</w:t>
      </w:r>
      <w:r>
        <w:rPr>
          <w:rFonts w:hint="eastAsia" w:ascii="宋体" w:hAnsi="宋体" w:eastAsia="宋体" w:cs="宋体"/>
          <w:b/>
          <w:bCs/>
          <w:color w:val="auto"/>
          <w:sz w:val="24"/>
          <w:szCs w:val="24"/>
          <w:highlight w:val="none"/>
          <w:lang w:val="en-US" w:eastAsia="zh-CN"/>
        </w:rPr>
        <w:t>深圳阳光采购平台</w:t>
      </w:r>
      <w:r>
        <w:rPr>
          <w:rFonts w:hint="eastAsia" w:ascii="宋体" w:hAnsi="宋体" w:eastAsia="宋体" w:cs="宋体"/>
          <w:b/>
          <w:bCs/>
          <w:color w:val="auto"/>
          <w:sz w:val="24"/>
          <w:szCs w:val="24"/>
          <w:highlight w:val="none"/>
        </w:rPr>
        <w:t>公布时间为准）。</w:t>
      </w:r>
    </w:p>
    <w:p w14:paraId="41E504E5">
      <w:pPr>
        <w:pStyle w:val="3"/>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b/>
          <w:bCs w:val="0"/>
          <w:color w:val="auto"/>
          <w:sz w:val="24"/>
          <w:szCs w:val="24"/>
          <w:highlight w:val="none"/>
        </w:rPr>
      </w:pPr>
      <w:bookmarkStart w:id="29" w:name="_Toc32276"/>
      <w:bookmarkStart w:id="30" w:name="_Toc18738"/>
      <w:bookmarkStart w:id="31" w:name="_Toc2066"/>
      <w:r>
        <w:rPr>
          <w:rFonts w:hint="eastAsia" w:ascii="宋体" w:hAnsi="宋体" w:eastAsia="宋体" w:cs="宋体"/>
          <w:b/>
          <w:bCs w:val="0"/>
          <w:color w:val="auto"/>
          <w:sz w:val="24"/>
          <w:szCs w:val="24"/>
          <w:highlight w:val="none"/>
        </w:rPr>
        <w:t>1.</w:t>
      </w:r>
      <w:r>
        <w:rPr>
          <w:rFonts w:hint="eastAsia" w:ascii="宋体" w:hAnsi="宋体" w:eastAsia="宋体" w:cs="宋体"/>
          <w:b/>
          <w:bCs w:val="0"/>
          <w:color w:val="auto"/>
          <w:sz w:val="24"/>
          <w:szCs w:val="24"/>
          <w:highlight w:val="none"/>
          <w:lang w:val="en-US" w:eastAsia="zh-CN"/>
        </w:rPr>
        <w:t>8投标人</w:t>
      </w:r>
      <w:r>
        <w:rPr>
          <w:rFonts w:hint="eastAsia" w:ascii="宋体" w:hAnsi="宋体" w:eastAsia="宋体" w:cs="宋体"/>
          <w:b/>
          <w:bCs w:val="0"/>
          <w:color w:val="auto"/>
          <w:sz w:val="24"/>
          <w:szCs w:val="24"/>
          <w:highlight w:val="none"/>
        </w:rPr>
        <w:t>资格要求</w:t>
      </w:r>
      <w:bookmarkEnd w:id="28"/>
      <w:bookmarkEnd w:id="29"/>
      <w:bookmarkEnd w:id="30"/>
      <w:bookmarkEnd w:id="31"/>
    </w:p>
    <w:p w14:paraId="3EDF511F">
      <w:pPr>
        <w:pStyle w:val="19"/>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jc w:val="both"/>
        <w:textAlignment w:val="auto"/>
        <w:rPr>
          <w:rFonts w:hint="eastAsia" w:ascii="宋体" w:hAnsi="宋体" w:eastAsia="宋体" w:cs="宋体"/>
          <w:b/>
          <w:bCs w:val="0"/>
          <w:color w:val="auto"/>
          <w:kern w:val="2"/>
          <w:sz w:val="24"/>
          <w:szCs w:val="24"/>
          <w:highlight w:val="none"/>
          <w:u w:val="single"/>
          <w:lang w:val="en-US" w:eastAsia="zh-CN" w:bidi="ar-SA"/>
        </w:rPr>
      </w:pPr>
      <w:r>
        <w:rPr>
          <w:rFonts w:hint="eastAsia" w:ascii="宋体" w:hAnsi="宋体" w:eastAsia="宋体" w:cs="宋体"/>
          <w:b/>
          <w:bCs w:val="0"/>
          <w:color w:val="auto"/>
          <w:kern w:val="2"/>
          <w:sz w:val="24"/>
          <w:szCs w:val="24"/>
          <w:highlight w:val="none"/>
          <w:u w:val="single"/>
          <w:lang w:val="en-US" w:eastAsia="zh-CN" w:bidi="ar-SA"/>
        </w:rPr>
        <w:t>（一）投标人必须是在中华人民共和国境内注册并合法运作的独立法人或合伙制企业或者其他组织（提供营业执照或事业单位法人证书或其他主体开办证明等合法经营的证明文件复印件并加盖投标人公章）；</w:t>
      </w:r>
    </w:p>
    <w:p w14:paraId="1928BB6C">
      <w:pPr>
        <w:pStyle w:val="19"/>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2" w:firstLineChars="200"/>
        <w:jc w:val="both"/>
        <w:textAlignment w:val="auto"/>
        <w:rPr>
          <w:rFonts w:hint="eastAsia" w:ascii="宋体" w:hAnsi="宋体" w:eastAsia="宋体" w:cs="宋体"/>
          <w:b/>
          <w:bCs w:val="0"/>
          <w:color w:val="auto"/>
          <w:sz w:val="24"/>
          <w:szCs w:val="24"/>
          <w:highlight w:val="none"/>
          <w:u w:val="single"/>
        </w:rPr>
      </w:pPr>
      <w:r>
        <w:rPr>
          <w:rFonts w:hint="eastAsia" w:ascii="宋体" w:hAnsi="宋体" w:eastAsia="宋体" w:cs="宋体"/>
          <w:b/>
          <w:bCs w:val="0"/>
          <w:color w:val="auto"/>
          <w:kern w:val="2"/>
          <w:sz w:val="24"/>
          <w:szCs w:val="24"/>
          <w:highlight w:val="none"/>
          <w:u w:val="single"/>
          <w:lang w:val="en-US" w:eastAsia="zh-CN" w:bidi="ar-SA"/>
        </w:rPr>
        <w:t>（二）不接受联合体投标</w:t>
      </w:r>
      <w:r>
        <w:rPr>
          <w:rFonts w:hint="eastAsia" w:ascii="宋体" w:hAnsi="宋体" w:eastAsia="宋体" w:cs="宋体"/>
          <w:b/>
          <w:bCs w:val="0"/>
          <w:color w:val="auto"/>
          <w:sz w:val="24"/>
          <w:szCs w:val="24"/>
          <w:highlight w:val="none"/>
          <w:u w:val="single"/>
        </w:rPr>
        <w:t>。</w:t>
      </w:r>
    </w:p>
    <w:p w14:paraId="1B7D0BCC">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14:paraId="2FC2DC27">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提供的证书（证件等）必须在有效期内。</w:t>
      </w:r>
    </w:p>
    <w:p w14:paraId="19EF1ED5">
      <w:pPr>
        <w:pageBreakBefore w:val="0"/>
        <w:kinsoku/>
        <w:wordWrap/>
        <w:overflowPunct/>
        <w:topLinePunct w:val="0"/>
        <w:bidi w:val="0"/>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在招投标活动（包括在相关项目）中因串通投标被暂停投标资格期间或涉嫌串通投标并正在接受主管部门调查的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不被接受。</w:t>
      </w:r>
    </w:p>
    <w:p w14:paraId="5E004495">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val="0"/>
          <w:color w:val="auto"/>
          <w:sz w:val="24"/>
          <w:szCs w:val="24"/>
          <w:highlight w:val="none"/>
          <w:lang w:eastAsia="zh-CN"/>
        </w:rPr>
      </w:pPr>
      <w:bookmarkStart w:id="32" w:name="_Toc29276"/>
      <w:bookmarkStart w:id="33" w:name="_Toc14847"/>
      <w:bookmarkStart w:id="34" w:name="_Toc7333"/>
      <w:bookmarkStart w:id="35" w:name="_Toc12699"/>
      <w:r>
        <w:rPr>
          <w:rFonts w:hint="eastAsia" w:ascii="宋体" w:hAnsi="宋体" w:eastAsia="宋体" w:cs="宋体"/>
          <w:color w:val="auto"/>
          <w:sz w:val="24"/>
          <w:szCs w:val="24"/>
          <w:highlight w:val="none"/>
        </w:rPr>
        <w:t>1.</w:t>
      </w:r>
      <w:bookmarkStart w:id="36" w:name="_Toc444266724"/>
      <w:r>
        <w:rPr>
          <w:rFonts w:hint="eastAsia" w:ascii="宋体" w:hAnsi="宋体" w:eastAsia="宋体" w:cs="宋体"/>
          <w:color w:val="auto"/>
          <w:sz w:val="24"/>
          <w:szCs w:val="24"/>
          <w:highlight w:val="none"/>
          <w:lang w:val="en-US" w:eastAsia="zh-CN"/>
        </w:rPr>
        <w:t>9</w:t>
      </w:r>
      <w:r>
        <w:rPr>
          <w:rFonts w:hint="eastAsia" w:ascii="宋体" w:hAnsi="宋体" w:eastAsia="宋体" w:cs="宋体"/>
          <w:b/>
          <w:bCs w:val="0"/>
          <w:color w:val="auto"/>
          <w:sz w:val="24"/>
          <w:szCs w:val="24"/>
          <w:highlight w:val="none"/>
          <w:lang w:val="en-US" w:eastAsia="zh-CN"/>
        </w:rPr>
        <w:t>投标</w:t>
      </w:r>
      <w:bookmarkEnd w:id="32"/>
      <w:bookmarkEnd w:id="33"/>
      <w:bookmarkEnd w:id="36"/>
      <w:r>
        <w:rPr>
          <w:rFonts w:hint="eastAsia" w:ascii="宋体" w:hAnsi="宋体" w:eastAsia="宋体" w:cs="宋体"/>
          <w:b/>
          <w:bCs w:val="0"/>
          <w:color w:val="auto"/>
          <w:sz w:val="24"/>
          <w:szCs w:val="24"/>
          <w:highlight w:val="none"/>
          <w:lang w:val="en-US" w:eastAsia="zh-CN"/>
        </w:rPr>
        <w:t>保证金</w:t>
      </w:r>
      <w:bookmarkEnd w:id="34"/>
      <w:bookmarkEnd w:id="35"/>
    </w:p>
    <w:p w14:paraId="4E041101">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2"/>
          <w:sz w:val="24"/>
          <w:szCs w:val="24"/>
          <w:highlight w:val="none"/>
          <w:u w:val="none"/>
          <w:lang w:val="en-US" w:eastAsia="zh-CN" w:bidi="ar-SA"/>
        </w:rPr>
        <w:t>（一）</w:t>
      </w:r>
      <w:r>
        <w:rPr>
          <w:rFonts w:hint="eastAsia" w:ascii="宋体" w:hAnsi="宋体" w:eastAsia="宋体" w:cs="宋体"/>
          <w:b/>
          <w:bCs/>
          <w:color w:val="auto"/>
          <w:sz w:val="24"/>
          <w:szCs w:val="24"/>
          <w:highlight w:val="none"/>
        </w:rPr>
        <w:t>投标</w:t>
      </w:r>
      <w:r>
        <w:rPr>
          <w:rFonts w:hint="eastAsia" w:ascii="宋体" w:hAnsi="宋体" w:eastAsia="宋体" w:cs="宋体"/>
          <w:b/>
          <w:bCs/>
          <w:color w:val="auto"/>
          <w:sz w:val="24"/>
          <w:szCs w:val="24"/>
          <w:highlight w:val="none"/>
          <w:lang w:val="en-US" w:eastAsia="zh-CN"/>
        </w:rPr>
        <w:t>保证金金额为</w:t>
      </w:r>
      <w:r>
        <w:rPr>
          <w:rFonts w:hint="eastAsia" w:ascii="宋体" w:hAnsi="宋体" w:eastAsia="宋体" w:cs="宋体"/>
          <w:b/>
          <w:bCs/>
          <w:color w:val="auto"/>
          <w:sz w:val="24"/>
          <w:szCs w:val="24"/>
          <w:highlight w:val="none"/>
        </w:rPr>
        <w:t>人民币</w:t>
      </w:r>
      <w:r>
        <w:rPr>
          <w:rFonts w:hint="eastAsia" w:ascii="宋体" w:hAnsi="宋体" w:eastAsia="宋体" w:cs="宋体"/>
          <w:b/>
          <w:bCs/>
          <w:color w:val="auto"/>
          <w:sz w:val="24"/>
          <w:szCs w:val="24"/>
          <w:highlight w:val="none"/>
          <w:u w:val="single"/>
          <w:lang w:val="en-US" w:eastAsia="zh-CN"/>
        </w:rPr>
        <w:t xml:space="preserve"> 8,000.00 </w:t>
      </w:r>
      <w:r>
        <w:rPr>
          <w:rFonts w:hint="eastAsia" w:ascii="宋体" w:hAnsi="宋体" w:eastAsia="宋体" w:cs="宋体"/>
          <w:b/>
          <w:bCs/>
          <w:color w:val="auto"/>
          <w:sz w:val="24"/>
          <w:szCs w:val="24"/>
          <w:highlight w:val="none"/>
        </w:rPr>
        <w:t>元。</w:t>
      </w:r>
    </w:p>
    <w:p w14:paraId="3ED11323">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bCs/>
          <w:color w:val="000000"/>
          <w:sz w:val="24"/>
          <w:szCs w:val="24"/>
          <w:highlight w:val="none"/>
          <w:lang w:val="en-US" w:eastAsia="zh-CN"/>
        </w:rPr>
        <w:t>投标保证金</w:t>
      </w:r>
      <w:r>
        <w:rPr>
          <w:rFonts w:hint="eastAsia" w:ascii="宋体" w:hAnsi="宋体" w:eastAsia="宋体" w:cs="宋体"/>
          <w:b/>
          <w:bCs/>
          <w:color w:val="000000"/>
          <w:sz w:val="24"/>
          <w:szCs w:val="24"/>
          <w:highlight w:val="none"/>
          <w:u w:val="none"/>
          <w:lang w:val="en-US" w:eastAsia="zh-CN"/>
        </w:rPr>
        <w:t>可以采用：☑银行转账 ☑银行保函 ☑担保保函。</w:t>
      </w:r>
    </w:p>
    <w:p w14:paraId="3F6EDBCA">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00"/>
          <w:sz w:val="24"/>
          <w:szCs w:val="24"/>
          <w:highlight w:val="none"/>
          <w:lang w:val="en-US" w:eastAsia="zh-CN"/>
        </w:rPr>
      </w:pPr>
      <w:bookmarkStart w:id="37" w:name="_Toc32764"/>
      <w:r>
        <w:rPr>
          <w:rFonts w:hint="eastAsia" w:ascii="宋体" w:hAnsi="宋体" w:eastAsia="宋体" w:cs="宋体"/>
          <w:b/>
          <w:bCs/>
          <w:color w:val="000000"/>
          <w:sz w:val="24"/>
          <w:szCs w:val="24"/>
          <w:highlight w:val="none"/>
          <w:lang w:val="en-US" w:eastAsia="zh-CN"/>
        </w:rPr>
        <w:t>1.投标保证金采用银行转账形式的，投标保证金须从投标人账户汇出。</w:t>
      </w:r>
    </w:p>
    <w:p w14:paraId="4A49A52C">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lang w:eastAsia="zh-CN"/>
        </w:rPr>
        <w:t>）投标人将完成转账的银行出具的转账凭证作为投标保证金交付的证明文件，编入资信标部分。</w:t>
      </w:r>
      <w:r>
        <w:rPr>
          <w:rFonts w:hint="eastAsia" w:ascii="宋体" w:hAnsi="宋体" w:eastAsia="宋体" w:cs="宋体"/>
          <w:b w:val="0"/>
          <w:bCs w:val="0"/>
          <w:color w:val="000000"/>
          <w:sz w:val="24"/>
          <w:szCs w:val="24"/>
          <w:highlight w:val="none"/>
          <w:lang w:eastAsia="zh-CN"/>
        </w:rPr>
        <w:t>投标人电子转账缴纳投标保证金时请务必核对账户信息，应确保投标保证金入账时间早于投标文件递交截止时间。如因投标人转账错误导致保证金的错投、漏投的情况，相关责任和风险由投标人自行承担。</w:t>
      </w:r>
    </w:p>
    <w:p w14:paraId="2C261E9A">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（2）收款账户信息如下：</w:t>
      </w:r>
    </w:p>
    <w:p w14:paraId="2CE8C417">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u w:val="single"/>
          <w:lang w:eastAsia="zh-CN"/>
        </w:rPr>
        <w:t>户名：深圳市高新健置业开发有限公司</w:t>
      </w:r>
    </w:p>
    <w:p w14:paraId="7B5E2E8D">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u w:val="single"/>
          <w:lang w:eastAsia="zh-CN"/>
        </w:rPr>
        <w:t>开户行：中国建设银行股份有限公司深圳坪山支行</w:t>
      </w:r>
    </w:p>
    <w:p w14:paraId="5A4636A6">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u w:val="single"/>
          <w:lang w:eastAsia="zh-CN"/>
        </w:rPr>
        <w:t>账号：44250100016609668899</w:t>
      </w:r>
    </w:p>
    <w:p w14:paraId="6F13DED8">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u w:val="single"/>
          <w:lang w:eastAsia="zh-CN"/>
        </w:rPr>
        <w:t>联系人：黄工  电话：0755-89661632</w:t>
      </w:r>
    </w:p>
    <w:p w14:paraId="0AE7B7F5">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auto"/>
          <w:sz w:val="24"/>
          <w:szCs w:val="24"/>
          <w:highlight w:val="none"/>
          <w:u w:val="single"/>
          <w:lang w:eastAsia="zh-CN"/>
        </w:rPr>
      </w:pPr>
      <w:r>
        <w:rPr>
          <w:rFonts w:hint="eastAsia" w:ascii="宋体" w:hAnsi="宋体" w:eastAsia="宋体" w:cs="宋体"/>
          <w:b w:val="0"/>
          <w:bCs w:val="0"/>
          <w:color w:val="auto"/>
          <w:sz w:val="24"/>
          <w:szCs w:val="24"/>
          <w:highlight w:val="none"/>
          <w:u w:val="single"/>
          <w:lang w:val="en-US" w:eastAsia="zh-CN"/>
        </w:rPr>
        <w:t>转账</w:t>
      </w:r>
      <w:r>
        <w:rPr>
          <w:rFonts w:hint="eastAsia" w:ascii="宋体" w:hAnsi="宋体" w:eastAsia="宋体" w:cs="宋体"/>
          <w:b w:val="0"/>
          <w:bCs w:val="0"/>
          <w:color w:val="auto"/>
          <w:sz w:val="24"/>
          <w:szCs w:val="24"/>
          <w:highlight w:val="none"/>
          <w:u w:val="single"/>
          <w:lang w:eastAsia="zh-CN"/>
        </w:rPr>
        <w:t>备注：瑞云府项目架空层软装、儿童游乐设施、运动器械供货及安装</w:t>
      </w:r>
      <w:r>
        <w:rPr>
          <w:rFonts w:hint="eastAsia" w:ascii="宋体" w:hAnsi="宋体" w:eastAsia="宋体" w:cs="宋体"/>
          <w:b w:val="0"/>
          <w:bCs w:val="0"/>
          <w:color w:val="auto"/>
          <w:sz w:val="24"/>
          <w:szCs w:val="24"/>
          <w:highlight w:val="none"/>
          <w:u w:val="single"/>
          <w:lang w:val="en-US" w:eastAsia="zh-CN"/>
        </w:rPr>
        <w:t>投标</w:t>
      </w:r>
      <w:r>
        <w:rPr>
          <w:rFonts w:hint="eastAsia" w:ascii="宋体" w:hAnsi="宋体" w:eastAsia="宋体" w:cs="宋体"/>
          <w:b w:val="0"/>
          <w:bCs w:val="0"/>
          <w:color w:val="auto"/>
          <w:sz w:val="24"/>
          <w:szCs w:val="24"/>
          <w:highlight w:val="none"/>
          <w:u w:val="single"/>
          <w:lang w:eastAsia="zh-CN"/>
        </w:rPr>
        <w:t>保证金</w:t>
      </w:r>
    </w:p>
    <w:p w14:paraId="161AA9D6">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bCs/>
          <w:color w:val="000000"/>
          <w:sz w:val="24"/>
          <w:szCs w:val="24"/>
          <w:highlight w:val="none"/>
          <w:lang w:val="en-US" w:eastAsia="zh-CN"/>
        </w:rPr>
        <w:t>2.（1）投标保证金</w:t>
      </w:r>
      <w:r>
        <w:rPr>
          <w:rFonts w:hint="eastAsia" w:ascii="宋体" w:hAnsi="宋体" w:eastAsia="宋体" w:cs="宋体"/>
          <w:b/>
          <w:bCs/>
          <w:color w:val="000000"/>
          <w:sz w:val="24"/>
          <w:szCs w:val="24"/>
          <w:highlight w:val="none"/>
        </w:rPr>
        <w:t>采用</w:t>
      </w:r>
      <w:r>
        <w:rPr>
          <w:rFonts w:hint="eastAsia" w:ascii="宋体" w:hAnsi="宋体" w:eastAsia="宋体" w:cs="宋体"/>
          <w:b/>
          <w:bCs/>
          <w:color w:val="000000"/>
          <w:sz w:val="24"/>
          <w:szCs w:val="24"/>
          <w:highlight w:val="none"/>
          <w:lang w:val="en-US" w:eastAsia="zh-CN"/>
        </w:rPr>
        <w:t>银行</w:t>
      </w:r>
      <w:r>
        <w:rPr>
          <w:rFonts w:hint="eastAsia" w:ascii="宋体" w:hAnsi="宋体" w:eastAsia="宋体" w:cs="宋体"/>
          <w:b/>
          <w:bCs/>
          <w:color w:val="000000"/>
          <w:sz w:val="24"/>
          <w:szCs w:val="24"/>
          <w:highlight w:val="none"/>
        </w:rPr>
        <w:t>保函</w:t>
      </w:r>
      <w:r>
        <w:rPr>
          <w:rFonts w:hint="eastAsia" w:ascii="宋体" w:hAnsi="宋体" w:eastAsia="宋体" w:cs="宋体"/>
          <w:b/>
          <w:bCs/>
          <w:color w:val="000000"/>
          <w:sz w:val="24"/>
          <w:szCs w:val="24"/>
          <w:highlight w:val="none"/>
          <w:lang w:val="en-US" w:eastAsia="zh-CN"/>
        </w:rPr>
        <w:t>形式的，投标保函须</w:t>
      </w:r>
      <w:r>
        <w:rPr>
          <w:rFonts w:hint="eastAsia" w:ascii="宋体" w:hAnsi="宋体" w:eastAsia="宋体" w:cs="宋体"/>
          <w:b/>
          <w:bCs/>
          <w:color w:val="000000"/>
          <w:sz w:val="24"/>
          <w:szCs w:val="24"/>
          <w:highlight w:val="none"/>
        </w:rPr>
        <w:t>由</w:t>
      </w:r>
      <w:r>
        <w:rPr>
          <w:rFonts w:hint="eastAsia" w:ascii="宋体" w:hAnsi="宋体" w:eastAsia="宋体" w:cs="宋体"/>
          <w:b/>
          <w:bCs/>
          <w:color w:val="000000"/>
          <w:sz w:val="24"/>
          <w:szCs w:val="24"/>
          <w:highlight w:val="none"/>
          <w:lang w:val="en-US" w:eastAsia="zh-CN"/>
        </w:rPr>
        <w:t>投标人基本账户</w:t>
      </w:r>
      <w:r>
        <w:rPr>
          <w:rFonts w:hint="eastAsia" w:ascii="宋体" w:hAnsi="宋体" w:eastAsia="宋体" w:cs="宋体"/>
          <w:b/>
          <w:bCs/>
          <w:color w:val="000000"/>
          <w:sz w:val="24"/>
          <w:szCs w:val="24"/>
          <w:highlight w:val="none"/>
        </w:rPr>
        <w:t>开户银行所在网点或其上级银行机构出具。</w:t>
      </w:r>
      <w:r>
        <w:rPr>
          <w:rFonts w:hint="eastAsia" w:ascii="宋体" w:hAnsi="宋体" w:eastAsia="宋体" w:cs="宋体"/>
          <w:b/>
          <w:bCs/>
          <w:color w:val="000000"/>
          <w:sz w:val="24"/>
          <w:szCs w:val="24"/>
          <w:highlight w:val="none"/>
          <w:lang w:eastAsia="zh-CN"/>
        </w:rPr>
        <w:t>投标保函原件复印件作为投标担保的证明文件，编入资信标</w:t>
      </w:r>
      <w:r>
        <w:rPr>
          <w:rFonts w:hint="eastAsia" w:ascii="宋体" w:hAnsi="宋体" w:eastAsia="宋体" w:cs="宋体"/>
          <w:b/>
          <w:bCs/>
          <w:color w:val="000000"/>
          <w:sz w:val="24"/>
          <w:szCs w:val="24"/>
          <w:highlight w:val="none"/>
          <w:lang w:val="en-US" w:eastAsia="zh-CN"/>
        </w:rPr>
        <w:t>部分</w:t>
      </w:r>
      <w:r>
        <w:rPr>
          <w:rFonts w:hint="eastAsia" w:ascii="宋体" w:hAnsi="宋体" w:eastAsia="宋体" w:cs="宋体"/>
          <w:b/>
          <w:bCs/>
          <w:color w:val="000000"/>
          <w:sz w:val="24"/>
          <w:szCs w:val="24"/>
          <w:highlight w:val="none"/>
          <w:lang w:eastAsia="zh-CN"/>
        </w:rPr>
        <w:t>。</w:t>
      </w:r>
    </w:p>
    <w:p w14:paraId="2D283334">
      <w:pPr>
        <w:pageBreakBefore w:val="0"/>
        <w:kinsoku/>
        <w:wordWrap/>
        <w:overflowPunct/>
        <w:topLinePunct w:val="0"/>
        <w:autoSpaceDE/>
        <w:autoSpaceDN/>
        <w:bidi w:val="0"/>
        <w:adjustRightInd w:val="0"/>
        <w:snapToGrid w:val="0"/>
        <w:spacing w:line="360" w:lineRule="auto"/>
        <w:ind w:firstLine="482"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bCs/>
          <w:color w:val="000000"/>
          <w:sz w:val="24"/>
          <w:szCs w:val="24"/>
          <w:highlight w:val="none"/>
          <w:lang w:val="en-US" w:eastAsia="zh-CN"/>
        </w:rPr>
        <w:t>（2）投标保证金采用担保公司出具的投标保函形式的，保费必须通过投标人基本账户支付，账户名称应与投标单位名称一致。投标保函原件复印件及保费转账凭证作为投标担保的证明文件</w:t>
      </w:r>
      <w:r>
        <w:rPr>
          <w:rFonts w:hint="eastAsia" w:ascii="宋体" w:hAnsi="宋体" w:eastAsia="宋体" w:cs="宋体"/>
          <w:b/>
          <w:bCs/>
          <w:color w:val="000000"/>
          <w:sz w:val="24"/>
          <w:szCs w:val="24"/>
          <w:highlight w:val="none"/>
          <w:lang w:eastAsia="zh-CN"/>
        </w:rPr>
        <w:t>，编入资信标</w:t>
      </w:r>
      <w:r>
        <w:rPr>
          <w:rFonts w:hint="eastAsia" w:ascii="宋体" w:hAnsi="宋体" w:eastAsia="宋体" w:cs="宋体"/>
          <w:b/>
          <w:bCs/>
          <w:color w:val="000000"/>
          <w:sz w:val="24"/>
          <w:szCs w:val="24"/>
          <w:highlight w:val="none"/>
          <w:lang w:val="en-US" w:eastAsia="zh-CN"/>
        </w:rPr>
        <w:t>部分</w:t>
      </w:r>
      <w:r>
        <w:rPr>
          <w:rFonts w:hint="eastAsia" w:ascii="宋体" w:hAnsi="宋体" w:eastAsia="宋体" w:cs="宋体"/>
          <w:b/>
          <w:bCs/>
          <w:color w:val="000000"/>
          <w:sz w:val="24"/>
          <w:szCs w:val="24"/>
          <w:highlight w:val="none"/>
          <w:lang w:eastAsia="zh-CN"/>
        </w:rPr>
        <w:t>。</w:t>
      </w:r>
    </w:p>
    <w:p w14:paraId="0FED0DDB">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3</w:t>
      </w:r>
      <w:r>
        <w:rPr>
          <w:rFonts w:hint="eastAsia" w:ascii="宋体" w:hAnsi="宋体" w:eastAsia="宋体" w:cs="宋体"/>
          <w:b w:val="0"/>
          <w:bCs w:val="0"/>
          <w:color w:val="000000"/>
          <w:sz w:val="24"/>
          <w:szCs w:val="24"/>
          <w:highlight w:val="none"/>
          <w:lang w:eastAsia="zh-CN"/>
        </w:rPr>
        <w:t>）本项目开标时无需提供投标保函原件。确定中标候选人后3个工作日内，由中标</w:t>
      </w:r>
      <w:r>
        <w:rPr>
          <w:rFonts w:hint="eastAsia" w:ascii="宋体" w:hAnsi="宋体" w:eastAsia="宋体" w:cs="宋体"/>
          <w:b w:val="0"/>
          <w:bCs w:val="0"/>
          <w:color w:val="000000"/>
          <w:sz w:val="24"/>
          <w:szCs w:val="24"/>
          <w:highlight w:val="none"/>
          <w:lang w:val="en-US" w:eastAsia="zh-CN"/>
        </w:rPr>
        <w:t>候选</w:t>
      </w:r>
      <w:r>
        <w:rPr>
          <w:rFonts w:hint="eastAsia" w:ascii="宋体" w:hAnsi="宋体" w:eastAsia="宋体" w:cs="宋体"/>
          <w:b w:val="0"/>
          <w:bCs w:val="0"/>
          <w:color w:val="000000"/>
          <w:sz w:val="24"/>
          <w:szCs w:val="24"/>
          <w:highlight w:val="none"/>
          <w:lang w:eastAsia="zh-CN"/>
        </w:rPr>
        <w:t>人向招标人提交投标保函原件（签订合同后5天内退还）及基本账户开户证明，招标人核查后，如有发现投标人未能提供或提供虚假资料等情形的，招标人将取消中标候选人中标资格。</w:t>
      </w:r>
    </w:p>
    <w:p w14:paraId="17B534AD">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4</w:t>
      </w:r>
      <w:r>
        <w:rPr>
          <w:rFonts w:hint="eastAsia" w:ascii="宋体" w:hAnsi="宋体" w:eastAsia="宋体" w:cs="宋体"/>
          <w:b w:val="0"/>
          <w:bCs w:val="0"/>
          <w:color w:val="000000"/>
          <w:sz w:val="24"/>
          <w:szCs w:val="24"/>
          <w:highlight w:val="none"/>
          <w:lang w:eastAsia="zh-CN"/>
        </w:rPr>
        <w:t>）投标保函的格式见第六章资信标</w:t>
      </w:r>
      <w:r>
        <w:rPr>
          <w:rFonts w:hint="eastAsia" w:ascii="宋体" w:hAnsi="宋体" w:eastAsia="宋体" w:cs="宋体"/>
          <w:b w:val="0"/>
          <w:bCs w:val="0"/>
          <w:color w:val="000000"/>
          <w:sz w:val="24"/>
          <w:szCs w:val="24"/>
          <w:highlight w:val="none"/>
          <w:lang w:val="en-US" w:eastAsia="zh-CN"/>
        </w:rPr>
        <w:t>部分参考</w:t>
      </w:r>
      <w:r>
        <w:rPr>
          <w:rFonts w:hint="eastAsia" w:ascii="宋体" w:hAnsi="宋体" w:eastAsia="宋体" w:cs="宋体"/>
          <w:b w:val="0"/>
          <w:bCs w:val="0"/>
          <w:color w:val="000000"/>
          <w:sz w:val="24"/>
          <w:szCs w:val="24"/>
          <w:highlight w:val="none"/>
          <w:lang w:eastAsia="zh-CN"/>
        </w:rPr>
        <w:t>格式。如果投标人不采用参考格式的投标保函，拟采用的投标保函应符合参考格式中对实质性内容的要求，并且须经过招标人确认同意。在不改变保函实质性内容的前提下，可以对保函格式进行修改，涉及修改投标保函的保证期表述格式的，须保证投标保函的保证期间覆盖</w:t>
      </w:r>
      <w:r>
        <w:rPr>
          <w:rFonts w:hint="eastAsia" w:ascii="宋体" w:hAnsi="宋体" w:eastAsia="宋体" w:cs="宋体"/>
          <w:b w:val="0"/>
          <w:bCs w:val="0"/>
          <w:color w:val="000000"/>
          <w:sz w:val="24"/>
          <w:szCs w:val="24"/>
          <w:highlight w:val="none"/>
          <w:lang w:val="en-US" w:eastAsia="zh-CN"/>
        </w:rPr>
        <w:t>本项目</w:t>
      </w:r>
      <w:r>
        <w:rPr>
          <w:rFonts w:hint="eastAsia" w:ascii="宋体" w:hAnsi="宋体" w:eastAsia="宋体" w:cs="宋体"/>
          <w:b w:val="0"/>
          <w:bCs w:val="0"/>
          <w:color w:val="000000"/>
          <w:sz w:val="24"/>
          <w:szCs w:val="24"/>
          <w:highlight w:val="none"/>
          <w:lang w:eastAsia="zh-CN"/>
        </w:rPr>
        <w:t>的投标有效期（或延长的投标有效期）后28日（含28日），且投标人应考虑到如果出现截标时间延期导致保证期起算时间推后的情况。</w:t>
      </w:r>
    </w:p>
    <w:p w14:paraId="5DE8D4C9">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lang w:eastAsia="zh-CN"/>
        </w:rPr>
        <w:t>）投标保函有效期不少于118天（从截标日起开始计算），如要求保函的担保时间必须有明确的起止时间，请投标人自行计算。投标保函受益人为招标人。</w:t>
      </w:r>
    </w:p>
    <w:p w14:paraId="7CCD0092">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3.招标结束后向未中标的投标人退还投标保证金；招标人与中标人签订合同后向中标人退还投标保证金。</w:t>
      </w:r>
    </w:p>
    <w:p w14:paraId="47594EC2">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4.有下列情形之一的，投标保证金将不予退还：</w:t>
      </w:r>
    </w:p>
    <w:p w14:paraId="7D193C0F">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（1）在投标截止时间后，投标人在规定的投标有效期内撤销或修改投标文件；</w:t>
      </w:r>
    </w:p>
    <w:p w14:paraId="64202170">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（2）中标人在收到中标通知书，无正当理由不与招标人订立合同，在签订合同时向招标人提出附加条件，或者不按照招标文件要求提交履约担保；</w:t>
      </w:r>
    </w:p>
    <w:p w14:paraId="207F17CF">
      <w:pPr>
        <w:pageBreakBefore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（3）投标人采用不正当的手段骗取中标。</w:t>
      </w:r>
    </w:p>
    <w:p w14:paraId="71A1F2BC">
      <w:pPr>
        <w:pStyle w:val="3"/>
        <w:pageBreakBefore w:val="0"/>
        <w:kinsoku/>
        <w:wordWrap/>
        <w:overflowPunct/>
        <w:topLinePunct w:val="0"/>
        <w:autoSpaceDE/>
        <w:autoSpaceDN/>
        <w:bidi w:val="0"/>
        <w:adjustRightInd/>
        <w:spacing w:line="360" w:lineRule="auto"/>
        <w:ind w:firstLine="482" w:firstLineChars="200"/>
        <w:jc w:val="both"/>
        <w:textAlignment w:val="auto"/>
        <w:rPr>
          <w:rFonts w:hint="eastAsia" w:ascii="宋体" w:hAnsi="宋体" w:eastAsia="宋体" w:cs="宋体"/>
          <w:color w:val="auto"/>
          <w:sz w:val="24"/>
          <w:szCs w:val="24"/>
          <w:highlight w:val="none"/>
        </w:rPr>
      </w:pPr>
      <w:bookmarkStart w:id="38" w:name="_Toc4084"/>
      <w:bookmarkStart w:id="39" w:name="_Toc25384"/>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评审方法、</w:t>
      </w:r>
      <w:r>
        <w:rPr>
          <w:rFonts w:hint="eastAsia" w:ascii="宋体" w:hAnsi="宋体" w:eastAsia="宋体" w:cs="宋体"/>
          <w:color w:val="auto"/>
          <w:sz w:val="24"/>
          <w:szCs w:val="24"/>
          <w:highlight w:val="none"/>
          <w:lang w:eastAsia="zh-CN"/>
        </w:rPr>
        <w:t>评标委员会</w:t>
      </w:r>
      <w:r>
        <w:rPr>
          <w:rFonts w:hint="eastAsia" w:ascii="宋体" w:hAnsi="宋体" w:eastAsia="宋体" w:cs="宋体"/>
          <w:color w:val="auto"/>
          <w:sz w:val="24"/>
          <w:szCs w:val="24"/>
          <w:highlight w:val="none"/>
        </w:rPr>
        <w:t>及评定标准</w:t>
      </w:r>
      <w:bookmarkEnd w:id="37"/>
      <w:bookmarkEnd w:id="38"/>
      <w:bookmarkEnd w:id="39"/>
    </w:p>
    <w:p w14:paraId="75A1C611">
      <w:pPr>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评审方法：</w:t>
      </w:r>
      <w:r>
        <w:rPr>
          <w:rFonts w:hint="eastAsia" w:ascii="宋体" w:hAnsi="宋体" w:eastAsia="宋体" w:cs="宋体"/>
          <w:color w:val="auto"/>
          <w:sz w:val="24"/>
          <w:szCs w:val="24"/>
          <w:highlight w:val="none"/>
          <w:u w:val="single"/>
          <w:lang w:val="en-US" w:eastAsia="zh-CN"/>
        </w:rPr>
        <w:t>综合评估法</w:t>
      </w:r>
      <w:r>
        <w:rPr>
          <w:rFonts w:hint="eastAsia" w:ascii="宋体" w:hAnsi="宋体" w:eastAsia="宋体" w:cs="宋体"/>
          <w:color w:val="auto"/>
          <w:sz w:val="24"/>
          <w:szCs w:val="24"/>
          <w:highlight w:val="none"/>
          <w:lang w:eastAsia="zh-CN"/>
        </w:rPr>
        <w:t>。</w:t>
      </w:r>
    </w:p>
    <w:p w14:paraId="0954A9CE">
      <w:pPr>
        <w:pageBreakBefore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评标委员会</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由</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lang w:val="en-US" w:eastAsia="zh-CN"/>
        </w:rPr>
        <w:t>组建，成员人数为5人（含）以上单数。</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在评审时间内统一综合评审文件，在最大限度地满足招标文件实质性要求前提下，按照经评审的投标报价由低到高的顺序推荐</w:t>
      </w:r>
      <w:r>
        <w:rPr>
          <w:rFonts w:hint="eastAsia" w:ascii="宋体" w:hAnsi="宋体" w:eastAsia="宋体" w:cs="宋体"/>
          <w:color w:val="auto"/>
          <w:sz w:val="24"/>
          <w:szCs w:val="24"/>
          <w:highlight w:val="none"/>
          <w:u w:val="single"/>
          <w:lang w:val="en-US" w:eastAsia="zh-CN"/>
        </w:rPr>
        <w:t>一</w:t>
      </w:r>
      <w:r>
        <w:rPr>
          <w:rFonts w:hint="eastAsia" w:ascii="宋体" w:hAnsi="宋体" w:eastAsia="宋体" w:cs="宋体"/>
          <w:color w:val="auto"/>
          <w:sz w:val="24"/>
          <w:szCs w:val="24"/>
          <w:highlight w:val="none"/>
          <w:u w:val="single"/>
        </w:rPr>
        <w:t>家</w:t>
      </w:r>
      <w:r>
        <w:rPr>
          <w:rFonts w:hint="eastAsia" w:ascii="宋体" w:hAnsi="宋体" w:eastAsia="宋体" w:cs="宋体"/>
          <w:color w:val="auto"/>
          <w:sz w:val="24"/>
          <w:szCs w:val="24"/>
          <w:highlight w:val="none"/>
          <w:u w:val="single"/>
          <w:lang w:val="en-US" w:eastAsia="zh-CN"/>
        </w:rPr>
        <w:t>中标候选人</w:t>
      </w:r>
      <w:r>
        <w:rPr>
          <w:rFonts w:hint="eastAsia" w:ascii="宋体" w:hAnsi="宋体" w:eastAsia="宋体" w:cs="宋体"/>
          <w:color w:val="auto"/>
          <w:sz w:val="24"/>
          <w:szCs w:val="24"/>
          <w:highlight w:val="none"/>
          <w:u w:val="single"/>
        </w:rPr>
        <w:t>。评审完成后，</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向</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提交评审报告，</w:t>
      </w:r>
      <w:r>
        <w:rPr>
          <w:rFonts w:hint="eastAsia" w:ascii="宋体" w:hAnsi="宋体" w:eastAsia="宋体" w:cs="宋体"/>
          <w:color w:val="auto"/>
          <w:sz w:val="24"/>
          <w:szCs w:val="24"/>
          <w:highlight w:val="none"/>
          <w:u w:val="single"/>
          <w:lang w:eastAsia="zh-CN"/>
        </w:rPr>
        <w:t>招标人</w:t>
      </w:r>
      <w:r>
        <w:rPr>
          <w:rFonts w:hint="eastAsia" w:ascii="宋体" w:hAnsi="宋体" w:eastAsia="宋体" w:cs="宋体"/>
          <w:color w:val="auto"/>
          <w:sz w:val="24"/>
          <w:szCs w:val="24"/>
          <w:highlight w:val="none"/>
          <w:u w:val="single"/>
        </w:rPr>
        <w:t>根据</w:t>
      </w:r>
      <w:r>
        <w:rPr>
          <w:rFonts w:hint="eastAsia" w:ascii="宋体" w:hAnsi="宋体" w:eastAsia="宋体" w:cs="宋体"/>
          <w:color w:val="auto"/>
          <w:sz w:val="24"/>
          <w:szCs w:val="24"/>
          <w:highlight w:val="none"/>
          <w:u w:val="single"/>
          <w:lang w:eastAsia="zh-CN"/>
        </w:rPr>
        <w:t>评标委员会</w:t>
      </w:r>
      <w:r>
        <w:rPr>
          <w:rFonts w:hint="eastAsia" w:ascii="宋体" w:hAnsi="宋体" w:eastAsia="宋体" w:cs="宋体"/>
          <w:color w:val="auto"/>
          <w:sz w:val="24"/>
          <w:szCs w:val="24"/>
          <w:highlight w:val="none"/>
          <w:u w:val="single"/>
        </w:rPr>
        <w:t>意见及相关规定，确定</w:t>
      </w:r>
      <w:r>
        <w:rPr>
          <w:rFonts w:hint="eastAsia" w:ascii="宋体" w:hAnsi="宋体" w:eastAsia="宋体" w:cs="宋体"/>
          <w:color w:val="auto"/>
          <w:sz w:val="24"/>
          <w:szCs w:val="24"/>
          <w:highlight w:val="none"/>
          <w:u w:val="single"/>
          <w:lang w:val="en-US" w:eastAsia="zh-CN"/>
        </w:rPr>
        <w:t>中标人</w:t>
      </w:r>
      <w:r>
        <w:rPr>
          <w:rFonts w:hint="eastAsia" w:ascii="宋体" w:hAnsi="宋体" w:eastAsia="宋体" w:cs="宋体"/>
          <w:color w:val="auto"/>
          <w:sz w:val="24"/>
          <w:szCs w:val="24"/>
          <w:highlight w:val="none"/>
          <w:u w:val="single"/>
        </w:rPr>
        <w:t>及</w:t>
      </w:r>
      <w:r>
        <w:rPr>
          <w:rFonts w:hint="eastAsia" w:ascii="宋体" w:hAnsi="宋体" w:eastAsia="宋体" w:cs="宋体"/>
          <w:color w:val="auto"/>
          <w:sz w:val="24"/>
          <w:szCs w:val="24"/>
          <w:highlight w:val="none"/>
          <w:u w:val="single"/>
          <w:lang w:val="en-US" w:eastAsia="zh-CN"/>
        </w:rPr>
        <w:t>中标</w:t>
      </w:r>
      <w:r>
        <w:rPr>
          <w:rFonts w:hint="eastAsia" w:ascii="宋体" w:hAnsi="宋体" w:eastAsia="宋体" w:cs="宋体"/>
          <w:color w:val="auto"/>
          <w:sz w:val="24"/>
          <w:szCs w:val="24"/>
          <w:highlight w:val="none"/>
          <w:u w:val="single"/>
        </w:rPr>
        <w:t>价。</w:t>
      </w:r>
    </w:p>
    <w:p w14:paraId="5F65EB0C">
      <w:pPr>
        <w:pStyle w:val="3"/>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bookmarkStart w:id="40" w:name="_Toc2709"/>
      <w:bookmarkStart w:id="41" w:name="_Toc20298"/>
      <w:bookmarkStart w:id="42" w:name="_Toc20554"/>
      <w:r>
        <w:rPr>
          <w:rFonts w:hint="eastAsia" w:ascii="宋体" w:hAnsi="宋体" w:eastAsia="宋体" w:cs="宋体"/>
          <w:color w:val="auto"/>
          <w:sz w:val="24"/>
          <w:szCs w:val="24"/>
          <w:highlight w:val="none"/>
        </w:rPr>
        <w:t>1.1</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合同主要条款及签订方式</w:t>
      </w:r>
      <w:bookmarkEnd w:id="40"/>
      <w:bookmarkEnd w:id="41"/>
      <w:bookmarkEnd w:id="42"/>
      <w:bookmarkStart w:id="43" w:name="_Toc29332"/>
      <w:bookmarkStart w:id="44" w:name="_Toc19550"/>
      <w:bookmarkStart w:id="45" w:name="_Toc30276"/>
    </w:p>
    <w:p w14:paraId="74F64752">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一）乙方供货的货物款式经甲方书面确认后，甲方支付合同总金额的10%作为货物排产款。甲方发出书面供货通知后，乙方应当按要求进行货物采购，在本批次货物发货前，经双方确认具备发货条件。本批次货物运送到工地并经甲方检查验收合格接收后，支付至实际已接收货物货款总金额的50%。</w:t>
      </w:r>
    </w:p>
    <w:p w14:paraId="2495BCC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（二）全部货物现场安装完成，经甲方验收合格后，支付至实际已接收货物货款总金额的80%。</w:t>
      </w:r>
    </w:p>
    <w:p w14:paraId="3BA9874C">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（三）工程竣工验收并移交甲方，双方按实际采购货物数量办理合同结算，经甲方审核，且满足本合同约定及甲方要求的其他付款条件后，甲方支付至本合同结算总金额的 97％。剩余结算总金额的 3％作为质量保证金。</w:t>
      </w:r>
    </w:p>
    <w:p w14:paraId="55E531B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（四）质量保证金不计利息。保修期满，经甲方组织查验合格后15 日内，经甲方审核后，支付剩余保修金或退回质量保函。</w:t>
      </w:r>
    </w:p>
    <w:p w14:paraId="60F6653E">
      <w:pPr>
        <w:pStyle w:val="3"/>
        <w:keepNext/>
        <w:keepLines/>
        <w:pageBreakBefore w:val="0"/>
        <w:widowControl/>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bookmarkStart w:id="46" w:name="_Toc444266730"/>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本项目</w:t>
      </w:r>
      <w:r>
        <w:rPr>
          <w:rFonts w:hint="eastAsia" w:ascii="宋体" w:hAnsi="宋体" w:eastAsia="宋体" w:cs="宋体"/>
          <w:color w:val="auto"/>
          <w:sz w:val="24"/>
          <w:szCs w:val="24"/>
          <w:highlight w:val="none"/>
        </w:rPr>
        <w:t>联系方式</w:t>
      </w:r>
      <w:bookmarkEnd w:id="43"/>
      <w:bookmarkEnd w:id="44"/>
      <w:bookmarkEnd w:id="45"/>
      <w:bookmarkEnd w:id="46"/>
    </w:p>
    <w:p w14:paraId="544DCFD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有关此项</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报价事宜，可按下列地址</w:t>
      </w:r>
      <w:r>
        <w:rPr>
          <w:rFonts w:hint="eastAsia" w:ascii="宋体" w:hAnsi="宋体" w:eastAsia="宋体" w:cs="宋体"/>
          <w:color w:val="auto"/>
          <w:sz w:val="24"/>
          <w:szCs w:val="24"/>
          <w:highlight w:val="none"/>
          <w:lang w:val="en-US" w:eastAsia="zh-CN"/>
        </w:rPr>
        <w:t>以书面或电话的形式查询</w:t>
      </w:r>
      <w:r>
        <w:rPr>
          <w:rFonts w:hint="eastAsia" w:ascii="宋体" w:hAnsi="宋体" w:eastAsia="宋体" w:cs="宋体"/>
          <w:color w:val="auto"/>
          <w:sz w:val="24"/>
          <w:szCs w:val="24"/>
          <w:highlight w:val="none"/>
        </w:rPr>
        <w:t>：</w:t>
      </w:r>
    </w:p>
    <w:p w14:paraId="1704D85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单位名称：</w:t>
      </w:r>
      <w:r>
        <w:rPr>
          <w:rFonts w:hint="eastAsia" w:ascii="宋体" w:hAnsi="宋体" w:eastAsia="宋体" w:cs="宋体"/>
          <w:color w:val="auto"/>
          <w:sz w:val="24"/>
          <w:szCs w:val="24"/>
          <w:highlight w:val="none"/>
          <w:u w:val="single"/>
          <w:lang w:val="en-US" w:eastAsia="zh-CN"/>
        </w:rPr>
        <w:t>深圳市高新健置业开发有限公司</w:t>
      </w:r>
    </w:p>
    <w:p w14:paraId="3AA5D4B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u w:val="none"/>
          <w:lang w:val="en-US" w:eastAsia="zh-CN"/>
        </w:rPr>
        <w:t>地   址：</w:t>
      </w:r>
      <w:r>
        <w:rPr>
          <w:rFonts w:hint="eastAsia" w:ascii="宋体" w:hAnsi="宋体" w:eastAsia="宋体" w:cs="宋体"/>
          <w:color w:val="auto"/>
          <w:sz w:val="24"/>
          <w:szCs w:val="24"/>
          <w:highlight w:val="none"/>
          <w:u w:val="single"/>
          <w:lang w:val="en-US" w:eastAsia="zh-CN"/>
        </w:rPr>
        <w:t>深圳市坪山区坪山街道坪山大道2009号城投芯时代大厦501</w:t>
      </w:r>
    </w:p>
    <w:p w14:paraId="066F22B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b/>
          <w:color w:val="auto"/>
          <w:highlight w:val="none"/>
        </w:rPr>
      </w:pPr>
      <w:r>
        <w:rPr>
          <w:rFonts w:hint="eastAsia" w:ascii="宋体" w:hAnsi="宋体" w:eastAsia="宋体" w:cs="宋体"/>
          <w:color w:val="auto"/>
          <w:sz w:val="24"/>
          <w:szCs w:val="24"/>
          <w:highlight w:val="none"/>
        </w:rPr>
        <w:t>联 系 人：</w:t>
      </w:r>
      <w:r>
        <w:rPr>
          <w:rFonts w:hint="eastAsia" w:ascii="宋体" w:hAnsi="宋体" w:eastAsia="宋体" w:cs="宋体"/>
          <w:color w:val="auto"/>
          <w:sz w:val="24"/>
          <w:szCs w:val="24"/>
          <w:highlight w:val="none"/>
          <w:u w:val="single"/>
          <w:lang w:val="en-US" w:eastAsia="zh-CN"/>
        </w:rPr>
        <w:t>李工</w:t>
      </w:r>
      <w:r>
        <w:rPr>
          <w:rFonts w:hint="eastAsia" w:ascii="宋体" w:hAnsi="宋体" w:eastAsia="宋体" w:cs="宋体"/>
          <w:color w:val="auto"/>
          <w:sz w:val="24"/>
          <w:szCs w:val="24"/>
          <w:highlight w:val="none"/>
          <w:u w:val="none"/>
          <w:lang w:val="en-US" w:eastAsia="zh-CN"/>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lang w:val="en-US" w:eastAsia="zh-CN"/>
        </w:rPr>
        <w:t>0755-89668593</w:t>
      </w:r>
      <w:bookmarkStart w:id="47" w:name="_Toc430862246"/>
      <w:bookmarkStart w:id="48" w:name="_Toc444266731"/>
      <w:bookmarkStart w:id="49" w:name="_Toc234313501"/>
      <w:r>
        <w:rPr>
          <w:rFonts w:hint="eastAsia" w:ascii="宋体" w:hAnsi="宋体" w:eastAsia="宋体"/>
          <w:b/>
          <w:color w:val="auto"/>
          <w:highlight w:val="none"/>
        </w:rPr>
        <w:br w:type="page"/>
      </w:r>
    </w:p>
    <w:p w14:paraId="708E15D6">
      <w:pPr>
        <w:pStyle w:val="2"/>
        <w:spacing w:line="360" w:lineRule="auto"/>
        <w:ind w:left="0"/>
        <w:jc w:val="center"/>
        <w:rPr>
          <w:rFonts w:hint="eastAsia" w:ascii="宋体" w:hAnsi="宋体" w:eastAsia="宋体" w:cs="Times New Roman"/>
          <w:color w:val="auto"/>
          <w:sz w:val="32"/>
          <w:szCs w:val="32"/>
          <w:highlight w:val="none"/>
        </w:rPr>
      </w:pPr>
      <w:bookmarkStart w:id="50" w:name="_Toc21380"/>
      <w:bookmarkStart w:id="51" w:name="_Toc9220"/>
      <w:r>
        <w:rPr>
          <w:rFonts w:hint="eastAsia" w:ascii="宋体" w:hAnsi="宋体" w:eastAsia="宋体" w:cs="Times New Roman"/>
          <w:color w:val="auto"/>
          <w:sz w:val="32"/>
          <w:szCs w:val="32"/>
          <w:highlight w:val="none"/>
        </w:rPr>
        <w:t>第二</w:t>
      </w:r>
      <w:r>
        <w:rPr>
          <w:rFonts w:hint="eastAsia" w:ascii="宋体" w:hAnsi="宋体" w:eastAsia="宋体" w:cs="Times New Roman"/>
          <w:color w:val="auto"/>
          <w:sz w:val="32"/>
          <w:szCs w:val="32"/>
          <w:highlight w:val="none"/>
          <w:lang w:val="en-US" w:eastAsia="zh-CN"/>
        </w:rPr>
        <w:t>章</w:t>
      </w:r>
      <w:r>
        <w:rPr>
          <w:rFonts w:hint="eastAsia" w:ascii="宋体" w:hAnsi="宋体" w:eastAsia="宋体" w:cs="Times New Roman"/>
          <w:color w:val="auto"/>
          <w:sz w:val="32"/>
          <w:szCs w:val="32"/>
          <w:highlight w:val="none"/>
        </w:rPr>
        <w:t xml:space="preserve">  </w:t>
      </w:r>
      <w:r>
        <w:rPr>
          <w:rFonts w:hint="eastAsia" w:ascii="宋体" w:hAnsi="宋体" w:eastAsia="宋体" w:cs="Times New Roman"/>
          <w:color w:val="auto"/>
          <w:sz w:val="32"/>
          <w:szCs w:val="32"/>
          <w:highlight w:val="none"/>
          <w:lang w:val="en-US" w:eastAsia="zh-CN"/>
        </w:rPr>
        <w:t>投标人</w:t>
      </w:r>
      <w:r>
        <w:rPr>
          <w:rFonts w:hint="eastAsia" w:ascii="宋体" w:hAnsi="宋体" w:eastAsia="宋体" w:cs="Times New Roman"/>
          <w:color w:val="auto"/>
          <w:sz w:val="32"/>
          <w:szCs w:val="32"/>
          <w:highlight w:val="none"/>
        </w:rPr>
        <w:t>须知</w:t>
      </w:r>
      <w:bookmarkEnd w:id="47"/>
      <w:bookmarkEnd w:id="50"/>
      <w:bookmarkEnd w:id="51"/>
    </w:p>
    <w:p w14:paraId="66FB7062">
      <w:pPr>
        <w:snapToGrid w:val="0"/>
        <w:spacing w:line="360" w:lineRule="exact"/>
        <w:ind w:firstLine="3083" w:firstLineChars="1100"/>
        <w:jc w:val="left"/>
        <w:rPr>
          <w:rFonts w:ascii="宋体" w:hAnsi="宋体" w:cs="宋体"/>
          <w:b/>
          <w:color w:val="auto"/>
          <w:highlight w:val="none"/>
        </w:rPr>
      </w:pPr>
    </w:p>
    <w:tbl>
      <w:tblPr>
        <w:tblStyle w:val="53"/>
        <w:tblW w:w="9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504"/>
        <w:gridCol w:w="6375"/>
      </w:tblGrid>
      <w:tr w14:paraId="6646E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237B159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序号</w:t>
            </w:r>
          </w:p>
        </w:tc>
        <w:tc>
          <w:tcPr>
            <w:tcW w:w="2504" w:type="dxa"/>
            <w:tcBorders>
              <w:top w:val="single" w:color="auto" w:sz="4" w:space="0"/>
              <w:left w:val="single" w:color="auto" w:sz="4" w:space="0"/>
              <w:bottom w:val="single" w:color="auto" w:sz="4" w:space="0"/>
              <w:right w:val="single" w:color="auto" w:sz="4" w:space="0"/>
            </w:tcBorders>
            <w:vAlign w:val="center"/>
          </w:tcPr>
          <w:p w14:paraId="4ED7D6B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条 款 内 容</w:t>
            </w:r>
          </w:p>
        </w:tc>
        <w:tc>
          <w:tcPr>
            <w:tcW w:w="6375" w:type="dxa"/>
            <w:tcBorders>
              <w:top w:val="single" w:color="auto" w:sz="4" w:space="0"/>
              <w:left w:val="single" w:color="auto" w:sz="4" w:space="0"/>
              <w:bottom w:val="single" w:color="auto" w:sz="4" w:space="0"/>
              <w:right w:val="single" w:color="auto" w:sz="4" w:space="0"/>
            </w:tcBorders>
            <w:vAlign w:val="center"/>
          </w:tcPr>
          <w:p w14:paraId="103BDD89">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编   列   内   容</w:t>
            </w:r>
          </w:p>
        </w:tc>
      </w:tr>
      <w:tr w14:paraId="0A43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94A1CC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504" w:type="dxa"/>
            <w:tcBorders>
              <w:top w:val="single" w:color="auto" w:sz="4" w:space="0"/>
              <w:left w:val="single" w:color="auto" w:sz="4" w:space="0"/>
              <w:bottom w:val="single" w:color="auto" w:sz="4" w:space="0"/>
              <w:right w:val="single" w:color="auto" w:sz="4" w:space="0"/>
            </w:tcBorders>
            <w:vAlign w:val="center"/>
          </w:tcPr>
          <w:p w14:paraId="6A70D24F">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招标人</w:t>
            </w:r>
          </w:p>
        </w:tc>
        <w:tc>
          <w:tcPr>
            <w:tcW w:w="6375" w:type="dxa"/>
            <w:tcBorders>
              <w:top w:val="single" w:color="auto" w:sz="4" w:space="0"/>
              <w:left w:val="single" w:color="auto" w:sz="4" w:space="0"/>
              <w:bottom w:val="single" w:color="auto" w:sz="4" w:space="0"/>
              <w:right w:val="single" w:color="auto" w:sz="4" w:space="0"/>
            </w:tcBorders>
            <w:vAlign w:val="center"/>
          </w:tcPr>
          <w:p w14:paraId="5738909D">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eastAsia="zh-CN"/>
              </w:rPr>
            </w:pPr>
            <w:r>
              <w:rPr>
                <w:rFonts w:hint="eastAsia" w:ascii="宋体" w:hAnsi="宋体" w:eastAsia="宋体" w:cs="宋体"/>
                <w:color w:val="auto"/>
                <w:sz w:val="21"/>
                <w:szCs w:val="21"/>
                <w:highlight w:val="none"/>
                <w:u w:val="none"/>
                <w:lang w:eastAsia="zh-CN"/>
              </w:rPr>
              <w:t>深圳市高新健置业开发有限公司</w:t>
            </w:r>
          </w:p>
        </w:tc>
      </w:tr>
      <w:tr w14:paraId="2459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9AD5108">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504" w:type="dxa"/>
            <w:tcBorders>
              <w:top w:val="single" w:color="auto" w:sz="4" w:space="0"/>
              <w:left w:val="single" w:color="auto" w:sz="4" w:space="0"/>
              <w:bottom w:val="single" w:color="auto" w:sz="4" w:space="0"/>
              <w:right w:val="single" w:color="auto" w:sz="4" w:space="0"/>
            </w:tcBorders>
            <w:vAlign w:val="center"/>
          </w:tcPr>
          <w:p w14:paraId="7A64237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项目名称</w:t>
            </w:r>
          </w:p>
        </w:tc>
        <w:tc>
          <w:tcPr>
            <w:tcW w:w="6375" w:type="dxa"/>
            <w:tcBorders>
              <w:top w:val="single" w:color="auto" w:sz="4" w:space="0"/>
              <w:left w:val="single" w:color="auto" w:sz="4" w:space="0"/>
              <w:bottom w:val="single" w:color="auto" w:sz="4" w:space="0"/>
              <w:right w:val="single" w:color="auto" w:sz="4" w:space="0"/>
            </w:tcBorders>
            <w:vAlign w:val="center"/>
          </w:tcPr>
          <w:p w14:paraId="2E1AF119">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瑞云府项目架空层软装、儿童游乐设施、运动器械供货及安装</w:t>
            </w:r>
          </w:p>
        </w:tc>
      </w:tr>
      <w:tr w14:paraId="5181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0E6F75F2">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2504" w:type="dxa"/>
            <w:tcBorders>
              <w:top w:val="single" w:color="auto" w:sz="4" w:space="0"/>
              <w:left w:val="single" w:color="auto" w:sz="4" w:space="0"/>
              <w:bottom w:val="single" w:color="auto" w:sz="4" w:space="0"/>
              <w:right w:val="single" w:color="auto" w:sz="4" w:space="0"/>
            </w:tcBorders>
            <w:vAlign w:val="center"/>
          </w:tcPr>
          <w:p w14:paraId="62F1C3D3">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u w:val="none"/>
              </w:rPr>
            </w:pPr>
            <w:r>
              <w:rPr>
                <w:rFonts w:hint="eastAsia" w:ascii="宋体" w:hAnsi="宋体" w:eastAsia="宋体" w:cs="宋体"/>
                <w:color w:val="auto"/>
                <w:sz w:val="21"/>
                <w:szCs w:val="21"/>
                <w:highlight w:val="none"/>
                <w:u w:val="none"/>
              </w:rPr>
              <w:t>项目地点</w:t>
            </w:r>
          </w:p>
        </w:tc>
        <w:tc>
          <w:tcPr>
            <w:tcW w:w="6375" w:type="dxa"/>
            <w:tcBorders>
              <w:top w:val="single" w:color="auto" w:sz="4" w:space="0"/>
              <w:left w:val="single" w:color="auto" w:sz="4" w:space="0"/>
              <w:bottom w:val="single" w:color="auto" w:sz="4" w:space="0"/>
              <w:right w:val="single" w:color="auto" w:sz="4" w:space="0"/>
            </w:tcBorders>
            <w:vAlign w:val="center"/>
          </w:tcPr>
          <w:p w14:paraId="2C6A34A1">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u w:val="none"/>
                <w:lang w:val="en-US" w:eastAsia="zh-CN"/>
              </w:rPr>
            </w:pPr>
            <w:r>
              <w:rPr>
                <w:rFonts w:hint="eastAsia" w:ascii="宋体" w:hAnsi="宋体" w:eastAsia="宋体" w:cs="宋体"/>
                <w:color w:val="auto"/>
                <w:sz w:val="21"/>
                <w:szCs w:val="21"/>
                <w:highlight w:val="none"/>
                <w:u w:val="none"/>
                <w:lang w:eastAsia="zh-CN"/>
              </w:rPr>
              <w:t xml:space="preserve">深圳市坪山区碧岭街道沙湖社区 </w:t>
            </w:r>
          </w:p>
        </w:tc>
      </w:tr>
      <w:tr w14:paraId="6F89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9F04C79">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504" w:type="dxa"/>
            <w:tcBorders>
              <w:top w:val="single" w:color="auto" w:sz="4" w:space="0"/>
              <w:left w:val="single" w:color="auto" w:sz="4" w:space="0"/>
              <w:bottom w:val="single" w:color="auto" w:sz="4" w:space="0"/>
              <w:right w:val="single" w:color="auto" w:sz="4" w:space="0"/>
            </w:tcBorders>
            <w:vAlign w:val="center"/>
          </w:tcPr>
          <w:p w14:paraId="707C2F1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p>
        </w:tc>
        <w:tc>
          <w:tcPr>
            <w:tcW w:w="6375" w:type="dxa"/>
            <w:tcBorders>
              <w:top w:val="single" w:color="auto" w:sz="4" w:space="0"/>
              <w:left w:val="single" w:color="auto" w:sz="4" w:space="0"/>
              <w:bottom w:val="single" w:color="auto" w:sz="4" w:space="0"/>
              <w:right w:val="single" w:color="auto" w:sz="4" w:space="0"/>
            </w:tcBorders>
            <w:vAlign w:val="center"/>
          </w:tcPr>
          <w:p w14:paraId="6D45163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自筹</w:t>
            </w:r>
          </w:p>
        </w:tc>
      </w:tr>
      <w:tr w14:paraId="0827B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B5B09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504" w:type="dxa"/>
            <w:tcBorders>
              <w:top w:val="single" w:color="auto" w:sz="4" w:space="0"/>
              <w:left w:val="single" w:color="auto" w:sz="4" w:space="0"/>
              <w:bottom w:val="single" w:color="auto" w:sz="4" w:space="0"/>
              <w:right w:val="single" w:color="auto" w:sz="4" w:space="0"/>
            </w:tcBorders>
            <w:vAlign w:val="center"/>
          </w:tcPr>
          <w:p w14:paraId="77F6421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采购预算</w:t>
            </w:r>
          </w:p>
        </w:tc>
        <w:tc>
          <w:tcPr>
            <w:tcW w:w="6375" w:type="dxa"/>
            <w:tcBorders>
              <w:top w:val="single" w:color="auto" w:sz="4" w:space="0"/>
              <w:left w:val="single" w:color="auto" w:sz="4" w:space="0"/>
              <w:bottom w:val="single" w:color="auto" w:sz="4" w:space="0"/>
              <w:right w:val="single" w:color="auto" w:sz="4" w:space="0"/>
            </w:tcBorders>
            <w:vAlign w:val="center"/>
          </w:tcPr>
          <w:p w14:paraId="4C168B4C">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详见第一章招标公告</w:t>
            </w:r>
          </w:p>
        </w:tc>
      </w:tr>
      <w:tr w14:paraId="34112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1B49F2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504" w:type="dxa"/>
            <w:tcBorders>
              <w:top w:val="single" w:color="auto" w:sz="4" w:space="0"/>
              <w:left w:val="single" w:color="auto" w:sz="4" w:space="0"/>
              <w:bottom w:val="single" w:color="auto" w:sz="4" w:space="0"/>
              <w:right w:val="single" w:color="auto" w:sz="4" w:space="0"/>
            </w:tcBorders>
            <w:vAlign w:val="center"/>
          </w:tcPr>
          <w:p w14:paraId="086346D7">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招标范围</w:t>
            </w:r>
          </w:p>
        </w:tc>
        <w:tc>
          <w:tcPr>
            <w:tcW w:w="6375" w:type="dxa"/>
            <w:tcBorders>
              <w:top w:val="single" w:color="auto" w:sz="4" w:space="0"/>
              <w:left w:val="single" w:color="auto" w:sz="4" w:space="0"/>
              <w:bottom w:val="single" w:color="auto" w:sz="4" w:space="0"/>
              <w:right w:val="single" w:color="auto" w:sz="4" w:space="0"/>
            </w:tcBorders>
            <w:vAlign w:val="center"/>
          </w:tcPr>
          <w:p w14:paraId="34EB5643">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详见第一章招标公告</w:t>
            </w:r>
          </w:p>
        </w:tc>
      </w:tr>
      <w:tr w14:paraId="3B11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50D0BE70">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w:t>
            </w:r>
          </w:p>
        </w:tc>
        <w:tc>
          <w:tcPr>
            <w:tcW w:w="2504" w:type="dxa"/>
            <w:tcBorders>
              <w:top w:val="single" w:color="auto" w:sz="4" w:space="0"/>
              <w:left w:val="single" w:color="auto" w:sz="4" w:space="0"/>
              <w:bottom w:val="single" w:color="auto" w:sz="4" w:space="0"/>
              <w:right w:val="single" w:color="auto" w:sz="4" w:space="0"/>
            </w:tcBorders>
            <w:vAlign w:val="center"/>
          </w:tcPr>
          <w:p w14:paraId="4D0C43B2">
            <w:pPr>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Cs/>
                <w:color w:val="auto"/>
                <w:sz w:val="21"/>
                <w:szCs w:val="21"/>
                <w:highlight w:val="none"/>
                <w:u w:val="none"/>
              </w:rPr>
            </w:pPr>
            <w:r>
              <w:rPr>
                <w:rFonts w:hint="eastAsia" w:ascii="宋体" w:hAnsi="宋体" w:eastAsia="宋体" w:cs="宋体"/>
                <w:bCs/>
                <w:color w:val="auto"/>
                <w:sz w:val="21"/>
                <w:szCs w:val="21"/>
                <w:highlight w:val="none"/>
                <w:u w:val="none"/>
                <w:lang w:val="en-US" w:eastAsia="zh-CN"/>
              </w:rPr>
              <w:t>投标人</w:t>
            </w:r>
            <w:r>
              <w:rPr>
                <w:rFonts w:hint="eastAsia" w:ascii="宋体" w:hAnsi="宋体" w:eastAsia="宋体" w:cs="宋体"/>
                <w:bCs/>
                <w:color w:val="auto"/>
                <w:sz w:val="21"/>
                <w:szCs w:val="21"/>
                <w:highlight w:val="none"/>
                <w:u w:val="none"/>
              </w:rPr>
              <w:t>资格要求</w:t>
            </w:r>
          </w:p>
        </w:tc>
        <w:tc>
          <w:tcPr>
            <w:tcW w:w="6375" w:type="dxa"/>
            <w:tcBorders>
              <w:top w:val="single" w:color="auto" w:sz="4" w:space="0"/>
              <w:left w:val="single" w:color="auto" w:sz="4" w:space="0"/>
              <w:bottom w:val="single" w:color="auto" w:sz="4" w:space="0"/>
              <w:right w:val="single" w:color="auto" w:sz="4" w:space="0"/>
            </w:tcBorders>
            <w:vAlign w:val="center"/>
          </w:tcPr>
          <w:p w14:paraId="4C7DDCEC">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bCs/>
                <w:color w:val="auto"/>
                <w:sz w:val="21"/>
                <w:szCs w:val="21"/>
                <w:highlight w:val="none"/>
                <w:u w:val="none"/>
                <w:lang w:eastAsia="zh-CN"/>
              </w:rPr>
            </w:pPr>
            <w:r>
              <w:rPr>
                <w:rFonts w:hint="eastAsia" w:ascii="宋体" w:hAnsi="宋体" w:eastAsia="宋体" w:cs="宋体"/>
                <w:color w:val="auto"/>
                <w:sz w:val="21"/>
                <w:szCs w:val="21"/>
                <w:highlight w:val="none"/>
                <w:lang w:val="en-US" w:eastAsia="zh-CN"/>
              </w:rPr>
              <w:t>详见第一章招标公告</w:t>
            </w:r>
          </w:p>
        </w:tc>
      </w:tr>
      <w:tr w14:paraId="51AE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B7E3DBA">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w:t>
            </w:r>
          </w:p>
        </w:tc>
        <w:tc>
          <w:tcPr>
            <w:tcW w:w="2504" w:type="dxa"/>
            <w:tcBorders>
              <w:top w:val="single" w:color="auto" w:sz="4" w:space="0"/>
              <w:left w:val="single" w:color="auto" w:sz="4" w:space="0"/>
              <w:bottom w:val="single" w:color="auto" w:sz="4" w:space="0"/>
              <w:right w:val="single" w:color="auto" w:sz="4" w:space="0"/>
            </w:tcBorders>
            <w:vAlign w:val="center"/>
          </w:tcPr>
          <w:p w14:paraId="5089992D">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资格审查方式</w:t>
            </w:r>
          </w:p>
        </w:tc>
        <w:tc>
          <w:tcPr>
            <w:tcW w:w="6375" w:type="dxa"/>
            <w:tcBorders>
              <w:top w:val="single" w:color="auto" w:sz="4" w:space="0"/>
              <w:left w:val="single" w:color="auto" w:sz="4" w:space="0"/>
              <w:bottom w:val="single" w:color="auto" w:sz="4" w:space="0"/>
              <w:right w:val="single" w:color="auto" w:sz="4" w:space="0"/>
            </w:tcBorders>
            <w:vAlign w:val="center"/>
          </w:tcPr>
          <w:p w14:paraId="6D7A5CA4">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资格后审</w:t>
            </w:r>
          </w:p>
        </w:tc>
      </w:tr>
      <w:tr w14:paraId="42F59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AE350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9</w:t>
            </w:r>
          </w:p>
        </w:tc>
        <w:tc>
          <w:tcPr>
            <w:tcW w:w="2504" w:type="dxa"/>
            <w:tcBorders>
              <w:top w:val="single" w:color="auto" w:sz="4" w:space="0"/>
              <w:left w:val="single" w:color="auto" w:sz="4" w:space="0"/>
              <w:bottom w:val="single" w:color="auto" w:sz="4" w:space="0"/>
              <w:right w:val="single" w:color="auto" w:sz="4" w:space="0"/>
            </w:tcBorders>
            <w:vAlign w:val="center"/>
          </w:tcPr>
          <w:p w14:paraId="54EA738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服务周</w:t>
            </w:r>
            <w:r>
              <w:rPr>
                <w:rFonts w:hint="eastAsia" w:ascii="宋体" w:hAnsi="宋体" w:eastAsia="宋体" w:cs="宋体"/>
                <w:color w:val="auto"/>
                <w:sz w:val="21"/>
                <w:szCs w:val="21"/>
                <w:highlight w:val="none"/>
              </w:rPr>
              <w:t>期</w:t>
            </w:r>
          </w:p>
        </w:tc>
        <w:tc>
          <w:tcPr>
            <w:tcW w:w="6375" w:type="dxa"/>
            <w:tcBorders>
              <w:top w:val="single" w:color="auto" w:sz="4" w:space="0"/>
              <w:left w:val="single" w:color="auto" w:sz="4" w:space="0"/>
              <w:bottom w:val="single" w:color="auto" w:sz="4" w:space="0"/>
              <w:right w:val="single" w:color="auto" w:sz="4" w:space="0"/>
            </w:tcBorders>
            <w:vAlign w:val="center"/>
          </w:tcPr>
          <w:p w14:paraId="2ADFB106">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详见第一章招标公告</w:t>
            </w:r>
          </w:p>
        </w:tc>
      </w:tr>
      <w:tr w14:paraId="61464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C02956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w:t>
            </w:r>
          </w:p>
        </w:tc>
        <w:tc>
          <w:tcPr>
            <w:tcW w:w="2504" w:type="dxa"/>
            <w:tcBorders>
              <w:top w:val="single" w:color="auto" w:sz="4" w:space="0"/>
              <w:left w:val="single" w:color="auto" w:sz="4" w:space="0"/>
              <w:bottom w:val="single" w:color="auto" w:sz="4" w:space="0"/>
              <w:right w:val="single" w:color="auto" w:sz="4" w:space="0"/>
            </w:tcBorders>
            <w:vAlign w:val="center"/>
          </w:tcPr>
          <w:p w14:paraId="1758AB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报价货币</w:t>
            </w:r>
          </w:p>
        </w:tc>
        <w:tc>
          <w:tcPr>
            <w:tcW w:w="6375" w:type="dxa"/>
            <w:tcBorders>
              <w:top w:val="single" w:color="auto" w:sz="4" w:space="0"/>
              <w:left w:val="single" w:color="auto" w:sz="4" w:space="0"/>
              <w:bottom w:val="single" w:color="auto" w:sz="4" w:space="0"/>
              <w:right w:val="single" w:color="auto" w:sz="4" w:space="0"/>
            </w:tcBorders>
            <w:vAlign w:val="center"/>
          </w:tcPr>
          <w:p w14:paraId="2EEA07C7">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人民币</w:t>
            </w:r>
          </w:p>
        </w:tc>
      </w:tr>
      <w:tr w14:paraId="15DAC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4DB14A96">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w:t>
            </w:r>
          </w:p>
        </w:tc>
        <w:tc>
          <w:tcPr>
            <w:tcW w:w="2504" w:type="dxa"/>
            <w:tcBorders>
              <w:top w:val="single" w:color="auto" w:sz="4" w:space="0"/>
              <w:left w:val="single" w:color="auto" w:sz="4" w:space="0"/>
              <w:bottom w:val="single" w:color="auto" w:sz="4" w:space="0"/>
              <w:right w:val="single" w:color="auto" w:sz="4" w:space="0"/>
            </w:tcBorders>
            <w:vAlign w:val="center"/>
          </w:tcPr>
          <w:p w14:paraId="7263725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投标保证金</w:t>
            </w:r>
          </w:p>
        </w:tc>
        <w:tc>
          <w:tcPr>
            <w:tcW w:w="6375" w:type="dxa"/>
            <w:tcBorders>
              <w:top w:val="single" w:color="auto" w:sz="4" w:space="0"/>
              <w:left w:val="single" w:color="auto" w:sz="4" w:space="0"/>
              <w:bottom w:val="single" w:color="auto" w:sz="4" w:space="0"/>
              <w:right w:val="single" w:color="auto" w:sz="4" w:space="0"/>
            </w:tcBorders>
            <w:vAlign w:val="center"/>
          </w:tcPr>
          <w:p w14:paraId="259B2213">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详见第一章招标公告</w:t>
            </w:r>
          </w:p>
        </w:tc>
      </w:tr>
      <w:tr w14:paraId="41D1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8"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5CCB09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12</w:t>
            </w:r>
          </w:p>
        </w:tc>
        <w:tc>
          <w:tcPr>
            <w:tcW w:w="2504" w:type="dxa"/>
            <w:tcBorders>
              <w:top w:val="single" w:color="auto" w:sz="4" w:space="0"/>
              <w:left w:val="single" w:color="auto" w:sz="4" w:space="0"/>
              <w:bottom w:val="single" w:color="auto" w:sz="4" w:space="0"/>
              <w:right w:val="single" w:color="auto" w:sz="4" w:space="0"/>
            </w:tcBorders>
            <w:vAlign w:val="center"/>
          </w:tcPr>
          <w:p w14:paraId="441D6AF0">
            <w:pPr>
              <w:keepNext/>
              <w:keepLines w:val="0"/>
              <w:pageBreakBefore w:val="0"/>
              <w:kinsoku/>
              <w:wordWrap/>
              <w:overflowPunct/>
              <w:bidi w:val="0"/>
              <w:spacing w:before="40" w:line="240" w:lineRule="auto"/>
              <w:ind w:left="0" w:leftChars="0"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投标文件</w:t>
            </w:r>
            <w:r>
              <w:rPr>
                <w:rFonts w:hint="eastAsia" w:ascii="宋体" w:hAnsi="宋体" w:eastAsia="宋体" w:cs="宋体"/>
                <w:b/>
                <w:bCs/>
                <w:color w:val="auto"/>
                <w:sz w:val="21"/>
                <w:szCs w:val="21"/>
                <w:highlight w:val="none"/>
                <w:lang w:val="en-US" w:eastAsia="zh-CN"/>
              </w:rPr>
              <w:t>编制</w:t>
            </w:r>
            <w:r>
              <w:rPr>
                <w:rFonts w:hint="eastAsia" w:ascii="宋体" w:hAnsi="宋体" w:eastAsia="宋体" w:cs="宋体"/>
                <w:b/>
                <w:bCs/>
                <w:color w:val="auto"/>
                <w:sz w:val="21"/>
                <w:szCs w:val="21"/>
                <w:highlight w:val="none"/>
              </w:rPr>
              <w:t>要求</w:t>
            </w:r>
          </w:p>
        </w:tc>
        <w:tc>
          <w:tcPr>
            <w:tcW w:w="6375" w:type="dxa"/>
            <w:tcBorders>
              <w:top w:val="single" w:color="auto" w:sz="4" w:space="0"/>
              <w:left w:val="single" w:color="auto" w:sz="4" w:space="0"/>
              <w:bottom w:val="single" w:color="auto" w:sz="4" w:space="0"/>
              <w:right w:val="single" w:color="auto" w:sz="4" w:space="0"/>
            </w:tcBorders>
            <w:vAlign w:val="center"/>
          </w:tcPr>
          <w:p w14:paraId="346AB2A8">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投标单位提交纸质版投标文件，A4纸，袋装正本一份、副本一份，电子文件u盘一份，投标文件需经法定代表人或委托代理人签字并加盖单位公章，并保证纸质文件内容与电子文件一致。</w:t>
            </w:r>
          </w:p>
          <w:p w14:paraId="05BC9063">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1.纸质文件密封要求：分资信标、技术标、价格标装订成册，密封在投标文件密封袋里，密封袋的封口处应加盖投标人公章。价格标须单独密封（含正副本），资信标和技术标一起密封（含正副本）。</w:t>
            </w:r>
          </w:p>
          <w:p w14:paraId="2C1EE53C">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★除价格标可体现投标报价外，其余文件不得体现投标报价，否则，按废标处理。</w:t>
            </w:r>
          </w:p>
          <w:p w14:paraId="5B663A01">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2.电子文件提交要求：分资信标、技术标、价格标三个文件夹，提交盖章版扫描件，U盘密封在资信技术标内。</w:t>
            </w:r>
          </w:p>
          <w:p w14:paraId="02703C72">
            <w:pPr>
              <w:keepNext/>
              <w:keepLines w:val="0"/>
              <w:pageBreakBefore w:val="0"/>
              <w:kinsoku/>
              <w:wordWrap/>
              <w:overflowPunct/>
              <w:bidi w:val="0"/>
              <w:spacing w:before="40" w:line="240" w:lineRule="auto"/>
              <w:ind w:right="0" w:rightChars="0" w:firstLine="0" w:firstLineChars="0"/>
              <w:jc w:val="both"/>
              <w:rPr>
                <w:rFonts w:hint="default" w:ascii="宋体" w:hAnsi="宋体" w:eastAsia="宋体" w:cs="宋体"/>
                <w:b/>
                <w:bCs/>
                <w:color w:val="auto"/>
                <w:sz w:val="21"/>
                <w:szCs w:val="21"/>
                <w:highlight w:val="none"/>
                <w:u w:val="none"/>
                <w:lang w:val="en-US" w:eastAsia="zh-CN"/>
              </w:rPr>
            </w:pPr>
            <w:r>
              <w:rPr>
                <w:rFonts w:hint="eastAsia" w:ascii="宋体" w:hAnsi="宋体" w:eastAsia="宋体" w:cs="宋体"/>
                <w:b/>
                <w:bCs/>
                <w:color w:val="auto"/>
                <w:sz w:val="21"/>
                <w:szCs w:val="21"/>
                <w:highlight w:val="none"/>
                <w:u w:val="none"/>
                <w:lang w:val="en-US" w:eastAsia="zh-CN"/>
              </w:rPr>
              <w:t>3.投标小样递交要求：本项目要求各投标人根据其提交实物小样至投标文件递交地址，小样提交的截止时间同本项目截标时间。用标签清晰注明小样名称和投标人名称，标签加盖投标人公章。</w:t>
            </w:r>
          </w:p>
        </w:tc>
      </w:tr>
      <w:bookmarkEnd w:id="48"/>
      <w:bookmarkEnd w:id="49"/>
      <w:tr w14:paraId="20903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restart"/>
            <w:tcBorders>
              <w:top w:val="single" w:color="auto" w:sz="4" w:space="0"/>
              <w:left w:val="single" w:color="auto" w:sz="4" w:space="0"/>
              <w:right w:val="single" w:color="auto" w:sz="4" w:space="0"/>
            </w:tcBorders>
            <w:vAlign w:val="center"/>
          </w:tcPr>
          <w:p w14:paraId="484BD9B2">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13</w:t>
            </w:r>
          </w:p>
        </w:tc>
        <w:tc>
          <w:tcPr>
            <w:tcW w:w="2504" w:type="dxa"/>
            <w:tcBorders>
              <w:top w:val="single" w:color="auto" w:sz="4" w:space="0"/>
              <w:left w:val="single" w:color="auto" w:sz="4" w:space="0"/>
              <w:bottom w:val="single" w:color="auto" w:sz="4" w:space="0"/>
              <w:right w:val="single" w:color="auto" w:sz="4" w:space="0"/>
            </w:tcBorders>
            <w:vAlign w:val="center"/>
          </w:tcPr>
          <w:p w14:paraId="2D3A364B">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投标文件组成</w:t>
            </w:r>
          </w:p>
        </w:tc>
        <w:tc>
          <w:tcPr>
            <w:tcW w:w="6375" w:type="dxa"/>
            <w:tcBorders>
              <w:top w:val="single" w:color="auto" w:sz="4" w:space="0"/>
              <w:left w:val="single" w:color="auto" w:sz="4" w:space="0"/>
              <w:bottom w:val="single" w:color="auto" w:sz="4" w:space="0"/>
              <w:right w:val="single" w:color="auto" w:sz="4" w:space="0"/>
            </w:tcBorders>
            <w:vAlign w:val="center"/>
          </w:tcPr>
          <w:p w14:paraId="64B8F2FD">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投标文件包含以下组成部分：</w:t>
            </w:r>
          </w:p>
          <w:p w14:paraId="5B2A068A">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一、资信</w:t>
            </w:r>
            <w:r>
              <w:rPr>
                <w:rFonts w:hint="eastAsia" w:ascii="宋体" w:hAnsi="宋体" w:eastAsia="宋体" w:cs="宋体"/>
                <w:color w:val="auto"/>
                <w:kern w:val="0"/>
                <w:sz w:val="21"/>
                <w:szCs w:val="21"/>
                <w:highlight w:val="none"/>
              </w:rPr>
              <w:t>标</w:t>
            </w:r>
            <w:r>
              <w:rPr>
                <w:rFonts w:hint="eastAsia" w:ascii="宋体" w:hAnsi="宋体" w:eastAsia="宋体" w:cs="宋体"/>
                <w:color w:val="auto"/>
                <w:kern w:val="0"/>
                <w:sz w:val="21"/>
                <w:szCs w:val="21"/>
                <w:highlight w:val="none"/>
                <w:lang w:val="en-US" w:eastAsia="zh-CN"/>
              </w:rPr>
              <w:t>部分</w:t>
            </w:r>
          </w:p>
          <w:p w14:paraId="732D7D5B">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二、技术标部分</w:t>
            </w:r>
          </w:p>
          <w:p w14:paraId="4AA30837">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三、价格标部分</w:t>
            </w:r>
          </w:p>
        </w:tc>
      </w:tr>
      <w:tr w14:paraId="391E5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right w:val="single" w:color="auto" w:sz="4" w:space="0"/>
            </w:tcBorders>
            <w:vAlign w:val="center"/>
          </w:tcPr>
          <w:p w14:paraId="4D68C8D3">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color w:val="auto"/>
                <w:kern w:val="0"/>
                <w:sz w:val="21"/>
                <w:szCs w:val="21"/>
                <w:highlight w:val="none"/>
              </w:rPr>
            </w:pPr>
          </w:p>
        </w:tc>
        <w:tc>
          <w:tcPr>
            <w:tcW w:w="2504" w:type="dxa"/>
            <w:tcBorders>
              <w:top w:val="single" w:color="auto" w:sz="4" w:space="0"/>
              <w:left w:val="single" w:color="auto" w:sz="4" w:space="0"/>
              <w:bottom w:val="single" w:color="auto" w:sz="4" w:space="0"/>
              <w:right w:val="single" w:color="auto" w:sz="4" w:space="0"/>
            </w:tcBorders>
            <w:vAlign w:val="center"/>
          </w:tcPr>
          <w:p w14:paraId="1C28B0C6">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资信标</w:t>
            </w:r>
          </w:p>
        </w:tc>
        <w:tc>
          <w:tcPr>
            <w:tcW w:w="6375" w:type="dxa"/>
            <w:tcBorders>
              <w:top w:val="single" w:color="auto" w:sz="4" w:space="0"/>
              <w:left w:val="single" w:color="auto" w:sz="4" w:space="0"/>
              <w:bottom w:val="single" w:color="auto" w:sz="4" w:space="0"/>
              <w:right w:val="single" w:color="auto" w:sz="4" w:space="0"/>
            </w:tcBorders>
            <w:vAlign w:val="center"/>
          </w:tcPr>
          <w:p w14:paraId="6CF7CEA7">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编制内容：</w:t>
            </w:r>
          </w:p>
          <w:p w14:paraId="1A6D7501">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 xml:space="preserve">详见招标文件第六章 投标文件格式/资信标部分    </w:t>
            </w:r>
            <w:r>
              <w:rPr>
                <w:rFonts w:hint="eastAsia" w:ascii="宋体" w:hAnsi="宋体" w:eastAsia="宋体" w:cs="宋体"/>
                <w:color w:val="auto"/>
                <w:kern w:val="0"/>
                <w:sz w:val="21"/>
                <w:szCs w:val="21"/>
                <w:highlight w:val="none"/>
                <w:lang w:eastAsia="zh-CN"/>
              </w:rPr>
              <w:t xml:space="preserve">          </w:t>
            </w:r>
            <w:r>
              <w:rPr>
                <w:rFonts w:hint="eastAsia" w:ascii="宋体" w:hAnsi="宋体" w:eastAsia="宋体" w:cs="宋体"/>
                <w:color w:val="auto"/>
                <w:kern w:val="0"/>
                <w:sz w:val="21"/>
                <w:szCs w:val="21"/>
                <w:highlight w:val="none"/>
              </w:rPr>
              <w:t xml:space="preserve">         </w:t>
            </w:r>
          </w:p>
        </w:tc>
      </w:tr>
      <w:tr w14:paraId="26A8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bottom w:val="single" w:color="auto" w:sz="4" w:space="0"/>
              <w:right w:val="single" w:color="auto" w:sz="4" w:space="0"/>
            </w:tcBorders>
            <w:vAlign w:val="center"/>
          </w:tcPr>
          <w:p w14:paraId="23F7E931">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color w:val="auto"/>
                <w:kern w:val="0"/>
                <w:sz w:val="21"/>
                <w:szCs w:val="21"/>
                <w:highlight w:val="none"/>
              </w:rPr>
            </w:pPr>
          </w:p>
        </w:tc>
        <w:tc>
          <w:tcPr>
            <w:tcW w:w="2504" w:type="dxa"/>
            <w:tcBorders>
              <w:top w:val="single" w:color="auto" w:sz="4" w:space="0"/>
              <w:left w:val="single" w:color="auto" w:sz="4" w:space="0"/>
              <w:bottom w:val="single" w:color="auto" w:sz="4" w:space="0"/>
              <w:right w:val="single" w:color="auto" w:sz="4" w:space="0"/>
            </w:tcBorders>
            <w:vAlign w:val="center"/>
          </w:tcPr>
          <w:p w14:paraId="0A7BC1F9">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技术标</w:t>
            </w:r>
          </w:p>
        </w:tc>
        <w:tc>
          <w:tcPr>
            <w:tcW w:w="6375" w:type="dxa"/>
            <w:tcBorders>
              <w:top w:val="single" w:color="auto" w:sz="4" w:space="0"/>
              <w:left w:val="single" w:color="auto" w:sz="4" w:space="0"/>
              <w:bottom w:val="single" w:color="auto" w:sz="4" w:space="0"/>
              <w:right w:val="single" w:color="auto" w:sz="4" w:space="0"/>
            </w:tcBorders>
            <w:vAlign w:val="center"/>
          </w:tcPr>
          <w:p w14:paraId="695C0643">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编制内容：</w:t>
            </w:r>
          </w:p>
          <w:p w14:paraId="385ACD2D">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详见招标文件第六章 投标文件格式/技术标部分</w:t>
            </w:r>
            <w:r>
              <w:rPr>
                <w:rFonts w:hint="eastAsia" w:ascii="宋体" w:hAnsi="宋体" w:eastAsia="宋体" w:cs="宋体"/>
                <w:color w:val="auto"/>
                <w:kern w:val="0"/>
                <w:sz w:val="21"/>
                <w:szCs w:val="21"/>
                <w:highlight w:val="none"/>
                <w:lang w:eastAsia="zh-CN"/>
              </w:rPr>
              <w:t xml:space="preserve">     </w:t>
            </w:r>
          </w:p>
        </w:tc>
      </w:tr>
      <w:tr w14:paraId="3F4A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vMerge w:val="continue"/>
            <w:tcBorders>
              <w:left w:val="single" w:color="auto" w:sz="4" w:space="0"/>
              <w:bottom w:val="single" w:color="auto" w:sz="4" w:space="0"/>
              <w:right w:val="single" w:color="auto" w:sz="4" w:space="0"/>
            </w:tcBorders>
            <w:vAlign w:val="center"/>
          </w:tcPr>
          <w:p w14:paraId="1629524B">
            <w:pPr>
              <w:keepLines w:val="0"/>
              <w:pageBreakBefore w:val="0"/>
              <w:kinsoku/>
              <w:wordWrap/>
              <w:overflowPunct/>
              <w:autoSpaceDE w:val="0"/>
              <w:autoSpaceDN w:val="0"/>
              <w:bidi w:val="0"/>
              <w:adjustRightInd w:val="0"/>
              <w:snapToGrid w:val="0"/>
              <w:spacing w:before="40" w:line="240" w:lineRule="auto"/>
              <w:ind w:right="0" w:rightChars="0" w:firstLine="0" w:firstLineChars="0"/>
              <w:jc w:val="center"/>
              <w:rPr>
                <w:rFonts w:hint="eastAsia" w:ascii="宋体" w:hAnsi="宋体" w:eastAsia="宋体" w:cs="宋体"/>
                <w:color w:val="auto"/>
                <w:kern w:val="0"/>
                <w:sz w:val="21"/>
                <w:szCs w:val="21"/>
                <w:highlight w:val="none"/>
              </w:rPr>
            </w:pPr>
          </w:p>
        </w:tc>
        <w:tc>
          <w:tcPr>
            <w:tcW w:w="2504" w:type="dxa"/>
            <w:tcBorders>
              <w:top w:val="single" w:color="auto" w:sz="4" w:space="0"/>
              <w:left w:val="single" w:color="auto" w:sz="4" w:space="0"/>
              <w:bottom w:val="single" w:color="auto" w:sz="4" w:space="0"/>
              <w:right w:val="single" w:color="auto" w:sz="4" w:space="0"/>
            </w:tcBorders>
            <w:vAlign w:val="center"/>
          </w:tcPr>
          <w:p w14:paraId="04D4B713">
            <w:pPr>
              <w:keepLines w:val="0"/>
              <w:pageBreakBefore w:val="0"/>
              <w:kinsoku/>
              <w:wordWrap/>
              <w:overflowPunct/>
              <w:autoSpaceDE w:val="0"/>
              <w:autoSpaceDN w:val="0"/>
              <w:bidi w:val="0"/>
              <w:adjustRightInd w:val="0"/>
              <w:snapToGrid w:val="0"/>
              <w:spacing w:before="40" w:line="240" w:lineRule="auto"/>
              <w:ind w:left="0" w:leftChars="0" w:right="0" w:rightChars="0" w:firstLine="0" w:firstLineChars="0"/>
              <w:jc w:val="center"/>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价格标</w:t>
            </w:r>
          </w:p>
        </w:tc>
        <w:tc>
          <w:tcPr>
            <w:tcW w:w="6375" w:type="dxa"/>
            <w:tcBorders>
              <w:top w:val="single" w:color="auto" w:sz="4" w:space="0"/>
              <w:left w:val="single" w:color="auto" w:sz="4" w:space="0"/>
              <w:bottom w:val="single" w:color="auto" w:sz="4" w:space="0"/>
              <w:right w:val="single" w:color="auto" w:sz="4" w:space="0"/>
            </w:tcBorders>
            <w:vAlign w:val="center"/>
          </w:tcPr>
          <w:p w14:paraId="0CC4913A">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编制内容：</w:t>
            </w:r>
          </w:p>
          <w:p w14:paraId="3AFCD6E3">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textAlignment w:val="baseline"/>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详见招标文件第六章 投标文件格式/价格标部分</w:t>
            </w:r>
            <w:r>
              <w:rPr>
                <w:rFonts w:hint="eastAsia" w:ascii="宋体" w:hAnsi="宋体" w:eastAsia="宋体" w:cs="宋体"/>
                <w:color w:val="auto"/>
                <w:kern w:val="0"/>
                <w:sz w:val="21"/>
                <w:szCs w:val="21"/>
                <w:highlight w:val="none"/>
                <w:lang w:eastAsia="zh-CN"/>
              </w:rPr>
              <w:t xml:space="preserve">     </w:t>
            </w:r>
            <w:r>
              <w:rPr>
                <w:rFonts w:hint="eastAsia" w:ascii="宋体" w:hAnsi="宋体" w:eastAsia="宋体" w:cs="宋体"/>
                <w:color w:val="auto"/>
                <w:kern w:val="0"/>
                <w:sz w:val="21"/>
                <w:szCs w:val="21"/>
                <w:highlight w:val="none"/>
              </w:rPr>
              <w:t xml:space="preserve">           </w:t>
            </w:r>
          </w:p>
        </w:tc>
      </w:tr>
      <w:tr w14:paraId="0582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11CC165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w:t>
            </w:r>
          </w:p>
        </w:tc>
        <w:tc>
          <w:tcPr>
            <w:tcW w:w="2504" w:type="dxa"/>
            <w:tcBorders>
              <w:top w:val="single" w:color="auto" w:sz="4" w:space="0"/>
              <w:left w:val="single" w:color="auto" w:sz="4" w:space="0"/>
              <w:bottom w:val="single" w:color="auto" w:sz="4" w:space="0"/>
              <w:right w:val="single" w:color="auto" w:sz="4" w:space="0"/>
            </w:tcBorders>
            <w:vAlign w:val="center"/>
          </w:tcPr>
          <w:p w14:paraId="178B66DC">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lang w:val="en-US" w:eastAsia="zh-CN"/>
              </w:rPr>
              <w:t>投标文件份数</w:t>
            </w:r>
          </w:p>
        </w:tc>
        <w:tc>
          <w:tcPr>
            <w:tcW w:w="6375" w:type="dxa"/>
            <w:tcBorders>
              <w:top w:val="single" w:color="auto" w:sz="4" w:space="0"/>
              <w:left w:val="single" w:color="auto" w:sz="4" w:space="0"/>
              <w:bottom w:val="single" w:color="auto" w:sz="4" w:space="0"/>
              <w:right w:val="single" w:color="auto" w:sz="4" w:space="0"/>
            </w:tcBorders>
            <w:vAlign w:val="center"/>
          </w:tcPr>
          <w:p w14:paraId="031AEEDF">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kern w:val="2"/>
                <w:sz w:val="21"/>
                <w:szCs w:val="21"/>
                <w:highlight w:val="none"/>
              </w:rPr>
            </w:pPr>
            <w:r>
              <w:rPr>
                <w:rFonts w:hint="eastAsia" w:ascii="宋体" w:hAnsi="宋体" w:eastAsia="宋体" w:cs="宋体"/>
                <w:b/>
                <w:bCs/>
                <w:color w:val="auto"/>
                <w:sz w:val="21"/>
                <w:szCs w:val="21"/>
                <w:highlight w:val="none"/>
                <w:lang w:val="en-US" w:eastAsia="zh-CN"/>
              </w:rPr>
              <w:t>一式两份，正本一份，副本一份，电子文件u盘一份。</w:t>
            </w:r>
          </w:p>
        </w:tc>
      </w:tr>
      <w:tr w14:paraId="76E00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33106537">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15</w:t>
            </w:r>
          </w:p>
        </w:tc>
        <w:tc>
          <w:tcPr>
            <w:tcW w:w="2504" w:type="dxa"/>
            <w:tcBorders>
              <w:top w:val="single" w:color="auto" w:sz="4" w:space="0"/>
              <w:left w:val="single" w:color="auto" w:sz="4" w:space="0"/>
              <w:bottom w:val="single" w:color="auto" w:sz="4" w:space="0"/>
              <w:right w:val="single" w:color="auto" w:sz="4" w:space="0"/>
            </w:tcBorders>
            <w:vAlign w:val="center"/>
          </w:tcPr>
          <w:p w14:paraId="213717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投标人质疑</w:t>
            </w:r>
            <w:r>
              <w:rPr>
                <w:rFonts w:hint="eastAsia" w:ascii="宋体" w:hAnsi="宋体" w:eastAsia="宋体" w:cs="宋体"/>
                <w:b/>
                <w:bCs/>
                <w:color w:val="auto"/>
                <w:sz w:val="21"/>
                <w:szCs w:val="21"/>
                <w:highlight w:val="none"/>
                <w:lang w:val="en-US" w:eastAsia="zh-CN"/>
              </w:rPr>
              <w:t>时间</w:t>
            </w:r>
            <w:r>
              <w:rPr>
                <w:rFonts w:hint="eastAsia" w:ascii="宋体" w:hAnsi="宋体" w:eastAsia="宋体" w:cs="宋体"/>
                <w:b/>
                <w:bCs/>
                <w:color w:val="auto"/>
                <w:sz w:val="21"/>
                <w:szCs w:val="21"/>
                <w:highlight w:val="none"/>
              </w:rPr>
              <w:t>与方式</w:t>
            </w:r>
          </w:p>
        </w:tc>
        <w:tc>
          <w:tcPr>
            <w:tcW w:w="6375" w:type="dxa"/>
            <w:tcBorders>
              <w:top w:val="single" w:color="auto" w:sz="4" w:space="0"/>
              <w:left w:val="single" w:color="auto" w:sz="4" w:space="0"/>
              <w:bottom w:val="single" w:color="auto" w:sz="4" w:space="0"/>
              <w:right w:val="single" w:color="auto" w:sz="4" w:space="0"/>
            </w:tcBorders>
            <w:vAlign w:val="center"/>
          </w:tcPr>
          <w:p w14:paraId="44C3E0F0">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kern w:val="2"/>
                <w:sz w:val="21"/>
                <w:szCs w:val="21"/>
                <w:highlight w:val="none"/>
                <w:u w:val="single"/>
                <w:lang w:val="en-US" w:eastAsia="zh-CN" w:bidi="ar-SA"/>
              </w:rPr>
              <w:t>投标人质疑截止时间：以深圳阳光采购平台公布时间为准。</w:t>
            </w:r>
          </w:p>
          <w:p w14:paraId="1F5206DF">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b/>
                <w:bCs/>
                <w:color w:val="auto"/>
                <w:kern w:val="2"/>
                <w:sz w:val="21"/>
                <w:szCs w:val="21"/>
                <w:highlight w:val="none"/>
                <w:u w:val="single"/>
                <w:lang w:val="en-US" w:eastAsia="zh-CN" w:bidi="ar-SA"/>
              </w:rPr>
              <w:t>投标人对招标事宜的质疑以电子邮件形式发送至招标联系人邮箱（liningxin@gxfz.sihc.com.cn）。</w:t>
            </w:r>
            <w:r>
              <w:rPr>
                <w:rFonts w:hint="eastAsia" w:ascii="宋体" w:hAnsi="宋体" w:eastAsia="宋体" w:cs="宋体"/>
                <w:b/>
                <w:bCs/>
                <w:color w:val="auto"/>
                <w:sz w:val="21"/>
                <w:szCs w:val="21"/>
                <w:highlight w:val="none"/>
                <w:u w:val="single"/>
                <w:lang w:val="en-US" w:eastAsia="zh-CN"/>
              </w:rPr>
              <w:t xml:space="preserve">  </w:t>
            </w:r>
            <w:r>
              <w:rPr>
                <w:rFonts w:hint="eastAsia" w:ascii="宋体" w:hAnsi="宋体" w:eastAsia="宋体" w:cs="宋体"/>
                <w:b/>
                <w:bCs/>
                <w:color w:val="auto"/>
                <w:sz w:val="21"/>
                <w:szCs w:val="21"/>
                <w:highlight w:val="none"/>
                <w:lang w:val="en-US" w:eastAsia="zh-CN"/>
              </w:rPr>
              <w:t xml:space="preserve"> </w:t>
            </w:r>
          </w:p>
        </w:tc>
      </w:tr>
      <w:tr w14:paraId="5846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735ED085">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16</w:t>
            </w:r>
          </w:p>
        </w:tc>
        <w:tc>
          <w:tcPr>
            <w:tcW w:w="2504" w:type="dxa"/>
            <w:tcBorders>
              <w:top w:val="single" w:color="auto" w:sz="4" w:space="0"/>
              <w:left w:val="single" w:color="auto" w:sz="4" w:space="0"/>
              <w:bottom w:val="single" w:color="auto" w:sz="4" w:space="0"/>
              <w:right w:val="single" w:color="auto" w:sz="4" w:space="0"/>
            </w:tcBorders>
            <w:vAlign w:val="center"/>
          </w:tcPr>
          <w:p w14:paraId="1B2EEABE">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rPr>
              <w:t>招标人澄清、修改、答疑</w:t>
            </w:r>
            <w:r>
              <w:rPr>
                <w:rFonts w:hint="eastAsia" w:ascii="宋体" w:hAnsi="宋体" w:eastAsia="宋体" w:cs="宋体"/>
                <w:b/>
                <w:bCs/>
                <w:color w:val="auto"/>
                <w:sz w:val="21"/>
                <w:szCs w:val="21"/>
                <w:highlight w:val="none"/>
                <w:lang w:val="en-US" w:eastAsia="zh-CN"/>
              </w:rPr>
              <w:t>时间与方式</w:t>
            </w:r>
          </w:p>
        </w:tc>
        <w:tc>
          <w:tcPr>
            <w:tcW w:w="6375" w:type="dxa"/>
            <w:tcBorders>
              <w:top w:val="single" w:color="auto" w:sz="4" w:space="0"/>
              <w:left w:val="single" w:color="auto" w:sz="4" w:space="0"/>
              <w:bottom w:val="single" w:color="auto" w:sz="4" w:space="0"/>
              <w:right w:val="single" w:color="auto" w:sz="4" w:space="0"/>
            </w:tcBorders>
            <w:vAlign w:val="center"/>
          </w:tcPr>
          <w:p w14:paraId="380B1163">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u w:val="single"/>
                <w:lang w:val="en-US" w:eastAsia="zh-CN" w:bidi="ar-SA"/>
              </w:rPr>
            </w:pPr>
            <w:r>
              <w:rPr>
                <w:rFonts w:hint="eastAsia" w:ascii="宋体" w:hAnsi="宋体" w:eastAsia="宋体" w:cs="宋体"/>
                <w:b/>
                <w:bCs/>
                <w:color w:val="auto"/>
                <w:sz w:val="21"/>
                <w:szCs w:val="21"/>
                <w:highlight w:val="none"/>
                <w:u w:val="single"/>
              </w:rPr>
              <w:t>招标人澄清、修改、答疑</w:t>
            </w:r>
            <w:r>
              <w:rPr>
                <w:rFonts w:hint="eastAsia" w:ascii="宋体" w:hAnsi="宋体" w:eastAsia="宋体" w:cs="宋体"/>
                <w:b/>
                <w:bCs/>
                <w:color w:val="auto"/>
                <w:sz w:val="21"/>
                <w:szCs w:val="21"/>
                <w:highlight w:val="none"/>
                <w:u w:val="single"/>
                <w:lang w:val="en-US" w:eastAsia="zh-CN"/>
              </w:rPr>
              <w:t>截止时间：</w:t>
            </w:r>
            <w:r>
              <w:rPr>
                <w:rFonts w:hint="eastAsia" w:ascii="宋体" w:hAnsi="宋体" w:eastAsia="宋体" w:cs="宋体"/>
                <w:b/>
                <w:bCs/>
                <w:color w:val="auto"/>
                <w:kern w:val="2"/>
                <w:sz w:val="21"/>
                <w:szCs w:val="21"/>
                <w:highlight w:val="none"/>
                <w:u w:val="single"/>
                <w:lang w:val="en-US" w:eastAsia="zh-CN" w:bidi="ar-SA"/>
              </w:rPr>
              <w:t>以深圳阳光采购平台公布时间为准。</w:t>
            </w:r>
          </w:p>
          <w:p w14:paraId="3BEE99D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u w:val="single"/>
                <w:lang w:val="en-US" w:eastAsia="zh-CN" w:bidi="ar-SA"/>
              </w:rPr>
              <w:t>招标人对招标文件进行的澄清、修改以补充文件的形式通过深圳阳光采购平台→变更公告向所有投标人公示。</w:t>
            </w:r>
          </w:p>
        </w:tc>
      </w:tr>
      <w:tr w14:paraId="306E2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EC16A71">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7</w:t>
            </w:r>
          </w:p>
        </w:tc>
        <w:tc>
          <w:tcPr>
            <w:tcW w:w="2504" w:type="dxa"/>
            <w:tcBorders>
              <w:top w:val="single" w:color="auto" w:sz="4" w:space="0"/>
              <w:left w:val="single" w:color="auto" w:sz="4" w:space="0"/>
              <w:bottom w:val="single" w:color="auto" w:sz="4" w:space="0"/>
              <w:right w:val="single" w:color="auto" w:sz="4" w:space="0"/>
            </w:tcBorders>
            <w:vAlign w:val="center"/>
          </w:tcPr>
          <w:p w14:paraId="7AC500F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报价方式和内容</w:t>
            </w:r>
          </w:p>
        </w:tc>
        <w:tc>
          <w:tcPr>
            <w:tcW w:w="6375" w:type="dxa"/>
            <w:tcBorders>
              <w:top w:val="single" w:color="auto" w:sz="4" w:space="0"/>
              <w:left w:val="single" w:color="auto" w:sz="4" w:space="0"/>
              <w:bottom w:val="single" w:color="auto" w:sz="4" w:space="0"/>
              <w:right w:val="single" w:color="auto" w:sz="4" w:space="0"/>
            </w:tcBorders>
            <w:vAlign w:val="center"/>
          </w:tcPr>
          <w:p w14:paraId="3EF59256">
            <w:pPr>
              <w:keepLines w:val="0"/>
              <w:pageBreakBefore w:val="0"/>
              <w:kinsoku/>
              <w:wordWrap/>
              <w:overflowPunct/>
              <w:autoSpaceDE w:val="0"/>
              <w:autoSpaceDN w:val="0"/>
              <w:bidi w:val="0"/>
              <w:adjustRightInd w:val="0"/>
              <w:snapToGrid w:val="0"/>
              <w:spacing w:before="40" w:line="240" w:lineRule="auto"/>
              <w:ind w:right="0" w:rightChars="0" w:firstLine="0" w:firstLineChars="0"/>
              <w:jc w:val="both"/>
              <w:rPr>
                <w:rFonts w:hint="eastAsia" w:ascii="宋体" w:hAnsi="宋体" w:eastAsia="宋体" w:cs="宋体"/>
                <w:color w:val="auto"/>
                <w:kern w:val="0"/>
                <w:sz w:val="21"/>
                <w:szCs w:val="21"/>
                <w:highlight w:val="none"/>
                <w:u w:val="single"/>
              </w:rPr>
            </w:pPr>
            <w:r>
              <w:rPr>
                <w:rFonts w:hint="eastAsia" w:ascii="宋体" w:hAnsi="宋体" w:eastAsia="宋体" w:cs="宋体"/>
                <w:color w:val="auto"/>
                <w:kern w:val="0"/>
                <w:sz w:val="21"/>
                <w:szCs w:val="21"/>
                <w:highlight w:val="none"/>
                <w:u w:val="single"/>
              </w:rPr>
              <w:t>1、投标报价应以人民币为结算单位（含税）。</w:t>
            </w:r>
          </w:p>
          <w:p w14:paraId="110DF21B">
            <w:pPr>
              <w:keepLines w:val="0"/>
              <w:pageBreakBefore w:val="0"/>
              <w:widowControl/>
              <w:kinsoku/>
              <w:wordWrap/>
              <w:overflowPunct/>
              <w:bidi w:val="0"/>
              <w:snapToGrid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u w:val="single"/>
              </w:rPr>
              <w:t>2、投标人须按照招标文件</w:t>
            </w:r>
            <w:r>
              <w:rPr>
                <w:rFonts w:hint="eastAsia" w:ascii="宋体" w:hAnsi="宋体" w:eastAsia="宋体" w:cs="宋体"/>
                <w:color w:val="auto"/>
                <w:kern w:val="0"/>
                <w:sz w:val="21"/>
                <w:szCs w:val="21"/>
                <w:highlight w:val="none"/>
                <w:u w:val="single"/>
                <w:lang w:val="en-US" w:eastAsia="zh-CN"/>
              </w:rPr>
              <w:t>第六章投标文件格式/价格标</w:t>
            </w:r>
            <w:r>
              <w:rPr>
                <w:rFonts w:hint="eastAsia" w:ascii="宋体" w:hAnsi="宋体" w:eastAsia="宋体" w:cs="宋体"/>
                <w:color w:val="auto"/>
                <w:kern w:val="0"/>
                <w:sz w:val="21"/>
                <w:szCs w:val="21"/>
                <w:highlight w:val="none"/>
                <w:u w:val="single"/>
              </w:rPr>
              <w:t>部分</w:t>
            </w:r>
            <w:r>
              <w:rPr>
                <w:rFonts w:hint="eastAsia" w:ascii="宋体" w:hAnsi="宋体" w:eastAsia="宋体" w:cs="宋体"/>
                <w:color w:val="auto"/>
                <w:kern w:val="0"/>
                <w:sz w:val="21"/>
                <w:szCs w:val="21"/>
                <w:highlight w:val="none"/>
                <w:u w:val="single"/>
                <w:lang w:val="en-US" w:eastAsia="zh-CN"/>
              </w:rPr>
              <w:t>/C2</w:t>
            </w:r>
            <w:r>
              <w:rPr>
                <w:rFonts w:hint="eastAsia" w:ascii="宋体" w:hAnsi="宋体" w:eastAsia="宋体" w:cs="宋体"/>
                <w:color w:val="auto"/>
                <w:kern w:val="0"/>
                <w:sz w:val="21"/>
                <w:szCs w:val="21"/>
                <w:highlight w:val="none"/>
                <w:u w:val="single"/>
              </w:rPr>
              <w:t>、</w:t>
            </w:r>
            <w:r>
              <w:rPr>
                <w:rFonts w:hint="eastAsia" w:ascii="宋体" w:hAnsi="宋体" w:eastAsia="宋体" w:cs="宋体"/>
                <w:color w:val="auto"/>
                <w:kern w:val="0"/>
                <w:sz w:val="21"/>
                <w:szCs w:val="21"/>
                <w:highlight w:val="none"/>
                <w:u w:val="single"/>
                <w:lang w:val="en-US" w:eastAsia="zh-CN"/>
              </w:rPr>
              <w:t>投标报价分项表</w:t>
            </w:r>
            <w:r>
              <w:rPr>
                <w:rFonts w:hint="eastAsia" w:ascii="宋体" w:hAnsi="宋体" w:eastAsia="宋体" w:cs="宋体"/>
                <w:color w:val="auto"/>
                <w:kern w:val="0"/>
                <w:sz w:val="21"/>
                <w:szCs w:val="21"/>
                <w:highlight w:val="none"/>
                <w:u w:val="single"/>
              </w:rPr>
              <w:t>的格式进行报价。投标报价为按照招标文件要求完成本项目所必须的一切成本和费用。除合同另有约定外，上述</w:t>
            </w:r>
            <w:r>
              <w:rPr>
                <w:rFonts w:hint="eastAsia" w:ascii="宋体" w:hAnsi="宋体" w:eastAsia="宋体" w:cs="宋体"/>
                <w:color w:val="auto"/>
                <w:kern w:val="0"/>
                <w:sz w:val="21"/>
                <w:szCs w:val="21"/>
                <w:highlight w:val="none"/>
                <w:u w:val="single"/>
                <w:lang w:val="en-US" w:eastAsia="zh-CN"/>
              </w:rPr>
              <w:t>报价</w:t>
            </w:r>
            <w:r>
              <w:rPr>
                <w:rFonts w:hint="eastAsia" w:ascii="宋体" w:hAnsi="宋体" w:eastAsia="宋体" w:cs="宋体"/>
                <w:color w:val="auto"/>
                <w:kern w:val="0"/>
                <w:sz w:val="21"/>
                <w:szCs w:val="21"/>
                <w:highlight w:val="none"/>
                <w:u w:val="single"/>
              </w:rPr>
              <w:t>不因市场价格、人工、汇率的上涨以及</w:t>
            </w:r>
            <w:r>
              <w:rPr>
                <w:rFonts w:hint="eastAsia" w:ascii="宋体" w:hAnsi="宋体" w:eastAsia="宋体" w:cs="宋体"/>
                <w:color w:val="auto"/>
                <w:kern w:val="0"/>
                <w:sz w:val="21"/>
                <w:szCs w:val="21"/>
                <w:highlight w:val="none"/>
                <w:u w:val="single"/>
                <w:lang w:eastAsia="zh-CN"/>
              </w:rPr>
              <w:t>本项目</w:t>
            </w:r>
            <w:r>
              <w:rPr>
                <w:rFonts w:hint="eastAsia" w:ascii="宋体" w:hAnsi="宋体" w:eastAsia="宋体" w:cs="宋体"/>
                <w:color w:val="auto"/>
                <w:kern w:val="0"/>
                <w:sz w:val="21"/>
                <w:szCs w:val="21"/>
                <w:highlight w:val="none"/>
                <w:u w:val="single"/>
              </w:rPr>
              <w:t>费用变化等因素而调整。除非双方另有约定，否则</w:t>
            </w:r>
            <w:r>
              <w:rPr>
                <w:rFonts w:hint="eastAsia" w:ascii="宋体" w:hAnsi="宋体" w:eastAsia="宋体" w:cs="宋体"/>
                <w:color w:val="auto"/>
                <w:kern w:val="0"/>
                <w:sz w:val="21"/>
                <w:szCs w:val="21"/>
                <w:highlight w:val="none"/>
                <w:u w:val="single"/>
                <w:lang w:val="en-US" w:eastAsia="zh-CN"/>
              </w:rPr>
              <w:t>中标人</w:t>
            </w:r>
            <w:r>
              <w:rPr>
                <w:rFonts w:hint="eastAsia" w:ascii="宋体" w:hAnsi="宋体" w:eastAsia="宋体" w:cs="宋体"/>
                <w:color w:val="auto"/>
                <w:kern w:val="0"/>
                <w:sz w:val="21"/>
                <w:szCs w:val="21"/>
                <w:highlight w:val="none"/>
                <w:u w:val="single"/>
              </w:rPr>
              <w:t>不得要求</w:t>
            </w:r>
            <w:r>
              <w:rPr>
                <w:rFonts w:hint="eastAsia" w:ascii="宋体" w:hAnsi="宋体" w:eastAsia="宋体" w:cs="宋体"/>
                <w:color w:val="auto"/>
                <w:kern w:val="0"/>
                <w:sz w:val="21"/>
                <w:szCs w:val="21"/>
                <w:highlight w:val="none"/>
                <w:u w:val="single"/>
                <w:lang w:val="en-US" w:eastAsia="zh-CN"/>
              </w:rPr>
              <w:t>招标人</w:t>
            </w:r>
            <w:r>
              <w:rPr>
                <w:rFonts w:hint="eastAsia" w:ascii="宋体" w:hAnsi="宋体" w:eastAsia="宋体" w:cs="宋体"/>
                <w:color w:val="auto"/>
                <w:kern w:val="0"/>
                <w:sz w:val="21"/>
                <w:szCs w:val="21"/>
                <w:highlight w:val="none"/>
                <w:u w:val="single"/>
              </w:rPr>
              <w:t>额外支付任何费用。</w:t>
            </w:r>
          </w:p>
        </w:tc>
      </w:tr>
      <w:tr w14:paraId="2341D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vAlign w:val="center"/>
          </w:tcPr>
          <w:p w14:paraId="64E7B313">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val="en-US" w:eastAsia="zh-CN"/>
              </w:rPr>
              <w:t>8</w:t>
            </w:r>
          </w:p>
        </w:tc>
        <w:tc>
          <w:tcPr>
            <w:tcW w:w="2504" w:type="dxa"/>
            <w:tcBorders>
              <w:top w:val="single" w:color="auto" w:sz="4" w:space="0"/>
              <w:left w:val="single" w:color="auto" w:sz="4" w:space="0"/>
              <w:bottom w:val="single" w:color="auto" w:sz="4" w:space="0"/>
              <w:right w:val="single" w:color="auto" w:sz="4" w:space="0"/>
            </w:tcBorders>
            <w:vAlign w:val="center"/>
          </w:tcPr>
          <w:p w14:paraId="72F3F062">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投标</w:t>
            </w:r>
            <w:r>
              <w:rPr>
                <w:rFonts w:hint="eastAsia" w:ascii="宋体" w:hAnsi="宋体" w:eastAsia="宋体" w:cs="宋体"/>
                <w:b/>
                <w:bCs/>
                <w:color w:val="auto"/>
                <w:sz w:val="21"/>
                <w:szCs w:val="21"/>
                <w:highlight w:val="none"/>
              </w:rPr>
              <w:t>有效期</w:t>
            </w:r>
          </w:p>
        </w:tc>
        <w:tc>
          <w:tcPr>
            <w:tcW w:w="6375" w:type="dxa"/>
            <w:tcBorders>
              <w:top w:val="single" w:color="auto" w:sz="4" w:space="0"/>
              <w:left w:val="single" w:color="auto" w:sz="4" w:space="0"/>
              <w:bottom w:val="single" w:color="auto" w:sz="4" w:space="0"/>
              <w:right w:val="single" w:color="auto" w:sz="4" w:space="0"/>
            </w:tcBorders>
            <w:vAlign w:val="center"/>
          </w:tcPr>
          <w:p w14:paraId="2C244B87">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90日历天（从投标截止之日算起）</w:t>
            </w:r>
          </w:p>
        </w:tc>
      </w:tr>
      <w:tr w14:paraId="30AE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193197EB">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19</w:t>
            </w:r>
          </w:p>
        </w:tc>
        <w:tc>
          <w:tcPr>
            <w:tcW w:w="2504" w:type="dxa"/>
            <w:tcBorders>
              <w:top w:val="single" w:color="auto" w:sz="4" w:space="0"/>
              <w:left w:val="single" w:color="auto" w:sz="4" w:space="0"/>
              <w:bottom w:val="single" w:color="auto" w:sz="4" w:space="0"/>
              <w:right w:val="single" w:color="auto" w:sz="4" w:space="0"/>
            </w:tcBorders>
            <w:vAlign w:val="center"/>
          </w:tcPr>
          <w:p w14:paraId="6D9855FC">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评标方法</w:t>
            </w:r>
          </w:p>
        </w:tc>
        <w:tc>
          <w:tcPr>
            <w:tcW w:w="6375" w:type="dxa"/>
            <w:tcBorders>
              <w:top w:val="single" w:color="auto" w:sz="4" w:space="0"/>
              <w:left w:val="single" w:color="auto" w:sz="4" w:space="0"/>
              <w:bottom w:val="single" w:color="auto" w:sz="4" w:space="0"/>
              <w:right w:val="single" w:color="auto" w:sz="4" w:space="0"/>
            </w:tcBorders>
            <w:vAlign w:val="center"/>
          </w:tcPr>
          <w:p w14:paraId="2E5D6722">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综合评估法</w:t>
            </w:r>
          </w:p>
        </w:tc>
      </w:tr>
      <w:tr w14:paraId="451C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3811EDC3">
            <w:pPr>
              <w:keepLines w:val="0"/>
              <w:pageBreakBefore w:val="0"/>
              <w:kinsoku/>
              <w:wordWrap/>
              <w:overflowPunct/>
              <w:bidi w:val="0"/>
              <w:spacing w:before="40" w:line="240" w:lineRule="auto"/>
              <w:ind w:right="0" w:rightChars="0" w:firstLine="0" w:firstLineChars="0"/>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20</w:t>
            </w:r>
          </w:p>
        </w:tc>
        <w:tc>
          <w:tcPr>
            <w:tcW w:w="2504" w:type="dxa"/>
            <w:tcBorders>
              <w:top w:val="single" w:color="auto" w:sz="4" w:space="0"/>
              <w:left w:val="single" w:color="auto" w:sz="4" w:space="0"/>
              <w:bottom w:val="single" w:color="auto" w:sz="4" w:space="0"/>
              <w:right w:val="single" w:color="auto" w:sz="4" w:space="0"/>
            </w:tcBorders>
            <w:vAlign w:val="center"/>
          </w:tcPr>
          <w:p w14:paraId="73C904E1">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签订合同</w:t>
            </w:r>
            <w:r>
              <w:rPr>
                <w:rFonts w:hint="eastAsia" w:ascii="宋体" w:hAnsi="宋体" w:eastAsia="宋体" w:cs="宋体"/>
                <w:color w:val="auto"/>
                <w:sz w:val="21"/>
                <w:szCs w:val="21"/>
                <w:highlight w:val="none"/>
                <w:lang w:val="en-US" w:eastAsia="zh-CN"/>
              </w:rPr>
              <w:t>时间</w:t>
            </w:r>
          </w:p>
        </w:tc>
        <w:tc>
          <w:tcPr>
            <w:tcW w:w="6375" w:type="dxa"/>
            <w:tcBorders>
              <w:top w:val="single" w:color="auto" w:sz="4" w:space="0"/>
              <w:left w:val="single" w:color="auto" w:sz="4" w:space="0"/>
              <w:bottom w:val="single" w:color="auto" w:sz="4" w:space="0"/>
              <w:right w:val="single" w:color="auto" w:sz="4" w:space="0"/>
            </w:tcBorders>
            <w:vAlign w:val="center"/>
          </w:tcPr>
          <w:p w14:paraId="051B432E">
            <w:pPr>
              <w:keepNext/>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中标通知书</w:t>
            </w:r>
            <w:r>
              <w:rPr>
                <w:rFonts w:hint="eastAsia" w:ascii="宋体" w:hAnsi="宋体" w:eastAsia="宋体" w:cs="宋体"/>
                <w:color w:val="auto"/>
                <w:sz w:val="21"/>
                <w:szCs w:val="21"/>
                <w:highlight w:val="none"/>
              </w:rPr>
              <w:t>发出之日起30天内</w:t>
            </w:r>
          </w:p>
        </w:tc>
      </w:tr>
      <w:tr w14:paraId="461A8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D930E94">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21</w:t>
            </w:r>
          </w:p>
        </w:tc>
        <w:tc>
          <w:tcPr>
            <w:tcW w:w="2504" w:type="dxa"/>
            <w:tcBorders>
              <w:top w:val="single" w:color="auto" w:sz="4" w:space="0"/>
              <w:left w:val="single" w:color="auto" w:sz="4" w:space="0"/>
              <w:bottom w:val="single" w:color="auto" w:sz="4" w:space="0"/>
              <w:right w:val="single" w:color="auto" w:sz="4" w:space="0"/>
            </w:tcBorders>
            <w:vAlign w:val="center"/>
          </w:tcPr>
          <w:p w14:paraId="50948BF4">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付款方式</w:t>
            </w:r>
          </w:p>
        </w:tc>
        <w:tc>
          <w:tcPr>
            <w:tcW w:w="6375" w:type="dxa"/>
            <w:tcBorders>
              <w:top w:val="single" w:color="auto" w:sz="4" w:space="0"/>
              <w:left w:val="single" w:color="auto" w:sz="4" w:space="0"/>
              <w:bottom w:val="single" w:color="auto" w:sz="4" w:space="0"/>
              <w:right w:val="single" w:color="auto" w:sz="4" w:space="0"/>
            </w:tcBorders>
            <w:vAlign w:val="center"/>
          </w:tcPr>
          <w:p w14:paraId="3A4C44BA">
            <w:pPr>
              <w:keepLines w:val="0"/>
              <w:pageBreakBefore w:val="0"/>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电子转账</w:t>
            </w:r>
          </w:p>
        </w:tc>
      </w:tr>
      <w:tr w14:paraId="75839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2BAC538B">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22</w:t>
            </w:r>
          </w:p>
        </w:tc>
        <w:tc>
          <w:tcPr>
            <w:tcW w:w="2504" w:type="dxa"/>
            <w:tcBorders>
              <w:top w:val="single" w:color="auto" w:sz="4" w:space="0"/>
              <w:left w:val="single" w:color="auto" w:sz="4" w:space="0"/>
              <w:bottom w:val="single" w:color="auto" w:sz="4" w:space="0"/>
              <w:right w:val="single" w:color="auto" w:sz="4" w:space="0"/>
            </w:tcBorders>
            <w:vAlign w:val="center"/>
          </w:tcPr>
          <w:p w14:paraId="0D8A51C8">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踏勘</w:t>
            </w:r>
          </w:p>
        </w:tc>
        <w:tc>
          <w:tcPr>
            <w:tcW w:w="6375" w:type="dxa"/>
            <w:tcBorders>
              <w:top w:val="single" w:color="auto" w:sz="4" w:space="0"/>
              <w:left w:val="single" w:color="auto" w:sz="4" w:space="0"/>
              <w:bottom w:val="single" w:color="auto" w:sz="4" w:space="0"/>
              <w:right w:val="single" w:color="auto" w:sz="4" w:space="0"/>
            </w:tcBorders>
            <w:vAlign w:val="center"/>
          </w:tcPr>
          <w:p w14:paraId="3C6526A9">
            <w:pPr>
              <w:keepLines w:val="0"/>
              <w:pageBreakBefore w:val="0"/>
              <w:kinsoku/>
              <w:wordWrap/>
              <w:overflowPunct/>
              <w:bidi w:val="0"/>
              <w:spacing w:before="40" w:line="240" w:lineRule="auto"/>
              <w:ind w:left="0" w:leftChars="0" w:right="0" w:rightChars="0"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招标人不统一组织踏勘，投标人如需踏勘可在投标期工作日办公时间自行前往现场踏勘。</w:t>
            </w:r>
          </w:p>
        </w:tc>
      </w:tr>
      <w:tr w14:paraId="10763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79" w:type="dxa"/>
            <w:tcBorders>
              <w:top w:val="single" w:color="auto" w:sz="4" w:space="0"/>
              <w:left w:val="single" w:color="auto" w:sz="4" w:space="0"/>
              <w:bottom w:val="single" w:color="auto" w:sz="4" w:space="0"/>
              <w:right w:val="single" w:color="auto" w:sz="4" w:space="0"/>
            </w:tcBorders>
            <w:shd w:val="clear" w:color="auto" w:fill="auto"/>
            <w:vAlign w:val="center"/>
          </w:tcPr>
          <w:p w14:paraId="5819C01F">
            <w:pPr>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3</w:t>
            </w:r>
          </w:p>
        </w:tc>
        <w:tc>
          <w:tcPr>
            <w:tcW w:w="2504" w:type="dxa"/>
            <w:tcBorders>
              <w:top w:val="single" w:color="auto" w:sz="4" w:space="0"/>
              <w:left w:val="single" w:color="auto" w:sz="4" w:space="0"/>
              <w:bottom w:val="single" w:color="auto" w:sz="4" w:space="0"/>
              <w:right w:val="single" w:color="auto" w:sz="4" w:space="0"/>
            </w:tcBorders>
            <w:vAlign w:val="center"/>
          </w:tcPr>
          <w:p w14:paraId="293C17C0">
            <w:pPr>
              <w:keepNext/>
              <w:keepLines w:val="0"/>
              <w:pageBreakBefore w:val="0"/>
              <w:kinsoku/>
              <w:wordWrap/>
              <w:overflowPunct/>
              <w:bidi w:val="0"/>
              <w:spacing w:before="40" w:line="240" w:lineRule="auto"/>
              <w:ind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其他要求</w:t>
            </w:r>
          </w:p>
        </w:tc>
        <w:tc>
          <w:tcPr>
            <w:tcW w:w="6375" w:type="dxa"/>
            <w:tcBorders>
              <w:top w:val="single" w:color="auto" w:sz="4" w:space="0"/>
              <w:left w:val="single" w:color="auto" w:sz="4" w:space="0"/>
              <w:bottom w:val="single" w:color="auto" w:sz="4" w:space="0"/>
              <w:right w:val="single" w:color="auto" w:sz="4" w:space="0"/>
            </w:tcBorders>
            <w:vAlign w:val="center"/>
          </w:tcPr>
          <w:p w14:paraId="57462C15">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highlight w:val="none"/>
              </w:rPr>
              <w:t>如果投标人相关证明材料模糊不清，导致招标人无法查阅的，或未按招标人要求提供的，招标人将做出不利于投标人的判断。</w:t>
            </w:r>
          </w:p>
          <w:p w14:paraId="70192966">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highlight w:val="none"/>
              </w:rPr>
              <w:t>本项目开标先核查资信技术内容，资信技术合格后再进行价格评审。</w:t>
            </w:r>
          </w:p>
          <w:p w14:paraId="2347B66D">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highlight w:val="none"/>
                <w:lang w:eastAsia="zh-CN"/>
              </w:rPr>
              <w:t>关于投标</w:t>
            </w:r>
            <w:r>
              <w:rPr>
                <w:rFonts w:hint="eastAsia" w:ascii="宋体" w:hAnsi="宋体" w:eastAsia="宋体" w:cs="宋体"/>
                <w:color w:val="auto"/>
                <w:sz w:val="21"/>
                <w:szCs w:val="21"/>
                <w:highlight w:val="none"/>
                <w:lang w:val="en-US" w:eastAsia="zh-CN"/>
              </w:rPr>
              <w:t>小样</w:t>
            </w:r>
            <w:r>
              <w:rPr>
                <w:rFonts w:hint="eastAsia" w:ascii="宋体" w:hAnsi="宋体" w:eastAsia="宋体" w:cs="宋体"/>
                <w:color w:val="auto"/>
                <w:sz w:val="21"/>
                <w:szCs w:val="21"/>
                <w:highlight w:val="none"/>
                <w:lang w:eastAsia="zh-CN"/>
              </w:rPr>
              <w:t>的说明：</w:t>
            </w:r>
          </w:p>
          <w:p w14:paraId="3597CD45">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退还</w:t>
            </w:r>
          </w:p>
          <w:p w14:paraId="7FECB846">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中标公示期满后30</w:t>
            </w:r>
            <w:r>
              <w:rPr>
                <w:rFonts w:hint="eastAsia" w:ascii="宋体" w:hAnsi="宋体" w:eastAsia="宋体" w:cs="宋体"/>
                <w:color w:val="auto"/>
                <w:sz w:val="21"/>
                <w:szCs w:val="21"/>
                <w:highlight w:val="none"/>
                <w:lang w:eastAsia="zh-CN"/>
              </w:rPr>
              <w:t>日历天内，除中标人外，其他投标人可联系招标人代表取回样品，逾期招标人将有权任意处置样品并不承担任何责任。</w:t>
            </w:r>
          </w:p>
          <w:p w14:paraId="7900EDFA">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其它</w:t>
            </w:r>
          </w:p>
          <w:p w14:paraId="686F280B">
            <w:pPr>
              <w:keepLines w:val="0"/>
              <w:pageBreakBefore w:val="0"/>
              <w:numPr>
                <w:ilvl w:val="0"/>
                <w:numId w:val="0"/>
              </w:numPr>
              <w:kinsoku/>
              <w:wordWrap/>
              <w:overflowPunct/>
              <w:bidi w:val="0"/>
              <w:spacing w:before="40" w:line="240" w:lineRule="auto"/>
              <w:ind w:right="0" w:rightChars="0" w:firstLine="0" w:firstLineChars="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样品制作、包装、运输、检验等费用均由投标人负责。样品包装应保证样品运输、保存、装卸安全，因包装不善导致样品损坏、性能变化及其它不利结果均由投标人承担。</w:t>
            </w:r>
          </w:p>
        </w:tc>
      </w:tr>
    </w:tbl>
    <w:p w14:paraId="0A873753">
      <w:pPr>
        <w:ind w:firstLine="0" w:firstLineChars="0"/>
        <w:rPr>
          <w:color w:val="auto"/>
          <w:highlight w:val="none"/>
        </w:rPr>
      </w:pPr>
      <w:bookmarkStart w:id="52" w:name="_Toc444266732"/>
    </w:p>
    <w:p w14:paraId="428AF9F3">
      <w:pPr>
        <w:rPr>
          <w:rFonts w:hint="eastAsia" w:ascii="宋体" w:hAnsi="宋体" w:eastAsia="宋体" w:cs="Times New Roman"/>
          <w:color w:val="auto"/>
          <w:sz w:val="32"/>
          <w:szCs w:val="32"/>
          <w:highlight w:val="none"/>
        </w:rPr>
      </w:pPr>
      <w:r>
        <w:rPr>
          <w:rFonts w:hint="eastAsia" w:ascii="宋体" w:hAnsi="宋体" w:eastAsia="宋体" w:cs="Times New Roman"/>
          <w:color w:val="auto"/>
          <w:sz w:val="32"/>
          <w:szCs w:val="32"/>
          <w:highlight w:val="none"/>
        </w:rPr>
        <w:br w:type="page"/>
      </w:r>
    </w:p>
    <w:p w14:paraId="28586EA8">
      <w:pPr>
        <w:pStyle w:val="2"/>
        <w:spacing w:line="360" w:lineRule="auto"/>
        <w:ind w:left="0"/>
        <w:jc w:val="center"/>
        <w:rPr>
          <w:rFonts w:hint="eastAsia" w:ascii="宋体" w:hAnsi="宋体" w:eastAsia="宋体" w:cs="Times New Roman"/>
          <w:color w:val="auto"/>
          <w:sz w:val="32"/>
          <w:szCs w:val="32"/>
          <w:highlight w:val="none"/>
        </w:rPr>
      </w:pPr>
      <w:bookmarkStart w:id="53" w:name="_Toc17471"/>
      <w:bookmarkStart w:id="54" w:name="_Toc13951"/>
      <w:r>
        <w:rPr>
          <w:rFonts w:hint="eastAsia" w:ascii="宋体" w:hAnsi="宋体" w:eastAsia="宋体" w:cs="Times New Roman"/>
          <w:color w:val="auto"/>
          <w:sz w:val="32"/>
          <w:szCs w:val="32"/>
          <w:highlight w:val="none"/>
        </w:rPr>
        <w:t>第三</w:t>
      </w:r>
      <w:r>
        <w:rPr>
          <w:rFonts w:hint="eastAsia" w:ascii="宋体" w:hAnsi="宋体" w:eastAsia="宋体" w:cs="Times New Roman"/>
          <w:color w:val="auto"/>
          <w:sz w:val="32"/>
          <w:szCs w:val="32"/>
          <w:highlight w:val="none"/>
          <w:lang w:val="en-US" w:eastAsia="zh-CN"/>
        </w:rPr>
        <w:t>章</w:t>
      </w:r>
      <w:r>
        <w:rPr>
          <w:rFonts w:hint="eastAsia" w:ascii="宋体" w:hAnsi="宋体" w:eastAsia="宋体" w:cs="Times New Roman"/>
          <w:color w:val="auto"/>
          <w:sz w:val="32"/>
          <w:szCs w:val="32"/>
          <w:highlight w:val="none"/>
        </w:rPr>
        <w:t xml:space="preserve">  评审细则</w:t>
      </w:r>
      <w:bookmarkEnd w:id="52"/>
      <w:bookmarkEnd w:id="53"/>
      <w:bookmarkEnd w:id="54"/>
    </w:p>
    <w:p w14:paraId="0F7B3A82">
      <w:pPr>
        <w:spacing w:line="360" w:lineRule="auto"/>
        <w:ind w:left="0"/>
        <w:jc w:val="center"/>
        <w:outlineLvl w:val="9"/>
        <w:rPr>
          <w:rFonts w:hint="eastAsia" w:ascii="宋体" w:hAnsi="宋体" w:eastAsia="宋体" w:cs="Times New Roman"/>
          <w:b/>
          <w:bCs/>
          <w:color w:val="auto"/>
          <w:sz w:val="24"/>
          <w:szCs w:val="24"/>
          <w:highlight w:val="none"/>
          <w:lang w:eastAsia="zh-CN"/>
        </w:rPr>
      </w:pPr>
      <w:r>
        <w:rPr>
          <w:rFonts w:hint="eastAsia" w:ascii="宋体" w:hAnsi="宋体" w:eastAsia="宋体" w:cs="Times New Roman"/>
          <w:b/>
          <w:bCs/>
          <w:color w:val="auto"/>
          <w:sz w:val="24"/>
          <w:szCs w:val="24"/>
          <w:highlight w:val="none"/>
          <w:lang w:eastAsia="zh-CN"/>
        </w:rPr>
        <w:t>（</w:t>
      </w:r>
      <w:r>
        <w:rPr>
          <w:rFonts w:hint="eastAsia" w:ascii="宋体" w:hAnsi="宋体" w:eastAsia="宋体" w:cs="Times New Roman"/>
          <w:b/>
          <w:bCs/>
          <w:color w:val="auto"/>
          <w:sz w:val="24"/>
          <w:szCs w:val="24"/>
          <w:highlight w:val="none"/>
          <w:lang w:val="en-US" w:eastAsia="zh-CN"/>
        </w:rPr>
        <w:t>综合评估法</w:t>
      </w:r>
      <w:r>
        <w:rPr>
          <w:rFonts w:hint="eastAsia" w:ascii="宋体" w:hAnsi="宋体" w:eastAsia="宋体" w:cs="Times New Roman"/>
          <w:b/>
          <w:bCs/>
          <w:color w:val="auto"/>
          <w:sz w:val="24"/>
          <w:szCs w:val="24"/>
          <w:highlight w:val="none"/>
          <w:lang w:eastAsia="zh-CN"/>
        </w:rPr>
        <w:t>）</w:t>
      </w:r>
    </w:p>
    <w:p w14:paraId="7DC0FFBB">
      <w:pPr>
        <w:pStyle w:val="3"/>
        <w:pageBreakBefore w:val="0"/>
        <w:kinsoku/>
        <w:wordWrap/>
        <w:overflowPunct/>
        <w:topLinePunct w:val="0"/>
        <w:autoSpaceDE/>
        <w:autoSpaceDN/>
        <w:bidi w:val="0"/>
        <w:adjustRightInd/>
        <w:snapToGrid/>
        <w:spacing w:line="360" w:lineRule="auto"/>
        <w:ind w:firstLine="482"/>
        <w:textAlignment w:val="auto"/>
        <w:rPr>
          <w:rFonts w:ascii="宋体" w:hAnsi="宋体" w:eastAsia="宋体"/>
          <w:color w:val="auto"/>
          <w:sz w:val="24"/>
          <w:szCs w:val="24"/>
          <w:highlight w:val="none"/>
        </w:rPr>
      </w:pPr>
      <w:bookmarkStart w:id="55" w:name="_Toc150787092"/>
      <w:bookmarkStart w:id="56" w:name="_Toc444266733"/>
      <w:bookmarkStart w:id="57" w:name="_Toc23769"/>
      <w:bookmarkStart w:id="58" w:name="_Toc234313504"/>
      <w:bookmarkStart w:id="59" w:name="_Toc6018"/>
      <w:bookmarkStart w:id="60" w:name="_Toc158436764"/>
      <w:bookmarkStart w:id="61" w:name="_Toc28293"/>
      <w:bookmarkStart w:id="62" w:name="_Toc20608"/>
      <w:bookmarkStart w:id="63" w:name="_Toc28876"/>
      <w:bookmarkStart w:id="64" w:name="_Toc6319"/>
      <w:bookmarkStart w:id="65" w:name="_Toc7067"/>
      <w:bookmarkStart w:id="66" w:name="_Toc8571"/>
      <w:bookmarkStart w:id="67" w:name="_Toc1852"/>
      <w:bookmarkStart w:id="68" w:name="_Toc24437"/>
      <w:r>
        <w:rPr>
          <w:rFonts w:hint="eastAsia" w:ascii="宋体" w:hAnsi="宋体" w:eastAsia="宋体"/>
          <w:color w:val="auto"/>
          <w:sz w:val="24"/>
          <w:szCs w:val="24"/>
          <w:highlight w:val="none"/>
        </w:rPr>
        <w:t>3.1</w:t>
      </w:r>
      <w:bookmarkEnd w:id="55"/>
      <w:bookmarkEnd w:id="56"/>
      <w:bookmarkEnd w:id="57"/>
      <w:bookmarkEnd w:id="58"/>
      <w:bookmarkEnd w:id="59"/>
      <w:bookmarkEnd w:id="60"/>
      <w:r>
        <w:rPr>
          <w:rFonts w:hint="eastAsia" w:ascii="宋体" w:hAnsi="宋体" w:eastAsia="宋体"/>
          <w:color w:val="auto"/>
          <w:sz w:val="24"/>
          <w:szCs w:val="24"/>
          <w:highlight w:val="none"/>
        </w:rPr>
        <w:t>评标委员会</w:t>
      </w:r>
      <w:bookmarkEnd w:id="61"/>
      <w:bookmarkEnd w:id="62"/>
      <w:bookmarkEnd w:id="63"/>
      <w:bookmarkEnd w:id="64"/>
      <w:bookmarkEnd w:id="65"/>
      <w:bookmarkEnd w:id="66"/>
      <w:bookmarkEnd w:id="67"/>
      <w:bookmarkEnd w:id="68"/>
    </w:p>
    <w:p w14:paraId="2C9684A2">
      <w:pPr>
        <w:pageBreakBefore w:val="0"/>
        <w:kinsoku/>
        <w:wordWrap/>
        <w:overflowPunct/>
        <w:topLinePunct w:val="0"/>
        <w:autoSpaceDE/>
        <w:autoSpaceDN/>
        <w:bidi w:val="0"/>
        <w:adjustRightInd/>
        <w:snapToGrid/>
        <w:spacing w:line="360" w:lineRule="auto"/>
        <w:ind w:firstLine="480"/>
        <w:textAlignment w:val="auto"/>
        <w:rPr>
          <w:rFonts w:ascii="宋体" w:hAnsi="宋体" w:eastAsia="宋体"/>
          <w:color w:val="auto"/>
          <w:sz w:val="24"/>
          <w:highlight w:val="none"/>
        </w:rPr>
      </w:pPr>
      <w:r>
        <w:rPr>
          <w:rFonts w:hint="eastAsia" w:ascii="宋体" w:hAnsi="宋体" w:eastAsia="宋体"/>
          <w:color w:val="auto"/>
          <w:sz w:val="24"/>
          <w:highlight w:val="none"/>
        </w:rPr>
        <w:t>招标人依法组建评标委员会，负责本招标项目的评标活动。成员人数</w:t>
      </w:r>
      <w:r>
        <w:rPr>
          <w:rFonts w:hint="eastAsia" w:ascii="宋体" w:hAnsi="宋体" w:eastAsia="宋体"/>
          <w:color w:val="auto"/>
          <w:sz w:val="24"/>
          <w:highlight w:val="none"/>
          <w:lang w:val="en-US" w:eastAsia="zh-CN"/>
        </w:rPr>
        <w:t>为</w:t>
      </w:r>
      <w:r>
        <w:rPr>
          <w:rFonts w:hint="eastAsia" w:ascii="宋体" w:hAnsi="宋体" w:eastAsia="宋体"/>
          <w:color w:val="auto"/>
          <w:sz w:val="24"/>
          <w:highlight w:val="none"/>
        </w:rPr>
        <w:t>5人</w:t>
      </w:r>
      <w:r>
        <w:rPr>
          <w:rFonts w:hint="eastAsia" w:ascii="宋体" w:hAnsi="宋体" w:eastAsia="宋体"/>
          <w:color w:val="auto"/>
          <w:sz w:val="24"/>
          <w:highlight w:val="none"/>
          <w:lang w:eastAsia="zh-CN"/>
        </w:rPr>
        <w:t>（</w:t>
      </w:r>
      <w:r>
        <w:rPr>
          <w:rFonts w:hint="eastAsia" w:ascii="宋体" w:hAnsi="宋体" w:eastAsia="宋体"/>
          <w:color w:val="auto"/>
          <w:sz w:val="24"/>
          <w:highlight w:val="none"/>
          <w:lang w:val="en-US" w:eastAsia="zh-CN"/>
        </w:rPr>
        <w:t>含</w:t>
      </w:r>
      <w:r>
        <w:rPr>
          <w:rFonts w:hint="eastAsia" w:ascii="宋体" w:hAnsi="宋体" w:eastAsia="宋体"/>
          <w:color w:val="auto"/>
          <w:sz w:val="24"/>
          <w:highlight w:val="none"/>
          <w:lang w:eastAsia="zh-CN"/>
        </w:rPr>
        <w:t>）</w:t>
      </w:r>
      <w:r>
        <w:rPr>
          <w:rFonts w:hint="eastAsia" w:ascii="宋体" w:hAnsi="宋体" w:eastAsia="宋体"/>
          <w:color w:val="auto"/>
          <w:sz w:val="24"/>
          <w:highlight w:val="none"/>
        </w:rPr>
        <w:t>以上单数，与本招标项目投标人有利害关系的</w:t>
      </w:r>
      <w:r>
        <w:rPr>
          <w:rFonts w:hint="eastAsia" w:ascii="宋体" w:hAnsi="宋体" w:eastAsia="宋体"/>
          <w:color w:val="auto"/>
          <w:sz w:val="24"/>
          <w:highlight w:val="none"/>
          <w:lang w:val="en-US" w:eastAsia="zh-CN"/>
        </w:rPr>
        <w:t>成员应当回避</w:t>
      </w:r>
      <w:r>
        <w:rPr>
          <w:rFonts w:hint="eastAsia" w:ascii="宋体" w:hAnsi="宋体" w:eastAsia="宋体"/>
          <w:color w:val="auto"/>
          <w:sz w:val="24"/>
          <w:highlight w:val="none"/>
        </w:rPr>
        <w:t>。</w:t>
      </w:r>
    </w:p>
    <w:p w14:paraId="43B313E2">
      <w:pPr>
        <w:pStyle w:val="3"/>
        <w:pageBreakBefore w:val="0"/>
        <w:kinsoku/>
        <w:wordWrap/>
        <w:overflowPunct/>
        <w:topLinePunct w:val="0"/>
        <w:autoSpaceDE/>
        <w:autoSpaceDN/>
        <w:bidi w:val="0"/>
        <w:adjustRightInd/>
        <w:snapToGrid/>
        <w:spacing w:line="360" w:lineRule="auto"/>
        <w:ind w:firstLine="482"/>
        <w:textAlignment w:val="auto"/>
        <w:rPr>
          <w:rFonts w:ascii="宋体" w:hAnsi="宋体" w:eastAsia="宋体"/>
          <w:color w:val="auto"/>
          <w:sz w:val="24"/>
          <w:szCs w:val="24"/>
          <w:highlight w:val="none"/>
        </w:rPr>
      </w:pPr>
      <w:bookmarkStart w:id="69" w:name="_Toc7625"/>
      <w:bookmarkStart w:id="70" w:name="_Toc339"/>
      <w:bookmarkStart w:id="71" w:name="_Toc17685"/>
      <w:bookmarkStart w:id="72" w:name="_Toc28192"/>
      <w:bookmarkStart w:id="73" w:name="_Toc1936"/>
      <w:bookmarkStart w:id="74" w:name="_Toc24176"/>
      <w:bookmarkStart w:id="75" w:name="_Toc8097"/>
      <w:bookmarkStart w:id="76" w:name="_Toc27955"/>
      <w:bookmarkStart w:id="77" w:name="_Toc234313505"/>
      <w:bookmarkStart w:id="78" w:name="_Toc444266735"/>
      <w:bookmarkStart w:id="79" w:name="_Toc158436765"/>
      <w:bookmarkStart w:id="80" w:name="_Toc29150"/>
      <w:bookmarkStart w:id="81" w:name="_Toc150787093"/>
      <w:bookmarkStart w:id="82" w:name="_Toc11341"/>
      <w:r>
        <w:rPr>
          <w:rFonts w:hint="eastAsia" w:ascii="宋体" w:hAnsi="宋体" w:eastAsia="宋体"/>
          <w:color w:val="auto"/>
          <w:sz w:val="24"/>
          <w:szCs w:val="24"/>
          <w:highlight w:val="none"/>
        </w:rPr>
        <w:t>3.2</w:t>
      </w:r>
      <w:r>
        <w:rPr>
          <w:rFonts w:hint="eastAsia" w:ascii="宋体" w:hAnsi="宋体" w:eastAsia="宋体"/>
          <w:color w:val="auto"/>
          <w:sz w:val="24"/>
          <w:szCs w:val="24"/>
          <w:highlight w:val="none"/>
          <w:lang w:val="en-US" w:eastAsia="zh-CN"/>
        </w:rPr>
        <w:t>投标</w:t>
      </w:r>
      <w:r>
        <w:rPr>
          <w:rFonts w:hint="eastAsia" w:ascii="宋体" w:hAnsi="宋体" w:eastAsia="宋体"/>
          <w:color w:val="auto"/>
          <w:sz w:val="24"/>
          <w:szCs w:val="24"/>
          <w:highlight w:val="none"/>
        </w:rPr>
        <w:t>文件的澄清</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6AC7D0D">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olor w:val="auto"/>
          <w:sz w:val="24"/>
          <w:highlight w:val="none"/>
        </w:rPr>
      </w:pPr>
      <w:bookmarkStart w:id="83" w:name="_Toc444266736"/>
      <w:r>
        <w:rPr>
          <w:rFonts w:hint="eastAsia" w:ascii="宋体" w:hAnsi="宋体" w:eastAsia="宋体"/>
          <w:color w:val="auto"/>
          <w:sz w:val="24"/>
          <w:highlight w:val="none"/>
          <w:lang w:val="en-US" w:eastAsia="zh-CN"/>
        </w:rPr>
        <w:t>1.</w:t>
      </w:r>
      <w:r>
        <w:rPr>
          <w:rFonts w:hint="eastAsia" w:ascii="宋体" w:hAnsi="宋体" w:eastAsia="宋体"/>
          <w:color w:val="auto"/>
          <w:sz w:val="24"/>
          <w:highlight w:val="none"/>
        </w:rPr>
        <w:t>为有助于投标文件的审查、</w:t>
      </w:r>
      <w:r>
        <w:rPr>
          <w:rFonts w:hint="eastAsia" w:ascii="宋体" w:hAnsi="宋体" w:eastAsia="宋体"/>
          <w:color w:val="auto"/>
          <w:sz w:val="24"/>
          <w:highlight w:val="none"/>
          <w:lang w:val="en-US" w:eastAsia="zh-CN"/>
        </w:rPr>
        <w:t>评审</w:t>
      </w:r>
      <w:r>
        <w:rPr>
          <w:rFonts w:hint="eastAsia" w:ascii="宋体" w:hAnsi="宋体" w:eastAsia="宋体"/>
          <w:color w:val="auto"/>
          <w:sz w:val="24"/>
          <w:highlight w:val="none"/>
        </w:rPr>
        <w:t>和比较，在评标过程中，评标委员会可以要求</w:t>
      </w:r>
      <w:r>
        <w:rPr>
          <w:rFonts w:hint="eastAsia" w:ascii="宋体" w:hAnsi="宋体" w:eastAsia="宋体"/>
          <w:color w:val="auto"/>
          <w:sz w:val="24"/>
          <w:highlight w:val="none"/>
          <w:lang w:eastAsia="zh-CN"/>
        </w:rPr>
        <w:t>投标人</w:t>
      </w:r>
      <w:r>
        <w:rPr>
          <w:rFonts w:hint="eastAsia" w:ascii="宋体" w:hAnsi="宋体" w:eastAsia="宋体"/>
          <w:color w:val="auto"/>
          <w:sz w:val="24"/>
          <w:highlight w:val="none"/>
        </w:rPr>
        <w:t>对投标文件含义不明确的内容作必要的澄清或说明，</w:t>
      </w:r>
      <w:r>
        <w:rPr>
          <w:rFonts w:hint="eastAsia" w:ascii="宋体" w:hAnsi="宋体" w:eastAsia="宋体"/>
          <w:color w:val="auto"/>
          <w:sz w:val="24"/>
          <w:highlight w:val="none"/>
          <w:lang w:eastAsia="zh-CN"/>
        </w:rPr>
        <w:t>投标人</w:t>
      </w:r>
      <w:r>
        <w:rPr>
          <w:rFonts w:hint="eastAsia" w:ascii="宋体" w:hAnsi="宋体" w:eastAsia="宋体"/>
          <w:color w:val="auto"/>
          <w:sz w:val="24"/>
          <w:highlight w:val="none"/>
        </w:rPr>
        <w:t>应当按照</w:t>
      </w:r>
      <w:r>
        <w:rPr>
          <w:rFonts w:hint="eastAsia" w:ascii="宋体" w:hAnsi="宋体" w:eastAsia="宋体"/>
          <w:color w:val="auto"/>
          <w:sz w:val="24"/>
          <w:highlight w:val="none"/>
          <w:lang w:eastAsia="zh-CN"/>
        </w:rPr>
        <w:t>招标人</w:t>
      </w:r>
      <w:r>
        <w:rPr>
          <w:rFonts w:hint="eastAsia" w:ascii="宋体" w:hAnsi="宋体" w:eastAsia="宋体"/>
          <w:color w:val="auto"/>
          <w:sz w:val="24"/>
          <w:highlight w:val="none"/>
        </w:rPr>
        <w:t>通知的时间、地点进行澄清或说明</w:t>
      </w:r>
      <w:r>
        <w:rPr>
          <w:rFonts w:hint="eastAsia" w:ascii="宋体" w:hAnsi="宋体" w:eastAsia="宋体"/>
          <w:color w:val="auto"/>
          <w:sz w:val="24"/>
          <w:highlight w:val="none"/>
          <w:lang w:eastAsia="zh-CN"/>
        </w:rPr>
        <w:t>，</w:t>
      </w:r>
      <w:r>
        <w:rPr>
          <w:rFonts w:hint="eastAsia" w:ascii="宋体" w:hAnsi="宋体" w:eastAsia="宋体"/>
          <w:color w:val="auto"/>
          <w:sz w:val="24"/>
          <w:highlight w:val="none"/>
          <w:lang w:val="en-US" w:eastAsia="zh-CN"/>
        </w:rPr>
        <w:t>但</w:t>
      </w:r>
      <w:r>
        <w:rPr>
          <w:rFonts w:hint="eastAsia" w:ascii="宋体" w:hAnsi="宋体" w:eastAsia="宋体"/>
          <w:color w:val="auto"/>
          <w:sz w:val="24"/>
          <w:highlight w:val="none"/>
          <w:lang w:eastAsia="zh-CN"/>
        </w:rPr>
        <w:t>不得超出投标文件的范围且不得改变投标文件的实质性内容，并构成投标文件的组成部分</w:t>
      </w:r>
      <w:r>
        <w:rPr>
          <w:rFonts w:hint="eastAsia" w:ascii="宋体" w:hAnsi="宋体" w:eastAsia="宋体"/>
          <w:color w:val="auto"/>
          <w:sz w:val="24"/>
          <w:highlight w:val="none"/>
        </w:rPr>
        <w:t>。</w:t>
      </w:r>
      <w:bookmarkEnd w:id="83"/>
    </w:p>
    <w:p w14:paraId="7084F55B">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2.评标委员会对投标人提交的</w:t>
      </w:r>
      <w:r>
        <w:rPr>
          <w:rFonts w:hint="eastAsia" w:ascii="宋体" w:hAnsi="宋体" w:eastAsia="宋体"/>
          <w:color w:val="auto"/>
          <w:sz w:val="24"/>
          <w:highlight w:val="none"/>
        </w:rPr>
        <w:t>澄清或说明</w:t>
      </w:r>
      <w:r>
        <w:rPr>
          <w:rFonts w:hint="eastAsia" w:ascii="宋体" w:hAnsi="宋体" w:eastAsia="宋体"/>
          <w:color w:val="auto"/>
          <w:sz w:val="24"/>
          <w:highlight w:val="none"/>
          <w:lang w:val="en-US" w:eastAsia="zh-CN"/>
        </w:rPr>
        <w:t>有疑问的，可以要求投标人进一步</w:t>
      </w:r>
      <w:r>
        <w:rPr>
          <w:rFonts w:hint="eastAsia" w:ascii="宋体" w:hAnsi="宋体" w:eastAsia="宋体"/>
          <w:color w:val="auto"/>
          <w:sz w:val="24"/>
          <w:highlight w:val="none"/>
        </w:rPr>
        <w:t>澄清或说明</w:t>
      </w:r>
      <w:r>
        <w:rPr>
          <w:rFonts w:hint="eastAsia" w:ascii="宋体" w:hAnsi="宋体" w:eastAsia="宋体"/>
          <w:color w:val="auto"/>
          <w:sz w:val="24"/>
          <w:highlight w:val="none"/>
          <w:lang w:val="en-US" w:eastAsia="zh-CN"/>
        </w:rPr>
        <w:t>，直至满足评标委员会的要求。</w:t>
      </w:r>
    </w:p>
    <w:p w14:paraId="5F304316">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3.投标文件存在投标报价问题的，评标委员会可以进行投标报价的算术修正，投标报价算术修正按有利于招标人的原则进行，具体修正原则详见本章《价格标评审》。修正后的投标报价经投标人同意后，对投标人起约束作用。如果投标人不接受修正后的报价，其投标将被拒绝。</w:t>
      </w:r>
    </w:p>
    <w:p w14:paraId="5B6F5F5F">
      <w:pPr>
        <w:pStyle w:val="3"/>
        <w:pageBreakBefore w:val="0"/>
        <w:kinsoku/>
        <w:wordWrap/>
        <w:overflowPunct/>
        <w:topLinePunct w:val="0"/>
        <w:autoSpaceDE/>
        <w:autoSpaceDN/>
        <w:bidi w:val="0"/>
        <w:adjustRightInd/>
        <w:snapToGrid/>
        <w:spacing w:line="360" w:lineRule="auto"/>
        <w:ind w:firstLine="482"/>
        <w:textAlignment w:val="auto"/>
        <w:rPr>
          <w:rFonts w:ascii="宋体" w:hAnsi="宋体" w:eastAsia="宋体"/>
          <w:color w:val="auto"/>
          <w:sz w:val="24"/>
          <w:szCs w:val="24"/>
          <w:highlight w:val="none"/>
        </w:rPr>
      </w:pPr>
      <w:bookmarkStart w:id="84" w:name="_Toc21032"/>
      <w:bookmarkStart w:id="85" w:name="_Toc22428"/>
      <w:bookmarkStart w:id="86" w:name="_Toc1605"/>
      <w:bookmarkStart w:id="87" w:name="_Toc5415"/>
      <w:bookmarkStart w:id="88" w:name="_Toc26464"/>
      <w:bookmarkStart w:id="89" w:name="_Toc1686"/>
      <w:bookmarkStart w:id="90" w:name="_Toc6067"/>
      <w:bookmarkStart w:id="91" w:name="_Toc15253"/>
      <w:bookmarkStart w:id="92" w:name="_Toc18488"/>
      <w:bookmarkStart w:id="93" w:name="_Toc13927"/>
      <w:r>
        <w:rPr>
          <w:rFonts w:hint="eastAsia" w:ascii="宋体" w:hAnsi="宋体" w:eastAsia="宋体"/>
          <w:color w:val="auto"/>
          <w:sz w:val="24"/>
          <w:szCs w:val="24"/>
          <w:highlight w:val="none"/>
        </w:rPr>
        <w:t>3.3</w:t>
      </w:r>
      <w:r>
        <w:rPr>
          <w:rFonts w:hint="eastAsia" w:ascii="宋体" w:hAnsi="宋体" w:eastAsia="宋体"/>
          <w:color w:val="auto"/>
          <w:sz w:val="24"/>
          <w:szCs w:val="24"/>
          <w:highlight w:val="none"/>
          <w:lang w:eastAsia="zh-CN"/>
        </w:rPr>
        <w:t>招标文件</w:t>
      </w:r>
      <w:r>
        <w:rPr>
          <w:rFonts w:hint="eastAsia" w:ascii="宋体" w:hAnsi="宋体" w:eastAsia="宋体"/>
          <w:color w:val="auto"/>
          <w:sz w:val="24"/>
          <w:szCs w:val="24"/>
          <w:highlight w:val="none"/>
        </w:rPr>
        <w:t>的澄清</w:t>
      </w:r>
      <w:bookmarkEnd w:id="84"/>
      <w:bookmarkEnd w:id="85"/>
      <w:bookmarkEnd w:id="86"/>
      <w:bookmarkEnd w:id="87"/>
      <w:bookmarkEnd w:id="88"/>
      <w:bookmarkEnd w:id="89"/>
      <w:bookmarkEnd w:id="90"/>
      <w:bookmarkEnd w:id="91"/>
      <w:bookmarkEnd w:id="92"/>
      <w:bookmarkEnd w:id="93"/>
    </w:p>
    <w:p w14:paraId="319456B5">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olor w:val="auto"/>
          <w:sz w:val="24"/>
          <w:highlight w:val="none"/>
        </w:rPr>
      </w:pPr>
      <w:r>
        <w:rPr>
          <w:rFonts w:hint="eastAsia" w:ascii="宋体" w:hAnsi="宋体" w:eastAsia="宋体"/>
          <w:color w:val="auto"/>
          <w:sz w:val="24"/>
          <w:highlight w:val="none"/>
          <w:lang w:eastAsia="zh-CN"/>
        </w:rPr>
        <w:t>招标文件</w:t>
      </w:r>
      <w:r>
        <w:rPr>
          <w:rFonts w:hint="eastAsia" w:ascii="宋体" w:hAnsi="宋体" w:eastAsia="宋体"/>
          <w:color w:val="auto"/>
          <w:sz w:val="24"/>
          <w:highlight w:val="none"/>
        </w:rPr>
        <w:t>的澄清是指</w:t>
      </w:r>
      <w:r>
        <w:rPr>
          <w:rFonts w:hint="eastAsia" w:ascii="宋体" w:hAnsi="宋体" w:eastAsia="宋体"/>
          <w:color w:val="auto"/>
          <w:sz w:val="24"/>
          <w:highlight w:val="none"/>
          <w:lang w:eastAsia="zh-CN"/>
        </w:rPr>
        <w:t>招标人</w:t>
      </w:r>
      <w:r>
        <w:rPr>
          <w:rFonts w:hint="eastAsia" w:ascii="宋体" w:hAnsi="宋体" w:eastAsia="宋体"/>
          <w:color w:val="auto"/>
          <w:sz w:val="24"/>
          <w:highlight w:val="none"/>
        </w:rPr>
        <w:t>对</w:t>
      </w:r>
      <w:r>
        <w:rPr>
          <w:rFonts w:hint="eastAsia" w:ascii="宋体" w:hAnsi="宋体" w:eastAsia="宋体"/>
          <w:color w:val="auto"/>
          <w:sz w:val="24"/>
          <w:highlight w:val="none"/>
          <w:lang w:eastAsia="zh-CN"/>
        </w:rPr>
        <w:t>招标文件</w:t>
      </w:r>
      <w:r>
        <w:rPr>
          <w:rFonts w:hint="eastAsia" w:ascii="宋体" w:hAnsi="宋体" w:eastAsia="宋体"/>
          <w:color w:val="auto"/>
          <w:sz w:val="24"/>
          <w:highlight w:val="none"/>
        </w:rPr>
        <w:t>中的遗漏、词义表述不清或对比较复杂的事项进行说明，回答</w:t>
      </w:r>
      <w:r>
        <w:rPr>
          <w:rFonts w:hint="eastAsia" w:ascii="宋体" w:hAnsi="宋体" w:eastAsia="宋体"/>
          <w:color w:val="auto"/>
          <w:sz w:val="24"/>
          <w:highlight w:val="none"/>
          <w:lang w:eastAsia="zh-CN"/>
        </w:rPr>
        <w:t>投标人</w:t>
      </w:r>
      <w:r>
        <w:rPr>
          <w:rFonts w:hint="eastAsia" w:ascii="宋体" w:hAnsi="宋体" w:eastAsia="宋体"/>
          <w:color w:val="auto"/>
          <w:sz w:val="24"/>
          <w:highlight w:val="none"/>
        </w:rPr>
        <w:t>提出的各种问题。</w:t>
      </w:r>
    </w:p>
    <w:p w14:paraId="2A40EB19">
      <w:pPr>
        <w:pStyle w:val="3"/>
        <w:pageBreakBefore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bookmarkStart w:id="94" w:name="_Toc150787094"/>
      <w:bookmarkStart w:id="95" w:name="_Toc27993"/>
      <w:bookmarkStart w:id="96" w:name="_Toc26635"/>
      <w:bookmarkStart w:id="97" w:name="_Toc8975"/>
      <w:bookmarkStart w:id="98" w:name="_Toc4109"/>
      <w:bookmarkStart w:id="99" w:name="_Toc14525"/>
      <w:bookmarkStart w:id="100" w:name="_Toc14981"/>
      <w:bookmarkStart w:id="101" w:name="_Toc158436766"/>
      <w:bookmarkStart w:id="102" w:name="_Toc234313506"/>
      <w:bookmarkStart w:id="103" w:name="_Toc444266737"/>
      <w:bookmarkStart w:id="104" w:name="_Toc30865"/>
      <w:bookmarkStart w:id="105" w:name="_Toc21055"/>
      <w:bookmarkStart w:id="106" w:name="_Toc584"/>
      <w:bookmarkStart w:id="107" w:name="_Toc7744"/>
      <w:bookmarkStart w:id="108" w:name="_Toc517240179"/>
      <w:r>
        <w:rPr>
          <w:rFonts w:hint="eastAsia" w:ascii="宋体" w:hAnsi="宋体" w:eastAsia="宋体"/>
          <w:color w:val="auto"/>
          <w:sz w:val="24"/>
          <w:szCs w:val="24"/>
          <w:highlight w:val="none"/>
        </w:rPr>
        <w:t>3.4审核原则</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1F6174BF">
      <w:pPr>
        <w:pageBreakBefore w:val="0"/>
        <w:kinsoku/>
        <w:wordWrap/>
        <w:overflowPunct/>
        <w:topLinePunct w:val="0"/>
        <w:autoSpaceDE/>
        <w:autoSpaceDN/>
        <w:bidi w:val="0"/>
        <w:adjustRightInd/>
        <w:snapToGrid/>
        <w:spacing w:line="360" w:lineRule="auto"/>
        <w:ind w:firstLine="480"/>
        <w:textAlignment w:val="auto"/>
        <w:rPr>
          <w:rFonts w:hint="eastAsia" w:ascii="宋体" w:hAnsi="宋体" w:eastAsia="宋体"/>
          <w:color w:val="auto"/>
          <w:sz w:val="24"/>
          <w:highlight w:val="none"/>
          <w:lang w:eastAsia="zh-CN"/>
        </w:rPr>
      </w:pPr>
      <w:r>
        <w:rPr>
          <w:rFonts w:hint="eastAsia" w:ascii="宋体" w:hAnsi="宋体" w:eastAsia="宋体"/>
          <w:color w:val="auto"/>
          <w:sz w:val="24"/>
          <w:highlight w:val="none"/>
          <w:lang w:eastAsia="zh-CN"/>
        </w:rPr>
        <w:t>评标委员会根据招标文件规定的评标方法和标准对投标文件进行评审，并判断本次</w:t>
      </w:r>
      <w:r>
        <w:rPr>
          <w:rFonts w:hint="eastAsia" w:ascii="宋体" w:hAnsi="宋体" w:eastAsia="宋体"/>
          <w:color w:val="auto"/>
          <w:sz w:val="24"/>
          <w:highlight w:val="none"/>
          <w:lang w:val="en-US" w:eastAsia="zh-CN"/>
        </w:rPr>
        <w:t>招标</w:t>
      </w:r>
      <w:r>
        <w:rPr>
          <w:rFonts w:hint="eastAsia" w:ascii="宋体" w:hAnsi="宋体" w:eastAsia="宋体"/>
          <w:color w:val="auto"/>
          <w:sz w:val="24"/>
          <w:highlight w:val="none"/>
          <w:lang w:eastAsia="zh-CN"/>
        </w:rPr>
        <w:t>有效性</w:t>
      </w:r>
      <w:bookmarkEnd w:id="108"/>
      <w:r>
        <w:rPr>
          <w:rFonts w:hint="eastAsia" w:ascii="宋体" w:hAnsi="宋体" w:eastAsia="宋体"/>
          <w:color w:val="auto"/>
          <w:sz w:val="24"/>
          <w:highlight w:val="none"/>
          <w:lang w:eastAsia="zh-CN"/>
        </w:rPr>
        <w:t>。</w:t>
      </w:r>
    </w:p>
    <w:p w14:paraId="0267BF8F">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bookmarkStart w:id="109" w:name="_Toc158436767"/>
      <w:bookmarkStart w:id="110" w:name="_Toc234313507"/>
      <w:bookmarkStart w:id="111" w:name="_Toc13199"/>
      <w:bookmarkStart w:id="112" w:name="_Toc17690"/>
      <w:bookmarkStart w:id="113" w:name="_Toc711"/>
      <w:bookmarkStart w:id="114" w:name="_Toc28672"/>
      <w:bookmarkStart w:id="115" w:name="_Toc444266738"/>
      <w:bookmarkStart w:id="116" w:name="_Toc13396"/>
      <w:bookmarkStart w:id="117" w:name="_Toc6813"/>
      <w:bookmarkStart w:id="118" w:name="_Toc11697"/>
      <w:bookmarkStart w:id="119" w:name="_Toc18437"/>
      <w:bookmarkStart w:id="120" w:name="_Toc14032"/>
      <w:bookmarkStart w:id="121" w:name="_Toc13915"/>
      <w:r>
        <w:rPr>
          <w:rFonts w:hint="eastAsia" w:ascii="宋体" w:hAnsi="宋体" w:eastAsia="宋体"/>
          <w:color w:val="auto"/>
          <w:sz w:val="24"/>
          <w:szCs w:val="24"/>
          <w:highlight w:val="none"/>
        </w:rPr>
        <w:t>3.</w:t>
      </w:r>
      <w:bookmarkEnd w:id="109"/>
      <w:bookmarkEnd w:id="110"/>
      <w:r>
        <w:rPr>
          <w:rFonts w:hint="eastAsia" w:ascii="宋体" w:hAnsi="宋体" w:eastAsia="宋体"/>
          <w:color w:val="auto"/>
          <w:sz w:val="24"/>
          <w:szCs w:val="24"/>
          <w:highlight w:val="none"/>
        </w:rPr>
        <w:t>5审核</w:t>
      </w:r>
      <w:bookmarkEnd w:id="111"/>
      <w:bookmarkEnd w:id="112"/>
      <w:bookmarkEnd w:id="113"/>
      <w:bookmarkEnd w:id="114"/>
      <w:bookmarkEnd w:id="115"/>
      <w:bookmarkEnd w:id="116"/>
      <w:bookmarkEnd w:id="117"/>
      <w:bookmarkEnd w:id="118"/>
      <w:bookmarkEnd w:id="119"/>
      <w:bookmarkEnd w:id="120"/>
      <w:bookmarkEnd w:id="121"/>
    </w:p>
    <w:p w14:paraId="6249C9E7">
      <w:pPr>
        <w:pageBreakBefore w:val="0"/>
        <w:kinsoku/>
        <w:wordWrap/>
        <w:overflowPunct/>
        <w:topLinePunct w:val="0"/>
        <w:autoSpaceDE/>
        <w:autoSpaceDN/>
        <w:bidi w:val="0"/>
        <w:adjustRightInd/>
        <w:snapToGrid/>
        <w:spacing w:line="360" w:lineRule="auto"/>
        <w:ind w:firstLine="480"/>
        <w:textAlignment w:val="auto"/>
        <w:rPr>
          <w:rFonts w:ascii="宋体" w:hAnsi="宋体" w:eastAsia="宋体" w:cs="宋体"/>
          <w:color w:val="auto"/>
          <w:sz w:val="24"/>
          <w:highlight w:val="none"/>
        </w:rPr>
      </w:pPr>
      <w:bookmarkStart w:id="122" w:name="_Toc444266739"/>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对投标文件现场审核。</w:t>
      </w:r>
    </w:p>
    <w:p w14:paraId="641A7325">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bookmarkStart w:id="123" w:name="_Toc4501"/>
      <w:bookmarkStart w:id="124" w:name="_Toc3390"/>
      <w:bookmarkStart w:id="125" w:name="_Toc22958"/>
      <w:bookmarkStart w:id="126" w:name="_Toc1788"/>
      <w:bookmarkStart w:id="127" w:name="_Toc12651"/>
      <w:bookmarkStart w:id="128" w:name="_Toc8957"/>
      <w:bookmarkStart w:id="129" w:name="_Toc12331"/>
      <w:bookmarkStart w:id="130" w:name="_Toc20312"/>
      <w:bookmarkStart w:id="131" w:name="_Toc25520"/>
      <w:bookmarkStart w:id="132" w:name="_Toc6250"/>
      <w:r>
        <w:rPr>
          <w:rFonts w:hint="eastAsia" w:ascii="宋体" w:hAnsi="宋体" w:eastAsia="宋体"/>
          <w:color w:val="auto"/>
          <w:sz w:val="24"/>
          <w:szCs w:val="24"/>
          <w:highlight w:val="none"/>
        </w:rPr>
        <w:t>3.6</w:t>
      </w:r>
      <w:bookmarkEnd w:id="122"/>
      <w:bookmarkEnd w:id="123"/>
      <w:bookmarkEnd w:id="124"/>
      <w:bookmarkEnd w:id="125"/>
      <w:bookmarkEnd w:id="126"/>
      <w:bookmarkEnd w:id="127"/>
      <w:bookmarkEnd w:id="128"/>
      <w:bookmarkEnd w:id="129"/>
      <w:bookmarkEnd w:id="130"/>
      <w:bookmarkEnd w:id="131"/>
      <w:bookmarkEnd w:id="132"/>
      <w:r>
        <w:rPr>
          <w:rFonts w:hint="eastAsia" w:ascii="宋体" w:hAnsi="宋体" w:eastAsia="宋体"/>
          <w:color w:val="auto"/>
          <w:sz w:val="24"/>
          <w:szCs w:val="24"/>
          <w:highlight w:val="none"/>
        </w:rPr>
        <w:t>否决性条款判定</w:t>
      </w:r>
    </w:p>
    <w:p w14:paraId="221DD58F">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3.6.1 投标文件在投标报价截止时间后逾期送达的，其投标将不予受理。</w:t>
      </w:r>
    </w:p>
    <w:p w14:paraId="764114A8">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3.6.2</w:t>
      </w:r>
      <w:r>
        <w:rPr>
          <w:rFonts w:hint="eastAsia" w:ascii="宋体" w:hAnsi="宋体" w:eastAsia="宋体" w:cs="宋体"/>
          <w:color w:val="auto"/>
          <w:sz w:val="24"/>
          <w:highlight w:val="none"/>
          <w:lang w:eastAsia="zh-CN"/>
        </w:rPr>
        <w:t>有下列情形之一的，经评标委员会遵循少数服从多数的原则集体表决认定后，按围标、串标行为处理</w:t>
      </w:r>
      <w:r>
        <w:rPr>
          <w:rFonts w:hint="eastAsia" w:ascii="宋体" w:hAnsi="宋体" w:eastAsia="宋体" w:cs="宋体"/>
          <w:color w:val="auto"/>
          <w:sz w:val="24"/>
          <w:highlight w:val="none"/>
        </w:rPr>
        <w:t>：</w:t>
      </w:r>
    </w:p>
    <w:p w14:paraId="3F88D660">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rPr>
        <w:t>文件由同一单位或者同一个人编制</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42AA4F9">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不同投标人委托同一</w:t>
      </w:r>
      <w:r>
        <w:rPr>
          <w:rFonts w:hint="eastAsia" w:ascii="宋体" w:hAnsi="宋体" w:eastAsia="宋体" w:cs="宋体"/>
          <w:color w:val="auto"/>
          <w:sz w:val="24"/>
          <w:highlight w:val="none"/>
          <w:lang w:eastAsia="zh-CN"/>
        </w:rPr>
        <w:t>单位或者个人办理投标事宜</w:t>
      </w:r>
      <w:r>
        <w:rPr>
          <w:rFonts w:hint="eastAsia" w:ascii="宋体" w:hAnsi="宋体" w:eastAsia="宋体" w:cs="宋体"/>
          <w:color w:val="auto"/>
          <w:sz w:val="24"/>
          <w:highlight w:val="none"/>
          <w:lang w:val="en-US" w:eastAsia="zh-CN"/>
        </w:rPr>
        <w:t>的；</w:t>
      </w:r>
    </w:p>
    <w:p w14:paraId="389AD98F">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文件载明的项目管理成员为同一人</w:t>
      </w:r>
      <w:r>
        <w:rPr>
          <w:rFonts w:hint="eastAsia" w:ascii="宋体" w:hAnsi="宋体" w:eastAsia="宋体" w:cs="宋体"/>
          <w:color w:val="auto"/>
          <w:sz w:val="24"/>
          <w:highlight w:val="none"/>
          <w:lang w:val="en-US" w:eastAsia="zh-CN"/>
        </w:rPr>
        <w:t>的；</w:t>
      </w:r>
    </w:p>
    <w:p w14:paraId="5FD7CB11">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4</w:t>
      </w:r>
      <w:r>
        <w:rPr>
          <w:rFonts w:hint="eastAsia" w:ascii="宋体" w:hAnsi="宋体" w:eastAsia="宋体" w:cs="宋体"/>
          <w:color w:val="auto"/>
          <w:sz w:val="24"/>
          <w:highlight w:val="none"/>
          <w:lang w:eastAsia="zh-CN"/>
        </w:rPr>
        <w:t>）不同</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文件异常一致或者投标报价呈规律性差异</w:t>
      </w:r>
      <w:r>
        <w:rPr>
          <w:rFonts w:hint="eastAsia" w:ascii="宋体" w:hAnsi="宋体" w:eastAsia="宋体" w:cs="宋体"/>
          <w:color w:val="auto"/>
          <w:sz w:val="24"/>
          <w:highlight w:val="none"/>
          <w:lang w:val="en-US" w:eastAsia="zh-CN"/>
        </w:rPr>
        <w:t>；</w:t>
      </w:r>
    </w:p>
    <w:p w14:paraId="3293812A">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w:t>
      </w:r>
      <w:r>
        <w:rPr>
          <w:rFonts w:hint="eastAsia" w:ascii="宋体" w:hAnsi="宋体" w:eastAsia="宋体" w:cs="宋体"/>
          <w:color w:val="auto"/>
          <w:sz w:val="24"/>
          <w:highlight w:val="none"/>
          <w:lang w:val="en-US" w:eastAsia="zh-CN"/>
        </w:rPr>
        <w:t>投标</w:t>
      </w:r>
      <w:r>
        <w:rPr>
          <w:rFonts w:hint="eastAsia" w:ascii="宋体" w:hAnsi="宋体" w:eastAsia="宋体" w:cs="宋体"/>
          <w:color w:val="auto"/>
          <w:sz w:val="24"/>
          <w:highlight w:val="none"/>
          <w:lang w:eastAsia="zh-CN"/>
        </w:rPr>
        <w:t>文件</w:t>
      </w:r>
      <w:r>
        <w:rPr>
          <w:rFonts w:hint="eastAsia" w:ascii="宋体" w:hAnsi="宋体" w:eastAsia="宋体" w:cs="宋体"/>
          <w:color w:val="auto"/>
          <w:sz w:val="24"/>
          <w:highlight w:val="none"/>
        </w:rPr>
        <w:t>相互混装的；</w:t>
      </w:r>
    </w:p>
    <w:p w14:paraId="59D6DA07">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不同投标人的投标保证金从同一单位或者个人的账户转出；</w:t>
      </w:r>
    </w:p>
    <w:p w14:paraId="1625554D">
      <w:pPr>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投标人以他人名义投标，串通投标，以行贿手段谋取中标或者以其他弄虚作假方式投标</w:t>
      </w:r>
    </w:p>
    <w:p w14:paraId="4487A7EA">
      <w:pPr>
        <w:pageBreakBefore w:val="0"/>
        <w:kinsoku/>
        <w:wordWrap/>
        <w:overflowPunct/>
        <w:topLinePunct w:val="0"/>
        <w:autoSpaceDE/>
        <w:autoSpaceDN/>
        <w:bidi w:val="0"/>
        <w:adjustRightInd/>
        <w:snapToGrid/>
        <w:spacing w:line="360" w:lineRule="auto"/>
        <w:ind w:firstLine="720" w:firstLineChars="300"/>
        <w:jc w:val="left"/>
        <w:textAlignment w:val="auto"/>
        <w:rPr>
          <w:rFonts w:ascii="宋体" w:hAnsi="宋体" w:eastAsia="宋体" w:cs="宋体"/>
          <w:color w:val="auto"/>
          <w:sz w:val="24"/>
          <w:highlight w:val="none"/>
        </w:rPr>
      </w:pP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认定的其他串通投标情形。</w:t>
      </w:r>
    </w:p>
    <w:p w14:paraId="00F40929">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olor w:val="auto"/>
          <w:sz w:val="24"/>
          <w:szCs w:val="24"/>
          <w:highlight w:val="none"/>
        </w:rPr>
        <w:t>3.6</w:t>
      </w:r>
      <w:r>
        <w:rPr>
          <w:rFonts w:hint="eastAsia" w:ascii="宋体" w:hAnsi="宋体" w:eastAsia="宋体"/>
          <w:color w:val="auto"/>
          <w:sz w:val="24"/>
          <w:szCs w:val="24"/>
          <w:highlight w:val="none"/>
          <w:lang w:val="en-US" w:eastAsia="zh-CN"/>
        </w:rPr>
        <w:t>.</w:t>
      </w:r>
      <w:r>
        <w:rPr>
          <w:rFonts w:hint="eastAsia" w:ascii="宋体" w:hAnsi="宋体" w:eastAsia="宋体" w:cs="宋体"/>
          <w:color w:val="auto"/>
          <w:sz w:val="24"/>
          <w:highlight w:val="none"/>
          <w:lang w:val="en-US" w:eastAsia="zh-CN"/>
        </w:rPr>
        <w:t>3 有下列情形之一的，经</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lang w:val="en-US" w:eastAsia="zh-CN"/>
        </w:rPr>
        <w:t>遵循少数服从多数的原则集体表决认定后，按否决处理让该投标文件退出评</w:t>
      </w:r>
      <w:r>
        <w:rPr>
          <w:rFonts w:hint="eastAsia" w:ascii="宋体" w:hAnsi="宋体" w:eastAsia="宋体" w:cs="宋体"/>
          <w:color w:val="auto"/>
          <w:sz w:val="24"/>
          <w:highlight w:val="none"/>
          <w:lang w:eastAsia="zh-CN"/>
        </w:rPr>
        <w:t>标</w:t>
      </w:r>
      <w:r>
        <w:rPr>
          <w:rFonts w:hint="eastAsia" w:ascii="宋体" w:hAnsi="宋体" w:eastAsia="宋体" w:cs="宋体"/>
          <w:color w:val="auto"/>
          <w:sz w:val="24"/>
          <w:highlight w:val="none"/>
          <w:lang w:val="en-US" w:eastAsia="zh-CN"/>
        </w:rPr>
        <w:t>程序：</w:t>
      </w:r>
    </w:p>
    <w:p w14:paraId="5953FE8E">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（1）投标报价超出招标控制价或最高限价的或按第三章《价格标评审》规定的调整方法确定的调整后价格超出最高限价的；</w:t>
      </w:r>
    </w:p>
    <w:p w14:paraId="5B2AD847">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资格条件不符合国家有关规定和</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5F4D0CD0">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的规定提交投标保证金的，或投标保函的内容不符合</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要求的；</w:t>
      </w:r>
    </w:p>
    <w:p w14:paraId="6CC15C05">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（4）未按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规定提交《投标函》的，或《投标函》未按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规定填写、漏填或内容填写错误，可能导致影响项目实施，损害</w:t>
      </w:r>
      <w:r>
        <w:rPr>
          <w:rFonts w:hint="eastAsia" w:ascii="宋体" w:hAnsi="宋体" w:eastAsia="宋体" w:cs="宋体"/>
          <w:color w:val="auto"/>
          <w:sz w:val="24"/>
          <w:highlight w:val="none"/>
          <w:lang w:eastAsia="zh-CN"/>
        </w:rPr>
        <w:t>招标人</w:t>
      </w:r>
      <w:r>
        <w:rPr>
          <w:rFonts w:hint="eastAsia" w:ascii="宋体" w:hAnsi="宋体" w:eastAsia="宋体" w:cs="宋体"/>
          <w:color w:val="auto"/>
          <w:sz w:val="24"/>
          <w:highlight w:val="none"/>
        </w:rPr>
        <w:t>利益的；</w:t>
      </w:r>
    </w:p>
    <w:p w14:paraId="0D08ECEB">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（5）组成联合体投标的，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中未按规定提交联合体协议的；</w:t>
      </w:r>
    </w:p>
    <w:p w14:paraId="2097BDA1">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递交两份或多份内容不同的</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，或在一份</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中，有两个或多个报价且根据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评审办法规定的修正原则无法确定哪一个有效的。按</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规定提供可选择性方案报价的除外；</w:t>
      </w:r>
    </w:p>
    <w:p w14:paraId="016C445D">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（7）参加联合体的各成员再以自己的名义单独投标的，或同时参加两个（含两个）以上的联合体投标的；</w:t>
      </w:r>
    </w:p>
    <w:p w14:paraId="2986D7EF">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对</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 xml:space="preserve">提出的实质性要求和条件未作出响应的或不满足的，对初步评审表要求的内容未作出响应的或不满足的； </w:t>
      </w:r>
    </w:p>
    <w:p w14:paraId="4FF051AC">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未能按照</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要求，对其</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进行澄清、说明和补正的，或</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不接受根据</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规定对投标报价进行算术修正的；</w:t>
      </w:r>
    </w:p>
    <w:p w14:paraId="2DE55BF4">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（10）单位负责人为同一人或者存在控股、管理关系的不同单位，参加同一标段投标或者未划分标段的同一招标项目投标；</w:t>
      </w:r>
    </w:p>
    <w:p w14:paraId="2527D52E">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（11）若出现</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的报价明显低于其他投标报价，使得其投标报价可能低于其成本的，应当要求该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作出书面说明并提供相应的证明材料。</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不能合理说明或者不能提供相应证明材料的，由</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认定该</w:t>
      </w: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以低于成本报价竞标，并否决其投标。</w:t>
      </w:r>
    </w:p>
    <w:p w14:paraId="53CAD3B8">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（12）符合法律法规或主管部门规范性文件规定否决情形的。</w:t>
      </w:r>
    </w:p>
    <w:p w14:paraId="355FEA31">
      <w:pPr>
        <w:pageBreakBefore w:val="0"/>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（13）</w:t>
      </w:r>
      <w:r>
        <w:rPr>
          <w:rFonts w:hint="eastAsia" w:ascii="宋体" w:hAnsi="宋体" w:eastAsia="宋体" w:cs="宋体"/>
          <w:color w:val="auto"/>
          <w:sz w:val="24"/>
          <w:highlight w:val="none"/>
          <w:lang w:eastAsia="zh-CN"/>
        </w:rPr>
        <w:t>评标委员会</w:t>
      </w:r>
      <w:r>
        <w:rPr>
          <w:rFonts w:hint="eastAsia" w:ascii="宋体" w:hAnsi="宋体" w:eastAsia="宋体" w:cs="宋体"/>
          <w:color w:val="auto"/>
          <w:sz w:val="24"/>
          <w:highlight w:val="none"/>
        </w:rPr>
        <w:t xml:space="preserve">三分之二及以上成员认为应当废标的其他情形。 </w:t>
      </w:r>
      <w:bookmarkStart w:id="133" w:name="_Toc21820"/>
      <w:bookmarkStart w:id="134" w:name="_Toc234313512"/>
      <w:r>
        <w:rPr>
          <w:rFonts w:hint="eastAsia" w:ascii="宋体" w:hAnsi="宋体" w:eastAsia="宋体" w:cs="宋体"/>
          <w:color w:val="auto"/>
          <w:sz w:val="24"/>
          <w:highlight w:val="none"/>
          <w:lang w:val="en-US" w:eastAsia="zh-CN"/>
        </w:rPr>
        <w:t xml:space="preserve">     </w:t>
      </w:r>
    </w:p>
    <w:p w14:paraId="30C74977">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bookmarkStart w:id="135" w:name="_Toc1547"/>
      <w:bookmarkStart w:id="136" w:name="_Toc11621"/>
      <w:bookmarkStart w:id="137" w:name="_Toc25264"/>
      <w:bookmarkStart w:id="138" w:name="_Toc24601"/>
      <w:bookmarkStart w:id="139" w:name="_Toc19039"/>
      <w:bookmarkStart w:id="140" w:name="_Toc32144"/>
      <w:bookmarkStart w:id="141" w:name="_Toc13960"/>
      <w:r>
        <w:rPr>
          <w:rFonts w:hint="eastAsia" w:ascii="宋体" w:hAnsi="宋体" w:eastAsia="宋体"/>
          <w:color w:val="auto"/>
          <w:sz w:val="24"/>
          <w:szCs w:val="24"/>
          <w:highlight w:val="none"/>
          <w:lang w:val="en-US" w:eastAsia="zh-CN"/>
        </w:rPr>
        <w:t>3.7</w:t>
      </w:r>
      <w:r>
        <w:rPr>
          <w:rFonts w:hint="eastAsia" w:ascii="宋体" w:hAnsi="宋体" w:eastAsia="宋体"/>
          <w:color w:val="auto"/>
          <w:sz w:val="24"/>
          <w:szCs w:val="24"/>
          <w:highlight w:val="none"/>
        </w:rPr>
        <w:t>无效标和废标的处理</w:t>
      </w:r>
      <w:bookmarkEnd w:id="133"/>
      <w:bookmarkEnd w:id="135"/>
      <w:bookmarkEnd w:id="136"/>
      <w:bookmarkEnd w:id="137"/>
      <w:bookmarkEnd w:id="138"/>
      <w:bookmarkEnd w:id="139"/>
      <w:bookmarkEnd w:id="140"/>
      <w:bookmarkEnd w:id="141"/>
    </w:p>
    <w:p w14:paraId="31535B49">
      <w:pPr>
        <w:topLinePunct/>
        <w:adjustRightInd w:val="0"/>
        <w:snapToGrid w:val="0"/>
        <w:ind w:firstLine="360" w:firstLineChars="150"/>
        <w:jc w:val="left"/>
        <w:rPr>
          <w:rFonts w:ascii="宋体" w:hAnsi="宋体" w:eastAsia="宋体"/>
          <w:color w:val="auto"/>
          <w:kern w:val="0"/>
          <w:sz w:val="24"/>
          <w:highlight w:val="none"/>
        </w:rPr>
      </w:pPr>
      <w:r>
        <w:rPr>
          <w:rFonts w:hint="eastAsia" w:ascii="宋体" w:hAnsi="宋体" w:eastAsia="宋体"/>
          <w:color w:val="auto"/>
          <w:kern w:val="0"/>
          <w:sz w:val="24"/>
          <w:highlight w:val="none"/>
        </w:rPr>
        <w:t>评标委员会对投标文件应坚持谨慎确定无效标和废标的原则。评标委员会在作出任何一项无效标和废标决定之前，都应严格遵循以下程序：</w:t>
      </w:r>
    </w:p>
    <w:p w14:paraId="22DF972E">
      <w:pPr>
        <w:topLinePunct/>
        <w:adjustRightInd w:val="0"/>
        <w:snapToGrid w:val="0"/>
        <w:ind w:firstLine="360" w:firstLineChars="150"/>
        <w:jc w:val="left"/>
        <w:rPr>
          <w:rFonts w:ascii="宋体" w:hAnsi="宋体" w:eastAsia="宋体"/>
          <w:color w:val="auto"/>
          <w:kern w:val="0"/>
          <w:sz w:val="24"/>
          <w:highlight w:val="none"/>
        </w:rPr>
      </w:pPr>
      <w:r>
        <w:rPr>
          <w:rFonts w:hint="eastAsia" w:ascii="宋体" w:hAnsi="宋体" w:eastAsia="宋体"/>
          <w:color w:val="auto"/>
          <w:kern w:val="0"/>
          <w:sz w:val="24"/>
          <w:highlight w:val="none"/>
          <w:lang w:val="en-US" w:eastAsia="zh-CN"/>
        </w:rPr>
        <w:t>1.</w:t>
      </w:r>
      <w:r>
        <w:rPr>
          <w:rFonts w:hint="eastAsia" w:ascii="宋体" w:hAnsi="宋体" w:eastAsia="宋体"/>
          <w:color w:val="auto"/>
          <w:kern w:val="0"/>
          <w:sz w:val="24"/>
          <w:highlight w:val="none"/>
        </w:rPr>
        <w:t>评标委员会应要求当事</w:t>
      </w:r>
      <w:r>
        <w:rPr>
          <w:rFonts w:hint="eastAsia" w:ascii="宋体" w:hAnsi="宋体" w:eastAsia="宋体"/>
          <w:color w:val="auto"/>
          <w:kern w:val="0"/>
          <w:sz w:val="24"/>
          <w:highlight w:val="none"/>
          <w:lang w:eastAsia="zh-CN"/>
        </w:rPr>
        <w:t>投标人</w:t>
      </w:r>
      <w:r>
        <w:rPr>
          <w:rFonts w:hint="eastAsia" w:ascii="宋体" w:hAnsi="宋体" w:eastAsia="宋体"/>
          <w:color w:val="auto"/>
          <w:kern w:val="0"/>
          <w:sz w:val="24"/>
          <w:highlight w:val="none"/>
        </w:rPr>
        <w:t>作相应的</w:t>
      </w:r>
      <w:r>
        <w:rPr>
          <w:rFonts w:hint="eastAsia" w:ascii="宋体" w:hAnsi="宋体" w:eastAsia="宋体"/>
          <w:color w:val="auto"/>
          <w:sz w:val="24"/>
          <w:highlight w:val="none"/>
        </w:rPr>
        <w:t>澄清</w:t>
      </w:r>
      <w:r>
        <w:rPr>
          <w:rFonts w:hint="eastAsia" w:ascii="宋体" w:hAnsi="宋体" w:eastAsia="宋体"/>
          <w:color w:val="auto"/>
          <w:kern w:val="0"/>
          <w:sz w:val="24"/>
          <w:highlight w:val="none"/>
        </w:rPr>
        <w:t>。</w:t>
      </w:r>
    </w:p>
    <w:p w14:paraId="41A31124">
      <w:pPr>
        <w:topLinePunct/>
        <w:adjustRightInd w:val="0"/>
        <w:snapToGrid w:val="0"/>
        <w:ind w:firstLine="360" w:firstLineChars="15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lang w:val="en-US" w:eastAsia="zh-CN"/>
        </w:rPr>
        <w:t>2.</w:t>
      </w:r>
      <w:r>
        <w:rPr>
          <w:rFonts w:hint="eastAsia" w:ascii="宋体" w:hAnsi="宋体" w:eastAsia="宋体"/>
          <w:color w:val="auto"/>
          <w:kern w:val="0"/>
          <w:sz w:val="24"/>
          <w:highlight w:val="none"/>
        </w:rPr>
        <w:t>评标委员会将答辩记录送当事</w:t>
      </w:r>
      <w:r>
        <w:rPr>
          <w:rFonts w:hint="eastAsia" w:ascii="宋体" w:hAnsi="宋体" w:eastAsia="宋体"/>
          <w:color w:val="auto"/>
          <w:kern w:val="0"/>
          <w:sz w:val="24"/>
          <w:highlight w:val="none"/>
          <w:lang w:eastAsia="zh-CN"/>
        </w:rPr>
        <w:t>投标人</w:t>
      </w:r>
      <w:r>
        <w:rPr>
          <w:rFonts w:hint="eastAsia" w:ascii="宋体" w:hAnsi="宋体" w:eastAsia="宋体"/>
          <w:color w:val="auto"/>
          <w:kern w:val="0"/>
          <w:sz w:val="24"/>
          <w:highlight w:val="none"/>
        </w:rPr>
        <w:t>委派</w:t>
      </w:r>
      <w:r>
        <w:rPr>
          <w:rFonts w:hint="eastAsia" w:ascii="宋体" w:hAnsi="宋体" w:eastAsia="宋体"/>
          <w:color w:val="auto"/>
          <w:kern w:val="0"/>
          <w:sz w:val="24"/>
          <w:highlight w:val="none"/>
          <w:lang w:val="en-US" w:eastAsia="zh-CN"/>
        </w:rPr>
        <w:t>代表</w:t>
      </w:r>
      <w:r>
        <w:rPr>
          <w:rFonts w:hint="eastAsia" w:ascii="宋体" w:hAnsi="宋体" w:eastAsia="宋体"/>
          <w:color w:val="auto"/>
          <w:kern w:val="0"/>
          <w:sz w:val="24"/>
          <w:highlight w:val="none"/>
        </w:rPr>
        <w:t>签字确认。如果</w:t>
      </w:r>
      <w:r>
        <w:rPr>
          <w:rFonts w:hint="eastAsia" w:ascii="宋体" w:hAnsi="宋体" w:eastAsia="宋体"/>
          <w:color w:val="auto"/>
          <w:kern w:val="0"/>
          <w:sz w:val="24"/>
          <w:highlight w:val="none"/>
          <w:lang w:eastAsia="zh-CN"/>
        </w:rPr>
        <w:t>投标人</w:t>
      </w:r>
      <w:r>
        <w:rPr>
          <w:rFonts w:hint="eastAsia" w:ascii="宋体" w:hAnsi="宋体" w:eastAsia="宋体"/>
          <w:color w:val="auto"/>
          <w:kern w:val="0"/>
          <w:sz w:val="24"/>
          <w:highlight w:val="none"/>
        </w:rPr>
        <w:t>拒绝在答辩记录上签字确认的，视为同意答辩记录。</w:t>
      </w:r>
    </w:p>
    <w:p w14:paraId="25E7A649">
      <w:pPr>
        <w:topLinePunct/>
        <w:adjustRightInd w:val="0"/>
        <w:snapToGrid w:val="0"/>
        <w:ind w:firstLine="360" w:firstLineChars="150"/>
        <w:jc w:val="left"/>
        <w:rPr>
          <w:rFonts w:ascii="宋体" w:hAnsi="宋体" w:eastAsia="宋体"/>
          <w:color w:val="auto"/>
          <w:kern w:val="0"/>
          <w:sz w:val="24"/>
          <w:highlight w:val="none"/>
        </w:rPr>
      </w:pPr>
      <w:r>
        <w:rPr>
          <w:rFonts w:hint="eastAsia" w:ascii="宋体" w:hAnsi="宋体" w:eastAsia="宋体"/>
          <w:color w:val="auto"/>
          <w:kern w:val="0"/>
          <w:sz w:val="24"/>
          <w:highlight w:val="none"/>
          <w:lang w:val="en-US" w:eastAsia="zh-CN"/>
        </w:rPr>
        <w:t>3.</w:t>
      </w:r>
      <w:r>
        <w:rPr>
          <w:rFonts w:hint="eastAsia" w:ascii="宋体" w:hAnsi="宋体" w:eastAsia="宋体"/>
          <w:color w:val="auto"/>
          <w:kern w:val="0"/>
          <w:sz w:val="24"/>
          <w:highlight w:val="none"/>
        </w:rPr>
        <w:t>评标委员会应在充分讨论的基础上，通过记名的集体表决方式作出决定。</w:t>
      </w:r>
    </w:p>
    <w:p w14:paraId="267111E1">
      <w:pPr>
        <w:topLinePunct/>
        <w:adjustRightInd w:val="0"/>
        <w:snapToGrid w:val="0"/>
        <w:ind w:firstLine="360" w:firstLineChars="150"/>
        <w:jc w:val="left"/>
        <w:rPr>
          <w:rFonts w:ascii="宋体" w:hAnsi="宋体" w:eastAsia="宋体"/>
          <w:color w:val="auto"/>
          <w:kern w:val="0"/>
          <w:sz w:val="24"/>
          <w:highlight w:val="none"/>
        </w:rPr>
      </w:pPr>
      <w:r>
        <w:rPr>
          <w:rFonts w:hint="eastAsia" w:ascii="宋体" w:hAnsi="宋体" w:eastAsia="宋体"/>
          <w:color w:val="auto"/>
          <w:kern w:val="0"/>
          <w:sz w:val="24"/>
          <w:highlight w:val="none"/>
          <w:lang w:val="en-US" w:eastAsia="zh-CN"/>
        </w:rPr>
        <w:t>4.</w:t>
      </w:r>
      <w:r>
        <w:rPr>
          <w:rFonts w:hint="eastAsia" w:ascii="宋体" w:hAnsi="宋体" w:eastAsia="宋体"/>
          <w:color w:val="auto"/>
          <w:kern w:val="0"/>
          <w:sz w:val="24"/>
          <w:highlight w:val="none"/>
        </w:rPr>
        <w:t>如果评标委员会通过表决做出无效标或废标的决定，应在评标报告中详细记录做出无效标或废标的理由、依据和评标委员会表决的过程和结论。评标报告由评标委员会全体成员签字。若</w:t>
      </w:r>
      <w:r>
        <w:rPr>
          <w:rFonts w:ascii="宋体" w:hAnsi="宋体" w:eastAsia="宋体"/>
          <w:color w:val="auto"/>
          <w:kern w:val="0"/>
          <w:sz w:val="24"/>
          <w:highlight w:val="none"/>
        </w:rPr>
        <w:t>评标委员会</w:t>
      </w:r>
      <w:r>
        <w:rPr>
          <w:rFonts w:hint="eastAsia" w:ascii="宋体" w:hAnsi="宋体" w:eastAsia="宋体"/>
          <w:color w:val="auto"/>
          <w:kern w:val="0"/>
          <w:sz w:val="24"/>
          <w:highlight w:val="none"/>
        </w:rPr>
        <w:t>成员对表决结论持有异议，可以书面方式阐述其不同意见和理由；如果该成员拒绝在评标报告上签字，又不陈述其不同意见和理由的，视为同意表决结论。</w:t>
      </w:r>
    </w:p>
    <w:p w14:paraId="742FFB47">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bookmarkStart w:id="142" w:name="_Toc19996"/>
      <w:bookmarkStart w:id="143" w:name="_Toc17226"/>
      <w:bookmarkStart w:id="144" w:name="_Toc25181"/>
      <w:bookmarkStart w:id="145" w:name="_Toc20458"/>
      <w:bookmarkStart w:id="146" w:name="_Toc6147"/>
      <w:bookmarkStart w:id="147" w:name="_Toc32553"/>
      <w:bookmarkStart w:id="148" w:name="_Toc9294"/>
      <w:bookmarkStart w:id="149" w:name="_Toc4842"/>
      <w:bookmarkStart w:id="150" w:name="_Toc5377"/>
      <w:bookmarkStart w:id="151" w:name="_Toc24060"/>
      <w:r>
        <w:rPr>
          <w:rFonts w:hint="eastAsia" w:ascii="宋体" w:hAnsi="宋体" w:eastAsia="宋体"/>
          <w:color w:val="auto"/>
          <w:sz w:val="24"/>
          <w:szCs w:val="24"/>
          <w:highlight w:val="none"/>
          <w:lang w:val="en-US" w:eastAsia="zh-CN"/>
        </w:rPr>
        <w:t>3.8资格后审</w:t>
      </w:r>
      <w:bookmarkEnd w:id="142"/>
      <w:bookmarkEnd w:id="143"/>
      <w:bookmarkEnd w:id="144"/>
      <w:bookmarkEnd w:id="145"/>
      <w:bookmarkEnd w:id="146"/>
      <w:bookmarkEnd w:id="147"/>
      <w:bookmarkEnd w:id="148"/>
      <w:bookmarkEnd w:id="149"/>
      <w:bookmarkEnd w:id="150"/>
      <w:bookmarkEnd w:id="151"/>
    </w:p>
    <w:p w14:paraId="708628BF">
      <w:pPr>
        <w:topLinePunct/>
        <w:adjustRightInd w:val="0"/>
        <w:snapToGrid w:val="0"/>
        <w:ind w:firstLine="480"/>
        <w:jc w:val="left"/>
        <w:rPr>
          <w:rFonts w:ascii="宋体" w:hAnsi="宋体" w:eastAsia="宋体"/>
          <w:color w:val="auto"/>
          <w:kern w:val="0"/>
          <w:sz w:val="24"/>
          <w:highlight w:val="none"/>
        </w:rPr>
      </w:pPr>
      <w:r>
        <w:rPr>
          <w:rFonts w:hint="eastAsia" w:ascii="宋体" w:hAnsi="宋体" w:eastAsia="宋体"/>
          <w:color w:val="auto"/>
          <w:kern w:val="0"/>
          <w:sz w:val="24"/>
          <w:highlight w:val="none"/>
          <w:lang w:val="en-US" w:eastAsia="zh-CN"/>
        </w:rPr>
        <w:t>1.</w:t>
      </w:r>
      <w:r>
        <w:rPr>
          <w:rFonts w:hint="eastAsia" w:ascii="宋体" w:hAnsi="宋体" w:eastAsia="宋体"/>
          <w:color w:val="auto"/>
          <w:kern w:val="0"/>
          <w:sz w:val="24"/>
          <w:highlight w:val="none"/>
        </w:rPr>
        <w:t>资格审查由招标人组成的资格后审委员会负责，</w:t>
      </w:r>
    </w:p>
    <w:p w14:paraId="2AA0C705">
      <w:pPr>
        <w:topLinePunct/>
        <w:adjustRightInd w:val="0"/>
        <w:snapToGrid w:val="0"/>
        <w:ind w:firstLine="48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lang w:val="en-US" w:eastAsia="zh-CN"/>
        </w:rPr>
        <w:t>2.</w:t>
      </w:r>
      <w:r>
        <w:rPr>
          <w:rFonts w:hint="eastAsia" w:ascii="宋体" w:hAnsi="宋体" w:eastAsia="宋体"/>
          <w:color w:val="auto"/>
          <w:kern w:val="0"/>
          <w:sz w:val="24"/>
          <w:highlight w:val="none"/>
        </w:rPr>
        <w:t>资格后审委员严格对照招标公告中要求的投标人资格条件，逐个审查投标人递交的资格审查文件，审核判断投标人是否满足该资格条件。</w:t>
      </w:r>
    </w:p>
    <w:p w14:paraId="46E0D3FF">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bookmarkStart w:id="152" w:name="_Toc16761"/>
      <w:bookmarkStart w:id="153" w:name="_Toc6668"/>
      <w:bookmarkStart w:id="154" w:name="_Toc9007"/>
      <w:bookmarkStart w:id="155" w:name="_Toc24743"/>
      <w:bookmarkStart w:id="156" w:name="_Toc10491"/>
      <w:bookmarkStart w:id="157" w:name="_Toc28717"/>
      <w:bookmarkStart w:id="158" w:name="_Toc225"/>
      <w:bookmarkStart w:id="159" w:name="_Toc27246"/>
      <w:r>
        <w:rPr>
          <w:rFonts w:hint="eastAsia" w:ascii="宋体" w:hAnsi="宋体" w:eastAsia="宋体"/>
          <w:color w:val="auto"/>
          <w:sz w:val="24"/>
          <w:szCs w:val="24"/>
          <w:highlight w:val="none"/>
          <w:lang w:val="en-US" w:eastAsia="zh-CN"/>
        </w:rPr>
        <w:t>3.9开标</w:t>
      </w:r>
      <w:bookmarkEnd w:id="152"/>
      <w:bookmarkEnd w:id="153"/>
      <w:bookmarkEnd w:id="154"/>
      <w:bookmarkEnd w:id="155"/>
      <w:bookmarkEnd w:id="156"/>
      <w:bookmarkEnd w:id="157"/>
      <w:bookmarkEnd w:id="158"/>
      <w:bookmarkEnd w:id="159"/>
    </w:p>
    <w:p w14:paraId="65973DB4">
      <w:pPr>
        <w:topLinePunct/>
        <w:adjustRightInd w:val="0"/>
        <w:snapToGrid w:val="0"/>
        <w:ind w:firstLine="480"/>
        <w:jc w:val="left"/>
        <w:rPr>
          <w:rFonts w:hint="eastAsia" w:ascii="宋体" w:hAnsi="宋体" w:eastAsia="宋体"/>
          <w:color w:val="auto"/>
          <w:kern w:val="0"/>
          <w:sz w:val="24"/>
          <w:highlight w:val="none"/>
        </w:rPr>
      </w:pPr>
      <w:bookmarkStart w:id="160" w:name="_Toc373"/>
      <w:bookmarkStart w:id="161" w:name="_Toc523252726"/>
      <w:bookmarkStart w:id="162" w:name="_Toc132102340"/>
      <w:r>
        <w:rPr>
          <w:rFonts w:hint="eastAsia" w:ascii="宋体" w:hAnsi="宋体" w:eastAsia="宋体"/>
          <w:color w:val="auto"/>
          <w:kern w:val="0"/>
          <w:sz w:val="24"/>
          <w:highlight w:val="none"/>
          <w:lang w:val="en-US" w:eastAsia="zh-CN"/>
        </w:rPr>
        <w:t>1.</w:t>
      </w:r>
      <w:r>
        <w:rPr>
          <w:rFonts w:hint="eastAsia" w:ascii="宋体" w:hAnsi="宋体" w:eastAsia="宋体"/>
          <w:color w:val="auto"/>
          <w:kern w:val="0"/>
          <w:sz w:val="24"/>
          <w:highlight w:val="none"/>
          <w:lang w:eastAsia="zh-CN"/>
        </w:rPr>
        <w:t>招标人</w:t>
      </w:r>
      <w:r>
        <w:rPr>
          <w:rFonts w:hint="eastAsia" w:ascii="宋体" w:hAnsi="宋体" w:eastAsia="宋体"/>
          <w:color w:val="auto"/>
          <w:kern w:val="0"/>
          <w:sz w:val="24"/>
          <w:highlight w:val="none"/>
        </w:rPr>
        <w:t>在规定的时间、地点组织开标。</w:t>
      </w:r>
    </w:p>
    <w:p w14:paraId="14F7D0A7">
      <w:pPr>
        <w:topLinePunct/>
        <w:adjustRightInd w:val="0"/>
        <w:snapToGrid w:val="0"/>
        <w:ind w:firstLine="48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lang w:val="en-US" w:eastAsia="zh-CN"/>
        </w:rPr>
        <w:t>2.</w:t>
      </w:r>
      <w:r>
        <w:rPr>
          <w:rFonts w:hint="eastAsia" w:ascii="宋体" w:hAnsi="宋体" w:eastAsia="宋体"/>
          <w:color w:val="auto"/>
          <w:kern w:val="0"/>
          <w:sz w:val="24"/>
          <w:highlight w:val="none"/>
        </w:rPr>
        <w:t>开标会由</w:t>
      </w:r>
      <w:r>
        <w:rPr>
          <w:rFonts w:hint="eastAsia" w:ascii="宋体" w:hAnsi="宋体" w:eastAsia="宋体"/>
          <w:color w:val="auto"/>
          <w:kern w:val="0"/>
          <w:sz w:val="24"/>
          <w:highlight w:val="none"/>
          <w:lang w:eastAsia="zh-CN"/>
        </w:rPr>
        <w:t>招标人</w:t>
      </w:r>
      <w:r>
        <w:rPr>
          <w:rFonts w:hint="eastAsia" w:ascii="宋体" w:hAnsi="宋体" w:eastAsia="宋体"/>
          <w:color w:val="auto"/>
          <w:kern w:val="0"/>
          <w:sz w:val="24"/>
          <w:highlight w:val="none"/>
        </w:rPr>
        <w:t>主持。</w:t>
      </w:r>
    </w:p>
    <w:p w14:paraId="31538986">
      <w:pPr>
        <w:topLinePunct/>
        <w:adjustRightInd w:val="0"/>
        <w:snapToGrid w:val="0"/>
        <w:ind w:firstLine="480"/>
        <w:jc w:val="left"/>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3.采用资格后审方式招标的项目，招标人须当众宣布资格审查结果。资格后审不合格的投标人的投标文件将不再进入下一步开标程序。</w:t>
      </w:r>
    </w:p>
    <w:p w14:paraId="6DC04D37">
      <w:pPr>
        <w:topLinePunct/>
        <w:adjustRightInd w:val="0"/>
        <w:snapToGrid w:val="0"/>
        <w:ind w:firstLine="480"/>
        <w:jc w:val="left"/>
        <w:rPr>
          <w:rFonts w:hint="default"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4.在投标报价截止时间前收到的所有投标文件，开标时都应当众宣读投标人名称。</w:t>
      </w:r>
    </w:p>
    <w:p w14:paraId="4C6BFD0D">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val="en-US" w:eastAsia="zh-CN"/>
        </w:rPr>
      </w:pPr>
      <w:bookmarkStart w:id="163" w:name="_Toc19840"/>
      <w:bookmarkStart w:id="164" w:name="_Toc11476"/>
      <w:bookmarkStart w:id="165" w:name="_Toc31117"/>
      <w:bookmarkStart w:id="166" w:name="_Toc26021"/>
      <w:bookmarkStart w:id="167" w:name="_Toc7111"/>
      <w:bookmarkStart w:id="168" w:name="_Toc32283"/>
      <w:bookmarkStart w:id="169" w:name="_Toc12890"/>
      <w:r>
        <w:rPr>
          <w:rFonts w:hint="eastAsia" w:ascii="宋体" w:hAnsi="宋体" w:eastAsia="宋体"/>
          <w:color w:val="auto"/>
          <w:sz w:val="24"/>
          <w:szCs w:val="24"/>
          <w:highlight w:val="none"/>
          <w:lang w:val="en-US" w:eastAsia="zh-CN"/>
        </w:rPr>
        <w:t>3.10评标程序</w:t>
      </w:r>
      <w:bookmarkEnd w:id="160"/>
      <w:bookmarkEnd w:id="161"/>
      <w:bookmarkEnd w:id="162"/>
      <w:bookmarkEnd w:id="163"/>
      <w:bookmarkEnd w:id="164"/>
      <w:bookmarkEnd w:id="165"/>
      <w:bookmarkEnd w:id="166"/>
      <w:bookmarkEnd w:id="167"/>
      <w:bookmarkEnd w:id="168"/>
      <w:bookmarkEnd w:id="169"/>
    </w:p>
    <w:p w14:paraId="45809BDF">
      <w:pPr>
        <w:topLinePunct/>
        <w:adjustRightInd w:val="0"/>
        <w:snapToGrid w:val="0"/>
        <w:ind w:firstLine="482"/>
        <w:rPr>
          <w:rFonts w:ascii="宋体" w:hAnsi="宋体" w:eastAsia="宋体"/>
          <w:b w:val="0"/>
          <w:bCs w:val="0"/>
          <w:color w:val="auto"/>
          <w:kern w:val="0"/>
          <w:sz w:val="24"/>
          <w:highlight w:val="none"/>
        </w:rPr>
      </w:pPr>
      <w:r>
        <w:rPr>
          <w:rFonts w:hint="eastAsia" w:ascii="宋体" w:hAnsi="宋体" w:eastAsia="宋体"/>
          <w:b w:val="0"/>
          <w:bCs w:val="0"/>
          <w:color w:val="auto"/>
          <w:sz w:val="24"/>
          <w:highlight w:val="none"/>
          <w:lang w:val="en-US" w:eastAsia="zh-CN"/>
        </w:rPr>
        <w:t>1.</w:t>
      </w:r>
      <w:r>
        <w:rPr>
          <w:rFonts w:hint="eastAsia" w:ascii="宋体" w:hAnsi="宋体" w:eastAsia="宋体"/>
          <w:b w:val="0"/>
          <w:bCs w:val="0"/>
          <w:color w:val="auto"/>
          <w:kern w:val="0"/>
          <w:sz w:val="24"/>
          <w:highlight w:val="none"/>
        </w:rPr>
        <w:t>评标委员会</w:t>
      </w:r>
    </w:p>
    <w:p w14:paraId="08B20385">
      <w:pPr>
        <w:topLinePunct/>
        <w:adjustRightInd w:val="0"/>
        <w:snapToGrid w:val="0"/>
        <w:ind w:firstLine="48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rPr>
        <w:t>（1）评标委员会的职责：评标委员会应根据招标文件规定的评标方法和标准，对投标文件进行系统地评审</w:t>
      </w:r>
      <w:r>
        <w:rPr>
          <w:rFonts w:hint="eastAsia" w:ascii="宋体" w:hAnsi="宋体" w:eastAsia="宋体"/>
          <w:color w:val="auto"/>
          <w:kern w:val="0"/>
          <w:sz w:val="24"/>
          <w:highlight w:val="none"/>
          <w:lang w:eastAsia="zh-CN"/>
        </w:rPr>
        <w:t>和比较，根据评审记录和评审结果编写</w:t>
      </w:r>
      <w:r>
        <w:rPr>
          <w:rFonts w:hint="eastAsia" w:ascii="宋体" w:hAnsi="宋体" w:eastAsia="宋体"/>
          <w:color w:val="auto"/>
          <w:kern w:val="0"/>
          <w:sz w:val="24"/>
          <w:highlight w:val="none"/>
        </w:rPr>
        <w:t>评标</w:t>
      </w:r>
      <w:r>
        <w:rPr>
          <w:rFonts w:hint="eastAsia" w:ascii="宋体" w:hAnsi="宋体" w:eastAsia="宋体"/>
          <w:color w:val="auto"/>
          <w:kern w:val="0"/>
          <w:sz w:val="24"/>
          <w:highlight w:val="none"/>
          <w:lang w:eastAsia="zh-CN"/>
        </w:rPr>
        <w:t>报告，推荐</w:t>
      </w:r>
      <w:r>
        <w:rPr>
          <w:rFonts w:hint="eastAsia" w:ascii="宋体" w:hAnsi="宋体" w:eastAsia="宋体"/>
          <w:color w:val="auto"/>
          <w:kern w:val="0"/>
          <w:sz w:val="24"/>
          <w:highlight w:val="none"/>
        </w:rPr>
        <w:t>中标候选人。</w:t>
      </w:r>
    </w:p>
    <w:p w14:paraId="43E8F1C3">
      <w:pPr>
        <w:topLinePunct/>
        <w:adjustRightInd w:val="0"/>
        <w:snapToGrid w:val="0"/>
        <w:ind w:firstLine="420"/>
        <w:jc w:val="left"/>
        <w:rPr>
          <w:rFonts w:hint="eastAsia" w:asciiTheme="minorEastAsia" w:hAnsiTheme="minorEastAsia" w:eastAsiaTheme="minorEastAsia"/>
          <w:color w:val="auto"/>
          <w:kern w:val="0"/>
          <w:sz w:val="21"/>
          <w:szCs w:val="21"/>
          <w:highlight w:val="none"/>
        </w:rPr>
      </w:pPr>
      <w:r>
        <w:rPr>
          <w:rFonts w:hint="eastAsia" w:ascii="宋体" w:hAnsi="宋体" w:eastAsia="宋体"/>
          <w:color w:val="auto"/>
          <w:kern w:val="0"/>
          <w:sz w:val="24"/>
          <w:highlight w:val="none"/>
          <w:lang w:eastAsia="zh-CN"/>
        </w:rPr>
        <w:t>（</w:t>
      </w:r>
      <w:r>
        <w:rPr>
          <w:rFonts w:hint="eastAsia" w:ascii="宋体" w:hAnsi="宋体" w:eastAsia="宋体"/>
          <w:color w:val="auto"/>
          <w:kern w:val="0"/>
          <w:sz w:val="24"/>
          <w:highlight w:val="none"/>
          <w:lang w:val="en-US" w:eastAsia="zh-CN"/>
        </w:rPr>
        <w:t>2</w:t>
      </w:r>
      <w:r>
        <w:rPr>
          <w:rFonts w:hint="eastAsia" w:ascii="宋体" w:hAnsi="宋体" w:eastAsia="宋体"/>
          <w:color w:val="auto"/>
          <w:kern w:val="0"/>
          <w:sz w:val="24"/>
          <w:highlight w:val="none"/>
          <w:lang w:eastAsia="zh-CN"/>
        </w:rPr>
        <w:t>）</w:t>
      </w:r>
      <w:r>
        <w:rPr>
          <w:rFonts w:hint="eastAsia" w:ascii="宋体" w:hAnsi="宋体" w:eastAsia="宋体"/>
          <w:color w:val="auto"/>
          <w:kern w:val="0"/>
          <w:sz w:val="24"/>
          <w:highlight w:val="none"/>
        </w:rPr>
        <w:t>评标原则：评标活动应遵循公开、公正、公平、科学、择优的原则。评标委员会的评审应实行少数服从多数的原则，经评标委员会成员记名表决半数以上通过的评标结果有效。对评标结论持有异议的评委，可采用书面方式阐述其不同意见和理由。评标委员会成员拒绝签字的，视为同意评标结果。评标委员会应对此做出书面记录。</w:t>
      </w:r>
    </w:p>
    <w:p w14:paraId="7BB2E8B2">
      <w:pPr>
        <w:topLinePunct/>
        <w:adjustRightInd w:val="0"/>
        <w:snapToGrid w:val="0"/>
        <w:ind w:firstLine="420"/>
        <w:jc w:val="left"/>
        <w:rPr>
          <w:rFonts w:hint="default"/>
          <w:b/>
          <w:bCs/>
          <w:color w:val="auto"/>
          <w:highlight w:val="none"/>
          <w:lang w:val="en-US"/>
        </w:rPr>
      </w:pPr>
      <w:r>
        <w:rPr>
          <w:rFonts w:hint="eastAsia" w:ascii="宋体" w:hAnsi="宋体" w:eastAsia="宋体"/>
          <w:b/>
          <w:bCs/>
          <w:color w:val="auto"/>
          <w:kern w:val="0"/>
          <w:sz w:val="24"/>
          <w:highlight w:val="none"/>
          <w:lang w:val="en-US" w:eastAsia="zh-CN"/>
        </w:rPr>
        <w:t>2.</w:t>
      </w:r>
      <w:r>
        <w:rPr>
          <w:rFonts w:hint="eastAsia" w:ascii="宋体" w:hAnsi="宋体" w:eastAsia="宋体"/>
          <w:b/>
          <w:bCs/>
          <w:color w:val="auto"/>
          <w:kern w:val="0"/>
          <w:sz w:val="24"/>
          <w:highlight w:val="none"/>
        </w:rPr>
        <w:t>采用</w:t>
      </w:r>
      <w:r>
        <w:rPr>
          <w:rFonts w:hint="eastAsia" w:ascii="宋体" w:hAnsi="宋体" w:eastAsia="宋体"/>
          <w:b/>
          <w:bCs/>
          <w:color w:val="auto"/>
          <w:kern w:val="0"/>
          <w:sz w:val="24"/>
          <w:highlight w:val="none"/>
          <w:lang w:eastAsia="zh-CN"/>
        </w:rPr>
        <w:t>综合评估法。</w:t>
      </w:r>
      <w:r>
        <w:rPr>
          <w:rFonts w:hint="eastAsia" w:ascii="宋体" w:hAnsi="宋体" w:eastAsia="宋体"/>
          <w:b/>
          <w:bCs/>
          <w:color w:val="auto"/>
          <w:kern w:val="0"/>
          <w:sz w:val="24"/>
          <w:highlight w:val="none"/>
        </w:rPr>
        <w:t>是指在最大限度地满足招标文件实质性要求前提下，评标委员会按照招标文件规定的评标方法和标准</w:t>
      </w:r>
      <w:r>
        <w:rPr>
          <w:rFonts w:hint="eastAsia" w:ascii="宋体" w:hAnsi="宋体" w:eastAsia="宋体"/>
          <w:b/>
          <w:bCs/>
          <w:color w:val="auto"/>
          <w:kern w:val="0"/>
          <w:sz w:val="24"/>
          <w:highlight w:val="none"/>
          <w:lang w:val="en-US" w:eastAsia="zh-CN"/>
        </w:rPr>
        <w:t>进行评审，按评审综合得分从高至低的顺序推荐中标候选人，评标委员会完成评标后，向招标人提交书面评标报告。</w:t>
      </w:r>
    </w:p>
    <w:p w14:paraId="22348E22">
      <w:pPr>
        <w:topLinePunct/>
        <w:adjustRightInd w:val="0"/>
        <w:snapToGrid w:val="0"/>
        <w:ind w:firstLine="48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rPr>
        <w:t>（1）初步评审</w:t>
      </w:r>
    </w:p>
    <w:p w14:paraId="209716CE">
      <w:pPr>
        <w:topLinePunct/>
        <w:adjustRightInd w:val="0"/>
        <w:snapToGrid w:val="0"/>
        <w:ind w:firstLine="480"/>
        <w:jc w:val="left"/>
        <w:rPr>
          <w:rFonts w:hint="eastAsia" w:ascii="宋体" w:hAnsi="宋体" w:eastAsia="宋体"/>
          <w:color w:val="auto"/>
          <w:kern w:val="0"/>
          <w:sz w:val="24"/>
          <w:highlight w:val="none"/>
        </w:rPr>
      </w:pPr>
      <w:r>
        <w:rPr>
          <w:rFonts w:hint="eastAsia" w:ascii="宋体" w:hAnsi="宋体" w:eastAsia="宋体"/>
          <w:color w:val="auto"/>
          <w:kern w:val="0"/>
          <w:sz w:val="24"/>
          <w:highlight w:val="none"/>
          <w:lang w:val="en-US" w:eastAsia="zh-CN"/>
        </w:rPr>
        <w:t>①</w:t>
      </w:r>
      <w:r>
        <w:rPr>
          <w:rFonts w:hint="eastAsia" w:ascii="宋体" w:hAnsi="宋体" w:eastAsia="宋体"/>
          <w:color w:val="auto"/>
          <w:kern w:val="0"/>
          <w:sz w:val="24"/>
          <w:highlight w:val="none"/>
        </w:rPr>
        <w:t>评标委员会可以要求投标人提交第</w:t>
      </w:r>
      <w:r>
        <w:rPr>
          <w:rFonts w:hint="eastAsia" w:ascii="宋体" w:hAnsi="宋体" w:eastAsia="宋体"/>
          <w:color w:val="auto"/>
          <w:kern w:val="0"/>
          <w:sz w:val="24"/>
          <w:highlight w:val="none"/>
          <w:lang w:val="en-US" w:eastAsia="zh-CN"/>
        </w:rPr>
        <w:t>二</w:t>
      </w:r>
      <w:r>
        <w:rPr>
          <w:rFonts w:hint="eastAsia" w:ascii="宋体" w:hAnsi="宋体" w:eastAsia="宋体"/>
          <w:color w:val="auto"/>
          <w:kern w:val="0"/>
          <w:sz w:val="24"/>
          <w:highlight w:val="none"/>
        </w:rPr>
        <w:t>章“投标人须知”规定的有关证明和证件的原件，以便核验。评标委员会依据本章规定的标准对投标文件进行初步评审，有一项不符合评审标准的，评标委员会应当否决其投标。初步评审的结论是“通过”或“不通过”，只有结论为“通过”的投标方能进入下一阶段的评标，否则其投标将按废标处理。</w:t>
      </w:r>
    </w:p>
    <w:p w14:paraId="45F563C6">
      <w:pPr>
        <w:topLinePunct/>
        <w:adjustRightInd w:val="0"/>
        <w:snapToGrid w:val="0"/>
        <w:ind w:firstLine="480"/>
        <w:jc w:val="left"/>
        <w:rPr>
          <w:rFonts w:hint="eastAsia" w:ascii="宋体" w:hAnsi="宋体" w:eastAsia="宋体"/>
          <w:color w:val="auto"/>
          <w:kern w:val="0"/>
          <w:sz w:val="24"/>
          <w:highlight w:val="none"/>
          <w:lang w:val="en-US" w:eastAsia="zh-CN"/>
        </w:rPr>
      </w:pPr>
      <w:bookmarkStart w:id="170" w:name="_bookmark89"/>
      <w:bookmarkEnd w:id="170"/>
      <w:bookmarkStart w:id="171" w:name="_Toc9875"/>
      <w:bookmarkStart w:id="172" w:name="_Toc1949"/>
      <w:bookmarkStart w:id="173" w:name="_Toc13820"/>
      <w:bookmarkStart w:id="174" w:name="_Toc27819"/>
      <w:bookmarkStart w:id="175" w:name="_Toc20971"/>
      <w:bookmarkStart w:id="176" w:name="_Toc13588"/>
      <w:bookmarkStart w:id="177" w:name="_Toc5986"/>
      <w:bookmarkStart w:id="178" w:name="_Toc7737"/>
      <w:r>
        <w:rPr>
          <w:rFonts w:hint="eastAsia" w:ascii="宋体" w:hAnsi="宋体" w:eastAsia="宋体"/>
          <w:color w:val="auto"/>
          <w:kern w:val="0"/>
          <w:sz w:val="24"/>
          <w:highlight w:val="none"/>
          <w:lang w:val="en-US" w:eastAsia="zh-CN"/>
        </w:rPr>
        <w:t>（2）详细评审</w:t>
      </w:r>
    </w:p>
    <w:p w14:paraId="2F598E32">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①评标委员会按本章规定的量化因素和分值进行打分，并计算出综合评估得分。</w:t>
      </w:r>
    </w:p>
    <w:p w14:paraId="7C8D3FE1">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a按本章资信技术评审标准规定的评审因素和分值计算出得分A；</w:t>
      </w:r>
    </w:p>
    <w:p w14:paraId="692FF797">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b按本章价格评审标准规定的评审因素和分值计算出得分B；</w:t>
      </w:r>
    </w:p>
    <w:p w14:paraId="264B789E">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c评分分值计算保留小数点后两位，小数点后第三位“四舍五入”。</w:t>
      </w:r>
    </w:p>
    <w:p w14:paraId="65E8C5D3">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②投标人得分=A+B。</w:t>
      </w:r>
    </w:p>
    <w:p w14:paraId="494CEC0D">
      <w:pPr>
        <w:topLinePunct/>
        <w:adjustRightInd w:val="0"/>
        <w:snapToGrid w:val="0"/>
        <w:ind w:firstLine="48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③评标委员会发现投标人的报价明显低于其他投标报价，使得其投标报价可能低于其成本的，应当要求该投标人作出书面说明并提供相应的证明材料。投标人不能合理说明或者不能提供相应证明材料的，由评标委员会认定该投标人以低于成本报价竞标，并否决其投标。</w:t>
      </w:r>
    </w:p>
    <w:p w14:paraId="25C5EBAE">
      <w:pPr>
        <w:pStyle w:val="3"/>
        <w:pageBreakBefore w:val="0"/>
        <w:kinsoku/>
        <w:wordWrap/>
        <w:overflowPunct/>
        <w:topLinePunct w:val="0"/>
        <w:autoSpaceDE/>
        <w:autoSpaceDN/>
        <w:bidi w:val="0"/>
        <w:adjustRightInd/>
        <w:snapToGrid/>
        <w:spacing w:line="360" w:lineRule="auto"/>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3.11中标候选人的推荐</w:t>
      </w:r>
      <w:bookmarkEnd w:id="171"/>
      <w:bookmarkEnd w:id="172"/>
      <w:bookmarkEnd w:id="173"/>
      <w:bookmarkEnd w:id="174"/>
      <w:bookmarkEnd w:id="175"/>
      <w:bookmarkEnd w:id="176"/>
      <w:bookmarkEnd w:id="177"/>
      <w:bookmarkEnd w:id="178"/>
    </w:p>
    <w:p w14:paraId="659709FB">
      <w:pPr>
        <w:topLinePunct/>
        <w:adjustRightInd w:val="0"/>
        <w:snapToGrid w:val="0"/>
        <w:ind w:firstLine="420"/>
        <w:jc w:val="left"/>
        <w:rPr>
          <w:rFonts w:hint="eastAsia" w:ascii="宋体" w:hAnsi="宋体" w:eastAsia="宋体"/>
          <w:color w:val="auto"/>
          <w:kern w:val="0"/>
          <w:sz w:val="24"/>
          <w:highlight w:val="none"/>
          <w:lang w:val="en-US" w:eastAsia="zh-CN"/>
        </w:rPr>
      </w:pPr>
      <w:r>
        <w:rPr>
          <w:rFonts w:hint="eastAsia" w:ascii="宋体" w:hAnsi="宋体" w:eastAsia="宋体"/>
          <w:color w:val="auto"/>
          <w:kern w:val="0"/>
          <w:sz w:val="24"/>
          <w:highlight w:val="none"/>
          <w:lang w:val="en-US" w:eastAsia="zh-CN"/>
        </w:rPr>
        <w:t>1.按评审综合得分从高至低的顺序进行排序，向招标人推荐评审总得分排名第一的中标候选人，形成评标报告，评标委员会全体成员在评标报告签字。由招标人确认中标人及中标价。</w:t>
      </w:r>
    </w:p>
    <w:p w14:paraId="7F151E3D">
      <w:pPr>
        <w:topLinePunct/>
        <w:adjustRightInd w:val="0"/>
        <w:snapToGrid w:val="0"/>
        <w:ind w:firstLine="420"/>
        <w:jc w:val="left"/>
        <w:rPr>
          <w:rFonts w:hint="eastAsia" w:ascii="宋体" w:hAnsi="宋体" w:eastAsia="宋体"/>
          <w:b w:val="0"/>
          <w:bCs w:val="0"/>
          <w:color w:val="auto"/>
          <w:kern w:val="0"/>
          <w:sz w:val="24"/>
          <w:highlight w:val="none"/>
        </w:rPr>
      </w:pPr>
      <w:r>
        <w:rPr>
          <w:rFonts w:hint="eastAsia" w:ascii="宋体" w:hAnsi="宋体" w:eastAsia="宋体"/>
          <w:color w:val="auto"/>
          <w:kern w:val="0"/>
          <w:sz w:val="24"/>
          <w:highlight w:val="none"/>
          <w:lang w:val="en-US" w:eastAsia="zh-CN"/>
        </w:rPr>
        <w:t>2.若出现评审综合得分相同的情形，按投标报价由低到高顺序排列；得分且投标报价相同的，按技术标得分顺序排列；如技术标得分仍然相同，则采用抽签的方法确定中标候选人的排序。</w:t>
      </w:r>
    </w:p>
    <w:p w14:paraId="21DDBEBC">
      <w:pPr>
        <w:pStyle w:val="3"/>
        <w:pageBreakBefore w:val="0"/>
        <w:kinsoku/>
        <w:wordWrap/>
        <w:overflowPunct/>
        <w:topLinePunct w:val="0"/>
        <w:autoSpaceDE/>
        <w:autoSpaceDN/>
        <w:bidi w:val="0"/>
        <w:adjustRightInd/>
        <w:snapToGrid/>
        <w:spacing w:line="360" w:lineRule="auto"/>
        <w:textAlignment w:val="auto"/>
        <w:rPr>
          <w:rFonts w:hint="eastAsia" w:ascii="宋体" w:hAnsi="宋体" w:eastAsia="宋体"/>
          <w:b/>
          <w:bCs w:val="0"/>
          <w:color w:val="auto"/>
          <w:sz w:val="24"/>
          <w:szCs w:val="24"/>
          <w:highlight w:val="none"/>
          <w:lang w:val="en-US" w:eastAsia="zh-CN"/>
        </w:rPr>
      </w:pPr>
      <w:bookmarkStart w:id="179" w:name="_Toc9973"/>
      <w:bookmarkStart w:id="180" w:name="_Toc9276"/>
      <w:bookmarkStart w:id="181" w:name="_Toc12121"/>
      <w:bookmarkStart w:id="182" w:name="_Toc19467"/>
      <w:bookmarkStart w:id="183" w:name="_Toc24449"/>
      <w:bookmarkStart w:id="184" w:name="_Toc9722"/>
      <w:bookmarkStart w:id="185" w:name="_Toc12317"/>
      <w:bookmarkStart w:id="186" w:name="_Toc21387"/>
      <w:bookmarkStart w:id="187" w:name="_Toc14330"/>
      <w:bookmarkStart w:id="188" w:name="_Toc9748"/>
      <w:bookmarkStart w:id="189" w:name="_Toc15971"/>
      <w:bookmarkStart w:id="190" w:name="_Toc30567"/>
      <w:bookmarkStart w:id="191" w:name="_Toc11405"/>
      <w:bookmarkStart w:id="192" w:name="_Toc12753"/>
      <w:r>
        <w:rPr>
          <w:rFonts w:hint="eastAsia" w:ascii="宋体" w:hAnsi="宋体" w:eastAsia="宋体"/>
          <w:b/>
          <w:bCs w:val="0"/>
          <w:color w:val="auto"/>
          <w:sz w:val="24"/>
          <w:szCs w:val="24"/>
          <w:highlight w:val="none"/>
          <w:lang w:val="en-US" w:eastAsia="zh-CN"/>
        </w:rPr>
        <w:t>3.12重新招标</w:t>
      </w:r>
      <w:bookmarkEnd w:id="179"/>
      <w:bookmarkEnd w:id="180"/>
      <w:bookmarkEnd w:id="181"/>
      <w:bookmarkEnd w:id="182"/>
      <w:bookmarkEnd w:id="183"/>
      <w:bookmarkEnd w:id="184"/>
      <w:bookmarkEnd w:id="185"/>
      <w:bookmarkEnd w:id="186"/>
    </w:p>
    <w:p w14:paraId="3391FD8A">
      <w:pPr>
        <w:topLinePunct/>
        <w:adjustRightInd w:val="0"/>
        <w:snapToGrid w:val="0"/>
        <w:ind w:firstLine="420"/>
        <w:jc w:val="left"/>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1.因投标人数量不足3家或经评标委员会初步评审后合格投标人数量不足3家，招标人宣布本次招标失败，本项目重新招标。</w:t>
      </w:r>
    </w:p>
    <w:p w14:paraId="2CE2F799">
      <w:pPr>
        <w:topLinePunct/>
        <w:adjustRightInd w:val="0"/>
        <w:snapToGrid w:val="0"/>
        <w:ind w:firstLine="420"/>
        <w:jc w:val="left"/>
        <w:rPr>
          <w:rFonts w:hint="eastAsia" w:ascii="宋体" w:hAnsi="宋体" w:eastAsia="宋体" w:cs="Times New Roman"/>
          <w:b/>
          <w:bCs w:val="0"/>
          <w:color w:val="auto"/>
          <w:kern w:val="0"/>
          <w:sz w:val="24"/>
          <w:highlight w:val="none"/>
          <w:lang w:val="en-US" w:eastAsia="zh-CN"/>
        </w:rPr>
      </w:pPr>
      <w:r>
        <w:rPr>
          <w:rFonts w:hint="eastAsia" w:ascii="宋体" w:hAnsi="宋体" w:eastAsia="宋体" w:cs="Times New Roman"/>
          <w:b/>
          <w:bCs w:val="0"/>
          <w:color w:val="auto"/>
          <w:kern w:val="0"/>
          <w:sz w:val="24"/>
          <w:highlight w:val="none"/>
          <w:lang w:val="en-US" w:eastAsia="zh-CN"/>
        </w:rPr>
        <w:t>2.如重新招标后投标人数量不足3家或经评标委员会初步评审后合格投标人数量不足3家，招标人可改用竞争性谈判方式，按原招标文件评审办法确定中标人。如重新招标后合格投标人数量仅1家或没有投标人的，招标人可改用单一来源方式确定中标人。</w:t>
      </w:r>
    </w:p>
    <w:p w14:paraId="1EF69B8A">
      <w:pPr>
        <w:pStyle w:val="3"/>
        <w:pageBreakBefore w:val="0"/>
        <w:kinsoku/>
        <w:wordWrap/>
        <w:overflowPunct/>
        <w:topLinePunct w:val="0"/>
        <w:autoSpaceDE/>
        <w:autoSpaceDN/>
        <w:bidi w:val="0"/>
        <w:adjustRightInd/>
        <w:snapToGrid/>
        <w:spacing w:line="360" w:lineRule="auto"/>
        <w:textAlignment w:val="auto"/>
        <w:outlineLvl w:val="1"/>
        <w:rPr>
          <w:rFonts w:hint="default" w:ascii="宋体" w:hAnsi="宋体" w:eastAsia="宋体"/>
          <w:color w:val="auto"/>
          <w:sz w:val="24"/>
          <w:szCs w:val="24"/>
          <w:highlight w:val="none"/>
          <w:lang w:val="en-US" w:eastAsia="zh-CN"/>
        </w:rPr>
      </w:pPr>
      <w:bookmarkStart w:id="193" w:name="_Toc13629"/>
      <w:bookmarkStart w:id="194" w:name="_Toc28611"/>
      <w:r>
        <w:rPr>
          <w:rFonts w:hint="eastAsia" w:ascii="宋体" w:hAnsi="宋体" w:eastAsia="宋体"/>
          <w:color w:val="auto"/>
          <w:sz w:val="24"/>
          <w:szCs w:val="24"/>
          <w:highlight w:val="none"/>
          <w:lang w:val="en-US" w:eastAsia="zh-CN"/>
        </w:rPr>
        <w:t>3.13评审内容及标准</w:t>
      </w:r>
      <w:bookmarkEnd w:id="187"/>
      <w:bookmarkEnd w:id="188"/>
      <w:bookmarkEnd w:id="189"/>
      <w:bookmarkEnd w:id="190"/>
      <w:bookmarkEnd w:id="191"/>
      <w:bookmarkEnd w:id="192"/>
      <w:bookmarkEnd w:id="193"/>
      <w:bookmarkEnd w:id="194"/>
    </w:p>
    <w:p w14:paraId="2FD85DD8">
      <w:pPr>
        <w:topLinePunct/>
        <w:adjustRightInd w:val="0"/>
        <w:snapToGrid w:val="0"/>
        <w:ind w:firstLine="482"/>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1.初步评审</w:t>
      </w:r>
    </w:p>
    <w:tbl>
      <w:tblPr>
        <w:tblStyle w:val="53"/>
        <w:tblW w:w="8875" w:type="dxa"/>
        <w:tblInd w:w="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25"/>
        <w:gridCol w:w="788"/>
        <w:gridCol w:w="1700"/>
        <w:gridCol w:w="4112"/>
        <w:gridCol w:w="1750"/>
      </w:tblGrid>
      <w:tr w14:paraId="777512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875" w:type="dxa"/>
            <w:gridSpan w:val="5"/>
            <w:shd w:val="clear" w:color="auto" w:fill="D9E2F3"/>
            <w:vAlign w:val="center"/>
          </w:tcPr>
          <w:p w14:paraId="23D87E9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《初步评审审查标准》</w:t>
            </w:r>
          </w:p>
        </w:tc>
      </w:tr>
      <w:tr w14:paraId="0E84BA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313" w:type="dxa"/>
            <w:gridSpan w:val="2"/>
            <w:vAlign w:val="center"/>
          </w:tcPr>
          <w:p w14:paraId="1DABC1E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color w:val="auto"/>
                <w:sz w:val="21"/>
                <w:szCs w:val="21"/>
                <w:highlight w:val="none"/>
              </w:rPr>
            </w:pPr>
            <w:r>
              <w:rPr>
                <w:rFonts w:cs="宋体" w:asciiTheme="minorEastAsia" w:hAnsiTheme="minorEastAsia" w:eastAsiaTheme="minorEastAsia"/>
                <w:b/>
                <w:color w:val="auto"/>
                <w:sz w:val="21"/>
                <w:szCs w:val="21"/>
                <w:highlight w:val="none"/>
              </w:rPr>
              <w:t>条款号</w:t>
            </w:r>
          </w:p>
        </w:tc>
        <w:tc>
          <w:tcPr>
            <w:tcW w:w="1700" w:type="dxa"/>
            <w:vAlign w:val="center"/>
          </w:tcPr>
          <w:p w14:paraId="5686CC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color w:val="auto"/>
                <w:sz w:val="21"/>
                <w:szCs w:val="21"/>
                <w:highlight w:val="none"/>
              </w:rPr>
            </w:pPr>
            <w:r>
              <w:rPr>
                <w:rFonts w:cs="宋体" w:asciiTheme="minorEastAsia" w:hAnsiTheme="minorEastAsia" w:eastAsiaTheme="minorEastAsia"/>
                <w:b/>
                <w:color w:val="auto"/>
                <w:sz w:val="21"/>
                <w:szCs w:val="21"/>
                <w:highlight w:val="none"/>
              </w:rPr>
              <w:t>评审因素</w:t>
            </w:r>
          </w:p>
        </w:tc>
        <w:tc>
          <w:tcPr>
            <w:tcW w:w="4112" w:type="dxa"/>
            <w:vAlign w:val="center"/>
          </w:tcPr>
          <w:p w14:paraId="1613D0F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color w:val="auto"/>
                <w:sz w:val="21"/>
                <w:szCs w:val="21"/>
                <w:highlight w:val="none"/>
              </w:rPr>
            </w:pPr>
            <w:r>
              <w:rPr>
                <w:rFonts w:cs="宋体" w:asciiTheme="minorEastAsia" w:hAnsiTheme="minorEastAsia" w:eastAsiaTheme="minorEastAsia"/>
                <w:b/>
                <w:color w:val="auto"/>
                <w:sz w:val="21"/>
                <w:szCs w:val="21"/>
                <w:highlight w:val="none"/>
              </w:rPr>
              <w:t>评审</w:t>
            </w:r>
            <w:r>
              <w:rPr>
                <w:rFonts w:hint="eastAsia" w:cs="宋体" w:asciiTheme="minorEastAsia" w:hAnsiTheme="minorEastAsia" w:eastAsiaTheme="minorEastAsia"/>
                <w:b/>
                <w:color w:val="auto"/>
                <w:sz w:val="21"/>
                <w:szCs w:val="21"/>
                <w:highlight w:val="none"/>
              </w:rPr>
              <w:t>内容</w:t>
            </w:r>
          </w:p>
        </w:tc>
        <w:tc>
          <w:tcPr>
            <w:tcW w:w="1750" w:type="dxa"/>
            <w:vAlign w:val="center"/>
          </w:tcPr>
          <w:p w14:paraId="6EEAFC1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cs="宋体" w:asciiTheme="minorEastAsia" w:hAnsiTheme="minorEastAsia" w:eastAsiaTheme="minorEastAsia"/>
                <w:b/>
                <w:color w:val="auto"/>
                <w:sz w:val="21"/>
                <w:szCs w:val="21"/>
                <w:highlight w:val="none"/>
              </w:rPr>
            </w:pPr>
            <w:r>
              <w:rPr>
                <w:rFonts w:hint="eastAsia" w:cs="宋体" w:asciiTheme="minorEastAsia" w:hAnsiTheme="minorEastAsia" w:eastAsiaTheme="minorEastAsia"/>
                <w:b/>
                <w:color w:val="auto"/>
                <w:sz w:val="21"/>
                <w:szCs w:val="21"/>
                <w:highlight w:val="none"/>
              </w:rPr>
              <w:t>审查标准</w:t>
            </w:r>
          </w:p>
        </w:tc>
      </w:tr>
      <w:tr w14:paraId="4C792E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77887BF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1</w:t>
            </w:r>
          </w:p>
        </w:tc>
        <w:tc>
          <w:tcPr>
            <w:tcW w:w="788" w:type="dxa"/>
            <w:vMerge w:val="restart"/>
            <w:vAlign w:val="center"/>
          </w:tcPr>
          <w:p w14:paraId="71C5C58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形式评审标准</w:t>
            </w:r>
          </w:p>
        </w:tc>
        <w:tc>
          <w:tcPr>
            <w:tcW w:w="1700" w:type="dxa"/>
            <w:vAlign w:val="center"/>
          </w:tcPr>
          <w:p w14:paraId="2414CD66">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投标人名称</w:t>
            </w:r>
          </w:p>
        </w:tc>
        <w:tc>
          <w:tcPr>
            <w:tcW w:w="4112" w:type="dxa"/>
            <w:vAlign w:val="center"/>
          </w:tcPr>
          <w:p w14:paraId="538C5A4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与</w:t>
            </w:r>
            <w:r>
              <w:rPr>
                <w:rFonts w:hint="eastAsia" w:cs="宋体" w:asciiTheme="minorEastAsia" w:hAnsiTheme="minorEastAsia" w:eastAsiaTheme="minorEastAsia"/>
                <w:color w:val="auto"/>
                <w:sz w:val="21"/>
                <w:szCs w:val="21"/>
                <w:highlight w:val="none"/>
              </w:rPr>
              <w:t>营业执照（事业单位法人证书或其他主体开办证明）</w:t>
            </w:r>
            <w:r>
              <w:rPr>
                <w:rFonts w:cs="宋体" w:asciiTheme="minorEastAsia" w:hAnsiTheme="minorEastAsia" w:eastAsiaTheme="minorEastAsia"/>
                <w:color w:val="auto"/>
                <w:sz w:val="21"/>
                <w:szCs w:val="21"/>
                <w:highlight w:val="none"/>
              </w:rPr>
              <w:t>一致</w:t>
            </w:r>
          </w:p>
        </w:tc>
        <w:tc>
          <w:tcPr>
            <w:tcW w:w="1750" w:type="dxa"/>
            <w:vAlign w:val="center"/>
          </w:tcPr>
          <w:p w14:paraId="7768986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是否符合要求</w:t>
            </w:r>
          </w:p>
        </w:tc>
      </w:tr>
      <w:tr w14:paraId="3E7BFB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068DCD8A">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07B853D1">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1700" w:type="dxa"/>
            <w:vAlign w:val="center"/>
          </w:tcPr>
          <w:p w14:paraId="3867DA3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投标函签字盖章</w:t>
            </w:r>
          </w:p>
        </w:tc>
        <w:tc>
          <w:tcPr>
            <w:tcW w:w="4112" w:type="dxa"/>
            <w:vAlign w:val="center"/>
          </w:tcPr>
          <w:p w14:paraId="6212CA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有法定代表人或其委托代理人签字</w:t>
            </w:r>
            <w:r>
              <w:rPr>
                <w:rFonts w:hint="eastAsia" w:asciiTheme="minorEastAsia" w:hAnsiTheme="minorEastAsia" w:eastAsiaTheme="minorEastAsia"/>
                <w:color w:val="auto"/>
                <w:sz w:val="21"/>
                <w:szCs w:val="21"/>
                <w:highlight w:val="none"/>
                <w:lang w:val="en-US" w:eastAsia="zh-CN"/>
              </w:rPr>
              <w:t>并</w:t>
            </w:r>
            <w:r>
              <w:rPr>
                <w:rFonts w:hint="eastAsia" w:asciiTheme="minorEastAsia" w:hAnsiTheme="minorEastAsia" w:eastAsiaTheme="minorEastAsia"/>
                <w:color w:val="auto"/>
                <w:sz w:val="21"/>
                <w:szCs w:val="21"/>
                <w:highlight w:val="none"/>
              </w:rPr>
              <w:t>加盖</w:t>
            </w:r>
            <w:r>
              <w:rPr>
                <w:rFonts w:hint="eastAsia" w:asciiTheme="minorEastAsia" w:hAnsiTheme="minorEastAsia" w:eastAsiaTheme="minorEastAsia"/>
                <w:color w:val="auto"/>
                <w:sz w:val="21"/>
                <w:szCs w:val="21"/>
                <w:highlight w:val="none"/>
                <w:lang w:val="en-US" w:eastAsia="zh-CN"/>
              </w:rPr>
              <w:t>公</w:t>
            </w:r>
            <w:r>
              <w:rPr>
                <w:rFonts w:hint="eastAsia" w:asciiTheme="minorEastAsia" w:hAnsiTheme="minorEastAsia" w:eastAsiaTheme="minorEastAsia"/>
                <w:color w:val="auto"/>
                <w:sz w:val="21"/>
                <w:szCs w:val="21"/>
                <w:highlight w:val="none"/>
              </w:rPr>
              <w:t>章</w:t>
            </w:r>
          </w:p>
        </w:tc>
        <w:tc>
          <w:tcPr>
            <w:tcW w:w="1750" w:type="dxa"/>
            <w:vAlign w:val="center"/>
          </w:tcPr>
          <w:p w14:paraId="297D7AF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是否符合要求</w:t>
            </w:r>
          </w:p>
        </w:tc>
      </w:tr>
      <w:tr w14:paraId="016A3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3CF354D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436B7B3E">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1700" w:type="dxa"/>
            <w:vAlign w:val="center"/>
          </w:tcPr>
          <w:p w14:paraId="16A26B7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投标文件格式</w:t>
            </w:r>
          </w:p>
        </w:tc>
        <w:tc>
          <w:tcPr>
            <w:tcW w:w="4112" w:type="dxa"/>
            <w:vAlign w:val="center"/>
          </w:tcPr>
          <w:p w14:paraId="5DBCE3A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符合第</w:t>
            </w:r>
            <w:r>
              <w:rPr>
                <w:rFonts w:hint="eastAsia" w:cs="宋体" w:asciiTheme="minorEastAsia" w:hAnsiTheme="minorEastAsia" w:eastAsiaTheme="minorEastAsia"/>
                <w:color w:val="auto"/>
                <w:sz w:val="21"/>
                <w:szCs w:val="21"/>
                <w:highlight w:val="none"/>
              </w:rPr>
              <w:t>六</w:t>
            </w:r>
            <w:r>
              <w:rPr>
                <w:rFonts w:hint="eastAsia" w:cs="宋体" w:asciiTheme="minorEastAsia" w:hAnsiTheme="minorEastAsia" w:eastAsiaTheme="minorEastAsia"/>
                <w:color w:val="auto"/>
                <w:sz w:val="21"/>
                <w:szCs w:val="21"/>
                <w:highlight w:val="none"/>
                <w:lang w:val="en-US" w:eastAsia="zh-CN"/>
              </w:rPr>
              <w:t>章</w:t>
            </w:r>
            <w:r>
              <w:rPr>
                <w:rFonts w:asciiTheme="minorEastAsia" w:hAnsiTheme="minorEastAsia" w:eastAsiaTheme="minorEastAsia"/>
                <w:color w:val="auto"/>
                <w:sz w:val="21"/>
                <w:szCs w:val="21"/>
                <w:highlight w:val="none"/>
              </w:rPr>
              <w:t>“</w:t>
            </w:r>
            <w:r>
              <w:rPr>
                <w:rFonts w:cs="宋体" w:asciiTheme="minorEastAsia" w:hAnsiTheme="minorEastAsia" w:eastAsiaTheme="minorEastAsia"/>
                <w:color w:val="auto"/>
                <w:sz w:val="21"/>
                <w:szCs w:val="21"/>
                <w:highlight w:val="none"/>
              </w:rPr>
              <w:t>投标文件格式</w:t>
            </w:r>
            <w:r>
              <w:rPr>
                <w:rFonts w:asciiTheme="minorEastAsia" w:hAnsiTheme="minorEastAsia" w:eastAsiaTheme="minorEastAsia"/>
                <w:color w:val="auto"/>
                <w:sz w:val="21"/>
                <w:szCs w:val="21"/>
                <w:highlight w:val="none"/>
              </w:rPr>
              <w:t>”</w:t>
            </w:r>
            <w:r>
              <w:rPr>
                <w:rFonts w:cs="宋体" w:asciiTheme="minorEastAsia" w:hAnsiTheme="minorEastAsia" w:eastAsiaTheme="minorEastAsia"/>
                <w:color w:val="auto"/>
                <w:sz w:val="21"/>
                <w:szCs w:val="21"/>
                <w:highlight w:val="none"/>
              </w:rPr>
              <w:t>的</w:t>
            </w:r>
            <w:r>
              <w:rPr>
                <w:rFonts w:hint="eastAsia" w:cs="宋体" w:asciiTheme="minorEastAsia" w:hAnsiTheme="minorEastAsia" w:eastAsiaTheme="minorEastAsia"/>
                <w:color w:val="auto"/>
                <w:sz w:val="21"/>
                <w:szCs w:val="21"/>
                <w:highlight w:val="none"/>
              </w:rPr>
              <w:t>要求</w:t>
            </w:r>
          </w:p>
        </w:tc>
        <w:tc>
          <w:tcPr>
            <w:tcW w:w="1750" w:type="dxa"/>
            <w:vAlign w:val="center"/>
          </w:tcPr>
          <w:p w14:paraId="027D9DA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是否符合要求</w:t>
            </w:r>
          </w:p>
        </w:tc>
      </w:tr>
      <w:tr w14:paraId="6C9B7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8D0BAC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06439ACC">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1700" w:type="dxa"/>
            <w:vAlign w:val="center"/>
          </w:tcPr>
          <w:p w14:paraId="6A12EC5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投标保证金</w:t>
            </w:r>
          </w:p>
        </w:tc>
        <w:tc>
          <w:tcPr>
            <w:tcW w:w="4112" w:type="dxa"/>
            <w:vAlign w:val="center"/>
          </w:tcPr>
          <w:p w14:paraId="0B2914EE">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符合</w:t>
            </w:r>
            <w:r>
              <w:rPr>
                <w:rFonts w:hint="eastAsia" w:asciiTheme="minorEastAsia" w:hAnsiTheme="minorEastAsia" w:eastAsiaTheme="minorEastAsia"/>
                <w:color w:val="auto"/>
                <w:sz w:val="21"/>
                <w:szCs w:val="21"/>
                <w:highlight w:val="none"/>
              </w:rPr>
              <w:t>招标文件要求</w:t>
            </w:r>
          </w:p>
        </w:tc>
        <w:tc>
          <w:tcPr>
            <w:tcW w:w="1750" w:type="dxa"/>
            <w:vAlign w:val="center"/>
          </w:tcPr>
          <w:p w14:paraId="749524F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是否符合要求</w:t>
            </w:r>
          </w:p>
        </w:tc>
      </w:tr>
      <w:tr w14:paraId="6713D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168B647C">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56333DFF">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1700" w:type="dxa"/>
            <w:shd w:val="clear" w:color="auto" w:fill="auto"/>
            <w:vAlign w:val="center"/>
          </w:tcPr>
          <w:p w14:paraId="27524BB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否决性条款</w:t>
            </w:r>
          </w:p>
          <w:p w14:paraId="58642CD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eastAsia" w:cs="宋体" w:asciiTheme="minorEastAsia" w:hAnsiTheme="minorEastAsia" w:eastAsiaTheme="minorEastAsia"/>
                <w:color w:val="auto"/>
                <w:sz w:val="21"/>
                <w:szCs w:val="21"/>
                <w:highlight w:val="none"/>
                <w:lang w:val="en-US" w:eastAsia="zh-CN"/>
              </w:rPr>
            </w:pPr>
            <w:r>
              <w:rPr>
                <w:rFonts w:hint="eastAsia" w:cs="宋体" w:asciiTheme="minorEastAsia" w:hAnsiTheme="minorEastAsia" w:eastAsiaTheme="minorEastAsia"/>
                <w:color w:val="auto"/>
                <w:sz w:val="21"/>
                <w:szCs w:val="21"/>
                <w:highlight w:val="none"/>
              </w:rPr>
              <w:t>判定</w:t>
            </w:r>
          </w:p>
        </w:tc>
        <w:tc>
          <w:tcPr>
            <w:tcW w:w="4112" w:type="dxa"/>
            <w:shd w:val="clear" w:color="auto" w:fill="auto"/>
            <w:vAlign w:val="center"/>
          </w:tcPr>
          <w:p w14:paraId="5DFE8C8A">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eastAsia" w:cs="宋体" w:asciiTheme="minorEastAsia" w:hAnsiTheme="minorEastAsia" w:eastAsiaTheme="minorEastAsia"/>
                <w:color w:val="auto"/>
                <w:sz w:val="21"/>
                <w:szCs w:val="21"/>
                <w:highlight w:val="none"/>
                <w:lang w:val="en-US" w:eastAsia="zh-CN"/>
              </w:rPr>
            </w:pPr>
            <w:r>
              <w:rPr>
                <w:rFonts w:hint="eastAsia" w:cs="宋体" w:asciiTheme="minorEastAsia" w:hAnsiTheme="minorEastAsia" w:eastAsiaTheme="minorEastAsia"/>
                <w:color w:val="auto"/>
                <w:sz w:val="21"/>
                <w:szCs w:val="21"/>
                <w:highlight w:val="none"/>
              </w:rPr>
              <w:t>招标文件否决性条款摘要中列明的情形</w:t>
            </w:r>
          </w:p>
        </w:tc>
        <w:tc>
          <w:tcPr>
            <w:tcW w:w="1750" w:type="dxa"/>
            <w:shd w:val="clear" w:color="auto" w:fill="auto"/>
            <w:vAlign w:val="center"/>
          </w:tcPr>
          <w:p w14:paraId="2EF3F53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cs="宋体" w:asciiTheme="minorEastAsia" w:hAnsiTheme="minorEastAsia" w:eastAsiaTheme="minorEastAsia"/>
                <w:color w:val="auto"/>
                <w:sz w:val="21"/>
                <w:szCs w:val="21"/>
                <w:highlight w:val="none"/>
                <w:lang w:val="en-US" w:eastAsia="zh-CN"/>
              </w:rPr>
            </w:pPr>
            <w:r>
              <w:rPr>
                <w:rFonts w:hint="eastAsia" w:cs="宋体" w:asciiTheme="minorEastAsia" w:hAnsiTheme="minorEastAsia" w:eastAsiaTheme="minorEastAsia"/>
                <w:color w:val="auto"/>
                <w:sz w:val="21"/>
                <w:szCs w:val="21"/>
                <w:highlight w:val="none"/>
              </w:rPr>
              <w:t>是否符合要求</w:t>
            </w:r>
          </w:p>
        </w:tc>
      </w:tr>
      <w:tr w14:paraId="0D3903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082066DD">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2</w:t>
            </w:r>
          </w:p>
        </w:tc>
        <w:tc>
          <w:tcPr>
            <w:tcW w:w="788" w:type="dxa"/>
            <w:vMerge w:val="restart"/>
            <w:vAlign w:val="center"/>
          </w:tcPr>
          <w:p w14:paraId="21999BB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资格评审标准</w:t>
            </w:r>
          </w:p>
        </w:tc>
        <w:tc>
          <w:tcPr>
            <w:tcW w:w="1700" w:type="dxa"/>
            <w:vAlign w:val="center"/>
          </w:tcPr>
          <w:p w14:paraId="7D5C53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营业执照</w:t>
            </w:r>
          </w:p>
        </w:tc>
        <w:tc>
          <w:tcPr>
            <w:tcW w:w="4112" w:type="dxa"/>
            <w:vAlign w:val="center"/>
          </w:tcPr>
          <w:p w14:paraId="09CCD9C8">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具备有效的营业执照（事业单位法人证书或其他主体开办证明）</w:t>
            </w:r>
          </w:p>
        </w:tc>
        <w:tc>
          <w:tcPr>
            <w:tcW w:w="1750" w:type="dxa"/>
            <w:vAlign w:val="center"/>
          </w:tcPr>
          <w:p w14:paraId="0297B22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r w14:paraId="07607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229224C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13BF1AD0">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center"/>
              <w:textAlignment w:val="auto"/>
              <w:rPr>
                <w:rFonts w:asciiTheme="minorEastAsia" w:hAnsiTheme="minorEastAsia" w:eastAsiaTheme="minorEastAsia"/>
                <w:color w:val="auto"/>
                <w:sz w:val="21"/>
                <w:szCs w:val="21"/>
                <w:highlight w:val="none"/>
              </w:rPr>
            </w:pPr>
          </w:p>
        </w:tc>
        <w:tc>
          <w:tcPr>
            <w:tcW w:w="1700" w:type="dxa"/>
            <w:vAlign w:val="center"/>
          </w:tcPr>
          <w:p w14:paraId="39C66143">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lang w:val="en-US" w:eastAsia="zh-CN"/>
              </w:rPr>
              <w:t>其他</w:t>
            </w:r>
            <w:r>
              <w:rPr>
                <w:rFonts w:hint="eastAsia" w:asciiTheme="minorEastAsia" w:hAnsiTheme="minorEastAsia" w:eastAsiaTheme="minorEastAsia"/>
                <w:color w:val="auto"/>
                <w:sz w:val="21"/>
                <w:szCs w:val="21"/>
                <w:highlight w:val="none"/>
              </w:rPr>
              <w:t>资格要求</w:t>
            </w:r>
          </w:p>
        </w:tc>
        <w:tc>
          <w:tcPr>
            <w:tcW w:w="4112" w:type="dxa"/>
            <w:vAlign w:val="center"/>
          </w:tcPr>
          <w:p w14:paraId="2246DE5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符合</w:t>
            </w:r>
            <w:r>
              <w:rPr>
                <w:rFonts w:hint="eastAsia" w:asciiTheme="minorEastAsia" w:hAnsiTheme="minorEastAsia" w:eastAsiaTheme="minorEastAsia"/>
                <w:color w:val="auto"/>
                <w:sz w:val="21"/>
                <w:szCs w:val="21"/>
                <w:highlight w:val="none"/>
              </w:rPr>
              <w:t>招标文件要求</w:t>
            </w:r>
          </w:p>
        </w:tc>
        <w:tc>
          <w:tcPr>
            <w:tcW w:w="1750" w:type="dxa"/>
            <w:vAlign w:val="center"/>
          </w:tcPr>
          <w:p w14:paraId="04F4B2CC">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r w14:paraId="20289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restart"/>
            <w:vAlign w:val="center"/>
          </w:tcPr>
          <w:p w14:paraId="4F15DDE0">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3</w:t>
            </w:r>
          </w:p>
        </w:tc>
        <w:tc>
          <w:tcPr>
            <w:tcW w:w="788" w:type="dxa"/>
            <w:vMerge w:val="restart"/>
            <w:vAlign w:val="center"/>
          </w:tcPr>
          <w:p w14:paraId="1A63C032">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hint="eastAsia" w:asciiTheme="minorEastAsia" w:hAnsiTheme="minorEastAsia" w:eastAsiaTheme="minorEastAsia"/>
                <w:color w:val="auto"/>
                <w:sz w:val="21"/>
                <w:szCs w:val="21"/>
                <w:highlight w:val="none"/>
              </w:rPr>
              <w:t>响应性评审标准</w:t>
            </w:r>
          </w:p>
        </w:tc>
        <w:tc>
          <w:tcPr>
            <w:tcW w:w="1700" w:type="dxa"/>
            <w:vAlign w:val="center"/>
          </w:tcPr>
          <w:p w14:paraId="1E43C77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投标报价</w:t>
            </w:r>
          </w:p>
        </w:tc>
        <w:tc>
          <w:tcPr>
            <w:tcW w:w="4112" w:type="dxa"/>
            <w:vAlign w:val="center"/>
          </w:tcPr>
          <w:p w14:paraId="61A296B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b/>
                <w:bCs/>
                <w:color w:val="auto"/>
                <w:sz w:val="21"/>
                <w:szCs w:val="21"/>
                <w:highlight w:val="none"/>
              </w:rPr>
              <w:t>投标报价未高于最高限价</w:t>
            </w:r>
          </w:p>
        </w:tc>
        <w:tc>
          <w:tcPr>
            <w:tcW w:w="1750" w:type="dxa"/>
            <w:vAlign w:val="center"/>
          </w:tcPr>
          <w:p w14:paraId="091BEDC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r w14:paraId="14703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59B1404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67D1DCDB">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1700" w:type="dxa"/>
            <w:vAlign w:val="center"/>
          </w:tcPr>
          <w:p w14:paraId="7F2B9A3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cs="宋体" w:asciiTheme="minorEastAsia" w:hAnsiTheme="minorEastAsia" w:eastAsiaTheme="minorEastAsia"/>
                <w:color w:val="auto"/>
                <w:sz w:val="21"/>
                <w:szCs w:val="21"/>
                <w:highlight w:val="none"/>
              </w:rPr>
              <w:t>投标内容</w:t>
            </w:r>
          </w:p>
        </w:tc>
        <w:tc>
          <w:tcPr>
            <w:tcW w:w="4112" w:type="dxa"/>
            <w:vAlign w:val="center"/>
          </w:tcPr>
          <w:p w14:paraId="3DB42C09">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符合</w:t>
            </w:r>
            <w:r>
              <w:rPr>
                <w:rFonts w:hint="eastAsia" w:asciiTheme="minorEastAsia" w:hAnsiTheme="minorEastAsia" w:eastAsiaTheme="minorEastAsia"/>
                <w:color w:val="auto"/>
                <w:sz w:val="21"/>
                <w:szCs w:val="21"/>
                <w:highlight w:val="none"/>
              </w:rPr>
              <w:t>招标文件要求</w:t>
            </w:r>
          </w:p>
        </w:tc>
        <w:tc>
          <w:tcPr>
            <w:tcW w:w="1750" w:type="dxa"/>
            <w:vAlign w:val="center"/>
          </w:tcPr>
          <w:p w14:paraId="4F349C1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r w14:paraId="271CF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6EFA2549">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503D4865">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1700" w:type="dxa"/>
            <w:vAlign w:val="center"/>
          </w:tcPr>
          <w:p w14:paraId="0010C8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投标有效期</w:t>
            </w:r>
          </w:p>
        </w:tc>
        <w:tc>
          <w:tcPr>
            <w:tcW w:w="4112" w:type="dxa"/>
            <w:vAlign w:val="center"/>
          </w:tcPr>
          <w:p w14:paraId="7D98831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符合</w:t>
            </w:r>
            <w:r>
              <w:rPr>
                <w:rFonts w:hint="eastAsia" w:asciiTheme="minorEastAsia" w:hAnsiTheme="minorEastAsia" w:eastAsiaTheme="minorEastAsia"/>
                <w:color w:val="auto"/>
                <w:sz w:val="21"/>
                <w:szCs w:val="21"/>
                <w:highlight w:val="none"/>
              </w:rPr>
              <w:t>招标文件要求</w:t>
            </w:r>
          </w:p>
        </w:tc>
        <w:tc>
          <w:tcPr>
            <w:tcW w:w="1750" w:type="dxa"/>
            <w:vAlign w:val="center"/>
          </w:tcPr>
          <w:p w14:paraId="3E95A6AD">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r w14:paraId="5452D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525" w:type="dxa"/>
            <w:vMerge w:val="continue"/>
            <w:vAlign w:val="center"/>
          </w:tcPr>
          <w:p w14:paraId="7BC49CD4">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788" w:type="dxa"/>
            <w:vMerge w:val="continue"/>
            <w:vAlign w:val="center"/>
          </w:tcPr>
          <w:p w14:paraId="4ACD1B07">
            <w:pPr>
              <w:keepNext w:val="0"/>
              <w:keepLines w:val="0"/>
              <w:pageBreakBefore w:val="0"/>
              <w:widowControl w:val="0"/>
              <w:kinsoku/>
              <w:wordWrap/>
              <w:overflowPunct/>
              <w:topLinePunct w:val="0"/>
              <w:autoSpaceDE w:val="0"/>
              <w:autoSpaceDN w:val="0"/>
              <w:bidi w:val="0"/>
              <w:adjustRightInd w:val="0"/>
              <w:snapToGrid w:val="0"/>
              <w:spacing w:line="240" w:lineRule="auto"/>
              <w:ind w:firstLine="420"/>
              <w:jc w:val="left"/>
              <w:textAlignment w:val="auto"/>
              <w:rPr>
                <w:rFonts w:asciiTheme="minorEastAsia" w:hAnsiTheme="minorEastAsia" w:eastAsiaTheme="minorEastAsia"/>
                <w:color w:val="auto"/>
                <w:sz w:val="21"/>
                <w:szCs w:val="21"/>
                <w:highlight w:val="none"/>
              </w:rPr>
            </w:pPr>
          </w:p>
        </w:tc>
        <w:tc>
          <w:tcPr>
            <w:tcW w:w="1700" w:type="dxa"/>
            <w:vAlign w:val="center"/>
          </w:tcPr>
          <w:p w14:paraId="4B1AE4F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hint="default" w:cs="宋体" w:asciiTheme="minorEastAsia" w:hAnsiTheme="minorEastAsia" w:eastAsiaTheme="minorEastAsia"/>
                <w:color w:val="auto"/>
                <w:sz w:val="21"/>
                <w:szCs w:val="21"/>
                <w:highlight w:val="none"/>
                <w:lang w:val="en-US" w:eastAsia="zh-CN"/>
              </w:rPr>
            </w:pPr>
            <w:r>
              <w:rPr>
                <w:rFonts w:hint="eastAsia" w:cs="宋体" w:asciiTheme="minorEastAsia" w:hAnsiTheme="minorEastAsia" w:eastAsiaTheme="minorEastAsia"/>
                <w:color w:val="auto"/>
                <w:sz w:val="21"/>
                <w:szCs w:val="21"/>
                <w:highlight w:val="none"/>
                <w:lang w:val="en-US" w:eastAsia="zh-CN"/>
              </w:rPr>
              <w:t>供货期</w:t>
            </w:r>
          </w:p>
        </w:tc>
        <w:tc>
          <w:tcPr>
            <w:tcW w:w="4112" w:type="dxa"/>
            <w:vAlign w:val="center"/>
          </w:tcPr>
          <w:p w14:paraId="71B4AD41">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left"/>
              <w:textAlignment w:val="auto"/>
              <w:rPr>
                <w:rFonts w:cs="宋体"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符合</w:t>
            </w:r>
            <w:r>
              <w:rPr>
                <w:rFonts w:hint="eastAsia" w:asciiTheme="minorEastAsia" w:hAnsiTheme="minorEastAsia" w:eastAsiaTheme="minorEastAsia"/>
                <w:color w:val="auto"/>
                <w:sz w:val="21"/>
                <w:szCs w:val="21"/>
                <w:highlight w:val="none"/>
              </w:rPr>
              <w:t>招标文件要求</w:t>
            </w:r>
          </w:p>
        </w:tc>
        <w:tc>
          <w:tcPr>
            <w:tcW w:w="1750" w:type="dxa"/>
            <w:vAlign w:val="center"/>
          </w:tcPr>
          <w:p w14:paraId="187EAD74">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asciiTheme="minorEastAsia" w:hAnsiTheme="minorEastAsia" w:eastAsiaTheme="minorEastAsia"/>
                <w:color w:val="auto"/>
                <w:sz w:val="21"/>
                <w:szCs w:val="21"/>
                <w:highlight w:val="none"/>
              </w:rPr>
            </w:pPr>
            <w:r>
              <w:rPr>
                <w:rFonts w:asciiTheme="minorEastAsia" w:hAnsiTheme="minorEastAsia" w:eastAsiaTheme="minorEastAsia"/>
                <w:color w:val="auto"/>
                <w:sz w:val="21"/>
                <w:szCs w:val="21"/>
                <w:highlight w:val="none"/>
              </w:rPr>
              <w:t>是否符合要求</w:t>
            </w:r>
          </w:p>
        </w:tc>
      </w:tr>
    </w:tbl>
    <w:p w14:paraId="37832BB8">
      <w:pPr>
        <w:rPr>
          <w:rFonts w:hint="eastAsia" w:ascii="宋体" w:hAnsi="宋体" w:eastAsia="宋体" w:cs="Times New Roman"/>
          <w:color w:val="auto"/>
          <w:kern w:val="0"/>
          <w:sz w:val="24"/>
          <w:highlight w:val="none"/>
          <w:lang w:val="en-US" w:eastAsia="zh-CN"/>
        </w:rPr>
      </w:pPr>
      <w:bookmarkStart w:id="195" w:name="_Toc132102339"/>
      <w:r>
        <w:rPr>
          <w:rFonts w:hint="eastAsia" w:ascii="宋体" w:hAnsi="宋体" w:eastAsia="宋体" w:cs="Times New Roman"/>
          <w:color w:val="auto"/>
          <w:kern w:val="0"/>
          <w:sz w:val="24"/>
          <w:highlight w:val="none"/>
          <w:lang w:val="en-US" w:eastAsia="zh-CN"/>
        </w:rPr>
        <w:br w:type="page"/>
      </w:r>
    </w:p>
    <w:bookmarkEnd w:id="195"/>
    <w:p w14:paraId="235B0EFB">
      <w:pPr>
        <w:topLinePunct/>
        <w:adjustRightInd w:val="0"/>
        <w:snapToGrid w:val="0"/>
        <w:ind w:firstLine="482"/>
        <w:rPr>
          <w:rFonts w:hint="eastAsia" w:ascii="宋体" w:hAnsi="宋体" w:eastAsia="宋体"/>
          <w:b/>
          <w:bCs/>
          <w:color w:val="auto"/>
          <w:sz w:val="24"/>
          <w:highlight w:val="none"/>
          <w:lang w:val="en-US" w:eastAsia="zh-CN"/>
        </w:rPr>
      </w:pPr>
      <w:bookmarkStart w:id="196" w:name="_Toc132102342"/>
      <w:r>
        <w:rPr>
          <w:rFonts w:hint="eastAsia" w:ascii="宋体" w:hAnsi="宋体" w:eastAsia="宋体"/>
          <w:b/>
          <w:bCs/>
          <w:color w:val="auto"/>
          <w:sz w:val="24"/>
          <w:highlight w:val="none"/>
          <w:lang w:val="en-US" w:eastAsia="zh-CN"/>
        </w:rPr>
        <w:t>2.资信技术标评审</w:t>
      </w:r>
      <w:bookmarkEnd w:id="196"/>
    </w:p>
    <w:tbl>
      <w:tblPr>
        <w:tblStyle w:val="53"/>
        <w:tblW w:w="5443" w:type="pct"/>
        <w:tblInd w:w="-2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9"/>
        <w:gridCol w:w="1045"/>
        <w:gridCol w:w="7071"/>
        <w:gridCol w:w="622"/>
      </w:tblGrid>
      <w:tr w14:paraId="52128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5000" w:type="pct"/>
            <w:gridSpan w:val="4"/>
            <w:shd w:val="clear" w:color="auto" w:fill="D9E2F3"/>
            <w:vAlign w:val="center"/>
          </w:tcPr>
          <w:p w14:paraId="72102BFC">
            <w:pPr>
              <w:autoSpaceDE w:val="0"/>
              <w:autoSpaceDN w:val="0"/>
              <w:adjustRightInd w:val="0"/>
              <w:snapToGrid w:val="0"/>
              <w:spacing w:line="240" w:lineRule="auto"/>
              <w:ind w:left="0" w:leftChars="0" w:firstLine="0" w:firstLineChars="0"/>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《资信技术标评审标准》</w:t>
            </w:r>
          </w:p>
        </w:tc>
      </w:tr>
      <w:tr w14:paraId="031A1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291" w:type="pct"/>
            <w:vAlign w:val="center"/>
          </w:tcPr>
          <w:p w14:paraId="3B4CC86B">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序号</w:t>
            </w:r>
          </w:p>
        </w:tc>
        <w:tc>
          <w:tcPr>
            <w:tcW w:w="563" w:type="pct"/>
            <w:vAlign w:val="center"/>
          </w:tcPr>
          <w:p w14:paraId="1F8DA805">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评审项目</w:t>
            </w:r>
          </w:p>
        </w:tc>
        <w:tc>
          <w:tcPr>
            <w:tcW w:w="3810" w:type="pct"/>
            <w:vAlign w:val="center"/>
          </w:tcPr>
          <w:p w14:paraId="7368FD5F">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评审标准及证明材料</w:t>
            </w:r>
          </w:p>
        </w:tc>
        <w:tc>
          <w:tcPr>
            <w:tcW w:w="334" w:type="pct"/>
            <w:vAlign w:val="center"/>
          </w:tcPr>
          <w:p w14:paraId="49797687">
            <w:pPr>
              <w:keepNext w:val="0"/>
              <w:keepLines w:val="0"/>
              <w:pageBreakBefore w:val="0"/>
              <w:widowControl w:val="0"/>
              <w:kinsoku/>
              <w:wordWrap/>
              <w:overflowPunct/>
              <w:topLinePunct w:val="0"/>
              <w:autoSpaceDE w:val="0"/>
              <w:autoSpaceDN w:val="0"/>
              <w:bidi w:val="0"/>
              <w:adjustRightInd w:val="0"/>
              <w:snapToGrid w:val="0"/>
              <w:spacing w:line="240" w:lineRule="auto"/>
              <w:ind w:firstLine="0" w:firstLineChars="0"/>
              <w:jc w:val="center"/>
              <w:textAlignment w:val="auto"/>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分值</w:t>
            </w:r>
          </w:p>
        </w:tc>
      </w:tr>
      <w:tr w14:paraId="0992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trPr>
        <w:tc>
          <w:tcPr>
            <w:tcW w:w="291" w:type="pct"/>
            <w:vAlign w:val="center"/>
          </w:tcPr>
          <w:p w14:paraId="18751606">
            <w:pPr>
              <w:autoSpaceDE w:val="0"/>
              <w:autoSpaceDN w:val="0"/>
              <w:adjustRightInd w:val="0"/>
              <w:snapToGrid w:val="0"/>
              <w:spacing w:line="240" w:lineRule="auto"/>
              <w:ind w:firstLine="0" w:firstLineChars="0"/>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563" w:type="pct"/>
            <w:vAlign w:val="center"/>
          </w:tcPr>
          <w:p w14:paraId="6099FFDA">
            <w:pPr>
              <w:pStyle w:val="62"/>
              <w:spacing w:line="240" w:lineRule="auto"/>
              <w:ind w:firstLine="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投标人类似项目业绩</w:t>
            </w:r>
          </w:p>
        </w:tc>
        <w:tc>
          <w:tcPr>
            <w:tcW w:w="3810" w:type="pct"/>
            <w:vAlign w:val="center"/>
          </w:tcPr>
          <w:p w14:paraId="65725805">
            <w:pPr>
              <w:pStyle w:val="62"/>
              <w:spacing w:line="240" w:lineRule="auto"/>
              <w:ind w:firstLine="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投标人近3年（自本招标公告第一次发布之日</w:t>
            </w:r>
            <w:r>
              <w:rPr>
                <w:rFonts w:hint="eastAsia" w:asciiTheme="minorEastAsia" w:hAnsiTheme="minorEastAsia" w:eastAsiaTheme="minorEastAsia" w:cstheme="minorEastAsia"/>
                <w:b/>
                <w:bCs/>
                <w:color w:val="auto"/>
                <w:sz w:val="21"/>
                <w:szCs w:val="21"/>
                <w:highlight w:val="none"/>
                <w:lang w:val="en-US" w:eastAsia="zh-CN"/>
              </w:rPr>
              <w:t>起倒推</w:t>
            </w:r>
            <w:r>
              <w:rPr>
                <w:rFonts w:hint="eastAsia" w:asciiTheme="minorEastAsia" w:hAnsiTheme="minorEastAsia" w:eastAsiaTheme="minorEastAsia" w:cstheme="minorEastAsia"/>
                <w:b/>
                <w:bCs/>
                <w:color w:val="auto"/>
                <w:sz w:val="21"/>
                <w:szCs w:val="21"/>
                <w:highlight w:val="none"/>
              </w:rPr>
              <w:t>，以合同签订时间为准；合同无签订时间的，以中标通知书为准）承接</w:t>
            </w:r>
            <w:r>
              <w:rPr>
                <w:rFonts w:hint="eastAsia" w:asciiTheme="minorEastAsia" w:hAnsiTheme="minorEastAsia" w:eastAsiaTheme="minorEastAsia" w:cstheme="minorEastAsia"/>
                <w:b/>
                <w:bCs/>
                <w:color w:val="auto"/>
                <w:sz w:val="21"/>
                <w:szCs w:val="21"/>
                <w:highlight w:val="none"/>
                <w:lang w:val="en-US" w:eastAsia="zh-CN"/>
              </w:rPr>
              <w:t>的住宅项目软装供货安装业绩</w:t>
            </w:r>
            <w:r>
              <w:rPr>
                <w:rFonts w:hint="eastAsia" w:asciiTheme="minorEastAsia" w:hAnsiTheme="minorEastAsia" w:eastAsiaTheme="minorEastAsia" w:cstheme="minorEastAsia"/>
                <w:b/>
                <w:bCs/>
                <w:color w:val="auto"/>
                <w:sz w:val="21"/>
                <w:szCs w:val="21"/>
                <w:highlight w:val="none"/>
              </w:rPr>
              <w:t>：每提供1项有效业绩得</w:t>
            </w:r>
            <w:r>
              <w:rPr>
                <w:rFonts w:hint="eastAsia" w:asciiTheme="minorEastAsia" w:hAnsiTheme="minorEastAsia" w:eastAsiaTheme="minorEastAsia" w:cstheme="minorEastAsia"/>
                <w:b/>
                <w:bCs/>
                <w:color w:val="auto"/>
                <w:sz w:val="21"/>
                <w:szCs w:val="21"/>
                <w:highlight w:val="none"/>
                <w:lang w:val="en-US" w:eastAsia="zh-CN"/>
              </w:rPr>
              <w:t>4</w:t>
            </w:r>
            <w:r>
              <w:rPr>
                <w:rFonts w:hint="eastAsia" w:asciiTheme="minorEastAsia" w:hAnsiTheme="minorEastAsia" w:eastAsiaTheme="minorEastAsia" w:cstheme="minorEastAsia"/>
                <w:b/>
                <w:bCs/>
                <w:color w:val="auto"/>
                <w:sz w:val="21"/>
                <w:szCs w:val="21"/>
                <w:highlight w:val="none"/>
              </w:rPr>
              <w:t>分，最高分值得</w:t>
            </w:r>
            <w:r>
              <w:rPr>
                <w:rFonts w:hint="eastAsia" w:asciiTheme="minorEastAsia" w:hAnsiTheme="minorEastAsia" w:eastAsiaTheme="minorEastAsia" w:cstheme="minorEastAsia"/>
                <w:b/>
                <w:bCs/>
                <w:color w:val="auto"/>
                <w:sz w:val="21"/>
                <w:szCs w:val="21"/>
                <w:highlight w:val="none"/>
                <w:lang w:val="en-US" w:eastAsia="zh-CN"/>
              </w:rPr>
              <w:t>20</w:t>
            </w:r>
            <w:r>
              <w:rPr>
                <w:rFonts w:hint="eastAsia" w:asciiTheme="minorEastAsia" w:hAnsiTheme="minorEastAsia" w:eastAsiaTheme="minorEastAsia" w:cstheme="minorEastAsia"/>
                <w:b/>
                <w:bCs/>
                <w:color w:val="auto"/>
                <w:sz w:val="21"/>
                <w:szCs w:val="21"/>
                <w:highlight w:val="none"/>
              </w:rPr>
              <w:t>分。</w:t>
            </w:r>
          </w:p>
          <w:p w14:paraId="27F5E379">
            <w:pPr>
              <w:pStyle w:val="62"/>
              <w:spacing w:line="240" w:lineRule="auto"/>
              <w:ind w:firstLine="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该项提供以下证明材料以供评审：</w:t>
            </w:r>
          </w:p>
          <w:p w14:paraId="4D9C2992">
            <w:pPr>
              <w:pStyle w:val="62"/>
              <w:numPr>
                <w:ilvl w:val="0"/>
                <w:numId w:val="0"/>
              </w:numPr>
              <w:spacing w:line="24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1.</w:t>
            </w:r>
            <w:r>
              <w:rPr>
                <w:rFonts w:hint="eastAsia" w:asciiTheme="minorEastAsia" w:hAnsiTheme="minorEastAsia" w:eastAsiaTheme="minorEastAsia" w:cstheme="minorEastAsia"/>
                <w:b/>
                <w:bCs/>
                <w:color w:val="auto"/>
                <w:sz w:val="21"/>
                <w:szCs w:val="21"/>
                <w:highlight w:val="none"/>
              </w:rPr>
              <w:t>提供</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类似项目</w:t>
            </w:r>
            <w:r>
              <w:rPr>
                <w:rFonts w:hint="eastAsia" w:asciiTheme="minorEastAsia" w:hAnsiTheme="minorEastAsia" w:eastAsiaTheme="minorEastAsia" w:cstheme="minorEastAsia"/>
                <w:b/>
                <w:bCs/>
                <w:color w:val="auto"/>
                <w:sz w:val="21"/>
                <w:szCs w:val="21"/>
                <w:highlight w:val="none"/>
              </w:rPr>
              <w:t>业绩一览表</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rPr>
              <w:t>中标通知书（如有）、合同关键页</w:t>
            </w:r>
            <w:r>
              <w:rPr>
                <w:rFonts w:hint="eastAsia" w:asciiTheme="minorEastAsia" w:hAnsiTheme="minorEastAsia" w:eastAsiaTheme="minorEastAsia" w:cstheme="minorEastAsia"/>
                <w:b/>
                <w:bCs/>
                <w:color w:val="auto"/>
                <w:sz w:val="21"/>
                <w:szCs w:val="21"/>
                <w:highlight w:val="none"/>
                <w:lang w:val="en-US" w:eastAsia="zh-CN"/>
              </w:rPr>
              <w:t>和验收单原件复印件并加盖投标人公章。</w:t>
            </w:r>
            <w:r>
              <w:rPr>
                <w:rFonts w:hint="eastAsia" w:asciiTheme="minorEastAsia" w:hAnsiTheme="minorEastAsia" w:eastAsiaTheme="minorEastAsia" w:cstheme="minorEastAsia"/>
                <w:color w:val="auto"/>
                <w:sz w:val="21"/>
                <w:szCs w:val="21"/>
                <w:highlight w:val="none"/>
              </w:rPr>
              <w:t>合同关键页</w:t>
            </w:r>
            <w:r>
              <w:rPr>
                <w:rFonts w:hint="eastAsia" w:asciiTheme="minorEastAsia" w:hAnsiTheme="minorEastAsia" w:eastAsiaTheme="minorEastAsia" w:cstheme="minorEastAsia"/>
                <w:color w:val="auto"/>
                <w:sz w:val="21"/>
                <w:szCs w:val="21"/>
                <w:highlight w:val="none"/>
                <w:lang w:val="en-US" w:eastAsia="zh-CN"/>
              </w:rPr>
              <w:t>是</w:t>
            </w:r>
            <w:r>
              <w:rPr>
                <w:rFonts w:hint="eastAsia" w:asciiTheme="minorEastAsia" w:hAnsiTheme="minorEastAsia" w:eastAsiaTheme="minorEastAsia" w:cstheme="minorEastAsia"/>
                <w:color w:val="auto"/>
                <w:sz w:val="21"/>
                <w:szCs w:val="21"/>
                <w:highlight w:val="none"/>
              </w:rPr>
              <w:t>指合同首页</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体现项目</w:t>
            </w:r>
            <w:r>
              <w:rPr>
                <w:rFonts w:hint="eastAsia" w:asciiTheme="minorEastAsia" w:hAnsiTheme="minorEastAsia" w:eastAsiaTheme="minorEastAsia" w:cstheme="minorEastAsia"/>
                <w:color w:val="auto"/>
                <w:sz w:val="21"/>
                <w:szCs w:val="21"/>
                <w:highlight w:val="none"/>
                <w:lang w:val="en-US" w:eastAsia="zh-CN"/>
              </w:rPr>
              <w:t>概况、合同</w:t>
            </w:r>
            <w:r>
              <w:rPr>
                <w:rFonts w:hint="eastAsia" w:asciiTheme="minorEastAsia" w:hAnsiTheme="minorEastAsia" w:eastAsiaTheme="minorEastAsia" w:cstheme="minorEastAsia"/>
                <w:color w:val="auto"/>
                <w:sz w:val="21"/>
                <w:szCs w:val="21"/>
                <w:highlight w:val="none"/>
              </w:rPr>
              <w:t>内容页</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合同金额页</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签字盖章页</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签订日期</w:t>
            </w:r>
            <w:r>
              <w:rPr>
                <w:rFonts w:hint="eastAsia" w:asciiTheme="minorEastAsia" w:hAnsiTheme="minorEastAsia" w:eastAsiaTheme="minorEastAsia" w:cstheme="minorEastAsia"/>
                <w:color w:val="auto"/>
                <w:sz w:val="21"/>
                <w:szCs w:val="21"/>
                <w:highlight w:val="none"/>
                <w:lang w:val="en-US" w:eastAsia="zh-CN"/>
              </w:rPr>
              <w:t>等。</w:t>
            </w:r>
            <w:r>
              <w:rPr>
                <w:rFonts w:hint="eastAsia" w:asciiTheme="minorEastAsia" w:hAnsiTheme="minorEastAsia" w:eastAsiaTheme="minorEastAsia" w:cstheme="minorEastAsia"/>
                <w:color w:val="auto"/>
                <w:sz w:val="21"/>
                <w:szCs w:val="21"/>
                <w:highlight w:val="none"/>
              </w:rPr>
              <w:t>原件备查。若部分信息在上述证明材料中未能体现，须提供相应的政府批复文件或建设单位出具的证明文件(建设单位出具的证明文件须有建设单位公章)，作为补充证明材料。</w:t>
            </w:r>
          </w:p>
          <w:p w14:paraId="6E5F2406">
            <w:pPr>
              <w:pStyle w:val="62"/>
              <w:spacing w:line="240" w:lineRule="auto"/>
              <w:ind w:firstLine="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2.资料不齐全或模糊不清，业绩将不予认可。</w:t>
            </w:r>
          </w:p>
        </w:tc>
        <w:tc>
          <w:tcPr>
            <w:tcW w:w="334" w:type="pct"/>
            <w:vAlign w:val="center"/>
          </w:tcPr>
          <w:p w14:paraId="0037D420">
            <w:pPr>
              <w:autoSpaceDE w:val="0"/>
              <w:autoSpaceDN w:val="0"/>
              <w:adjustRightInd w:val="0"/>
              <w:snapToGri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20</w:t>
            </w:r>
            <w:r>
              <w:rPr>
                <w:rFonts w:hint="eastAsia" w:asciiTheme="minorEastAsia" w:hAnsiTheme="minorEastAsia" w:eastAsiaTheme="minorEastAsia" w:cstheme="minorEastAsia"/>
                <w:color w:val="auto"/>
                <w:sz w:val="21"/>
                <w:szCs w:val="21"/>
                <w:highlight w:val="none"/>
              </w:rPr>
              <w:t>分</w:t>
            </w:r>
          </w:p>
        </w:tc>
      </w:tr>
      <w:tr w14:paraId="3648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4" w:hRule="atLeast"/>
        </w:trPr>
        <w:tc>
          <w:tcPr>
            <w:tcW w:w="291" w:type="pct"/>
            <w:vAlign w:val="center"/>
          </w:tcPr>
          <w:p w14:paraId="7AE4715F">
            <w:pPr>
              <w:autoSpaceDE w:val="0"/>
              <w:autoSpaceDN w:val="0"/>
              <w:adjustRightInd w:val="0"/>
              <w:snapToGrid w:val="0"/>
              <w:spacing w:line="240" w:lineRule="auto"/>
              <w:ind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563" w:type="pct"/>
            <w:shd w:val="clear" w:color="auto" w:fill="auto"/>
            <w:vAlign w:val="center"/>
          </w:tcPr>
          <w:p w14:paraId="77CCBDF6">
            <w:pPr>
              <w:pStyle w:val="62"/>
              <w:spacing w:line="240" w:lineRule="auto"/>
              <w:ind w:firstLine="0" w:firstLineChars="0"/>
              <w:jc w:val="center"/>
              <w:rPr>
                <w:rFonts w:hint="eastAsia" w:asciiTheme="minorEastAsia" w:hAnsiTheme="minorEastAsia" w:eastAsiaTheme="minorEastAsia" w:cstheme="minorEastAsia"/>
                <w:color w:val="auto"/>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项目负责人业绩</w:t>
            </w:r>
          </w:p>
        </w:tc>
        <w:tc>
          <w:tcPr>
            <w:tcW w:w="3810" w:type="pct"/>
            <w:shd w:val="clear" w:color="auto" w:fill="auto"/>
            <w:vAlign w:val="center"/>
          </w:tcPr>
          <w:p w14:paraId="7FB4D881">
            <w:pPr>
              <w:pStyle w:val="62"/>
              <w:spacing w:line="240" w:lineRule="auto"/>
              <w:ind w:firstLine="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拟派项目负责人</w:t>
            </w:r>
            <w:r>
              <w:rPr>
                <w:rFonts w:hint="eastAsia" w:asciiTheme="minorEastAsia" w:hAnsiTheme="minorEastAsia" w:eastAsiaTheme="minorEastAsia" w:cstheme="minorEastAsia"/>
                <w:b/>
                <w:bCs/>
                <w:color w:val="auto"/>
                <w:sz w:val="21"/>
                <w:szCs w:val="21"/>
                <w:highlight w:val="none"/>
              </w:rPr>
              <w:t>近3年（自本招标公告第一次发布之日</w:t>
            </w:r>
            <w:r>
              <w:rPr>
                <w:rFonts w:hint="eastAsia" w:asciiTheme="minorEastAsia" w:hAnsiTheme="minorEastAsia" w:eastAsiaTheme="minorEastAsia" w:cstheme="minorEastAsia"/>
                <w:b/>
                <w:bCs/>
                <w:color w:val="auto"/>
                <w:sz w:val="21"/>
                <w:szCs w:val="21"/>
                <w:highlight w:val="none"/>
                <w:lang w:val="en-US" w:eastAsia="zh-CN"/>
              </w:rPr>
              <w:t>起倒推</w:t>
            </w:r>
            <w:r>
              <w:rPr>
                <w:rFonts w:hint="eastAsia" w:asciiTheme="minorEastAsia" w:hAnsiTheme="minorEastAsia" w:eastAsiaTheme="minorEastAsia" w:cstheme="minorEastAsia"/>
                <w:b/>
                <w:bCs/>
                <w:color w:val="auto"/>
                <w:sz w:val="21"/>
                <w:szCs w:val="21"/>
                <w:highlight w:val="none"/>
              </w:rPr>
              <w:t>，以合同签订时间为准；合同无签订时间的，以中标通知书为准）承接</w:t>
            </w:r>
            <w:r>
              <w:rPr>
                <w:rFonts w:hint="eastAsia" w:asciiTheme="minorEastAsia" w:hAnsiTheme="minorEastAsia" w:eastAsiaTheme="minorEastAsia" w:cstheme="minorEastAsia"/>
                <w:b/>
                <w:bCs/>
                <w:color w:val="auto"/>
                <w:sz w:val="21"/>
                <w:szCs w:val="21"/>
                <w:highlight w:val="none"/>
                <w:lang w:val="en-US" w:eastAsia="zh-CN"/>
              </w:rPr>
              <w:t>的住宅项目软装供货安装业绩</w:t>
            </w:r>
            <w:r>
              <w:rPr>
                <w:rFonts w:hint="eastAsia" w:asciiTheme="minorEastAsia" w:hAnsiTheme="minorEastAsia" w:eastAsiaTheme="minorEastAsia" w:cstheme="minorEastAsia"/>
                <w:b/>
                <w:bCs/>
                <w:color w:val="auto"/>
                <w:sz w:val="21"/>
                <w:szCs w:val="21"/>
                <w:highlight w:val="none"/>
              </w:rPr>
              <w:t>：每提供1项有效业绩得</w:t>
            </w:r>
            <w:r>
              <w:rPr>
                <w:rFonts w:hint="eastAsia" w:asciiTheme="minorEastAsia" w:hAnsiTheme="minorEastAsia" w:eastAsiaTheme="minorEastAsia" w:cstheme="minorEastAsia"/>
                <w:b/>
                <w:bCs/>
                <w:color w:val="auto"/>
                <w:sz w:val="21"/>
                <w:szCs w:val="21"/>
                <w:highlight w:val="none"/>
                <w:lang w:val="en-US" w:eastAsia="zh-CN"/>
              </w:rPr>
              <w:t>2</w:t>
            </w:r>
            <w:r>
              <w:rPr>
                <w:rFonts w:hint="eastAsia" w:asciiTheme="minorEastAsia" w:hAnsiTheme="minorEastAsia" w:eastAsiaTheme="minorEastAsia" w:cstheme="minorEastAsia"/>
                <w:b/>
                <w:bCs/>
                <w:color w:val="auto"/>
                <w:sz w:val="21"/>
                <w:szCs w:val="21"/>
                <w:highlight w:val="none"/>
              </w:rPr>
              <w:t>分，最高分值得</w:t>
            </w:r>
            <w:r>
              <w:rPr>
                <w:rFonts w:hint="eastAsia" w:asciiTheme="minorEastAsia" w:hAnsiTheme="minorEastAsia" w:eastAsiaTheme="minorEastAsia" w:cstheme="minorEastAsia"/>
                <w:b/>
                <w:bCs/>
                <w:color w:val="auto"/>
                <w:sz w:val="21"/>
                <w:szCs w:val="21"/>
                <w:highlight w:val="none"/>
                <w:lang w:val="en-US" w:eastAsia="zh-CN"/>
              </w:rPr>
              <w:t>5</w:t>
            </w:r>
            <w:r>
              <w:rPr>
                <w:rFonts w:hint="eastAsia" w:asciiTheme="minorEastAsia" w:hAnsiTheme="minorEastAsia" w:eastAsiaTheme="minorEastAsia" w:cstheme="minorEastAsia"/>
                <w:b/>
                <w:bCs/>
                <w:color w:val="auto"/>
                <w:sz w:val="21"/>
                <w:szCs w:val="21"/>
                <w:highlight w:val="none"/>
              </w:rPr>
              <w:t>分。</w:t>
            </w:r>
          </w:p>
          <w:p w14:paraId="005B8477">
            <w:pPr>
              <w:pStyle w:val="62"/>
              <w:spacing w:line="240" w:lineRule="auto"/>
              <w:ind w:firstLine="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该项提供以下证明材料以供评审：</w:t>
            </w:r>
          </w:p>
          <w:p w14:paraId="653DC66E">
            <w:pPr>
              <w:pStyle w:val="62"/>
              <w:numPr>
                <w:ilvl w:val="0"/>
                <w:numId w:val="0"/>
              </w:numPr>
              <w:spacing w:line="240" w:lineRule="auto"/>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bCs/>
                <w:color w:val="auto"/>
                <w:sz w:val="21"/>
                <w:szCs w:val="21"/>
                <w:highlight w:val="none"/>
                <w:lang w:val="en-US" w:eastAsia="zh-CN"/>
              </w:rPr>
              <w:t>1.</w:t>
            </w:r>
            <w:r>
              <w:rPr>
                <w:rFonts w:hint="eastAsia" w:asciiTheme="minorEastAsia" w:hAnsiTheme="minorEastAsia" w:eastAsiaTheme="minorEastAsia" w:cstheme="minorEastAsia"/>
                <w:b/>
                <w:bCs/>
                <w:color w:val="auto"/>
                <w:sz w:val="21"/>
                <w:szCs w:val="21"/>
                <w:highlight w:val="none"/>
              </w:rPr>
              <w:t>提供</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项目负责人简历</w:t>
            </w:r>
            <w:r>
              <w:rPr>
                <w:rFonts w:hint="eastAsia" w:asciiTheme="minorEastAsia" w:hAnsiTheme="minorEastAsia" w:eastAsiaTheme="minorEastAsia" w:cstheme="minorEastAsia"/>
                <w:b/>
                <w:bCs/>
                <w:color w:val="auto"/>
                <w:sz w:val="21"/>
                <w:szCs w:val="21"/>
                <w:highlight w:val="none"/>
              </w:rPr>
              <w:t>表</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rPr>
              <w:t>合同关键页原件复印件并加盖投标人公章。</w:t>
            </w:r>
            <w:r>
              <w:rPr>
                <w:rFonts w:hint="eastAsia" w:asciiTheme="minorEastAsia" w:hAnsiTheme="minorEastAsia" w:eastAsiaTheme="minorEastAsia" w:cstheme="minorEastAsia"/>
                <w:b w:val="0"/>
                <w:bCs w:val="0"/>
                <w:color w:val="auto"/>
                <w:sz w:val="21"/>
                <w:szCs w:val="21"/>
                <w:highlight w:val="none"/>
              </w:rPr>
              <w:t>合同关键页需体现项目名称、合同内容、合同金额、双方签字盖章页，签订日期、项目负责人同等职位任职等。原件备查。若部分信息在上述证明材料中未能体现，须提供相应的政府批复文件或建设单位出具的证明文件，作为补充证明材料。如不能体现项目负责人姓名和职务的，则还须提供相关证明文件，否则不予认可。</w:t>
            </w:r>
          </w:p>
          <w:p w14:paraId="7CAA9CB3">
            <w:pPr>
              <w:pStyle w:val="62"/>
              <w:numPr>
                <w:ilvl w:val="0"/>
                <w:numId w:val="0"/>
              </w:numPr>
              <w:spacing w:line="240" w:lineRule="auto"/>
              <w:ind w:left="0" w:leftChars="0" w:firstLine="0" w:firstLineChars="0"/>
              <w:rPr>
                <w:rFonts w:hint="eastAsia" w:asciiTheme="minorEastAsia" w:hAnsiTheme="minorEastAsia" w:eastAsiaTheme="minorEastAsia" w:cstheme="minorEastAsia"/>
                <w:b/>
                <w:bCs/>
                <w:color w:val="auto"/>
                <w:sz w:val="21"/>
                <w:szCs w:val="21"/>
                <w:highlight w:val="none"/>
                <w:lang w:val="en-US" w:eastAsia="zh-CN" w:bidi="ar-SA"/>
              </w:rPr>
            </w:pPr>
            <w:r>
              <w:rPr>
                <w:rFonts w:hint="eastAsia" w:asciiTheme="minorEastAsia" w:hAnsiTheme="minorEastAsia" w:eastAsiaTheme="minorEastAsia" w:cstheme="minorEastAsia"/>
                <w:b/>
                <w:bCs/>
                <w:color w:val="auto"/>
                <w:sz w:val="21"/>
                <w:szCs w:val="21"/>
                <w:highlight w:val="none"/>
              </w:rPr>
              <w:t>2.资料不齐全或模糊不清，业绩将不予认可。</w:t>
            </w:r>
          </w:p>
        </w:tc>
        <w:tc>
          <w:tcPr>
            <w:tcW w:w="334" w:type="pct"/>
            <w:shd w:val="clear" w:color="auto" w:fill="auto"/>
            <w:vAlign w:val="center"/>
          </w:tcPr>
          <w:p w14:paraId="34D623F3">
            <w:pPr>
              <w:autoSpaceDE w:val="0"/>
              <w:autoSpaceDN w:val="0"/>
              <w:adjustRightInd w:val="0"/>
              <w:snapToGrid w:val="0"/>
              <w:spacing w:line="240" w:lineRule="auto"/>
              <w:ind w:firstLine="0" w:firstLineChars="0"/>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sz w:val="21"/>
                <w:szCs w:val="21"/>
                <w:highlight w:val="none"/>
                <w:lang w:val="en-US" w:eastAsia="zh-CN"/>
              </w:rPr>
              <w:t>5分</w:t>
            </w:r>
          </w:p>
        </w:tc>
      </w:tr>
      <w:tr w14:paraId="39DDF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trPr>
        <w:tc>
          <w:tcPr>
            <w:tcW w:w="291" w:type="pct"/>
            <w:vAlign w:val="center"/>
          </w:tcPr>
          <w:p w14:paraId="1C559DE5">
            <w:pPr>
              <w:autoSpaceDE w:val="0"/>
              <w:autoSpaceDN w:val="0"/>
              <w:adjustRightInd w:val="0"/>
              <w:snapToGrid w:val="0"/>
              <w:spacing w:line="240" w:lineRule="auto"/>
              <w:ind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563" w:type="pct"/>
            <w:shd w:val="clear" w:color="auto" w:fill="auto"/>
            <w:vAlign w:val="center"/>
          </w:tcPr>
          <w:p w14:paraId="01EFB1A5">
            <w:pPr>
              <w:pStyle w:val="62"/>
              <w:spacing w:line="240" w:lineRule="auto"/>
              <w:ind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产品检测报告</w:t>
            </w:r>
          </w:p>
        </w:tc>
        <w:tc>
          <w:tcPr>
            <w:tcW w:w="3810" w:type="pct"/>
            <w:shd w:val="clear" w:color="auto" w:fill="auto"/>
            <w:vAlign w:val="center"/>
          </w:tcPr>
          <w:p w14:paraId="5F70A843">
            <w:pPr>
              <w:pStyle w:val="62"/>
              <w:spacing w:line="240" w:lineRule="auto"/>
              <w:ind w:firstLine="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提供所投产品的CMA检测报告，</w:t>
            </w:r>
            <w:r>
              <w:rPr>
                <w:rFonts w:hint="eastAsia" w:asciiTheme="minorEastAsia" w:hAnsiTheme="minorEastAsia" w:eastAsiaTheme="minorEastAsia" w:cstheme="minorEastAsia"/>
                <w:b/>
                <w:bCs/>
                <w:color w:val="auto"/>
                <w:sz w:val="21"/>
                <w:szCs w:val="21"/>
                <w:highlight w:val="none"/>
              </w:rPr>
              <w:t>最高分值得</w:t>
            </w:r>
            <w:r>
              <w:rPr>
                <w:rFonts w:hint="eastAsia" w:asciiTheme="minorEastAsia" w:hAnsiTheme="minorEastAsia" w:eastAsiaTheme="minorEastAsia" w:cstheme="minorEastAsia"/>
                <w:b/>
                <w:bCs/>
                <w:color w:val="auto"/>
                <w:sz w:val="21"/>
                <w:szCs w:val="21"/>
                <w:highlight w:val="none"/>
                <w:lang w:val="en-US" w:eastAsia="zh-CN"/>
              </w:rPr>
              <w:t>5</w:t>
            </w:r>
            <w:r>
              <w:rPr>
                <w:rFonts w:hint="eastAsia" w:asciiTheme="minorEastAsia" w:hAnsiTheme="minorEastAsia" w:eastAsiaTheme="minorEastAsia" w:cstheme="minorEastAsia"/>
                <w:b/>
                <w:bCs/>
                <w:color w:val="auto"/>
                <w:sz w:val="21"/>
                <w:szCs w:val="21"/>
                <w:highlight w:val="none"/>
              </w:rPr>
              <w:t>分。</w:t>
            </w:r>
            <w:r>
              <w:rPr>
                <w:rFonts w:hint="eastAsia" w:asciiTheme="minorEastAsia" w:hAnsiTheme="minorEastAsia" w:eastAsiaTheme="minorEastAsia" w:cstheme="minorEastAsia"/>
                <w:b/>
                <w:bCs/>
                <w:color w:val="auto"/>
                <w:sz w:val="21"/>
                <w:szCs w:val="21"/>
                <w:highlight w:val="none"/>
                <w:lang w:val="en-US" w:eastAsia="zh-CN"/>
              </w:rPr>
              <w:t>提供报告齐全的得5分，不齐全的酌情扣分，未提供的不得分。</w:t>
            </w:r>
          </w:p>
          <w:p w14:paraId="563F984A">
            <w:pPr>
              <w:pStyle w:val="62"/>
              <w:spacing w:line="240" w:lineRule="auto"/>
              <w:ind w:firstLine="0"/>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该项提供以下证明材料以供评审：</w:t>
            </w:r>
          </w:p>
          <w:p w14:paraId="705C04EE">
            <w:pPr>
              <w:pStyle w:val="62"/>
              <w:numPr>
                <w:ilvl w:val="0"/>
                <w:numId w:val="0"/>
              </w:numPr>
              <w:spacing w:line="240" w:lineRule="auto"/>
              <w:ind w:left="0" w:leftChars="0" w:firstLine="0" w:firstLineChars="0"/>
              <w:rPr>
                <w:rFonts w:hint="default"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提供CMA检测报告并加盖投标人公章。</w:t>
            </w:r>
          </w:p>
        </w:tc>
        <w:tc>
          <w:tcPr>
            <w:tcW w:w="334" w:type="pct"/>
            <w:shd w:val="clear" w:color="auto" w:fill="auto"/>
            <w:vAlign w:val="center"/>
          </w:tcPr>
          <w:p w14:paraId="4ABA5C6D">
            <w:pPr>
              <w:autoSpaceDE w:val="0"/>
              <w:autoSpaceDN w:val="0"/>
              <w:adjustRightInd w:val="0"/>
              <w:snapToGrid w:val="0"/>
              <w:spacing w:line="240" w:lineRule="auto"/>
              <w:ind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5分</w:t>
            </w:r>
          </w:p>
        </w:tc>
      </w:tr>
      <w:tr w14:paraId="681BB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2" w:hRule="atLeast"/>
        </w:trPr>
        <w:tc>
          <w:tcPr>
            <w:tcW w:w="291" w:type="pct"/>
            <w:vAlign w:val="center"/>
          </w:tcPr>
          <w:p w14:paraId="42CE1464">
            <w:pPr>
              <w:autoSpaceDE w:val="0"/>
              <w:autoSpaceDN w:val="0"/>
              <w:adjustRightInd w:val="0"/>
              <w:snapToGrid w:val="0"/>
              <w:spacing w:line="240" w:lineRule="auto"/>
              <w:ind w:firstLine="0" w:firstLineChars="0"/>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563" w:type="pct"/>
            <w:shd w:val="clear" w:color="auto" w:fill="auto"/>
            <w:vAlign w:val="center"/>
          </w:tcPr>
          <w:p w14:paraId="6A13D84B">
            <w:pPr>
              <w:pStyle w:val="62"/>
              <w:spacing w:line="240" w:lineRule="auto"/>
              <w:ind w:firstLine="0" w:firstLineChars="0"/>
              <w:jc w:val="center"/>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供货安装方案</w:t>
            </w:r>
          </w:p>
        </w:tc>
        <w:tc>
          <w:tcPr>
            <w:tcW w:w="3810" w:type="pct"/>
            <w:shd w:val="clear" w:color="auto" w:fill="auto"/>
            <w:vAlign w:val="center"/>
          </w:tcPr>
          <w:p w14:paraId="5359CDB9">
            <w:pPr>
              <w:pStyle w:val="62"/>
              <w:spacing w:line="240" w:lineRule="auto"/>
              <w:ind w:firstLine="0"/>
              <w:jc w:val="left"/>
              <w:rPr>
                <w:rFonts w:hint="eastAsia"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供货安装方案包括</w:t>
            </w:r>
            <w:r>
              <w:rPr>
                <w:rFonts w:hint="eastAsia" w:ascii="宋体" w:hAnsi="宋体" w:cs="宋体"/>
                <w:b/>
                <w:bCs/>
                <w:color w:val="auto"/>
                <w:kern w:val="0"/>
                <w:sz w:val="21"/>
                <w:szCs w:val="21"/>
                <w:highlight w:val="none"/>
                <w:lang w:val="en-US" w:eastAsia="zh-CN"/>
              </w:rPr>
              <w:t>排产计划及进度保证措施、</w:t>
            </w:r>
            <w:r>
              <w:rPr>
                <w:rFonts w:hint="eastAsia" w:ascii="宋体" w:hAnsi="宋体" w:eastAsia="宋体" w:cs="宋体"/>
                <w:b/>
                <w:bCs/>
                <w:color w:val="auto"/>
                <w:kern w:val="0"/>
                <w:sz w:val="21"/>
                <w:szCs w:val="21"/>
                <w:highlight w:val="none"/>
                <w:lang w:val="en-US" w:eastAsia="zh-CN"/>
              </w:rPr>
              <w:t>质量保证措施、</w:t>
            </w:r>
            <w:r>
              <w:rPr>
                <w:rFonts w:hint="eastAsia" w:ascii="宋体" w:hAnsi="宋体" w:cs="宋体"/>
                <w:b/>
                <w:bCs/>
                <w:color w:val="auto"/>
                <w:kern w:val="0"/>
                <w:sz w:val="21"/>
                <w:szCs w:val="21"/>
                <w:highlight w:val="none"/>
                <w:lang w:val="en-US" w:eastAsia="zh-CN"/>
              </w:rPr>
              <w:t>配送安装保证</w:t>
            </w:r>
            <w:r>
              <w:rPr>
                <w:rFonts w:hint="eastAsia" w:ascii="宋体" w:hAnsi="宋体" w:eastAsia="宋体" w:cs="宋体"/>
                <w:b/>
                <w:bCs/>
                <w:color w:val="auto"/>
                <w:kern w:val="0"/>
                <w:sz w:val="21"/>
                <w:szCs w:val="21"/>
                <w:highlight w:val="none"/>
                <w:lang w:val="en-US" w:eastAsia="zh-CN"/>
              </w:rPr>
              <w:t>措施</w:t>
            </w:r>
            <w:r>
              <w:rPr>
                <w:rFonts w:hint="eastAsia" w:ascii="宋体" w:hAnsi="宋体" w:cs="宋体"/>
                <w:b/>
                <w:bCs/>
                <w:color w:val="auto"/>
                <w:kern w:val="0"/>
                <w:sz w:val="21"/>
                <w:szCs w:val="21"/>
                <w:highlight w:val="none"/>
                <w:lang w:val="en-US" w:eastAsia="zh-CN"/>
              </w:rPr>
              <w:t>、</w:t>
            </w:r>
            <w:r>
              <w:rPr>
                <w:rFonts w:hint="eastAsia" w:ascii="宋体" w:hAnsi="宋体" w:eastAsia="宋体" w:cs="宋体"/>
                <w:b/>
                <w:bCs/>
                <w:color w:val="auto"/>
                <w:kern w:val="0"/>
                <w:sz w:val="21"/>
                <w:szCs w:val="21"/>
                <w:highlight w:val="none"/>
                <w:lang w:val="en-US" w:eastAsia="zh-CN"/>
              </w:rPr>
              <w:t>成品保护方案</w:t>
            </w:r>
            <w:r>
              <w:rPr>
                <w:rFonts w:hint="eastAsia" w:ascii="宋体" w:hAnsi="宋体" w:cs="宋体"/>
                <w:b/>
                <w:bCs/>
                <w:color w:val="auto"/>
                <w:kern w:val="0"/>
                <w:sz w:val="21"/>
                <w:szCs w:val="21"/>
                <w:highlight w:val="none"/>
                <w:lang w:val="en-US" w:eastAsia="zh-CN"/>
              </w:rPr>
              <w:t>、验收整改闭环机制</w:t>
            </w:r>
            <w:r>
              <w:rPr>
                <w:rFonts w:hint="eastAsia" w:ascii="宋体" w:hAnsi="宋体" w:eastAsia="宋体" w:cs="宋体"/>
                <w:b/>
                <w:bCs/>
                <w:color w:val="auto"/>
                <w:kern w:val="0"/>
                <w:sz w:val="21"/>
                <w:szCs w:val="21"/>
                <w:highlight w:val="none"/>
                <w:lang w:val="en-US" w:eastAsia="zh-CN"/>
              </w:rPr>
              <w:t>等，格式自拟。横向比较，最高分值</w:t>
            </w:r>
            <w:r>
              <w:rPr>
                <w:rFonts w:hint="eastAsia" w:ascii="宋体" w:hAnsi="宋体" w:cs="宋体"/>
                <w:b/>
                <w:bCs/>
                <w:color w:val="auto"/>
                <w:kern w:val="0"/>
                <w:sz w:val="21"/>
                <w:szCs w:val="21"/>
                <w:highlight w:val="none"/>
                <w:lang w:val="en-US" w:eastAsia="zh-CN"/>
              </w:rPr>
              <w:t>得10</w:t>
            </w:r>
            <w:r>
              <w:rPr>
                <w:rFonts w:hint="eastAsia" w:ascii="宋体" w:hAnsi="宋体" w:eastAsia="宋体" w:cs="宋体"/>
                <w:b/>
                <w:bCs/>
                <w:color w:val="auto"/>
                <w:kern w:val="0"/>
                <w:sz w:val="21"/>
                <w:szCs w:val="21"/>
                <w:highlight w:val="none"/>
                <w:lang w:val="en-US" w:eastAsia="zh-CN"/>
              </w:rPr>
              <w:t>分：</w:t>
            </w:r>
          </w:p>
          <w:p w14:paraId="2B08DE06">
            <w:pPr>
              <w:pStyle w:val="62"/>
              <w:spacing w:line="240" w:lineRule="auto"/>
              <w:ind w:firstLine="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方案针对性强，得</w:t>
            </w:r>
            <w:r>
              <w:rPr>
                <w:rFonts w:hint="eastAsia" w:ascii="宋体" w:hAnsi="宋体" w:cs="宋体"/>
                <w:color w:val="auto"/>
                <w:kern w:val="0"/>
                <w:sz w:val="21"/>
                <w:szCs w:val="21"/>
                <w:highlight w:val="none"/>
                <w:lang w:val="en-US" w:eastAsia="zh-CN"/>
              </w:rPr>
              <w:t>10-8</w:t>
            </w:r>
            <w:r>
              <w:rPr>
                <w:rFonts w:hint="eastAsia" w:ascii="宋体" w:hAnsi="宋体" w:eastAsia="宋体" w:cs="宋体"/>
                <w:color w:val="auto"/>
                <w:kern w:val="0"/>
                <w:sz w:val="21"/>
                <w:szCs w:val="21"/>
                <w:highlight w:val="none"/>
                <w:lang w:val="en-US" w:eastAsia="zh-CN"/>
              </w:rPr>
              <w:t>分；方案针对性较强且符合要求，得</w:t>
            </w:r>
            <w:r>
              <w:rPr>
                <w:rFonts w:hint="eastAsia" w:ascii="宋体" w:hAnsi="宋体" w:cs="宋体"/>
                <w:color w:val="auto"/>
                <w:kern w:val="0"/>
                <w:sz w:val="21"/>
                <w:szCs w:val="21"/>
                <w:highlight w:val="none"/>
                <w:lang w:val="en-US" w:eastAsia="zh-CN"/>
              </w:rPr>
              <w:t>7-6</w:t>
            </w:r>
            <w:r>
              <w:rPr>
                <w:rFonts w:hint="eastAsia" w:ascii="宋体" w:hAnsi="宋体" w:eastAsia="宋体" w:cs="宋体"/>
                <w:color w:val="auto"/>
                <w:kern w:val="0"/>
                <w:sz w:val="21"/>
                <w:szCs w:val="21"/>
                <w:highlight w:val="none"/>
                <w:lang w:val="en-US" w:eastAsia="zh-CN"/>
              </w:rPr>
              <w:t>分；方案针对性不强，得</w:t>
            </w:r>
            <w:r>
              <w:rPr>
                <w:rFonts w:hint="eastAsia" w:ascii="宋体" w:hAnsi="宋体" w:cs="宋体"/>
                <w:color w:val="auto"/>
                <w:kern w:val="0"/>
                <w:sz w:val="21"/>
                <w:szCs w:val="21"/>
                <w:highlight w:val="none"/>
                <w:lang w:val="en-US" w:eastAsia="zh-CN"/>
              </w:rPr>
              <w:t>5-0</w:t>
            </w:r>
            <w:r>
              <w:rPr>
                <w:rFonts w:hint="eastAsia" w:ascii="宋体" w:hAnsi="宋体" w:eastAsia="宋体" w:cs="宋体"/>
                <w:color w:val="auto"/>
                <w:kern w:val="0"/>
                <w:sz w:val="21"/>
                <w:szCs w:val="21"/>
                <w:highlight w:val="none"/>
                <w:lang w:val="en-US" w:eastAsia="zh-CN"/>
              </w:rPr>
              <w:t>分；</w:t>
            </w:r>
          </w:p>
          <w:p w14:paraId="1CC4077F">
            <w:pPr>
              <w:pStyle w:val="62"/>
              <w:numPr>
                <w:ilvl w:val="0"/>
                <w:numId w:val="0"/>
              </w:numPr>
              <w:spacing w:line="240" w:lineRule="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该项提供以下证明材料以供评审：</w:t>
            </w:r>
          </w:p>
          <w:p w14:paraId="2D06753C">
            <w:pPr>
              <w:pStyle w:val="62"/>
              <w:spacing w:line="240" w:lineRule="auto"/>
              <w:ind w:firstLine="0" w:firstLineChars="0"/>
              <w:jc w:val="left"/>
              <w:rPr>
                <w:rFonts w:hint="eastAsia" w:ascii="宋体" w:hAnsi="宋体" w:eastAsia="宋体" w:cs="宋体"/>
                <w:color w:val="auto"/>
                <w:kern w:val="0"/>
                <w:sz w:val="21"/>
                <w:szCs w:val="21"/>
                <w:highlight w:val="none"/>
                <w:lang w:val="en-US" w:eastAsia="zh-CN" w:bidi="ar-SA"/>
              </w:rPr>
            </w:pPr>
            <w:r>
              <w:rPr>
                <w:rFonts w:hint="eastAsia" w:asciiTheme="minorEastAsia" w:hAnsiTheme="minorEastAsia" w:eastAsiaTheme="minorEastAsia" w:cstheme="minorEastAsia"/>
                <w:b/>
                <w:bCs/>
                <w:color w:val="auto"/>
                <w:sz w:val="21"/>
                <w:szCs w:val="21"/>
                <w:highlight w:val="none"/>
              </w:rPr>
              <w:t>提供《供货安装方案》（格式自拟）</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原件加盖公章</w:t>
            </w:r>
            <w:r>
              <w:rPr>
                <w:rFonts w:hint="eastAsia" w:asciiTheme="minorEastAsia" w:hAnsiTheme="minorEastAsia" w:eastAsiaTheme="minorEastAsia" w:cstheme="minorEastAsia"/>
                <w:b/>
                <w:bCs/>
                <w:color w:val="auto"/>
                <w:sz w:val="21"/>
                <w:szCs w:val="21"/>
                <w:highlight w:val="none"/>
              </w:rPr>
              <w:t>。</w:t>
            </w:r>
          </w:p>
        </w:tc>
        <w:tc>
          <w:tcPr>
            <w:tcW w:w="334" w:type="pct"/>
            <w:shd w:val="clear" w:color="auto" w:fill="auto"/>
            <w:vAlign w:val="center"/>
          </w:tcPr>
          <w:p w14:paraId="50A72B18">
            <w:pPr>
              <w:autoSpaceDE w:val="0"/>
              <w:autoSpaceDN w:val="0"/>
              <w:adjustRightInd w:val="0"/>
              <w:snapToGrid w:val="0"/>
              <w:spacing w:line="240" w:lineRule="auto"/>
              <w:ind w:firstLine="0" w:firstLineChars="0"/>
              <w:jc w:val="center"/>
              <w:rPr>
                <w:rFonts w:hint="default"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default" w:ascii="宋体" w:hAnsi="宋体" w:eastAsia="宋体" w:cs="宋体"/>
                <w:color w:val="auto"/>
                <w:sz w:val="21"/>
                <w:szCs w:val="21"/>
                <w:highlight w:val="none"/>
                <w:lang w:eastAsia="zh-CN"/>
              </w:rPr>
              <w:t>分</w:t>
            </w:r>
          </w:p>
        </w:tc>
      </w:tr>
      <w:tr w14:paraId="64871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291" w:type="pct"/>
            <w:vAlign w:val="center"/>
          </w:tcPr>
          <w:p w14:paraId="5C1A0FFD">
            <w:pPr>
              <w:autoSpaceDE w:val="0"/>
              <w:autoSpaceDN w:val="0"/>
              <w:adjustRightInd w:val="0"/>
              <w:snapToGrid w:val="0"/>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563" w:type="pct"/>
            <w:shd w:val="clear" w:color="auto" w:fill="auto"/>
            <w:vAlign w:val="center"/>
          </w:tcPr>
          <w:p w14:paraId="6B8AADD2">
            <w:pPr>
              <w:pStyle w:val="62"/>
              <w:spacing w:line="240" w:lineRule="auto"/>
              <w:ind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rPr>
              <w:t>售后与质保</w:t>
            </w:r>
            <w:r>
              <w:rPr>
                <w:rFonts w:hint="eastAsia" w:ascii="宋体" w:hAnsi="宋体" w:cs="宋体"/>
                <w:color w:val="auto"/>
                <w:kern w:val="2"/>
                <w:sz w:val="21"/>
                <w:szCs w:val="21"/>
                <w:highlight w:val="none"/>
                <w:lang w:val="en-US" w:eastAsia="zh-CN"/>
              </w:rPr>
              <w:t>承诺</w:t>
            </w:r>
          </w:p>
        </w:tc>
        <w:tc>
          <w:tcPr>
            <w:tcW w:w="3810" w:type="pct"/>
            <w:shd w:val="clear" w:color="auto" w:fill="auto"/>
            <w:vAlign w:val="center"/>
          </w:tcPr>
          <w:p w14:paraId="299CB203">
            <w:pPr>
              <w:pStyle w:val="62"/>
              <w:spacing w:line="240" w:lineRule="auto"/>
              <w:ind w:firstLine="0"/>
              <w:jc w:val="left"/>
              <w:rPr>
                <w:rFonts w:hint="eastAsia" w:ascii="宋体" w:hAnsi="宋体" w:cs="宋体"/>
                <w:b/>
                <w:bCs/>
                <w:color w:val="auto"/>
                <w:kern w:val="0"/>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综合评审投标人针对本项目的质保及售后服务保障能力，包括质保期、故障响应时限、备件更换及返修周期等。横向比较，</w:t>
            </w:r>
            <w:r>
              <w:rPr>
                <w:rFonts w:hint="eastAsia" w:ascii="宋体" w:hAnsi="宋体" w:eastAsia="宋体" w:cs="宋体"/>
                <w:b/>
                <w:bCs/>
                <w:color w:val="auto"/>
                <w:kern w:val="0"/>
                <w:sz w:val="21"/>
                <w:szCs w:val="21"/>
                <w:highlight w:val="none"/>
                <w:lang w:val="en-US" w:eastAsia="zh-CN"/>
              </w:rPr>
              <w:t>最高分值</w:t>
            </w:r>
            <w:r>
              <w:rPr>
                <w:rFonts w:hint="eastAsia" w:ascii="宋体" w:hAnsi="宋体" w:cs="宋体"/>
                <w:b/>
                <w:bCs/>
                <w:color w:val="auto"/>
                <w:kern w:val="0"/>
                <w:sz w:val="21"/>
                <w:szCs w:val="21"/>
                <w:highlight w:val="none"/>
                <w:lang w:val="en-US" w:eastAsia="zh-CN"/>
              </w:rPr>
              <w:t>得5</w:t>
            </w:r>
            <w:r>
              <w:rPr>
                <w:rFonts w:hint="eastAsia" w:ascii="宋体" w:hAnsi="宋体" w:eastAsia="宋体" w:cs="宋体"/>
                <w:b/>
                <w:bCs/>
                <w:color w:val="auto"/>
                <w:kern w:val="0"/>
                <w:sz w:val="21"/>
                <w:szCs w:val="21"/>
                <w:highlight w:val="none"/>
                <w:lang w:val="en-US" w:eastAsia="zh-CN"/>
              </w:rPr>
              <w:t>分</w:t>
            </w:r>
            <w:r>
              <w:rPr>
                <w:rFonts w:hint="eastAsia" w:ascii="宋体" w:hAnsi="宋体" w:cs="宋体"/>
                <w:b/>
                <w:bCs/>
                <w:color w:val="auto"/>
                <w:kern w:val="0"/>
                <w:sz w:val="21"/>
                <w:szCs w:val="21"/>
                <w:highlight w:val="none"/>
                <w:lang w:val="en-US" w:eastAsia="zh-CN"/>
              </w:rPr>
              <w:t>。</w:t>
            </w:r>
          </w:p>
          <w:p w14:paraId="51FE8EA4">
            <w:pPr>
              <w:pStyle w:val="62"/>
              <w:spacing w:line="240" w:lineRule="auto"/>
              <w:ind w:firstLine="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优5分、良4-3分、一般2-0分。</w:t>
            </w:r>
          </w:p>
          <w:p w14:paraId="745A8DE2">
            <w:pPr>
              <w:pStyle w:val="62"/>
              <w:numPr>
                <w:ilvl w:val="0"/>
                <w:numId w:val="0"/>
              </w:numPr>
              <w:spacing w:line="240" w:lineRule="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该项提供以下证明材料以供评审：</w:t>
            </w:r>
          </w:p>
          <w:p w14:paraId="37370721">
            <w:pPr>
              <w:pStyle w:val="62"/>
              <w:spacing w:line="240" w:lineRule="auto"/>
              <w:ind w:firstLine="0" w:firstLineChars="0"/>
              <w:jc w:val="left"/>
              <w:rPr>
                <w:rFonts w:hint="default" w:ascii="宋体" w:hAnsi="宋体" w:eastAsia="宋体" w:cs="宋体"/>
                <w:b/>
                <w:bCs/>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rPr>
              <w:t>提供《售后与质保承诺函》</w:t>
            </w:r>
            <w:r>
              <w:rPr>
                <w:rFonts w:hint="eastAsia" w:asciiTheme="minorEastAsia" w:hAnsiTheme="minorEastAsia" w:eastAsiaTheme="minorEastAsia" w:cstheme="minorEastAsia"/>
                <w:b/>
                <w:bCs/>
                <w:color w:val="auto"/>
                <w:sz w:val="21"/>
                <w:szCs w:val="21"/>
                <w:highlight w:val="none"/>
              </w:rPr>
              <w:t>（格式自拟）</w:t>
            </w:r>
            <w:r>
              <w:rPr>
                <w:rFonts w:hint="eastAsia" w:asciiTheme="minorEastAsia" w:hAnsiTheme="minorEastAsia" w:eastAsiaTheme="minorEastAsia" w:cstheme="minorEastAsia"/>
                <w:b/>
                <w:bCs/>
                <w:color w:val="auto"/>
                <w:sz w:val="21"/>
                <w:szCs w:val="21"/>
                <w:highlight w:val="none"/>
                <w:lang w:eastAsia="zh-CN"/>
              </w:rPr>
              <w:t>，</w:t>
            </w:r>
            <w:r>
              <w:rPr>
                <w:rFonts w:hint="eastAsia" w:asciiTheme="minorEastAsia" w:hAnsiTheme="minorEastAsia" w:eastAsiaTheme="minorEastAsia" w:cstheme="minorEastAsia"/>
                <w:b/>
                <w:bCs/>
                <w:color w:val="auto"/>
                <w:sz w:val="21"/>
                <w:szCs w:val="21"/>
                <w:highlight w:val="none"/>
                <w:lang w:val="en-US" w:eastAsia="zh-CN"/>
              </w:rPr>
              <w:t>原件加盖公章</w:t>
            </w:r>
            <w:r>
              <w:rPr>
                <w:rFonts w:hint="eastAsia" w:asciiTheme="minorEastAsia" w:hAnsiTheme="minorEastAsia" w:eastAsiaTheme="minorEastAsia" w:cstheme="minorEastAsia"/>
                <w:b/>
                <w:bCs/>
                <w:color w:val="auto"/>
                <w:sz w:val="21"/>
                <w:szCs w:val="21"/>
                <w:highlight w:val="none"/>
              </w:rPr>
              <w:t>。</w:t>
            </w:r>
          </w:p>
        </w:tc>
        <w:tc>
          <w:tcPr>
            <w:tcW w:w="334" w:type="pct"/>
            <w:shd w:val="clear" w:color="auto" w:fill="auto"/>
            <w:vAlign w:val="center"/>
          </w:tcPr>
          <w:p w14:paraId="2DCB44E0">
            <w:pPr>
              <w:autoSpaceDE w:val="0"/>
              <w:autoSpaceDN w:val="0"/>
              <w:adjustRightInd w:val="0"/>
              <w:snapToGrid w:val="0"/>
              <w:spacing w:line="240" w:lineRule="auto"/>
              <w:ind w:firstLine="0" w:firstLine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5分</w:t>
            </w:r>
          </w:p>
        </w:tc>
      </w:tr>
      <w:tr w14:paraId="7D62E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291" w:type="pct"/>
            <w:vAlign w:val="center"/>
          </w:tcPr>
          <w:p w14:paraId="713C6CDD">
            <w:pPr>
              <w:autoSpaceDE w:val="0"/>
              <w:autoSpaceDN w:val="0"/>
              <w:adjustRightInd w:val="0"/>
              <w:snapToGrid w:val="0"/>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563" w:type="pct"/>
            <w:shd w:val="clear" w:color="auto" w:fill="auto"/>
            <w:vAlign w:val="center"/>
          </w:tcPr>
          <w:p w14:paraId="7BF76D6F">
            <w:pPr>
              <w:pStyle w:val="62"/>
              <w:spacing w:line="240" w:lineRule="auto"/>
              <w:ind w:firstLine="0"/>
              <w:jc w:val="center"/>
              <w:rPr>
                <w:rFonts w:hint="default" w:ascii="宋体" w:hAnsi="宋体" w:eastAsia="宋体" w:cs="宋体"/>
                <w:color w:val="auto"/>
                <w:kern w:val="2"/>
                <w:sz w:val="21"/>
                <w:szCs w:val="21"/>
                <w:highlight w:val="none"/>
                <w:lang w:val="en-US" w:eastAsia="zh-CN"/>
              </w:rPr>
            </w:pPr>
            <w:r>
              <w:rPr>
                <w:rFonts w:hint="eastAsia" w:ascii="宋体" w:hAnsi="宋体" w:cs="宋体"/>
                <w:color w:val="auto"/>
                <w:kern w:val="2"/>
                <w:sz w:val="21"/>
                <w:szCs w:val="21"/>
                <w:highlight w:val="none"/>
                <w:lang w:val="en-US" w:eastAsia="zh-CN"/>
              </w:rPr>
              <w:t>软装实物小样</w:t>
            </w:r>
          </w:p>
        </w:tc>
        <w:tc>
          <w:tcPr>
            <w:tcW w:w="3810" w:type="pct"/>
            <w:shd w:val="clear" w:color="auto" w:fill="auto"/>
            <w:vAlign w:val="center"/>
          </w:tcPr>
          <w:p w14:paraId="02093CFC">
            <w:pPr>
              <w:pStyle w:val="62"/>
              <w:spacing w:line="240" w:lineRule="auto"/>
              <w:ind w:firstLine="0"/>
              <w:jc w:val="left"/>
              <w:rPr>
                <w:rFonts w:hint="eastAsia" w:ascii="宋体" w:hAnsi="宋体" w:cs="宋体"/>
                <w:b/>
                <w:bCs/>
                <w:color w:val="auto"/>
                <w:kern w:val="0"/>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综合评审投标人提供软装实物小样的材质观感、工艺质量。横向比较，</w:t>
            </w:r>
            <w:r>
              <w:rPr>
                <w:rFonts w:hint="eastAsia" w:ascii="宋体" w:hAnsi="宋体" w:eastAsia="宋体" w:cs="宋体"/>
                <w:b/>
                <w:bCs/>
                <w:color w:val="auto"/>
                <w:kern w:val="0"/>
                <w:sz w:val="21"/>
                <w:szCs w:val="21"/>
                <w:highlight w:val="none"/>
                <w:lang w:val="en-US" w:eastAsia="zh-CN"/>
              </w:rPr>
              <w:t>最高分值</w:t>
            </w:r>
            <w:r>
              <w:rPr>
                <w:rFonts w:hint="eastAsia" w:ascii="宋体" w:hAnsi="宋体" w:cs="宋体"/>
                <w:b/>
                <w:bCs/>
                <w:color w:val="auto"/>
                <w:kern w:val="0"/>
                <w:sz w:val="21"/>
                <w:szCs w:val="21"/>
                <w:highlight w:val="none"/>
                <w:lang w:val="en-US" w:eastAsia="zh-CN"/>
              </w:rPr>
              <w:t>得5</w:t>
            </w:r>
            <w:r>
              <w:rPr>
                <w:rFonts w:hint="eastAsia" w:ascii="宋体" w:hAnsi="宋体" w:eastAsia="宋体" w:cs="宋体"/>
                <w:b/>
                <w:bCs/>
                <w:color w:val="auto"/>
                <w:kern w:val="0"/>
                <w:sz w:val="21"/>
                <w:szCs w:val="21"/>
                <w:highlight w:val="none"/>
                <w:lang w:val="en-US" w:eastAsia="zh-CN"/>
              </w:rPr>
              <w:t>分</w:t>
            </w:r>
            <w:r>
              <w:rPr>
                <w:rFonts w:hint="eastAsia" w:ascii="宋体" w:hAnsi="宋体" w:cs="宋体"/>
                <w:b/>
                <w:bCs/>
                <w:color w:val="auto"/>
                <w:kern w:val="0"/>
                <w:sz w:val="21"/>
                <w:szCs w:val="21"/>
                <w:highlight w:val="none"/>
                <w:lang w:val="en-US" w:eastAsia="zh-CN"/>
              </w:rPr>
              <w:t>。</w:t>
            </w:r>
          </w:p>
          <w:p w14:paraId="012B1253">
            <w:pPr>
              <w:pStyle w:val="62"/>
              <w:spacing w:line="240" w:lineRule="auto"/>
              <w:ind w:firstLine="0"/>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优5分、良4-3分、一般2-0分。提供不全的酌情扣分，未提供的不得分。</w:t>
            </w:r>
          </w:p>
          <w:p w14:paraId="7AA39CFB">
            <w:pPr>
              <w:pStyle w:val="62"/>
              <w:spacing w:line="240" w:lineRule="auto"/>
              <w:ind w:firstLine="0"/>
              <w:jc w:val="left"/>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1.布艺面料小样，200×200mm 面料切片；</w:t>
            </w:r>
          </w:p>
          <w:p w14:paraId="4037979B">
            <w:pPr>
              <w:pStyle w:val="62"/>
              <w:spacing w:line="240" w:lineRule="auto"/>
              <w:ind w:firstLine="0"/>
              <w:jc w:val="left"/>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2.皮革超纤小样，200×200mm 皮料；</w:t>
            </w:r>
          </w:p>
          <w:p w14:paraId="6610B07B">
            <w:pPr>
              <w:pStyle w:val="62"/>
              <w:spacing w:line="240" w:lineRule="auto"/>
              <w:ind w:firstLine="0"/>
              <w:jc w:val="left"/>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3.木皮饰面复合小样，带基材的木皮贴面；</w:t>
            </w:r>
          </w:p>
          <w:p w14:paraId="70762530">
            <w:pPr>
              <w:pStyle w:val="62"/>
              <w:spacing w:line="240" w:lineRule="auto"/>
              <w:ind w:firstLine="0"/>
              <w:jc w:val="left"/>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4.海绵小样，150×150mm 海绵块；</w:t>
            </w:r>
          </w:p>
          <w:p w14:paraId="1A322299">
            <w:pPr>
              <w:pStyle w:val="62"/>
              <w:spacing w:line="240" w:lineRule="auto"/>
              <w:ind w:firstLine="0"/>
              <w:jc w:val="left"/>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5.铰链五金小样，成品铰链 1 套；</w:t>
            </w:r>
          </w:p>
          <w:p w14:paraId="1A53904B">
            <w:pPr>
              <w:pStyle w:val="62"/>
              <w:spacing w:line="240" w:lineRule="auto"/>
              <w:ind w:firstLine="0"/>
              <w:jc w:val="left"/>
              <w:rPr>
                <w:rFonts w:hint="default"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6.人造板材基材小样，200×200mm 板材基材。</w:t>
            </w:r>
          </w:p>
        </w:tc>
        <w:tc>
          <w:tcPr>
            <w:tcW w:w="334" w:type="pct"/>
            <w:shd w:val="clear" w:color="auto" w:fill="auto"/>
            <w:vAlign w:val="center"/>
          </w:tcPr>
          <w:p w14:paraId="5423E350">
            <w:pPr>
              <w:autoSpaceDE w:val="0"/>
              <w:autoSpaceDN w:val="0"/>
              <w:adjustRightInd w:val="0"/>
              <w:snapToGrid w:val="0"/>
              <w:spacing w:line="240" w:lineRule="auto"/>
              <w:ind w:firstLine="0" w:firstLineChars="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5分</w:t>
            </w:r>
          </w:p>
        </w:tc>
      </w:tr>
      <w:tr w14:paraId="161AE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4665" w:type="pct"/>
            <w:gridSpan w:val="3"/>
            <w:vAlign w:val="center"/>
          </w:tcPr>
          <w:p w14:paraId="360850A1">
            <w:pPr>
              <w:autoSpaceDE w:val="0"/>
              <w:autoSpaceDN w:val="0"/>
              <w:adjustRightInd w:val="0"/>
              <w:snapToGrid w:val="0"/>
              <w:spacing w:line="240" w:lineRule="auto"/>
              <w:ind w:left="0" w:leftChars="0"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w:t>
            </w:r>
            <w:r>
              <w:rPr>
                <w:rFonts w:hint="eastAsia" w:asciiTheme="minorEastAsia" w:hAnsiTheme="minorEastAsia" w:eastAsiaTheme="minorEastAsia" w:cstheme="minorEastAsia"/>
                <w:color w:val="auto"/>
                <w:sz w:val="21"/>
                <w:szCs w:val="21"/>
                <w:highlight w:val="none"/>
                <w:lang w:val="en-US" w:eastAsia="zh-CN"/>
              </w:rPr>
              <w:t xml:space="preserve">  </w:t>
            </w:r>
            <w:r>
              <w:rPr>
                <w:rFonts w:hint="eastAsia" w:asciiTheme="minorEastAsia" w:hAnsiTheme="minorEastAsia" w:eastAsiaTheme="minorEastAsia" w:cstheme="minorEastAsia"/>
                <w:color w:val="auto"/>
                <w:sz w:val="21"/>
                <w:szCs w:val="21"/>
                <w:highlight w:val="none"/>
              </w:rPr>
              <w:t>计</w:t>
            </w:r>
          </w:p>
        </w:tc>
        <w:tc>
          <w:tcPr>
            <w:tcW w:w="334" w:type="pct"/>
            <w:vAlign w:val="center"/>
          </w:tcPr>
          <w:p w14:paraId="66D34045">
            <w:pPr>
              <w:autoSpaceDE w:val="0"/>
              <w:autoSpaceDN w:val="0"/>
              <w:adjustRightInd w:val="0"/>
              <w:snapToGrid w:val="0"/>
              <w:spacing w:line="240" w:lineRule="auto"/>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50</w:t>
            </w:r>
            <w:r>
              <w:rPr>
                <w:rFonts w:hint="eastAsia" w:asciiTheme="minorEastAsia" w:hAnsiTheme="minorEastAsia" w:eastAsiaTheme="minorEastAsia" w:cstheme="minorEastAsia"/>
                <w:color w:val="auto"/>
                <w:sz w:val="21"/>
                <w:szCs w:val="21"/>
                <w:highlight w:val="none"/>
              </w:rPr>
              <w:t>分</w:t>
            </w:r>
          </w:p>
        </w:tc>
      </w:tr>
    </w:tbl>
    <w:p w14:paraId="7E601ACB">
      <w:pPr>
        <w:keepNext w:val="0"/>
        <w:keepLines w:val="0"/>
        <w:pageBreakBefore w:val="0"/>
        <w:widowControl w:val="0"/>
        <w:kinsoku/>
        <w:wordWrap/>
        <w:overflowPunct/>
        <w:topLinePunct w:val="0"/>
        <w:autoSpaceDE w:val="0"/>
        <w:autoSpaceDN w:val="0"/>
        <w:bidi w:val="0"/>
        <w:adjustRightInd w:val="0"/>
        <w:snapToGrid w:val="0"/>
        <w:ind w:left="0" w:leftChars="0" w:firstLine="0" w:firstLineChars="0"/>
        <w:jc w:val="left"/>
        <w:textAlignment w:val="auto"/>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注：1</w:t>
      </w:r>
      <w:r>
        <w:rPr>
          <w:rFonts w:hint="eastAsia" w:cs="宋体" w:asciiTheme="minorEastAsia" w:hAnsiTheme="minorEastAsia" w:eastAsiaTheme="minorEastAsia"/>
          <w:color w:val="auto"/>
          <w:sz w:val="21"/>
          <w:szCs w:val="21"/>
          <w:highlight w:val="none"/>
          <w:lang w:val="en-US" w:eastAsia="zh-CN"/>
        </w:rPr>
        <w:t>.</w:t>
      </w:r>
      <w:r>
        <w:rPr>
          <w:rFonts w:hint="eastAsia" w:cs="宋体" w:asciiTheme="minorEastAsia" w:hAnsiTheme="minorEastAsia" w:eastAsiaTheme="minorEastAsia"/>
          <w:color w:val="auto"/>
          <w:sz w:val="21"/>
          <w:szCs w:val="21"/>
          <w:highlight w:val="none"/>
        </w:rPr>
        <w:t>本表评审依据要求的各项证明文件须编入投标文件。</w:t>
      </w:r>
    </w:p>
    <w:p w14:paraId="3516EB24">
      <w:pPr>
        <w:topLinePunct/>
        <w:adjustRightInd w:val="0"/>
        <w:snapToGrid w:val="0"/>
        <w:ind w:firstLine="482"/>
        <w:rPr>
          <w:rFonts w:hint="eastAsia" w:ascii="宋体" w:hAnsi="宋体" w:eastAsia="宋体"/>
          <w:b/>
          <w:bCs/>
          <w:color w:val="auto"/>
          <w:sz w:val="24"/>
          <w:highlight w:val="none"/>
          <w:lang w:val="en-US" w:eastAsia="zh-CN"/>
        </w:rPr>
      </w:pP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rPr>
        <w:t>表中要求提供相关证明文件的内容，投标文件中须明确加以说明并提供，未按要求提供相关文件或说明不清楚或</w:t>
      </w:r>
      <w:r>
        <w:rPr>
          <w:rFonts w:hint="eastAsia" w:cs="宋体" w:asciiTheme="minorEastAsia" w:hAnsiTheme="minorEastAsia" w:eastAsiaTheme="minorEastAsia"/>
          <w:color w:val="auto"/>
          <w:sz w:val="21"/>
          <w:szCs w:val="21"/>
          <w:highlight w:val="none"/>
          <w:lang w:eastAsia="zh-CN"/>
        </w:rPr>
        <w:t>评标委员会</w:t>
      </w:r>
      <w:r>
        <w:rPr>
          <w:rFonts w:hint="eastAsia" w:cs="宋体" w:asciiTheme="minorEastAsia" w:hAnsiTheme="minorEastAsia" w:eastAsiaTheme="minorEastAsia"/>
          <w:color w:val="auto"/>
          <w:sz w:val="21"/>
          <w:szCs w:val="21"/>
          <w:highlight w:val="none"/>
        </w:rPr>
        <w:t>无法凭所提供的材料判断是否得分的情况，一律作不得分处理。</w:t>
      </w:r>
    </w:p>
    <w:p w14:paraId="04F5A51A">
      <w:pPr>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br w:type="page"/>
      </w:r>
    </w:p>
    <w:p w14:paraId="7E08B8CA">
      <w:pPr>
        <w:topLinePunct/>
        <w:adjustRightInd w:val="0"/>
        <w:snapToGrid w:val="0"/>
        <w:ind w:firstLine="482"/>
        <w:rPr>
          <w:rFonts w:hint="eastAsia" w:ascii="宋体" w:hAnsi="宋体" w:eastAsia="宋体"/>
          <w:b/>
          <w:bCs/>
          <w:color w:val="auto"/>
          <w:sz w:val="24"/>
          <w:highlight w:val="none"/>
          <w:lang w:val="en-US" w:eastAsia="zh-CN"/>
        </w:rPr>
      </w:pPr>
      <w:r>
        <w:rPr>
          <w:rFonts w:hint="eastAsia" w:ascii="宋体" w:hAnsi="宋体" w:eastAsia="宋体"/>
          <w:b/>
          <w:bCs/>
          <w:color w:val="auto"/>
          <w:sz w:val="24"/>
          <w:highlight w:val="none"/>
          <w:lang w:val="en-US" w:eastAsia="zh-CN"/>
        </w:rPr>
        <w:t>3.价格标评审</w:t>
      </w:r>
    </w:p>
    <w:p w14:paraId="0E12A941">
      <w:pPr>
        <w:autoSpaceDE w:val="0"/>
        <w:autoSpaceDN w:val="0"/>
        <w:adjustRightInd w:val="0"/>
        <w:snapToGrid w:val="0"/>
        <w:ind w:firstLine="420"/>
        <w:jc w:val="left"/>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eastAsia="zh-CN"/>
        </w:rPr>
        <w:t>（</w:t>
      </w:r>
      <w:r>
        <w:rPr>
          <w:rFonts w:hint="eastAsia" w:cs="宋体" w:asciiTheme="minorEastAsia" w:hAnsiTheme="minorEastAsia" w:eastAsiaTheme="minorEastAsia"/>
          <w:color w:val="auto"/>
          <w:sz w:val="21"/>
          <w:szCs w:val="21"/>
          <w:highlight w:val="none"/>
          <w:lang w:val="en-US" w:eastAsia="zh-CN"/>
        </w:rPr>
        <w:t>1</w:t>
      </w:r>
      <w:r>
        <w:rPr>
          <w:rFonts w:hint="eastAsia" w:cs="宋体" w:asciiTheme="minorEastAsia" w:hAnsiTheme="minorEastAsia" w:eastAsiaTheme="minorEastAsia"/>
          <w:color w:val="auto"/>
          <w:sz w:val="21"/>
          <w:szCs w:val="21"/>
          <w:highlight w:val="none"/>
          <w:lang w:eastAsia="zh-CN"/>
        </w:rPr>
        <w:t>）</w:t>
      </w:r>
      <w:r>
        <w:rPr>
          <w:rFonts w:hint="eastAsia" w:cs="宋体" w:asciiTheme="minorEastAsia" w:hAnsiTheme="minorEastAsia" w:eastAsiaTheme="minorEastAsia"/>
          <w:color w:val="auto"/>
          <w:sz w:val="21"/>
          <w:szCs w:val="21"/>
          <w:highlight w:val="none"/>
        </w:rPr>
        <w:t>评标价格</w:t>
      </w:r>
    </w:p>
    <w:p w14:paraId="3E02BAEC">
      <w:pPr>
        <w:autoSpaceDE w:val="0"/>
        <w:autoSpaceDN w:val="0"/>
        <w:adjustRightInd w:val="0"/>
        <w:snapToGrid w:val="0"/>
        <w:ind w:firstLine="420"/>
        <w:jc w:val="left"/>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rPr>
        <w:t>投标文件存在投标报价问题的，进行投标报价的算术修正，投标报价算术修正按有利于招标人的原则进行，具体修正原则为：</w:t>
      </w:r>
    </w:p>
    <w:p w14:paraId="0C7F8252">
      <w:pPr>
        <w:autoSpaceDE w:val="0"/>
        <w:autoSpaceDN w:val="0"/>
        <w:adjustRightInd w:val="0"/>
        <w:snapToGrid w:val="0"/>
        <w:ind w:firstLine="420"/>
        <w:jc w:val="left"/>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val="en-US" w:eastAsia="zh-CN"/>
        </w:rPr>
        <w:t>①</w:t>
      </w:r>
      <w:r>
        <w:rPr>
          <w:rFonts w:hint="eastAsia" w:cs="宋体" w:asciiTheme="minorEastAsia" w:hAnsiTheme="minorEastAsia" w:eastAsiaTheme="minorEastAsia"/>
          <w:color w:val="auto"/>
          <w:sz w:val="21"/>
          <w:szCs w:val="21"/>
          <w:highlight w:val="none"/>
        </w:rPr>
        <w:t>若投标报价一览表中投标总价与投标文件中投标总价不一致，以投标报价一览表投标总价为准；</w:t>
      </w:r>
    </w:p>
    <w:p w14:paraId="106B7B6C">
      <w:pPr>
        <w:autoSpaceDE w:val="0"/>
        <w:autoSpaceDN w:val="0"/>
        <w:adjustRightInd w:val="0"/>
        <w:snapToGrid w:val="0"/>
        <w:ind w:firstLine="420"/>
        <w:jc w:val="left"/>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val="en-US" w:eastAsia="zh-CN"/>
        </w:rPr>
        <w:t>②</w:t>
      </w:r>
      <w:r>
        <w:rPr>
          <w:rFonts w:hint="eastAsia" w:cs="宋体" w:asciiTheme="minorEastAsia" w:hAnsiTheme="minorEastAsia" w:eastAsiaTheme="minorEastAsia"/>
          <w:color w:val="auto"/>
          <w:sz w:val="21"/>
          <w:szCs w:val="21"/>
          <w:highlight w:val="none"/>
        </w:rPr>
        <w:t>当小写金额与大写金额有差异时，以大写金额为准（有明显错误的除外）；</w:t>
      </w:r>
    </w:p>
    <w:p w14:paraId="0C87E62A">
      <w:pPr>
        <w:autoSpaceDE w:val="0"/>
        <w:autoSpaceDN w:val="0"/>
        <w:adjustRightInd w:val="0"/>
        <w:snapToGrid w:val="0"/>
        <w:ind w:firstLine="420"/>
        <w:jc w:val="left"/>
        <w:rPr>
          <w:rFonts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val="en-US" w:eastAsia="zh-CN"/>
        </w:rPr>
        <w:t>③</w:t>
      </w:r>
      <w:r>
        <w:rPr>
          <w:rFonts w:hint="eastAsia" w:cs="宋体" w:asciiTheme="minorEastAsia" w:hAnsiTheme="minorEastAsia" w:eastAsiaTheme="minorEastAsia"/>
          <w:color w:val="auto"/>
          <w:sz w:val="21"/>
          <w:szCs w:val="21"/>
          <w:highlight w:val="none"/>
        </w:rPr>
        <w:t>单价金额小数点有明显错位的，应以总价为准，并修改单价；</w:t>
      </w:r>
    </w:p>
    <w:p w14:paraId="298D29EA">
      <w:pPr>
        <w:autoSpaceDE w:val="0"/>
        <w:autoSpaceDN w:val="0"/>
        <w:adjustRightInd w:val="0"/>
        <w:snapToGrid w:val="0"/>
        <w:ind w:firstLine="420"/>
        <w:jc w:val="left"/>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val="en-US" w:eastAsia="zh-CN"/>
        </w:rPr>
        <w:t>④</w:t>
      </w:r>
      <w:r>
        <w:rPr>
          <w:rFonts w:hint="eastAsia" w:cs="宋体" w:asciiTheme="minorEastAsia" w:hAnsiTheme="minorEastAsia" w:eastAsiaTheme="minorEastAsia"/>
          <w:color w:val="auto"/>
          <w:sz w:val="21"/>
          <w:szCs w:val="21"/>
          <w:highlight w:val="none"/>
        </w:rPr>
        <w:t>投标报价为各分项报价金额之和，总价金额与依据单价计算出的结果不一致的，以有利于招标人的为准，即当单价与数量的乘积高于合价或总价时，以合价或总价为准调整单价；当单价与数量的乘积低于合价或总价时，以单价为准调整合价或总价，修正投标报价；如分项报价中存在缺漏项，则视为缺漏项的价格已包含在其他分项报价之中。投标人在投标截止时间前修改投标报价总额，应同时修改投标文件“分项报价表”中的相应报价。</w:t>
      </w:r>
    </w:p>
    <w:p w14:paraId="7866C46B">
      <w:pPr>
        <w:autoSpaceDE w:val="0"/>
        <w:autoSpaceDN w:val="0"/>
        <w:adjustRightInd w:val="0"/>
        <w:snapToGrid w:val="0"/>
        <w:ind w:firstLine="420"/>
        <w:jc w:val="left"/>
        <w:rPr>
          <w:rFonts w:hint="eastAsia" w:cs="宋体" w:asciiTheme="minorEastAsia" w:hAnsiTheme="minorEastAsia" w:eastAsiaTheme="minorEastAsia"/>
          <w:color w:val="auto"/>
          <w:sz w:val="21"/>
          <w:szCs w:val="21"/>
          <w:highlight w:val="none"/>
        </w:rPr>
      </w:pPr>
      <w:r>
        <w:rPr>
          <w:rFonts w:hint="eastAsia" w:cs="宋体" w:asciiTheme="minorEastAsia" w:hAnsiTheme="minorEastAsia" w:eastAsiaTheme="minorEastAsia"/>
          <w:color w:val="auto"/>
          <w:sz w:val="21"/>
          <w:szCs w:val="21"/>
          <w:highlight w:val="none"/>
          <w:lang w:eastAsia="zh-CN"/>
        </w:rPr>
        <w:t>（</w:t>
      </w:r>
      <w:r>
        <w:rPr>
          <w:rFonts w:hint="eastAsia" w:cs="宋体" w:asciiTheme="minorEastAsia" w:hAnsiTheme="minorEastAsia" w:eastAsiaTheme="minorEastAsia"/>
          <w:color w:val="auto"/>
          <w:sz w:val="21"/>
          <w:szCs w:val="21"/>
          <w:highlight w:val="none"/>
          <w:lang w:val="en-US" w:eastAsia="zh-CN"/>
        </w:rPr>
        <w:t>2</w:t>
      </w:r>
      <w:r>
        <w:rPr>
          <w:rFonts w:hint="eastAsia" w:cs="宋体" w:asciiTheme="minorEastAsia" w:hAnsiTheme="minorEastAsia" w:eastAsiaTheme="minorEastAsia"/>
          <w:color w:val="auto"/>
          <w:sz w:val="21"/>
          <w:szCs w:val="21"/>
          <w:highlight w:val="none"/>
          <w:lang w:eastAsia="zh-CN"/>
        </w:rPr>
        <w:t>）</w:t>
      </w:r>
      <w:r>
        <w:rPr>
          <w:rFonts w:hint="eastAsia" w:cs="宋体" w:asciiTheme="minorEastAsia" w:hAnsiTheme="minorEastAsia" w:eastAsiaTheme="minorEastAsia"/>
          <w:color w:val="auto"/>
          <w:sz w:val="21"/>
          <w:szCs w:val="21"/>
          <w:highlight w:val="none"/>
        </w:rPr>
        <w:t>合同金额以经修正后的投标报价为准，缺漏项部分由投标人自行承担。</w:t>
      </w:r>
    </w:p>
    <w:bookmarkEnd w:id="134"/>
    <w:tbl>
      <w:tblPr>
        <w:tblStyle w:val="53"/>
        <w:tblW w:w="0" w:type="auto"/>
        <w:tblInd w:w="16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97"/>
        <w:gridCol w:w="709"/>
        <w:gridCol w:w="1430"/>
        <w:gridCol w:w="5123"/>
      </w:tblGrid>
      <w:tr w14:paraId="160E1E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83" w:type="dxa"/>
            <w:vMerge w:val="restart"/>
            <w:noWrap w:val="0"/>
            <w:vAlign w:val="center"/>
          </w:tcPr>
          <w:p w14:paraId="54F3E2CB">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rPr>
            </w:pPr>
            <w:bookmarkStart w:id="197" w:name="_Toc403513554"/>
            <w:bookmarkStart w:id="198" w:name="_Toc12109"/>
            <w:bookmarkStart w:id="199" w:name="_Toc71877292"/>
            <w:bookmarkStart w:id="200" w:name="_Toc152045609"/>
            <w:bookmarkStart w:id="201" w:name="_Toc144974577"/>
            <w:bookmarkStart w:id="202" w:name="_Toc23489"/>
            <w:bookmarkStart w:id="203" w:name="_Toc152042387"/>
            <w:bookmarkStart w:id="204" w:name="_Toc444266755"/>
            <w:r>
              <w:rPr>
                <w:rFonts w:hint="eastAsia" w:ascii="宋体" w:hAnsi="宋体" w:eastAsia="宋体" w:cs="Times New Roman"/>
                <w:b/>
                <w:color w:val="auto"/>
                <w:sz w:val="21"/>
                <w:szCs w:val="21"/>
                <w:highlight w:val="none"/>
              </w:rPr>
              <w:t>投标</w:t>
            </w:r>
            <w:r>
              <w:rPr>
                <w:rFonts w:ascii="宋体" w:hAnsi="宋体" w:eastAsia="宋体" w:cs="Times New Roman"/>
                <w:b/>
                <w:color w:val="auto"/>
                <w:sz w:val="21"/>
                <w:szCs w:val="21"/>
                <w:highlight w:val="none"/>
              </w:rPr>
              <w:t>报价得分</w:t>
            </w:r>
          </w:p>
        </w:tc>
        <w:tc>
          <w:tcPr>
            <w:tcW w:w="7933" w:type="dxa"/>
            <w:gridSpan w:val="3"/>
            <w:noWrap w:val="0"/>
            <w:vAlign w:val="center"/>
          </w:tcPr>
          <w:p w14:paraId="2D99862D">
            <w:pPr>
              <w:widowControl w:val="0"/>
              <w:autoSpaceDE w:val="0"/>
              <w:autoSpaceDN w:val="0"/>
              <w:adjustRightInd w:val="0"/>
              <w:snapToGrid w:val="0"/>
              <w:ind w:firstLine="0" w:firstLineChars="0"/>
              <w:jc w:val="center"/>
              <w:rPr>
                <w:rFonts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基准价</w:t>
            </w:r>
            <w:r>
              <w:rPr>
                <w:rFonts w:ascii="宋体" w:hAnsi="宋体" w:eastAsia="宋体" w:cs="Times New Roman"/>
                <w:b/>
                <w:color w:val="auto"/>
                <w:sz w:val="21"/>
                <w:szCs w:val="21"/>
                <w:highlight w:val="none"/>
              </w:rPr>
              <w:t>和算法类型选择</w:t>
            </w:r>
          </w:p>
        </w:tc>
      </w:tr>
      <w:tr w14:paraId="2AB76B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90" w:hRule="atLeast"/>
        </w:trPr>
        <w:tc>
          <w:tcPr>
            <w:tcW w:w="1183" w:type="dxa"/>
            <w:vMerge w:val="continue"/>
            <w:noWrap w:val="0"/>
            <w:vAlign w:val="center"/>
          </w:tcPr>
          <w:p w14:paraId="32E11FA7">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p>
        </w:tc>
        <w:tc>
          <w:tcPr>
            <w:tcW w:w="745" w:type="dxa"/>
            <w:vMerge w:val="restart"/>
            <w:noWrap w:val="0"/>
            <w:vAlign w:val="center"/>
          </w:tcPr>
          <w:p w14:paraId="7B3B5259">
            <w:pPr>
              <w:widowControl w:val="0"/>
              <w:autoSpaceDE w:val="0"/>
              <w:autoSpaceDN w:val="0"/>
              <w:adjustRightInd w:val="0"/>
              <w:snapToGrid w:val="0"/>
              <w:ind w:firstLine="0" w:firstLineChars="0"/>
              <w:jc w:val="center"/>
              <w:rPr>
                <w:rFonts w:hint="eastAsia" w:ascii="宋体" w:hAnsi="宋体" w:eastAsia="宋体" w:cs="Times New Roman"/>
                <w:b/>
                <w:color w:val="auto"/>
                <w:sz w:val="21"/>
                <w:szCs w:val="21"/>
                <w:highlight w:val="none"/>
              </w:rPr>
            </w:pPr>
            <w:r>
              <w:rPr>
                <w:rFonts w:hint="eastAsia" w:ascii="宋体" w:hAnsi="宋体" w:eastAsia="宋体" w:cs="Times New Roman"/>
                <w:b/>
                <w:color w:val="auto"/>
                <w:sz w:val="21"/>
                <w:szCs w:val="21"/>
                <w:highlight w:val="none"/>
              </w:rPr>
              <w:t>算</w:t>
            </w:r>
            <w:r>
              <w:rPr>
                <w:rFonts w:ascii="宋体" w:hAnsi="宋体" w:eastAsia="宋体" w:cs="Times New Roman"/>
                <w:b/>
                <w:color w:val="auto"/>
                <w:sz w:val="21"/>
                <w:szCs w:val="21"/>
                <w:highlight w:val="none"/>
              </w:rPr>
              <w:t>法类型</w:t>
            </w:r>
          </w:p>
        </w:tc>
        <w:tc>
          <w:tcPr>
            <w:tcW w:w="1558" w:type="dxa"/>
            <w:noWrap w:val="0"/>
            <w:vAlign w:val="center"/>
          </w:tcPr>
          <w:p w14:paraId="7607E08A">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rPr>
              <w:t>固定乘积法</w:t>
            </w:r>
          </w:p>
        </w:tc>
        <w:tc>
          <w:tcPr>
            <w:tcW w:w="5630" w:type="dxa"/>
            <w:noWrap w:val="0"/>
            <w:vAlign w:val="center"/>
          </w:tcPr>
          <w:p w14:paraId="13E180DE">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基准价：</w:t>
            </w:r>
            <w:r>
              <w:rPr>
                <w:rFonts w:hint="eastAsia" w:ascii="宋体" w:hAnsi="宋体" w:eastAsia="宋体" w:cs="Times New Roman"/>
                <w:color w:val="auto"/>
                <w:sz w:val="21"/>
                <w:szCs w:val="21"/>
                <w:highlight w:val="none"/>
              </w:rPr>
              <w:t>□各有效</w:t>
            </w:r>
            <w:r>
              <w:rPr>
                <w:rFonts w:ascii="宋体" w:hAnsi="宋体" w:eastAsia="宋体" w:cs="Times New Roman"/>
                <w:color w:val="auto"/>
                <w:sz w:val="21"/>
                <w:szCs w:val="21"/>
                <w:highlight w:val="none"/>
              </w:rPr>
              <w:t>投</w:t>
            </w:r>
            <w:r>
              <w:rPr>
                <w:rFonts w:hint="eastAsia" w:ascii="宋体" w:hAnsi="宋体" w:eastAsia="宋体" w:cs="Times New Roman"/>
                <w:color w:val="auto"/>
                <w:sz w:val="21"/>
                <w:szCs w:val="21"/>
                <w:highlight w:val="none"/>
              </w:rPr>
              <w:t>标报价大于n家时，去掉一个最高和最低报价后的算术平均值乘以</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w:t>
            </w:r>
          </w:p>
          <w:p w14:paraId="263BB4B6">
            <w:pPr>
              <w:widowControl w:val="0"/>
              <w:autoSpaceDE w:val="0"/>
              <w:autoSpaceDN w:val="0"/>
              <w:adjustRightInd w:val="0"/>
              <w:snapToGrid w:val="0"/>
              <w:ind w:firstLine="0" w:firstLineChars="0"/>
              <w:rPr>
                <w:rFonts w:ascii="宋体" w:hAnsi="宋体" w:eastAsia="宋体" w:cs="Times New Roman"/>
                <w:color w:val="auto"/>
                <w:sz w:val="21"/>
                <w:szCs w:val="21"/>
                <w:highlight w:val="none"/>
                <w:u w:val="single"/>
              </w:rPr>
            </w:pPr>
            <w:r>
              <w:rPr>
                <w:rFonts w:hint="eastAsia" w:ascii="宋体" w:hAnsi="宋体" w:eastAsia="宋体" w:cs="Times New Roman"/>
                <w:color w:val="auto"/>
                <w:sz w:val="21"/>
                <w:szCs w:val="21"/>
                <w:highlight w:val="none"/>
              </w:rPr>
              <w:t>当有效投标报价少于n（含）家时，则以所有有效投标报价的算术平均值乘以</w:t>
            </w:r>
            <w:r>
              <w:rPr>
                <w:rFonts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％。n=</w:t>
            </w:r>
            <w:r>
              <w:rPr>
                <w:rFonts w:ascii="宋体" w:hAnsi="宋体" w:eastAsia="宋体" w:cs="Times New Roman"/>
                <w:color w:val="auto"/>
                <w:sz w:val="21"/>
                <w:szCs w:val="21"/>
                <w:highlight w:val="none"/>
                <w:u w:val="single"/>
              </w:rPr>
              <w:t xml:space="preserve">    </w:t>
            </w:r>
          </w:p>
          <w:p w14:paraId="1315802A">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lang w:eastAsia="zh-CN"/>
              </w:rPr>
              <w:t>☑</w:t>
            </w:r>
            <w:r>
              <w:rPr>
                <w:rFonts w:hint="eastAsia" w:ascii="宋体" w:hAnsi="宋体" w:eastAsia="宋体" w:cs="Times New Roman"/>
                <w:b/>
                <w:bCs/>
                <w:color w:val="auto"/>
                <w:sz w:val="21"/>
                <w:szCs w:val="21"/>
                <w:highlight w:val="none"/>
              </w:rPr>
              <w:t>取有效投标报价算术平均值，并对算数平均值下浮</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5</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rPr>
              <w:t>％</w:t>
            </w:r>
          </w:p>
          <w:p w14:paraId="0FC71DA0">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□有效投标报价的最低价为基价</w:t>
            </w:r>
          </w:p>
          <w:p w14:paraId="1EF4F660">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价格得分=（1-</w:t>
            </w:r>
            <w:r>
              <w:rPr>
                <w:rFonts w:ascii="宋体" w:hAnsi="宋体" w:eastAsia="宋体" w:cs="Times New Roman"/>
                <w:color w:val="auto"/>
                <w:sz w:val="21"/>
                <w:szCs w:val="21"/>
                <w:highlight w:val="none"/>
              </w:rPr>
              <w:t>A</w:t>
            </w:r>
            <w:r>
              <w:rPr>
                <w:rFonts w:hint="eastAsia" w:ascii="宋体" w:hAnsi="宋体" w:eastAsia="宋体" w:cs="Times New Roman"/>
                <w:color w:val="auto"/>
                <w:sz w:val="21"/>
                <w:szCs w:val="21"/>
                <w:highlight w:val="none"/>
              </w:rPr>
              <w:t>×｜1-投标报价/Z｜）×M</w:t>
            </w:r>
          </w:p>
          <w:p w14:paraId="6B7396C6">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ascii="宋体" w:hAnsi="宋体" w:eastAsia="宋体" w:cs="Times New Roman"/>
                <w:b/>
                <w:bCs/>
                <w:color w:val="auto"/>
                <w:sz w:val="21"/>
                <w:szCs w:val="21"/>
                <w:highlight w:val="none"/>
              </w:rPr>
              <w:t>1</w:t>
            </w:r>
            <w:r>
              <w:rPr>
                <w:rFonts w:hint="eastAsia" w:ascii="宋体" w:hAnsi="宋体" w:eastAsia="宋体" w:cs="Times New Roman"/>
                <w:b/>
                <w:bCs/>
                <w:color w:val="auto"/>
                <w:sz w:val="21"/>
                <w:szCs w:val="21"/>
                <w:highlight w:val="none"/>
              </w:rPr>
              <w:t>、M=</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50 </w:t>
            </w:r>
            <w:r>
              <w:rPr>
                <w:rFonts w:hint="eastAsia" w:ascii="宋体" w:hAnsi="宋体" w:eastAsia="宋体" w:cs="Times New Roman"/>
                <w:b/>
                <w:bCs/>
                <w:color w:val="auto"/>
                <w:sz w:val="21"/>
                <w:szCs w:val="21"/>
                <w:highlight w:val="none"/>
              </w:rPr>
              <w:t>（价格评价分项满分值），Z为本次招标最佳报价（即基准价）；</w:t>
            </w:r>
          </w:p>
          <w:p w14:paraId="5127EBA5">
            <w:pPr>
              <w:widowControl w:val="0"/>
              <w:autoSpaceDE w:val="0"/>
              <w:autoSpaceDN w:val="0"/>
              <w:adjustRightInd w:val="0"/>
              <w:snapToGrid w:val="0"/>
              <w:ind w:firstLine="0" w:firstLineChars="0"/>
              <w:rPr>
                <w:rFonts w:hint="eastAsia" w:ascii="宋体" w:hAnsi="宋体" w:eastAsia="宋体" w:cs="Times New Roman"/>
                <w:b/>
                <w:bCs/>
                <w:color w:val="auto"/>
                <w:sz w:val="21"/>
                <w:szCs w:val="21"/>
                <w:highlight w:val="none"/>
              </w:rPr>
            </w:pPr>
            <w:r>
              <w:rPr>
                <w:rFonts w:hint="eastAsia" w:ascii="宋体" w:hAnsi="宋体" w:eastAsia="宋体" w:cs="Times New Roman"/>
                <w:b/>
                <w:bCs/>
                <w:color w:val="auto"/>
                <w:sz w:val="21"/>
                <w:szCs w:val="21"/>
                <w:highlight w:val="none"/>
              </w:rPr>
              <w:t>2、A为价格调整系数，当投标报价低于本次招标最佳报价（即基准价）时，A=</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0.5</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rPr>
              <w:t>；当</w:t>
            </w:r>
            <w:r>
              <w:rPr>
                <w:rFonts w:ascii="宋体" w:hAnsi="宋体" w:eastAsia="宋体" w:cs="Times New Roman"/>
                <w:b/>
                <w:bCs/>
                <w:color w:val="auto"/>
                <w:sz w:val="21"/>
                <w:szCs w:val="21"/>
                <w:highlight w:val="none"/>
              </w:rPr>
              <w:t>投标报价</w:t>
            </w:r>
            <w:r>
              <w:rPr>
                <w:rFonts w:hint="eastAsia" w:ascii="宋体" w:hAnsi="宋体" w:eastAsia="宋体" w:cs="Times New Roman"/>
                <w:b/>
                <w:bCs/>
                <w:color w:val="auto"/>
                <w:sz w:val="21"/>
                <w:szCs w:val="21"/>
                <w:highlight w:val="none"/>
              </w:rPr>
              <w:t>高于次招标最佳报价时，取A=</w:t>
            </w:r>
            <w:r>
              <w:rPr>
                <w:rFonts w:ascii="宋体" w:hAnsi="宋体" w:eastAsia="宋体" w:cs="Times New Roman"/>
                <w:b/>
                <w:bCs/>
                <w:color w:val="auto"/>
                <w:sz w:val="21"/>
                <w:szCs w:val="21"/>
                <w:highlight w:val="none"/>
                <w:u w:val="single"/>
              </w:rPr>
              <w:t xml:space="preserve"> </w:t>
            </w:r>
            <w:r>
              <w:rPr>
                <w:rFonts w:hint="eastAsia" w:ascii="宋体" w:hAnsi="宋体" w:eastAsia="宋体" w:cs="Times New Roman"/>
                <w:b/>
                <w:bCs/>
                <w:color w:val="auto"/>
                <w:sz w:val="21"/>
                <w:szCs w:val="21"/>
                <w:highlight w:val="none"/>
                <w:u w:val="single"/>
                <w:lang w:val="en-US" w:eastAsia="zh-CN"/>
              </w:rPr>
              <w:t xml:space="preserve">1 </w:t>
            </w:r>
            <w:r>
              <w:rPr>
                <w:rFonts w:hint="eastAsia" w:ascii="宋体" w:hAnsi="宋体" w:eastAsia="宋体" w:cs="Times New Roman"/>
                <w:b/>
                <w:bCs/>
                <w:color w:val="auto"/>
                <w:sz w:val="21"/>
                <w:szCs w:val="21"/>
                <w:highlight w:val="none"/>
              </w:rPr>
              <w:t>；</w:t>
            </w:r>
          </w:p>
          <w:p w14:paraId="73CFC7A4">
            <w:pPr>
              <w:widowControl w:val="0"/>
              <w:autoSpaceDE w:val="0"/>
              <w:autoSpaceDN w:val="0"/>
              <w:adjustRightInd w:val="0"/>
              <w:snapToGrid w:val="0"/>
              <w:ind w:firstLine="0" w:firstLineChars="0"/>
              <w:rPr>
                <w:rFonts w:ascii="宋体" w:hAnsi="宋体" w:eastAsia="宋体" w:cs="Times New Roman"/>
                <w:color w:val="auto"/>
                <w:sz w:val="21"/>
                <w:szCs w:val="21"/>
                <w:highlight w:val="none"/>
              </w:rPr>
            </w:pPr>
            <w:r>
              <w:rPr>
                <w:rFonts w:hint="eastAsia" w:ascii="宋体" w:hAnsi="宋体" w:eastAsia="宋体" w:cs="Times New Roman"/>
                <w:b/>
                <w:bCs/>
                <w:color w:val="auto"/>
                <w:sz w:val="21"/>
                <w:szCs w:val="21"/>
                <w:highlight w:val="none"/>
              </w:rPr>
              <w:t>3、计算分数时四舍五入取小数点后两位，当价格分＜0时，取0。</w:t>
            </w:r>
          </w:p>
        </w:tc>
      </w:tr>
      <w:tr w14:paraId="43060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1183" w:type="dxa"/>
            <w:vMerge w:val="continue"/>
            <w:noWrap w:val="0"/>
            <w:vAlign w:val="center"/>
          </w:tcPr>
          <w:p w14:paraId="2472E481">
            <w:pPr>
              <w:widowControl w:val="0"/>
              <w:autoSpaceDE w:val="0"/>
              <w:autoSpaceDN w:val="0"/>
              <w:adjustRightInd w:val="0"/>
              <w:snapToGrid w:val="0"/>
              <w:ind w:firstLine="0" w:firstLineChars="0"/>
              <w:rPr>
                <w:rFonts w:hint="eastAsia" w:ascii="宋体" w:hAnsi="宋体" w:eastAsia="宋体" w:cs="Times New Roman"/>
                <w:color w:val="auto"/>
                <w:sz w:val="21"/>
                <w:szCs w:val="21"/>
                <w:highlight w:val="none"/>
              </w:rPr>
            </w:pPr>
          </w:p>
        </w:tc>
        <w:tc>
          <w:tcPr>
            <w:tcW w:w="745" w:type="dxa"/>
            <w:vMerge w:val="continue"/>
            <w:noWrap w:val="0"/>
            <w:vAlign w:val="center"/>
          </w:tcPr>
          <w:p w14:paraId="2332F976">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p>
        </w:tc>
        <w:tc>
          <w:tcPr>
            <w:tcW w:w="1558" w:type="dxa"/>
            <w:noWrap w:val="0"/>
            <w:vAlign w:val="center"/>
          </w:tcPr>
          <w:p w14:paraId="43616884">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r>
              <w:rPr>
                <w:rFonts w:hint="eastAsia" w:ascii="宋体" w:hAnsi="宋体" w:eastAsia="宋体" w:cs="Times New Roman"/>
                <w:color w:val="auto"/>
                <w:sz w:val="21"/>
                <w:szCs w:val="21"/>
                <w:highlight w:val="none"/>
              </w:rPr>
              <w:t>□其他</w:t>
            </w:r>
            <w:r>
              <w:rPr>
                <w:rFonts w:ascii="宋体" w:hAnsi="宋体" w:eastAsia="宋体" w:cs="Times New Roman"/>
                <w:color w:val="auto"/>
                <w:sz w:val="21"/>
                <w:szCs w:val="21"/>
                <w:highlight w:val="none"/>
              </w:rPr>
              <w:t>方法</w:t>
            </w:r>
          </w:p>
        </w:tc>
        <w:tc>
          <w:tcPr>
            <w:tcW w:w="5630" w:type="dxa"/>
            <w:noWrap w:val="0"/>
            <w:vAlign w:val="center"/>
          </w:tcPr>
          <w:p w14:paraId="701D8818">
            <w:pPr>
              <w:widowControl w:val="0"/>
              <w:autoSpaceDE w:val="0"/>
              <w:autoSpaceDN w:val="0"/>
              <w:adjustRightInd w:val="0"/>
              <w:snapToGrid w:val="0"/>
              <w:ind w:firstLine="0" w:firstLineChars="0"/>
              <w:rPr>
                <w:rFonts w:ascii="Times New Roman" w:hAnsi="Times New Roman" w:eastAsia="宋体" w:cs="Times New Roman"/>
                <w:color w:val="auto"/>
                <w:sz w:val="21"/>
                <w:highlight w:val="none"/>
              </w:rPr>
            </w:pPr>
          </w:p>
        </w:tc>
      </w:tr>
      <w:tr w14:paraId="17EF6B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9116" w:type="dxa"/>
            <w:gridSpan w:val="4"/>
            <w:noWrap w:val="0"/>
            <w:vAlign w:val="center"/>
          </w:tcPr>
          <w:p w14:paraId="71E1880F">
            <w:pPr>
              <w:widowControl w:val="0"/>
              <w:autoSpaceDE w:val="0"/>
              <w:autoSpaceDN w:val="0"/>
              <w:adjustRightInd w:val="0"/>
              <w:snapToGrid w:val="0"/>
              <w:ind w:firstLine="0" w:firstLineChars="0"/>
              <w:rPr>
                <w:rFonts w:ascii="Times New Roman" w:hAnsi="Times New Roman" w:eastAsia="宋体" w:cs="Times New Roman"/>
                <w:sz w:val="21"/>
                <w:highlight w:val="none"/>
              </w:rPr>
            </w:pPr>
            <w:r>
              <w:rPr>
                <w:rFonts w:hint="eastAsia" w:ascii="宋体" w:hAnsi="宋体" w:eastAsia="宋体" w:cs="Times New Roman"/>
                <w:sz w:val="21"/>
                <w:szCs w:val="21"/>
                <w:highlight w:val="none"/>
              </w:rPr>
              <w:t>注：未通过初步评审的投标人的价格得分计算：未通过初步评审的投标人，不计算价格得分。</w:t>
            </w:r>
          </w:p>
        </w:tc>
      </w:tr>
    </w:tbl>
    <w:p w14:paraId="418E5FCE">
      <w:pPr>
        <w:topLinePunct/>
        <w:adjustRightInd w:val="0"/>
        <w:snapToGrid w:val="0"/>
        <w:ind w:firstLine="482"/>
        <w:rPr>
          <w:rFonts w:hint="eastAsia" w:ascii="宋体" w:hAnsi="宋体" w:eastAsia="宋体"/>
          <w:b/>
          <w:bCs/>
          <w:sz w:val="24"/>
          <w:highlight w:val="none"/>
          <w:lang w:val="en-US" w:eastAsia="zh-CN"/>
        </w:rPr>
      </w:pPr>
      <w:r>
        <w:rPr>
          <w:rFonts w:hint="eastAsia" w:ascii="宋体" w:hAnsi="宋体" w:eastAsia="宋体" w:cs="Times New Roman"/>
          <w:color w:val="auto"/>
          <w:sz w:val="32"/>
          <w:szCs w:val="32"/>
          <w:highlight w:val="none"/>
        </w:rPr>
        <w:br w:type="page"/>
      </w:r>
      <w:r>
        <w:rPr>
          <w:rFonts w:hint="eastAsia" w:ascii="宋体" w:hAnsi="宋体" w:eastAsia="宋体"/>
          <w:b/>
          <w:bCs/>
          <w:sz w:val="24"/>
          <w:highlight w:val="none"/>
          <w:lang w:val="en-US" w:eastAsia="zh-CN"/>
        </w:rPr>
        <w:t>4.资信技术标、价格标得分汇总:</w:t>
      </w:r>
    </w:p>
    <w:tbl>
      <w:tblPr>
        <w:tblStyle w:val="53"/>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3208"/>
        <w:gridCol w:w="3080"/>
      </w:tblGrid>
      <w:tr w14:paraId="569B8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8528" w:type="dxa"/>
            <w:gridSpan w:val="3"/>
            <w:shd w:val="clear" w:color="auto" w:fill="D9E2F3"/>
            <w:noWrap w:val="0"/>
            <w:vAlign w:val="center"/>
          </w:tcPr>
          <w:p w14:paraId="4ED6690E">
            <w:pPr>
              <w:widowControl w:val="0"/>
              <w:autoSpaceDE w:val="0"/>
              <w:autoSpaceDN w:val="0"/>
              <w:adjustRightInd w:val="0"/>
              <w:snapToGrid w:val="0"/>
              <w:ind w:firstLine="0" w:firstLineChars="0"/>
              <w:jc w:val="center"/>
              <w:rPr>
                <w:rFonts w:hint="eastAsia" w:ascii="宋体" w:hAnsi="宋体" w:eastAsia="宋体" w:cs="Times New Roman"/>
                <w:b/>
                <w:sz w:val="21"/>
                <w:szCs w:val="21"/>
                <w:highlight w:val="none"/>
              </w:rPr>
            </w:pPr>
            <w:r>
              <w:rPr>
                <w:rFonts w:hint="eastAsia" w:ascii="宋体" w:hAnsi="宋体" w:eastAsia="宋体" w:cs="Times New Roman"/>
                <w:b/>
                <w:sz w:val="21"/>
                <w:szCs w:val="21"/>
                <w:highlight w:val="none"/>
              </w:rPr>
              <w:t>《</w:t>
            </w: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rPr>
              <w:t>技术标、</w:t>
            </w:r>
            <w:r>
              <w:rPr>
                <w:rFonts w:hint="eastAsia" w:ascii="宋体" w:hAnsi="宋体" w:eastAsia="宋体" w:cs="Times New Roman"/>
                <w:b/>
                <w:sz w:val="21"/>
                <w:szCs w:val="21"/>
                <w:highlight w:val="none"/>
                <w:lang w:eastAsia="zh-CN"/>
              </w:rPr>
              <w:t>价格</w:t>
            </w:r>
            <w:r>
              <w:rPr>
                <w:rFonts w:hint="eastAsia" w:ascii="宋体" w:hAnsi="宋体" w:eastAsia="宋体" w:cs="Times New Roman"/>
                <w:b/>
                <w:sz w:val="21"/>
                <w:szCs w:val="21"/>
                <w:highlight w:val="none"/>
              </w:rPr>
              <w:t>标综合得分汇总》</w:t>
            </w:r>
          </w:p>
        </w:tc>
      </w:tr>
      <w:tr w14:paraId="1DF4F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 w:hRule="atLeast"/>
          <w:jc w:val="center"/>
        </w:trPr>
        <w:tc>
          <w:tcPr>
            <w:tcW w:w="2240" w:type="dxa"/>
            <w:noWrap w:val="0"/>
            <w:vAlign w:val="center"/>
          </w:tcPr>
          <w:p w14:paraId="19531E59">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rPr>
              <w:t>权重名称</w:t>
            </w:r>
          </w:p>
        </w:tc>
        <w:tc>
          <w:tcPr>
            <w:tcW w:w="3208" w:type="dxa"/>
            <w:noWrap w:val="0"/>
            <w:vAlign w:val="center"/>
          </w:tcPr>
          <w:p w14:paraId="08D33011">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eastAsia="zh-CN"/>
              </w:rPr>
              <w:t>资信</w:t>
            </w:r>
            <w:r>
              <w:rPr>
                <w:rFonts w:hint="eastAsia" w:ascii="宋体" w:hAnsi="宋体" w:eastAsia="宋体" w:cs="Times New Roman"/>
                <w:b/>
                <w:sz w:val="21"/>
                <w:szCs w:val="21"/>
                <w:highlight w:val="none"/>
                <w:lang w:val="en-US" w:eastAsia="zh-CN"/>
              </w:rPr>
              <w:t>技术</w:t>
            </w:r>
            <w:r>
              <w:rPr>
                <w:rFonts w:hint="eastAsia" w:ascii="宋体" w:hAnsi="宋体" w:eastAsia="宋体" w:cs="Times New Roman"/>
                <w:b/>
                <w:sz w:val="21"/>
                <w:szCs w:val="21"/>
                <w:highlight w:val="none"/>
              </w:rPr>
              <w:t>标得分</w:t>
            </w:r>
          </w:p>
        </w:tc>
        <w:tc>
          <w:tcPr>
            <w:tcW w:w="3080" w:type="dxa"/>
            <w:noWrap w:val="0"/>
            <w:vAlign w:val="center"/>
          </w:tcPr>
          <w:p w14:paraId="5820832F">
            <w:pPr>
              <w:widowControl w:val="0"/>
              <w:autoSpaceDE w:val="0"/>
              <w:autoSpaceDN w:val="0"/>
              <w:adjustRightInd w:val="0"/>
              <w:snapToGrid w:val="0"/>
              <w:ind w:firstLine="0" w:firstLineChars="0"/>
              <w:jc w:val="center"/>
              <w:rPr>
                <w:rFonts w:ascii="宋体" w:hAnsi="宋体" w:eastAsia="宋体" w:cs="Times New Roman"/>
                <w:b/>
                <w:sz w:val="21"/>
                <w:szCs w:val="21"/>
                <w:highlight w:val="none"/>
              </w:rPr>
            </w:pPr>
            <w:r>
              <w:rPr>
                <w:rFonts w:hint="eastAsia" w:ascii="宋体" w:hAnsi="宋体" w:eastAsia="宋体" w:cs="Times New Roman"/>
                <w:b/>
                <w:sz w:val="21"/>
                <w:szCs w:val="21"/>
                <w:highlight w:val="none"/>
                <w:lang w:val="en-US" w:eastAsia="zh-CN"/>
              </w:rPr>
              <w:t>价格</w:t>
            </w:r>
            <w:r>
              <w:rPr>
                <w:rFonts w:hint="eastAsia" w:ascii="宋体" w:hAnsi="宋体" w:eastAsia="宋体" w:cs="Times New Roman"/>
                <w:b/>
                <w:sz w:val="21"/>
                <w:szCs w:val="21"/>
                <w:highlight w:val="none"/>
              </w:rPr>
              <w:t>标得分</w:t>
            </w:r>
          </w:p>
        </w:tc>
      </w:tr>
      <w:tr w14:paraId="7BE0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2240" w:type="dxa"/>
            <w:noWrap w:val="0"/>
            <w:vAlign w:val="center"/>
          </w:tcPr>
          <w:p w14:paraId="6CFD57C0">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总分</w:t>
            </w:r>
          </w:p>
        </w:tc>
        <w:tc>
          <w:tcPr>
            <w:tcW w:w="3208" w:type="dxa"/>
            <w:noWrap w:val="0"/>
            <w:vAlign w:val="center"/>
          </w:tcPr>
          <w:p w14:paraId="0ED3D23D">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50</w:t>
            </w:r>
            <w:r>
              <w:rPr>
                <w:rFonts w:hint="eastAsia" w:ascii="宋体" w:hAnsi="宋体" w:eastAsia="宋体" w:cs="Times New Roman"/>
                <w:color w:val="auto"/>
                <w:sz w:val="21"/>
                <w:szCs w:val="21"/>
                <w:highlight w:val="none"/>
              </w:rPr>
              <w:t>分</w:t>
            </w:r>
          </w:p>
        </w:tc>
        <w:tc>
          <w:tcPr>
            <w:tcW w:w="3080" w:type="dxa"/>
            <w:noWrap w:val="0"/>
            <w:vAlign w:val="center"/>
          </w:tcPr>
          <w:p w14:paraId="4E67CBCB">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val="en-US" w:eastAsia="zh-CN"/>
              </w:rPr>
              <w:t>50</w:t>
            </w:r>
            <w:r>
              <w:rPr>
                <w:rFonts w:hint="eastAsia" w:ascii="宋体" w:hAnsi="宋体" w:eastAsia="宋体" w:cs="Times New Roman"/>
                <w:color w:val="auto"/>
                <w:sz w:val="21"/>
                <w:szCs w:val="21"/>
                <w:highlight w:val="none"/>
              </w:rPr>
              <w:t>分</w:t>
            </w:r>
          </w:p>
        </w:tc>
      </w:tr>
      <w:tr w14:paraId="0926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2240" w:type="dxa"/>
            <w:noWrap w:val="0"/>
            <w:vAlign w:val="center"/>
          </w:tcPr>
          <w:p w14:paraId="1D68E566">
            <w:pPr>
              <w:widowControl w:val="0"/>
              <w:autoSpaceDE w:val="0"/>
              <w:autoSpaceDN w:val="0"/>
              <w:adjustRightInd w:val="0"/>
              <w:snapToGrid w:val="0"/>
              <w:ind w:firstLine="0" w:firstLineChars="0"/>
              <w:jc w:val="center"/>
              <w:rPr>
                <w:rFonts w:ascii="宋体" w:hAnsi="宋体" w:eastAsia="宋体" w:cs="Times New Roman"/>
                <w:sz w:val="21"/>
                <w:szCs w:val="21"/>
                <w:highlight w:val="none"/>
              </w:rPr>
            </w:pPr>
            <w:r>
              <w:rPr>
                <w:rFonts w:hint="eastAsia" w:ascii="宋体" w:hAnsi="宋体" w:eastAsia="宋体" w:cs="Times New Roman"/>
                <w:sz w:val="21"/>
                <w:szCs w:val="21"/>
                <w:highlight w:val="none"/>
              </w:rPr>
              <w:t>投标人综合得分</w:t>
            </w:r>
          </w:p>
        </w:tc>
        <w:tc>
          <w:tcPr>
            <w:tcW w:w="6288" w:type="dxa"/>
            <w:gridSpan w:val="2"/>
            <w:noWrap w:val="0"/>
            <w:vAlign w:val="center"/>
          </w:tcPr>
          <w:p w14:paraId="1EDA7311">
            <w:pPr>
              <w:widowControl w:val="0"/>
              <w:autoSpaceDE w:val="0"/>
              <w:autoSpaceDN w:val="0"/>
              <w:adjustRightInd w:val="0"/>
              <w:snapToGrid w:val="0"/>
              <w:ind w:firstLine="0" w:firstLineChars="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lang w:eastAsia="zh-CN"/>
              </w:rPr>
              <w:t>资信</w:t>
            </w:r>
            <w:r>
              <w:rPr>
                <w:rFonts w:hint="eastAsia" w:ascii="宋体" w:hAnsi="宋体" w:eastAsia="宋体" w:cs="Times New Roman"/>
                <w:color w:val="auto"/>
                <w:sz w:val="21"/>
                <w:szCs w:val="21"/>
                <w:highlight w:val="none"/>
              </w:rPr>
              <w:t>技术标得分+价格标得分=100</w:t>
            </w:r>
          </w:p>
        </w:tc>
      </w:tr>
    </w:tbl>
    <w:p w14:paraId="7A9F6D3B">
      <w:pPr>
        <w:rPr>
          <w:rFonts w:hint="eastAsia" w:ascii="宋体" w:hAnsi="宋体" w:eastAsia="宋体" w:cs="Times New Roman"/>
          <w:color w:val="auto"/>
          <w:sz w:val="32"/>
          <w:szCs w:val="32"/>
          <w:highlight w:val="none"/>
        </w:rPr>
      </w:pPr>
    </w:p>
    <w:p w14:paraId="1102299A">
      <w:pPr>
        <w:rPr>
          <w:rFonts w:hint="eastAsia" w:ascii="宋体" w:hAnsi="宋体" w:eastAsia="宋体" w:cs="Times New Roman"/>
          <w:color w:val="auto"/>
          <w:sz w:val="32"/>
          <w:szCs w:val="32"/>
          <w:highlight w:val="none"/>
        </w:rPr>
      </w:pPr>
      <w:r>
        <w:rPr>
          <w:rFonts w:hint="eastAsia" w:ascii="宋体" w:hAnsi="宋体" w:eastAsia="宋体" w:cs="Times New Roman"/>
          <w:color w:val="auto"/>
          <w:sz w:val="32"/>
          <w:szCs w:val="32"/>
          <w:highlight w:val="none"/>
        </w:rPr>
        <w:br w:type="page"/>
      </w:r>
    </w:p>
    <w:p w14:paraId="20933C59">
      <w:pPr>
        <w:pStyle w:val="2"/>
        <w:spacing w:line="360" w:lineRule="auto"/>
        <w:ind w:left="0"/>
        <w:jc w:val="center"/>
        <w:rPr>
          <w:rFonts w:hint="eastAsia" w:ascii="宋体" w:hAnsi="宋体" w:eastAsia="宋体" w:cs="宋体"/>
          <w:b/>
          <w:bCs/>
          <w:color w:val="auto"/>
          <w:sz w:val="32"/>
          <w:szCs w:val="32"/>
          <w:highlight w:val="none"/>
        </w:rPr>
      </w:pPr>
      <w:r>
        <w:rPr>
          <w:rFonts w:hint="eastAsia" w:ascii="宋体" w:hAnsi="宋体" w:eastAsia="宋体" w:cs="Times New Roman"/>
          <w:color w:val="auto"/>
          <w:sz w:val="32"/>
          <w:szCs w:val="32"/>
          <w:highlight w:val="none"/>
        </w:rPr>
        <w:t>第四</w:t>
      </w:r>
      <w:r>
        <w:rPr>
          <w:rFonts w:hint="eastAsia" w:ascii="宋体" w:hAnsi="宋体" w:eastAsia="宋体" w:cs="Times New Roman"/>
          <w:color w:val="auto"/>
          <w:sz w:val="32"/>
          <w:szCs w:val="32"/>
          <w:highlight w:val="none"/>
          <w:lang w:val="en-US" w:eastAsia="zh-CN"/>
        </w:rPr>
        <w:t>章</w:t>
      </w:r>
      <w:r>
        <w:rPr>
          <w:rFonts w:hint="eastAsia" w:ascii="宋体" w:hAnsi="宋体" w:eastAsia="宋体" w:cs="Times New Roman"/>
          <w:color w:val="auto"/>
          <w:sz w:val="32"/>
          <w:szCs w:val="32"/>
          <w:highlight w:val="none"/>
        </w:rPr>
        <w:t xml:space="preserve"> </w:t>
      </w:r>
      <w:r>
        <w:rPr>
          <w:rFonts w:hint="eastAsia" w:ascii="宋体" w:hAnsi="宋体" w:eastAsia="宋体" w:cs="Times New Roman"/>
          <w:color w:val="auto"/>
          <w:sz w:val="32"/>
          <w:szCs w:val="32"/>
          <w:highlight w:val="none"/>
          <w:lang w:val="en-US" w:eastAsia="zh-CN"/>
        </w:rPr>
        <w:t xml:space="preserve"> </w:t>
      </w:r>
      <w:r>
        <w:rPr>
          <w:rFonts w:hint="eastAsia" w:ascii="宋体" w:hAnsi="宋体" w:eastAsia="宋体" w:cs="Times New Roman"/>
          <w:color w:val="auto"/>
          <w:sz w:val="32"/>
          <w:szCs w:val="32"/>
          <w:highlight w:val="none"/>
        </w:rPr>
        <w:t>合同条款及格式</w:t>
      </w:r>
      <w:bookmarkEnd w:id="197"/>
      <w:bookmarkEnd w:id="198"/>
      <w:bookmarkEnd w:id="199"/>
      <w:bookmarkEnd w:id="200"/>
      <w:bookmarkEnd w:id="201"/>
      <w:bookmarkEnd w:id="202"/>
      <w:bookmarkEnd w:id="203"/>
      <w:bookmarkStart w:id="205" w:name="_Toc527648069"/>
      <w:bookmarkStart w:id="206" w:name="_Toc14102"/>
      <w:bookmarkStart w:id="207" w:name="_Toc467160438"/>
      <w:bookmarkStart w:id="208" w:name="_Toc466900755"/>
      <w:bookmarkStart w:id="209" w:name="_Toc406669470"/>
      <w:bookmarkStart w:id="210" w:name="_Toc466900417"/>
      <w:bookmarkStart w:id="211" w:name="_Toc403513619"/>
      <w:bookmarkStart w:id="212" w:name="_Toc527043685"/>
    </w:p>
    <w:p w14:paraId="21ACD403">
      <w:pPr>
        <w:tabs>
          <w:tab w:val="left" w:pos="2271"/>
        </w:tabs>
        <w:snapToGrid w:val="0"/>
        <w:ind w:firstLine="4638" w:firstLineChars="2100"/>
        <w:jc w:val="left"/>
        <w:rPr>
          <w:rFonts w:hint="eastAsia" w:ascii="宋体" w:hAnsi="宋体" w:eastAsia="宋体"/>
          <w:b/>
          <w:bCs/>
          <w:color w:val="auto"/>
          <w:sz w:val="22"/>
          <w:szCs w:val="22"/>
          <w:highlight w:val="none"/>
          <w:lang w:eastAsia="zh-CN"/>
        </w:rPr>
      </w:pPr>
      <w:r>
        <w:rPr>
          <w:rFonts w:hint="eastAsia" w:ascii="宋体" w:hAnsi="宋体" w:eastAsia="宋体"/>
          <w:b/>
          <w:bCs/>
          <w:color w:val="auto"/>
          <w:sz w:val="22"/>
          <w:szCs w:val="22"/>
          <w:highlight w:val="none"/>
          <w:lang w:eastAsia="zh-CN"/>
        </w:rPr>
        <w:tab/>
      </w:r>
    </w:p>
    <w:p w14:paraId="00F930F8">
      <w:pPr>
        <w:spacing w:line="360" w:lineRule="auto"/>
        <w:ind w:left="0" w:leftChars="0" w:firstLine="0" w:firstLineChars="0"/>
        <w:rPr>
          <w:rFonts w:hint="eastAsia" w:ascii="宋体" w:hAnsi="宋体" w:eastAsia="方正小标宋简体" w:cs="黑体"/>
          <w:b/>
          <w:color w:val="auto"/>
          <w:kern w:val="0"/>
          <w:sz w:val="52"/>
          <w:szCs w:val="52"/>
          <w:highlight w:val="none"/>
          <w:lang w:val="en-US" w:eastAsia="zh-CN" w:bidi="ar-SA"/>
        </w:rPr>
      </w:pPr>
    </w:p>
    <w:p w14:paraId="32DF45E2">
      <w:pPr>
        <w:spacing w:line="360" w:lineRule="auto"/>
        <w:ind w:left="0" w:leftChars="0" w:firstLine="0" w:firstLineChars="0"/>
        <w:rPr>
          <w:rFonts w:hint="eastAsia" w:ascii="宋体" w:hAnsi="宋体" w:eastAsia="方正小标宋简体" w:cs="黑体"/>
          <w:b/>
          <w:color w:val="auto"/>
          <w:kern w:val="0"/>
          <w:sz w:val="52"/>
          <w:szCs w:val="52"/>
          <w:highlight w:val="none"/>
          <w:lang w:val="en-US" w:eastAsia="zh-CN" w:bidi="ar-SA"/>
        </w:rPr>
      </w:pPr>
    </w:p>
    <w:p w14:paraId="0BDB6586">
      <w:pPr>
        <w:widowControl w:val="0"/>
        <w:ind w:firstLine="0" w:firstLineChars="0"/>
        <w:jc w:val="center"/>
        <w:rPr>
          <w:rFonts w:hint="eastAsia" w:ascii="Times New Roman" w:hAnsi="Times New Roman" w:eastAsia="宋体" w:cs="Times New Roman"/>
          <w:b/>
          <w:sz w:val="52"/>
          <w:szCs w:val="52"/>
        </w:rPr>
      </w:pPr>
      <w:r>
        <w:rPr>
          <w:rFonts w:hint="eastAsia" w:ascii="宋体" w:hAnsi="宋体" w:eastAsia="宋体" w:cs="Times New Roman"/>
          <w:b/>
          <w:bCs/>
          <w:color w:val="auto"/>
          <w:kern w:val="44"/>
          <w:sz w:val="28"/>
          <w:szCs w:val="28"/>
          <w:highlight w:val="none"/>
          <w:lang w:val="en-US" w:eastAsia="zh-CN" w:bidi="ar-SA"/>
        </w:rPr>
        <w:br w:type="page"/>
      </w:r>
    </w:p>
    <w:p w14:paraId="20A7AEC6">
      <w:pPr>
        <w:widowControl/>
        <w:wordWrap w:val="0"/>
        <w:ind w:firstLine="200"/>
        <w:jc w:val="center"/>
        <w:rPr>
          <w:rFonts w:ascii="宋体" w:hAnsi="宋体" w:eastAsia="宋体" w:cs="Times New Roman"/>
          <w:bCs/>
          <w:sz w:val="30"/>
          <w:szCs w:val="30"/>
          <w:highlight w:val="none"/>
          <w14:ligatures w14:val="standardContextual"/>
        </w:rPr>
      </w:pPr>
      <w:r>
        <w:rPr>
          <w:rFonts w:hint="eastAsia" w:ascii="宋体" w:hAnsi="宋体" w:eastAsia="宋体" w:cs="Times New Roman"/>
          <w:b/>
          <w:bCs/>
          <w:sz w:val="30"/>
          <w:szCs w:val="30"/>
          <w:highlight w:val="none"/>
          <w:lang w:val="en-US" w:eastAsia="zh-CN"/>
          <w14:ligatures w14:val="standardContextual"/>
        </w:rPr>
        <w:t xml:space="preserve">                                        </w:t>
      </w:r>
      <w:r>
        <w:rPr>
          <w:rFonts w:hint="eastAsia" w:ascii="黑体" w:hAnsi="黑体" w:eastAsia="黑体" w:cs="黑体"/>
          <w:spacing w:val="0"/>
          <w:sz w:val="24"/>
          <w:szCs w:val="24"/>
          <w:highlight w:val="none"/>
          <w:u w:val="none"/>
        </w:rPr>
        <w:t>合同编号：</w:t>
      </w:r>
      <w:r>
        <w:rPr>
          <w:rFonts w:ascii="宋体" w:hAnsi="宋体" w:eastAsia="宋体" w:cs="Times New Roman"/>
          <w:b/>
          <w:sz w:val="30"/>
          <w:szCs w:val="30"/>
          <w:highlight w:val="none"/>
          <w14:ligatures w14:val="standardContextual"/>
        </w:rPr>
        <w:t xml:space="preserve">  </w:t>
      </w:r>
    </w:p>
    <w:p w14:paraId="2B5BFF72">
      <w:pPr>
        <w:widowControl w:val="0"/>
        <w:ind w:firstLine="0" w:firstLineChars="0"/>
        <w:jc w:val="center"/>
        <w:rPr>
          <w:rFonts w:hint="eastAsia" w:ascii="Times New Roman" w:hAnsi="Times New Roman" w:eastAsia="宋体" w:cs="Times New Roman"/>
          <w:b/>
          <w:sz w:val="52"/>
          <w:szCs w:val="52"/>
        </w:rPr>
      </w:pPr>
    </w:p>
    <w:p w14:paraId="6E828271">
      <w:pPr>
        <w:widowControl w:val="0"/>
        <w:ind w:firstLine="0" w:firstLineChars="0"/>
        <w:jc w:val="center"/>
        <w:rPr>
          <w:rFonts w:hint="eastAsia" w:ascii="Times New Roman" w:hAnsi="Times New Roman" w:eastAsia="宋体" w:cs="Times New Roman"/>
          <w:b/>
          <w:sz w:val="52"/>
          <w:szCs w:val="52"/>
          <w:lang w:eastAsia="zh-CN"/>
        </w:rPr>
      </w:pPr>
    </w:p>
    <w:p w14:paraId="4E58917B">
      <w:pPr>
        <w:widowControl w:val="0"/>
        <w:ind w:firstLine="0" w:firstLineChars="0"/>
        <w:jc w:val="center"/>
        <w:rPr>
          <w:rFonts w:hint="eastAsia" w:ascii="Times New Roman" w:hAnsi="Times New Roman" w:eastAsia="宋体" w:cs="Times New Roman"/>
          <w:b/>
          <w:sz w:val="52"/>
          <w:szCs w:val="52"/>
          <w:lang w:eastAsia="zh-CN"/>
        </w:rPr>
      </w:pPr>
    </w:p>
    <w:p w14:paraId="0B5027F2">
      <w:pPr>
        <w:widowControl w:val="0"/>
        <w:ind w:firstLine="0" w:firstLineChars="0"/>
        <w:jc w:val="center"/>
        <w:rPr>
          <w:rFonts w:ascii="Times New Roman" w:hAnsi="Times New Roman" w:eastAsia="宋体" w:cs="Times New Roman"/>
          <w:sz w:val="52"/>
          <w:szCs w:val="52"/>
        </w:rPr>
      </w:pPr>
      <w:r>
        <w:rPr>
          <w:rFonts w:hint="eastAsia" w:ascii="Times New Roman" w:hAnsi="Times New Roman" w:eastAsia="宋体" w:cs="Times New Roman"/>
          <w:b/>
          <w:sz w:val="52"/>
          <w:szCs w:val="52"/>
          <w:lang w:eastAsia="zh-CN"/>
        </w:rPr>
        <w:t>瑞云府项目架空层软装、儿童游乐设施、运动器械供货及安装</w:t>
      </w:r>
      <w:r>
        <w:rPr>
          <w:rFonts w:ascii="Times New Roman" w:hAnsi="Times New Roman" w:eastAsia="宋体" w:cs="Times New Roman"/>
          <w:b/>
          <w:sz w:val="52"/>
          <w:szCs w:val="52"/>
        </w:rPr>
        <w:t>合同</w:t>
      </w:r>
    </w:p>
    <w:p w14:paraId="280E85F8">
      <w:pPr>
        <w:widowControl w:val="0"/>
        <w:ind w:firstLine="420"/>
        <w:rPr>
          <w:rFonts w:ascii="Times New Roman" w:hAnsi="Times New Roman" w:eastAsia="宋体" w:cs="Times New Roman"/>
          <w:sz w:val="21"/>
          <w:szCs w:val="22"/>
        </w:rPr>
      </w:pPr>
    </w:p>
    <w:p w14:paraId="290E761D">
      <w:pPr>
        <w:widowControl w:val="0"/>
        <w:ind w:firstLine="420"/>
        <w:rPr>
          <w:rFonts w:ascii="Times New Roman" w:hAnsi="Times New Roman" w:eastAsia="宋体" w:cs="Times New Roman"/>
          <w:sz w:val="21"/>
          <w:szCs w:val="22"/>
        </w:rPr>
      </w:pPr>
    </w:p>
    <w:p w14:paraId="0D749031">
      <w:pPr>
        <w:widowControl w:val="0"/>
        <w:ind w:firstLine="420"/>
        <w:rPr>
          <w:rFonts w:ascii="Times New Roman" w:hAnsi="Times New Roman" w:eastAsia="宋体" w:cs="Times New Roman"/>
          <w:sz w:val="21"/>
          <w:szCs w:val="22"/>
        </w:rPr>
      </w:pPr>
    </w:p>
    <w:p w14:paraId="2A466565">
      <w:pPr>
        <w:widowControl w:val="0"/>
        <w:ind w:firstLine="420"/>
        <w:rPr>
          <w:rFonts w:ascii="Times New Roman" w:hAnsi="Times New Roman" w:eastAsia="宋体" w:cs="Times New Roman"/>
          <w:sz w:val="21"/>
          <w:szCs w:val="22"/>
        </w:rPr>
      </w:pPr>
    </w:p>
    <w:tbl>
      <w:tblPr>
        <w:tblStyle w:val="53"/>
        <w:tblpPr w:leftFromText="180" w:rightFromText="180" w:vertAnchor="text" w:horzAnchor="margin" w:tblpY="634"/>
        <w:tblOverlap w:val="never"/>
        <w:tblW w:w="8888" w:type="dxa"/>
        <w:tblInd w:w="0" w:type="dxa"/>
        <w:tblLayout w:type="fixed"/>
        <w:tblCellMar>
          <w:top w:w="0" w:type="dxa"/>
          <w:left w:w="108" w:type="dxa"/>
          <w:bottom w:w="0" w:type="dxa"/>
          <w:right w:w="108" w:type="dxa"/>
        </w:tblCellMar>
      </w:tblPr>
      <w:tblGrid>
        <w:gridCol w:w="1808"/>
        <w:gridCol w:w="7080"/>
      </w:tblGrid>
      <w:tr w14:paraId="09F8FB27">
        <w:tblPrEx>
          <w:tblCellMar>
            <w:top w:w="0" w:type="dxa"/>
            <w:left w:w="108" w:type="dxa"/>
            <w:bottom w:w="0" w:type="dxa"/>
            <w:right w:w="108" w:type="dxa"/>
          </w:tblCellMar>
        </w:tblPrEx>
        <w:trPr>
          <w:trHeight w:val="850" w:hRule="atLeast"/>
        </w:trPr>
        <w:tc>
          <w:tcPr>
            <w:tcW w:w="1808" w:type="dxa"/>
            <w:noWrap w:val="0"/>
            <w:vAlign w:val="center"/>
          </w:tcPr>
          <w:p w14:paraId="2D082070">
            <w:pPr>
              <w:widowControl w:val="0"/>
              <w:ind w:firstLine="0" w:firstLineChars="0"/>
              <w:rPr>
                <w:rFonts w:ascii="Times New Roman" w:hAnsi="Times New Roman" w:eastAsia="宋体" w:cs="Times New Roman"/>
                <w:b/>
                <w:bCs/>
                <w:sz w:val="21"/>
                <w:szCs w:val="32"/>
              </w:rPr>
            </w:pPr>
            <w:r>
              <w:rPr>
                <w:rFonts w:ascii="Times New Roman" w:hAnsi="Times New Roman" w:eastAsia="宋体" w:cs="Times New Roman"/>
                <w:sz w:val="32"/>
                <w:szCs w:val="32"/>
              </w:rPr>
              <w:t>项目名称：</w:t>
            </w:r>
          </w:p>
        </w:tc>
        <w:tc>
          <w:tcPr>
            <w:tcW w:w="7080" w:type="dxa"/>
            <w:noWrap w:val="0"/>
            <w:vAlign w:val="center"/>
          </w:tcPr>
          <w:p w14:paraId="6561E247">
            <w:pPr>
              <w:widowControl w:val="0"/>
              <w:ind w:firstLine="0" w:firstLineChars="0"/>
              <w:rPr>
                <w:rFonts w:hint="eastAsia" w:ascii="Times New Roman" w:hAnsi="Times New Roman" w:eastAsia="宋体" w:cs="Times New Roman"/>
                <w:sz w:val="32"/>
                <w:szCs w:val="32"/>
                <w:lang w:eastAsia="zh-CN"/>
              </w:rPr>
            </w:pPr>
            <w:r>
              <w:rPr>
                <w:rFonts w:hint="eastAsia" w:ascii="Times New Roman" w:hAnsi="Times New Roman" w:eastAsia="宋体" w:cs="Times New Roman"/>
                <w:sz w:val="32"/>
                <w:szCs w:val="32"/>
                <w:u w:val="single"/>
                <w:lang w:eastAsia="zh-CN"/>
              </w:rPr>
              <w:t>瑞云府项目架空层软装、儿童游乐设施、运动器械供货及安装</w:t>
            </w:r>
          </w:p>
        </w:tc>
      </w:tr>
      <w:tr w14:paraId="0CFD4421">
        <w:tblPrEx>
          <w:tblCellMar>
            <w:top w:w="0" w:type="dxa"/>
            <w:left w:w="108" w:type="dxa"/>
            <w:bottom w:w="0" w:type="dxa"/>
            <w:right w:w="108" w:type="dxa"/>
          </w:tblCellMar>
        </w:tblPrEx>
        <w:trPr>
          <w:trHeight w:val="90" w:hRule="atLeast"/>
        </w:trPr>
        <w:tc>
          <w:tcPr>
            <w:tcW w:w="1808" w:type="dxa"/>
            <w:noWrap w:val="0"/>
            <w:vAlign w:val="center"/>
          </w:tcPr>
          <w:p w14:paraId="1E952E41">
            <w:pPr>
              <w:widowControl w:val="0"/>
              <w:ind w:firstLine="0" w:firstLineChars="0"/>
              <w:rPr>
                <w:rFonts w:ascii="Times New Roman" w:hAnsi="Times New Roman" w:eastAsia="宋体" w:cs="Times New Roman"/>
                <w:b/>
                <w:bCs/>
                <w:sz w:val="21"/>
                <w:szCs w:val="32"/>
              </w:rPr>
            </w:pPr>
            <w:r>
              <w:rPr>
                <w:rFonts w:ascii="Times New Roman" w:hAnsi="Times New Roman" w:eastAsia="宋体" w:cs="Times New Roman"/>
                <w:sz w:val="32"/>
                <w:szCs w:val="32"/>
              </w:rPr>
              <w:t>送货地点：</w:t>
            </w:r>
          </w:p>
        </w:tc>
        <w:tc>
          <w:tcPr>
            <w:tcW w:w="7080" w:type="dxa"/>
            <w:noWrap w:val="0"/>
            <w:vAlign w:val="center"/>
          </w:tcPr>
          <w:p w14:paraId="18187175">
            <w:pPr>
              <w:widowControl w:val="0"/>
              <w:ind w:firstLine="0" w:firstLineChars="0"/>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u w:val="single"/>
                <w:lang w:val="en-US" w:eastAsia="zh-CN"/>
              </w:rPr>
              <w:t>瑞云府项目采购人指定位置</w:t>
            </w:r>
          </w:p>
        </w:tc>
      </w:tr>
      <w:tr w14:paraId="6601B352">
        <w:tblPrEx>
          <w:tblCellMar>
            <w:top w:w="0" w:type="dxa"/>
            <w:left w:w="108" w:type="dxa"/>
            <w:bottom w:w="0" w:type="dxa"/>
            <w:right w:w="108" w:type="dxa"/>
          </w:tblCellMar>
        </w:tblPrEx>
        <w:trPr>
          <w:trHeight w:val="850" w:hRule="atLeast"/>
        </w:trPr>
        <w:tc>
          <w:tcPr>
            <w:tcW w:w="1808" w:type="dxa"/>
            <w:noWrap w:val="0"/>
            <w:vAlign w:val="center"/>
          </w:tcPr>
          <w:p w14:paraId="0B923CA2">
            <w:pPr>
              <w:widowControl w:val="0"/>
              <w:ind w:firstLine="0" w:firstLineChars="0"/>
              <w:rPr>
                <w:rFonts w:ascii="Times New Roman" w:hAnsi="Times New Roman" w:eastAsia="宋体" w:cs="Times New Roman"/>
                <w:b/>
                <w:bCs/>
                <w:sz w:val="21"/>
                <w:szCs w:val="32"/>
              </w:rPr>
            </w:pPr>
            <w:r>
              <w:rPr>
                <w:rFonts w:ascii="Times New Roman" w:hAnsi="Times New Roman" w:eastAsia="宋体" w:cs="Times New Roman"/>
                <w:sz w:val="32"/>
                <w:szCs w:val="32"/>
              </w:rPr>
              <w:t>采 购 人：</w:t>
            </w:r>
          </w:p>
        </w:tc>
        <w:tc>
          <w:tcPr>
            <w:tcW w:w="7080" w:type="dxa"/>
            <w:noWrap w:val="0"/>
            <w:vAlign w:val="center"/>
          </w:tcPr>
          <w:p w14:paraId="319F5BF5">
            <w:pPr>
              <w:widowControl w:val="0"/>
              <w:ind w:firstLine="0" w:firstLineChars="0"/>
              <w:rPr>
                <w:rFonts w:ascii="Times New Roman" w:hAnsi="Times New Roman" w:eastAsia="宋体" w:cs="Times New Roman"/>
                <w:sz w:val="32"/>
                <w:szCs w:val="32"/>
                <w:u w:val="single"/>
              </w:rPr>
            </w:pPr>
            <w:r>
              <w:rPr>
                <w:rFonts w:ascii="Times New Roman" w:hAnsi="Times New Roman" w:eastAsia="宋体" w:cs="Times New Roman"/>
                <w:sz w:val="32"/>
                <w:szCs w:val="32"/>
                <w:u w:val="single"/>
              </w:rPr>
              <w:t>深圳市高新健置业开发有限公司</w:t>
            </w:r>
          </w:p>
        </w:tc>
      </w:tr>
      <w:tr w14:paraId="3A10AF81">
        <w:tblPrEx>
          <w:tblCellMar>
            <w:top w:w="0" w:type="dxa"/>
            <w:left w:w="108" w:type="dxa"/>
            <w:bottom w:w="0" w:type="dxa"/>
            <w:right w:w="108" w:type="dxa"/>
          </w:tblCellMar>
        </w:tblPrEx>
        <w:trPr>
          <w:trHeight w:val="850" w:hRule="atLeast"/>
        </w:trPr>
        <w:tc>
          <w:tcPr>
            <w:tcW w:w="1808" w:type="dxa"/>
            <w:noWrap w:val="0"/>
            <w:vAlign w:val="center"/>
          </w:tcPr>
          <w:p w14:paraId="7F50FE40">
            <w:pPr>
              <w:widowControl w:val="0"/>
              <w:ind w:firstLine="0" w:firstLineChars="0"/>
              <w:rPr>
                <w:rFonts w:ascii="Times New Roman" w:hAnsi="Times New Roman" w:eastAsia="宋体" w:cs="Times New Roman"/>
                <w:b/>
                <w:bCs/>
                <w:sz w:val="21"/>
                <w:szCs w:val="32"/>
              </w:rPr>
            </w:pPr>
            <w:r>
              <w:rPr>
                <w:rFonts w:ascii="Times New Roman" w:hAnsi="Times New Roman" w:eastAsia="宋体" w:cs="Times New Roman"/>
                <w:sz w:val="32"/>
                <w:szCs w:val="32"/>
              </w:rPr>
              <w:t>供 货 人：</w:t>
            </w:r>
          </w:p>
        </w:tc>
        <w:tc>
          <w:tcPr>
            <w:tcW w:w="7080" w:type="dxa"/>
            <w:noWrap w:val="0"/>
            <w:vAlign w:val="center"/>
          </w:tcPr>
          <w:p w14:paraId="3205C49B">
            <w:pPr>
              <w:widowControl w:val="0"/>
              <w:ind w:firstLine="0" w:firstLineChars="0"/>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2"/>
                <w:szCs w:val="32"/>
                <w:u w:val="single"/>
                <w:lang w:val="en-US" w:eastAsia="zh-CN"/>
              </w:rPr>
              <w:t xml:space="preserve">                            </w:t>
            </w:r>
          </w:p>
        </w:tc>
      </w:tr>
      <w:tr w14:paraId="7E40D34A">
        <w:tblPrEx>
          <w:tblCellMar>
            <w:top w:w="0" w:type="dxa"/>
            <w:left w:w="108" w:type="dxa"/>
            <w:bottom w:w="0" w:type="dxa"/>
            <w:right w:w="108" w:type="dxa"/>
          </w:tblCellMar>
        </w:tblPrEx>
        <w:trPr>
          <w:trHeight w:val="850" w:hRule="atLeast"/>
        </w:trPr>
        <w:tc>
          <w:tcPr>
            <w:tcW w:w="1808" w:type="dxa"/>
            <w:noWrap w:val="0"/>
            <w:vAlign w:val="center"/>
          </w:tcPr>
          <w:p w14:paraId="05538BE0">
            <w:pPr>
              <w:widowControl w:val="0"/>
              <w:ind w:firstLine="0" w:firstLineChars="0"/>
              <w:rPr>
                <w:rFonts w:ascii="Times New Roman" w:hAnsi="Times New Roman" w:eastAsia="宋体" w:cs="Times New Roman"/>
                <w:sz w:val="32"/>
                <w:szCs w:val="32"/>
              </w:rPr>
            </w:pPr>
            <w:r>
              <w:rPr>
                <w:rFonts w:ascii="Times New Roman" w:hAnsi="Times New Roman" w:eastAsia="宋体" w:cs="Times New Roman"/>
                <w:sz w:val="32"/>
                <w:szCs w:val="32"/>
              </w:rPr>
              <w:t>签订日期：</w:t>
            </w:r>
          </w:p>
        </w:tc>
        <w:tc>
          <w:tcPr>
            <w:tcW w:w="7080" w:type="dxa"/>
            <w:noWrap w:val="0"/>
            <w:vAlign w:val="center"/>
          </w:tcPr>
          <w:p w14:paraId="24E0F2C9">
            <w:pPr>
              <w:widowControl w:val="0"/>
              <w:ind w:firstLine="0" w:firstLineChars="0"/>
              <w:rPr>
                <w:rFonts w:ascii="Times New Roman" w:hAnsi="Times New Roman" w:eastAsia="宋体" w:cs="Times New Roman"/>
                <w:sz w:val="32"/>
                <w:szCs w:val="32"/>
                <w:u w:val="single"/>
              </w:rPr>
            </w:pPr>
            <w:r>
              <w:rPr>
                <w:rFonts w:ascii="Times New Roman" w:hAnsi="Times New Roman" w:eastAsia="宋体" w:cs="Times New Roman"/>
                <w:sz w:val="32"/>
                <w:szCs w:val="32"/>
                <w:u w:val="single"/>
              </w:rPr>
              <w:t xml:space="preserve"> </w:t>
            </w:r>
            <w:r>
              <w:rPr>
                <w:rFonts w:hint="eastAsia" w:ascii="Times New Roman" w:hAnsi="Times New Roman" w:eastAsia="宋体" w:cs="Times New Roman"/>
                <w:sz w:val="32"/>
                <w:szCs w:val="32"/>
                <w:u w:val="single"/>
                <w:lang w:val="en-US" w:eastAsia="zh-CN"/>
              </w:rPr>
              <w:t xml:space="preserve">    </w:t>
            </w:r>
            <w:r>
              <w:rPr>
                <w:rFonts w:ascii="Times New Roman" w:hAnsi="Times New Roman" w:eastAsia="宋体" w:cs="Times New Roman"/>
                <w:sz w:val="32"/>
                <w:szCs w:val="32"/>
                <w:u w:val="single"/>
              </w:rPr>
              <w:t>年</w:t>
            </w:r>
            <w:r>
              <w:rPr>
                <w:rFonts w:hint="eastAsia" w:ascii="Times New Roman" w:hAnsi="Times New Roman" w:eastAsia="宋体" w:cs="Times New Roman"/>
                <w:sz w:val="32"/>
                <w:szCs w:val="32"/>
                <w:u w:val="single"/>
                <w:lang w:val="en-US" w:eastAsia="zh-CN"/>
              </w:rPr>
              <w:t xml:space="preserve">    </w:t>
            </w:r>
            <w:r>
              <w:rPr>
                <w:rFonts w:ascii="Times New Roman" w:hAnsi="Times New Roman" w:eastAsia="宋体" w:cs="Times New Roman"/>
                <w:sz w:val="32"/>
                <w:szCs w:val="32"/>
                <w:u w:val="single"/>
              </w:rPr>
              <w:t>月</w:t>
            </w:r>
          </w:p>
        </w:tc>
      </w:tr>
    </w:tbl>
    <w:p w14:paraId="55CEF884">
      <w:pPr>
        <w:widowControl w:val="0"/>
        <w:ind w:firstLine="0" w:firstLineChars="0"/>
        <w:rPr>
          <w:rFonts w:ascii="Times New Roman" w:hAnsi="Times New Roman" w:eastAsia="宋体" w:cs="Times New Roman"/>
          <w:sz w:val="21"/>
          <w:szCs w:val="22"/>
        </w:rPr>
      </w:pPr>
    </w:p>
    <w:p w14:paraId="74412BAB">
      <w:pPr>
        <w:ind w:firstLine="482"/>
        <w:jc w:val="center"/>
        <w:outlineLvl w:val="0"/>
        <w:rPr>
          <w:b/>
          <w:kern w:val="0"/>
          <w:sz w:val="24"/>
        </w:rPr>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pPr>
      <w:bookmarkStart w:id="213" w:name="_Toc41385839"/>
    </w:p>
    <w:p w14:paraId="41C538B9">
      <w:pPr>
        <w:widowControl w:val="0"/>
        <w:spacing w:line="240" w:lineRule="auto"/>
        <w:ind w:firstLine="0" w:firstLineChars="0"/>
        <w:jc w:val="center"/>
        <w:outlineLvl w:val="1"/>
        <w:rPr>
          <w:rFonts w:ascii="Times New Roman" w:hAnsi="Times New Roman" w:eastAsia="宋体" w:cs="Times New Roman"/>
          <w:b/>
          <w:kern w:val="0"/>
          <w:sz w:val="36"/>
          <w:szCs w:val="36"/>
        </w:rPr>
      </w:pPr>
      <w:bookmarkStart w:id="214" w:name="_Toc23289"/>
      <w:r>
        <w:rPr>
          <w:rFonts w:ascii="Times New Roman" w:hAnsi="Times New Roman" w:eastAsia="宋体" w:cs="Times New Roman"/>
          <w:b/>
          <w:kern w:val="0"/>
          <w:sz w:val="36"/>
          <w:szCs w:val="36"/>
        </w:rPr>
        <w:t>第一部分 协议书</w:t>
      </w:r>
      <w:bookmarkEnd w:id="213"/>
      <w:bookmarkEnd w:id="214"/>
    </w:p>
    <w:p w14:paraId="3AB6FADD">
      <w:pPr>
        <w:widowControl w:val="0"/>
        <w:ind w:firstLine="0" w:firstLineChars="0"/>
        <w:rPr>
          <w:rFonts w:ascii="Times New Roman" w:hAnsi="Times New Roman" w:eastAsia="宋体" w:cs="Times New Roman"/>
          <w:b/>
          <w:sz w:val="24"/>
        </w:rPr>
      </w:pPr>
    </w:p>
    <w:p w14:paraId="4F68894B">
      <w:pPr>
        <w:widowControl w:val="0"/>
        <w:adjustRightInd w:val="0"/>
        <w:snapToGrid w:val="0"/>
        <w:ind w:firstLine="0" w:firstLineChars="0"/>
        <w:rPr>
          <w:rFonts w:ascii="Times New Roman" w:hAnsi="Times New Roman" w:eastAsia="宋体" w:cs="Times New Roman"/>
          <w:sz w:val="28"/>
          <w:szCs w:val="28"/>
          <w:u w:val="single"/>
        </w:rPr>
      </w:pPr>
      <w:r>
        <w:rPr>
          <w:rFonts w:ascii="Times New Roman" w:hAnsi="Times New Roman" w:eastAsia="宋体" w:cs="Times New Roman"/>
          <w:sz w:val="28"/>
          <w:szCs w:val="28"/>
        </w:rPr>
        <w:t>采购人</w:t>
      </w:r>
      <w:r>
        <w:rPr>
          <w:rFonts w:hint="eastAsia" w:ascii="Times New Roman" w:hAnsi="Times New Roman" w:eastAsia="宋体" w:cs="Times New Roman"/>
          <w:sz w:val="28"/>
          <w:szCs w:val="28"/>
          <w:lang w:eastAsia="zh-CN"/>
        </w:rPr>
        <w:t>（甲方）</w:t>
      </w:r>
      <w:r>
        <w:rPr>
          <w:rFonts w:ascii="Times New Roman" w:hAnsi="Times New Roman" w:eastAsia="宋体" w:cs="Times New Roman"/>
          <w:sz w:val="28"/>
          <w:szCs w:val="28"/>
        </w:rPr>
        <w:t>：</w:t>
      </w:r>
      <w:r>
        <w:rPr>
          <w:rFonts w:ascii="Times New Roman" w:hAnsi="Times New Roman" w:eastAsia="宋体" w:cs="Times New Roman"/>
          <w:sz w:val="28"/>
          <w:szCs w:val="28"/>
          <w:u w:val="single"/>
        </w:rPr>
        <w:t>深圳市高新健置业开发有限公司</w:t>
      </w:r>
    </w:p>
    <w:p w14:paraId="49858D3B">
      <w:pPr>
        <w:widowControl w:val="0"/>
        <w:adjustRightInd w:val="0"/>
        <w:snapToGrid w:val="0"/>
        <w:ind w:firstLine="0" w:firstLineChars="0"/>
        <w:rPr>
          <w:rFonts w:ascii="Times New Roman" w:hAnsi="Times New Roman" w:eastAsia="宋体" w:cs="Times New Roman"/>
          <w:sz w:val="28"/>
          <w:szCs w:val="28"/>
          <w:u w:val="single"/>
        </w:rPr>
      </w:pPr>
      <w:r>
        <w:rPr>
          <w:rFonts w:ascii="Times New Roman" w:hAnsi="Times New Roman" w:eastAsia="宋体" w:cs="Times New Roman"/>
          <w:sz w:val="28"/>
          <w:szCs w:val="28"/>
        </w:rPr>
        <w:t>地址：</w:t>
      </w:r>
      <w:r>
        <w:rPr>
          <w:rFonts w:hint="eastAsia" w:ascii="Times New Roman" w:hAnsi="Times New Roman" w:eastAsia="宋体" w:cs="Times New Roman"/>
          <w:sz w:val="28"/>
          <w:szCs w:val="28"/>
          <w:u w:val="single"/>
        </w:rPr>
        <w:t>深圳市坪山区坪山街道六联社区坪山大道2009号城投芯时代大厦501</w:t>
      </w:r>
      <w:r>
        <w:rPr>
          <w:rFonts w:ascii="Times New Roman" w:hAnsi="Times New Roman" w:eastAsia="宋体" w:cs="Times New Roman"/>
          <w:sz w:val="28"/>
          <w:szCs w:val="28"/>
          <w:u w:val="single"/>
        </w:rPr>
        <w:t xml:space="preserve"> </w:t>
      </w:r>
    </w:p>
    <w:p w14:paraId="63B3D565">
      <w:pPr>
        <w:widowControl w:val="0"/>
        <w:adjustRightInd w:val="0"/>
        <w:snapToGrid w:val="0"/>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法定代表人：</w:t>
      </w:r>
      <w:r>
        <w:rPr>
          <w:rFonts w:hint="eastAsia" w:ascii="Times New Roman" w:hAnsi="Times New Roman" w:eastAsia="宋体" w:cs="Times New Roman"/>
          <w:sz w:val="28"/>
          <w:szCs w:val="28"/>
          <w:u w:val="single"/>
          <w:lang w:eastAsia="zh-CN"/>
        </w:rPr>
        <w:t>陈平锋</w:t>
      </w:r>
      <w:r>
        <w:rPr>
          <w:rFonts w:ascii="Times New Roman" w:hAnsi="Times New Roman" w:eastAsia="宋体" w:cs="Times New Roman"/>
          <w:sz w:val="28"/>
          <w:szCs w:val="28"/>
        </w:rPr>
        <w:t xml:space="preserve">                        职务：</w:t>
      </w:r>
      <w:r>
        <w:rPr>
          <w:rFonts w:hint="eastAsia" w:ascii="Times New Roman" w:hAnsi="Times New Roman" w:eastAsia="宋体" w:cs="Times New Roman"/>
          <w:sz w:val="28"/>
          <w:szCs w:val="28"/>
          <w:u w:val="single"/>
          <w:lang w:val="en-US" w:eastAsia="zh-CN"/>
        </w:rPr>
        <w:t xml:space="preserve">董事长           </w:t>
      </w:r>
      <w:r>
        <w:rPr>
          <w:rFonts w:ascii="Times New Roman" w:hAnsi="Times New Roman" w:eastAsia="宋体" w:cs="Times New Roman"/>
          <w:sz w:val="28"/>
          <w:szCs w:val="28"/>
          <w:u w:val="single"/>
        </w:rPr>
        <w:t xml:space="preserve">      </w:t>
      </w:r>
      <w:r>
        <w:rPr>
          <w:rFonts w:ascii="Times New Roman" w:hAnsi="Times New Roman" w:eastAsia="宋体" w:cs="Times New Roman"/>
          <w:sz w:val="28"/>
          <w:szCs w:val="28"/>
        </w:rPr>
        <w:t xml:space="preserve"> </w:t>
      </w:r>
    </w:p>
    <w:p w14:paraId="620A930C">
      <w:pPr>
        <w:widowControl w:val="0"/>
        <w:adjustRightInd w:val="0"/>
        <w:snapToGrid w:val="0"/>
        <w:ind w:firstLine="0" w:firstLineChars="0"/>
        <w:rPr>
          <w:rFonts w:ascii="Times New Roman" w:hAnsi="Times New Roman" w:eastAsia="宋体" w:cs="Times New Roman"/>
          <w:sz w:val="28"/>
          <w:szCs w:val="28"/>
        </w:rPr>
      </w:pPr>
    </w:p>
    <w:p w14:paraId="23400D72">
      <w:pPr>
        <w:widowControl w:val="0"/>
        <w:adjustRightInd w:val="0"/>
        <w:snapToGrid w:val="0"/>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供货人</w:t>
      </w:r>
      <w:r>
        <w:rPr>
          <w:rFonts w:hint="eastAsia" w:ascii="Times New Roman" w:hAnsi="Times New Roman" w:eastAsia="宋体" w:cs="Times New Roman"/>
          <w:sz w:val="28"/>
          <w:szCs w:val="28"/>
          <w:lang w:eastAsia="zh-CN"/>
        </w:rPr>
        <w:t>（乙方）</w:t>
      </w:r>
      <w:r>
        <w:rPr>
          <w:rFonts w:ascii="Times New Roman" w:hAnsi="Times New Roman" w:eastAsia="宋体" w:cs="Times New Roman"/>
          <w:sz w:val="28"/>
          <w:szCs w:val="28"/>
        </w:rPr>
        <w:t>：</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u w:val="single"/>
        </w:rPr>
        <w:t xml:space="preserve">  </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u w:val="single"/>
        </w:rPr>
        <w:t xml:space="preserve">      </w:t>
      </w:r>
      <w:r>
        <w:rPr>
          <w:rFonts w:ascii="Times New Roman" w:hAnsi="Times New Roman" w:eastAsia="宋体" w:cs="Times New Roman"/>
          <w:sz w:val="28"/>
          <w:szCs w:val="28"/>
        </w:rPr>
        <w:t xml:space="preserve"> </w:t>
      </w:r>
    </w:p>
    <w:p w14:paraId="5A15439B">
      <w:pPr>
        <w:widowControl w:val="0"/>
        <w:adjustRightInd w:val="0"/>
        <w:snapToGrid w:val="0"/>
        <w:ind w:firstLine="0" w:firstLineChars="0"/>
        <w:rPr>
          <w:rFonts w:ascii="Times New Roman" w:hAnsi="Times New Roman" w:eastAsia="宋体" w:cs="Times New Roman"/>
          <w:sz w:val="28"/>
          <w:szCs w:val="28"/>
          <w:u w:val="single"/>
        </w:rPr>
      </w:pPr>
      <w:r>
        <w:rPr>
          <w:rFonts w:ascii="Times New Roman" w:hAnsi="Times New Roman" w:eastAsia="宋体" w:cs="Times New Roman"/>
          <w:sz w:val="28"/>
          <w:szCs w:val="28"/>
        </w:rPr>
        <w:t>地址：</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u w:val="single"/>
        </w:rPr>
        <w:t xml:space="preserve">      </w:t>
      </w:r>
    </w:p>
    <w:p w14:paraId="37831FB6">
      <w:pPr>
        <w:widowControl w:val="0"/>
        <w:adjustRightInd w:val="0"/>
        <w:snapToGrid w:val="0"/>
        <w:ind w:firstLine="0" w:firstLineChars="0"/>
        <w:rPr>
          <w:rFonts w:ascii="Times New Roman" w:hAnsi="Times New Roman" w:eastAsia="宋体" w:cs="Times New Roman"/>
          <w:sz w:val="28"/>
          <w:szCs w:val="28"/>
        </w:rPr>
      </w:pPr>
      <w:r>
        <w:rPr>
          <w:rFonts w:ascii="Times New Roman" w:hAnsi="Times New Roman" w:eastAsia="宋体" w:cs="Times New Roman"/>
          <w:sz w:val="28"/>
          <w:szCs w:val="28"/>
        </w:rPr>
        <w:t>法定代表人：</w:t>
      </w:r>
      <w:r>
        <w:rPr>
          <w:rFonts w:ascii="Times New Roman" w:hAnsi="Times New Roman" w:eastAsia="宋体" w:cs="Times New Roman"/>
          <w:sz w:val="28"/>
          <w:szCs w:val="28"/>
          <w:u w:val="single"/>
        </w:rPr>
        <w:t xml:space="preserve"> </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rPr>
        <w:t xml:space="preserve">                        职务：</w:t>
      </w:r>
      <w:r>
        <w:rPr>
          <w:rFonts w:ascii="Times New Roman" w:hAnsi="Times New Roman" w:eastAsia="宋体" w:cs="Times New Roman"/>
          <w:sz w:val="28"/>
          <w:szCs w:val="28"/>
          <w:u w:val="single"/>
        </w:rPr>
        <w:t xml:space="preserve"> </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u w:val="single"/>
        </w:rPr>
        <w:t xml:space="preserve">    </w:t>
      </w:r>
    </w:p>
    <w:p w14:paraId="5093600B">
      <w:pPr>
        <w:widowControl w:val="0"/>
        <w:adjustRightInd w:val="0"/>
        <w:snapToGrid w:val="0"/>
        <w:ind w:firstLine="560"/>
        <w:rPr>
          <w:rFonts w:ascii="Times New Roman" w:hAnsi="Times New Roman" w:eastAsia="宋体" w:cs="Times New Roman"/>
          <w:sz w:val="28"/>
          <w:szCs w:val="28"/>
        </w:rPr>
      </w:pPr>
    </w:p>
    <w:p w14:paraId="4DC05946">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依照根据《中华人民共和国民法典》、《中华人民共和国建筑法（2019修正）》等相关法律、法规，遵循平等、自愿和诚实信用的原则，甲、乙双方就</w:t>
      </w:r>
      <w:r>
        <w:rPr>
          <w:rFonts w:hint="eastAsia" w:ascii="Times New Roman" w:hAnsi="Times New Roman" w:eastAsia="宋体" w:cs="Times New Roman"/>
          <w:b/>
          <w:bCs/>
          <w:sz w:val="28"/>
          <w:szCs w:val="28"/>
          <w:u w:val="single"/>
          <w:lang w:eastAsia="zh-CN"/>
        </w:rPr>
        <w:t>瑞云府项目架空层软装、儿童游乐设施、运动器械供货及安装</w:t>
      </w:r>
      <w:r>
        <w:rPr>
          <w:rFonts w:ascii="Times New Roman" w:hAnsi="Times New Roman" w:eastAsia="宋体" w:cs="Times New Roman"/>
          <w:sz w:val="28"/>
          <w:szCs w:val="28"/>
        </w:rPr>
        <w:t>事项协商一致，订立本合同。</w:t>
      </w:r>
    </w:p>
    <w:p w14:paraId="3FDF45D1">
      <w:pPr>
        <w:widowControl w:val="0"/>
        <w:adjustRightInd w:val="0"/>
        <w:ind w:firstLine="562"/>
        <w:outlineLvl w:val="2"/>
        <w:rPr>
          <w:rFonts w:hint="default" w:ascii="Times New Roman" w:hAnsi="Times New Roman" w:eastAsia="宋体" w:cs="Times New Roman"/>
          <w:b/>
          <w:kern w:val="0"/>
          <w:sz w:val="28"/>
          <w:szCs w:val="28"/>
          <w:highlight w:val="none"/>
          <w:lang w:val="en-US" w:eastAsia="zh-CN"/>
        </w:rPr>
      </w:pPr>
      <w:bookmarkStart w:id="215" w:name="_Toc17790"/>
      <w:bookmarkStart w:id="216" w:name="_Toc41385840"/>
      <w:r>
        <w:rPr>
          <w:rFonts w:ascii="Times New Roman" w:hAnsi="Times New Roman" w:eastAsia="宋体" w:cs="Times New Roman"/>
          <w:b/>
          <w:kern w:val="0"/>
          <w:sz w:val="28"/>
          <w:szCs w:val="28"/>
          <w:highlight w:val="none"/>
        </w:rPr>
        <w:t>一、</w:t>
      </w:r>
      <w:bookmarkEnd w:id="215"/>
      <w:bookmarkEnd w:id="216"/>
      <w:r>
        <w:rPr>
          <w:rFonts w:hint="eastAsia" w:ascii="Times New Roman" w:hAnsi="Times New Roman" w:eastAsia="宋体" w:cs="Times New Roman"/>
          <w:b/>
          <w:kern w:val="0"/>
          <w:sz w:val="28"/>
          <w:szCs w:val="28"/>
          <w:highlight w:val="none"/>
          <w:lang w:val="en-US" w:eastAsia="zh-CN"/>
        </w:rPr>
        <w:t>设备/材料清单</w:t>
      </w:r>
    </w:p>
    <w:p w14:paraId="2B86549E">
      <w:pPr>
        <w:widowControl w:val="0"/>
        <w:adjustRightInd w:val="0"/>
        <w:ind w:firstLine="560"/>
        <w:rPr>
          <w:rFonts w:ascii="Times New Roman" w:hAnsi="Times New Roman" w:eastAsia="宋体" w:cs="Times New Roman"/>
          <w:sz w:val="28"/>
          <w:szCs w:val="28"/>
          <w:highlight w:val="none"/>
        </w:rPr>
      </w:pPr>
      <w:bookmarkStart w:id="217" w:name="_Toc41385841"/>
      <w:bookmarkStart w:id="218" w:name="_Toc8673"/>
      <w:r>
        <w:rPr>
          <w:rFonts w:ascii="Times New Roman" w:hAnsi="Times New Roman" w:eastAsia="宋体" w:cs="Times New Roman"/>
          <w:sz w:val="28"/>
          <w:szCs w:val="28"/>
          <w:highlight w:val="none"/>
        </w:rPr>
        <w:t>本</w:t>
      </w:r>
      <w:r>
        <w:rPr>
          <w:rFonts w:hint="eastAsia" w:ascii="Times New Roman" w:hAnsi="Times New Roman" w:eastAsia="宋体" w:cs="Times New Roman"/>
          <w:sz w:val="28"/>
          <w:szCs w:val="28"/>
          <w:highlight w:val="none"/>
          <w:lang w:val="en-US" w:eastAsia="zh-CN"/>
        </w:rPr>
        <w:t>合同</w:t>
      </w:r>
      <w:r>
        <w:rPr>
          <w:rFonts w:ascii="Times New Roman" w:hAnsi="Times New Roman" w:eastAsia="宋体" w:cs="Times New Roman"/>
          <w:sz w:val="28"/>
          <w:szCs w:val="28"/>
          <w:highlight w:val="none"/>
        </w:rPr>
        <w:t>范围</w:t>
      </w:r>
      <w:r>
        <w:rPr>
          <w:rFonts w:hint="eastAsia" w:eastAsia="宋体" w:cs="Times New Roman"/>
          <w:sz w:val="28"/>
          <w:szCs w:val="28"/>
          <w:highlight w:val="none"/>
          <w:lang w:val="en-US" w:eastAsia="zh-CN"/>
        </w:rPr>
        <w:t>为</w:t>
      </w:r>
      <w:r>
        <w:rPr>
          <w:rFonts w:hint="eastAsia" w:ascii="Times New Roman" w:hAnsi="Times New Roman" w:eastAsia="宋体" w:cs="Times New Roman"/>
          <w:sz w:val="28"/>
          <w:szCs w:val="28"/>
          <w:highlight w:val="none"/>
        </w:rPr>
        <w:t>8栋塔楼首层大堂和架空层的软装、儿童游乐设施、运动器械等设施的供货及安装，包括但不限于供货、安装、调试、检测、试运行、验收、成品保护、开荒保洁、垃圾清理和外运、水电费用、安全文明施工费、措施费、资料归档移交、培训、维护保养、保修以及施工过程中对外部有关部门沟通协调等各项服务。</w:t>
      </w:r>
    </w:p>
    <w:p w14:paraId="6E696C41">
      <w:pPr>
        <w:widowControl w:val="0"/>
        <w:adjustRightInd w:val="0"/>
        <w:ind w:firstLine="560"/>
        <w:rPr>
          <w:rFonts w:ascii="Times New Roman" w:hAnsi="Times New Roman" w:eastAsia="宋体" w:cs="Times New Roman"/>
          <w:sz w:val="28"/>
          <w:szCs w:val="28"/>
          <w:highlight w:val="none"/>
        </w:rPr>
      </w:pPr>
      <w:r>
        <w:rPr>
          <w:rFonts w:hint="eastAsia" w:ascii="Times New Roman" w:hAnsi="Times New Roman" w:eastAsia="宋体" w:cs="Times New Roman"/>
          <w:sz w:val="28"/>
          <w:szCs w:val="28"/>
          <w:highlight w:val="none"/>
        </w:rPr>
        <w:t>设备/材料清单详见合同</w:t>
      </w:r>
      <w:r>
        <w:rPr>
          <w:rFonts w:hint="eastAsia" w:eastAsia="宋体" w:cs="Times New Roman"/>
          <w:sz w:val="28"/>
          <w:szCs w:val="28"/>
          <w:highlight w:val="none"/>
          <w:lang w:val="en-US" w:eastAsia="zh-CN"/>
        </w:rPr>
        <w:t>清单</w:t>
      </w:r>
      <w:r>
        <w:rPr>
          <w:rFonts w:hint="eastAsia" w:ascii="Times New Roman" w:hAnsi="Times New Roman" w:eastAsia="宋体" w:cs="Times New Roman"/>
          <w:sz w:val="28"/>
          <w:szCs w:val="28"/>
          <w:highlight w:val="none"/>
        </w:rPr>
        <w:t>。具体范围以招标文件、图纸和工程量清单为准。</w:t>
      </w:r>
    </w:p>
    <w:p w14:paraId="26CC7E4F">
      <w:pPr>
        <w:widowControl w:val="0"/>
        <w:adjustRightInd w:val="0"/>
        <w:ind w:firstLine="562"/>
        <w:outlineLvl w:val="2"/>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二、交货地点</w:t>
      </w:r>
      <w:bookmarkEnd w:id="217"/>
      <w:bookmarkEnd w:id="218"/>
    </w:p>
    <w:p w14:paraId="6ED1E743">
      <w:pPr>
        <w:widowControl w:val="0"/>
        <w:adjustRightInd w:val="0"/>
        <w:ind w:firstLine="562"/>
        <w:outlineLvl w:val="9"/>
        <w:rPr>
          <w:rFonts w:hint="eastAsia" w:ascii="Times New Roman" w:hAnsi="Times New Roman" w:eastAsia="宋体" w:cs="Times New Roman"/>
          <w:sz w:val="28"/>
          <w:szCs w:val="28"/>
        </w:rPr>
      </w:pPr>
      <w:bookmarkStart w:id="219" w:name="_Toc2256"/>
      <w:bookmarkStart w:id="220" w:name="_Toc41385842"/>
      <w:r>
        <w:rPr>
          <w:rFonts w:hint="eastAsia" w:ascii="Times New Roman" w:hAnsi="Times New Roman" w:eastAsia="宋体" w:cs="Times New Roman"/>
          <w:sz w:val="28"/>
          <w:szCs w:val="28"/>
        </w:rPr>
        <w:t>深圳市坪山区碧岭街道龙勤路与沙湖复兴路交汇处西北侧，瑞云府项目甲方指定位置。</w:t>
      </w:r>
    </w:p>
    <w:p w14:paraId="1B597500">
      <w:pPr>
        <w:widowControl w:val="0"/>
        <w:adjustRightInd w:val="0"/>
        <w:ind w:firstLine="562"/>
        <w:outlineLvl w:val="2"/>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三、交货方式及时间</w:t>
      </w:r>
      <w:bookmarkEnd w:id="219"/>
      <w:bookmarkEnd w:id="220"/>
    </w:p>
    <w:p w14:paraId="266599C4">
      <w:pPr>
        <w:widowControl w:val="0"/>
        <w:ind w:firstLine="560"/>
        <w:rPr>
          <w:rFonts w:ascii="Times New Roman" w:hAnsi="Times New Roman" w:eastAsia="宋体" w:cs="Times New Roman"/>
          <w:b/>
          <w:bCs/>
          <w:sz w:val="28"/>
          <w:szCs w:val="28"/>
        </w:rPr>
      </w:pPr>
      <w:r>
        <w:rPr>
          <w:rFonts w:ascii="Times New Roman" w:hAnsi="Times New Roman" w:eastAsia="宋体" w:cs="Times New Roman"/>
          <w:b/>
          <w:bCs/>
          <w:sz w:val="28"/>
          <w:szCs w:val="28"/>
        </w:rPr>
        <w:t>（一）</w:t>
      </w:r>
      <w:r>
        <w:rPr>
          <w:rFonts w:hint="eastAsia" w:ascii="Times New Roman" w:hAnsi="Times New Roman" w:eastAsia="宋体" w:cs="Times New Roman"/>
          <w:b/>
          <w:bCs/>
          <w:sz w:val="28"/>
          <w:szCs w:val="28"/>
          <w:lang w:val="en-US" w:eastAsia="zh-CN"/>
        </w:rPr>
        <w:t>交货期为</w:t>
      </w:r>
      <w:r>
        <w:rPr>
          <w:rFonts w:hint="eastAsia" w:ascii="Times New Roman" w:hAnsi="Times New Roman" w:eastAsia="宋体" w:cs="Times New Roman"/>
          <w:b/>
          <w:bCs/>
          <w:sz w:val="28"/>
          <w:szCs w:val="28"/>
          <w:u w:val="single"/>
          <w:lang w:val="en-US" w:eastAsia="zh-CN"/>
        </w:rPr>
        <w:t xml:space="preserve">     </w:t>
      </w:r>
      <w:r>
        <w:rPr>
          <w:rFonts w:ascii="Times New Roman" w:hAnsi="Times New Roman" w:eastAsia="宋体" w:cs="Times New Roman"/>
          <w:b/>
          <w:bCs/>
          <w:sz w:val="28"/>
          <w:szCs w:val="28"/>
        </w:rPr>
        <w:t>日历天</w:t>
      </w:r>
      <w:r>
        <w:rPr>
          <w:rFonts w:hint="eastAsia" w:ascii="Times New Roman" w:hAnsi="Times New Roman" w:eastAsia="宋体" w:cs="Times New Roman"/>
          <w:b/>
          <w:bCs/>
          <w:sz w:val="28"/>
          <w:szCs w:val="28"/>
          <w:lang w:eastAsia="zh-CN"/>
        </w:rPr>
        <w:t>（</w:t>
      </w:r>
      <w:r>
        <w:rPr>
          <w:rFonts w:hint="eastAsia" w:ascii="Times New Roman" w:hAnsi="Times New Roman" w:eastAsia="宋体" w:cs="Times New Roman"/>
          <w:b/>
          <w:bCs/>
          <w:sz w:val="28"/>
          <w:szCs w:val="28"/>
        </w:rPr>
        <w:t>开工日期以开工令时间为准</w:t>
      </w:r>
      <w:r>
        <w:rPr>
          <w:rFonts w:hint="eastAsia" w:ascii="Times New Roman" w:hAnsi="Times New Roman" w:eastAsia="宋体" w:cs="Times New Roman"/>
          <w:b/>
          <w:bCs/>
          <w:sz w:val="28"/>
          <w:szCs w:val="28"/>
          <w:lang w:eastAsia="zh-CN"/>
        </w:rPr>
        <w:t>）。</w:t>
      </w:r>
    </w:p>
    <w:p w14:paraId="34471AC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备注：甲方保留根据现场施工进度安排调整供货进度的权利，乙方须无条件接受。</w:t>
      </w:r>
    </w:p>
    <w:p w14:paraId="31F8DABF">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（二）交货时间已充分考虑了可能出现的各种规模的下雨、台风、高（低）温天气、停水、停电、节假日、交通运输、工地及周边环境等影响因素，乙方不得以任何理由推迟</w:t>
      </w:r>
      <w:r>
        <w:rPr>
          <w:rFonts w:hint="eastAsia" w:ascii="Times New Roman" w:hAnsi="Times New Roman" w:eastAsia="宋体" w:cs="Times New Roman"/>
          <w:sz w:val="28"/>
          <w:szCs w:val="28"/>
          <w:lang w:val="en-US" w:eastAsia="zh-CN"/>
        </w:rPr>
        <w:t>交货</w:t>
      </w:r>
      <w:r>
        <w:rPr>
          <w:rFonts w:ascii="Times New Roman" w:hAnsi="Times New Roman" w:eastAsia="宋体" w:cs="Times New Roman"/>
          <w:sz w:val="28"/>
          <w:szCs w:val="28"/>
        </w:rPr>
        <w:t>日期。</w:t>
      </w:r>
    </w:p>
    <w:p w14:paraId="7A18D5C9">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（三）甲方发出具有甲方代表签发的书面通知后，乙方应按合同要求进行生产备货（以当批次的书面通知为准）。经甲乙双方确认具备发货条件后，乙方按甲方要求供货</w:t>
      </w:r>
      <w:r>
        <w:rPr>
          <w:rFonts w:hint="eastAsia" w:ascii="Times New Roman" w:hAnsi="Times New Roman" w:eastAsia="宋体" w:cs="Times New Roman"/>
          <w:sz w:val="28"/>
          <w:szCs w:val="28"/>
        </w:rPr>
        <w:t>、完成安装且经甲方、监理及相关部门验收合格</w:t>
      </w:r>
      <w:r>
        <w:rPr>
          <w:rFonts w:ascii="Times New Roman" w:hAnsi="Times New Roman" w:eastAsia="宋体" w:cs="Times New Roman"/>
          <w:sz w:val="28"/>
          <w:szCs w:val="28"/>
        </w:rPr>
        <w:t>。否则造成诸如工期延误、返工等损失，由乙方承担全部责任。</w:t>
      </w:r>
    </w:p>
    <w:p w14:paraId="399E4051">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（四）交货时，乙方须随货提交的产品资料包括但不限于备件、出厂合格证、检验合格证、说明书、技术图纸、专用工具、保修凭证等</w:t>
      </w:r>
      <w:r>
        <w:rPr>
          <w:rFonts w:hint="eastAsia" w:ascii="Times New Roman" w:hAnsi="Times New Roman" w:eastAsia="宋体" w:cs="Times New Roman"/>
          <w:sz w:val="28"/>
          <w:szCs w:val="28"/>
        </w:rPr>
        <w:t>甲方要求的产品资料</w:t>
      </w:r>
      <w:r>
        <w:rPr>
          <w:rFonts w:ascii="Times New Roman" w:hAnsi="Times New Roman" w:eastAsia="宋体" w:cs="Times New Roman"/>
          <w:sz w:val="28"/>
          <w:szCs w:val="28"/>
        </w:rPr>
        <w:t>。</w:t>
      </w:r>
    </w:p>
    <w:p w14:paraId="103D13B8">
      <w:pPr>
        <w:widowControl w:val="0"/>
        <w:adjustRightInd w:val="0"/>
        <w:ind w:firstLine="562"/>
        <w:outlineLvl w:val="2"/>
        <w:rPr>
          <w:rFonts w:ascii="Times New Roman" w:hAnsi="Times New Roman" w:eastAsia="宋体" w:cs="Times New Roman"/>
          <w:kern w:val="0"/>
          <w:sz w:val="28"/>
          <w:szCs w:val="28"/>
        </w:rPr>
      </w:pPr>
      <w:bookmarkStart w:id="221" w:name="_Toc41385843"/>
      <w:bookmarkStart w:id="222" w:name="_Toc12273"/>
      <w:r>
        <w:rPr>
          <w:rFonts w:ascii="Times New Roman" w:hAnsi="Times New Roman" w:eastAsia="宋体" w:cs="Times New Roman"/>
          <w:b/>
          <w:kern w:val="0"/>
          <w:sz w:val="28"/>
          <w:szCs w:val="28"/>
        </w:rPr>
        <w:t>四、合同价款</w:t>
      </w:r>
      <w:bookmarkEnd w:id="221"/>
      <w:bookmarkEnd w:id="222"/>
    </w:p>
    <w:p w14:paraId="3B74F7CF">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（一）合同价款</w:t>
      </w:r>
    </w:p>
    <w:p w14:paraId="63E60AE6">
      <w:pPr>
        <w:widowControl w:val="0"/>
        <w:adjustRightInd w:val="0"/>
        <w:ind w:firstLine="560"/>
        <w:rPr>
          <w:rFonts w:hint="eastAsia" w:ascii="宋体" w:hAnsi="宋体" w:eastAsia="宋体" w:cs="宋体"/>
          <w:sz w:val="28"/>
          <w:szCs w:val="28"/>
          <w:u w:val="none"/>
        </w:rPr>
      </w:pPr>
      <w:r>
        <w:rPr>
          <w:rFonts w:hint="eastAsia" w:ascii="宋体" w:hAnsi="宋体" w:eastAsia="宋体" w:cs="宋体"/>
          <w:b/>
          <w:bCs/>
          <w:sz w:val="28"/>
          <w:szCs w:val="28"/>
          <w:u w:val="none"/>
        </w:rPr>
        <w:t>本合同总价（含税）为人民币</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rPr>
        <w:t>元整；（小写）：¥</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rPr>
        <w:t>元。税率为</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rPr>
        <w:t>%。不含税金额合计为¥</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rPr>
        <w:t>元，税金合计为¥</w:t>
      </w:r>
      <w:r>
        <w:rPr>
          <w:rFonts w:hint="eastAsia" w:ascii="宋体" w:hAnsi="宋体" w:eastAsia="宋体" w:cs="宋体"/>
          <w:b/>
          <w:bCs/>
          <w:sz w:val="28"/>
          <w:szCs w:val="28"/>
          <w:u w:val="single"/>
          <w:lang w:val="en-US" w:eastAsia="zh-CN"/>
        </w:rPr>
        <w:t xml:space="preserve">       </w:t>
      </w:r>
      <w:r>
        <w:rPr>
          <w:rFonts w:hint="eastAsia" w:ascii="宋体" w:hAnsi="宋体" w:eastAsia="宋体" w:cs="宋体"/>
          <w:b/>
          <w:bCs/>
          <w:sz w:val="28"/>
          <w:szCs w:val="28"/>
          <w:u w:val="none"/>
        </w:rPr>
        <w:t>元。</w:t>
      </w:r>
    </w:p>
    <w:p w14:paraId="52AEDBA0">
      <w:pPr>
        <w:widowControl w:val="0"/>
        <w:adjustRightInd w:val="0"/>
        <w:ind w:firstLine="560"/>
        <w:rPr>
          <w:rFonts w:ascii="Times New Roman" w:hAnsi="Times New Roman" w:eastAsia="宋体" w:cs="Times New Roman"/>
          <w:sz w:val="28"/>
          <w:szCs w:val="28"/>
          <w:highlight w:val="none"/>
        </w:rPr>
      </w:pPr>
      <w:r>
        <w:rPr>
          <w:rFonts w:hint="eastAsia" w:ascii="Times New Roman" w:hAnsi="Times New Roman" w:eastAsia="宋体" w:cs="Times New Roman"/>
          <w:b/>
          <w:bCs/>
          <w:sz w:val="28"/>
          <w:szCs w:val="28"/>
          <w:highlight w:val="none"/>
        </w:rPr>
        <w:t>本合同单价采用全费用综合单价，详见</w:t>
      </w:r>
      <w:r>
        <w:rPr>
          <w:rFonts w:hint="eastAsia" w:ascii="Times New Roman" w:hAnsi="Times New Roman" w:eastAsia="宋体" w:cs="Times New Roman"/>
          <w:b/>
          <w:bCs/>
          <w:sz w:val="28"/>
          <w:szCs w:val="28"/>
          <w:highlight w:val="none"/>
          <w:lang w:eastAsia="zh-CN"/>
        </w:rPr>
        <w:t>专用条款</w:t>
      </w:r>
      <w:r>
        <w:rPr>
          <w:rFonts w:hint="eastAsia" w:ascii="Times New Roman" w:hAnsi="Times New Roman" w:eastAsia="宋体" w:cs="Times New Roman"/>
          <w:b/>
          <w:bCs/>
          <w:sz w:val="28"/>
          <w:szCs w:val="28"/>
          <w:highlight w:val="none"/>
        </w:rPr>
        <w:t>及合同附件五，按合同价清单所列单价包干，任何一方不得擅自改变。</w:t>
      </w:r>
      <w:r>
        <w:rPr>
          <w:rFonts w:hint="eastAsia" w:ascii="Times New Roman" w:hAnsi="Times New Roman" w:eastAsia="宋体" w:cs="Times New Roman"/>
          <w:sz w:val="28"/>
          <w:szCs w:val="28"/>
          <w:highlight w:val="none"/>
        </w:rPr>
        <w:t>除合同双方另行在</w:t>
      </w:r>
      <w:r>
        <w:rPr>
          <w:rFonts w:hint="eastAsia" w:ascii="Times New Roman" w:hAnsi="Times New Roman" w:eastAsia="宋体" w:cs="Times New Roman"/>
          <w:sz w:val="28"/>
          <w:szCs w:val="28"/>
          <w:highlight w:val="none"/>
          <w:lang w:eastAsia="zh-CN"/>
        </w:rPr>
        <w:t>专用条款</w:t>
      </w:r>
      <w:r>
        <w:rPr>
          <w:rFonts w:hint="eastAsia" w:ascii="Times New Roman" w:hAnsi="Times New Roman" w:eastAsia="宋体" w:cs="Times New Roman"/>
          <w:sz w:val="28"/>
          <w:szCs w:val="28"/>
          <w:highlight w:val="none"/>
        </w:rPr>
        <w:t>内约定及补充外，合同单价包括乙方按照合同清单将满足技术标准和质量要求的成品设备材料送到甲乙双方约定地点，按照甲方要求完成卸货、安装且经甲方、监理及相关单位验收合格等完成本合同约定义务所支付的费用。货款按照经甲方确认的实际供货数量结算。</w:t>
      </w:r>
    </w:p>
    <w:p w14:paraId="1CDA11B1">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w:t>
      </w:r>
      <w:r>
        <w:rPr>
          <w:rFonts w:hint="eastAsia" w:ascii="Times New Roman" w:hAnsi="Times New Roman" w:eastAsia="宋体" w:cs="Times New Roman"/>
          <w:sz w:val="28"/>
          <w:szCs w:val="28"/>
        </w:rPr>
        <w:t>本合同采用固定单价合同，合同价款为按照合同约定及甲方要求、招标文件、技术要求、图纸要求完成本项目所必须的一切成本和费用，乙方在履行合同过程中所需的任何项目，若在合同的所有条款中未有另外约定价款或明确约定说明需增加费用外，有关费用均视作已包含在其他有价款的项目的单价及合同总价内，甲方不因此而增加支付乙方任何费用。除双方另有约定外，甲方无需就本合同向乙方及任何第三方支付其他任何费用。</w:t>
      </w:r>
    </w:p>
    <w:p w14:paraId="03CB3D50">
      <w:pPr>
        <w:widowControl w:val="0"/>
        <w:adjustRightInd w:val="0"/>
        <w:ind w:firstLine="562"/>
        <w:outlineLvl w:val="2"/>
        <w:rPr>
          <w:rFonts w:ascii="Times New Roman" w:hAnsi="Times New Roman" w:eastAsia="宋体" w:cs="Times New Roman"/>
          <w:kern w:val="0"/>
          <w:sz w:val="28"/>
          <w:szCs w:val="28"/>
        </w:rPr>
      </w:pPr>
      <w:bookmarkStart w:id="223" w:name="_Toc41385844"/>
      <w:bookmarkStart w:id="224" w:name="_Toc232820051"/>
      <w:bookmarkStart w:id="225" w:name="_Toc232820491"/>
      <w:bookmarkStart w:id="226" w:name="_Toc30261"/>
      <w:bookmarkStart w:id="227" w:name="_Toc227655829"/>
      <w:bookmarkStart w:id="228" w:name="_Toc230429414"/>
      <w:r>
        <w:rPr>
          <w:rFonts w:ascii="Times New Roman" w:hAnsi="Times New Roman" w:eastAsia="宋体" w:cs="Times New Roman"/>
          <w:b/>
          <w:kern w:val="0"/>
          <w:sz w:val="28"/>
          <w:szCs w:val="28"/>
        </w:rPr>
        <w:t>五、组成合同的文件</w:t>
      </w:r>
      <w:bookmarkEnd w:id="223"/>
      <w:bookmarkEnd w:id="224"/>
      <w:bookmarkEnd w:id="225"/>
      <w:bookmarkEnd w:id="226"/>
      <w:bookmarkEnd w:id="227"/>
      <w:bookmarkEnd w:id="228"/>
    </w:p>
    <w:p w14:paraId="7AEEB085">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组成本合同的文件及法律适用优先解释顺序如下：</w:t>
      </w:r>
    </w:p>
    <w:p w14:paraId="4CC7098B">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（1）本合同签订后双方新签订的补充协议；</w:t>
      </w:r>
    </w:p>
    <w:p w14:paraId="5A5EEE0A">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（2）本合同协议书；</w:t>
      </w:r>
    </w:p>
    <w:p w14:paraId="3BCA6BA8">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（3）中标通知书或委托书（如果有）</w:t>
      </w:r>
    </w:p>
    <w:p w14:paraId="1C4F1281">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（4）本合同</w:t>
      </w:r>
      <w:r>
        <w:rPr>
          <w:rFonts w:hint="eastAsia" w:ascii="Times New Roman" w:hAnsi="Times New Roman" w:eastAsia="宋体" w:cs="Times New Roman"/>
          <w:sz w:val="28"/>
          <w:szCs w:val="28"/>
          <w:lang w:val="en-US" w:eastAsia="zh-CN"/>
        </w:rPr>
        <w:t>补充</w:t>
      </w:r>
      <w:r>
        <w:rPr>
          <w:rFonts w:ascii="Times New Roman" w:hAnsi="Times New Roman" w:eastAsia="宋体" w:cs="Times New Roman"/>
          <w:sz w:val="28"/>
          <w:szCs w:val="28"/>
        </w:rPr>
        <w:t>条款；</w:t>
      </w:r>
    </w:p>
    <w:p w14:paraId="30E8FD0C">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（5）本合同</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（含附录）；</w:t>
      </w:r>
    </w:p>
    <w:p w14:paraId="55F3FDFD">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（6）本合同通用条款；</w:t>
      </w:r>
    </w:p>
    <w:p w14:paraId="68DBE0C1">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（7）招标文件（含招标文件补充文件、招标人澄清文件、答疑文件等）；</w:t>
      </w:r>
    </w:p>
    <w:p w14:paraId="02FF51A8">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（8）投标函及投标文件；</w:t>
      </w:r>
    </w:p>
    <w:p w14:paraId="33599E49">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（9）双方确认的供货材料设备清单；</w:t>
      </w:r>
    </w:p>
    <w:p w14:paraId="77B5885D">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（10）工程设计图纸及相关设计变更；</w:t>
      </w:r>
    </w:p>
    <w:p w14:paraId="2DACCDFF">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 xml:space="preserve">（11）国家及行业相关技术标准； </w:t>
      </w:r>
    </w:p>
    <w:p w14:paraId="2F6F833F">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（12）乙方承诺函件；</w:t>
      </w:r>
    </w:p>
    <w:p w14:paraId="0D7EFF3E">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（13）甲乙双方有关工程的洽商、变更等书面记录、协议和来往的文件等。</w:t>
      </w:r>
    </w:p>
    <w:p w14:paraId="73232116">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上述各项合同文件包括合同当事人就该项合同文件所作出的补充和修改，属于同一类内容的文件，应以最新签署的为准。</w:t>
      </w:r>
    </w:p>
    <w:p w14:paraId="484D17D0">
      <w:pPr>
        <w:widowControl w:val="0"/>
        <w:adjustRightInd w:val="0"/>
        <w:ind w:firstLine="562"/>
        <w:outlineLvl w:val="2"/>
        <w:rPr>
          <w:rFonts w:ascii="Times New Roman" w:hAnsi="Times New Roman" w:eastAsia="宋体" w:cs="Times New Roman"/>
          <w:b/>
          <w:kern w:val="0"/>
          <w:sz w:val="28"/>
          <w:szCs w:val="28"/>
        </w:rPr>
      </w:pPr>
      <w:bookmarkStart w:id="229" w:name="_Toc16927"/>
      <w:bookmarkStart w:id="230" w:name="_Toc41385845"/>
      <w:r>
        <w:rPr>
          <w:rFonts w:ascii="Times New Roman" w:hAnsi="Times New Roman" w:eastAsia="宋体" w:cs="Times New Roman"/>
          <w:b/>
          <w:bCs/>
          <w:kern w:val="0"/>
          <w:sz w:val="28"/>
          <w:szCs w:val="28"/>
        </w:rPr>
        <w:t>六、</w:t>
      </w:r>
      <w:r>
        <w:rPr>
          <w:rFonts w:ascii="Times New Roman" w:hAnsi="Times New Roman" w:eastAsia="宋体" w:cs="Times New Roman"/>
          <w:b/>
          <w:kern w:val="0"/>
          <w:sz w:val="28"/>
          <w:szCs w:val="28"/>
        </w:rPr>
        <w:t>词语含义</w:t>
      </w:r>
      <w:bookmarkEnd w:id="229"/>
      <w:bookmarkEnd w:id="230"/>
    </w:p>
    <w:p w14:paraId="444C2501">
      <w:pPr>
        <w:widowControl w:val="0"/>
        <w:adjustRightInd w:val="0"/>
        <w:ind w:firstLine="560"/>
        <w:rPr>
          <w:rFonts w:ascii="Times New Roman" w:hAnsi="Times New Roman" w:eastAsia="宋体" w:cs="Times New Roman"/>
          <w:sz w:val="28"/>
          <w:szCs w:val="28"/>
        </w:rPr>
      </w:pPr>
      <w:bookmarkStart w:id="231" w:name="_Toc351203492"/>
      <w:bookmarkStart w:id="232" w:name="_Toc28616"/>
      <w:r>
        <w:rPr>
          <w:rFonts w:ascii="Times New Roman" w:hAnsi="Times New Roman" w:eastAsia="宋体" w:cs="Times New Roman"/>
          <w:sz w:val="28"/>
          <w:szCs w:val="28"/>
        </w:rPr>
        <w:t>（一）本协议书中有关词语含义与本合同“专用条款”和“通用条款”中赋予它们的定义相同。</w:t>
      </w:r>
    </w:p>
    <w:p w14:paraId="1C63C118">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（二）本合同有关条款所述“赔偿金”、“赔偿费”、“罚款”在性质上均属于《中华人民共和国民法典》中规定的“违约金”。</w:t>
      </w:r>
    </w:p>
    <w:p w14:paraId="68C90823">
      <w:pPr>
        <w:widowControl w:val="0"/>
        <w:adjustRightInd w:val="0"/>
        <w:ind w:firstLine="562"/>
        <w:outlineLvl w:val="2"/>
        <w:rPr>
          <w:rFonts w:ascii="Times New Roman" w:hAnsi="Times New Roman" w:eastAsia="宋体" w:cs="Times New Roman"/>
          <w:b/>
          <w:kern w:val="0"/>
          <w:sz w:val="28"/>
          <w:szCs w:val="28"/>
        </w:rPr>
      </w:pPr>
      <w:bookmarkStart w:id="233" w:name="_Toc41385846"/>
      <w:bookmarkStart w:id="234" w:name="_Toc19758"/>
      <w:r>
        <w:rPr>
          <w:rFonts w:ascii="Times New Roman" w:hAnsi="Times New Roman" w:eastAsia="宋体" w:cs="Times New Roman"/>
          <w:b/>
          <w:bCs/>
          <w:kern w:val="0"/>
          <w:sz w:val="28"/>
          <w:szCs w:val="28"/>
        </w:rPr>
        <w:t>七、</w:t>
      </w:r>
      <w:bookmarkEnd w:id="231"/>
      <w:bookmarkEnd w:id="232"/>
      <w:r>
        <w:rPr>
          <w:rFonts w:ascii="Times New Roman" w:hAnsi="Times New Roman" w:eastAsia="宋体" w:cs="Times New Roman"/>
          <w:b/>
          <w:bCs/>
          <w:kern w:val="0"/>
          <w:sz w:val="28"/>
          <w:szCs w:val="28"/>
        </w:rPr>
        <w:t>承诺</w:t>
      </w:r>
      <w:bookmarkEnd w:id="233"/>
      <w:bookmarkEnd w:id="234"/>
    </w:p>
    <w:p w14:paraId="3A6B038A">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（一）乙方承诺，按照本合同约定时间提供符合本合同</w:t>
      </w:r>
      <w:r>
        <w:rPr>
          <w:rFonts w:hint="eastAsia" w:ascii="宋体" w:hAnsi="宋体" w:eastAsia="宋体" w:cs="Times New Roman"/>
          <w:color w:val="auto"/>
          <w:sz w:val="28"/>
          <w:szCs w:val="28"/>
          <w:lang w:val="en-US" w:eastAsia="zh-CN"/>
        </w:rPr>
        <w:t>约定、甲方要求</w:t>
      </w:r>
      <w:r>
        <w:rPr>
          <w:rFonts w:ascii="Times New Roman" w:hAnsi="Times New Roman" w:eastAsia="宋体" w:cs="Times New Roman"/>
          <w:sz w:val="28"/>
          <w:szCs w:val="28"/>
        </w:rPr>
        <w:t>和国家相关技术标准要求的产品，并按本合同约定和国家相关规定承担产品质量保修期内免费保修责任。</w:t>
      </w:r>
    </w:p>
    <w:p w14:paraId="085F94E6">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w:t>
      </w:r>
      <w:r>
        <w:rPr>
          <w:rFonts w:hint="eastAsia" w:ascii="Times New Roman" w:hAnsi="Times New Roman" w:eastAsia="宋体" w:cs="Times New Roman"/>
          <w:sz w:val="28"/>
          <w:szCs w:val="28"/>
        </w:rPr>
        <w:t>乙方承诺，会有效地、及时地完成本合同约定及甲方要求的内容。若经甲方认定， 因乙方原因未能完成或所完成的内容未能满足合同约定及甲方要求的，乙方同意向甲方支付本合同结算价之10%作为违约金；如违约金不足以弥补甲方损失的，甲方有权要求乙方承担补充赔偿责任。乙方同意甲方有权从任一应向乙方支付的款项中直接扣除乙方应承担的违约金、损失赔偿金且无需另行征得乙方同意。</w:t>
      </w:r>
    </w:p>
    <w:p w14:paraId="20AD8DD0">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（三）</w:t>
      </w:r>
      <w:r>
        <w:rPr>
          <w:rFonts w:hint="eastAsia" w:ascii="Times New Roman" w:hAnsi="Times New Roman" w:eastAsia="宋体" w:cs="Times New Roman"/>
          <w:sz w:val="28"/>
          <w:szCs w:val="28"/>
        </w:rPr>
        <w:t>甲方承诺，按照本合同约定的方式支付应付供货款。</w:t>
      </w:r>
    </w:p>
    <w:p w14:paraId="2EFC535B">
      <w:pPr>
        <w:widowControl w:val="0"/>
        <w:adjustRightInd w:val="0"/>
        <w:ind w:firstLine="562"/>
        <w:outlineLvl w:val="2"/>
        <w:rPr>
          <w:rFonts w:ascii="Times New Roman" w:hAnsi="Times New Roman" w:eastAsia="宋体" w:cs="Times New Roman"/>
          <w:b/>
          <w:kern w:val="0"/>
          <w:sz w:val="28"/>
          <w:szCs w:val="28"/>
        </w:rPr>
      </w:pPr>
      <w:bookmarkStart w:id="235" w:name="_Toc16071"/>
      <w:bookmarkStart w:id="236" w:name="_Toc41385847"/>
      <w:bookmarkStart w:id="237" w:name="_Toc227655833"/>
      <w:bookmarkStart w:id="238" w:name="_Toc232820055"/>
      <w:bookmarkStart w:id="239" w:name="_Toc235010936"/>
      <w:bookmarkStart w:id="240" w:name="_Toc230429418"/>
      <w:bookmarkStart w:id="241" w:name="_Toc232820495"/>
      <w:r>
        <w:rPr>
          <w:rFonts w:ascii="Times New Roman" w:hAnsi="Times New Roman" w:eastAsia="宋体" w:cs="Times New Roman"/>
          <w:b/>
          <w:kern w:val="0"/>
          <w:sz w:val="28"/>
          <w:szCs w:val="28"/>
        </w:rPr>
        <w:t>八</w:t>
      </w:r>
      <w:r>
        <w:rPr>
          <w:rFonts w:ascii="Times New Roman" w:hAnsi="Times New Roman" w:eastAsia="宋体" w:cs="Times New Roman"/>
          <w:b/>
          <w:bCs/>
          <w:kern w:val="0"/>
          <w:sz w:val="28"/>
          <w:szCs w:val="28"/>
        </w:rPr>
        <w:t>、合同订立与生效</w:t>
      </w:r>
      <w:bookmarkEnd w:id="235"/>
      <w:bookmarkEnd w:id="236"/>
    </w:p>
    <w:p w14:paraId="424ABA28">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（一）本合同订立时间：</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rPr>
        <w:t>年</w:t>
      </w:r>
      <w:r>
        <w:rPr>
          <w:rFonts w:hint="eastAsia" w:ascii="Times New Roman" w:hAnsi="Times New Roman" w:eastAsia="宋体" w:cs="Times New Roman"/>
          <w:sz w:val="28"/>
          <w:szCs w:val="28"/>
          <w:u w:val="single"/>
          <w:lang w:val="en-US" w:eastAsia="zh-CN"/>
        </w:rPr>
        <w:t xml:space="preserve">    </w:t>
      </w:r>
      <w:r>
        <w:rPr>
          <w:rFonts w:ascii="Times New Roman" w:hAnsi="Times New Roman" w:eastAsia="宋体" w:cs="Times New Roman"/>
          <w:sz w:val="28"/>
          <w:szCs w:val="28"/>
        </w:rPr>
        <w:t>月____日。</w:t>
      </w:r>
    </w:p>
    <w:p w14:paraId="72932705">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（二）订立地点：</w:t>
      </w:r>
      <w:r>
        <w:rPr>
          <w:rFonts w:ascii="Times New Roman" w:hAnsi="Times New Roman" w:eastAsia="宋体" w:cs="Times New Roman"/>
          <w:sz w:val="28"/>
          <w:szCs w:val="28"/>
          <w:u w:val="single"/>
        </w:rPr>
        <w:t>深圳市</w:t>
      </w:r>
      <w:r>
        <w:rPr>
          <w:rFonts w:ascii="Times New Roman" w:hAnsi="Times New Roman" w:eastAsia="宋体" w:cs="Times New Roman"/>
          <w:sz w:val="28"/>
          <w:szCs w:val="28"/>
        </w:rPr>
        <w:t>。</w:t>
      </w:r>
    </w:p>
    <w:p w14:paraId="729BB8B6">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（三）</w:t>
      </w:r>
      <w:r>
        <w:rPr>
          <w:rFonts w:hint="eastAsia" w:ascii="Times New Roman" w:hAnsi="Times New Roman" w:eastAsia="宋体" w:cs="Times New Roman"/>
          <w:sz w:val="28"/>
          <w:szCs w:val="28"/>
        </w:rPr>
        <w:t>甲方和乙方约定本合同</w:t>
      </w:r>
      <w:r>
        <w:rPr>
          <w:rFonts w:hint="eastAsia" w:ascii="宋体" w:hAnsi="宋体" w:eastAsia="宋体" w:cs="宋体"/>
          <w:b/>
          <w:bCs/>
          <w:sz w:val="28"/>
          <w:szCs w:val="28"/>
          <w:u w:val="single"/>
        </w:rPr>
        <w:t>自双方法定代表人/委托代理人签字并加盖公司公章后</w:t>
      </w:r>
      <w:r>
        <w:rPr>
          <w:rFonts w:hint="eastAsia" w:ascii="Times New Roman" w:hAnsi="Times New Roman" w:eastAsia="宋体" w:cs="Times New Roman"/>
          <w:sz w:val="28"/>
          <w:szCs w:val="28"/>
        </w:rPr>
        <w:t>生效。</w:t>
      </w:r>
    </w:p>
    <w:p w14:paraId="4D57471F">
      <w:pPr>
        <w:widowControl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（四）本合同一式</w:t>
      </w:r>
      <w:r>
        <w:rPr>
          <w:rFonts w:ascii="Times New Roman" w:hAnsi="Times New Roman" w:eastAsia="宋体" w:cs="Times New Roman"/>
          <w:sz w:val="28"/>
          <w:szCs w:val="28"/>
          <w:u w:val="single"/>
        </w:rPr>
        <w:t xml:space="preserve"> 陆 </w:t>
      </w:r>
      <w:r>
        <w:rPr>
          <w:rFonts w:ascii="Times New Roman" w:hAnsi="Times New Roman" w:eastAsia="宋体" w:cs="Times New Roman"/>
          <w:sz w:val="28"/>
          <w:szCs w:val="28"/>
        </w:rPr>
        <w:t>份，均具有同等法律效力，其中甲方执</w:t>
      </w:r>
      <w:r>
        <w:rPr>
          <w:rFonts w:ascii="Times New Roman" w:hAnsi="Times New Roman" w:eastAsia="宋体" w:cs="Times New Roman"/>
          <w:sz w:val="28"/>
          <w:szCs w:val="28"/>
          <w:u w:val="single"/>
        </w:rPr>
        <w:t xml:space="preserve"> 肆 </w:t>
      </w:r>
      <w:r>
        <w:rPr>
          <w:rFonts w:ascii="Times New Roman" w:hAnsi="Times New Roman" w:eastAsia="宋体" w:cs="Times New Roman"/>
          <w:sz w:val="28"/>
          <w:szCs w:val="28"/>
        </w:rPr>
        <w:t>份，乙方执</w:t>
      </w:r>
      <w:r>
        <w:rPr>
          <w:rFonts w:ascii="Times New Roman" w:hAnsi="Times New Roman" w:eastAsia="宋体" w:cs="Times New Roman"/>
          <w:sz w:val="28"/>
          <w:szCs w:val="28"/>
          <w:u w:val="single"/>
        </w:rPr>
        <w:t xml:space="preserve"> 贰 </w:t>
      </w:r>
      <w:r>
        <w:rPr>
          <w:rFonts w:ascii="Times New Roman" w:hAnsi="Times New Roman" w:eastAsia="宋体" w:cs="Times New Roman"/>
          <w:sz w:val="28"/>
          <w:szCs w:val="28"/>
        </w:rPr>
        <w:t>份。</w:t>
      </w:r>
    </w:p>
    <w:p w14:paraId="1885CE76">
      <w:pPr>
        <w:widowControl w:val="0"/>
        <w:adjustRightInd w:val="0"/>
        <w:ind w:firstLine="560"/>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lang w:val="en-US" w:eastAsia="zh-CN"/>
        </w:rPr>
        <w:t>以下无正文</w:t>
      </w:r>
      <w:r>
        <w:rPr>
          <w:rFonts w:hint="eastAsia" w:ascii="Times New Roman" w:hAnsi="Times New Roman" w:eastAsia="宋体" w:cs="Times New Roman"/>
          <w:sz w:val="28"/>
          <w:szCs w:val="28"/>
          <w:lang w:eastAsia="zh-CN"/>
        </w:rPr>
        <w:t>）</w:t>
      </w:r>
    </w:p>
    <w:p w14:paraId="1CB1589C">
      <w:pPr>
        <w:rPr>
          <w:rFonts w:hint="eastAsia" w:ascii="Times New Roman" w:hAnsi="Times New Roman" w:eastAsia="宋体" w:cs="Times New Roman"/>
          <w:sz w:val="28"/>
          <w:szCs w:val="28"/>
          <w:lang w:eastAsia="zh-CN"/>
        </w:rPr>
      </w:pPr>
      <w:r>
        <w:rPr>
          <w:rFonts w:hint="eastAsia" w:ascii="Times New Roman" w:hAnsi="Times New Roman" w:eastAsia="宋体" w:cs="Times New Roman"/>
          <w:sz w:val="28"/>
          <w:szCs w:val="28"/>
          <w:lang w:eastAsia="zh-CN"/>
        </w:rPr>
        <w:br w:type="page"/>
      </w:r>
    </w:p>
    <w:tbl>
      <w:tblPr>
        <w:tblStyle w:val="439"/>
        <w:tblW w:w="9263" w:type="dxa"/>
        <w:tblInd w:w="-367"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5025"/>
        <w:gridCol w:w="4238"/>
      </w:tblGrid>
      <w:tr w14:paraId="4FED619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71" w:hRule="atLeast"/>
        </w:trPr>
        <w:tc>
          <w:tcPr>
            <w:tcW w:w="5025" w:type="dxa"/>
            <w:vAlign w:val="top"/>
          </w:tcPr>
          <w:p w14:paraId="63877D65">
            <w:pPr>
              <w:overflowPunct w:val="0"/>
              <w:autoSpaceDE w:val="0"/>
              <w:autoSpaceDN w:val="0"/>
              <w:bidi w:val="0"/>
              <w:adjustRightInd w:val="0"/>
              <w:spacing w:before="78" w:line="360" w:lineRule="auto"/>
              <w:ind w:left="716" w:leftChars="0" w:hanging="716" w:hangingChars="297"/>
              <w:jc w:val="left"/>
              <w:textAlignment w:val="baseline"/>
              <w:rPr>
                <w:rFonts w:ascii="宋体" w:hAnsi="宋体" w:eastAsia="宋体" w:cs="宋体"/>
                <w:b/>
                <w:bCs/>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甲方：深圳市高新健置业开发有限公司</w:t>
            </w:r>
          </w:p>
          <w:p w14:paraId="4498040C">
            <w:pPr>
              <w:overflowPunct w:val="0"/>
              <w:autoSpaceDE w:val="0"/>
              <w:autoSpaceDN w:val="0"/>
              <w:bidi w:val="0"/>
              <w:adjustRightInd w:val="0"/>
              <w:spacing w:before="78" w:line="360" w:lineRule="auto"/>
              <w:ind w:left="712" w:leftChars="0" w:hanging="712"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val="0"/>
                <w:bCs w:val="0"/>
                <w:spacing w:val="0"/>
                <w:sz w:val="24"/>
                <w:szCs w:val="24"/>
                <w:highlight w:val="none"/>
                <w:lang w:val="en-US" w:eastAsia="en-US" w:bidi="ar-SA"/>
              </w:rPr>
              <w:t>(公章)</w:t>
            </w:r>
          </w:p>
        </w:tc>
        <w:tc>
          <w:tcPr>
            <w:tcW w:w="4238" w:type="dxa"/>
            <w:vAlign w:val="top"/>
          </w:tcPr>
          <w:p w14:paraId="52D2C840">
            <w:pPr>
              <w:overflowPunct w:val="0"/>
              <w:autoSpaceDE w:val="0"/>
              <w:autoSpaceDN w:val="0"/>
              <w:bidi w:val="0"/>
              <w:adjustRightInd w:val="0"/>
              <w:spacing w:before="78" w:line="360" w:lineRule="auto"/>
              <w:ind w:left="716" w:leftChars="0" w:hanging="716" w:hangingChars="297"/>
              <w:jc w:val="left"/>
              <w:textAlignment w:val="baseline"/>
              <w:rPr>
                <w:rFonts w:hint="default" w:ascii="宋体" w:hAnsi="宋体" w:eastAsia="宋体" w:cs="宋体"/>
                <w:spacing w:val="0"/>
                <w:sz w:val="24"/>
                <w:szCs w:val="24"/>
                <w:highlight w:val="none"/>
                <w:lang w:val="en-US" w:eastAsia="zh-CN" w:bidi="ar-SA"/>
              </w:rPr>
            </w:pPr>
            <w:r>
              <w:rPr>
                <w:rFonts w:ascii="宋体" w:hAnsi="宋体" w:eastAsia="宋体" w:cs="宋体"/>
                <w:b/>
                <w:bCs/>
                <w:spacing w:val="0"/>
                <w:sz w:val="24"/>
                <w:szCs w:val="24"/>
                <w:highlight w:val="none"/>
                <w:lang w:val="en-US" w:eastAsia="en-US" w:bidi="ar-SA"/>
              </w:rPr>
              <w:t>乙方：</w:t>
            </w:r>
          </w:p>
          <w:p w14:paraId="2F0F4059">
            <w:pPr>
              <w:overflowPunct w:val="0"/>
              <w:autoSpaceDE w:val="0"/>
              <w:autoSpaceDN w:val="0"/>
              <w:bidi w:val="0"/>
              <w:adjustRightInd w:val="0"/>
              <w:spacing w:before="212" w:line="360" w:lineRule="auto"/>
              <w:ind w:left="712" w:leftChars="0" w:hanging="712"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spacing w:val="0"/>
                <w:sz w:val="24"/>
                <w:szCs w:val="24"/>
                <w:highlight w:val="none"/>
                <w:lang w:val="en-US" w:eastAsia="en-US" w:bidi="ar-SA"/>
              </w:rPr>
              <w:t>(公章)</w:t>
            </w:r>
          </w:p>
        </w:tc>
      </w:tr>
      <w:tr w14:paraId="6680C91D">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879" w:hRule="atLeast"/>
        </w:trPr>
        <w:tc>
          <w:tcPr>
            <w:tcW w:w="5025" w:type="dxa"/>
            <w:vAlign w:val="top"/>
          </w:tcPr>
          <w:p w14:paraId="59CBC8A8">
            <w:pPr>
              <w:overflowPunct w:val="0"/>
              <w:autoSpaceDE w:val="0"/>
              <w:autoSpaceDN w:val="0"/>
              <w:bidi w:val="0"/>
              <w:adjustRightInd w:val="0"/>
              <w:spacing w:before="144"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法定代表人或其委托代理人：</w:t>
            </w:r>
          </w:p>
          <w:p w14:paraId="427AD1BB">
            <w:pPr>
              <w:overflowPunct w:val="0"/>
              <w:autoSpaceDE w:val="0"/>
              <w:autoSpaceDN w:val="0"/>
              <w:bidi w:val="0"/>
              <w:adjustRightInd w:val="0"/>
              <w:spacing w:before="214" w:line="360" w:lineRule="auto"/>
              <w:ind w:left="712" w:leftChars="0" w:hanging="712"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spacing w:val="0"/>
                <w:sz w:val="24"/>
                <w:szCs w:val="24"/>
                <w:highlight w:val="none"/>
                <w:lang w:val="en-US" w:eastAsia="en-US" w:bidi="ar-SA"/>
              </w:rPr>
              <w:t>（签字）</w:t>
            </w:r>
          </w:p>
        </w:tc>
        <w:tc>
          <w:tcPr>
            <w:tcW w:w="4238" w:type="dxa"/>
            <w:vAlign w:val="top"/>
          </w:tcPr>
          <w:p w14:paraId="2AE1368B">
            <w:pPr>
              <w:overflowPunct w:val="0"/>
              <w:autoSpaceDE w:val="0"/>
              <w:autoSpaceDN w:val="0"/>
              <w:bidi w:val="0"/>
              <w:adjustRightInd w:val="0"/>
              <w:spacing w:before="144" w:line="360" w:lineRule="auto"/>
              <w:ind w:left="716" w:leftChars="0" w:hanging="716" w:hangingChars="297"/>
              <w:jc w:val="both"/>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法定代表人或其委托代理人：</w:t>
            </w:r>
          </w:p>
          <w:p w14:paraId="2D1B857F">
            <w:pPr>
              <w:overflowPunct w:val="0"/>
              <w:autoSpaceDE w:val="0"/>
              <w:autoSpaceDN w:val="0"/>
              <w:bidi w:val="0"/>
              <w:adjustRightInd w:val="0"/>
              <w:spacing w:before="214" w:line="360" w:lineRule="auto"/>
              <w:ind w:left="712" w:leftChars="0" w:hanging="712"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spacing w:val="0"/>
                <w:sz w:val="24"/>
                <w:szCs w:val="24"/>
                <w:highlight w:val="none"/>
                <w:lang w:val="en-US" w:eastAsia="en-US" w:bidi="ar-SA"/>
              </w:rPr>
              <w:t>（签字）</w:t>
            </w:r>
          </w:p>
        </w:tc>
      </w:tr>
      <w:tr w14:paraId="4D67FD7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2" w:hRule="atLeast"/>
        </w:trPr>
        <w:tc>
          <w:tcPr>
            <w:tcW w:w="5025" w:type="dxa"/>
            <w:vAlign w:val="top"/>
          </w:tcPr>
          <w:p w14:paraId="18A1F937">
            <w:pPr>
              <w:overflowPunct w:val="0"/>
              <w:autoSpaceDE w:val="0"/>
              <w:autoSpaceDN w:val="0"/>
              <w:bidi w:val="0"/>
              <w:adjustRightInd w:val="0"/>
              <w:spacing w:before="144"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统一社会信用代码：</w:t>
            </w:r>
            <w:r>
              <w:rPr>
                <w:rFonts w:ascii="宋体" w:hAnsi="宋体" w:eastAsia="宋体" w:cs="宋体"/>
                <w:spacing w:val="0"/>
                <w:sz w:val="24"/>
                <w:szCs w:val="24"/>
                <w:highlight w:val="none"/>
                <w:u w:val="none" w:color="auto"/>
                <w:lang w:val="en-US" w:eastAsia="en-US" w:bidi="ar-SA"/>
              </w:rPr>
              <w:t>91440300MACRA7963Y</w:t>
            </w:r>
          </w:p>
        </w:tc>
        <w:tc>
          <w:tcPr>
            <w:tcW w:w="4238" w:type="dxa"/>
            <w:vAlign w:val="top"/>
          </w:tcPr>
          <w:p w14:paraId="6DACF620">
            <w:pPr>
              <w:overflowPunct w:val="0"/>
              <w:autoSpaceDE w:val="0"/>
              <w:autoSpaceDN w:val="0"/>
              <w:bidi w:val="0"/>
              <w:adjustRightInd w:val="0"/>
              <w:spacing w:before="144"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统一社会信用代码：</w:t>
            </w:r>
          </w:p>
        </w:tc>
      </w:tr>
      <w:tr w14:paraId="4E22D0F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30" w:hRule="atLeast"/>
        </w:trPr>
        <w:tc>
          <w:tcPr>
            <w:tcW w:w="5025" w:type="dxa"/>
            <w:vAlign w:val="top"/>
          </w:tcPr>
          <w:p w14:paraId="39D5933E">
            <w:pPr>
              <w:keepNext w:val="0"/>
              <w:keepLines w:val="0"/>
              <w:pageBreakBefore w:val="0"/>
              <w:widowControl/>
              <w:kinsoku/>
              <w:wordWrap/>
              <w:overflowPunct w:val="0"/>
              <w:topLinePunct w:val="0"/>
              <w:autoSpaceDE w:val="0"/>
              <w:autoSpaceDN w:val="0"/>
              <w:bidi w:val="0"/>
              <w:adjustRightInd w:val="0"/>
              <w:snapToGrid/>
              <w:spacing w:line="360" w:lineRule="auto"/>
              <w:ind w:left="716" w:leftChars="0" w:hanging="716" w:hangingChars="297"/>
              <w:jc w:val="left"/>
              <w:textAlignment w:val="baseline"/>
              <w:rPr>
                <w:rFonts w:hint="eastAsia" w:ascii="宋体" w:hAnsi="宋体" w:eastAsia="宋体" w:cs="宋体"/>
                <w:spacing w:val="0"/>
                <w:sz w:val="24"/>
                <w:szCs w:val="24"/>
                <w:highlight w:val="none"/>
                <w:lang w:val="en-US" w:eastAsia="zh-CN" w:bidi="ar-SA"/>
              </w:rPr>
            </w:pPr>
            <w:r>
              <w:rPr>
                <w:rFonts w:ascii="宋体" w:hAnsi="宋体" w:eastAsia="宋体" w:cs="宋体"/>
                <w:b/>
                <w:bCs/>
                <w:spacing w:val="0"/>
                <w:sz w:val="24"/>
                <w:szCs w:val="24"/>
                <w:highlight w:val="none"/>
                <w:u w:val="none" w:color="auto"/>
                <w:lang w:val="en-US" w:eastAsia="en-US" w:bidi="ar-SA"/>
              </w:rPr>
              <w:t>地址：</w:t>
            </w:r>
            <w:r>
              <w:rPr>
                <w:rFonts w:hint="eastAsia" w:ascii="宋体" w:hAnsi="宋体" w:eastAsia="宋体" w:cs="宋体"/>
                <w:spacing w:val="0"/>
                <w:sz w:val="24"/>
                <w:szCs w:val="24"/>
                <w:highlight w:val="none"/>
                <w:lang w:val="en-US" w:eastAsia="zh-CN" w:bidi="ar-SA"/>
              </w:rPr>
              <w:t>深圳市坪山区坪山街道六联社区</w:t>
            </w:r>
          </w:p>
          <w:p w14:paraId="56100323">
            <w:pPr>
              <w:keepNext w:val="0"/>
              <w:keepLines w:val="0"/>
              <w:pageBreakBefore w:val="0"/>
              <w:widowControl/>
              <w:kinsoku/>
              <w:wordWrap/>
              <w:overflowPunct w:val="0"/>
              <w:topLinePunct w:val="0"/>
              <w:autoSpaceDE w:val="0"/>
              <w:autoSpaceDN w:val="0"/>
              <w:bidi w:val="0"/>
              <w:adjustRightInd w:val="0"/>
              <w:snapToGrid/>
              <w:spacing w:line="360" w:lineRule="auto"/>
              <w:ind w:left="837" w:leftChars="299" w:firstLine="4" w:firstLineChars="2"/>
              <w:jc w:val="left"/>
              <w:textAlignment w:val="baseline"/>
              <w:rPr>
                <w:rFonts w:ascii="宋体" w:hAnsi="宋体" w:eastAsia="宋体" w:cs="宋体"/>
                <w:spacing w:val="0"/>
                <w:sz w:val="24"/>
                <w:szCs w:val="24"/>
                <w:highlight w:val="none"/>
                <w:u w:val="none" w:color="auto"/>
                <w:lang w:val="en-US" w:eastAsia="en-US" w:bidi="ar-SA"/>
              </w:rPr>
            </w:pPr>
            <w:r>
              <w:rPr>
                <w:rFonts w:hint="eastAsia" w:ascii="宋体" w:hAnsi="宋体" w:eastAsia="宋体" w:cs="宋体"/>
                <w:spacing w:val="0"/>
                <w:sz w:val="24"/>
                <w:szCs w:val="24"/>
                <w:highlight w:val="none"/>
                <w:lang w:val="en-US" w:eastAsia="zh-CN" w:bidi="ar-SA"/>
              </w:rPr>
              <w:t>坪山大道 2009 号城投芯时代大厦501</w:t>
            </w:r>
          </w:p>
        </w:tc>
        <w:tc>
          <w:tcPr>
            <w:tcW w:w="4238" w:type="dxa"/>
            <w:vAlign w:val="top"/>
          </w:tcPr>
          <w:p w14:paraId="04B08892">
            <w:pPr>
              <w:keepNext w:val="0"/>
              <w:keepLines w:val="0"/>
              <w:pageBreakBefore w:val="0"/>
              <w:widowControl/>
              <w:kinsoku/>
              <w:wordWrap/>
              <w:overflowPunct w:val="0"/>
              <w:topLinePunct w:val="0"/>
              <w:autoSpaceDE w:val="0"/>
              <w:autoSpaceDN w:val="0"/>
              <w:bidi w:val="0"/>
              <w:adjustRightInd w:val="0"/>
              <w:snapToGrid/>
              <w:spacing w:line="360" w:lineRule="auto"/>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地址：</w:t>
            </w:r>
          </w:p>
        </w:tc>
      </w:tr>
      <w:tr w14:paraId="2A93285A">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0" w:hRule="atLeast"/>
        </w:trPr>
        <w:tc>
          <w:tcPr>
            <w:tcW w:w="5025" w:type="dxa"/>
            <w:vAlign w:val="top"/>
          </w:tcPr>
          <w:p w14:paraId="4FBA45B2">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邮政编码：</w:t>
            </w:r>
            <w:r>
              <w:rPr>
                <w:rFonts w:ascii="宋体" w:hAnsi="宋体" w:eastAsia="宋体" w:cs="宋体"/>
                <w:spacing w:val="0"/>
                <w:sz w:val="24"/>
                <w:szCs w:val="24"/>
                <w:highlight w:val="none"/>
                <w:u w:val="none" w:color="auto"/>
                <w:lang w:val="en-US" w:eastAsia="en-US" w:bidi="ar-SA"/>
              </w:rPr>
              <w:t>518118</w:t>
            </w:r>
          </w:p>
        </w:tc>
        <w:tc>
          <w:tcPr>
            <w:tcW w:w="4238" w:type="dxa"/>
            <w:vAlign w:val="top"/>
          </w:tcPr>
          <w:p w14:paraId="7426E713">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邮政编码：</w:t>
            </w:r>
          </w:p>
        </w:tc>
      </w:tr>
      <w:tr w14:paraId="07AA6CB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030" w:hRule="atLeast"/>
        </w:trPr>
        <w:tc>
          <w:tcPr>
            <w:tcW w:w="5025" w:type="dxa"/>
            <w:vAlign w:val="top"/>
          </w:tcPr>
          <w:p w14:paraId="27721AA2">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电</w:t>
            </w:r>
            <w:r>
              <w:rPr>
                <w:rFonts w:hint="eastAsia" w:ascii="宋体" w:hAnsi="宋体" w:eastAsia="宋体" w:cs="宋体"/>
                <w:b/>
                <w:bCs/>
                <w:spacing w:val="0"/>
                <w:sz w:val="24"/>
                <w:szCs w:val="24"/>
                <w:highlight w:val="none"/>
                <w:u w:val="none" w:color="auto"/>
                <w:lang w:val="en-US" w:eastAsia="zh-CN" w:bidi="ar-SA"/>
              </w:rPr>
              <w:t xml:space="preserve">    </w:t>
            </w:r>
            <w:r>
              <w:rPr>
                <w:rFonts w:ascii="宋体" w:hAnsi="宋体" w:eastAsia="宋体" w:cs="宋体"/>
                <w:b/>
                <w:bCs/>
                <w:spacing w:val="0"/>
                <w:sz w:val="24"/>
                <w:szCs w:val="24"/>
                <w:highlight w:val="none"/>
                <w:u w:val="none" w:color="auto"/>
                <w:lang w:val="en-US" w:eastAsia="en-US" w:bidi="ar-SA"/>
              </w:rPr>
              <w:t>话：</w:t>
            </w:r>
            <w:r>
              <w:rPr>
                <w:rFonts w:ascii="宋体" w:hAnsi="宋体" w:eastAsia="宋体" w:cs="宋体"/>
                <w:spacing w:val="0"/>
                <w:sz w:val="24"/>
                <w:szCs w:val="24"/>
                <w:highlight w:val="none"/>
                <w:u w:val="none" w:color="auto"/>
                <w:lang w:val="en-US" w:eastAsia="en-US" w:bidi="ar-SA"/>
              </w:rPr>
              <w:t>0755-89668593</w:t>
            </w:r>
          </w:p>
          <w:p w14:paraId="052C5B49">
            <w:pPr>
              <w:overflowPunct w:val="0"/>
              <w:autoSpaceDE w:val="0"/>
              <w:autoSpaceDN w:val="0"/>
              <w:bidi w:val="0"/>
              <w:adjustRightInd w:val="0"/>
              <w:spacing w:before="211"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电子信箱：</w:t>
            </w:r>
            <w:r>
              <w:rPr>
                <w:rFonts w:ascii="宋体" w:hAnsi="宋体" w:eastAsia="宋体" w:cs="宋体"/>
                <w:spacing w:val="0"/>
                <w:sz w:val="24"/>
                <w:szCs w:val="24"/>
                <w:highlight w:val="none"/>
                <w:u w:val="none" w:color="auto"/>
                <w:lang w:val="en-US" w:eastAsia="en-US" w:bidi="ar-SA"/>
              </w:rPr>
              <w:fldChar w:fldCharType="begin"/>
            </w:r>
            <w:r>
              <w:rPr>
                <w:rFonts w:ascii="宋体" w:hAnsi="宋体" w:eastAsia="宋体" w:cs="宋体"/>
                <w:spacing w:val="0"/>
                <w:sz w:val="24"/>
                <w:szCs w:val="24"/>
                <w:highlight w:val="none"/>
                <w:u w:val="none" w:color="auto"/>
                <w:lang w:val="en-US" w:eastAsia="en-US" w:bidi="ar-SA"/>
              </w:rPr>
              <w:instrText xml:space="preserve"> HYPERLINK "liningxin@gxfz.sihc.com.cn" </w:instrText>
            </w:r>
            <w:r>
              <w:rPr>
                <w:rFonts w:ascii="宋体" w:hAnsi="宋体" w:eastAsia="宋体" w:cs="宋体"/>
                <w:spacing w:val="0"/>
                <w:sz w:val="24"/>
                <w:szCs w:val="24"/>
                <w:highlight w:val="none"/>
                <w:u w:val="none" w:color="auto"/>
                <w:lang w:val="en-US" w:eastAsia="en-US" w:bidi="ar-SA"/>
              </w:rPr>
              <w:fldChar w:fldCharType="separate"/>
            </w:r>
            <w:r>
              <w:rPr>
                <w:rFonts w:ascii="宋体" w:hAnsi="宋体" w:eastAsia="宋体" w:cs="宋体"/>
                <w:spacing w:val="0"/>
                <w:sz w:val="24"/>
                <w:szCs w:val="24"/>
                <w:highlight w:val="none"/>
                <w:u w:val="none" w:color="auto"/>
                <w:lang w:val="en-US" w:eastAsia="en-US" w:bidi="ar-SA"/>
              </w:rPr>
              <w:t>liningxin@gxfz.sihc.com.cn</w:t>
            </w:r>
            <w:r>
              <w:rPr>
                <w:rFonts w:ascii="宋体" w:hAnsi="宋体" w:eastAsia="宋体" w:cs="宋体"/>
                <w:spacing w:val="0"/>
                <w:sz w:val="24"/>
                <w:szCs w:val="24"/>
                <w:highlight w:val="none"/>
                <w:u w:val="none" w:color="auto"/>
                <w:lang w:val="en-US" w:eastAsia="en-US" w:bidi="ar-SA"/>
              </w:rPr>
              <w:fldChar w:fldCharType="end"/>
            </w:r>
          </w:p>
        </w:tc>
        <w:tc>
          <w:tcPr>
            <w:tcW w:w="4238" w:type="dxa"/>
            <w:vAlign w:val="top"/>
          </w:tcPr>
          <w:p w14:paraId="7F35DF13">
            <w:pPr>
              <w:overflowPunct w:val="0"/>
              <w:autoSpaceDE w:val="0"/>
              <w:autoSpaceDN w:val="0"/>
              <w:bidi w:val="0"/>
              <w:adjustRightInd w:val="0"/>
              <w:spacing w:before="142" w:line="360" w:lineRule="auto"/>
              <w:ind w:left="716" w:leftChars="0" w:hanging="716" w:hangingChars="297"/>
              <w:jc w:val="left"/>
              <w:textAlignment w:val="baseline"/>
              <w:rPr>
                <w:rFonts w:hint="default" w:ascii="宋体" w:hAnsi="宋体" w:eastAsia="宋体" w:cs="宋体"/>
                <w:b w:val="0"/>
                <w:bCs w:val="0"/>
                <w:spacing w:val="0"/>
                <w:sz w:val="24"/>
                <w:szCs w:val="24"/>
                <w:highlight w:val="none"/>
                <w:lang w:val="en-US" w:eastAsia="zh-CN" w:bidi="ar-SA"/>
              </w:rPr>
            </w:pPr>
            <w:r>
              <w:rPr>
                <w:rFonts w:ascii="宋体" w:hAnsi="宋体" w:eastAsia="宋体" w:cs="宋体"/>
                <w:b/>
                <w:bCs/>
                <w:spacing w:val="0"/>
                <w:sz w:val="24"/>
                <w:szCs w:val="24"/>
                <w:highlight w:val="none"/>
                <w:lang w:val="en-US" w:eastAsia="en-US" w:bidi="ar-SA"/>
              </w:rPr>
              <w:t>电</w:t>
            </w:r>
            <w:r>
              <w:rPr>
                <w:rFonts w:hint="eastAsia" w:ascii="宋体" w:hAnsi="宋体" w:eastAsia="宋体" w:cs="宋体"/>
                <w:b/>
                <w:bCs/>
                <w:spacing w:val="0"/>
                <w:sz w:val="24"/>
                <w:szCs w:val="24"/>
                <w:highlight w:val="none"/>
                <w:lang w:val="en-US" w:eastAsia="zh-CN" w:bidi="ar-SA"/>
              </w:rPr>
              <w:t xml:space="preserve">    </w:t>
            </w:r>
            <w:r>
              <w:rPr>
                <w:rFonts w:ascii="宋体" w:hAnsi="宋体" w:eastAsia="宋体" w:cs="宋体"/>
                <w:b/>
                <w:bCs/>
                <w:spacing w:val="0"/>
                <w:sz w:val="24"/>
                <w:szCs w:val="24"/>
                <w:highlight w:val="none"/>
                <w:lang w:val="en-US" w:eastAsia="en-US" w:bidi="ar-SA"/>
              </w:rPr>
              <w:t>话：</w:t>
            </w:r>
          </w:p>
          <w:p w14:paraId="17F5F285">
            <w:pPr>
              <w:overflowPunct w:val="0"/>
              <w:autoSpaceDE w:val="0"/>
              <w:autoSpaceDN w:val="0"/>
              <w:bidi w:val="0"/>
              <w:adjustRightInd w:val="0"/>
              <w:spacing w:before="211"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电子信箱：</w:t>
            </w:r>
          </w:p>
        </w:tc>
      </w:tr>
      <w:tr w14:paraId="46488910">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530" w:hRule="atLeast"/>
        </w:trPr>
        <w:tc>
          <w:tcPr>
            <w:tcW w:w="5025" w:type="dxa"/>
            <w:vAlign w:val="top"/>
          </w:tcPr>
          <w:p w14:paraId="21965BF0">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开户银行：</w:t>
            </w:r>
            <w:r>
              <w:rPr>
                <w:rFonts w:ascii="宋体" w:hAnsi="宋体" w:eastAsia="宋体" w:cs="宋体"/>
                <w:spacing w:val="0"/>
                <w:sz w:val="24"/>
                <w:szCs w:val="24"/>
                <w:highlight w:val="none"/>
                <w:u w:val="none" w:color="auto"/>
                <w:lang w:val="en-US" w:eastAsia="en-US" w:bidi="ar-SA"/>
              </w:rPr>
              <w:t>中国建设银行深圳坪山支行</w:t>
            </w:r>
          </w:p>
        </w:tc>
        <w:tc>
          <w:tcPr>
            <w:tcW w:w="4238" w:type="dxa"/>
            <w:vAlign w:val="top"/>
          </w:tcPr>
          <w:p w14:paraId="45F1F8C2">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开户银行：</w:t>
            </w:r>
          </w:p>
        </w:tc>
      </w:tr>
      <w:tr w14:paraId="4C3E538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87" w:hRule="atLeast"/>
        </w:trPr>
        <w:tc>
          <w:tcPr>
            <w:tcW w:w="5025" w:type="dxa"/>
            <w:vAlign w:val="top"/>
          </w:tcPr>
          <w:p w14:paraId="4C65596A">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u w:val="none" w:color="auto"/>
                <w:lang w:val="en-US" w:eastAsia="en-US" w:bidi="ar-SA"/>
              </w:rPr>
            </w:pPr>
            <w:r>
              <w:rPr>
                <w:rFonts w:ascii="宋体" w:hAnsi="宋体" w:eastAsia="宋体" w:cs="宋体"/>
                <w:b/>
                <w:bCs/>
                <w:spacing w:val="0"/>
                <w:sz w:val="24"/>
                <w:szCs w:val="24"/>
                <w:highlight w:val="none"/>
                <w:u w:val="none" w:color="auto"/>
                <w:lang w:val="en-US" w:eastAsia="en-US" w:bidi="ar-SA"/>
              </w:rPr>
              <w:t>账</w:t>
            </w:r>
            <w:r>
              <w:rPr>
                <w:rFonts w:hint="eastAsia" w:ascii="宋体" w:hAnsi="宋体" w:eastAsia="宋体" w:cs="宋体"/>
                <w:b/>
                <w:bCs/>
                <w:spacing w:val="0"/>
                <w:sz w:val="24"/>
                <w:szCs w:val="24"/>
                <w:highlight w:val="none"/>
                <w:u w:val="none" w:color="auto"/>
                <w:lang w:val="en-US" w:eastAsia="zh-CN" w:bidi="ar-SA"/>
              </w:rPr>
              <w:t xml:space="preserve">    </w:t>
            </w:r>
            <w:r>
              <w:rPr>
                <w:rFonts w:ascii="宋体" w:hAnsi="宋体" w:eastAsia="宋体" w:cs="宋体"/>
                <w:b/>
                <w:bCs/>
                <w:spacing w:val="0"/>
                <w:sz w:val="24"/>
                <w:szCs w:val="24"/>
                <w:highlight w:val="none"/>
                <w:u w:val="none" w:color="auto"/>
                <w:lang w:val="en-US" w:eastAsia="en-US" w:bidi="ar-SA"/>
              </w:rPr>
              <w:t>号：</w:t>
            </w:r>
            <w:r>
              <w:rPr>
                <w:rFonts w:ascii="宋体" w:hAnsi="宋体" w:eastAsia="宋体" w:cs="宋体"/>
                <w:spacing w:val="0"/>
                <w:sz w:val="24"/>
                <w:szCs w:val="24"/>
                <w:highlight w:val="none"/>
                <w:u w:val="none" w:color="auto"/>
                <w:lang w:val="en-US" w:eastAsia="en-US" w:bidi="ar-SA"/>
              </w:rPr>
              <w:t>4425 0100 0166 0966 8899</w:t>
            </w:r>
          </w:p>
        </w:tc>
        <w:tc>
          <w:tcPr>
            <w:tcW w:w="4238" w:type="dxa"/>
            <w:vAlign w:val="top"/>
          </w:tcPr>
          <w:p w14:paraId="78C87AE1">
            <w:pPr>
              <w:overflowPunct w:val="0"/>
              <w:autoSpaceDE w:val="0"/>
              <w:autoSpaceDN w:val="0"/>
              <w:bidi w:val="0"/>
              <w:adjustRightInd w:val="0"/>
              <w:spacing w:before="142" w:line="360" w:lineRule="auto"/>
              <w:ind w:left="716" w:leftChars="0" w:hanging="716" w:hangingChars="297"/>
              <w:jc w:val="left"/>
              <w:textAlignment w:val="baseline"/>
              <w:rPr>
                <w:rFonts w:ascii="宋体" w:hAnsi="宋体" w:eastAsia="宋体" w:cs="宋体"/>
                <w:spacing w:val="0"/>
                <w:sz w:val="24"/>
                <w:szCs w:val="24"/>
                <w:highlight w:val="none"/>
                <w:lang w:val="en-US" w:eastAsia="en-US" w:bidi="ar-SA"/>
              </w:rPr>
            </w:pPr>
            <w:r>
              <w:rPr>
                <w:rFonts w:ascii="宋体" w:hAnsi="宋体" w:eastAsia="宋体" w:cs="宋体"/>
                <w:b/>
                <w:bCs/>
                <w:spacing w:val="0"/>
                <w:sz w:val="24"/>
                <w:szCs w:val="24"/>
                <w:highlight w:val="none"/>
                <w:lang w:val="en-US" w:eastAsia="en-US" w:bidi="ar-SA"/>
              </w:rPr>
              <w:t>账</w:t>
            </w:r>
            <w:r>
              <w:rPr>
                <w:rFonts w:hint="eastAsia" w:ascii="宋体" w:hAnsi="宋体" w:eastAsia="宋体" w:cs="宋体"/>
                <w:b/>
                <w:bCs/>
                <w:spacing w:val="0"/>
                <w:sz w:val="24"/>
                <w:szCs w:val="24"/>
                <w:highlight w:val="none"/>
                <w:lang w:val="en-US" w:eastAsia="zh-CN" w:bidi="ar-SA"/>
              </w:rPr>
              <w:t xml:space="preserve">    </w:t>
            </w:r>
            <w:r>
              <w:rPr>
                <w:rFonts w:ascii="宋体" w:hAnsi="宋体" w:eastAsia="宋体" w:cs="宋体"/>
                <w:b/>
                <w:bCs/>
                <w:spacing w:val="0"/>
                <w:sz w:val="24"/>
                <w:szCs w:val="24"/>
                <w:highlight w:val="none"/>
                <w:lang w:val="en-US" w:eastAsia="en-US" w:bidi="ar-SA"/>
              </w:rPr>
              <w:t>号：</w:t>
            </w:r>
          </w:p>
        </w:tc>
      </w:tr>
      <w:bookmarkEnd w:id="237"/>
      <w:bookmarkEnd w:id="238"/>
      <w:bookmarkEnd w:id="239"/>
      <w:bookmarkEnd w:id="240"/>
      <w:bookmarkEnd w:id="241"/>
    </w:tbl>
    <w:p w14:paraId="4420D299">
      <w:pPr>
        <w:widowControl/>
        <w:spacing w:line="240" w:lineRule="auto"/>
        <w:ind w:firstLine="0" w:firstLineChars="0"/>
        <w:jc w:val="left"/>
        <w:rPr>
          <w:rFonts w:ascii="Times New Roman" w:hAnsi="Times New Roman" w:eastAsia="宋体" w:cs="Times New Roman"/>
          <w:b/>
          <w:kern w:val="0"/>
          <w:sz w:val="24"/>
        </w:rPr>
      </w:pPr>
      <w:bookmarkStart w:id="242" w:name="_Toc41385848"/>
    </w:p>
    <w:p w14:paraId="669CFFF3">
      <w:pPr>
        <w:rPr>
          <w:rFonts w:ascii="Times New Roman" w:hAnsi="Times New Roman" w:eastAsia="宋体" w:cs="Times New Roman"/>
          <w:b/>
          <w:kern w:val="0"/>
          <w:sz w:val="36"/>
          <w:szCs w:val="36"/>
        </w:rPr>
      </w:pPr>
      <w:bookmarkStart w:id="243" w:name="_Toc21530"/>
      <w:r>
        <w:rPr>
          <w:rFonts w:ascii="Times New Roman" w:hAnsi="Times New Roman" w:eastAsia="宋体" w:cs="Times New Roman"/>
          <w:b/>
          <w:kern w:val="0"/>
          <w:sz w:val="36"/>
          <w:szCs w:val="36"/>
        </w:rPr>
        <w:br w:type="page"/>
      </w:r>
    </w:p>
    <w:p w14:paraId="679456A8">
      <w:pPr>
        <w:widowControl w:val="0"/>
        <w:spacing w:line="240" w:lineRule="auto"/>
        <w:ind w:firstLine="0" w:firstLineChars="0"/>
        <w:jc w:val="center"/>
        <w:outlineLvl w:val="1"/>
        <w:rPr>
          <w:rFonts w:ascii="Times New Roman" w:hAnsi="Times New Roman" w:eastAsia="宋体" w:cs="Times New Roman"/>
          <w:b/>
          <w:kern w:val="0"/>
          <w:sz w:val="36"/>
          <w:szCs w:val="36"/>
        </w:rPr>
      </w:pPr>
      <w:r>
        <w:rPr>
          <w:rFonts w:ascii="Times New Roman" w:hAnsi="Times New Roman" w:eastAsia="宋体" w:cs="Times New Roman"/>
          <w:b/>
          <w:kern w:val="0"/>
          <w:sz w:val="36"/>
          <w:szCs w:val="36"/>
        </w:rPr>
        <w:t>第二部分 通用条款</w:t>
      </w:r>
      <w:bookmarkEnd w:id="242"/>
      <w:bookmarkEnd w:id="243"/>
    </w:p>
    <w:p w14:paraId="4EB68138">
      <w:pPr>
        <w:widowControl w:val="0"/>
        <w:ind w:firstLine="562"/>
        <w:outlineLvl w:val="2"/>
        <w:rPr>
          <w:rFonts w:ascii="Times New Roman" w:hAnsi="Times New Roman" w:eastAsia="宋体" w:cs="Times New Roman"/>
          <w:b/>
          <w:kern w:val="0"/>
          <w:sz w:val="28"/>
          <w:szCs w:val="28"/>
        </w:rPr>
      </w:pPr>
      <w:bookmarkStart w:id="244" w:name="_Toc41385849"/>
      <w:bookmarkStart w:id="245" w:name="_Toc11895"/>
      <w:r>
        <w:rPr>
          <w:rFonts w:ascii="Times New Roman" w:hAnsi="Times New Roman" w:eastAsia="宋体" w:cs="Times New Roman"/>
          <w:b/>
          <w:kern w:val="0"/>
          <w:sz w:val="28"/>
          <w:szCs w:val="28"/>
        </w:rPr>
        <w:t>一、定义</w:t>
      </w:r>
      <w:bookmarkEnd w:id="244"/>
      <w:bookmarkEnd w:id="245"/>
    </w:p>
    <w:p w14:paraId="73B15A52">
      <w:pPr>
        <w:widowControl w:val="0"/>
        <w:ind w:firstLine="560"/>
        <w:rPr>
          <w:rFonts w:ascii="Times New Roman" w:hAnsi="Times New Roman" w:eastAsia="宋体" w:cs="Times New Roman"/>
          <w:bCs/>
          <w:sz w:val="28"/>
          <w:szCs w:val="28"/>
        </w:rPr>
      </w:pPr>
      <w:r>
        <w:rPr>
          <w:rFonts w:ascii="Times New Roman" w:hAnsi="Times New Roman" w:eastAsia="宋体" w:cs="Times New Roman"/>
          <w:bCs/>
          <w:sz w:val="28"/>
          <w:szCs w:val="28"/>
        </w:rPr>
        <w:t>下列词语除</w:t>
      </w:r>
      <w:r>
        <w:rPr>
          <w:rFonts w:hint="eastAsia" w:ascii="Times New Roman" w:hAnsi="Times New Roman" w:eastAsia="宋体" w:cs="Times New Roman"/>
          <w:bCs/>
          <w:sz w:val="28"/>
          <w:szCs w:val="28"/>
          <w:lang w:eastAsia="zh-CN"/>
        </w:rPr>
        <w:t>专用条款</w:t>
      </w:r>
      <w:r>
        <w:rPr>
          <w:rFonts w:ascii="Times New Roman" w:hAnsi="Times New Roman" w:eastAsia="宋体" w:cs="Times New Roman"/>
          <w:bCs/>
          <w:sz w:val="28"/>
          <w:szCs w:val="28"/>
        </w:rPr>
        <w:t>另有约定外，应具有本条所赋予的含义：</w:t>
      </w:r>
    </w:p>
    <w:p w14:paraId="290E54F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1.1、甲方：指采购人。</w:t>
      </w:r>
    </w:p>
    <w:p w14:paraId="722CEF3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1.2、乙方：指在合同书中约定，被甲方接受的具有设备/材料供货主体资格的当事人以及取得该当事人资格的合法继承人。</w:t>
      </w:r>
    </w:p>
    <w:p w14:paraId="2761BD8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1.3、甲方驻工地代表：指甲方委托的履行本合同的代表，其具体身份和职权在</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中约定。</w:t>
      </w:r>
    </w:p>
    <w:p w14:paraId="110AA46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1.4、乙方项目经理：乙方指定的负责供货管理和合同履行的代表。</w:t>
      </w:r>
    </w:p>
    <w:p w14:paraId="0E12991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1.5、安装（施工）单位：指安装（施工）本合同设备/材料的单位。</w:t>
      </w:r>
    </w:p>
    <w:p w14:paraId="3083E9F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1.6、监理单位：按国家监理条例履行监理职责</w:t>
      </w:r>
    </w:p>
    <w:p w14:paraId="44234C6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1.7、总监：指监理单位委派的总监，监理单位的指令经总监签署后生效。</w:t>
      </w:r>
    </w:p>
    <w:p w14:paraId="2A5FE25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1.8、工程：指本合同约定所供货材料设备用于安装（或施工）的工程。</w:t>
      </w:r>
    </w:p>
    <w:p w14:paraId="3B79C6B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1.9、工期（或供货期）：指甲方</w:t>
      </w:r>
      <w:r>
        <w:rPr>
          <w:rFonts w:hint="eastAsia" w:ascii="Times New Roman" w:hAnsi="Times New Roman" w:eastAsia="宋体" w:cs="Times New Roman"/>
          <w:sz w:val="28"/>
          <w:szCs w:val="28"/>
          <w:lang w:val="en-US" w:eastAsia="zh-CN"/>
        </w:rPr>
        <w:t>和</w:t>
      </w:r>
      <w:r>
        <w:rPr>
          <w:rFonts w:ascii="Times New Roman" w:hAnsi="Times New Roman" w:eastAsia="宋体" w:cs="Times New Roman"/>
          <w:sz w:val="28"/>
          <w:szCs w:val="28"/>
        </w:rPr>
        <w:t>乙方在合同中约定，按照日历天数（包括法定节假日）计算的承包天数，已充分考虑可能出现的各种规模的下雨、台风、高温天气、停水、停电、节假日、工地及周边环境等影响因素，本通用条款定义的“不可抗力”除外。</w:t>
      </w:r>
    </w:p>
    <w:p w14:paraId="4C7AA74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1.10、书面形式：指合同书、信件和数据文件（包括电报、电传、传真、电子数据交换和电子邮件）等可以有形地表现所载内容的形式。</w:t>
      </w:r>
    </w:p>
    <w:p w14:paraId="6DD8146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1.11、通知、同意、批准、证书和决定：除另有规定之外，合同文件中提及的由任何人发出、给予的任何通知、同意、批准、证书或决定均应是以书面形式体现的，任何这种书面形式均不应以任何理由扣留或延误。</w:t>
      </w:r>
    </w:p>
    <w:p w14:paraId="42682FB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1.12、违约责任：指合同一方不履行合同义务或履行合同义务不符合约定所应承担的责任。</w:t>
      </w:r>
    </w:p>
    <w:p w14:paraId="60A3A46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1.13、索赔：指在合同履行过程中，对于并非自己过错，而是应由对方承担责任的情况造成的实际损失，向对方提出经济补偿的要求。</w:t>
      </w:r>
    </w:p>
    <w:p w14:paraId="2871F51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1.14、天：规定按天计算时间的，开始当天不计入，从次日开始计算。时限的最后一天是休息日或者其他法定节假日的，以节假日次日为时限的最后一天，但竣工日期除外。</w:t>
      </w:r>
    </w:p>
    <w:p w14:paraId="2522B23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1.15、合同文件：指组成合同的全部文件(详见本合同协议书第五条)。</w:t>
      </w:r>
    </w:p>
    <w:p w14:paraId="06400F3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1.16、货币单位：合同中出现的货币金额，除特别说明外，均以人民币计。</w:t>
      </w:r>
    </w:p>
    <w:p w14:paraId="29BB7EA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1.17、单价：单位数量的设备/材料所包含的合同价款的部分。</w:t>
      </w:r>
    </w:p>
    <w:p w14:paraId="6F7C26A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1.18、追加合同价款：指在合同履行中发生需要增加合同价款的情况，经甲方确认后按照计算合同价款的方法增加的合同价款。</w:t>
      </w:r>
    </w:p>
    <w:p w14:paraId="5359111F">
      <w:pPr>
        <w:widowControl w:val="0"/>
        <w:tabs>
          <w:tab w:val="left" w:pos="1200"/>
        </w:tabs>
        <w:ind w:firstLine="560"/>
        <w:rPr>
          <w:rFonts w:ascii="Times New Roman" w:hAnsi="Times New Roman" w:eastAsia="宋体" w:cs="Times New Roman"/>
          <w:sz w:val="28"/>
          <w:szCs w:val="28"/>
        </w:rPr>
      </w:pPr>
      <w:r>
        <w:rPr>
          <w:rFonts w:ascii="Times New Roman" w:hAnsi="Times New Roman" w:eastAsia="宋体" w:cs="Times New Roman"/>
          <w:sz w:val="28"/>
          <w:szCs w:val="28"/>
        </w:rPr>
        <w:t>1.19、合同价款：指甲乙双方在本合同中约定，甲方用以支付乙方按照合同约定完成承包范围内全部工程并承担质量保修责任的款项。</w:t>
      </w:r>
    </w:p>
    <w:p w14:paraId="528C53B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1.20、图纸：满足本合同所供货材料设备所需要的所有图纸（包括配套说明和有关资料）。</w:t>
      </w:r>
    </w:p>
    <w:p w14:paraId="73FA28F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1.21、符号“■”：相关条款前标注该符号的表示适应本合同。</w:t>
      </w:r>
    </w:p>
    <w:p w14:paraId="71D6743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1.22、符号“□”：相关条款前标注该符号的表示不适应本合同。</w:t>
      </w:r>
    </w:p>
    <w:p w14:paraId="61CD3D0D">
      <w:pPr>
        <w:widowControl w:val="0"/>
        <w:ind w:firstLine="562"/>
        <w:outlineLvl w:val="2"/>
        <w:rPr>
          <w:rFonts w:ascii="Times New Roman" w:hAnsi="Times New Roman" w:eastAsia="宋体" w:cs="Times New Roman"/>
          <w:kern w:val="0"/>
          <w:sz w:val="28"/>
          <w:szCs w:val="28"/>
        </w:rPr>
      </w:pPr>
      <w:bookmarkStart w:id="246" w:name="_Toc1619"/>
      <w:bookmarkStart w:id="247" w:name="_Toc41385850"/>
      <w:r>
        <w:rPr>
          <w:rFonts w:ascii="Times New Roman" w:hAnsi="Times New Roman" w:eastAsia="宋体" w:cs="Times New Roman"/>
          <w:b/>
          <w:kern w:val="0"/>
          <w:sz w:val="28"/>
          <w:szCs w:val="28"/>
        </w:rPr>
        <w:t>二、合同文件内容及解释次序</w:t>
      </w:r>
      <w:bookmarkEnd w:id="246"/>
      <w:bookmarkEnd w:id="247"/>
    </w:p>
    <w:p w14:paraId="471A9413">
      <w:pPr>
        <w:widowControl w:val="0"/>
        <w:tabs>
          <w:tab w:val="left" w:pos="1200"/>
        </w:tabs>
        <w:ind w:firstLine="560"/>
        <w:rPr>
          <w:rFonts w:ascii="Times New Roman" w:hAnsi="Times New Roman" w:eastAsia="宋体" w:cs="Times New Roman"/>
          <w:sz w:val="28"/>
          <w:szCs w:val="28"/>
        </w:rPr>
      </w:pPr>
      <w:r>
        <w:rPr>
          <w:rFonts w:ascii="Times New Roman" w:hAnsi="Times New Roman" w:eastAsia="宋体" w:cs="Times New Roman"/>
          <w:sz w:val="28"/>
          <w:szCs w:val="28"/>
        </w:rPr>
        <w:t>2.1、除</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另有约定外，按照“协议书”中所选择的排序进行解释，构成合同的文件应能相互解释，互为说明。</w:t>
      </w:r>
    </w:p>
    <w:p w14:paraId="19CD0BA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当合同文件内容含糊不清或不一致时，在不因交货而影响工程正常进行的情况下，甲乙双方协商解决。协商不成功的，按本通用条款关于争议的约定处理。</w:t>
      </w:r>
    </w:p>
    <w:p w14:paraId="4FCD71E4">
      <w:pPr>
        <w:widowControl w:val="0"/>
        <w:tabs>
          <w:tab w:val="left" w:pos="1200"/>
        </w:tabs>
        <w:ind w:firstLine="560"/>
        <w:rPr>
          <w:rFonts w:ascii="Times New Roman" w:hAnsi="Times New Roman" w:eastAsia="宋体" w:cs="Times New Roman"/>
          <w:sz w:val="28"/>
          <w:szCs w:val="28"/>
        </w:rPr>
      </w:pPr>
      <w:r>
        <w:rPr>
          <w:rFonts w:ascii="Times New Roman" w:hAnsi="Times New Roman" w:eastAsia="宋体" w:cs="Times New Roman"/>
          <w:sz w:val="28"/>
          <w:szCs w:val="28"/>
        </w:rPr>
        <w:t>2.2、适用法律、标准、规范</w:t>
      </w:r>
    </w:p>
    <w:p w14:paraId="0AF0B730">
      <w:pPr>
        <w:widowControl w:val="0"/>
        <w:tabs>
          <w:tab w:val="left" w:pos="1620"/>
          <w:tab w:val="left" w:pos="2040"/>
        </w:tabs>
        <w:ind w:firstLine="560"/>
        <w:rPr>
          <w:rFonts w:ascii="Times New Roman" w:hAnsi="Times New Roman" w:eastAsia="宋体" w:cs="Times New Roman"/>
          <w:sz w:val="28"/>
          <w:szCs w:val="28"/>
        </w:rPr>
      </w:pPr>
      <w:r>
        <w:rPr>
          <w:rFonts w:ascii="Times New Roman" w:hAnsi="Times New Roman" w:eastAsia="宋体" w:cs="Times New Roman"/>
          <w:sz w:val="28"/>
          <w:szCs w:val="28"/>
        </w:rPr>
        <w:t>2.2.1、适用法律和法规：本合同文件适用中华人民共和国的法律和相关行政法规</w:t>
      </w:r>
      <w:r>
        <w:rPr>
          <w:rFonts w:hint="eastAsia" w:ascii="Times New Roman" w:hAnsi="Times New Roman" w:eastAsia="宋体" w:cs="Times New Roman"/>
          <w:sz w:val="28"/>
          <w:szCs w:val="28"/>
        </w:rPr>
        <w:t xml:space="preserve">（为免疑义，港澳台地区除外） </w:t>
      </w:r>
      <w:r>
        <w:rPr>
          <w:rFonts w:ascii="Times New Roman" w:hAnsi="Times New Roman" w:eastAsia="宋体" w:cs="Times New Roman"/>
          <w:sz w:val="28"/>
          <w:szCs w:val="28"/>
        </w:rPr>
        <w:t>。</w:t>
      </w:r>
    </w:p>
    <w:p w14:paraId="295A854B">
      <w:pPr>
        <w:widowControl w:val="0"/>
        <w:tabs>
          <w:tab w:val="left" w:pos="1620"/>
          <w:tab w:val="left" w:pos="2040"/>
        </w:tabs>
        <w:ind w:firstLine="560"/>
        <w:rPr>
          <w:rFonts w:ascii="Times New Roman" w:hAnsi="Times New Roman" w:eastAsia="宋体" w:cs="Times New Roman"/>
          <w:sz w:val="28"/>
          <w:szCs w:val="28"/>
        </w:rPr>
      </w:pPr>
      <w:r>
        <w:rPr>
          <w:rFonts w:ascii="Times New Roman" w:hAnsi="Times New Roman" w:eastAsia="宋体" w:cs="Times New Roman"/>
          <w:sz w:val="28"/>
          <w:szCs w:val="28"/>
        </w:rPr>
        <w:t>2.2.2、适用标准、规范：</w:t>
      </w:r>
    </w:p>
    <w:p w14:paraId="2D40C31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甲、乙双方约定适用的国家标准、规范的名称；没有国家标准、规范但有地方、行业标准、规范的，约定适用的地方、行业标准、规范的名称。</w:t>
      </w:r>
    </w:p>
    <w:p w14:paraId="369DC4C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国内没有相应标准、规范的，由甲方按</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约定的时间向乙方提出技术标准和质量要求，乙方按约定的时间和要求提出生产加工工艺，经甲方</w:t>
      </w:r>
      <w:r>
        <w:rPr>
          <w:rFonts w:hint="eastAsia" w:ascii="Times New Roman" w:hAnsi="Times New Roman" w:eastAsia="宋体" w:cs="Times New Roman"/>
          <w:sz w:val="28"/>
          <w:szCs w:val="28"/>
        </w:rPr>
        <w:t>书面</w:t>
      </w:r>
      <w:r>
        <w:rPr>
          <w:rFonts w:ascii="Times New Roman" w:hAnsi="Times New Roman" w:eastAsia="宋体" w:cs="Times New Roman"/>
          <w:sz w:val="28"/>
          <w:szCs w:val="28"/>
        </w:rPr>
        <w:t>认可后执行。涉及到诸如颜色、图案或使用性能的，必须得到甲方</w:t>
      </w:r>
      <w:r>
        <w:rPr>
          <w:rFonts w:hint="eastAsia" w:ascii="Times New Roman" w:hAnsi="Times New Roman" w:eastAsia="宋体" w:cs="Times New Roman"/>
          <w:sz w:val="28"/>
          <w:szCs w:val="28"/>
        </w:rPr>
        <w:t>书面</w:t>
      </w:r>
      <w:r>
        <w:rPr>
          <w:rFonts w:ascii="Times New Roman" w:hAnsi="Times New Roman" w:eastAsia="宋体" w:cs="Times New Roman"/>
          <w:sz w:val="28"/>
          <w:szCs w:val="28"/>
        </w:rPr>
        <w:t>认可。甲方要求适用国外标准、规范的，应负责提供中文译本。</w:t>
      </w:r>
    </w:p>
    <w:p w14:paraId="713DA6B4">
      <w:pPr>
        <w:widowControl w:val="0"/>
        <w:tabs>
          <w:tab w:val="left" w:pos="1620"/>
          <w:tab w:val="left" w:pos="2040"/>
        </w:tabs>
        <w:ind w:firstLine="560"/>
        <w:rPr>
          <w:rFonts w:ascii="Times New Roman" w:hAnsi="Times New Roman" w:eastAsia="宋体" w:cs="Times New Roman"/>
          <w:sz w:val="28"/>
          <w:szCs w:val="28"/>
        </w:rPr>
      </w:pPr>
      <w:r>
        <w:rPr>
          <w:rFonts w:ascii="Times New Roman" w:hAnsi="Times New Roman" w:eastAsia="宋体" w:cs="Times New Roman"/>
          <w:sz w:val="28"/>
          <w:szCs w:val="28"/>
        </w:rPr>
        <w:t>本条所发生的购买、翻译标准、规范或制定施工工艺的费用，已包含在合同价款内</w:t>
      </w:r>
      <w:r>
        <w:rPr>
          <w:rFonts w:hint="eastAsia" w:ascii="Times New Roman" w:hAnsi="Times New Roman" w:eastAsia="宋体" w:cs="Times New Roman"/>
          <w:sz w:val="28"/>
          <w:szCs w:val="28"/>
        </w:rPr>
        <w:t>，甲方无需另行支付</w:t>
      </w:r>
      <w:r>
        <w:rPr>
          <w:rFonts w:ascii="Times New Roman" w:hAnsi="Times New Roman" w:eastAsia="宋体" w:cs="Times New Roman"/>
          <w:sz w:val="28"/>
          <w:szCs w:val="28"/>
        </w:rPr>
        <w:t>。</w:t>
      </w:r>
    </w:p>
    <w:p w14:paraId="7518943D">
      <w:pPr>
        <w:widowControl w:val="0"/>
        <w:ind w:firstLine="562"/>
        <w:outlineLvl w:val="2"/>
        <w:rPr>
          <w:rFonts w:ascii="Times New Roman" w:hAnsi="Times New Roman" w:eastAsia="宋体" w:cs="Times New Roman"/>
          <w:kern w:val="0"/>
          <w:sz w:val="28"/>
          <w:szCs w:val="28"/>
        </w:rPr>
      </w:pPr>
      <w:bookmarkStart w:id="248" w:name="_Toc26649"/>
      <w:bookmarkStart w:id="249" w:name="_Toc41385851"/>
      <w:r>
        <w:rPr>
          <w:rFonts w:ascii="Times New Roman" w:hAnsi="Times New Roman" w:eastAsia="宋体" w:cs="Times New Roman"/>
          <w:b/>
          <w:kern w:val="0"/>
          <w:sz w:val="28"/>
          <w:szCs w:val="28"/>
        </w:rPr>
        <w:t>三、图纸和样板</w:t>
      </w:r>
      <w:bookmarkEnd w:id="248"/>
      <w:bookmarkEnd w:id="249"/>
    </w:p>
    <w:p w14:paraId="50D3DFC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3.1、图纸</w:t>
      </w:r>
      <w:r>
        <w:rPr>
          <w:rFonts w:hint="eastAsia" w:ascii="Times New Roman" w:hAnsi="Times New Roman" w:eastAsia="宋体" w:cs="Times New Roman"/>
          <w:sz w:val="28"/>
          <w:szCs w:val="28"/>
          <w:lang w:val="en-US" w:eastAsia="zh-CN"/>
        </w:rPr>
        <w:t>应</w:t>
      </w:r>
      <w:r>
        <w:rPr>
          <w:rFonts w:ascii="Times New Roman" w:hAnsi="Times New Roman" w:eastAsia="宋体" w:cs="Times New Roman"/>
          <w:sz w:val="28"/>
          <w:szCs w:val="28"/>
        </w:rPr>
        <w:t>由甲方提供的，甲方按约定的日期和套数向乙方提供图纸，乙方需按甲方提供图纸进行生产及供货。</w:t>
      </w:r>
    </w:p>
    <w:p w14:paraId="0D6F178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3.2、乙方需要增加图纸套数的，提供图纸方应代为复制，乙方承担复制费用</w:t>
      </w:r>
      <w:r>
        <w:rPr>
          <w:rFonts w:hint="eastAsia" w:ascii="Times New Roman" w:hAnsi="Times New Roman" w:eastAsia="宋体" w:cs="Times New Roman"/>
          <w:sz w:val="28"/>
          <w:szCs w:val="28"/>
        </w:rPr>
        <w:t>；甲方有权要求乙方另行支付复制费用，或书面通知乙方后直接从任一应向乙方支付的款项中扣除</w:t>
      </w:r>
      <w:r>
        <w:rPr>
          <w:rFonts w:ascii="Times New Roman" w:hAnsi="Times New Roman" w:eastAsia="宋体" w:cs="Times New Roman"/>
          <w:sz w:val="28"/>
          <w:szCs w:val="28"/>
        </w:rPr>
        <w:t>。</w:t>
      </w:r>
    </w:p>
    <w:p w14:paraId="65A1AE4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3.3、甲方对本工程有保密要求，乙方必须履行图纸保密义务，乙方未经甲方</w:t>
      </w:r>
      <w:r>
        <w:rPr>
          <w:rFonts w:hint="eastAsia" w:ascii="Times New Roman" w:hAnsi="Times New Roman" w:eastAsia="宋体" w:cs="Times New Roman"/>
          <w:sz w:val="28"/>
          <w:szCs w:val="28"/>
        </w:rPr>
        <w:t>事先书面</w:t>
      </w:r>
      <w:r>
        <w:rPr>
          <w:rFonts w:ascii="Times New Roman" w:hAnsi="Times New Roman" w:eastAsia="宋体" w:cs="Times New Roman"/>
          <w:sz w:val="28"/>
          <w:szCs w:val="28"/>
        </w:rPr>
        <w:t>同意，不得将本工程图纸</w:t>
      </w:r>
      <w:r>
        <w:rPr>
          <w:rFonts w:hint="eastAsia" w:ascii="Times New Roman" w:hAnsi="Times New Roman" w:eastAsia="宋体" w:cs="Times New Roman"/>
          <w:sz w:val="28"/>
          <w:szCs w:val="28"/>
        </w:rPr>
        <w:t>泄露给任何</w:t>
      </w:r>
      <w:r>
        <w:rPr>
          <w:rFonts w:ascii="Times New Roman" w:hAnsi="Times New Roman" w:eastAsia="宋体" w:cs="Times New Roman"/>
          <w:sz w:val="28"/>
          <w:szCs w:val="28"/>
        </w:rPr>
        <w:t>第三</w:t>
      </w:r>
      <w:r>
        <w:rPr>
          <w:rFonts w:hint="eastAsia" w:ascii="Times New Roman" w:hAnsi="Times New Roman" w:eastAsia="宋体" w:cs="Times New Roman"/>
          <w:sz w:val="28"/>
          <w:szCs w:val="28"/>
          <w:lang w:val="en-US" w:eastAsia="zh-CN"/>
        </w:rPr>
        <w:t>方，不得擅自用于与本合同无关的用途，不得许可任何第三方使用</w:t>
      </w:r>
      <w:r>
        <w:rPr>
          <w:rFonts w:ascii="Times New Roman" w:hAnsi="Times New Roman" w:eastAsia="宋体" w:cs="Times New Roman"/>
          <w:sz w:val="28"/>
          <w:szCs w:val="28"/>
        </w:rPr>
        <w:t>。除乙方存档使用外，其余图纸应在交货时退还甲方。双方同意无保密措施费。</w:t>
      </w:r>
    </w:p>
    <w:p w14:paraId="20014AA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3.4、乙方应在交货时准备一套</w:t>
      </w:r>
      <w:r>
        <w:rPr>
          <w:rFonts w:hint="eastAsia" w:ascii="Times New Roman" w:hAnsi="Times New Roman" w:eastAsia="宋体" w:cs="Times New Roman"/>
          <w:sz w:val="28"/>
          <w:szCs w:val="28"/>
        </w:rPr>
        <w:t>符合甲方要求的</w:t>
      </w:r>
      <w:r>
        <w:rPr>
          <w:rFonts w:ascii="Times New Roman" w:hAnsi="Times New Roman" w:eastAsia="宋体" w:cs="Times New Roman"/>
          <w:sz w:val="28"/>
          <w:szCs w:val="28"/>
        </w:rPr>
        <w:t>完整图纸，供监理单位、甲方及甲方有关人员进行交货检查时使用。</w:t>
      </w:r>
    </w:p>
    <w:p w14:paraId="4E5CF14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3.5、若图纸是由乙方设计提供的，乙方应向甲方提供两套。</w:t>
      </w:r>
    </w:p>
    <w:p w14:paraId="6F398C3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3.6、甲方提供图纸和资料不完整的，乙方应于收到图纸后15日内，向甲方提交</w:t>
      </w:r>
      <w:r>
        <w:rPr>
          <w:rFonts w:hint="eastAsia" w:ascii="Times New Roman" w:hAnsi="Times New Roman" w:eastAsia="宋体" w:cs="Times New Roman"/>
          <w:sz w:val="28"/>
          <w:szCs w:val="28"/>
        </w:rPr>
        <w:t>书面</w:t>
      </w:r>
      <w:r>
        <w:rPr>
          <w:rFonts w:ascii="Times New Roman" w:hAnsi="Times New Roman" w:eastAsia="宋体" w:cs="Times New Roman"/>
          <w:sz w:val="28"/>
          <w:szCs w:val="28"/>
        </w:rPr>
        <w:t>补充图纸及资料所需时间表，列明在不影响生产的条件下，甲方应向乙方提供之补充图纸及资料的种类及最后期限。且乙方必须以书面形式及早向甲方进行提示，</w:t>
      </w:r>
      <w:r>
        <w:rPr>
          <w:rFonts w:hint="eastAsia" w:ascii="Times New Roman" w:hAnsi="Times New Roman" w:eastAsia="宋体" w:cs="Times New Roman"/>
          <w:sz w:val="28"/>
          <w:szCs w:val="28"/>
        </w:rPr>
        <w:t>并于最后期限前2个工作日再次书面提示甲方，</w:t>
      </w:r>
      <w:r>
        <w:rPr>
          <w:rFonts w:ascii="Times New Roman" w:hAnsi="Times New Roman" w:eastAsia="宋体" w:cs="Times New Roman"/>
          <w:sz w:val="28"/>
          <w:szCs w:val="28"/>
        </w:rPr>
        <w:t>若因乙方未能及时提出以上要求而致使生产交货延误，延误所引起的损失概由乙方负责。</w:t>
      </w:r>
    </w:p>
    <w:p w14:paraId="34A1296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3.7、在签订合同的同时，</w:t>
      </w:r>
      <w:r>
        <w:rPr>
          <w:rFonts w:hint="eastAsia" w:ascii="Times New Roman" w:hAnsi="Times New Roman" w:eastAsia="宋体" w:cs="Times New Roman"/>
          <w:sz w:val="28"/>
          <w:szCs w:val="28"/>
        </w:rPr>
        <w:t>乙方</w:t>
      </w:r>
      <w:r>
        <w:rPr>
          <w:rFonts w:ascii="Times New Roman" w:hAnsi="Times New Roman" w:eastAsia="宋体" w:cs="Times New Roman"/>
          <w:sz w:val="28"/>
          <w:szCs w:val="28"/>
        </w:rPr>
        <w:t>应将</w:t>
      </w:r>
      <w:r>
        <w:rPr>
          <w:rFonts w:hint="eastAsia" w:ascii="Times New Roman" w:hAnsi="Times New Roman" w:eastAsia="宋体" w:cs="Times New Roman"/>
          <w:sz w:val="28"/>
          <w:szCs w:val="28"/>
        </w:rPr>
        <w:t>甲方</w:t>
      </w:r>
      <w:r>
        <w:rPr>
          <w:rFonts w:ascii="Times New Roman" w:hAnsi="Times New Roman" w:eastAsia="宋体" w:cs="Times New Roman"/>
          <w:sz w:val="28"/>
          <w:szCs w:val="28"/>
        </w:rPr>
        <w:t>确定的设备/材料样板放置于监理单位或甲方办公室或</w:t>
      </w:r>
      <w:r>
        <w:rPr>
          <w:rFonts w:hint="eastAsia" w:ascii="Times New Roman" w:hAnsi="Times New Roman" w:eastAsia="宋体" w:cs="Times New Roman"/>
          <w:sz w:val="28"/>
          <w:szCs w:val="28"/>
        </w:rPr>
        <w:t>甲方要求的</w:t>
      </w:r>
      <w:r>
        <w:rPr>
          <w:rFonts w:ascii="Times New Roman" w:hAnsi="Times New Roman" w:eastAsia="宋体" w:cs="Times New Roman"/>
          <w:sz w:val="28"/>
          <w:szCs w:val="28"/>
        </w:rPr>
        <w:t>专用地点，监理单位将按照此样品检查乙方施工时实际使用的材料是否合乎甲方的要求，样品的费用已包含在合同价款中。</w:t>
      </w:r>
    </w:p>
    <w:p w14:paraId="6736D4CB">
      <w:pPr>
        <w:widowControl w:val="0"/>
        <w:ind w:firstLine="560"/>
        <w:rPr>
          <w:rFonts w:ascii="Times New Roman" w:hAnsi="Times New Roman" w:eastAsia="宋体" w:cs="Times New Roman"/>
          <w:b/>
          <w:bCs/>
          <w:sz w:val="28"/>
          <w:szCs w:val="28"/>
        </w:rPr>
      </w:pPr>
      <w:r>
        <w:rPr>
          <w:rFonts w:ascii="Times New Roman" w:hAnsi="Times New Roman" w:eastAsia="宋体" w:cs="Times New Roman"/>
          <w:sz w:val="28"/>
          <w:szCs w:val="28"/>
        </w:rPr>
        <w:t>3.8、乙方按甲方提供样板加工生产的，乙方未经过甲方</w:t>
      </w:r>
      <w:r>
        <w:rPr>
          <w:rFonts w:hint="eastAsia" w:ascii="Times New Roman" w:hAnsi="Times New Roman" w:eastAsia="宋体" w:cs="Times New Roman"/>
          <w:sz w:val="28"/>
          <w:szCs w:val="28"/>
        </w:rPr>
        <w:t>事先书面</w:t>
      </w:r>
      <w:r>
        <w:rPr>
          <w:rFonts w:ascii="Times New Roman" w:hAnsi="Times New Roman" w:eastAsia="宋体" w:cs="Times New Roman"/>
          <w:sz w:val="28"/>
          <w:szCs w:val="28"/>
        </w:rPr>
        <w:t>同意，不得将本设备/材料样板转给其他人，且应在交货时退还样板。</w:t>
      </w:r>
    </w:p>
    <w:p w14:paraId="55692701">
      <w:pPr>
        <w:widowControl w:val="0"/>
        <w:ind w:firstLine="562"/>
        <w:outlineLvl w:val="2"/>
        <w:rPr>
          <w:rFonts w:ascii="Times New Roman" w:hAnsi="Times New Roman" w:eastAsia="宋体" w:cs="Times New Roman"/>
          <w:bCs/>
          <w:kern w:val="0"/>
          <w:sz w:val="28"/>
          <w:szCs w:val="28"/>
        </w:rPr>
      </w:pPr>
      <w:bookmarkStart w:id="250" w:name="_Toc41385852"/>
      <w:bookmarkStart w:id="251" w:name="_Toc27686"/>
      <w:r>
        <w:rPr>
          <w:rFonts w:ascii="Times New Roman" w:hAnsi="Times New Roman" w:eastAsia="宋体" w:cs="Times New Roman"/>
          <w:b/>
          <w:kern w:val="0"/>
          <w:sz w:val="28"/>
          <w:szCs w:val="28"/>
        </w:rPr>
        <w:t>四、技术标准和质量要求</w:t>
      </w:r>
      <w:bookmarkEnd w:id="250"/>
      <w:bookmarkEnd w:id="251"/>
    </w:p>
    <w:p w14:paraId="211ECE1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4.1、设备</w:t>
      </w:r>
      <w:r>
        <w:rPr>
          <w:rFonts w:ascii="Times New Roman" w:hAnsi="Times New Roman" w:eastAsia="宋体" w:cs="Times New Roman"/>
          <w:b/>
          <w:sz w:val="28"/>
          <w:szCs w:val="28"/>
        </w:rPr>
        <w:t>/</w:t>
      </w:r>
      <w:r>
        <w:rPr>
          <w:rFonts w:ascii="Times New Roman" w:hAnsi="Times New Roman" w:eastAsia="宋体" w:cs="Times New Roman"/>
          <w:sz w:val="28"/>
          <w:szCs w:val="28"/>
        </w:rPr>
        <w:t>材料质量标准：详见</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要求。</w:t>
      </w:r>
    </w:p>
    <w:p w14:paraId="157C755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4.2、乙方必须保证交货产品各项性能不得低于4.1条的标准。甲方保留在例行送检之外随时抽检及送检产品的权利，检验机构为政府法定检验机构。</w:t>
      </w:r>
      <w:r>
        <w:rPr>
          <w:rFonts w:hint="eastAsia" w:ascii="Times New Roman" w:hAnsi="Times New Roman" w:eastAsia="宋体" w:cs="Times New Roman"/>
          <w:sz w:val="28"/>
          <w:szCs w:val="28"/>
        </w:rPr>
        <w:t>如产品存在任何技术及质量的不合格，</w:t>
      </w:r>
      <w:r>
        <w:rPr>
          <w:rFonts w:ascii="Times New Roman" w:hAnsi="Times New Roman" w:eastAsia="宋体" w:cs="Times New Roman"/>
          <w:sz w:val="28"/>
          <w:szCs w:val="28"/>
        </w:rPr>
        <w:t>乙方承担检测费用，甲方有权拒收、部分拒收、退货、部分退货</w:t>
      </w:r>
      <w:r>
        <w:rPr>
          <w:rFonts w:hint="eastAsia" w:ascii="Times New Roman" w:hAnsi="Times New Roman" w:eastAsia="宋体" w:cs="Times New Roman"/>
          <w:sz w:val="28"/>
          <w:szCs w:val="28"/>
        </w:rPr>
        <w:t>、要求乙方重新提供符合合同约定及甲方要求的产品</w:t>
      </w:r>
      <w:r>
        <w:rPr>
          <w:rFonts w:ascii="Times New Roman" w:hAnsi="Times New Roman" w:eastAsia="宋体" w:cs="Times New Roman"/>
          <w:sz w:val="28"/>
          <w:szCs w:val="28"/>
        </w:rPr>
        <w:t>，并要求乙方赔偿因此造成的其他损失。</w:t>
      </w:r>
    </w:p>
    <w:p w14:paraId="70C4074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4.3、未经甲方</w:t>
      </w:r>
      <w:r>
        <w:rPr>
          <w:rFonts w:hint="eastAsia" w:ascii="Times New Roman" w:hAnsi="Times New Roman" w:eastAsia="宋体" w:cs="Times New Roman"/>
          <w:sz w:val="28"/>
          <w:szCs w:val="28"/>
        </w:rPr>
        <w:t>事先</w:t>
      </w:r>
      <w:r>
        <w:rPr>
          <w:rFonts w:ascii="Times New Roman" w:hAnsi="Times New Roman" w:eastAsia="宋体" w:cs="Times New Roman"/>
          <w:sz w:val="28"/>
          <w:szCs w:val="28"/>
        </w:rPr>
        <w:t>书面许可</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乙方不得对</w:t>
      </w:r>
      <w:r>
        <w:rPr>
          <w:rFonts w:hint="eastAsia" w:ascii="Times New Roman" w:hAnsi="Times New Roman" w:eastAsia="宋体" w:cs="Times New Roman"/>
          <w:sz w:val="28"/>
          <w:szCs w:val="28"/>
        </w:rPr>
        <w:t>合同</w:t>
      </w:r>
      <w:r>
        <w:rPr>
          <w:rFonts w:hint="eastAsia" w:ascii="Times New Roman" w:hAnsi="Times New Roman" w:eastAsia="宋体" w:cs="Times New Roman"/>
          <w:sz w:val="28"/>
          <w:szCs w:val="28"/>
          <w:lang w:val="en-US" w:eastAsia="zh-CN"/>
        </w:rPr>
        <w:t>约定及甲方要求的</w:t>
      </w:r>
      <w:r>
        <w:rPr>
          <w:rFonts w:ascii="Times New Roman" w:hAnsi="Times New Roman" w:eastAsia="宋体" w:cs="Times New Roman"/>
          <w:sz w:val="28"/>
          <w:szCs w:val="28"/>
        </w:rPr>
        <w:t>设备/材料进行变更。</w:t>
      </w:r>
    </w:p>
    <w:p w14:paraId="6268A57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4.4、乙方在供货中提出的合理化建议涉及到对设备/材料要求的更改及对设备/材料的换用，须经甲方</w:t>
      </w:r>
      <w:r>
        <w:rPr>
          <w:rFonts w:hint="eastAsia" w:ascii="Times New Roman" w:hAnsi="Times New Roman" w:eastAsia="宋体" w:cs="Times New Roman"/>
          <w:sz w:val="28"/>
          <w:szCs w:val="28"/>
        </w:rPr>
        <w:t>事先书面</w:t>
      </w:r>
      <w:r>
        <w:rPr>
          <w:rFonts w:ascii="Times New Roman" w:hAnsi="Times New Roman" w:eastAsia="宋体" w:cs="Times New Roman"/>
          <w:sz w:val="28"/>
          <w:szCs w:val="28"/>
        </w:rPr>
        <w:t>同意。未经</w:t>
      </w:r>
      <w:r>
        <w:rPr>
          <w:rFonts w:hint="eastAsia" w:ascii="Times New Roman" w:hAnsi="Times New Roman" w:eastAsia="宋体" w:cs="Times New Roman"/>
          <w:sz w:val="28"/>
          <w:szCs w:val="28"/>
        </w:rPr>
        <w:t>甲方事先</w:t>
      </w:r>
      <w:r>
        <w:rPr>
          <w:rFonts w:ascii="Times New Roman" w:hAnsi="Times New Roman" w:eastAsia="宋体" w:cs="Times New Roman"/>
          <w:sz w:val="28"/>
          <w:szCs w:val="28"/>
        </w:rPr>
        <w:t>同意擅自更改或换用时，</w:t>
      </w:r>
      <w:r>
        <w:rPr>
          <w:rFonts w:hint="eastAsia" w:ascii="Times New Roman" w:hAnsi="Times New Roman" w:eastAsia="宋体" w:cs="Times New Roman"/>
          <w:sz w:val="28"/>
          <w:szCs w:val="28"/>
        </w:rPr>
        <w:t>甲方有权要求乙方重新供货，换用原约定的设备/材料，并</w:t>
      </w:r>
      <w:r>
        <w:rPr>
          <w:rFonts w:ascii="Times New Roman" w:hAnsi="Times New Roman" w:eastAsia="宋体" w:cs="Times New Roman"/>
          <w:sz w:val="28"/>
          <w:szCs w:val="28"/>
        </w:rPr>
        <w:t>乙方承担由此发生的</w:t>
      </w:r>
      <w:r>
        <w:rPr>
          <w:rFonts w:hint="eastAsia" w:ascii="Times New Roman" w:hAnsi="Times New Roman" w:eastAsia="宋体" w:cs="Times New Roman"/>
          <w:sz w:val="28"/>
          <w:szCs w:val="28"/>
          <w:lang w:val="en-US" w:eastAsia="zh-CN"/>
        </w:rPr>
        <w:t>所有</w:t>
      </w:r>
      <w:r>
        <w:rPr>
          <w:rFonts w:ascii="Times New Roman" w:hAnsi="Times New Roman" w:eastAsia="宋体" w:cs="Times New Roman"/>
          <w:sz w:val="28"/>
          <w:szCs w:val="28"/>
        </w:rPr>
        <w:t>费用，</w:t>
      </w:r>
      <w:r>
        <w:rPr>
          <w:rFonts w:hint="eastAsia" w:ascii="Times New Roman" w:hAnsi="Times New Roman" w:eastAsia="宋体" w:cs="Times New Roman"/>
          <w:sz w:val="28"/>
          <w:szCs w:val="28"/>
          <w:lang w:val="en-US" w:eastAsia="zh-CN"/>
        </w:rPr>
        <w:t>及</w:t>
      </w:r>
      <w:r>
        <w:rPr>
          <w:rFonts w:ascii="Times New Roman" w:hAnsi="Times New Roman" w:eastAsia="宋体" w:cs="Times New Roman"/>
          <w:sz w:val="28"/>
          <w:szCs w:val="28"/>
        </w:rPr>
        <w:t>赔偿甲方的</w:t>
      </w:r>
      <w:r>
        <w:rPr>
          <w:rFonts w:hint="eastAsia" w:ascii="Times New Roman" w:hAnsi="Times New Roman" w:eastAsia="宋体" w:cs="Times New Roman"/>
          <w:sz w:val="28"/>
          <w:szCs w:val="28"/>
          <w:lang w:val="en-US" w:eastAsia="zh-CN"/>
        </w:rPr>
        <w:t>所有</w:t>
      </w:r>
      <w:r>
        <w:rPr>
          <w:rFonts w:ascii="Times New Roman" w:hAnsi="Times New Roman" w:eastAsia="宋体" w:cs="Times New Roman"/>
          <w:sz w:val="28"/>
          <w:szCs w:val="28"/>
        </w:rPr>
        <w:t>损失，</w:t>
      </w:r>
      <w:r>
        <w:rPr>
          <w:rFonts w:hint="eastAsia" w:ascii="Times New Roman" w:hAnsi="Times New Roman" w:eastAsia="宋体" w:cs="Times New Roman"/>
          <w:sz w:val="28"/>
          <w:szCs w:val="28"/>
        </w:rPr>
        <w:t>且供货日期不予顺延，如乙方因此逾期交付的，还应承担相应的违约责任</w:t>
      </w:r>
      <w:r>
        <w:rPr>
          <w:rFonts w:ascii="Times New Roman" w:hAnsi="Times New Roman" w:eastAsia="宋体" w:cs="Times New Roman"/>
          <w:sz w:val="28"/>
          <w:szCs w:val="28"/>
        </w:rPr>
        <w:t>。</w:t>
      </w:r>
    </w:p>
    <w:p w14:paraId="019EF74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4.5、甲方同意采用乙方的合理化建议，所发生的费用和获得的收益，甲方</w:t>
      </w:r>
      <w:r>
        <w:rPr>
          <w:rFonts w:hint="eastAsia" w:ascii="Times New Roman" w:hAnsi="Times New Roman" w:eastAsia="宋体" w:cs="Times New Roman"/>
          <w:sz w:val="28"/>
          <w:szCs w:val="28"/>
          <w:lang w:val="en-US" w:eastAsia="zh-CN"/>
        </w:rPr>
        <w:t>与</w:t>
      </w:r>
      <w:r>
        <w:rPr>
          <w:rFonts w:ascii="Times New Roman" w:hAnsi="Times New Roman" w:eastAsia="宋体" w:cs="Times New Roman"/>
          <w:sz w:val="28"/>
          <w:szCs w:val="28"/>
        </w:rPr>
        <w:t>乙方另行约定分担或分享。</w:t>
      </w:r>
    </w:p>
    <w:p w14:paraId="6D75CDC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4.6、合同履行中甲方要求变更设备/材料质量标准及发生其他实质性变更，由双方协商解决</w:t>
      </w:r>
      <w:r>
        <w:rPr>
          <w:rFonts w:hint="eastAsia" w:ascii="Times New Roman" w:hAnsi="Times New Roman" w:eastAsia="宋体" w:cs="Times New Roman"/>
          <w:sz w:val="28"/>
          <w:szCs w:val="28"/>
        </w:rPr>
        <w:t>；双方协商一致后，应另行签署书面协议补充约定</w:t>
      </w:r>
      <w:r>
        <w:rPr>
          <w:rFonts w:ascii="Times New Roman" w:hAnsi="Times New Roman" w:eastAsia="宋体" w:cs="Times New Roman"/>
          <w:sz w:val="28"/>
          <w:szCs w:val="28"/>
        </w:rPr>
        <w:t>。</w:t>
      </w:r>
    </w:p>
    <w:p w14:paraId="4535BD1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4.7、甲方不承担质量责任，甲方的确认、同意</w:t>
      </w:r>
      <w:r>
        <w:rPr>
          <w:rFonts w:hint="eastAsia" w:ascii="Times New Roman" w:hAnsi="Times New Roman" w:eastAsia="宋体" w:cs="Times New Roman"/>
          <w:sz w:val="28"/>
          <w:szCs w:val="28"/>
        </w:rPr>
        <w:t>、验收合格等</w:t>
      </w:r>
      <w:r>
        <w:rPr>
          <w:rFonts w:ascii="Times New Roman" w:hAnsi="Times New Roman" w:eastAsia="宋体" w:cs="Times New Roman"/>
          <w:sz w:val="28"/>
          <w:szCs w:val="28"/>
        </w:rPr>
        <w:t>不</w:t>
      </w:r>
      <w:r>
        <w:rPr>
          <w:rFonts w:hint="eastAsia" w:ascii="Times New Roman" w:hAnsi="Times New Roman" w:eastAsia="宋体" w:cs="Times New Roman"/>
          <w:sz w:val="28"/>
          <w:szCs w:val="28"/>
        </w:rPr>
        <w:t>等同于</w:t>
      </w:r>
      <w:r>
        <w:rPr>
          <w:rFonts w:hint="eastAsia" w:ascii="Times New Roman" w:hAnsi="Times New Roman" w:eastAsia="宋体" w:cs="Times New Roman"/>
          <w:sz w:val="28"/>
          <w:szCs w:val="28"/>
          <w:lang w:val="en-US" w:eastAsia="zh-CN"/>
        </w:rPr>
        <w:t>免除</w:t>
      </w:r>
      <w:r>
        <w:rPr>
          <w:rFonts w:ascii="Times New Roman" w:hAnsi="Times New Roman" w:eastAsia="宋体" w:cs="Times New Roman"/>
          <w:sz w:val="28"/>
          <w:szCs w:val="28"/>
        </w:rPr>
        <w:t>乙方的任何质量责任。</w:t>
      </w:r>
    </w:p>
    <w:p w14:paraId="0B6DECD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4.8、乙方供货的设备</w:t>
      </w:r>
      <w:r>
        <w:rPr>
          <w:rFonts w:ascii="Times New Roman" w:hAnsi="Times New Roman" w:eastAsia="宋体" w:cs="Times New Roman"/>
          <w:b/>
          <w:sz w:val="28"/>
          <w:szCs w:val="28"/>
        </w:rPr>
        <w:t>/</w:t>
      </w:r>
      <w:r>
        <w:rPr>
          <w:rFonts w:ascii="Times New Roman" w:hAnsi="Times New Roman" w:eastAsia="宋体" w:cs="Times New Roman"/>
          <w:sz w:val="28"/>
          <w:szCs w:val="28"/>
        </w:rPr>
        <w:t>材料中的进口部份，需提供原产地证明、进口报关单等</w:t>
      </w:r>
      <w:r>
        <w:rPr>
          <w:rFonts w:hint="eastAsia" w:ascii="Times New Roman" w:hAnsi="Times New Roman" w:eastAsia="宋体" w:cs="Times New Roman"/>
          <w:sz w:val="28"/>
          <w:szCs w:val="28"/>
        </w:rPr>
        <w:t>甲方要求的</w:t>
      </w:r>
      <w:r>
        <w:rPr>
          <w:rFonts w:ascii="Times New Roman" w:hAnsi="Times New Roman" w:eastAsia="宋体" w:cs="Times New Roman"/>
          <w:sz w:val="28"/>
          <w:szCs w:val="28"/>
        </w:rPr>
        <w:t>相关证明文件。</w:t>
      </w:r>
    </w:p>
    <w:p w14:paraId="6A808193">
      <w:pPr>
        <w:widowControl w:val="0"/>
        <w:ind w:firstLine="562"/>
        <w:outlineLvl w:val="2"/>
        <w:rPr>
          <w:rFonts w:ascii="Times New Roman" w:hAnsi="Times New Roman" w:eastAsia="宋体" w:cs="Times New Roman"/>
          <w:kern w:val="0"/>
          <w:sz w:val="28"/>
          <w:szCs w:val="28"/>
        </w:rPr>
      </w:pPr>
      <w:bookmarkStart w:id="252" w:name="_Toc41385853"/>
      <w:bookmarkStart w:id="253" w:name="_Toc29584"/>
      <w:r>
        <w:rPr>
          <w:rFonts w:ascii="Times New Roman" w:hAnsi="Times New Roman" w:eastAsia="宋体" w:cs="Times New Roman"/>
          <w:b/>
          <w:kern w:val="0"/>
          <w:sz w:val="28"/>
          <w:szCs w:val="28"/>
        </w:rPr>
        <w:t>五、设备/材料的安装（施工）</w:t>
      </w:r>
      <w:bookmarkEnd w:id="252"/>
      <w:bookmarkEnd w:id="253"/>
    </w:p>
    <w:p w14:paraId="37278F8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5.1、在安装（施工）之前，乙方应与安装（施工）单位约定时间，进行设备/材料安装（施工）技术交底，并邀请监理单位及甲方参加。因未交底导致安装（施工）出现质量问题、损坏设备材料、验收无法通过及对甲方造成其他损失等情况的</w:t>
      </w:r>
      <w:r>
        <w:rPr>
          <w:rFonts w:hint="eastAsia" w:ascii="Times New Roman" w:hAnsi="Times New Roman" w:eastAsia="宋体" w:cs="Times New Roman"/>
          <w:sz w:val="28"/>
          <w:szCs w:val="28"/>
        </w:rPr>
        <w:t>，除</w:t>
      </w:r>
      <w:r>
        <w:rPr>
          <w:rFonts w:ascii="Times New Roman" w:hAnsi="Times New Roman" w:eastAsia="宋体" w:cs="Times New Roman"/>
          <w:sz w:val="28"/>
          <w:szCs w:val="28"/>
        </w:rPr>
        <w:t>安装（施工）单位承担全部责任外，乙方承担连带责任。</w:t>
      </w:r>
    </w:p>
    <w:p w14:paraId="55187FAB">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5.2、安装（施工）单位为乙方的，本合同所有关于安装（施工）单位的条款，对乙方均有约束力，甲方认为有必要时，甲乙双方另行签署安装（施工）协议。</w:t>
      </w:r>
    </w:p>
    <w:p w14:paraId="21ADC36E">
      <w:pPr>
        <w:widowControl w:val="0"/>
        <w:ind w:firstLine="562"/>
        <w:outlineLvl w:val="2"/>
        <w:rPr>
          <w:rFonts w:ascii="Times New Roman" w:hAnsi="Times New Roman" w:eastAsia="宋体" w:cs="Times New Roman"/>
          <w:kern w:val="0"/>
          <w:sz w:val="28"/>
          <w:szCs w:val="28"/>
        </w:rPr>
      </w:pPr>
      <w:bookmarkStart w:id="254" w:name="_Toc41385854"/>
      <w:bookmarkStart w:id="255" w:name="_Toc13202"/>
      <w:r>
        <w:rPr>
          <w:rFonts w:ascii="Times New Roman" w:hAnsi="Times New Roman" w:eastAsia="宋体" w:cs="Times New Roman"/>
          <w:b/>
          <w:kern w:val="0"/>
          <w:sz w:val="28"/>
          <w:szCs w:val="28"/>
        </w:rPr>
        <w:t>六、设备/材料数量及计量方法</w:t>
      </w:r>
      <w:bookmarkEnd w:id="254"/>
      <w:bookmarkEnd w:id="255"/>
    </w:p>
    <w:p w14:paraId="49DCC1BB">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6.1、甲方未发出书面变更供货数量指令，乙方必须按合同书约定的清单供货。</w:t>
      </w:r>
    </w:p>
    <w:p w14:paraId="0BF8633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6.2、甲方接受设备/材料的数量计量以交货验收合格的数量为准。由乙方负责安装的，甲方有权以现场计量数量或以实际安装到现场</w:t>
      </w:r>
      <w:r>
        <w:rPr>
          <w:rFonts w:hint="eastAsia" w:ascii="Times New Roman" w:hAnsi="Times New Roman" w:eastAsia="宋体" w:cs="Times New Roman"/>
          <w:sz w:val="28"/>
          <w:szCs w:val="28"/>
        </w:rPr>
        <w:t>且经甲方验收合格</w:t>
      </w:r>
      <w:r>
        <w:rPr>
          <w:rFonts w:hint="eastAsia" w:ascii="Times New Roman" w:hAnsi="Times New Roman" w:eastAsia="宋体" w:cs="Times New Roman"/>
          <w:sz w:val="28"/>
          <w:szCs w:val="28"/>
          <w:lang w:val="en-US" w:eastAsia="zh-CN"/>
        </w:rPr>
        <w:t>的</w:t>
      </w:r>
      <w:r>
        <w:rPr>
          <w:rFonts w:ascii="Times New Roman" w:hAnsi="Times New Roman" w:eastAsia="宋体" w:cs="Times New Roman"/>
          <w:sz w:val="28"/>
          <w:szCs w:val="28"/>
        </w:rPr>
        <w:t>设备/材料设备数量为准，但该数量不能超过设备/材料清单的约定数量。</w:t>
      </w:r>
    </w:p>
    <w:p w14:paraId="63C83C5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6.3、现场数量计量时，甲、乙双方应至少各有一人参与监理单位一同交货验收，甲方可委托安装单位参与交货验收。现场计量由乙方准备计量记录，计量完成后，各方签字确认。因乙方没有准备计量记录造成48小时内未及时补签字的，根据需要，可进行重新计量，由此造成的全部损失及费用由乙方负责。</w:t>
      </w:r>
    </w:p>
    <w:p w14:paraId="4202C49B">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6.4、类似瓷片等以箱为单位，无法进行精确计量的材料，可以箱数计量。但甲方有权抽检，有不足量情况的，以最少装箱数×箱数为准，乙方应尽快配合补足数量，如因此造成工程工期延误、人力资源浪费等情况的，甲方有权</w:t>
      </w:r>
      <w:r>
        <w:rPr>
          <w:rFonts w:hint="eastAsia" w:ascii="Times New Roman" w:hAnsi="Times New Roman" w:eastAsia="宋体" w:cs="Times New Roman"/>
          <w:sz w:val="28"/>
          <w:szCs w:val="28"/>
        </w:rPr>
        <w:t>要求乙方承担违约责任，并</w:t>
      </w:r>
      <w:r>
        <w:rPr>
          <w:rFonts w:ascii="Times New Roman" w:hAnsi="Times New Roman" w:eastAsia="宋体" w:cs="Times New Roman"/>
          <w:sz w:val="28"/>
          <w:szCs w:val="28"/>
        </w:rPr>
        <w:t>提出索赔。</w:t>
      </w:r>
    </w:p>
    <w:p w14:paraId="5CE7398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6.5、乙方接受甲方增加供货数量的要求，具体方式为：甲方提前一个生产周期发出</w:t>
      </w:r>
      <w:r>
        <w:rPr>
          <w:rFonts w:hint="eastAsia" w:ascii="Times New Roman" w:hAnsi="Times New Roman" w:eastAsia="宋体" w:cs="Times New Roman"/>
          <w:sz w:val="28"/>
          <w:szCs w:val="28"/>
          <w:lang w:val="en-US" w:eastAsia="zh-CN"/>
        </w:rPr>
        <w:t>由</w:t>
      </w:r>
      <w:r>
        <w:rPr>
          <w:rFonts w:ascii="Times New Roman" w:hAnsi="Times New Roman" w:eastAsia="宋体" w:cs="Times New Roman"/>
          <w:sz w:val="28"/>
          <w:szCs w:val="28"/>
        </w:rPr>
        <w:t>甲方代表签发的书面通知，乙方项目经理进行书面确认后即可执行。生产周期由双方在</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内约定。有成品存货的，乙方应尽快交货。</w:t>
      </w:r>
    </w:p>
    <w:p w14:paraId="2DA4E1F1">
      <w:pPr>
        <w:widowControl w:val="0"/>
        <w:ind w:firstLine="562"/>
        <w:outlineLvl w:val="2"/>
        <w:rPr>
          <w:rFonts w:ascii="Times New Roman" w:hAnsi="Times New Roman" w:eastAsia="宋体" w:cs="Times New Roman"/>
          <w:kern w:val="0"/>
          <w:sz w:val="28"/>
          <w:szCs w:val="28"/>
        </w:rPr>
      </w:pPr>
      <w:bookmarkStart w:id="256" w:name="_Toc41385855"/>
      <w:r>
        <w:rPr>
          <w:rFonts w:ascii="Times New Roman" w:hAnsi="Times New Roman" w:eastAsia="宋体" w:cs="Times New Roman"/>
          <w:b/>
          <w:kern w:val="0"/>
          <w:sz w:val="28"/>
          <w:szCs w:val="28"/>
        </w:rPr>
        <w:t>七、包装及运输</w:t>
      </w:r>
      <w:bookmarkEnd w:id="256"/>
    </w:p>
    <w:p w14:paraId="0C2005D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7.1、包装</w:t>
      </w:r>
    </w:p>
    <w:p w14:paraId="6BCE598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7.1.1、除甲方有特殊要求并在</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中明确外，设备/材料的包装由乙方负责，按适合运输及仓储的方式设计包装，费用已包含在合同价款中。</w:t>
      </w:r>
    </w:p>
    <w:p w14:paraId="3A60CDD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7.1.2、包装应根据材料特点具备防潮、防雨、防锈、防震、防腐蚀等功能，乙方对包装的风险负责，因包装设计、制作、质量等原因造成产品损失的，由乙方承担责任。对甲方造成工程工期延误、人力资源浪费等情况的，甲方有权提出索赔。</w:t>
      </w:r>
    </w:p>
    <w:p w14:paraId="57D3C3A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7.1.3、包装物上必须标注产品名称、规格型号、颜色、数量、产品等级、堆放要求、保存环境要求、生产商等资料标识，因标示缺少或不清导致安装、堆放、保管错误并造成损失的，乙方负责赔偿，对甲方造成工程工期、人力资源浪费等情况的，甲方有权提出索赔。</w:t>
      </w:r>
    </w:p>
    <w:p w14:paraId="4F73738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7.1.4、如甲方提出要求，乙方应尽量负责包装物的回收，如乙方委托甲方回收则应支付给甲方回收费用，具体回收费用由乙丙双方另行协商。</w:t>
      </w:r>
    </w:p>
    <w:p w14:paraId="6BB15F3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7.2、运输</w:t>
      </w:r>
    </w:p>
    <w:p w14:paraId="5C6F51B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本合同设备</w:t>
      </w:r>
      <w:r>
        <w:rPr>
          <w:rFonts w:hint="eastAsia" w:ascii="Times New Roman" w:hAnsi="Times New Roman" w:eastAsia="宋体" w:cs="Times New Roman"/>
          <w:sz w:val="28"/>
          <w:szCs w:val="28"/>
          <w:lang w:val="en-US" w:eastAsia="zh-CN"/>
        </w:rPr>
        <w:t>/</w:t>
      </w:r>
      <w:r>
        <w:rPr>
          <w:rFonts w:ascii="Times New Roman" w:hAnsi="Times New Roman" w:eastAsia="宋体" w:cs="Times New Roman"/>
          <w:sz w:val="28"/>
          <w:szCs w:val="28"/>
        </w:rPr>
        <w:t>材料的运输及风险（包含设备</w:t>
      </w:r>
      <w:r>
        <w:rPr>
          <w:rFonts w:hint="eastAsia" w:ascii="Times New Roman" w:hAnsi="Times New Roman" w:eastAsia="宋体" w:cs="Times New Roman"/>
          <w:sz w:val="28"/>
          <w:szCs w:val="28"/>
          <w:lang w:val="en-US" w:eastAsia="zh-CN"/>
        </w:rPr>
        <w:t>/</w:t>
      </w:r>
      <w:r>
        <w:rPr>
          <w:rFonts w:ascii="Times New Roman" w:hAnsi="Times New Roman" w:eastAsia="宋体" w:cs="Times New Roman"/>
          <w:sz w:val="28"/>
          <w:szCs w:val="28"/>
        </w:rPr>
        <w:t>材料质量不符引起的换货、退货等运输及风险）由乙方负责，运输费用及运输保险费用包含在合同</w:t>
      </w:r>
      <w:r>
        <w:rPr>
          <w:rFonts w:hint="eastAsia" w:ascii="Times New Roman" w:hAnsi="Times New Roman" w:eastAsia="宋体" w:cs="Times New Roman"/>
          <w:sz w:val="28"/>
          <w:szCs w:val="28"/>
          <w:lang w:val="en-US" w:eastAsia="zh-CN"/>
        </w:rPr>
        <w:t>价款</w:t>
      </w:r>
      <w:r>
        <w:rPr>
          <w:rFonts w:ascii="Times New Roman" w:hAnsi="Times New Roman" w:eastAsia="宋体" w:cs="Times New Roman"/>
          <w:sz w:val="28"/>
          <w:szCs w:val="28"/>
        </w:rPr>
        <w:t>中，甲方对此不负任何责任。</w:t>
      </w:r>
    </w:p>
    <w:p w14:paraId="0C021F63">
      <w:pPr>
        <w:widowControl w:val="0"/>
        <w:ind w:firstLine="562"/>
        <w:outlineLvl w:val="2"/>
        <w:rPr>
          <w:rFonts w:ascii="Times New Roman" w:hAnsi="Times New Roman" w:eastAsia="宋体" w:cs="Times New Roman"/>
          <w:kern w:val="0"/>
          <w:sz w:val="28"/>
          <w:szCs w:val="28"/>
        </w:rPr>
      </w:pPr>
      <w:bookmarkStart w:id="257" w:name="_Toc6130"/>
      <w:bookmarkStart w:id="258" w:name="_Toc41385856"/>
      <w:r>
        <w:rPr>
          <w:rFonts w:ascii="Times New Roman" w:hAnsi="Times New Roman" w:eastAsia="宋体" w:cs="Times New Roman"/>
          <w:b/>
          <w:kern w:val="0"/>
          <w:sz w:val="28"/>
          <w:szCs w:val="28"/>
        </w:rPr>
        <w:t>八、交货及验收</w:t>
      </w:r>
      <w:bookmarkEnd w:id="257"/>
      <w:bookmarkEnd w:id="258"/>
    </w:p>
    <w:p w14:paraId="24684D9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8.1、交货</w:t>
      </w:r>
    </w:p>
    <w:p w14:paraId="6D4B953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8.1.1、本合同约定的交货方式为乙方送货，除不可抗力因素、甲方付款原因外，乙方必须按</w:t>
      </w:r>
      <w:r>
        <w:rPr>
          <w:rFonts w:hint="eastAsia" w:ascii="Times New Roman" w:hAnsi="Times New Roman" w:eastAsia="宋体" w:cs="Times New Roman"/>
          <w:sz w:val="28"/>
          <w:szCs w:val="28"/>
        </w:rPr>
        <w:t>本合同约定及甲方要求</w:t>
      </w:r>
      <w:r>
        <w:rPr>
          <w:rFonts w:ascii="Times New Roman" w:hAnsi="Times New Roman" w:eastAsia="宋体" w:cs="Times New Roman"/>
          <w:sz w:val="28"/>
          <w:szCs w:val="28"/>
        </w:rPr>
        <w:t>的地点、时间安排交货。乙方不能按时开始供货</w:t>
      </w:r>
      <w:r>
        <w:rPr>
          <w:rFonts w:hint="eastAsia" w:ascii="Times New Roman" w:hAnsi="Times New Roman" w:eastAsia="宋体" w:cs="Times New Roman"/>
          <w:sz w:val="28"/>
          <w:szCs w:val="28"/>
          <w:lang w:val="en-US" w:eastAsia="zh-CN"/>
        </w:rPr>
        <w:t>的</w:t>
      </w:r>
      <w:r>
        <w:rPr>
          <w:rFonts w:ascii="Times New Roman" w:hAnsi="Times New Roman" w:eastAsia="宋体" w:cs="Times New Roman"/>
          <w:sz w:val="28"/>
          <w:szCs w:val="28"/>
        </w:rPr>
        <w:t>，应当</w:t>
      </w:r>
      <w:r>
        <w:rPr>
          <w:rFonts w:hint="eastAsia" w:ascii="Times New Roman" w:hAnsi="Times New Roman" w:eastAsia="宋体" w:cs="Times New Roman"/>
          <w:sz w:val="28"/>
          <w:szCs w:val="28"/>
          <w:lang w:val="en-US" w:eastAsia="zh-CN"/>
        </w:rPr>
        <w:t>在</w:t>
      </w:r>
      <w:r>
        <w:rPr>
          <w:rFonts w:ascii="Times New Roman" w:hAnsi="Times New Roman" w:eastAsia="宋体" w:cs="Times New Roman"/>
          <w:sz w:val="28"/>
          <w:szCs w:val="28"/>
        </w:rPr>
        <w:t>本合同约定的开始供货日期前十天，以书面形式向甲方提出延期供货的请求及原因。甲方同意后供货工期相应顺延。甲方不同意延期要求或乙方未在规定时间内提出延期供货要求</w:t>
      </w:r>
      <w:r>
        <w:rPr>
          <w:rFonts w:hint="eastAsia" w:ascii="Times New Roman" w:hAnsi="Times New Roman" w:eastAsia="宋体" w:cs="Times New Roman"/>
          <w:sz w:val="28"/>
          <w:szCs w:val="28"/>
          <w:lang w:val="en-US" w:eastAsia="zh-CN"/>
        </w:rPr>
        <w:t>的</w:t>
      </w:r>
      <w:r>
        <w:rPr>
          <w:rFonts w:ascii="Times New Roman" w:hAnsi="Times New Roman" w:eastAsia="宋体" w:cs="Times New Roman"/>
          <w:sz w:val="28"/>
          <w:szCs w:val="28"/>
        </w:rPr>
        <w:t>，供货工期不予顺延。甲方未同意延期而乙方未按时交货的，甲方有权解除合同，</w:t>
      </w:r>
      <w:r>
        <w:rPr>
          <w:rFonts w:hint="eastAsia" w:ascii="Times New Roman" w:hAnsi="Times New Roman" w:eastAsia="宋体" w:cs="Times New Roman"/>
          <w:sz w:val="28"/>
          <w:szCs w:val="28"/>
        </w:rPr>
        <w:t>并要求乙方支付合同价款</w:t>
      </w:r>
      <w:r>
        <w:rPr>
          <w:rFonts w:hint="eastAsia"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rPr>
        <w:t>%作为违约金，违约金不足以弥补甲方损失的，甲方有权要求乙方承担补充赔偿责任</w:t>
      </w:r>
      <w:r>
        <w:rPr>
          <w:rFonts w:ascii="Times New Roman" w:hAnsi="Times New Roman" w:eastAsia="宋体" w:cs="Times New Roman"/>
          <w:sz w:val="28"/>
          <w:szCs w:val="28"/>
        </w:rPr>
        <w:t>。</w:t>
      </w:r>
    </w:p>
    <w:p w14:paraId="21113C3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8.1.2、交货前十天，乙方应书面知会甲方到货时间并得到甲方确认，甲方负责准备场地和组织交货验收人员。</w:t>
      </w:r>
    </w:p>
    <w:p w14:paraId="7175DB9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8.1.3、交货前48小时，乙方应书面知会甲方到货准确时间并得到甲方确认，通知的交货时间应精确到小时，到货时间迟到4个小时以上的，乙方每次向甲方支付违约金</w:t>
      </w:r>
      <w:r>
        <w:rPr>
          <w:rFonts w:hint="eastAsia" w:ascii="Times New Roman" w:hAnsi="Times New Roman" w:eastAsia="宋体" w:cs="Times New Roman"/>
          <w:sz w:val="28"/>
          <w:szCs w:val="28"/>
          <w:lang w:val="en-US" w:eastAsia="zh-CN"/>
        </w:rPr>
        <w:t>500</w:t>
      </w:r>
      <w:r>
        <w:rPr>
          <w:rFonts w:ascii="Times New Roman" w:hAnsi="Times New Roman" w:eastAsia="宋体" w:cs="Times New Roman"/>
          <w:sz w:val="28"/>
          <w:szCs w:val="28"/>
        </w:rPr>
        <w:t>元。到货时间迟到24个小时以上的，甲方有权解除本合同，</w:t>
      </w:r>
      <w:r>
        <w:rPr>
          <w:rFonts w:hint="eastAsia" w:ascii="Times New Roman" w:hAnsi="Times New Roman" w:eastAsia="宋体" w:cs="Times New Roman"/>
          <w:sz w:val="28"/>
          <w:szCs w:val="28"/>
        </w:rPr>
        <w:t>并要求乙方支付合同价款</w:t>
      </w:r>
      <w:r>
        <w:rPr>
          <w:rFonts w:hint="eastAsia"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rPr>
        <w:t>%作为违约金，违约金不足以弥补甲方损失的，甲方有权要求乙方承担补充赔偿责任</w:t>
      </w:r>
      <w:r>
        <w:rPr>
          <w:rFonts w:ascii="Times New Roman" w:hAnsi="Times New Roman" w:eastAsia="宋体" w:cs="Times New Roman"/>
          <w:sz w:val="28"/>
          <w:szCs w:val="28"/>
        </w:rPr>
        <w:t>。</w:t>
      </w:r>
    </w:p>
    <w:p w14:paraId="4B38D2D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8.1.4、乙方无条件接受甲方对供货期调整、暂停供货、恢复供货的要求，具体方式为：甲方提前十五天发出由</w:t>
      </w:r>
      <w:r>
        <w:rPr>
          <w:rFonts w:hint="eastAsia" w:ascii="Times New Roman" w:hAnsi="Times New Roman" w:eastAsia="宋体" w:cs="Times New Roman"/>
          <w:sz w:val="28"/>
          <w:szCs w:val="28"/>
          <w:lang w:eastAsia="zh-CN"/>
        </w:rPr>
        <w:t>甲方代表</w:t>
      </w:r>
      <w:r>
        <w:rPr>
          <w:rFonts w:ascii="Times New Roman" w:hAnsi="Times New Roman" w:eastAsia="宋体" w:cs="Times New Roman"/>
          <w:sz w:val="28"/>
          <w:szCs w:val="28"/>
        </w:rPr>
        <w:t>签发的书面通知，乙方项目经理进行书面确认后即可执行。对此甲方不承担违约责任。</w:t>
      </w:r>
    </w:p>
    <w:p w14:paraId="72CF45A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8.2、验收</w:t>
      </w:r>
    </w:p>
    <w:p w14:paraId="6086046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8.2.1、交货验收应在货物</w:t>
      </w:r>
      <w:r>
        <w:rPr>
          <w:rFonts w:hint="eastAsia" w:ascii="Times New Roman" w:hAnsi="Times New Roman" w:eastAsia="宋体" w:cs="Times New Roman"/>
          <w:sz w:val="28"/>
          <w:szCs w:val="28"/>
        </w:rPr>
        <w:t>送达甲方</w:t>
      </w:r>
      <w:r>
        <w:rPr>
          <w:rFonts w:ascii="Times New Roman" w:hAnsi="Times New Roman" w:eastAsia="宋体" w:cs="Times New Roman"/>
          <w:sz w:val="28"/>
          <w:szCs w:val="28"/>
        </w:rPr>
        <w:t>指定地点</w:t>
      </w:r>
      <w:r>
        <w:rPr>
          <w:rFonts w:hint="eastAsia" w:ascii="Times New Roman" w:hAnsi="Times New Roman" w:eastAsia="宋体" w:cs="Times New Roman"/>
          <w:sz w:val="28"/>
          <w:szCs w:val="28"/>
        </w:rPr>
        <w:t>并按甲方要求完成卸货</w:t>
      </w:r>
      <w:r>
        <w:rPr>
          <w:rFonts w:ascii="Times New Roman" w:hAnsi="Times New Roman" w:eastAsia="宋体" w:cs="Times New Roman"/>
          <w:sz w:val="28"/>
          <w:szCs w:val="28"/>
        </w:rPr>
        <w:t>之后进行。</w:t>
      </w:r>
    </w:p>
    <w:p w14:paraId="4B5A396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8.2.2、乙方交货当天，甲、乙双方及甲方委托的验收参与人员，根据本合同约定的计量方式、技术标准和质量要求进行交货计量和验收，主要核对：数量、规格型号、产地、质量等级、尺寸、颜色、铭牌参数、包装及标识完整、完好程度、交货资料</w:t>
      </w:r>
      <w:r>
        <w:rPr>
          <w:rFonts w:hint="eastAsia" w:ascii="Times New Roman" w:hAnsi="Times New Roman" w:eastAsia="宋体" w:cs="Times New Roman"/>
          <w:sz w:val="28"/>
          <w:szCs w:val="28"/>
          <w:lang w:val="en-US" w:eastAsia="zh-CN"/>
        </w:rPr>
        <w:t>等</w:t>
      </w:r>
      <w:r>
        <w:rPr>
          <w:rFonts w:ascii="Times New Roman" w:hAnsi="Times New Roman" w:eastAsia="宋体" w:cs="Times New Roman"/>
          <w:sz w:val="28"/>
          <w:szCs w:val="28"/>
        </w:rPr>
        <w:t>，各方签字确认后即表示交货验收完成，可以进行安装施工，交货验收</w:t>
      </w:r>
      <w:r>
        <w:rPr>
          <w:rFonts w:hint="eastAsia" w:ascii="Times New Roman" w:hAnsi="Times New Roman" w:eastAsia="宋体" w:cs="Times New Roman"/>
          <w:sz w:val="28"/>
          <w:szCs w:val="28"/>
        </w:rPr>
        <w:t>合格不等同于</w:t>
      </w:r>
      <w:r>
        <w:rPr>
          <w:rFonts w:hint="eastAsia" w:ascii="Times New Roman" w:hAnsi="Times New Roman" w:eastAsia="宋体" w:cs="Times New Roman"/>
          <w:sz w:val="28"/>
          <w:szCs w:val="28"/>
          <w:lang w:val="en-US" w:eastAsia="zh-CN"/>
        </w:rPr>
        <w:t>免除</w:t>
      </w:r>
      <w:r>
        <w:rPr>
          <w:rFonts w:ascii="Times New Roman" w:hAnsi="Times New Roman" w:eastAsia="宋体" w:cs="Times New Roman"/>
          <w:sz w:val="28"/>
          <w:szCs w:val="28"/>
        </w:rPr>
        <w:t>任何乙方对</w:t>
      </w:r>
      <w:r>
        <w:rPr>
          <w:rFonts w:hint="eastAsia" w:ascii="Times New Roman" w:hAnsi="Times New Roman" w:eastAsia="宋体" w:cs="Times New Roman"/>
          <w:sz w:val="28"/>
          <w:szCs w:val="28"/>
          <w:lang w:val="en-US" w:eastAsia="zh-CN"/>
        </w:rPr>
        <w:t>其</w:t>
      </w:r>
      <w:r>
        <w:rPr>
          <w:rFonts w:ascii="Times New Roman" w:hAnsi="Times New Roman" w:eastAsia="宋体" w:cs="Times New Roman"/>
          <w:sz w:val="28"/>
          <w:szCs w:val="28"/>
        </w:rPr>
        <w:t>交货产品存在质量、制造、设计、性能方面的缺陷和不合格而应承担的责任、违约责任和对甲方造成损失的赔偿义务。</w:t>
      </w:r>
    </w:p>
    <w:p w14:paraId="114814F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8.2.3、存在数量、规格型号、产地、质量等级、尺寸、颜色、铭牌参数、包装及标识完整、完好程度、交货资料等不合格情况的，甲方有权拒收、部分拒收、退货、部分退货、</w:t>
      </w:r>
      <w:r>
        <w:rPr>
          <w:rFonts w:hint="eastAsia" w:ascii="Times New Roman" w:hAnsi="Times New Roman" w:eastAsia="宋体" w:cs="Times New Roman"/>
          <w:sz w:val="28"/>
          <w:szCs w:val="28"/>
        </w:rPr>
        <w:t>要求乙方重新提供符合合同约定及甲方要求的产品，并要求乙方承担</w:t>
      </w:r>
      <w:r>
        <w:rPr>
          <w:rFonts w:ascii="Times New Roman" w:hAnsi="Times New Roman" w:eastAsia="宋体" w:cs="Times New Roman"/>
          <w:sz w:val="28"/>
          <w:szCs w:val="28"/>
        </w:rPr>
        <w:t>诸如工期延误、返工等损失</w:t>
      </w:r>
      <w:r>
        <w:rPr>
          <w:rFonts w:hint="eastAsia" w:ascii="Times New Roman" w:hAnsi="Times New Roman" w:eastAsia="宋体" w:cs="Times New Roman"/>
          <w:sz w:val="28"/>
          <w:szCs w:val="28"/>
        </w:rPr>
        <w:t>赔偿责任；同时，甲方有权解除本合同，并要求乙方支付合同价款</w:t>
      </w:r>
      <w:r>
        <w:rPr>
          <w:rFonts w:hint="eastAsia"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rPr>
        <w:t>%作为违约金，违约金不足以弥补甲方损失的，甲方有权要求乙方承担补充赔偿责任</w:t>
      </w:r>
      <w:r>
        <w:rPr>
          <w:rFonts w:ascii="Times New Roman" w:hAnsi="Times New Roman" w:eastAsia="宋体" w:cs="Times New Roman"/>
          <w:sz w:val="28"/>
          <w:szCs w:val="28"/>
        </w:rPr>
        <w:t>。</w:t>
      </w:r>
    </w:p>
    <w:p w14:paraId="629BAD5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8.2.4、交货之后三天内，甲方应与乙方约定时间共同取样送检，送检不合格的，甲方有权拒收、退货、</w:t>
      </w:r>
      <w:r>
        <w:rPr>
          <w:rFonts w:hint="eastAsia" w:ascii="Times New Roman" w:hAnsi="Times New Roman" w:eastAsia="宋体" w:cs="Times New Roman"/>
          <w:sz w:val="28"/>
          <w:szCs w:val="28"/>
        </w:rPr>
        <w:t>要求乙方重新提供符合合同约定及甲方要求的产品，并要求乙方承担</w:t>
      </w:r>
      <w:r>
        <w:rPr>
          <w:rFonts w:ascii="Times New Roman" w:hAnsi="Times New Roman" w:eastAsia="宋体" w:cs="Times New Roman"/>
          <w:sz w:val="28"/>
          <w:szCs w:val="28"/>
        </w:rPr>
        <w:t>诸如工期延误、返工等损失</w:t>
      </w:r>
      <w:r>
        <w:rPr>
          <w:rFonts w:hint="eastAsia" w:ascii="Times New Roman" w:hAnsi="Times New Roman" w:eastAsia="宋体" w:cs="Times New Roman"/>
          <w:sz w:val="28"/>
          <w:szCs w:val="28"/>
        </w:rPr>
        <w:t>赔偿责任；同时，甲方有权解除本合同，并要求乙方支付合同价款</w:t>
      </w:r>
      <w:r>
        <w:rPr>
          <w:rFonts w:hint="eastAsia"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rPr>
        <w:t>%作为违约金，违约金不足以弥补甲方损失的，甲方有权要求乙方承担补充赔偿责任</w:t>
      </w:r>
      <w:r>
        <w:rPr>
          <w:rFonts w:ascii="Times New Roman" w:hAnsi="Times New Roman" w:eastAsia="宋体" w:cs="Times New Roman"/>
          <w:sz w:val="28"/>
          <w:szCs w:val="28"/>
        </w:rPr>
        <w:t>。</w:t>
      </w:r>
    </w:p>
    <w:p w14:paraId="25B61EE3">
      <w:pPr>
        <w:widowControl w:val="0"/>
        <w:ind w:firstLine="562"/>
        <w:outlineLvl w:val="2"/>
        <w:rPr>
          <w:rFonts w:ascii="Times New Roman" w:hAnsi="Times New Roman" w:eastAsia="宋体" w:cs="Times New Roman"/>
          <w:kern w:val="0"/>
          <w:sz w:val="28"/>
          <w:szCs w:val="28"/>
        </w:rPr>
      </w:pPr>
      <w:bookmarkStart w:id="259" w:name="_Toc21803"/>
      <w:bookmarkStart w:id="260" w:name="_Toc41385857"/>
      <w:r>
        <w:rPr>
          <w:rFonts w:ascii="Times New Roman" w:hAnsi="Times New Roman" w:eastAsia="宋体" w:cs="Times New Roman"/>
          <w:b/>
          <w:kern w:val="0"/>
          <w:sz w:val="28"/>
          <w:szCs w:val="28"/>
        </w:rPr>
        <w:t>九、合同价款</w:t>
      </w:r>
      <w:bookmarkEnd w:id="259"/>
      <w:bookmarkEnd w:id="260"/>
    </w:p>
    <w:p w14:paraId="274E461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9.1、合同单价按照本合同协议书第一条《设备/材料清单》中所列单价包干，任何一方不得擅自改变。除合同双方另行在</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内约定及补充外，合同价款包括：乙方按照合同清单将满足技术标准和质量要求的成品设备送到甲乙双方约定地点地面</w:t>
      </w:r>
      <w:r>
        <w:rPr>
          <w:rFonts w:hint="eastAsia" w:ascii="Times New Roman" w:hAnsi="Times New Roman" w:eastAsia="宋体" w:cs="Times New Roman"/>
          <w:sz w:val="28"/>
          <w:szCs w:val="28"/>
        </w:rPr>
        <w:t>，按照甲方要求完成卸货并安装且经甲方验收合格等完成本合同约定义务所支付的费用</w:t>
      </w:r>
      <w:r>
        <w:rPr>
          <w:rFonts w:ascii="Times New Roman" w:hAnsi="Times New Roman" w:eastAsia="宋体" w:cs="Times New Roman"/>
          <w:sz w:val="28"/>
          <w:szCs w:val="28"/>
        </w:rPr>
        <w:t>，其中包括</w:t>
      </w:r>
      <w:r>
        <w:rPr>
          <w:rFonts w:hint="eastAsia" w:ascii="Times New Roman" w:hAnsi="Times New Roman" w:eastAsia="宋体" w:cs="Times New Roman"/>
          <w:sz w:val="28"/>
          <w:szCs w:val="28"/>
          <w:lang w:val="en-US" w:eastAsia="zh-CN"/>
        </w:rPr>
        <w:t>但不限于</w:t>
      </w:r>
      <w:r>
        <w:rPr>
          <w:rFonts w:ascii="Times New Roman" w:hAnsi="Times New Roman" w:eastAsia="宋体" w:cs="Times New Roman"/>
          <w:sz w:val="28"/>
          <w:szCs w:val="28"/>
        </w:rPr>
        <w:t>：制作、包装、装卸费、运输费、</w:t>
      </w:r>
      <w:r>
        <w:rPr>
          <w:rFonts w:hint="eastAsia" w:ascii="Times New Roman" w:hAnsi="Times New Roman" w:eastAsia="宋体" w:cs="Times New Roman"/>
          <w:sz w:val="28"/>
          <w:szCs w:val="28"/>
        </w:rPr>
        <w:t>安装费、</w:t>
      </w:r>
      <w:r>
        <w:rPr>
          <w:rFonts w:ascii="Times New Roman" w:hAnsi="Times New Roman" w:eastAsia="宋体" w:cs="Times New Roman"/>
          <w:sz w:val="28"/>
          <w:szCs w:val="28"/>
        </w:rPr>
        <w:t>保险费、报关费、商检费、成品保护费、国家规定应由甲方向有关部门缴纳的税费、货到工地负责堆放至甲方指定地点所发生的一切费用及二次装卸费用，还包括现场协调、现场配合验收、抽样测试、按要求送检、因质量问题引起的维修和更换、技术指导和培训等费用。按照经甲方</w:t>
      </w:r>
      <w:r>
        <w:rPr>
          <w:rFonts w:hint="eastAsia" w:ascii="Times New Roman" w:hAnsi="Times New Roman" w:eastAsia="宋体" w:cs="Times New Roman"/>
          <w:sz w:val="28"/>
          <w:szCs w:val="28"/>
        </w:rPr>
        <w:t>验收合格的</w:t>
      </w:r>
      <w:r>
        <w:rPr>
          <w:rFonts w:ascii="Times New Roman" w:hAnsi="Times New Roman" w:eastAsia="宋体" w:cs="Times New Roman"/>
          <w:sz w:val="28"/>
          <w:szCs w:val="28"/>
        </w:rPr>
        <w:t xml:space="preserve">实际供货数量结算。 </w:t>
      </w:r>
    </w:p>
    <w:p w14:paraId="361B126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9.2、涉及甲方对设备/材料进行变更的，在变更确定后14天内，由乙方提出变更合同价款的</w:t>
      </w:r>
      <w:r>
        <w:rPr>
          <w:rFonts w:hint="eastAsia" w:ascii="Times New Roman" w:hAnsi="Times New Roman" w:eastAsia="宋体" w:cs="Times New Roman"/>
          <w:sz w:val="28"/>
          <w:szCs w:val="28"/>
          <w:lang w:val="en-US" w:eastAsia="zh-CN"/>
        </w:rPr>
        <w:t>书面</w:t>
      </w:r>
      <w:r>
        <w:rPr>
          <w:rFonts w:ascii="Times New Roman" w:hAnsi="Times New Roman" w:eastAsia="宋体" w:cs="Times New Roman"/>
          <w:sz w:val="28"/>
          <w:szCs w:val="28"/>
        </w:rPr>
        <w:t>报告，经甲方</w:t>
      </w:r>
      <w:r>
        <w:rPr>
          <w:rFonts w:hint="eastAsia" w:ascii="Times New Roman" w:hAnsi="Times New Roman" w:eastAsia="宋体" w:cs="Times New Roman"/>
          <w:sz w:val="28"/>
          <w:szCs w:val="28"/>
          <w:lang w:val="en-US" w:eastAsia="zh-CN"/>
        </w:rPr>
        <w:t>书面</w:t>
      </w:r>
      <w:r>
        <w:rPr>
          <w:rFonts w:ascii="Times New Roman" w:hAnsi="Times New Roman" w:eastAsia="宋体" w:cs="Times New Roman"/>
          <w:sz w:val="28"/>
          <w:szCs w:val="28"/>
        </w:rPr>
        <w:t>确认后调整合同价款。变更合同价款按下列方法进行：</w:t>
      </w:r>
    </w:p>
    <w:p w14:paraId="2C5DB869">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9.2.1合同</w:t>
      </w:r>
      <w:r>
        <w:rPr>
          <w:rFonts w:hint="eastAsia" w:ascii="Times New Roman" w:hAnsi="Times New Roman" w:eastAsia="宋体" w:cs="Times New Roman"/>
          <w:sz w:val="28"/>
          <w:szCs w:val="28"/>
          <w:lang w:val="en-US" w:eastAsia="zh-CN"/>
        </w:rPr>
        <w:t>及附件清单</w:t>
      </w:r>
      <w:r>
        <w:rPr>
          <w:rFonts w:ascii="Times New Roman" w:hAnsi="Times New Roman" w:eastAsia="宋体" w:cs="Times New Roman"/>
          <w:sz w:val="28"/>
          <w:szCs w:val="28"/>
        </w:rPr>
        <w:t>中已有适用于变更设备/材料的单价，按合同已有的单价变更合同价款；合同中只有类似于变更设备/材料的单价，可以参照类似单价，修正差异部分后变更确定合同价款；合同中没有适用或类似于变更设备/材料的价格，</w:t>
      </w:r>
      <w:r>
        <w:rPr>
          <w:rFonts w:ascii="Times New Roman" w:hAnsi="Times New Roman" w:eastAsia="宋体" w:cs="Times New Roman"/>
          <w:b w:val="0"/>
          <w:bCs w:val="0"/>
          <w:sz w:val="28"/>
          <w:szCs w:val="28"/>
        </w:rPr>
        <w:t>由乙方提出适当的变更单价，经甲方</w:t>
      </w:r>
      <w:r>
        <w:rPr>
          <w:rFonts w:hint="eastAsia" w:ascii="Times New Roman" w:hAnsi="Times New Roman" w:eastAsia="宋体" w:cs="Times New Roman"/>
          <w:b w:val="0"/>
          <w:bCs w:val="0"/>
          <w:sz w:val="28"/>
          <w:szCs w:val="28"/>
        </w:rPr>
        <w:t>书面</w:t>
      </w:r>
      <w:r>
        <w:rPr>
          <w:rFonts w:ascii="Times New Roman" w:hAnsi="Times New Roman" w:eastAsia="宋体" w:cs="Times New Roman"/>
          <w:b w:val="0"/>
          <w:bCs w:val="0"/>
          <w:sz w:val="28"/>
          <w:szCs w:val="28"/>
        </w:rPr>
        <w:t>确认后执行。</w:t>
      </w:r>
      <w:r>
        <w:rPr>
          <w:rFonts w:ascii="Times New Roman" w:hAnsi="Times New Roman" w:eastAsia="宋体" w:cs="Times New Roman"/>
          <w:b/>
          <w:sz w:val="28"/>
          <w:szCs w:val="28"/>
        </w:rPr>
        <w:t>若甲乙双方就相关变更单价价格无法达成一致意见时，甲方可自行供货且不给乙方包括综合供货管理费、利润在内的任何补偿，在此情形下，乙方仍需无条件履行相关配合义务。</w:t>
      </w:r>
    </w:p>
    <w:p w14:paraId="3E60D0D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9.2.2乙方在双方确定变更后14天内不向甲方提出变更设备/材料价款的</w:t>
      </w:r>
      <w:r>
        <w:rPr>
          <w:rFonts w:hint="eastAsia" w:ascii="Times New Roman" w:hAnsi="Times New Roman" w:eastAsia="宋体" w:cs="Times New Roman"/>
          <w:sz w:val="28"/>
          <w:szCs w:val="28"/>
          <w:lang w:val="en-US" w:eastAsia="zh-CN"/>
        </w:rPr>
        <w:t>书面</w:t>
      </w:r>
      <w:r>
        <w:rPr>
          <w:rFonts w:ascii="Times New Roman" w:hAnsi="Times New Roman" w:eastAsia="宋体" w:cs="Times New Roman"/>
          <w:sz w:val="28"/>
          <w:szCs w:val="28"/>
        </w:rPr>
        <w:t>报告时，视为乙方认为该项变更不涉及合同价款的变更，以后乙方关于该变更的价款调整甲方将不予受理。因变更涉及合同价款调减的，乙方在双方确定变更后14天内不向甲方提出变更设备/材料价款的报告时，甲方有权单方面</w:t>
      </w:r>
      <w:r>
        <w:rPr>
          <w:rFonts w:hint="eastAsia" w:ascii="Times New Roman" w:hAnsi="Times New Roman" w:eastAsia="宋体" w:cs="Times New Roman"/>
          <w:sz w:val="28"/>
          <w:szCs w:val="28"/>
        </w:rPr>
        <w:t>按照此前协商一致的价格</w:t>
      </w:r>
      <w:r>
        <w:rPr>
          <w:rFonts w:ascii="Times New Roman" w:hAnsi="Times New Roman" w:eastAsia="宋体" w:cs="Times New Roman"/>
          <w:sz w:val="28"/>
          <w:szCs w:val="28"/>
        </w:rPr>
        <w:t>直接调减合同价款，并在合同付款直接扣除</w:t>
      </w:r>
      <w:r>
        <w:rPr>
          <w:rFonts w:hint="eastAsia" w:ascii="Times New Roman" w:hAnsi="Times New Roman" w:eastAsia="宋体" w:cs="Times New Roman"/>
          <w:sz w:val="28"/>
          <w:szCs w:val="28"/>
        </w:rPr>
        <w:t>且无需另行征得</w:t>
      </w:r>
      <w:r>
        <w:rPr>
          <w:rFonts w:hint="eastAsia" w:ascii="Times New Roman" w:hAnsi="Times New Roman" w:eastAsia="宋体" w:cs="Times New Roman"/>
          <w:sz w:val="28"/>
          <w:szCs w:val="28"/>
          <w:lang w:val="en-US" w:eastAsia="zh-CN"/>
        </w:rPr>
        <w:t>乙方</w:t>
      </w:r>
      <w:r>
        <w:rPr>
          <w:rFonts w:hint="eastAsia" w:ascii="Times New Roman" w:hAnsi="Times New Roman" w:eastAsia="宋体" w:cs="Times New Roman"/>
          <w:sz w:val="28"/>
          <w:szCs w:val="28"/>
        </w:rPr>
        <w:t>同意</w:t>
      </w:r>
      <w:r>
        <w:rPr>
          <w:rFonts w:ascii="Times New Roman" w:hAnsi="Times New Roman" w:eastAsia="宋体" w:cs="Times New Roman"/>
          <w:sz w:val="28"/>
          <w:szCs w:val="28"/>
        </w:rPr>
        <w:t>，对此乙方不得有异议。</w:t>
      </w:r>
    </w:p>
    <w:p w14:paraId="629307C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9.3、因乙方自身原因导致的设备/材料变更，乙方无权要求追加合同价款。</w:t>
      </w:r>
    </w:p>
    <w:p w14:paraId="1B86571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9.4、合同价款支付（详见</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w:t>
      </w:r>
    </w:p>
    <w:p w14:paraId="1D0DD03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9.5、付款说明：</w:t>
      </w:r>
    </w:p>
    <w:p w14:paraId="52E322A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（a）因乙方无法及时提供</w:t>
      </w:r>
      <w:r>
        <w:rPr>
          <w:rFonts w:hint="eastAsia" w:ascii="Times New Roman" w:hAnsi="Times New Roman" w:eastAsia="宋体" w:cs="Times New Roman"/>
          <w:sz w:val="28"/>
          <w:szCs w:val="28"/>
        </w:rPr>
        <w:t>符合甲方要求的</w:t>
      </w:r>
      <w:r>
        <w:rPr>
          <w:rFonts w:ascii="Times New Roman" w:hAnsi="Times New Roman" w:eastAsia="宋体" w:cs="Times New Roman"/>
          <w:sz w:val="28"/>
          <w:szCs w:val="28"/>
        </w:rPr>
        <w:t>付款证明文件导致的付款延误，</w:t>
      </w:r>
      <w:r>
        <w:rPr>
          <w:rFonts w:hint="eastAsia" w:ascii="Times New Roman" w:hAnsi="Times New Roman" w:eastAsia="宋体" w:cs="Times New Roman"/>
          <w:sz w:val="28"/>
          <w:szCs w:val="28"/>
        </w:rPr>
        <w:t>甲方有权拒绝付款且不承担违约责任，且乙方不得因此延迟、拒绝履行本合同项下的其他任何义务。</w:t>
      </w:r>
    </w:p>
    <w:p w14:paraId="6A3C4A6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（b）质量、交货期、工期达不到合同</w:t>
      </w:r>
      <w:r>
        <w:rPr>
          <w:rFonts w:hint="eastAsia" w:ascii="Times New Roman" w:hAnsi="Times New Roman" w:eastAsia="宋体" w:cs="Times New Roman"/>
          <w:sz w:val="28"/>
          <w:szCs w:val="28"/>
        </w:rPr>
        <w:t>约定及甲方</w:t>
      </w:r>
      <w:r>
        <w:rPr>
          <w:rFonts w:ascii="Times New Roman" w:hAnsi="Times New Roman" w:eastAsia="宋体" w:cs="Times New Roman"/>
          <w:sz w:val="28"/>
          <w:szCs w:val="28"/>
        </w:rPr>
        <w:t>要求的，在处理完成之前，乙方无权要求支付任何款项。</w:t>
      </w:r>
    </w:p>
    <w:p w14:paraId="027E771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（c）甲方以转账方式向乙方付款。乙方在办理每一次付款手续时，都必须提交一份乙方银行的户名和</w:t>
      </w:r>
      <w:r>
        <w:rPr>
          <w:rFonts w:hint="eastAsia" w:ascii="Times New Roman" w:hAnsi="Times New Roman" w:eastAsia="宋体" w:cs="Times New Roman"/>
          <w:sz w:val="28"/>
          <w:szCs w:val="28"/>
        </w:rPr>
        <w:t>账号的</w:t>
      </w:r>
      <w:r>
        <w:rPr>
          <w:rFonts w:ascii="Times New Roman" w:hAnsi="Times New Roman" w:eastAsia="宋体" w:cs="Times New Roman"/>
          <w:sz w:val="28"/>
          <w:szCs w:val="28"/>
        </w:rPr>
        <w:t>证明并加盖公章。</w:t>
      </w:r>
    </w:p>
    <w:p w14:paraId="3E11073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（d）甲方集中付款时间集中在每月的25日前。</w:t>
      </w:r>
    </w:p>
    <w:p w14:paraId="7210660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9.6、付款证明文件包括：</w:t>
      </w:r>
    </w:p>
    <w:p w14:paraId="120DEA3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（a）同本期付款金额相等的</w:t>
      </w:r>
      <w:r>
        <w:rPr>
          <w:rFonts w:hint="eastAsia" w:ascii="宋体" w:hAnsi="宋体" w:eastAsia="宋体" w:cs="Times New Roman"/>
          <w:color w:val="auto"/>
          <w:sz w:val="28"/>
          <w:szCs w:val="28"/>
          <w:lang w:val="en-US" w:eastAsia="zh-CN"/>
        </w:rPr>
        <w:t>符合要求的</w:t>
      </w:r>
      <w:r>
        <w:rPr>
          <w:rFonts w:hint="eastAsia" w:ascii="Times New Roman" w:hAnsi="Times New Roman" w:eastAsia="宋体" w:cs="Times New Roman"/>
          <w:sz w:val="28"/>
          <w:szCs w:val="28"/>
          <w:lang w:val="en-US" w:eastAsia="zh-CN"/>
        </w:rPr>
        <w:t>增值税专用</w:t>
      </w:r>
      <w:r>
        <w:rPr>
          <w:rFonts w:ascii="Times New Roman" w:hAnsi="Times New Roman" w:eastAsia="宋体" w:cs="Times New Roman"/>
          <w:sz w:val="28"/>
          <w:szCs w:val="28"/>
        </w:rPr>
        <w:t>发票。</w:t>
      </w:r>
    </w:p>
    <w:p w14:paraId="6895ADF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（b）产品资料移交证明。产品资料包括</w:t>
      </w:r>
      <w:r>
        <w:rPr>
          <w:rFonts w:hint="eastAsia" w:ascii="Times New Roman" w:hAnsi="Times New Roman" w:eastAsia="宋体" w:cs="Times New Roman"/>
          <w:sz w:val="28"/>
          <w:szCs w:val="28"/>
        </w:rPr>
        <w:t>但不限于</w:t>
      </w:r>
      <w:r>
        <w:rPr>
          <w:rFonts w:ascii="Times New Roman" w:hAnsi="Times New Roman" w:eastAsia="宋体" w:cs="Times New Roman"/>
          <w:sz w:val="28"/>
          <w:szCs w:val="28"/>
        </w:rPr>
        <w:t>备件、出厂合格证、检验合格证、说明书、技术图纸、专用工具、保修凭证。资料无法分割的，应在预付款后的第一次付款时完整提供。</w:t>
      </w:r>
    </w:p>
    <w:p w14:paraId="710393C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（c）交接验收合格证明，应注明设备材料名称、数量、单价、合计</w:t>
      </w:r>
      <w:r>
        <w:rPr>
          <w:rFonts w:hint="eastAsia" w:ascii="Times New Roman" w:hAnsi="Times New Roman" w:eastAsia="宋体" w:cs="Times New Roman"/>
          <w:sz w:val="28"/>
          <w:szCs w:val="28"/>
        </w:rPr>
        <w:t>等关键信息</w:t>
      </w:r>
      <w:r>
        <w:rPr>
          <w:rFonts w:ascii="Times New Roman" w:hAnsi="Times New Roman" w:eastAsia="宋体" w:cs="Times New Roman"/>
          <w:sz w:val="28"/>
          <w:szCs w:val="28"/>
        </w:rPr>
        <w:t>，并应有安装单位项目经理、监理公司总监和</w:t>
      </w:r>
      <w:r>
        <w:rPr>
          <w:rFonts w:hint="eastAsia" w:ascii="Times New Roman" w:hAnsi="Times New Roman" w:eastAsia="宋体" w:cs="Times New Roman"/>
          <w:sz w:val="28"/>
          <w:szCs w:val="28"/>
          <w:lang w:eastAsia="zh-CN"/>
        </w:rPr>
        <w:t>甲方代表</w:t>
      </w:r>
      <w:r>
        <w:rPr>
          <w:rFonts w:ascii="Times New Roman" w:hAnsi="Times New Roman" w:eastAsia="宋体" w:cs="Times New Roman"/>
          <w:sz w:val="28"/>
          <w:szCs w:val="28"/>
        </w:rPr>
        <w:t>签字。</w:t>
      </w:r>
    </w:p>
    <w:p w14:paraId="612E618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（d）物业公司出具的保修期质量、服务合同证明，应有物业公司管理处经理的签字</w:t>
      </w:r>
      <w:r>
        <w:rPr>
          <w:rFonts w:hint="eastAsia" w:ascii="Times New Roman" w:hAnsi="Times New Roman" w:eastAsia="宋体" w:cs="Times New Roman"/>
          <w:sz w:val="28"/>
          <w:szCs w:val="28"/>
          <w:lang w:val="en-US" w:eastAsia="zh-CN"/>
        </w:rPr>
        <w:t>盖章</w:t>
      </w:r>
      <w:r>
        <w:rPr>
          <w:rFonts w:ascii="Times New Roman" w:hAnsi="Times New Roman" w:eastAsia="宋体" w:cs="Times New Roman"/>
          <w:sz w:val="28"/>
          <w:szCs w:val="28"/>
        </w:rPr>
        <w:t>。此条仅限于（设备）保修期满后支付的质量保证金。</w:t>
      </w:r>
    </w:p>
    <w:p w14:paraId="638D0C0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9.7、施工</w:t>
      </w:r>
      <w:r>
        <w:rPr>
          <w:rFonts w:hint="eastAsia" w:ascii="Times New Roman" w:hAnsi="Times New Roman" w:eastAsia="宋体" w:cs="Times New Roman"/>
          <w:sz w:val="28"/>
          <w:szCs w:val="28"/>
          <w:lang w:val="en-US" w:eastAsia="zh-CN"/>
        </w:rPr>
        <w:t>总</w:t>
      </w:r>
      <w:r>
        <w:rPr>
          <w:rFonts w:ascii="Times New Roman" w:hAnsi="Times New Roman" w:eastAsia="宋体" w:cs="Times New Roman"/>
          <w:sz w:val="28"/>
          <w:szCs w:val="28"/>
        </w:rPr>
        <w:t>承包管理费由甲方与施工承包方另行协商解决，乙方不承担此费用；但乙方驻现场的施工水电费及工人住宿费用由乙方全部承担，由乙方自行与总承包方协商解决。</w:t>
      </w:r>
    </w:p>
    <w:p w14:paraId="69E59EE1">
      <w:pPr>
        <w:widowControl w:val="0"/>
        <w:ind w:firstLine="562"/>
        <w:outlineLvl w:val="2"/>
        <w:rPr>
          <w:rFonts w:ascii="Times New Roman" w:hAnsi="Times New Roman" w:eastAsia="宋体" w:cs="Times New Roman"/>
          <w:kern w:val="0"/>
          <w:sz w:val="28"/>
          <w:szCs w:val="28"/>
        </w:rPr>
      </w:pPr>
      <w:bookmarkStart w:id="261" w:name="_Toc41385858"/>
      <w:bookmarkStart w:id="262" w:name="_Toc22526"/>
      <w:r>
        <w:rPr>
          <w:rFonts w:ascii="Times New Roman" w:hAnsi="Times New Roman" w:eastAsia="宋体" w:cs="Times New Roman"/>
          <w:b/>
          <w:kern w:val="0"/>
          <w:sz w:val="28"/>
          <w:szCs w:val="28"/>
        </w:rPr>
        <w:t>十、结算方式</w:t>
      </w:r>
      <w:bookmarkEnd w:id="261"/>
      <w:bookmarkEnd w:id="262"/>
    </w:p>
    <w:p w14:paraId="0785E42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10.1、全部供货完成后28天内，乙方向甲方递交结算报告及完整的结算资料，双方按照</w:t>
      </w:r>
      <w:r>
        <w:rPr>
          <w:rFonts w:hint="eastAsia" w:ascii="Times New Roman" w:hAnsi="Times New Roman" w:eastAsia="宋体" w:cs="Times New Roman"/>
          <w:sz w:val="28"/>
          <w:szCs w:val="28"/>
        </w:rPr>
        <w:t>合同约定单价及经甲方验收合格的实际数量</w:t>
      </w:r>
      <w:r>
        <w:rPr>
          <w:rFonts w:ascii="Times New Roman" w:hAnsi="Times New Roman" w:eastAsia="宋体" w:cs="Times New Roman"/>
          <w:sz w:val="28"/>
          <w:szCs w:val="28"/>
        </w:rPr>
        <w:t>进行结算。乙方未能向甲方递交竣工结算报告及完整的结算资料</w:t>
      </w:r>
      <w:r>
        <w:rPr>
          <w:rFonts w:hint="eastAsia" w:ascii="Times New Roman" w:hAnsi="Times New Roman" w:eastAsia="宋体" w:cs="Times New Roman"/>
          <w:sz w:val="28"/>
          <w:szCs w:val="28"/>
          <w:lang w:val="en-US" w:eastAsia="zh-CN"/>
        </w:rPr>
        <w:t>等甲方要求的结算资料及付款证明材料</w:t>
      </w:r>
      <w:r>
        <w:rPr>
          <w:rFonts w:ascii="Times New Roman" w:hAnsi="Times New Roman" w:eastAsia="宋体" w:cs="Times New Roman"/>
          <w:sz w:val="28"/>
          <w:szCs w:val="28"/>
        </w:rPr>
        <w:t>，造成结算不能正常进行或结算价款不能及时支付的责任由乙方承担</w:t>
      </w:r>
      <w:r>
        <w:rPr>
          <w:rFonts w:hint="eastAsia" w:ascii="Times New Roman" w:hAnsi="Times New Roman" w:eastAsia="宋体" w:cs="Times New Roman"/>
          <w:sz w:val="28"/>
          <w:szCs w:val="28"/>
        </w:rPr>
        <w:t>，不视为甲方违约</w:t>
      </w:r>
      <w:r>
        <w:rPr>
          <w:rFonts w:ascii="Times New Roman" w:hAnsi="Times New Roman" w:eastAsia="宋体" w:cs="Times New Roman"/>
          <w:sz w:val="28"/>
          <w:szCs w:val="28"/>
        </w:rPr>
        <w:t>。</w:t>
      </w:r>
    </w:p>
    <w:p w14:paraId="35A4DA5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10.2、甲方收到乙方递交的</w:t>
      </w:r>
      <w:r>
        <w:rPr>
          <w:rFonts w:hint="eastAsia" w:ascii="Times New Roman" w:hAnsi="Times New Roman" w:eastAsia="宋体" w:cs="Times New Roman"/>
          <w:sz w:val="28"/>
          <w:szCs w:val="28"/>
        </w:rPr>
        <w:t>符合甲方要求的</w:t>
      </w:r>
      <w:r>
        <w:rPr>
          <w:rFonts w:ascii="Times New Roman" w:hAnsi="Times New Roman" w:eastAsia="宋体" w:cs="Times New Roman"/>
          <w:sz w:val="28"/>
          <w:szCs w:val="28"/>
        </w:rPr>
        <w:t>结算报告及结算资料30天内进行核实（不含双方核对时间），甲方核实完成</w:t>
      </w:r>
      <w:r>
        <w:rPr>
          <w:rFonts w:hint="eastAsia" w:ascii="Times New Roman" w:hAnsi="Times New Roman" w:eastAsia="宋体" w:cs="Times New Roman"/>
          <w:sz w:val="28"/>
          <w:szCs w:val="28"/>
        </w:rPr>
        <w:t>且本合同约定及甲方要求的付款条件</w:t>
      </w:r>
      <w:r>
        <w:rPr>
          <w:rFonts w:hint="eastAsia" w:ascii="Times New Roman" w:hAnsi="Times New Roman" w:eastAsia="宋体" w:cs="Times New Roman"/>
          <w:sz w:val="28"/>
          <w:szCs w:val="28"/>
          <w:lang w:val="en-US" w:eastAsia="zh-CN"/>
        </w:rPr>
        <w:t>达成</w:t>
      </w:r>
      <w:r>
        <w:rPr>
          <w:rFonts w:ascii="Times New Roman" w:hAnsi="Times New Roman" w:eastAsia="宋体" w:cs="Times New Roman"/>
          <w:sz w:val="28"/>
          <w:szCs w:val="28"/>
        </w:rPr>
        <w:t>后</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按双方约定的方式及金额比例向乙方支付结算价款。</w:t>
      </w:r>
    </w:p>
    <w:p w14:paraId="405B97E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10.3、甲方在同乙方结算时按本合同的规定办理。</w:t>
      </w:r>
    </w:p>
    <w:p w14:paraId="7692AD5F">
      <w:pPr>
        <w:widowControl w:val="0"/>
        <w:ind w:firstLine="562"/>
        <w:outlineLvl w:val="2"/>
        <w:rPr>
          <w:rFonts w:ascii="Times New Roman" w:hAnsi="Times New Roman" w:eastAsia="宋体" w:cs="Times New Roman"/>
          <w:kern w:val="0"/>
          <w:sz w:val="28"/>
          <w:szCs w:val="28"/>
        </w:rPr>
      </w:pPr>
      <w:bookmarkStart w:id="263" w:name="_Toc19519"/>
      <w:bookmarkStart w:id="264" w:name="_Toc41385859"/>
      <w:r>
        <w:rPr>
          <w:rFonts w:ascii="Times New Roman" w:hAnsi="Times New Roman" w:eastAsia="宋体" w:cs="Times New Roman"/>
          <w:b/>
          <w:kern w:val="0"/>
          <w:sz w:val="28"/>
          <w:szCs w:val="28"/>
        </w:rPr>
        <w:t>十一、违约、争议和索赔</w:t>
      </w:r>
      <w:bookmarkEnd w:id="263"/>
      <w:bookmarkEnd w:id="264"/>
    </w:p>
    <w:p w14:paraId="4C6A04DB">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11.1、违约</w:t>
      </w:r>
    </w:p>
    <w:p w14:paraId="46A541A6">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11.1.1、双方任何一方不能全面履行合同条款，均属违约。违约所造成的所有责任和经济损失概由违约方承担</w:t>
      </w:r>
      <w:r>
        <w:rPr>
          <w:rFonts w:hint="eastAsia" w:ascii="Times New Roman" w:hAnsi="Times New Roman" w:eastAsia="宋体" w:cs="Times New Roman"/>
          <w:sz w:val="28"/>
          <w:szCs w:val="28"/>
        </w:rPr>
        <w:t>，不可抗力因素导致的除外</w:t>
      </w:r>
      <w:r>
        <w:rPr>
          <w:rFonts w:ascii="Times New Roman" w:hAnsi="Times New Roman" w:eastAsia="宋体" w:cs="Times New Roman"/>
          <w:sz w:val="28"/>
          <w:szCs w:val="28"/>
        </w:rPr>
        <w:t>。</w:t>
      </w:r>
    </w:p>
    <w:p w14:paraId="2D1B1490">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11.1.2、除非双方协商终止本合同</w:t>
      </w:r>
      <w:r>
        <w:rPr>
          <w:rFonts w:hint="eastAsia" w:ascii="Times New Roman" w:hAnsi="Times New Roman" w:eastAsia="宋体" w:cs="Times New Roman"/>
          <w:sz w:val="28"/>
          <w:szCs w:val="28"/>
        </w:rPr>
        <w:t>或一方按照法律规定及本合同约定解除本合同</w:t>
      </w:r>
      <w:r>
        <w:rPr>
          <w:rFonts w:ascii="Times New Roman" w:hAnsi="Times New Roman" w:eastAsia="宋体" w:cs="Times New Roman"/>
          <w:sz w:val="28"/>
          <w:szCs w:val="28"/>
        </w:rPr>
        <w:t>，违约方承担违约责任后仍必须履行合同。</w:t>
      </w:r>
    </w:p>
    <w:p w14:paraId="6371DED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11.1.3、如果</w:t>
      </w:r>
      <w:r>
        <w:rPr>
          <w:rFonts w:hint="eastAsia" w:ascii="Times New Roman" w:hAnsi="Times New Roman" w:eastAsia="宋体" w:cs="Times New Roman"/>
          <w:sz w:val="28"/>
          <w:szCs w:val="28"/>
        </w:rPr>
        <w:t>经甲方认定，</w:t>
      </w:r>
      <w:r>
        <w:rPr>
          <w:rFonts w:ascii="Times New Roman" w:hAnsi="Times New Roman" w:eastAsia="宋体" w:cs="Times New Roman"/>
          <w:sz w:val="28"/>
          <w:szCs w:val="28"/>
        </w:rPr>
        <w:t>乙方对合同的执行敷衍了事，或忽视履行本合同约定的乙方任何工作及责任，且从甲方书面要求其改正之日起15日内仍未采取有效措施并体现效果的，甲方有权</w:t>
      </w:r>
      <w:r>
        <w:rPr>
          <w:rFonts w:hint="eastAsia" w:ascii="Times New Roman" w:hAnsi="Times New Roman" w:eastAsia="宋体" w:cs="Times New Roman"/>
          <w:sz w:val="28"/>
          <w:szCs w:val="28"/>
        </w:rPr>
        <w:t>书面通知乙方</w:t>
      </w:r>
      <w:r>
        <w:rPr>
          <w:rFonts w:ascii="Times New Roman" w:hAnsi="Times New Roman" w:eastAsia="宋体" w:cs="Times New Roman"/>
          <w:sz w:val="28"/>
          <w:szCs w:val="28"/>
        </w:rPr>
        <w:t>解除</w:t>
      </w:r>
      <w:r>
        <w:rPr>
          <w:rFonts w:hint="eastAsia" w:ascii="Times New Roman" w:hAnsi="Times New Roman" w:eastAsia="宋体" w:cs="Times New Roman"/>
          <w:sz w:val="28"/>
          <w:szCs w:val="28"/>
          <w:lang w:val="en-US" w:eastAsia="zh-CN"/>
        </w:rPr>
        <w:t>本</w:t>
      </w:r>
      <w:r>
        <w:rPr>
          <w:rFonts w:ascii="Times New Roman" w:hAnsi="Times New Roman" w:eastAsia="宋体" w:cs="Times New Roman"/>
          <w:sz w:val="28"/>
          <w:szCs w:val="28"/>
        </w:rPr>
        <w:t>合同，</w:t>
      </w:r>
      <w:r>
        <w:rPr>
          <w:rFonts w:hint="eastAsia" w:ascii="Times New Roman" w:hAnsi="Times New Roman" w:eastAsia="宋体" w:cs="Times New Roman"/>
          <w:sz w:val="28"/>
          <w:szCs w:val="28"/>
        </w:rPr>
        <w:t>并有权要求乙方支付合同价款</w:t>
      </w:r>
      <w:r>
        <w:rPr>
          <w:rFonts w:hint="eastAsia" w:ascii="Times New Roman" w:hAnsi="Times New Roman" w:eastAsia="宋体" w:cs="Times New Roman"/>
          <w:sz w:val="28"/>
          <w:szCs w:val="28"/>
          <w:lang w:val="en-US" w:eastAsia="zh-CN"/>
        </w:rPr>
        <w:t>20</w:t>
      </w:r>
      <w:r>
        <w:rPr>
          <w:rFonts w:hint="eastAsia" w:ascii="Times New Roman" w:hAnsi="Times New Roman" w:eastAsia="宋体" w:cs="Times New Roman"/>
          <w:sz w:val="28"/>
          <w:szCs w:val="28"/>
        </w:rPr>
        <w:t>%作为违约金，违约金不足以弥补甲方损失的，甲方有权要求乙方承担补充赔偿责任</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同时</w:t>
      </w:r>
      <w:r>
        <w:rPr>
          <w:rFonts w:ascii="Times New Roman" w:hAnsi="Times New Roman" w:eastAsia="宋体" w:cs="Times New Roman"/>
          <w:sz w:val="28"/>
          <w:szCs w:val="28"/>
        </w:rPr>
        <w:t>甲方有权</w:t>
      </w:r>
      <w:r>
        <w:rPr>
          <w:rFonts w:hint="eastAsia" w:ascii="Times New Roman" w:hAnsi="Times New Roman" w:eastAsia="宋体" w:cs="Times New Roman"/>
          <w:sz w:val="28"/>
          <w:szCs w:val="28"/>
          <w:lang w:val="en-US" w:eastAsia="zh-CN"/>
        </w:rPr>
        <w:t>在</w:t>
      </w:r>
      <w:r>
        <w:rPr>
          <w:rFonts w:hint="eastAsia" w:ascii="Times New Roman" w:hAnsi="Times New Roman" w:eastAsia="宋体" w:cs="Times New Roman"/>
          <w:sz w:val="28"/>
          <w:szCs w:val="28"/>
        </w:rPr>
        <w:t>应向乙方支付的任一款项中直接扣除且无需另行征得乙方同意。</w:t>
      </w:r>
      <w:r>
        <w:rPr>
          <w:rFonts w:ascii="Times New Roman" w:hAnsi="Times New Roman" w:eastAsia="宋体" w:cs="Times New Roman"/>
          <w:sz w:val="28"/>
          <w:szCs w:val="28"/>
        </w:rPr>
        <w:t>。</w:t>
      </w:r>
    </w:p>
    <w:p w14:paraId="02A7036D">
      <w:pPr>
        <w:widowControl w:val="0"/>
        <w:ind w:firstLine="560"/>
        <w:rPr>
          <w:rFonts w:hint="eastAsia" w:ascii="Times New Roman" w:hAnsi="Times New Roman" w:eastAsia="宋体" w:cs="Times New Roman"/>
          <w:sz w:val="28"/>
          <w:szCs w:val="28"/>
        </w:rPr>
      </w:pPr>
      <w:r>
        <w:rPr>
          <w:rFonts w:ascii="Times New Roman" w:hAnsi="Times New Roman" w:eastAsia="宋体" w:cs="Times New Roman"/>
          <w:sz w:val="28"/>
          <w:szCs w:val="28"/>
        </w:rPr>
        <w:t>11.1.4、本合同中所有乙方应支付给甲方的违约金</w:t>
      </w:r>
      <w:r>
        <w:rPr>
          <w:rFonts w:hint="eastAsia" w:ascii="Times New Roman" w:hAnsi="Times New Roman" w:eastAsia="宋体" w:cs="Times New Roman"/>
          <w:sz w:val="28"/>
          <w:szCs w:val="28"/>
        </w:rPr>
        <w:t>、损失赔偿、甲方垫付款项等</w:t>
      </w:r>
      <w:r>
        <w:rPr>
          <w:rFonts w:ascii="Times New Roman" w:hAnsi="Times New Roman" w:eastAsia="宋体" w:cs="Times New Roman"/>
          <w:sz w:val="28"/>
          <w:szCs w:val="28"/>
        </w:rPr>
        <w:t>，乙方在收到书面通知后未</w:t>
      </w:r>
      <w:r>
        <w:rPr>
          <w:rFonts w:hint="eastAsia" w:ascii="Times New Roman" w:hAnsi="Times New Roman" w:eastAsia="宋体" w:cs="Times New Roman"/>
          <w:sz w:val="28"/>
          <w:szCs w:val="28"/>
        </w:rPr>
        <w:t>在甲方要求的时限内</w:t>
      </w:r>
      <w:r>
        <w:rPr>
          <w:rFonts w:ascii="Times New Roman" w:hAnsi="Times New Roman" w:eastAsia="宋体" w:cs="Times New Roman"/>
          <w:sz w:val="28"/>
          <w:szCs w:val="28"/>
        </w:rPr>
        <w:t>支付给甲方的，</w:t>
      </w:r>
      <w:r>
        <w:rPr>
          <w:rFonts w:hint="eastAsia" w:ascii="Times New Roman" w:hAnsi="Times New Roman" w:eastAsia="宋体" w:cs="Times New Roman"/>
          <w:sz w:val="28"/>
          <w:szCs w:val="28"/>
        </w:rPr>
        <w:t>甲方有权在给乙方的任一款项中直接扣除且无需另行征得乙方同意。</w:t>
      </w:r>
    </w:p>
    <w:p w14:paraId="60B84C7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11.2、争议</w:t>
      </w:r>
    </w:p>
    <w:p w14:paraId="7813E29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11.2.1、甲、乙双方在履行合同时发生争议，可以和解或者要求有关主管部门调解。当事人不愿调解、和解或调解、和解不成的，任何一方可以按</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中约定的方式向相关机构提起仲裁或诉讼（详见</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w:t>
      </w:r>
    </w:p>
    <w:p w14:paraId="1F5F9C8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11.2.2、发生争议后，除非出现下列情况，否则甲、乙双方都应继续履行合同，保持供货连续：</w:t>
      </w:r>
    </w:p>
    <w:p w14:paraId="3F4FF49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a) 单方违约导致合同确已无法履行，甲、乙双方协议停止供货；</w:t>
      </w:r>
    </w:p>
    <w:p w14:paraId="69A2CE4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b) 调解要求停止供货，且为甲、乙双方接受；</w:t>
      </w:r>
    </w:p>
    <w:p w14:paraId="286B03A6">
      <w:pPr>
        <w:widowControl w:val="0"/>
        <w:ind w:firstLine="560"/>
        <w:rPr>
          <w:rFonts w:hint="eastAsia" w:ascii="Times New Roman" w:hAnsi="Times New Roman" w:eastAsia="宋体" w:cs="Times New Roman"/>
          <w:sz w:val="28"/>
          <w:szCs w:val="28"/>
          <w:lang w:eastAsia="zh-CN"/>
        </w:rPr>
      </w:pPr>
      <w:r>
        <w:rPr>
          <w:rFonts w:ascii="Times New Roman" w:hAnsi="Times New Roman" w:eastAsia="宋体" w:cs="Times New Roman"/>
          <w:sz w:val="28"/>
          <w:szCs w:val="28"/>
        </w:rPr>
        <w:t>c) 司法机关要求停止供货</w:t>
      </w:r>
      <w:r>
        <w:rPr>
          <w:rFonts w:hint="eastAsia" w:ascii="Times New Roman" w:hAnsi="Times New Roman" w:eastAsia="宋体" w:cs="Times New Roman"/>
          <w:sz w:val="28"/>
          <w:szCs w:val="28"/>
          <w:lang w:eastAsia="zh-CN"/>
        </w:rPr>
        <w:t>；</w:t>
      </w:r>
    </w:p>
    <w:p w14:paraId="2008127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Times New Roman"/>
          <w:color w:val="auto"/>
          <w:sz w:val="28"/>
          <w:szCs w:val="28"/>
          <w:lang w:val="en-US" w:eastAsia="zh-CN"/>
        </w:rPr>
      </w:pPr>
      <w:r>
        <w:rPr>
          <w:rFonts w:hint="eastAsia" w:ascii="Times New Roman" w:hAnsi="Times New Roman" w:eastAsia="宋体" w:cs="Times New Roman"/>
          <w:sz w:val="28"/>
          <w:szCs w:val="28"/>
          <w:lang w:val="en-US" w:eastAsia="zh-CN"/>
        </w:rPr>
        <w:t>e）</w:t>
      </w:r>
      <w:r>
        <w:rPr>
          <w:rFonts w:hint="eastAsia" w:ascii="宋体" w:hAnsi="宋体" w:eastAsia="宋体" w:cs="Times New Roman"/>
          <w:color w:val="auto"/>
          <w:sz w:val="28"/>
          <w:szCs w:val="28"/>
          <w:lang w:val="en-US" w:eastAsia="zh-CN"/>
        </w:rPr>
        <w:t>甲方根据法律规定及/或本合同约定解除本合同的。</w:t>
      </w:r>
    </w:p>
    <w:p w14:paraId="2B11804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11.3、索赔</w:t>
      </w:r>
    </w:p>
    <w:p w14:paraId="733445F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当一方向另一方提出索赔时，要有正当索赔理由，且有索赔事件发生时的有效证据并在索赔事件发生后及时提出索赔诉求。</w:t>
      </w:r>
    </w:p>
    <w:p w14:paraId="3C1843A5">
      <w:pPr>
        <w:widowControl w:val="0"/>
        <w:ind w:firstLine="562"/>
        <w:outlineLvl w:val="2"/>
        <w:rPr>
          <w:rFonts w:ascii="Times New Roman" w:hAnsi="Times New Roman" w:eastAsia="宋体" w:cs="Times New Roman"/>
          <w:kern w:val="0"/>
          <w:sz w:val="28"/>
          <w:szCs w:val="28"/>
        </w:rPr>
      </w:pPr>
      <w:bookmarkStart w:id="265" w:name="_Toc13506"/>
      <w:bookmarkStart w:id="266" w:name="_Toc41385860"/>
      <w:r>
        <w:rPr>
          <w:rFonts w:ascii="Times New Roman" w:hAnsi="Times New Roman" w:eastAsia="宋体" w:cs="Times New Roman"/>
          <w:b/>
          <w:kern w:val="0"/>
          <w:sz w:val="28"/>
          <w:szCs w:val="28"/>
        </w:rPr>
        <w:t>十二、质量保修</w:t>
      </w:r>
      <w:bookmarkEnd w:id="265"/>
      <w:bookmarkEnd w:id="266"/>
    </w:p>
    <w:p w14:paraId="6071453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乙方应按法律、行政法规或国家关于设备材料质量保修的有关规定，对交付甲方使用的设备材料在质量保修期内无条件承担质量保修责任。</w:t>
      </w:r>
    </w:p>
    <w:p w14:paraId="390340FF">
      <w:pPr>
        <w:widowControl w:val="0"/>
        <w:ind w:firstLine="562"/>
        <w:rPr>
          <w:rFonts w:ascii="Times New Roman" w:hAnsi="Times New Roman" w:eastAsia="宋体" w:cs="Times New Roman"/>
          <w:b/>
          <w:sz w:val="28"/>
          <w:szCs w:val="28"/>
        </w:rPr>
      </w:pPr>
      <w:r>
        <w:rPr>
          <w:rFonts w:ascii="Times New Roman" w:hAnsi="Times New Roman" w:eastAsia="宋体" w:cs="Times New Roman"/>
          <w:b/>
          <w:sz w:val="28"/>
          <w:szCs w:val="28"/>
        </w:rPr>
        <w:t>12.1、保修期限</w:t>
      </w:r>
    </w:p>
    <w:p w14:paraId="60B3F2B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不少于国家规定及本合同约定的保修时间，从本工程竣工验收合格之日算起。具体时间详见</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要求。</w:t>
      </w:r>
    </w:p>
    <w:p w14:paraId="0289482A">
      <w:pPr>
        <w:widowControl w:val="0"/>
        <w:ind w:firstLine="562"/>
        <w:rPr>
          <w:rFonts w:ascii="Times New Roman" w:hAnsi="Times New Roman" w:eastAsia="宋体" w:cs="Times New Roman"/>
          <w:b/>
          <w:sz w:val="28"/>
          <w:szCs w:val="28"/>
        </w:rPr>
      </w:pPr>
      <w:r>
        <w:rPr>
          <w:rFonts w:ascii="Times New Roman" w:hAnsi="Times New Roman" w:eastAsia="宋体" w:cs="Times New Roman"/>
          <w:b/>
          <w:sz w:val="28"/>
          <w:szCs w:val="28"/>
        </w:rPr>
        <w:t>12.2、保修范围</w:t>
      </w:r>
    </w:p>
    <w:p w14:paraId="2346207B">
      <w:pPr>
        <w:widowControl w:val="0"/>
        <w:ind w:firstLine="560"/>
        <w:rPr>
          <w:rFonts w:ascii="Times New Roman" w:hAnsi="Times New Roman" w:eastAsia="宋体" w:cs="Times New Roman"/>
          <w:sz w:val="28"/>
          <w:szCs w:val="28"/>
        </w:rPr>
      </w:pPr>
      <w:r>
        <w:rPr>
          <w:rFonts w:ascii="Times New Roman" w:hAnsi="Times New Roman" w:eastAsia="宋体" w:cs="Times New Roman"/>
          <w:bCs/>
          <w:sz w:val="28"/>
          <w:szCs w:val="28"/>
        </w:rPr>
        <w:t>本合同结算款所包含的材料设备及甲、乙双方其他约定等全部内容，由于乙方原因造成的质量问题，均属乙方保修范围，因此造成</w:t>
      </w:r>
      <w:r>
        <w:rPr>
          <w:rFonts w:hint="eastAsia" w:ascii="Times New Roman" w:hAnsi="Times New Roman" w:eastAsia="宋体" w:cs="Times New Roman"/>
          <w:bCs/>
          <w:sz w:val="28"/>
          <w:szCs w:val="28"/>
        </w:rPr>
        <w:t>甲方、甲方业主及第三方</w:t>
      </w:r>
      <w:r>
        <w:rPr>
          <w:rFonts w:ascii="Times New Roman" w:hAnsi="Times New Roman" w:eastAsia="宋体" w:cs="Times New Roman"/>
          <w:bCs/>
          <w:sz w:val="28"/>
          <w:szCs w:val="28"/>
        </w:rPr>
        <w:t>全部损失，均由乙方负责。属甲方设计或使用不当等造成的工程质量问题，乙方给予返修，返修费用由甲方承担。</w:t>
      </w:r>
    </w:p>
    <w:p w14:paraId="7E3B6065">
      <w:pPr>
        <w:widowControl w:val="0"/>
        <w:ind w:firstLine="562"/>
        <w:rPr>
          <w:rFonts w:ascii="Times New Roman" w:hAnsi="Times New Roman" w:eastAsia="宋体" w:cs="Times New Roman"/>
          <w:sz w:val="28"/>
          <w:szCs w:val="28"/>
        </w:rPr>
      </w:pPr>
      <w:r>
        <w:rPr>
          <w:rFonts w:ascii="Times New Roman" w:hAnsi="Times New Roman" w:eastAsia="宋体" w:cs="Times New Roman"/>
          <w:b/>
          <w:sz w:val="28"/>
          <w:szCs w:val="28"/>
        </w:rPr>
        <w:t>12.3、保修实施</w:t>
      </w:r>
    </w:p>
    <w:p w14:paraId="2BC9813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工程竣工验收合格后由甲方委托的物业公司进行管理</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甲方负责本</w:t>
      </w:r>
      <w:r>
        <w:rPr>
          <w:rFonts w:hint="eastAsia" w:ascii="Times New Roman" w:hAnsi="Times New Roman" w:eastAsia="宋体" w:cs="Times New Roman"/>
          <w:sz w:val="28"/>
          <w:szCs w:val="28"/>
        </w:rPr>
        <w:t>合同项下</w:t>
      </w:r>
      <w:r>
        <w:rPr>
          <w:rFonts w:ascii="Times New Roman" w:hAnsi="Times New Roman" w:eastAsia="宋体" w:cs="Times New Roman"/>
          <w:sz w:val="28"/>
          <w:szCs w:val="28"/>
        </w:rPr>
        <w:t>设备/材料保修期内返修工作的统一协调管理及保修款的支付审批，乙方就设备/材料质量保修向甲方负责，工程保修款最终由乙方和甲方进行结算，相关手续由甲方负责办理。同时，甲方保留根据相关法律法规就有关工程质量问题追究乙方质量责任的权利。</w:t>
      </w:r>
    </w:p>
    <w:p w14:paraId="59DADC96">
      <w:pPr>
        <w:widowControl w:val="0"/>
        <w:ind w:firstLine="562"/>
        <w:rPr>
          <w:rFonts w:ascii="Times New Roman" w:hAnsi="Times New Roman" w:eastAsia="宋体" w:cs="Times New Roman"/>
          <w:sz w:val="28"/>
          <w:szCs w:val="28"/>
        </w:rPr>
      </w:pPr>
      <w:r>
        <w:rPr>
          <w:rFonts w:ascii="Times New Roman" w:hAnsi="Times New Roman" w:eastAsia="宋体" w:cs="Times New Roman"/>
          <w:b/>
          <w:sz w:val="28"/>
          <w:szCs w:val="28"/>
        </w:rPr>
        <w:t>12.4、保修的时间性</w:t>
      </w:r>
    </w:p>
    <w:p w14:paraId="5658405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12.4.1一般情况下，乙方须在甲方通知后按甲方通知规定的时间（最迟24小时内）内赶到现场，现场制定维修方案，维修方案满足业主和甲方的要求，并积极组织保修、维修工作。</w:t>
      </w:r>
    </w:p>
    <w:p w14:paraId="0941EEC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12.4.2属于保修范围和内容的项目，乙方须在甲方通知后24小时内赶到现场查看情况，无须更换的，在查看情况后48小时内处理完毕并清理维修现场，做到工完场清。须更换的，由乙方提出时间表并在得到甲方或委托人认可后严格按时间表维修，其余不变。</w:t>
      </w:r>
    </w:p>
    <w:p w14:paraId="7BBF646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12.4.3每个维修项目完成后，经业主和甲方代表验收并签字后，方为该维修项目本次维修完毕。</w:t>
      </w:r>
    </w:p>
    <w:p w14:paraId="0F889F0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12.4.4违反以上规定，视为乙方同意由甲方处理，甲方</w:t>
      </w:r>
      <w:r>
        <w:rPr>
          <w:rFonts w:hint="eastAsia" w:ascii="Times New Roman" w:hAnsi="Times New Roman" w:eastAsia="宋体" w:cs="Times New Roman"/>
          <w:sz w:val="28"/>
          <w:szCs w:val="28"/>
        </w:rPr>
        <w:t>有权</w:t>
      </w:r>
      <w:r>
        <w:rPr>
          <w:rFonts w:ascii="Times New Roman" w:hAnsi="Times New Roman" w:eastAsia="宋体" w:cs="Times New Roman"/>
          <w:sz w:val="28"/>
          <w:szCs w:val="28"/>
        </w:rPr>
        <w:t>委派他方处理，处理结果由用户、甲方签字认可后即生效，不再经由乙方确认（甲方将处理情况知会乙方），由此发生的一切费用从乙方保修款中扣除</w:t>
      </w:r>
      <w:r>
        <w:rPr>
          <w:rFonts w:hint="eastAsia" w:ascii="Times New Roman" w:hAnsi="Times New Roman" w:eastAsia="宋体" w:cs="Times New Roman"/>
          <w:sz w:val="28"/>
          <w:szCs w:val="28"/>
        </w:rPr>
        <w:t>（不论是否属于乙方责任）</w:t>
      </w:r>
      <w:r>
        <w:rPr>
          <w:rFonts w:ascii="Times New Roman" w:hAnsi="Times New Roman" w:eastAsia="宋体" w:cs="Times New Roman"/>
          <w:sz w:val="28"/>
          <w:szCs w:val="28"/>
        </w:rPr>
        <w:t>，费用的扣除不免除乙方的任何应负责任。</w:t>
      </w:r>
    </w:p>
    <w:p w14:paraId="065F82A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12.4.5乙方承诺，无论以上质量缺陷属乙方、甲方或业主责任，在接到通知后，均遵守上述时间性要求不问理由地进行维修，并在维修过程中与甲方及业主共同取证，以判断责任原因，不属乙方责任的，由责任方向乙方支付材料及人工费用。</w:t>
      </w:r>
    </w:p>
    <w:p w14:paraId="03D735D4">
      <w:pPr>
        <w:widowControl w:val="0"/>
        <w:ind w:firstLine="562"/>
        <w:rPr>
          <w:rFonts w:ascii="Times New Roman" w:hAnsi="Times New Roman" w:eastAsia="宋体" w:cs="Times New Roman"/>
          <w:sz w:val="28"/>
          <w:szCs w:val="28"/>
        </w:rPr>
      </w:pPr>
      <w:r>
        <w:rPr>
          <w:rFonts w:ascii="Times New Roman" w:hAnsi="Times New Roman" w:eastAsia="宋体" w:cs="Times New Roman"/>
          <w:b/>
          <w:sz w:val="28"/>
          <w:szCs w:val="28"/>
        </w:rPr>
        <w:t>12.5、维修质量保障措施</w:t>
      </w:r>
    </w:p>
    <w:p w14:paraId="6434C7D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12.5.1每个维修项目完成后要经业主和甲方验收签字方可，所维修项目的保修期限</w:t>
      </w:r>
      <w:r>
        <w:rPr>
          <w:rFonts w:hint="eastAsia" w:ascii="Times New Roman" w:hAnsi="Times New Roman" w:eastAsia="宋体" w:cs="Times New Roman"/>
          <w:sz w:val="28"/>
          <w:szCs w:val="28"/>
        </w:rPr>
        <w:t>自</w:t>
      </w:r>
      <w:r>
        <w:rPr>
          <w:rFonts w:ascii="Times New Roman" w:hAnsi="Times New Roman" w:eastAsia="宋体" w:cs="Times New Roman"/>
          <w:sz w:val="28"/>
          <w:szCs w:val="28"/>
        </w:rPr>
        <w:t>维修合格之日起重新计算，工程保修款的支付按</w:t>
      </w:r>
      <w:r>
        <w:rPr>
          <w:rFonts w:hint="eastAsia" w:ascii="Times New Roman" w:hAnsi="Times New Roman" w:eastAsia="宋体" w:cs="Times New Roman"/>
          <w:sz w:val="28"/>
          <w:szCs w:val="28"/>
          <w:lang w:val="en-US" w:eastAsia="zh-CN"/>
        </w:rPr>
        <w:t>专用条款</w:t>
      </w:r>
      <w:r>
        <w:rPr>
          <w:rFonts w:ascii="Times New Roman" w:hAnsi="Times New Roman" w:eastAsia="宋体" w:cs="Times New Roman"/>
          <w:sz w:val="28"/>
          <w:szCs w:val="28"/>
        </w:rPr>
        <w:t>约定办理。</w:t>
      </w:r>
    </w:p>
    <w:p w14:paraId="5888472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12.5.2因质量问题乙方维修一次后，六个月内同一部位再出现同样或类似问题，乙方除应再次进行维修外，乙方每次每项还需向甲方支付违约金壹仟元。</w:t>
      </w:r>
    </w:p>
    <w:p w14:paraId="47AC064F">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12.5.3维修工作完成后，乙方负责将施工现场清理干净（维修过程中给业主造成的损失由乙方负责），否则甲方有权请第三方来清理现场，所需费用由乙方承担且每人次乙方支付违约金伍佰元。</w:t>
      </w:r>
    </w:p>
    <w:p w14:paraId="0440962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12.5.4维修人员</w:t>
      </w:r>
      <w:r>
        <w:rPr>
          <w:rFonts w:hint="eastAsia" w:ascii="Times New Roman" w:hAnsi="Times New Roman" w:eastAsia="宋体" w:cs="Times New Roman"/>
          <w:sz w:val="28"/>
          <w:szCs w:val="28"/>
        </w:rPr>
        <w:t>在进行工作时应严格遵守甲方的规章制度，</w:t>
      </w:r>
      <w:r>
        <w:rPr>
          <w:rFonts w:ascii="Times New Roman" w:hAnsi="Times New Roman" w:eastAsia="宋体" w:cs="Times New Roman"/>
          <w:sz w:val="28"/>
          <w:szCs w:val="28"/>
        </w:rPr>
        <w:t>按经甲方批准的维修程序进行维修，服从甲方的管理，服从业主的监督，统一着装、文明施工、文明用语，不得与业主发生任何争执，否则每人次乙方支付违约金伍佰元。</w:t>
      </w:r>
    </w:p>
    <w:p w14:paraId="77F4147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12.5.5如有下列情况之一发生，甲方有权另行聘请施工单位进行维修，由此引起的一切费用和责任由乙方承担：</w:t>
      </w:r>
    </w:p>
    <w:p w14:paraId="6DAB25E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（a）接到甲方返修通知（口头或书面）后拒不到现场处理问题；</w:t>
      </w:r>
    </w:p>
    <w:p w14:paraId="20D8B7BA">
      <w:pPr>
        <w:widowControl w:val="0"/>
        <w:tabs>
          <w:tab w:val="left" w:pos="1089"/>
        </w:tabs>
        <w:ind w:firstLine="560"/>
        <w:rPr>
          <w:rFonts w:ascii="Times New Roman" w:hAnsi="Times New Roman" w:eastAsia="宋体" w:cs="Times New Roman"/>
          <w:sz w:val="28"/>
          <w:szCs w:val="28"/>
        </w:rPr>
      </w:pPr>
      <w:r>
        <w:rPr>
          <w:rFonts w:ascii="Times New Roman" w:hAnsi="Times New Roman" w:eastAsia="宋体" w:cs="Times New Roman"/>
          <w:sz w:val="28"/>
          <w:szCs w:val="28"/>
        </w:rPr>
        <w:t>（b）超过规定的到场时间后4小时仍未赶到现场；</w:t>
      </w:r>
    </w:p>
    <w:p w14:paraId="32ADA384">
      <w:pPr>
        <w:widowControl w:val="0"/>
        <w:tabs>
          <w:tab w:val="left" w:pos="1089"/>
        </w:tabs>
        <w:ind w:firstLine="560"/>
        <w:rPr>
          <w:rFonts w:ascii="Times New Roman" w:hAnsi="Times New Roman" w:eastAsia="宋体" w:cs="Times New Roman"/>
          <w:sz w:val="28"/>
          <w:szCs w:val="28"/>
        </w:rPr>
      </w:pPr>
      <w:r>
        <w:rPr>
          <w:rFonts w:ascii="Times New Roman" w:hAnsi="Times New Roman" w:eastAsia="宋体" w:cs="Times New Roman"/>
          <w:sz w:val="28"/>
          <w:szCs w:val="28"/>
        </w:rPr>
        <w:t>（c）超过规定的时间仍未完成有关工程返修任务，且不主动向甲方报告；</w:t>
      </w:r>
    </w:p>
    <w:p w14:paraId="449506AF">
      <w:pPr>
        <w:widowControl w:val="0"/>
        <w:tabs>
          <w:tab w:val="left" w:pos="1089"/>
        </w:tabs>
        <w:ind w:firstLine="560"/>
        <w:rPr>
          <w:rFonts w:ascii="Times New Roman" w:hAnsi="Times New Roman" w:eastAsia="宋体" w:cs="Times New Roman"/>
          <w:sz w:val="28"/>
          <w:szCs w:val="28"/>
        </w:rPr>
      </w:pPr>
      <w:r>
        <w:rPr>
          <w:rFonts w:ascii="Times New Roman" w:hAnsi="Times New Roman" w:eastAsia="宋体" w:cs="Times New Roman"/>
          <w:sz w:val="28"/>
          <w:szCs w:val="28"/>
        </w:rPr>
        <w:t>（d）对同一位置经过一次返修仍未彻底解决问题；</w:t>
      </w:r>
    </w:p>
    <w:p w14:paraId="424054AE">
      <w:pPr>
        <w:widowControl w:val="0"/>
        <w:tabs>
          <w:tab w:val="left" w:pos="1089"/>
        </w:tabs>
        <w:ind w:firstLine="560"/>
        <w:rPr>
          <w:rFonts w:hint="eastAsia" w:ascii="Times New Roman" w:hAnsi="Times New Roman" w:eastAsia="宋体" w:cs="Times New Roman"/>
          <w:sz w:val="28"/>
          <w:szCs w:val="28"/>
        </w:rPr>
      </w:pPr>
      <w:r>
        <w:rPr>
          <w:rFonts w:ascii="Times New Roman" w:hAnsi="Times New Roman" w:eastAsia="宋体" w:cs="Times New Roman"/>
          <w:sz w:val="28"/>
          <w:szCs w:val="28"/>
        </w:rPr>
        <w:t>（e）因现场返修人员服务行为造成业主强烈投诉</w:t>
      </w:r>
      <w:r>
        <w:rPr>
          <w:rFonts w:hint="eastAsia" w:ascii="Times New Roman" w:hAnsi="Times New Roman" w:eastAsia="宋体" w:cs="Times New Roman"/>
          <w:sz w:val="28"/>
          <w:szCs w:val="28"/>
        </w:rPr>
        <w:t>；</w:t>
      </w:r>
    </w:p>
    <w:p w14:paraId="0E7FEFA7">
      <w:pPr>
        <w:widowControl w:val="0"/>
        <w:tabs>
          <w:tab w:val="left" w:pos="1089"/>
        </w:tabs>
        <w:ind w:firstLine="560"/>
        <w:rPr>
          <w:rFonts w:ascii="Times New Roman" w:hAnsi="Times New Roman" w:eastAsia="宋体" w:cs="Times New Roman"/>
          <w:sz w:val="28"/>
          <w:szCs w:val="28"/>
        </w:rPr>
      </w:pPr>
      <w:r>
        <w:rPr>
          <w:rFonts w:hint="eastAsia" w:ascii="Times New Roman" w:hAnsi="Times New Roman" w:eastAsia="宋体" w:cs="Times New Roman"/>
          <w:sz w:val="28"/>
          <w:szCs w:val="28"/>
        </w:rPr>
        <w:t>（f）其他甲方认为乙方未充分履行本合同项下维修义务的情形。</w:t>
      </w:r>
    </w:p>
    <w:p w14:paraId="47B7B88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12.5.6因乙方责任造成甲方或业主损失的，乙方应按照以下标准赔偿甲方</w:t>
      </w:r>
      <w:r>
        <w:rPr>
          <w:rFonts w:hint="eastAsia" w:ascii="Times New Roman" w:hAnsi="Times New Roman" w:eastAsia="宋体" w:cs="Times New Roman"/>
          <w:sz w:val="28"/>
          <w:szCs w:val="28"/>
          <w:lang w:val="en-US" w:eastAsia="zh-CN"/>
        </w:rPr>
        <w:t>所有</w:t>
      </w:r>
      <w:r>
        <w:rPr>
          <w:rFonts w:ascii="Times New Roman" w:hAnsi="Times New Roman" w:eastAsia="宋体" w:cs="Times New Roman"/>
          <w:sz w:val="28"/>
          <w:szCs w:val="28"/>
        </w:rPr>
        <w:t>损失：直接返修加直接赔偿的费用在500元以下的，按照5倍计算；直接返修加直接赔偿的费用在500到5000元的，按照3倍计算；直接返修加直接赔偿的费用在5000元以上的，按照2倍计算。</w:t>
      </w:r>
      <w:r>
        <w:rPr>
          <w:rFonts w:hint="eastAsia" w:ascii="Times New Roman" w:hAnsi="Times New Roman" w:eastAsia="宋体" w:cs="Times New Roman"/>
          <w:sz w:val="28"/>
          <w:szCs w:val="28"/>
        </w:rPr>
        <w:t>如乙方在维修过程中造成第三方损失的，乙方应承担全部责任。</w:t>
      </w:r>
    </w:p>
    <w:p w14:paraId="0407116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12.5.7按上述办法计算出的费用总额由甲方书面知会乙方，</w:t>
      </w:r>
      <w:r>
        <w:rPr>
          <w:rFonts w:hint="eastAsia" w:ascii="Times New Roman" w:hAnsi="Times New Roman" w:eastAsia="宋体" w:cs="Times New Roman"/>
          <w:sz w:val="28"/>
          <w:szCs w:val="28"/>
        </w:rPr>
        <w:t>甲方有权在书面通知乙方后直接从任一应向乙方支付款项中直接扣除且无需另行征得乙方同意。</w:t>
      </w:r>
    </w:p>
    <w:p w14:paraId="252414F3">
      <w:pPr>
        <w:widowControl w:val="0"/>
        <w:ind w:firstLine="562"/>
        <w:rPr>
          <w:rFonts w:ascii="Times New Roman" w:hAnsi="Times New Roman" w:eastAsia="宋体" w:cs="Times New Roman"/>
          <w:sz w:val="28"/>
          <w:szCs w:val="28"/>
        </w:rPr>
      </w:pPr>
      <w:r>
        <w:rPr>
          <w:rFonts w:ascii="Times New Roman" w:hAnsi="Times New Roman" w:eastAsia="宋体" w:cs="Times New Roman"/>
          <w:b/>
          <w:sz w:val="28"/>
          <w:szCs w:val="28"/>
        </w:rPr>
        <w:t>12.6、乙方维修安排</w:t>
      </w:r>
    </w:p>
    <w:p w14:paraId="51AF8EB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12.6.1乙方必须委派全权代表处理本工程的维修工作。</w:t>
      </w:r>
    </w:p>
    <w:p w14:paraId="30566BA9">
      <w:pPr>
        <w:widowControl w:val="0"/>
        <w:ind w:firstLine="560"/>
        <w:rPr>
          <w:rFonts w:hint="eastAsia" w:ascii="Times New Roman" w:hAnsi="Times New Roman" w:eastAsia="宋体" w:cs="Times New Roman"/>
          <w:sz w:val="28"/>
          <w:szCs w:val="28"/>
          <w:lang w:eastAsia="zh-CN"/>
        </w:rPr>
      </w:pPr>
      <w:r>
        <w:rPr>
          <w:rFonts w:ascii="Times New Roman" w:hAnsi="Times New Roman" w:eastAsia="宋体" w:cs="Times New Roman"/>
          <w:sz w:val="28"/>
          <w:szCs w:val="28"/>
        </w:rPr>
        <w:t>（a）乙方保修负责人：详见</w:t>
      </w:r>
      <w:r>
        <w:rPr>
          <w:rFonts w:hint="eastAsia" w:ascii="Times New Roman" w:hAnsi="Times New Roman" w:eastAsia="宋体" w:cs="Times New Roman"/>
          <w:sz w:val="28"/>
          <w:szCs w:val="28"/>
          <w:lang w:eastAsia="zh-CN"/>
        </w:rPr>
        <w:t>专用条款。</w:t>
      </w:r>
    </w:p>
    <w:p w14:paraId="73C6EBFE">
      <w:pPr>
        <w:widowControl w:val="0"/>
        <w:ind w:firstLine="562"/>
        <w:rPr>
          <w:rFonts w:ascii="Times New Roman" w:hAnsi="Times New Roman" w:eastAsia="宋体" w:cs="Times New Roman"/>
          <w:b/>
          <w:sz w:val="28"/>
          <w:szCs w:val="28"/>
        </w:rPr>
      </w:pPr>
      <w:r>
        <w:rPr>
          <w:rFonts w:ascii="Times New Roman" w:hAnsi="Times New Roman" w:eastAsia="宋体" w:cs="Times New Roman"/>
          <w:b/>
          <w:sz w:val="28"/>
          <w:szCs w:val="28"/>
        </w:rPr>
        <w:t>12.7、保修款</w:t>
      </w:r>
    </w:p>
    <w:p w14:paraId="783D2E3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12.7.1、甲乙双方同意从乙方结算款中预留3%作为保修款，保修期满后（不含顺延的保修期），乙方已完成全部保修工作后（需物业公司、甲方签字认可），</w:t>
      </w:r>
      <w:r>
        <w:rPr>
          <w:rFonts w:hint="eastAsia" w:ascii="Times New Roman" w:hAnsi="Times New Roman" w:eastAsia="宋体" w:cs="Times New Roman"/>
          <w:sz w:val="28"/>
          <w:szCs w:val="28"/>
        </w:rPr>
        <w:t>向甲方提交符合甲方要求的付款证明文件，甲方审核无误后</w:t>
      </w:r>
      <w:r>
        <w:rPr>
          <w:rFonts w:ascii="Times New Roman" w:hAnsi="Times New Roman" w:eastAsia="宋体" w:cs="Times New Roman"/>
          <w:sz w:val="28"/>
          <w:szCs w:val="28"/>
        </w:rPr>
        <w:t>二十天内将扣除维修费用及违约金所剩余款一次性</w:t>
      </w:r>
      <w:r>
        <w:rPr>
          <w:rFonts w:hint="eastAsia" w:ascii="Times New Roman" w:hAnsi="Times New Roman" w:eastAsia="宋体" w:cs="Times New Roman"/>
          <w:sz w:val="28"/>
          <w:szCs w:val="28"/>
        </w:rPr>
        <w:t>无息</w:t>
      </w:r>
      <w:r>
        <w:rPr>
          <w:rFonts w:ascii="Times New Roman" w:hAnsi="Times New Roman" w:eastAsia="宋体" w:cs="Times New Roman"/>
          <w:sz w:val="28"/>
          <w:szCs w:val="28"/>
        </w:rPr>
        <w:t>支付给乙方。</w:t>
      </w:r>
    </w:p>
    <w:p w14:paraId="24B289D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12.7.2、若甲方垫付维修费用超出保修款总额，超出部分由乙方</w:t>
      </w:r>
      <w:r>
        <w:rPr>
          <w:rFonts w:hint="eastAsia" w:ascii="Times New Roman" w:hAnsi="Times New Roman" w:eastAsia="宋体" w:cs="Times New Roman"/>
          <w:sz w:val="28"/>
          <w:szCs w:val="28"/>
        </w:rPr>
        <w:t>在甲方要求的时限内</w:t>
      </w:r>
      <w:r>
        <w:rPr>
          <w:rFonts w:ascii="Times New Roman" w:hAnsi="Times New Roman" w:eastAsia="宋体" w:cs="Times New Roman"/>
          <w:sz w:val="28"/>
          <w:szCs w:val="28"/>
        </w:rPr>
        <w:t>支付；所有保修款在结算时均不计利息。乙方不愿支付超额部分的，甲方有权</w:t>
      </w:r>
      <w:r>
        <w:rPr>
          <w:rFonts w:hint="eastAsia" w:ascii="Times New Roman" w:hAnsi="Times New Roman" w:eastAsia="宋体" w:cs="Times New Roman"/>
          <w:sz w:val="28"/>
          <w:szCs w:val="28"/>
        </w:rPr>
        <w:t>从</w:t>
      </w:r>
      <w:r>
        <w:rPr>
          <w:rFonts w:ascii="Times New Roman" w:hAnsi="Times New Roman" w:eastAsia="宋体" w:cs="Times New Roman"/>
          <w:sz w:val="28"/>
          <w:szCs w:val="28"/>
        </w:rPr>
        <w:t>应支付乙方的其他任何费用中</w:t>
      </w:r>
      <w:r>
        <w:rPr>
          <w:rFonts w:hint="eastAsia" w:ascii="Times New Roman" w:hAnsi="Times New Roman" w:eastAsia="宋体" w:cs="Times New Roman"/>
          <w:sz w:val="28"/>
          <w:szCs w:val="28"/>
        </w:rPr>
        <w:t>直接扣除且无需另行征得乙方同意，仍不够的，以法律手段追回。</w:t>
      </w:r>
    </w:p>
    <w:p w14:paraId="3F15580D">
      <w:pPr>
        <w:widowControl w:val="0"/>
        <w:ind w:firstLine="562"/>
        <w:outlineLvl w:val="2"/>
        <w:rPr>
          <w:rFonts w:ascii="Times New Roman" w:hAnsi="Times New Roman" w:eastAsia="宋体" w:cs="Times New Roman"/>
          <w:kern w:val="0"/>
          <w:sz w:val="28"/>
          <w:szCs w:val="28"/>
        </w:rPr>
      </w:pPr>
      <w:bookmarkStart w:id="267" w:name="_Toc41385861"/>
      <w:bookmarkStart w:id="268" w:name="_Toc14609"/>
      <w:r>
        <w:rPr>
          <w:rFonts w:ascii="Times New Roman" w:hAnsi="Times New Roman" w:eastAsia="宋体" w:cs="Times New Roman"/>
          <w:b/>
          <w:kern w:val="0"/>
          <w:sz w:val="28"/>
          <w:szCs w:val="28"/>
        </w:rPr>
        <w:t>十三、生产及货到现场安全责任</w:t>
      </w:r>
      <w:bookmarkEnd w:id="267"/>
      <w:bookmarkEnd w:id="268"/>
    </w:p>
    <w:p w14:paraId="5F2E195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13.1、本合同约定由乙方供货的设备/材料</w:t>
      </w:r>
      <w:r>
        <w:rPr>
          <w:rFonts w:hint="eastAsia" w:ascii="Times New Roman" w:hAnsi="Times New Roman" w:eastAsia="宋体" w:cs="Times New Roman"/>
          <w:sz w:val="28"/>
          <w:szCs w:val="28"/>
          <w:lang w:eastAsia="zh-CN"/>
        </w:rPr>
        <w:t>，</w:t>
      </w:r>
      <w:r>
        <w:rPr>
          <w:rFonts w:ascii="Times New Roman" w:hAnsi="Times New Roman" w:eastAsia="宋体" w:cs="Times New Roman"/>
          <w:sz w:val="28"/>
          <w:szCs w:val="28"/>
        </w:rPr>
        <w:t>严禁非设备/材料清单约定的生产商生产。如发现违反的，甲方有权采取拒收、部分拒收、退货、部分退货</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要求乙方重新生产、提供符合合同约定及甲方要求的设备/材料，且交货期限不予顺延，因此逾期交货的，乙方还应承担相应违约责任；同时，甲方有权解除合同，并要求乙方赔偿合同总价的20%的违约金，并承担甲方因此造成的一切损失</w:t>
      </w:r>
      <w:r>
        <w:rPr>
          <w:rFonts w:ascii="Times New Roman" w:hAnsi="Times New Roman" w:eastAsia="宋体" w:cs="Times New Roman"/>
          <w:sz w:val="28"/>
          <w:szCs w:val="28"/>
        </w:rPr>
        <w:t>。</w:t>
      </w:r>
    </w:p>
    <w:p w14:paraId="4CA55F3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13.2、委托生产不能解除乙方任何责任和义务。</w:t>
      </w:r>
    </w:p>
    <w:p w14:paraId="313450C6">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13.3、委托生产价款由乙方与生产商结算。甲方</w:t>
      </w:r>
      <w:r>
        <w:rPr>
          <w:rFonts w:hint="eastAsia" w:ascii="Times New Roman" w:hAnsi="Times New Roman" w:eastAsia="宋体" w:cs="Times New Roman"/>
          <w:sz w:val="28"/>
          <w:szCs w:val="28"/>
        </w:rPr>
        <w:t>不直接亦无需</w:t>
      </w:r>
      <w:r>
        <w:rPr>
          <w:rFonts w:ascii="Times New Roman" w:hAnsi="Times New Roman" w:eastAsia="宋体" w:cs="Times New Roman"/>
          <w:sz w:val="28"/>
          <w:szCs w:val="28"/>
        </w:rPr>
        <w:t>以任何形式向生产商支付本合同</w:t>
      </w:r>
      <w:r>
        <w:rPr>
          <w:rFonts w:hint="eastAsia" w:ascii="Times New Roman" w:hAnsi="Times New Roman" w:eastAsia="宋体" w:cs="Times New Roman"/>
          <w:sz w:val="28"/>
          <w:szCs w:val="28"/>
        </w:rPr>
        <w:t>项下的任何款项</w:t>
      </w:r>
      <w:r>
        <w:rPr>
          <w:rFonts w:ascii="Times New Roman" w:hAnsi="Times New Roman" w:eastAsia="宋体" w:cs="Times New Roman"/>
          <w:sz w:val="28"/>
          <w:szCs w:val="28"/>
        </w:rPr>
        <w:t>。</w:t>
      </w:r>
    </w:p>
    <w:p w14:paraId="1303F45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13.4、乙方进场后应遵守</w:t>
      </w:r>
      <w:r>
        <w:rPr>
          <w:rFonts w:hint="eastAsia" w:ascii="Times New Roman" w:hAnsi="Times New Roman" w:eastAsia="宋体" w:cs="Times New Roman"/>
          <w:sz w:val="28"/>
          <w:szCs w:val="28"/>
        </w:rPr>
        <w:t>甲方的各项规章制度及</w:t>
      </w:r>
      <w:r>
        <w:rPr>
          <w:rFonts w:ascii="Times New Roman" w:hAnsi="Times New Roman" w:eastAsia="宋体" w:cs="Times New Roman"/>
          <w:sz w:val="28"/>
          <w:szCs w:val="28"/>
        </w:rPr>
        <w:t>施工现场安全有关管理规定。由于乙方安全措施不力造成事故的责任和因此发生的费用，由乙方承担。</w:t>
      </w:r>
    </w:p>
    <w:p w14:paraId="6CA844C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13.5、乙方自行安排工作人员的食宿问题，本</w:t>
      </w:r>
      <w:r>
        <w:rPr>
          <w:rFonts w:hint="eastAsia" w:ascii="Times New Roman" w:hAnsi="Times New Roman" w:eastAsia="宋体" w:cs="Times New Roman"/>
          <w:sz w:val="28"/>
          <w:szCs w:val="28"/>
          <w:lang w:val="en-US" w:eastAsia="zh-CN"/>
        </w:rPr>
        <w:t>项目</w:t>
      </w:r>
      <w:r>
        <w:rPr>
          <w:rFonts w:ascii="Times New Roman" w:hAnsi="Times New Roman" w:eastAsia="宋体" w:cs="Times New Roman"/>
          <w:sz w:val="28"/>
          <w:szCs w:val="28"/>
        </w:rPr>
        <w:t>不提供食宿设施。</w:t>
      </w:r>
    </w:p>
    <w:p w14:paraId="045EE42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13.6、发生安全事故的，由事故责任方承担发生的费用。</w:t>
      </w:r>
    </w:p>
    <w:p w14:paraId="68D0529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13.7、乙方须使用总承包方搭设的井架、室外电梯、脚手架等，应事先向甲方和总包方提出使用时间和要求，费用由乙方承担。</w:t>
      </w:r>
    </w:p>
    <w:p w14:paraId="7223AC53">
      <w:pPr>
        <w:widowControl w:val="0"/>
        <w:ind w:firstLine="562"/>
        <w:outlineLvl w:val="2"/>
        <w:rPr>
          <w:rFonts w:ascii="Times New Roman" w:hAnsi="Times New Roman" w:eastAsia="宋体" w:cs="Times New Roman"/>
          <w:kern w:val="0"/>
          <w:sz w:val="28"/>
          <w:szCs w:val="28"/>
        </w:rPr>
      </w:pPr>
      <w:bookmarkStart w:id="269" w:name="_Toc2441"/>
      <w:bookmarkStart w:id="270" w:name="_Toc41385862"/>
      <w:r>
        <w:rPr>
          <w:rFonts w:ascii="Times New Roman" w:hAnsi="Times New Roman" w:eastAsia="宋体" w:cs="Times New Roman"/>
          <w:b/>
          <w:kern w:val="0"/>
          <w:sz w:val="28"/>
          <w:szCs w:val="28"/>
        </w:rPr>
        <w:t>十四、不可抗力及保险</w:t>
      </w:r>
      <w:bookmarkEnd w:id="269"/>
      <w:bookmarkEnd w:id="270"/>
    </w:p>
    <w:p w14:paraId="5974EE4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14.1、不可抗力的认定标准：六级以上的地震、战争、动乱、空中飞行物坠落、非甲乙方责任造成的爆炸、国家调整与本工程有关的重大政策</w:t>
      </w:r>
      <w:r>
        <w:rPr>
          <w:rFonts w:hint="eastAsia" w:ascii="Times New Roman" w:hAnsi="Times New Roman" w:eastAsia="宋体" w:cs="Times New Roman"/>
          <w:sz w:val="28"/>
          <w:szCs w:val="28"/>
          <w:lang w:val="en-US" w:eastAsia="zh-CN"/>
        </w:rPr>
        <w:t>等</w:t>
      </w:r>
      <w:r>
        <w:rPr>
          <w:rFonts w:ascii="Times New Roman" w:hAnsi="Times New Roman" w:eastAsia="宋体" w:cs="Times New Roman"/>
          <w:sz w:val="28"/>
          <w:szCs w:val="28"/>
        </w:rPr>
        <w:t>。</w:t>
      </w:r>
    </w:p>
    <w:p w14:paraId="306DC9D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14.2、上述不可抗力因素出现，乙方应立即采取措施并向甲方通报影响交货的情况。</w:t>
      </w:r>
    </w:p>
    <w:p w14:paraId="21ACF20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14.3、甲方</w:t>
      </w:r>
      <w:r>
        <w:rPr>
          <w:rFonts w:hint="eastAsia" w:ascii="Times New Roman" w:hAnsi="Times New Roman" w:eastAsia="宋体" w:cs="Times New Roman"/>
          <w:sz w:val="28"/>
          <w:szCs w:val="28"/>
        </w:rPr>
        <w:t>仅</w:t>
      </w:r>
      <w:r>
        <w:rPr>
          <w:rFonts w:ascii="Times New Roman" w:hAnsi="Times New Roman" w:eastAsia="宋体" w:cs="Times New Roman"/>
          <w:sz w:val="28"/>
          <w:szCs w:val="28"/>
        </w:rPr>
        <w:t>负责办理施工现场甲方人员的生命财产的保险及建筑工程一切险，由于不可抗力造成乙方供应的设备出险时，乙方应及时向甲方提交索赔资料，配合保险公司的调查，并无条件接受保险公司的理赔。</w:t>
      </w:r>
    </w:p>
    <w:p w14:paraId="01E8CA8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14.4、乙方负责办理乙方在施工现场人员的生命财产、现场各种施工用设施、设备、材料的保险，并支付相应的费用，费用已含在合同价款中。因乙方原因造成的任何事故（包括第三者人员在内）所发生的依法应该支付的损失、赔偿费、补偿费用等责任由乙方承担。</w:t>
      </w:r>
    </w:p>
    <w:p w14:paraId="22987449">
      <w:pPr>
        <w:widowControl w:val="0"/>
        <w:ind w:firstLine="560"/>
        <w:rPr>
          <w:rFonts w:ascii="Times New Roman" w:hAnsi="Times New Roman" w:eastAsia="宋体" w:cs="Times New Roman"/>
          <w:b/>
          <w:bCs/>
          <w:sz w:val="28"/>
          <w:szCs w:val="28"/>
        </w:rPr>
      </w:pPr>
      <w:r>
        <w:rPr>
          <w:rFonts w:ascii="Times New Roman" w:hAnsi="Times New Roman" w:eastAsia="宋体" w:cs="Times New Roman"/>
          <w:sz w:val="28"/>
          <w:szCs w:val="28"/>
        </w:rPr>
        <w:t>14.5、保证担保：乙方履约担保采用现金担保（或银行保函）方式，担保方式和担保金额双方按</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约定，办理履约担保所需的费用由乙方自行负责。</w:t>
      </w:r>
    </w:p>
    <w:p w14:paraId="3B4A3D72">
      <w:pPr>
        <w:widowControl w:val="0"/>
        <w:ind w:firstLine="562"/>
        <w:outlineLvl w:val="2"/>
        <w:rPr>
          <w:rFonts w:ascii="Times New Roman" w:hAnsi="Times New Roman" w:eastAsia="宋体" w:cs="Times New Roman"/>
          <w:bCs/>
          <w:kern w:val="0"/>
          <w:sz w:val="28"/>
          <w:szCs w:val="28"/>
        </w:rPr>
      </w:pPr>
      <w:bookmarkStart w:id="271" w:name="_Toc31523"/>
      <w:bookmarkStart w:id="272" w:name="_Toc41385863"/>
      <w:r>
        <w:rPr>
          <w:rFonts w:ascii="Times New Roman" w:hAnsi="Times New Roman" w:eastAsia="宋体" w:cs="Times New Roman"/>
          <w:b/>
          <w:kern w:val="0"/>
          <w:sz w:val="28"/>
          <w:szCs w:val="28"/>
        </w:rPr>
        <w:t>十五、专利技术及特殊工艺</w:t>
      </w:r>
      <w:bookmarkEnd w:id="271"/>
      <w:bookmarkEnd w:id="272"/>
    </w:p>
    <w:p w14:paraId="0ABE91C7">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15.1、甲方要求使用专利技术或特殊工艺，甲方应负责办理相应的申报手续，承担申报、试验、使用等费用；乙方提出使用专利技术或特殊工艺，应取得甲方和监理单位认可，乙方负责办理申报手续并承担有关费用。</w:t>
      </w:r>
    </w:p>
    <w:p w14:paraId="7B256260">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15.2、乙方保证提供的设备材料不侵犯任何第三人的知识产权，包括但不限于专利权，因甲方在使用设备材料引起的任何侵权纠纷，概由乙方单独负责处理并承担相应责任，</w:t>
      </w:r>
      <w:r>
        <w:rPr>
          <w:rFonts w:hint="eastAsia" w:ascii="Times New Roman" w:hAnsi="Times New Roman" w:eastAsia="宋体" w:cs="Times New Roman"/>
          <w:sz w:val="28"/>
          <w:szCs w:val="28"/>
        </w:rPr>
        <w:t>与甲方无关，</w:t>
      </w:r>
      <w:r>
        <w:rPr>
          <w:rFonts w:ascii="Times New Roman" w:hAnsi="Times New Roman" w:eastAsia="宋体" w:cs="Times New Roman"/>
          <w:sz w:val="28"/>
          <w:szCs w:val="28"/>
        </w:rPr>
        <w:t>由此导致甲方遭受损失的，乙方应当赔偿</w:t>
      </w:r>
      <w:r>
        <w:rPr>
          <w:rFonts w:hint="eastAsia" w:ascii="Times New Roman" w:hAnsi="Times New Roman" w:eastAsia="宋体" w:cs="Times New Roman"/>
          <w:sz w:val="28"/>
          <w:szCs w:val="28"/>
          <w:lang w:val="en-US" w:eastAsia="zh-CN"/>
        </w:rPr>
        <w:t>全部</w:t>
      </w:r>
      <w:r>
        <w:rPr>
          <w:rFonts w:ascii="Times New Roman" w:hAnsi="Times New Roman" w:eastAsia="宋体" w:cs="Times New Roman"/>
          <w:sz w:val="28"/>
          <w:szCs w:val="28"/>
        </w:rPr>
        <w:t>损失。</w:t>
      </w:r>
    </w:p>
    <w:p w14:paraId="591EFD8D">
      <w:pPr>
        <w:widowControl w:val="0"/>
        <w:ind w:firstLine="562"/>
        <w:outlineLvl w:val="2"/>
        <w:rPr>
          <w:rFonts w:ascii="Times New Roman" w:hAnsi="Times New Roman" w:eastAsia="宋体" w:cs="Times New Roman"/>
          <w:kern w:val="0"/>
          <w:sz w:val="28"/>
          <w:szCs w:val="28"/>
        </w:rPr>
      </w:pPr>
      <w:bookmarkStart w:id="273" w:name="_Toc41385864"/>
      <w:bookmarkStart w:id="274" w:name="_Toc19395"/>
      <w:r>
        <w:rPr>
          <w:rFonts w:ascii="Times New Roman" w:hAnsi="Times New Roman" w:eastAsia="宋体" w:cs="Times New Roman"/>
          <w:b/>
          <w:kern w:val="0"/>
          <w:sz w:val="28"/>
          <w:szCs w:val="28"/>
        </w:rPr>
        <w:t>十六、合同解除</w:t>
      </w:r>
      <w:bookmarkEnd w:id="273"/>
      <w:bookmarkEnd w:id="274"/>
    </w:p>
    <w:p w14:paraId="53D8799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16.1、甲、乙双方协商一致，可以解除合同。</w:t>
      </w:r>
    </w:p>
    <w:p w14:paraId="2037263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16.2、</w:t>
      </w:r>
      <w:r>
        <w:rPr>
          <w:rFonts w:hint="eastAsia" w:ascii="Times New Roman" w:hAnsi="Times New Roman" w:eastAsia="宋体" w:cs="Times New Roman"/>
          <w:sz w:val="28"/>
          <w:szCs w:val="28"/>
        </w:rPr>
        <w:t>发生现行法律法规规定及本合同约定的甲方有权解除合同的情形的，甲方有权书面通知乙方解除本合同。</w:t>
      </w:r>
    </w:p>
    <w:p w14:paraId="1CDD3F9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16.3、有下列情形之一的，甲、乙双方应协商解除合同：</w:t>
      </w:r>
    </w:p>
    <w:p w14:paraId="19F1D69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a）因不可抗力致使合同无法履行；</w:t>
      </w:r>
    </w:p>
    <w:p w14:paraId="3721232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b）因其他原因造成工程停建或缓建，致使合同无法履行。</w:t>
      </w:r>
    </w:p>
    <w:p w14:paraId="4721EE3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16.4、</w:t>
      </w:r>
      <w:r>
        <w:rPr>
          <w:rFonts w:hint="eastAsia" w:ascii="Times New Roman" w:hAnsi="Times New Roman" w:eastAsia="宋体" w:cs="Times New Roman"/>
          <w:sz w:val="28"/>
          <w:szCs w:val="28"/>
        </w:rPr>
        <w:t>甲方解除本合同的，以书面形式向乙方发出解除合同的通知，本合同自通知到达对方时解除，乙方应当积极配合甲方完成收尾工作及交接工作。对解除合同有争议的，按本通用条款第11.2条关于争议的约定处理。</w:t>
      </w:r>
    </w:p>
    <w:p w14:paraId="1A17BB8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16.5、合同解除后，不影响双方在合同中约定的结算和清理条款的效力。</w:t>
      </w:r>
    </w:p>
    <w:p w14:paraId="6B6E6A06">
      <w:pPr>
        <w:widowControl w:val="0"/>
        <w:ind w:firstLine="562"/>
        <w:outlineLvl w:val="2"/>
        <w:rPr>
          <w:rFonts w:ascii="Times New Roman" w:hAnsi="Times New Roman" w:eastAsia="宋体" w:cs="Times New Roman"/>
          <w:kern w:val="0"/>
          <w:sz w:val="28"/>
          <w:szCs w:val="28"/>
        </w:rPr>
      </w:pPr>
      <w:bookmarkStart w:id="275" w:name="_Toc15946"/>
      <w:bookmarkStart w:id="276" w:name="_Toc41385865"/>
      <w:r>
        <w:rPr>
          <w:rFonts w:ascii="Times New Roman" w:hAnsi="Times New Roman" w:eastAsia="宋体" w:cs="Times New Roman"/>
          <w:b/>
          <w:kern w:val="0"/>
          <w:sz w:val="28"/>
          <w:szCs w:val="28"/>
        </w:rPr>
        <w:t>十七、双方的权利和义务</w:t>
      </w:r>
      <w:bookmarkEnd w:id="275"/>
      <w:bookmarkEnd w:id="276"/>
    </w:p>
    <w:p w14:paraId="14D86350">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17.1、 甲方和监理</w:t>
      </w:r>
    </w:p>
    <w:p w14:paraId="0B99260B">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17.1.1、</w:t>
      </w:r>
      <w:r>
        <w:rPr>
          <w:rFonts w:hint="eastAsia" w:ascii="Times New Roman" w:hAnsi="Times New Roman" w:eastAsia="宋体" w:cs="Times New Roman"/>
          <w:sz w:val="28"/>
          <w:szCs w:val="28"/>
        </w:rPr>
        <w:t>甲方驻工地总代表</w:t>
      </w:r>
      <w:r>
        <w:rPr>
          <w:rFonts w:ascii="Times New Roman" w:hAnsi="Times New Roman" w:eastAsia="宋体" w:cs="Times New Roman"/>
          <w:sz w:val="28"/>
          <w:szCs w:val="28"/>
        </w:rPr>
        <w:t>权限为：代表甲方履行本合同中约定的甲方权利和义务，签署甲方指令，甲方的所有文件经甲方代表签署并加盖甲方公章后方有效。但对本合同的任何修订、增加项目、修改参数、货款的支付等，需要按甲方规定程序审批或需要另外获得甲方法定代表人的授权。</w:t>
      </w:r>
    </w:p>
    <w:p w14:paraId="17A9A522">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17.1.2、监理驻工地总代表，其行使职权范围按国家监理法规进行工程监理，包括质量、进度、投资、安全控制及合同、信息管理，但付款、投资审批、签证变更、停工令等还需甲方审核方可生效。</w:t>
      </w:r>
    </w:p>
    <w:p w14:paraId="1C00C3E0">
      <w:pPr>
        <w:widowControl w:val="0"/>
        <w:ind w:firstLine="560"/>
        <w:rPr>
          <w:rFonts w:hint="eastAsia" w:ascii="Times New Roman" w:hAnsi="Times New Roman" w:eastAsia="宋体" w:cs="Times New Roman"/>
          <w:sz w:val="28"/>
          <w:szCs w:val="28"/>
          <w:lang w:eastAsia="zh-CN"/>
        </w:rPr>
      </w:pPr>
      <w:r>
        <w:rPr>
          <w:rFonts w:ascii="Times New Roman" w:hAnsi="Times New Roman" w:eastAsia="宋体" w:cs="Times New Roman"/>
          <w:sz w:val="28"/>
          <w:szCs w:val="28"/>
        </w:rPr>
        <w:t>17.1.3甲方委托监理参与交货验收，总监应按国家监理条例履行监理职责。总监行使</w:t>
      </w:r>
      <w:r>
        <w:rPr>
          <w:rFonts w:hint="eastAsia" w:ascii="Times New Roman" w:hAnsi="Times New Roman" w:eastAsia="宋体" w:cs="Times New Roman"/>
          <w:sz w:val="28"/>
          <w:szCs w:val="28"/>
        </w:rPr>
        <w:t>对本合同的任何修订、增加项目、修改参数、货款的支付等</w:t>
      </w:r>
      <w:r>
        <w:rPr>
          <w:rFonts w:hint="eastAsia" w:ascii="Times New Roman" w:hAnsi="Times New Roman" w:eastAsia="宋体" w:cs="Times New Roman"/>
          <w:sz w:val="28"/>
          <w:szCs w:val="28"/>
          <w:lang w:val="en-US" w:eastAsia="zh-CN"/>
        </w:rPr>
        <w:t>须</w:t>
      </w:r>
      <w:r>
        <w:rPr>
          <w:rFonts w:ascii="Times New Roman" w:hAnsi="Times New Roman" w:eastAsia="宋体" w:cs="Times New Roman"/>
          <w:sz w:val="28"/>
          <w:szCs w:val="28"/>
        </w:rPr>
        <w:t>征得甲方书面批准</w:t>
      </w:r>
      <w:r>
        <w:rPr>
          <w:rFonts w:hint="eastAsia" w:ascii="Times New Roman" w:hAnsi="Times New Roman" w:eastAsia="宋体" w:cs="Times New Roman"/>
          <w:sz w:val="28"/>
          <w:szCs w:val="28"/>
          <w:lang w:eastAsia="zh-CN"/>
        </w:rPr>
        <w:t>。</w:t>
      </w:r>
    </w:p>
    <w:p w14:paraId="110E78FD">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17.1.4、除合同内有明确约定或甲方书面同意外，总监无权解除本合同约定的乙方的任何权利和义务。</w:t>
      </w:r>
    </w:p>
    <w:p w14:paraId="237A3425">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17.2、甲方代表和总监的委派和指令</w:t>
      </w:r>
    </w:p>
    <w:p w14:paraId="3E9F8C9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17.2.1、甲方代表和总监可委派代表行使自己的职权并可在必要时撤回该委派代表，委派和撤回均应提前7天以书面形式通知乙方。甲方代表和总监委派的代表，在甲方代表和总监授权的范围内向乙方签发的函件，与甲方代表和总监签发的函件具有同等效力。乙方对此有疑问时，可将此函件提交甲方代表和总监进行确认。</w:t>
      </w:r>
    </w:p>
    <w:p w14:paraId="4FDC553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17.2.3、除甲方代表和总监或其代表外，甲方派驻工地的其他人员均无权向乙方发出任何指令。</w:t>
      </w:r>
    </w:p>
    <w:p w14:paraId="01E75A3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17.2.4、甲方代表和总监的指令、通知由其本人签字后，以书面形式交给乙方项目经理，乙方项目经理在回执上签署姓名和收到时间后生效。确有必要时，甲方代表和总监可发出口头指令，并在48小时内予以书面确认，乙方对指令应予以执行。甲方代表和总监不能及时书面确认的，乙方应于发出口头指令后3天内提出书面确认要求，乙方未提出要求的，责任由乙方承担。</w:t>
      </w:r>
    </w:p>
    <w:p w14:paraId="3BD133C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17.2.5、乙方认为甲方代表和总监的指令不合理，应在收到指令后24小时内向甲方代表和总监提出修改指令的书面报告，甲方代表和总监可做出修改指令或继续执行原指令的决定。紧急情况下，甲方代表和总监要求乙方立即执行的指令，乙方应无条件予以执行，乙方拒不执行指令的，甲方有权解除合同</w:t>
      </w:r>
      <w:r>
        <w:rPr>
          <w:rFonts w:hint="eastAsia" w:ascii="Times New Roman" w:hAnsi="Times New Roman" w:eastAsia="宋体" w:cs="Times New Roman"/>
          <w:sz w:val="28"/>
          <w:szCs w:val="28"/>
          <w:lang w:eastAsia="zh-CN"/>
        </w:rPr>
        <w:t>，</w:t>
      </w:r>
      <w:r>
        <w:rPr>
          <w:rFonts w:hint="eastAsia" w:ascii="Times New Roman" w:hAnsi="Times New Roman" w:eastAsia="宋体" w:cs="Times New Roman"/>
          <w:sz w:val="28"/>
          <w:szCs w:val="28"/>
        </w:rPr>
        <w:t>并要求乙方支付合同价款</w:t>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rPr>
        <w:t>0%作为违约金，违约金不足以弥补甲方损失的，甲方有权要求乙方承担补充赔偿责任。</w:t>
      </w:r>
    </w:p>
    <w:p w14:paraId="5DE9FFA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17.2.6、如需更换甲方代表和总监，甲方应提前以书面形式通知乙方，后任继续行使合同文件约定的前任的职权，履行前任的义务。</w:t>
      </w:r>
    </w:p>
    <w:p w14:paraId="15B87FB4">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17.3、乙方项目经理</w:t>
      </w:r>
    </w:p>
    <w:p w14:paraId="3B3BCB17">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17.3.1、乙方依据合同发出的通知或请求，必须以书面形式由乙方项目经理签字、公司盖章后提交甲方和监理单位，否则，甲方和监理有权拒收。</w:t>
      </w:r>
    </w:p>
    <w:p w14:paraId="5B9EC4A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17.3.2、乙方项目经理按照合同及甲方或监理发出的指令组织生产及交货。在情况紧急且无法与甲方和总监联系时，项目经理应采取保证人员生命和设备材料、财产安全的紧急措施，并在采取措施后48小时内向</w:t>
      </w:r>
      <w:r>
        <w:rPr>
          <w:rFonts w:hint="eastAsia" w:ascii="Times New Roman" w:hAnsi="Times New Roman" w:eastAsia="宋体" w:cs="Times New Roman"/>
          <w:sz w:val="28"/>
          <w:szCs w:val="28"/>
          <w:lang w:eastAsia="zh-CN"/>
        </w:rPr>
        <w:t>甲方代表</w:t>
      </w:r>
      <w:r>
        <w:rPr>
          <w:rFonts w:ascii="Times New Roman" w:hAnsi="Times New Roman" w:eastAsia="宋体" w:cs="Times New Roman"/>
          <w:sz w:val="28"/>
          <w:szCs w:val="28"/>
        </w:rPr>
        <w:t>和总监送交报告。由责任方承担费用，属于乙方责任的，工期不顺延。</w:t>
      </w:r>
    </w:p>
    <w:p w14:paraId="28B44448">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17.3.3、乙方如需更换乙方项目经理，应至少提前7天以书面形式通知甲方，并随函附上拟任项目经理的详细资料和工作业绩，并征得甲方同意。后任继续行使合同文件约定的前任的职权，履行前任的义务。</w:t>
      </w:r>
    </w:p>
    <w:p w14:paraId="17887AEB">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17.3.4、甲方可以与乙方协商，要求更换其认为不称职的乙方项目经理。</w:t>
      </w:r>
    </w:p>
    <w:p w14:paraId="5B928F3E">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17.4、甲方工作</w:t>
      </w:r>
    </w:p>
    <w:p w14:paraId="6E66A11B">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17.4.1、甲方按照</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约定的内容和时间完成以下工作：</w:t>
      </w:r>
    </w:p>
    <w:p w14:paraId="732F1233">
      <w:pPr>
        <w:widowControl w:val="0"/>
        <w:tabs>
          <w:tab w:val="left" w:pos="630"/>
          <w:tab w:val="left" w:pos="1279"/>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出于配合销售等需要，对施工现场布置进行调整、对设计图纸进行变更。</w:t>
      </w:r>
    </w:p>
    <w:p w14:paraId="245706B5">
      <w:pPr>
        <w:widowControl w:val="0"/>
        <w:tabs>
          <w:tab w:val="left" w:pos="630"/>
          <w:tab w:val="left" w:pos="1279"/>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对乙方提供的包装、运输方式进行审核，甲方的审核并不能免除</w:t>
      </w:r>
      <w:r>
        <w:rPr>
          <w:rFonts w:hint="eastAsia" w:ascii="Times New Roman" w:hAnsi="Times New Roman" w:eastAsia="宋体" w:cs="Times New Roman"/>
          <w:sz w:val="28"/>
          <w:szCs w:val="28"/>
        </w:rPr>
        <w:t>、减轻</w:t>
      </w:r>
      <w:r>
        <w:rPr>
          <w:rFonts w:ascii="Times New Roman" w:hAnsi="Times New Roman" w:eastAsia="宋体" w:cs="Times New Roman"/>
          <w:sz w:val="28"/>
          <w:szCs w:val="28"/>
        </w:rPr>
        <w:t>乙方责任。</w:t>
      </w:r>
    </w:p>
    <w:p w14:paraId="46996C73">
      <w:pPr>
        <w:widowControl w:val="0"/>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对乙方提供的到货确认函进行确认，甲方的确认并不能免除</w:t>
      </w:r>
      <w:r>
        <w:rPr>
          <w:rFonts w:hint="eastAsia" w:ascii="Times New Roman" w:hAnsi="Times New Roman" w:eastAsia="宋体" w:cs="Times New Roman"/>
          <w:sz w:val="28"/>
          <w:szCs w:val="28"/>
        </w:rPr>
        <w:t>、减轻</w:t>
      </w:r>
      <w:r>
        <w:rPr>
          <w:rFonts w:ascii="Times New Roman" w:hAnsi="Times New Roman" w:eastAsia="宋体" w:cs="Times New Roman"/>
          <w:sz w:val="28"/>
          <w:szCs w:val="28"/>
        </w:rPr>
        <w:t>乙方责任。</w:t>
      </w:r>
    </w:p>
    <w:p w14:paraId="61C0C9CC">
      <w:pPr>
        <w:widowControl w:val="0"/>
        <w:tabs>
          <w:tab w:val="left" w:pos="72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组织交货验收。</w:t>
      </w:r>
    </w:p>
    <w:p w14:paraId="64BE92C3">
      <w:pPr>
        <w:widowControl w:val="0"/>
        <w:tabs>
          <w:tab w:val="left" w:pos="72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对合同约定应由乙方完成的工作，如乙方拒绝完成或不能按合同要求完成，甲方有权安排其他单位完成</w:t>
      </w:r>
      <w:r>
        <w:rPr>
          <w:rFonts w:hint="eastAsia" w:ascii="Times New Roman" w:hAnsi="Times New Roman" w:eastAsia="宋体" w:cs="Times New Roman"/>
          <w:sz w:val="28"/>
          <w:szCs w:val="28"/>
        </w:rPr>
        <w:t>，并有权直接从任一应向甲方支付的款项中扣除因此支出的合理费用且无需另行征得乙方同意</w:t>
      </w:r>
      <w:r>
        <w:rPr>
          <w:rFonts w:ascii="Times New Roman" w:hAnsi="Times New Roman" w:eastAsia="宋体" w:cs="Times New Roman"/>
          <w:sz w:val="28"/>
          <w:szCs w:val="28"/>
        </w:rPr>
        <w:t>。</w:t>
      </w:r>
    </w:p>
    <w:p w14:paraId="49458E57">
      <w:pPr>
        <w:widowControl w:val="0"/>
        <w:tabs>
          <w:tab w:val="left" w:pos="72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根据合同约定的方式向乙方发出增加供货、供货期调整、取消订货等指令。</w:t>
      </w:r>
    </w:p>
    <w:p w14:paraId="5EF367E3">
      <w:pPr>
        <w:widowControl w:val="0"/>
        <w:tabs>
          <w:tab w:val="left" w:pos="72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在监理初审</w:t>
      </w:r>
      <w:r>
        <w:rPr>
          <w:rFonts w:hint="eastAsia" w:ascii="Times New Roman" w:hAnsi="Times New Roman" w:eastAsia="宋体" w:cs="Times New Roman"/>
          <w:sz w:val="28"/>
          <w:szCs w:val="28"/>
        </w:rPr>
        <w:t>通过及甲方审核通过，且其他付款条件成就后，</w:t>
      </w:r>
      <w:r>
        <w:rPr>
          <w:rFonts w:ascii="Times New Roman" w:hAnsi="Times New Roman" w:eastAsia="宋体" w:cs="Times New Roman"/>
          <w:sz w:val="28"/>
          <w:szCs w:val="28"/>
        </w:rPr>
        <w:t>向乙方支付设备/材料款。</w:t>
      </w:r>
    </w:p>
    <w:p w14:paraId="50E73D3F">
      <w:pPr>
        <w:widowControl w:val="0"/>
        <w:tabs>
          <w:tab w:val="left" w:pos="72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同乙方办理结算。</w:t>
      </w:r>
    </w:p>
    <w:p w14:paraId="0C77B3DE">
      <w:pPr>
        <w:widowControl w:val="0"/>
        <w:tabs>
          <w:tab w:val="left" w:pos="720"/>
        </w:tabs>
        <w:ind w:firstLine="560"/>
        <w:rPr>
          <w:rFonts w:ascii="Times New Roman" w:hAnsi="Times New Roman" w:eastAsia="宋体" w:cs="Times New Roman"/>
          <w:sz w:val="28"/>
          <w:szCs w:val="28"/>
        </w:rPr>
      </w:pPr>
      <w:r>
        <w:rPr>
          <w:rFonts w:ascii="Times New Roman" w:hAnsi="Times New Roman" w:eastAsia="宋体" w:cs="Times New Roman"/>
          <w:sz w:val="28"/>
          <w:szCs w:val="28"/>
        </w:rPr>
        <w:t>17.5、乙方工作</w:t>
      </w:r>
    </w:p>
    <w:p w14:paraId="3D6A5063">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17.5.1、乙方按照</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约定的内容和时间完成以下工作：</w:t>
      </w:r>
    </w:p>
    <w:p w14:paraId="08111D27">
      <w:pPr>
        <w:widowControl w:val="0"/>
        <w:tabs>
          <w:tab w:val="left" w:pos="54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按照</w:t>
      </w:r>
      <w:r>
        <w:rPr>
          <w:rFonts w:hint="eastAsia" w:ascii="Times New Roman" w:hAnsi="Times New Roman" w:eastAsia="宋体" w:cs="Times New Roman"/>
          <w:sz w:val="28"/>
          <w:szCs w:val="28"/>
        </w:rPr>
        <w:t>本合同约定的</w:t>
      </w:r>
      <w:r>
        <w:rPr>
          <w:rFonts w:ascii="Times New Roman" w:hAnsi="Times New Roman" w:eastAsia="宋体" w:cs="Times New Roman"/>
          <w:sz w:val="28"/>
          <w:szCs w:val="28"/>
        </w:rPr>
        <w:t>设备/材料清单、合同价款、交货地点、交货方式和时间向甲方供应满足协议</w:t>
      </w:r>
      <w:r>
        <w:rPr>
          <w:rFonts w:hint="eastAsia" w:ascii="Times New Roman" w:hAnsi="Times New Roman" w:eastAsia="宋体" w:cs="Times New Roman"/>
          <w:sz w:val="28"/>
          <w:szCs w:val="28"/>
        </w:rPr>
        <w:t>本合同约定及甲方要求的</w:t>
      </w:r>
      <w:r>
        <w:rPr>
          <w:rFonts w:ascii="Times New Roman" w:hAnsi="Times New Roman" w:eastAsia="宋体" w:cs="Times New Roman"/>
          <w:sz w:val="28"/>
          <w:szCs w:val="28"/>
        </w:rPr>
        <w:t>技术标准及质量要求的产品。</w:t>
      </w:r>
    </w:p>
    <w:p w14:paraId="28625D54">
      <w:pPr>
        <w:widowControl w:val="0"/>
        <w:tabs>
          <w:tab w:val="left" w:pos="54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根据</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约定，向甲方提交生产加工工艺方案，此项费用已包含在本合同价款中。若承包范围包含设计，乙方应在其设计资质等级和业务允许的范围内进行，并报总监和甲方代表确认后方可按此交货，设计费用包含在合同价款中。</w:t>
      </w:r>
    </w:p>
    <w:p w14:paraId="68F05349">
      <w:pPr>
        <w:widowControl w:val="0"/>
        <w:tabs>
          <w:tab w:val="left" w:pos="66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根据甲方要求，参与工程项目每次例会。乙方项目经理必须参加每次工程例会，因故不能参加的应提前4小时向甲方提出申请并在获得甲方批准后方可缺席，但对会议纪要确定的指令应无条件执行。</w:t>
      </w:r>
    </w:p>
    <w:p w14:paraId="15DA9D56">
      <w:pPr>
        <w:widowControl w:val="0"/>
        <w:tabs>
          <w:tab w:val="left" w:pos="54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乙方工作人员及设备/材料进场时，应遵守交货现场环境卫生管理、安全管理的有关规定，配备相应的环境保护及安全措施。承担因自身原因违反有关规定而导致的所有责任。</w:t>
      </w:r>
    </w:p>
    <w:p w14:paraId="611AC1D3">
      <w:pPr>
        <w:widowControl w:val="0"/>
        <w:tabs>
          <w:tab w:val="left" w:pos="66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遵守政府有关主管部门对包装、运输的管理规定，按规定办理有关手续，并将复印件抄送总监和甲方代表，自行承担因乙方责任造成的政府处罚及罚款。</w:t>
      </w:r>
    </w:p>
    <w:p w14:paraId="3934ED4B">
      <w:pPr>
        <w:widowControl w:val="0"/>
        <w:tabs>
          <w:tab w:val="left" w:pos="66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必须配合甲方销售需要，优先进行样板房需要的设备/材料的交货。</w:t>
      </w:r>
    </w:p>
    <w:p w14:paraId="62C40FB0">
      <w:pPr>
        <w:widowControl w:val="0"/>
        <w:tabs>
          <w:tab w:val="left" w:pos="54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在甲方或监理单位提出要求时，配合甲方或监理单位在生产过程中对原材料、半成品、成品及加工过程进行抽查，此费用包含在合同价款中。</w:t>
      </w:r>
    </w:p>
    <w:p w14:paraId="4ED35498">
      <w:pPr>
        <w:widowControl w:val="0"/>
        <w:tabs>
          <w:tab w:val="left" w:pos="540"/>
        </w:tabs>
        <w:ind w:firstLine="560"/>
        <w:rPr>
          <w:rFonts w:ascii="Times New Roman" w:hAnsi="Times New Roman" w:eastAsia="宋体" w:cs="Times New Roman"/>
          <w:sz w:val="28"/>
          <w:szCs w:val="28"/>
        </w:rPr>
      </w:pPr>
      <w:r>
        <w:rPr>
          <w:rFonts w:ascii="Cambria Math" w:hAnsi="Cambria Math" w:eastAsia="宋体" w:cs="Cambria Math"/>
          <w:sz w:val="28"/>
          <w:szCs w:val="28"/>
        </w:rPr>
        <w:t>◆</w:t>
      </w:r>
      <w:r>
        <w:rPr>
          <w:rFonts w:ascii="Times New Roman" w:hAnsi="Times New Roman" w:eastAsia="宋体" w:cs="Times New Roman"/>
          <w:sz w:val="28"/>
          <w:szCs w:val="28"/>
        </w:rPr>
        <w:t xml:space="preserve"> 双方在</w:t>
      </w:r>
      <w:r>
        <w:rPr>
          <w:rFonts w:hint="eastAsia" w:ascii="Times New Roman" w:hAnsi="Times New Roman" w:eastAsia="宋体" w:cs="Times New Roman"/>
          <w:sz w:val="28"/>
          <w:szCs w:val="28"/>
          <w:lang w:eastAsia="zh-CN"/>
        </w:rPr>
        <w:t>专用条款</w:t>
      </w:r>
      <w:r>
        <w:rPr>
          <w:rFonts w:ascii="Times New Roman" w:hAnsi="Times New Roman" w:eastAsia="宋体" w:cs="Times New Roman"/>
          <w:sz w:val="28"/>
          <w:szCs w:val="28"/>
        </w:rPr>
        <w:t>内约定的其他乙方应做的工作。</w:t>
      </w:r>
    </w:p>
    <w:p w14:paraId="6EE6B4F9">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17.5.2、乙方未能履行以上各项义务，造成甲方损失的，乙方赔偿甲方有关损失。</w:t>
      </w:r>
    </w:p>
    <w:p w14:paraId="6AE13C0C">
      <w:pPr>
        <w:widowControl w:val="0"/>
        <w:ind w:firstLine="562"/>
        <w:outlineLvl w:val="2"/>
        <w:rPr>
          <w:rFonts w:ascii="Times New Roman" w:hAnsi="Times New Roman" w:eastAsia="宋体" w:cs="Times New Roman"/>
          <w:kern w:val="0"/>
          <w:sz w:val="28"/>
          <w:szCs w:val="28"/>
        </w:rPr>
      </w:pPr>
      <w:bookmarkStart w:id="277" w:name="_Toc31597"/>
      <w:bookmarkStart w:id="278" w:name="_Toc41385866"/>
      <w:r>
        <w:rPr>
          <w:rFonts w:ascii="Times New Roman" w:hAnsi="Times New Roman" w:eastAsia="宋体" w:cs="Times New Roman"/>
          <w:b/>
          <w:kern w:val="0"/>
          <w:sz w:val="28"/>
          <w:szCs w:val="28"/>
        </w:rPr>
        <w:t>十八、廉政要求</w:t>
      </w:r>
      <w:bookmarkEnd w:id="277"/>
      <w:bookmarkEnd w:id="278"/>
    </w:p>
    <w:p w14:paraId="7BF1BA76">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bCs/>
          <w:sz w:val="28"/>
          <w:szCs w:val="28"/>
        </w:rPr>
        <w:t>18.1、</w:t>
      </w:r>
      <w:r>
        <w:rPr>
          <w:rFonts w:ascii="Times New Roman" w:hAnsi="Times New Roman" w:eastAsia="宋体" w:cs="Times New Roman"/>
          <w:sz w:val="28"/>
          <w:szCs w:val="28"/>
        </w:rPr>
        <w:t xml:space="preserve"> 甲乙双方及其工作人员必须共同遵守以下规定和原则：</w:t>
      </w:r>
    </w:p>
    <w:p w14:paraId="62CA2D8D">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18.1.1、严格遵守党和国家有关法律法规及廉政建设有关规定；</w:t>
      </w:r>
    </w:p>
    <w:p w14:paraId="6D8A6B20">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18.1.2、双方的业务活动坚持公开、公正、诚信、透明的原则；</w:t>
      </w:r>
    </w:p>
    <w:p w14:paraId="3AEB7FD1">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18.1.3、发现他方在业务活动中有违反法律法规、廉政规定的行为，有及时提醒他方纠正的权利和义务；</w:t>
      </w:r>
    </w:p>
    <w:p w14:paraId="5582F47E">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18.1.4、发现他方有严重违反本协议约定条款的行为，有建议给予处理并要求</w:t>
      </w:r>
      <w:r>
        <w:rPr>
          <w:rFonts w:hint="eastAsia" w:ascii="Times New Roman" w:hAnsi="Times New Roman" w:eastAsia="宋体" w:cs="Times New Roman"/>
          <w:sz w:val="28"/>
          <w:szCs w:val="28"/>
        </w:rPr>
        <w:t>告知</w:t>
      </w:r>
      <w:r>
        <w:rPr>
          <w:rFonts w:ascii="Times New Roman" w:hAnsi="Times New Roman" w:eastAsia="宋体" w:cs="Times New Roman"/>
          <w:sz w:val="28"/>
          <w:szCs w:val="28"/>
        </w:rPr>
        <w:t>处理结果的权利。</w:t>
      </w:r>
    </w:p>
    <w:p w14:paraId="0EEAF044">
      <w:pPr>
        <w:widowControl w:val="0"/>
        <w:autoSpaceDE w:val="0"/>
        <w:autoSpaceDN w:val="0"/>
        <w:adjustRightInd w:val="0"/>
        <w:ind w:firstLine="562"/>
        <w:rPr>
          <w:rFonts w:ascii="Times New Roman" w:hAnsi="Times New Roman" w:eastAsia="宋体" w:cs="Times New Roman"/>
          <w:sz w:val="28"/>
          <w:szCs w:val="28"/>
        </w:rPr>
      </w:pPr>
      <w:r>
        <w:rPr>
          <w:rFonts w:ascii="Times New Roman" w:hAnsi="Times New Roman" w:eastAsia="宋体" w:cs="Times New Roman"/>
          <w:b/>
          <w:sz w:val="28"/>
          <w:szCs w:val="28"/>
        </w:rPr>
        <w:t>18.2、</w:t>
      </w:r>
      <w:r>
        <w:rPr>
          <w:rFonts w:ascii="Times New Roman" w:hAnsi="Times New Roman" w:eastAsia="宋体" w:cs="Times New Roman"/>
          <w:sz w:val="28"/>
          <w:szCs w:val="28"/>
        </w:rPr>
        <w:t>甲方应遵守的廉政条款：</w:t>
      </w:r>
    </w:p>
    <w:p w14:paraId="33F3D5A0">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18.2.1、甲方（含甲方所属各部门，下同）及其工作人员不得以任何形式索取或收受乙方的各种名义的回扣、介绍费、手续费等好处费；</w:t>
      </w:r>
    </w:p>
    <w:p w14:paraId="66F9376B">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18.2.2、甲方及其工作人员不得索取或收受乙方的礼金、有价证券、贵重物品等礼物；</w:t>
      </w:r>
    </w:p>
    <w:p w14:paraId="7FBD54A6">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18.2.3、甲方及其工作人员不得在乙方报销任何应由甲方或个人支付的费用；</w:t>
      </w:r>
    </w:p>
    <w:p w14:paraId="2AE08C97">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18.2.4、甲方工作人员不得要求或参加乙方安排的可能影响公正执行公务的宴请和娱乐活动；</w:t>
      </w:r>
    </w:p>
    <w:p w14:paraId="6224425C">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18.2.5. 甲方工作人员不得要求或者接受乙方为其装修住房、办理婚丧嫁娶活动、亲属安排工作以及安排出国、出境旅游等；</w:t>
      </w:r>
    </w:p>
    <w:p w14:paraId="06A46CD4">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18.2.6. 甲方工作人员不得以任何理由向乙方介绍（或安插）施工单位或介绍材料供应商以谋取不正当利益；</w:t>
      </w:r>
    </w:p>
    <w:p w14:paraId="60776DEC">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18.2.7. 甲方工作人员不得从事为乙方介绍融资、集资、担保单位等工作事项；</w:t>
      </w:r>
    </w:p>
    <w:p w14:paraId="4487C9F9">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18.2.8. 甲方工作人员不得违反规定兼职乙方的管理工作，参与或从事与乙方内部经营活动有关的经济活动；</w:t>
      </w:r>
    </w:p>
    <w:p w14:paraId="27C542A2">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18.2.9. 甲方及其工作人员不得进行违反廉政规定的任何其他活动。</w:t>
      </w:r>
    </w:p>
    <w:p w14:paraId="7062446E">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 乙方应遵守的廉政条款：</w:t>
      </w:r>
    </w:p>
    <w:p w14:paraId="2588D6A1">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18.3.1.乙方及其工作人员不得以任何形式给予甲方及其工作人员各种名义的回扣、介绍费、手续费等好处费；</w:t>
      </w:r>
    </w:p>
    <w:p w14:paraId="1B5FEB16">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18.3.2.乙方及其工作人员不得以任何名义向甲方及其工作人员馈赠礼金、有价证券、贵重物品等礼物；</w:t>
      </w:r>
    </w:p>
    <w:p w14:paraId="1758907A">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18.3.3.乙方不得以任何名义为甲方及其工作人员报销任何应由甲方或个人支付的费用；</w:t>
      </w:r>
    </w:p>
    <w:p w14:paraId="05615370">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18.3.4.乙方不得以任何理由安排甲方工作人员参加可能影响公正执行公务的宴请和娱乐活动；</w:t>
      </w:r>
    </w:p>
    <w:p w14:paraId="4BA331E2">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18.3.5.乙方不得为甲方工作人员装修住房、办理婚丧嫁娶活动、亲属安排工作以及安排出国、出境旅游等；</w:t>
      </w:r>
    </w:p>
    <w:p w14:paraId="0B7F64AC">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18.3.6.乙方不得为谋取不正当利益以任何理由满足甲方工作人员安排（或安插）施工单位或材料供应商的非正当要求；</w:t>
      </w:r>
    </w:p>
    <w:p w14:paraId="6B32C468">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18.3.7.乙方及其工作人员不得以任何方式贿赂甲方工作人员而降低工程质量标准、增加工程量签证、降低交货材料、设备验收标准等；</w:t>
      </w:r>
    </w:p>
    <w:p w14:paraId="30EF533A">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18.3.8.乙方不得违反规定聘任甲方工作人员从事乙方的管理工作，不得违反规定安排甲方工作人员参与或从事与乙方经营活动有关的经济活动；</w:t>
      </w:r>
    </w:p>
    <w:p w14:paraId="6CD5691F">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18.3.9.乙方及其工作人员不得弄虚作假，瞒报、谎报、迟报重大安全、质量责任事故及其他应向甲方报告的事项；</w:t>
      </w:r>
    </w:p>
    <w:p w14:paraId="4BDE9E34">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18.3.10.乙方及其工作人员不得进行违反廉政规定的任何其他活动。</w:t>
      </w:r>
    </w:p>
    <w:p w14:paraId="141BECBA">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18.4  甲乙双方的监督权利和责任：</w:t>
      </w:r>
    </w:p>
    <w:p w14:paraId="739108B4">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18.4.1.乙方若发现甲方工作人员有违反廉政规定的行为的，应及时向甲方</w:t>
      </w:r>
      <w:r>
        <w:rPr>
          <w:rFonts w:hint="eastAsia" w:ascii="Times New Roman" w:hAnsi="Times New Roman" w:eastAsia="宋体" w:cs="Times New Roman"/>
          <w:sz w:val="28"/>
          <w:szCs w:val="28"/>
          <w:lang w:val="en-US" w:eastAsia="zh-CN"/>
        </w:rPr>
        <w:t>所属</w:t>
      </w:r>
      <w:r>
        <w:rPr>
          <w:rFonts w:ascii="Times New Roman" w:hAnsi="Times New Roman" w:eastAsia="宋体" w:cs="Times New Roman"/>
          <w:sz w:val="28"/>
          <w:szCs w:val="28"/>
        </w:rPr>
        <w:t>集团</w:t>
      </w:r>
      <w:r>
        <w:rPr>
          <w:rFonts w:hint="eastAsia" w:ascii="Times New Roman" w:hAnsi="Times New Roman" w:eastAsia="宋体" w:cs="Times New Roman"/>
          <w:sz w:val="28"/>
          <w:szCs w:val="28"/>
          <w:lang w:val="en-US" w:eastAsia="zh-CN"/>
        </w:rPr>
        <w:t>公司</w:t>
      </w:r>
      <w:r>
        <w:rPr>
          <w:rFonts w:ascii="Times New Roman" w:hAnsi="Times New Roman" w:eastAsia="宋体" w:cs="Times New Roman"/>
          <w:sz w:val="28"/>
          <w:szCs w:val="28"/>
        </w:rPr>
        <w:t>纪检监察部门举报；甲方纪检监察部门进行调查时，乙方应给予积极配合。</w:t>
      </w:r>
    </w:p>
    <w:p w14:paraId="3817FE7F">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18.4.2. 甲方若发现乙方工作人员为谋取不正当利益，有违反廉政规定的行为的，应及时中止其行为并向乙方举报；乙方进行调查时，甲方应给予积极配合。</w:t>
      </w:r>
    </w:p>
    <w:p w14:paraId="2B63E629">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18.5 甲方工作人员违反本协议规定的廉政条款并对乙方造成经济损失的，由甲方工作人员个人向乙方退还非法所得或不当得利并进行赔偿；同时，甲方将根据其工作人员违纪违规的情节轻重，对责任人员进行批评教育、记过、调离岗位、降职、撤职、开除党籍、开除公职等处分，触犯法律、情节严重、造成较大经济损失的，移交司法部门追究刑事责任。</w:t>
      </w:r>
    </w:p>
    <w:p w14:paraId="0704E644">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18.6乙方及其工作人员违反本协议规定的廉政条款的，甲方有权视情节轻重选择或并用下列处罚措施：</w:t>
      </w:r>
    </w:p>
    <w:p w14:paraId="484DF7B4">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18.6.1. 甲方有权要求乙方返还因违反廉政条款而获得的非法所得或不当得利；</w:t>
      </w:r>
    </w:p>
    <w:p w14:paraId="7CFC4268">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18.6.2.乙方及其工作人员违反廉政条款或采用不正当手段行贿甲方工作人员，致使甲方工作人员构成违纪的，甲方有权追偿乙方行贿金额10倍的违约金；</w:t>
      </w:r>
    </w:p>
    <w:p w14:paraId="2173EA5E">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18.6.3. 甲方有权要求乙方撤换派驻甲方的项目负责人、撤回违反廉政条款的直接责任人，并不再安排其从事与甲方有关的任何工作；</w:t>
      </w:r>
    </w:p>
    <w:p w14:paraId="65E12CF1">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18.6.4.乙方及其工作人员违反廉政条款给甲方造成经济损失的，若业务合同未履行完毕，甲方有权解除业务合同，由此造成的经济损失甲方有权要求乙方予以赔偿，并有权要求乙方支付合同价5％的违约金、追究因此而造成的连带责任；</w:t>
      </w:r>
    </w:p>
    <w:p w14:paraId="355F1E6F">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18.6.5.乙方及其工作人员违反廉政条款给甲方造成经济损失的，若业务合同已履行完毕，甲方有权要求乙方赔偿相应的经济损失，并有权要求乙方支付结算价5％的违约金、追究因此而造成的连带责任；</w:t>
      </w:r>
    </w:p>
    <w:p w14:paraId="6A1580C5">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18.6.6.乙方及其工作人员违反廉政条款，甲方可将有关行为载入甲方建立的乙方廉政诚信档案，解除与乙方的合作关系并宣布乙方为禁入单位。</w:t>
      </w:r>
    </w:p>
    <w:p w14:paraId="635DAF8B">
      <w:pPr>
        <w:widowControl w:val="0"/>
        <w:autoSpaceDE w:val="0"/>
        <w:autoSpaceDN w:val="0"/>
        <w:adjustRightInd w:val="0"/>
        <w:ind w:firstLine="560"/>
        <w:rPr>
          <w:rFonts w:ascii="Times New Roman" w:hAnsi="Times New Roman" w:eastAsia="宋体" w:cs="Times New Roman"/>
          <w:sz w:val="28"/>
          <w:szCs w:val="28"/>
        </w:rPr>
      </w:pPr>
      <w:r>
        <w:rPr>
          <w:rFonts w:ascii="Times New Roman" w:hAnsi="Times New Roman" w:eastAsia="宋体" w:cs="Times New Roman"/>
          <w:sz w:val="28"/>
          <w:szCs w:val="28"/>
        </w:rPr>
        <w:t>18.6.7.乙方及其工作人员违反廉政条款触犯法律、情节严重、造成较大经济损失的，移交司法部门追究刑事责任。</w:t>
      </w:r>
    </w:p>
    <w:p w14:paraId="62A2C0A5">
      <w:pPr>
        <w:widowControl w:val="0"/>
        <w:ind w:firstLine="562"/>
        <w:outlineLvl w:val="2"/>
        <w:rPr>
          <w:rFonts w:ascii="Times New Roman" w:hAnsi="Times New Roman" w:eastAsia="宋体" w:cs="Times New Roman"/>
          <w:b/>
          <w:kern w:val="0"/>
          <w:sz w:val="28"/>
          <w:szCs w:val="28"/>
        </w:rPr>
      </w:pPr>
      <w:bookmarkStart w:id="279" w:name="_Toc11"/>
      <w:bookmarkStart w:id="280" w:name="_Toc41385867"/>
      <w:r>
        <w:rPr>
          <w:rFonts w:ascii="Times New Roman" w:hAnsi="Times New Roman" w:eastAsia="宋体" w:cs="Times New Roman"/>
          <w:b/>
          <w:kern w:val="0"/>
          <w:sz w:val="28"/>
          <w:szCs w:val="28"/>
        </w:rPr>
        <w:t>十九、其他</w:t>
      </w:r>
      <w:bookmarkEnd w:id="279"/>
      <w:bookmarkEnd w:id="280"/>
    </w:p>
    <w:p w14:paraId="4F5BC3BC">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19.1 本合同所供货材料设备自乙方现场移交给安装（施工）单位安装、调试完毕并经甲方、监理及相关单位验收合格之日起免费保修2年。乙方同意在免费保修期满后至该产品有效寿命年限内，继续提供维修服务。如因使用不当或其他人为因素造成产品无法正常使用，乙方将给予维修并按成本价收取费用；如属产品本身质量原因造成无法正常使用，乙方将免费给予维修或更换。</w:t>
      </w:r>
    </w:p>
    <w:p w14:paraId="483A279A">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19.2乙方向甲方承诺</w:t>
      </w:r>
      <w:r>
        <w:rPr>
          <w:rFonts w:hint="eastAsia" w:ascii="Times New Roman" w:hAnsi="Times New Roman" w:eastAsia="宋体" w:cs="Times New Roman"/>
          <w:sz w:val="28"/>
          <w:szCs w:val="28"/>
        </w:rPr>
        <w:t>，满足合同约定的付款条件后，</w:t>
      </w:r>
      <w:r>
        <w:rPr>
          <w:rFonts w:ascii="Times New Roman" w:hAnsi="Times New Roman" w:eastAsia="宋体" w:cs="Times New Roman"/>
          <w:sz w:val="28"/>
          <w:szCs w:val="28"/>
        </w:rPr>
        <w:t>按照合同约定进行供货并在质量保修期内承担设备/材料质量保修责任。</w:t>
      </w:r>
    </w:p>
    <w:p w14:paraId="2C2D0A21">
      <w:pPr>
        <w:widowControl w:val="0"/>
        <w:ind w:firstLine="560"/>
        <w:rPr>
          <w:rFonts w:ascii="Times New Roman" w:hAnsi="Times New Roman" w:eastAsia="宋体" w:cs="Times New Roman"/>
          <w:sz w:val="28"/>
          <w:szCs w:val="28"/>
        </w:rPr>
      </w:pPr>
      <w:r>
        <w:rPr>
          <w:rFonts w:ascii="Times New Roman" w:hAnsi="Times New Roman" w:eastAsia="宋体" w:cs="Times New Roman"/>
          <w:sz w:val="28"/>
          <w:szCs w:val="28"/>
        </w:rPr>
        <w:t>19.3甲方向乙方承诺按照合同约定的方式支付设备/材料合同价款及其他应当支付的款项。</w:t>
      </w:r>
    </w:p>
    <w:p w14:paraId="55DF214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ascii="Times New Roman" w:hAnsi="Times New Roman" w:eastAsia="宋体" w:cs="Times New Roman"/>
          <w:sz w:val="28"/>
          <w:szCs w:val="28"/>
        </w:rPr>
      </w:pPr>
      <w:r>
        <w:rPr>
          <w:rFonts w:hint="eastAsia" w:ascii="宋体" w:hAnsi="宋体" w:eastAsia="宋体" w:cs="Times New Roman"/>
          <w:color w:val="auto"/>
          <w:sz w:val="28"/>
          <w:szCs w:val="28"/>
          <w:lang w:val="en-US" w:eastAsia="zh-CN"/>
        </w:rPr>
        <w:t>19.4 双方确认本合同所列的地址、电话、电子信箱为有效送达地址，并作为诉讼过程中人民法院的有效送达地址。以特快专递（EMS）向对方寄送的通知等，自投邮之日起第3日，以电子邮件发送的通知等，自电子邮件到达受送达人电子邮箱时，视为收件人收悉并知悉该等通知的内容。一方联系方式如有任何变动均应提前5日以书面形式通知对方，否则视为未变更。</w:t>
      </w:r>
    </w:p>
    <w:p w14:paraId="64E8B563">
      <w:pPr>
        <w:widowControl w:val="0"/>
        <w:ind w:firstLine="562"/>
        <w:outlineLvl w:val="2"/>
        <w:rPr>
          <w:rFonts w:ascii="Times New Roman" w:hAnsi="Times New Roman" w:eastAsia="宋体" w:cs="Times New Roman"/>
          <w:kern w:val="0"/>
          <w:sz w:val="28"/>
          <w:szCs w:val="28"/>
        </w:rPr>
      </w:pPr>
      <w:bookmarkStart w:id="281" w:name="_Toc3985"/>
      <w:bookmarkStart w:id="282" w:name="_Toc41385868"/>
      <w:r>
        <w:rPr>
          <w:rFonts w:ascii="Times New Roman" w:hAnsi="Times New Roman" w:eastAsia="宋体" w:cs="Times New Roman"/>
          <w:b/>
          <w:kern w:val="0"/>
          <w:sz w:val="28"/>
          <w:szCs w:val="28"/>
        </w:rPr>
        <w:t>二十、合同生效与终止</w:t>
      </w:r>
      <w:bookmarkEnd w:id="281"/>
      <w:bookmarkEnd w:id="282"/>
    </w:p>
    <w:p w14:paraId="4A4D7790">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20.1、双方在合同书中约定合同生效方式按本合同协议书第八条执行。</w:t>
      </w:r>
    </w:p>
    <w:p w14:paraId="2771FAB6">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20.2、甲方、乙方履行合同全部义务后，本合同即告终止。</w:t>
      </w:r>
    </w:p>
    <w:p w14:paraId="3FE4C6AF">
      <w:pPr>
        <w:widowControl w:val="0"/>
        <w:ind w:firstLine="560"/>
        <w:rPr>
          <w:rFonts w:ascii="Times New Roman" w:hAnsi="Times New Roman" w:eastAsia="宋体" w:cs="Times New Roman"/>
          <w:b/>
          <w:sz w:val="28"/>
          <w:szCs w:val="28"/>
        </w:rPr>
      </w:pPr>
      <w:r>
        <w:rPr>
          <w:rFonts w:ascii="Times New Roman" w:hAnsi="Times New Roman" w:eastAsia="宋体" w:cs="Times New Roman"/>
          <w:sz w:val="28"/>
          <w:szCs w:val="28"/>
        </w:rPr>
        <w:t>20.3、合同的权利义务终止后，甲方、乙方应当遵循诚实信用原则，履行通知、协助、保密等义务。</w:t>
      </w:r>
    </w:p>
    <w:p w14:paraId="5B9B5B80">
      <w:pPr>
        <w:widowControl w:val="0"/>
        <w:ind w:firstLine="0" w:firstLineChars="0"/>
        <w:jc w:val="center"/>
        <w:rPr>
          <w:rFonts w:ascii="Times New Roman" w:hAnsi="Times New Roman" w:eastAsia="宋体" w:cs="Times New Roman"/>
          <w:sz w:val="24"/>
        </w:rPr>
      </w:pPr>
    </w:p>
    <w:p w14:paraId="303BE038">
      <w:pPr>
        <w:widowControl w:val="0"/>
        <w:spacing w:line="400" w:lineRule="exact"/>
        <w:ind w:firstLine="200" w:firstLineChars="0"/>
        <w:rPr>
          <w:rFonts w:ascii="Times New Roman" w:hAnsi="Times New Roman" w:eastAsia="宋体" w:cs="Times New Roman"/>
          <w:sz w:val="28"/>
          <w:szCs w:val="28"/>
        </w:rPr>
      </w:pPr>
    </w:p>
    <w:p w14:paraId="74E823B1">
      <w:pPr>
        <w:widowControl w:val="0"/>
        <w:spacing w:line="400" w:lineRule="exact"/>
        <w:ind w:firstLine="200" w:firstLineChars="0"/>
        <w:rPr>
          <w:rFonts w:ascii="Times New Roman" w:hAnsi="Times New Roman" w:eastAsia="宋体" w:cs="Times New Roman"/>
          <w:sz w:val="24"/>
        </w:rPr>
      </w:pPr>
    </w:p>
    <w:p w14:paraId="13E8168C">
      <w:pPr>
        <w:widowControl w:val="0"/>
        <w:spacing w:line="400" w:lineRule="exact"/>
        <w:ind w:firstLine="200" w:firstLineChars="0"/>
        <w:rPr>
          <w:rFonts w:ascii="Times New Roman" w:hAnsi="Times New Roman" w:eastAsia="宋体" w:cs="Times New Roman"/>
          <w:sz w:val="24"/>
        </w:rPr>
      </w:pPr>
    </w:p>
    <w:p w14:paraId="56554E24">
      <w:pPr>
        <w:widowControl w:val="0"/>
        <w:spacing w:line="400" w:lineRule="exact"/>
        <w:ind w:firstLine="200" w:firstLineChars="0"/>
        <w:rPr>
          <w:rFonts w:ascii="Times New Roman" w:hAnsi="Times New Roman" w:eastAsia="宋体" w:cs="Times New Roman"/>
          <w:sz w:val="24"/>
        </w:rPr>
      </w:pPr>
    </w:p>
    <w:p w14:paraId="69342A72">
      <w:pPr>
        <w:spacing w:line="400" w:lineRule="exact"/>
        <w:ind w:firstLine="480"/>
        <w:rPr>
          <w:sz w:val="24"/>
        </w:rPr>
        <w:sectPr>
          <w:footerReference r:id="rId7" w:type="default"/>
          <w:pgSz w:w="11906" w:h="16838"/>
          <w:pgMar w:top="1440" w:right="1689" w:bottom="1440" w:left="1689" w:header="851" w:footer="992" w:gutter="0"/>
          <w:pgNumType w:fmt="decimal"/>
          <w:cols w:space="720" w:num="1"/>
          <w:docGrid w:type="lines" w:linePitch="312" w:charSpace="0"/>
        </w:sectPr>
      </w:pPr>
    </w:p>
    <w:p w14:paraId="66E10E7E">
      <w:pPr>
        <w:widowControl w:val="0"/>
        <w:spacing w:line="240" w:lineRule="auto"/>
        <w:ind w:firstLine="0" w:firstLineChars="0"/>
        <w:jc w:val="center"/>
        <w:outlineLvl w:val="1"/>
        <w:rPr>
          <w:rFonts w:ascii="Times New Roman" w:hAnsi="Times New Roman" w:eastAsia="宋体" w:cs="Times New Roman"/>
          <w:b/>
          <w:kern w:val="0"/>
          <w:sz w:val="36"/>
          <w:szCs w:val="36"/>
        </w:rPr>
      </w:pPr>
      <w:bookmarkStart w:id="283" w:name="_Toc41385869"/>
      <w:bookmarkStart w:id="284" w:name="_Toc21648"/>
      <w:r>
        <w:rPr>
          <w:rFonts w:ascii="Times New Roman" w:hAnsi="Times New Roman" w:eastAsia="宋体" w:cs="Times New Roman"/>
          <w:b/>
          <w:kern w:val="0"/>
          <w:sz w:val="36"/>
          <w:szCs w:val="36"/>
        </w:rPr>
        <w:t xml:space="preserve">第三部分 </w:t>
      </w:r>
      <w:r>
        <w:rPr>
          <w:rFonts w:hint="eastAsia" w:ascii="Times New Roman" w:hAnsi="Times New Roman" w:eastAsia="宋体" w:cs="Times New Roman"/>
          <w:b/>
          <w:kern w:val="0"/>
          <w:sz w:val="36"/>
          <w:szCs w:val="36"/>
          <w:lang w:val="en-US" w:eastAsia="zh-CN"/>
        </w:rPr>
        <w:t>专用</w:t>
      </w:r>
      <w:r>
        <w:rPr>
          <w:rFonts w:ascii="Times New Roman" w:hAnsi="Times New Roman" w:eastAsia="宋体" w:cs="Times New Roman"/>
          <w:b/>
          <w:kern w:val="0"/>
          <w:sz w:val="36"/>
          <w:szCs w:val="36"/>
        </w:rPr>
        <w:t>条款</w:t>
      </w:r>
      <w:bookmarkEnd w:id="283"/>
      <w:bookmarkEnd w:id="284"/>
    </w:p>
    <w:p w14:paraId="5DB02761">
      <w:pPr>
        <w:widowControl w:val="0"/>
        <w:ind w:firstLine="562"/>
        <w:outlineLvl w:val="2"/>
        <w:rPr>
          <w:rFonts w:ascii="Times New Roman" w:hAnsi="Times New Roman" w:eastAsia="宋体" w:cs="Times New Roman"/>
          <w:bCs/>
          <w:kern w:val="0"/>
          <w:sz w:val="28"/>
          <w:szCs w:val="28"/>
        </w:rPr>
      </w:pPr>
      <w:bookmarkStart w:id="285" w:name="_Toc1995"/>
      <w:bookmarkStart w:id="286" w:name="_Toc41385870"/>
      <w:r>
        <w:rPr>
          <w:rFonts w:ascii="Times New Roman" w:hAnsi="Times New Roman" w:eastAsia="宋体" w:cs="Times New Roman"/>
          <w:b/>
          <w:kern w:val="0"/>
          <w:sz w:val="28"/>
          <w:szCs w:val="28"/>
        </w:rPr>
        <w:t>一、各职责单位及负责人</w:t>
      </w:r>
      <w:bookmarkEnd w:id="285"/>
      <w:bookmarkEnd w:id="286"/>
    </w:p>
    <w:p w14:paraId="70EB1EB6">
      <w:pPr>
        <w:widowControl w:val="0"/>
        <w:ind w:firstLine="562"/>
        <w:rPr>
          <w:rFonts w:ascii="Times New Roman" w:hAnsi="Times New Roman" w:eastAsia="宋体" w:cs="Times New Roman"/>
          <w:b/>
          <w:bCs/>
          <w:sz w:val="28"/>
          <w:szCs w:val="28"/>
        </w:rPr>
      </w:pPr>
      <w:r>
        <w:rPr>
          <w:rFonts w:ascii="Times New Roman" w:hAnsi="Times New Roman" w:eastAsia="宋体" w:cs="Times New Roman"/>
          <w:b/>
          <w:bCs/>
          <w:sz w:val="28"/>
          <w:szCs w:val="28"/>
        </w:rPr>
        <w:t>1.1、甲方：</w:t>
      </w:r>
      <w:r>
        <w:rPr>
          <w:rFonts w:ascii="Times New Roman" w:hAnsi="Times New Roman" w:eastAsia="宋体" w:cs="Times New Roman"/>
          <w:sz w:val="28"/>
          <w:szCs w:val="28"/>
          <w:u w:val="single"/>
        </w:rPr>
        <w:t>深圳市高新健置业开发有限公司</w:t>
      </w:r>
    </w:p>
    <w:p w14:paraId="4827D8A5">
      <w:pPr>
        <w:widowControl w:val="0"/>
        <w:ind w:firstLine="562"/>
        <w:rPr>
          <w:rFonts w:ascii="Times New Roman" w:hAnsi="Times New Roman" w:eastAsia="宋体" w:cs="Times New Roman"/>
          <w:sz w:val="28"/>
          <w:szCs w:val="28"/>
        </w:rPr>
      </w:pPr>
      <w:r>
        <w:rPr>
          <w:rFonts w:ascii="Times New Roman" w:hAnsi="Times New Roman" w:eastAsia="宋体" w:cs="Times New Roman"/>
          <w:b/>
          <w:bCs/>
          <w:sz w:val="28"/>
          <w:szCs w:val="28"/>
        </w:rPr>
        <w:t>（a）通知地址：</w:t>
      </w:r>
      <w:r>
        <w:rPr>
          <w:rFonts w:ascii="Times New Roman" w:hAnsi="Times New Roman" w:eastAsia="宋体" w:cs="Times New Roman"/>
          <w:sz w:val="28"/>
          <w:szCs w:val="28"/>
          <w:u w:val="single"/>
        </w:rPr>
        <w:t>深圳市坪山区坪山街道六联社区坪山大道2009号城投芯时代大厦5层</w:t>
      </w:r>
    </w:p>
    <w:p w14:paraId="6E970BFA">
      <w:pPr>
        <w:widowControl w:val="0"/>
        <w:ind w:firstLine="562"/>
        <w:rPr>
          <w:rFonts w:hint="default" w:ascii="Times New Roman" w:hAnsi="Times New Roman" w:eastAsia="宋体" w:cs="Times New Roman"/>
          <w:sz w:val="28"/>
          <w:szCs w:val="28"/>
          <w:lang w:val="en-US" w:eastAsia="zh-CN"/>
        </w:rPr>
      </w:pPr>
      <w:r>
        <w:rPr>
          <w:rFonts w:ascii="Times New Roman" w:hAnsi="Times New Roman" w:eastAsia="宋体" w:cs="Times New Roman"/>
          <w:b/>
          <w:sz w:val="28"/>
          <w:szCs w:val="28"/>
        </w:rPr>
        <w:t>（b）甲方驻工地总代表：</w:t>
      </w:r>
      <w:r>
        <w:rPr>
          <w:rFonts w:hint="eastAsia" w:ascii="Times New Roman" w:hAnsi="Times New Roman" w:eastAsia="宋体" w:cs="Times New Roman"/>
          <w:sz w:val="28"/>
          <w:szCs w:val="28"/>
          <w:u w:val="single"/>
          <w:lang w:val="en-US" w:eastAsia="zh-CN"/>
        </w:rPr>
        <w:t xml:space="preserve">                    </w:t>
      </w:r>
    </w:p>
    <w:p w14:paraId="34D4FA7D">
      <w:pPr>
        <w:widowControl w:val="0"/>
        <w:ind w:firstLine="562"/>
        <w:rPr>
          <w:rFonts w:hint="eastAsia" w:ascii="Times New Roman" w:hAnsi="Times New Roman" w:eastAsia="宋体" w:cs="Times New Roman"/>
          <w:sz w:val="28"/>
          <w:szCs w:val="28"/>
          <w:u w:val="single"/>
          <w:lang w:val="en-US" w:eastAsia="zh-CN"/>
        </w:rPr>
      </w:pPr>
      <w:r>
        <w:rPr>
          <w:rFonts w:ascii="Times New Roman" w:hAnsi="Times New Roman" w:eastAsia="宋体" w:cs="Times New Roman"/>
          <w:b/>
          <w:sz w:val="28"/>
          <w:szCs w:val="28"/>
        </w:rPr>
        <w:t>1.2、乙方：</w:t>
      </w:r>
      <w:r>
        <w:rPr>
          <w:rFonts w:hint="eastAsia" w:ascii="Times New Roman" w:hAnsi="Times New Roman" w:eastAsia="宋体" w:cs="Times New Roman"/>
          <w:sz w:val="28"/>
          <w:szCs w:val="28"/>
          <w:u w:val="single"/>
          <w:lang w:val="en-US" w:eastAsia="zh-CN"/>
        </w:rPr>
        <w:t xml:space="preserve">                             </w:t>
      </w:r>
    </w:p>
    <w:p w14:paraId="5BEBE921">
      <w:pPr>
        <w:widowControl w:val="0"/>
        <w:ind w:firstLine="562"/>
        <w:rPr>
          <w:rFonts w:hint="eastAsia" w:ascii="Times New Roman" w:hAnsi="Times New Roman" w:eastAsia="宋体" w:cs="Times New Roman"/>
          <w:sz w:val="28"/>
          <w:szCs w:val="28"/>
          <w:u w:val="single"/>
          <w:lang w:val="en-US" w:eastAsia="zh-CN"/>
        </w:rPr>
      </w:pPr>
      <w:r>
        <w:rPr>
          <w:rFonts w:ascii="Times New Roman" w:hAnsi="Times New Roman" w:eastAsia="宋体" w:cs="Times New Roman"/>
          <w:b/>
          <w:sz w:val="28"/>
          <w:szCs w:val="28"/>
        </w:rPr>
        <w:t>（a）通知地址：</w:t>
      </w:r>
      <w:r>
        <w:rPr>
          <w:rFonts w:hint="eastAsia" w:ascii="Times New Roman" w:hAnsi="Times New Roman" w:eastAsia="宋体" w:cs="Times New Roman"/>
          <w:sz w:val="28"/>
          <w:szCs w:val="28"/>
          <w:u w:val="single"/>
          <w:lang w:val="en-US" w:eastAsia="zh-CN"/>
        </w:rPr>
        <w:t xml:space="preserve">                    </w:t>
      </w:r>
    </w:p>
    <w:p w14:paraId="71D089AF">
      <w:pPr>
        <w:widowControl w:val="0"/>
        <w:ind w:firstLine="562"/>
        <w:rPr>
          <w:rFonts w:ascii="Times New Roman" w:hAnsi="Times New Roman" w:eastAsia="宋体" w:cs="Times New Roman"/>
          <w:b/>
          <w:sz w:val="28"/>
          <w:szCs w:val="28"/>
        </w:rPr>
      </w:pPr>
      <w:r>
        <w:rPr>
          <w:rFonts w:ascii="Times New Roman" w:hAnsi="Times New Roman" w:eastAsia="宋体" w:cs="Times New Roman"/>
          <w:b/>
          <w:sz w:val="28"/>
          <w:szCs w:val="28"/>
        </w:rPr>
        <w:t>（b）项目</w:t>
      </w:r>
      <w:r>
        <w:rPr>
          <w:rFonts w:hint="eastAsia" w:ascii="Times New Roman" w:hAnsi="Times New Roman" w:eastAsia="宋体" w:cs="Times New Roman"/>
          <w:b/>
          <w:sz w:val="28"/>
          <w:szCs w:val="28"/>
          <w:lang w:val="en-US" w:eastAsia="zh-CN"/>
        </w:rPr>
        <w:t>负责人</w:t>
      </w:r>
      <w:r>
        <w:rPr>
          <w:rFonts w:ascii="Times New Roman" w:hAnsi="Times New Roman" w:eastAsia="宋体" w:cs="Times New Roman"/>
          <w:b/>
          <w:sz w:val="28"/>
          <w:szCs w:val="28"/>
        </w:rPr>
        <w:t>：</w:t>
      </w:r>
      <w:r>
        <w:rPr>
          <w:rFonts w:hint="eastAsia" w:ascii="Times New Roman" w:hAnsi="Times New Roman" w:eastAsia="宋体" w:cs="Times New Roman"/>
          <w:sz w:val="28"/>
          <w:szCs w:val="28"/>
          <w:u w:val="single"/>
          <w:lang w:val="en-US" w:eastAsia="zh-CN"/>
        </w:rPr>
        <w:t xml:space="preserve">                    </w:t>
      </w:r>
    </w:p>
    <w:p w14:paraId="2EBFFE67">
      <w:pPr>
        <w:widowControl w:val="0"/>
        <w:ind w:firstLine="562"/>
        <w:rPr>
          <w:rFonts w:ascii="Times New Roman" w:hAnsi="Times New Roman" w:eastAsia="宋体" w:cs="Times New Roman"/>
          <w:b/>
          <w:sz w:val="28"/>
          <w:szCs w:val="28"/>
        </w:rPr>
      </w:pPr>
      <w:r>
        <w:rPr>
          <w:rFonts w:ascii="Times New Roman" w:hAnsi="Times New Roman" w:eastAsia="宋体" w:cs="Times New Roman"/>
          <w:b/>
          <w:sz w:val="28"/>
          <w:szCs w:val="28"/>
        </w:rPr>
        <w:t>1.3、监理单位：</w:t>
      </w:r>
      <w:r>
        <w:rPr>
          <w:rFonts w:hint="eastAsia" w:ascii="Times New Roman" w:hAnsi="Times New Roman" w:eastAsia="宋体" w:cs="Times New Roman"/>
          <w:sz w:val="28"/>
          <w:szCs w:val="28"/>
          <w:u w:val="single"/>
        </w:rPr>
        <w:t>中海监理有限公司</w:t>
      </w:r>
      <w:r>
        <w:rPr>
          <w:rFonts w:ascii="Times New Roman" w:hAnsi="Times New Roman" w:eastAsia="宋体" w:cs="Times New Roman"/>
          <w:bCs/>
          <w:sz w:val="28"/>
          <w:szCs w:val="28"/>
        </w:rPr>
        <w:t xml:space="preserve">   </w:t>
      </w:r>
      <w:r>
        <w:rPr>
          <w:rFonts w:ascii="Times New Roman" w:hAnsi="Times New Roman" w:eastAsia="宋体" w:cs="Times New Roman"/>
          <w:b/>
          <w:sz w:val="28"/>
          <w:szCs w:val="28"/>
        </w:rPr>
        <w:t>总 监：</w:t>
      </w:r>
      <w:r>
        <w:rPr>
          <w:rFonts w:hint="eastAsia" w:ascii="Times New Roman" w:hAnsi="Times New Roman" w:eastAsia="宋体" w:cs="Times New Roman"/>
          <w:sz w:val="28"/>
          <w:szCs w:val="28"/>
          <w:u w:val="single"/>
        </w:rPr>
        <w:t xml:space="preserve">王敬波 </w:t>
      </w:r>
    </w:p>
    <w:p w14:paraId="3E2F4E7A">
      <w:pPr>
        <w:widowControl w:val="0"/>
        <w:ind w:firstLine="562"/>
        <w:rPr>
          <w:rFonts w:ascii="Times New Roman" w:hAnsi="Times New Roman" w:eastAsia="宋体" w:cs="Times New Roman"/>
          <w:bCs/>
          <w:sz w:val="28"/>
          <w:szCs w:val="28"/>
          <w:u w:val="single"/>
        </w:rPr>
      </w:pPr>
      <w:r>
        <w:rPr>
          <w:rFonts w:ascii="Times New Roman" w:hAnsi="Times New Roman" w:eastAsia="宋体" w:cs="Times New Roman"/>
          <w:b/>
          <w:bCs/>
          <w:sz w:val="28"/>
          <w:szCs w:val="28"/>
        </w:rPr>
        <w:t>1.</w:t>
      </w:r>
      <w:r>
        <w:rPr>
          <w:rFonts w:hint="eastAsia" w:ascii="Times New Roman" w:hAnsi="Times New Roman" w:eastAsia="宋体" w:cs="Times New Roman"/>
          <w:b/>
          <w:bCs/>
          <w:sz w:val="28"/>
          <w:szCs w:val="28"/>
          <w:lang w:val="en-US" w:eastAsia="zh-CN"/>
        </w:rPr>
        <w:t>4</w:t>
      </w:r>
      <w:r>
        <w:rPr>
          <w:rFonts w:ascii="Times New Roman" w:hAnsi="Times New Roman" w:eastAsia="宋体" w:cs="Times New Roman"/>
          <w:b/>
          <w:bCs/>
          <w:sz w:val="28"/>
          <w:szCs w:val="28"/>
        </w:rPr>
        <w:t>、质量、安全监督检查单位：</w:t>
      </w:r>
      <w:r>
        <w:rPr>
          <w:rFonts w:hint="eastAsia" w:ascii="Times New Roman" w:hAnsi="Times New Roman" w:eastAsia="宋体" w:cs="Times New Roman"/>
          <w:sz w:val="28"/>
          <w:szCs w:val="28"/>
          <w:u w:val="single"/>
        </w:rPr>
        <w:t>深圳市市场监督管理局</w:t>
      </w:r>
    </w:p>
    <w:p w14:paraId="52ACBC8E">
      <w:pPr>
        <w:widowControl w:val="0"/>
        <w:ind w:firstLine="562"/>
        <w:outlineLvl w:val="2"/>
        <w:rPr>
          <w:rFonts w:ascii="Times New Roman" w:hAnsi="Times New Roman" w:eastAsia="宋体" w:cs="Times New Roman"/>
          <w:kern w:val="0"/>
          <w:sz w:val="28"/>
          <w:szCs w:val="28"/>
        </w:rPr>
      </w:pPr>
      <w:bookmarkStart w:id="287" w:name="_Toc41385871"/>
      <w:bookmarkStart w:id="288" w:name="_Toc4257"/>
      <w:r>
        <w:rPr>
          <w:rFonts w:ascii="Times New Roman" w:hAnsi="Times New Roman" w:eastAsia="宋体" w:cs="Times New Roman"/>
          <w:b/>
          <w:kern w:val="0"/>
          <w:sz w:val="28"/>
          <w:szCs w:val="28"/>
        </w:rPr>
        <w:t>二、设备/材料清单</w:t>
      </w:r>
      <w:bookmarkEnd w:id="287"/>
      <w:bookmarkEnd w:id="288"/>
    </w:p>
    <w:p w14:paraId="33EF7352">
      <w:pPr>
        <w:widowControl w:val="0"/>
        <w:spacing w:line="240" w:lineRule="auto"/>
        <w:ind w:firstLine="0" w:firstLineChars="0"/>
        <w:jc w:val="left"/>
        <w:rPr>
          <w:rFonts w:hint="eastAsia" w:ascii="Times New Roman" w:hAnsi="Times New Roman" w:eastAsia="宋体" w:cs="Times New Roman"/>
          <w:bCs/>
          <w:sz w:val="28"/>
          <w:szCs w:val="28"/>
          <w:u w:val="single"/>
        </w:rPr>
      </w:pPr>
      <w:r>
        <w:rPr>
          <w:rFonts w:hint="eastAsia" w:ascii="Times New Roman" w:hAnsi="Times New Roman" w:eastAsia="宋体" w:cs="Times New Roman"/>
          <w:bCs/>
          <w:sz w:val="28"/>
          <w:szCs w:val="28"/>
        </w:rPr>
        <w:t xml:space="preserve">    </w:t>
      </w:r>
      <w:r>
        <w:rPr>
          <w:rFonts w:hint="eastAsia" w:ascii="Times New Roman" w:hAnsi="Times New Roman" w:eastAsia="宋体" w:cs="Times New Roman"/>
          <w:bCs/>
          <w:sz w:val="28"/>
          <w:szCs w:val="28"/>
          <w:u w:val="single"/>
        </w:rPr>
        <w:t>详见合同附件五：合同价清单</w:t>
      </w:r>
    </w:p>
    <w:p w14:paraId="3CFDD7E2">
      <w:pPr>
        <w:widowControl w:val="0"/>
        <w:adjustRightInd w:val="0"/>
        <w:snapToGrid w:val="0"/>
        <w:ind w:firstLine="562"/>
        <w:outlineLvl w:val="2"/>
        <w:rPr>
          <w:rFonts w:ascii="Times New Roman" w:hAnsi="Times New Roman" w:eastAsia="宋体" w:cs="Times New Roman"/>
          <w:bCs/>
          <w:kern w:val="0"/>
          <w:sz w:val="28"/>
          <w:szCs w:val="28"/>
        </w:rPr>
      </w:pPr>
      <w:bookmarkStart w:id="289" w:name="_Toc41385872"/>
      <w:bookmarkStart w:id="290" w:name="_Toc21244"/>
      <w:r>
        <w:rPr>
          <w:rFonts w:ascii="Times New Roman" w:hAnsi="Times New Roman" w:eastAsia="宋体" w:cs="Times New Roman"/>
          <w:b/>
          <w:kern w:val="0"/>
          <w:sz w:val="28"/>
          <w:szCs w:val="28"/>
        </w:rPr>
        <w:t>三、技术标准和质量要求</w:t>
      </w:r>
      <w:bookmarkEnd w:id="289"/>
      <w:bookmarkEnd w:id="290"/>
    </w:p>
    <w:p w14:paraId="5F41E217">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合格，达到本合同技术要求相关质量标准。本项目相关工艺做法应当依照国家及政府有关部门颁布的有关质量管理方面的法律、法规性文件，质量检验与控制的专门技术性法规性文件；设计文件及建设工程合同文件，确保工程验收达到使用要求，并符合国家精装修施工的行业验收标准。</w:t>
      </w:r>
    </w:p>
    <w:p w14:paraId="10514BB7">
      <w:pPr>
        <w:widowControl w:val="0"/>
        <w:adjustRightInd w:val="0"/>
        <w:snapToGrid w:val="0"/>
        <w:ind w:firstLine="560"/>
        <w:rPr>
          <w:rFonts w:hint="eastAsia" w:ascii="Times New Roman" w:hAnsi="Times New Roman" w:eastAsia="宋体" w:cs="Times New Roman"/>
          <w:sz w:val="28"/>
          <w:szCs w:val="28"/>
          <w:u w:val="single"/>
        </w:rPr>
      </w:pPr>
      <w:r>
        <w:rPr>
          <w:rFonts w:hint="eastAsia" w:ascii="Times New Roman" w:hAnsi="Times New Roman" w:eastAsia="宋体" w:cs="Times New Roman"/>
          <w:sz w:val="28"/>
          <w:szCs w:val="28"/>
          <w:u w:val="single"/>
        </w:rPr>
        <w:t>乙方应保证软装涉及的所有产品是全新的、完好的、未曾使用过的。</w:t>
      </w:r>
    </w:p>
    <w:p w14:paraId="3C128B8E">
      <w:pPr>
        <w:widowControl w:val="0"/>
        <w:adjustRightInd w:val="0"/>
        <w:snapToGrid w:val="0"/>
        <w:ind w:firstLine="562"/>
        <w:outlineLvl w:val="2"/>
        <w:rPr>
          <w:rFonts w:ascii="Times New Roman" w:hAnsi="Times New Roman" w:eastAsia="宋体" w:cs="Times New Roman"/>
          <w:kern w:val="0"/>
          <w:sz w:val="28"/>
          <w:szCs w:val="28"/>
        </w:rPr>
      </w:pPr>
      <w:bookmarkStart w:id="291" w:name="_Toc26628"/>
      <w:bookmarkStart w:id="292" w:name="_Toc41385873"/>
      <w:r>
        <w:rPr>
          <w:rFonts w:ascii="Times New Roman" w:hAnsi="Times New Roman" w:eastAsia="宋体" w:cs="Times New Roman"/>
          <w:b/>
          <w:kern w:val="0"/>
          <w:sz w:val="28"/>
          <w:szCs w:val="28"/>
        </w:rPr>
        <w:t>四、验收标准</w:t>
      </w:r>
      <w:bookmarkEnd w:id="291"/>
      <w:bookmarkEnd w:id="292"/>
    </w:p>
    <w:p w14:paraId="6177AE47">
      <w:pPr>
        <w:widowControl w:val="0"/>
        <w:adjustRightInd w:val="0"/>
        <w:snapToGrid w:val="0"/>
        <w:ind w:firstLine="562"/>
        <w:outlineLvl w:val="9"/>
        <w:rPr>
          <w:rFonts w:hint="eastAsia" w:ascii="Times New Roman" w:hAnsi="Times New Roman" w:eastAsia="宋体" w:cs="Times New Roman"/>
          <w:sz w:val="28"/>
          <w:szCs w:val="28"/>
          <w:u w:val="single"/>
        </w:rPr>
      </w:pPr>
      <w:bookmarkStart w:id="293" w:name="_Toc31890"/>
      <w:bookmarkStart w:id="294" w:name="_Toc41385874"/>
      <w:r>
        <w:rPr>
          <w:rFonts w:hint="eastAsia" w:ascii="Times New Roman" w:hAnsi="Times New Roman" w:eastAsia="宋体" w:cs="Times New Roman"/>
          <w:sz w:val="28"/>
          <w:szCs w:val="28"/>
          <w:u w:val="single"/>
        </w:rPr>
        <w:t>合格，达到本合同技术要求</w:t>
      </w:r>
      <w:r>
        <w:rPr>
          <w:rFonts w:hint="eastAsia" w:ascii="Times New Roman" w:hAnsi="Times New Roman" w:eastAsia="宋体" w:cs="Times New Roman"/>
          <w:sz w:val="28"/>
          <w:szCs w:val="28"/>
          <w:u w:val="single"/>
          <w:lang w:val="en-US" w:eastAsia="zh-CN"/>
        </w:rPr>
        <w:t>和相关</w:t>
      </w:r>
      <w:r>
        <w:rPr>
          <w:rFonts w:hint="eastAsia" w:ascii="Times New Roman" w:hAnsi="Times New Roman" w:eastAsia="宋体" w:cs="Times New Roman"/>
          <w:sz w:val="28"/>
          <w:szCs w:val="28"/>
          <w:u w:val="single"/>
        </w:rPr>
        <w:t>验收标准。本项目所用的主要材料等均须满足现行国家规范及本合同约定及甲方要求的标准，进场时有产品合格证、检验合格证等符合甲方要求的相关证明资料，并保证能满足国家和工程所在地区相关部门验收要求。本项目质量标准为合格且需满足设计及甲方使用要求，质量标准的评定以现行国家或行业的质量检验评定标准为依据。</w:t>
      </w:r>
    </w:p>
    <w:p w14:paraId="535D13F1">
      <w:pPr>
        <w:widowControl w:val="0"/>
        <w:adjustRightInd w:val="0"/>
        <w:snapToGrid w:val="0"/>
        <w:ind w:firstLine="562"/>
        <w:outlineLvl w:val="2"/>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五、合同款支付方式</w:t>
      </w:r>
      <w:bookmarkEnd w:id="293"/>
      <w:bookmarkEnd w:id="294"/>
    </w:p>
    <w:p w14:paraId="79DCC6F4">
      <w:pPr>
        <w:widowControl w:val="0"/>
        <w:adjustRightInd w:val="0"/>
        <w:snapToGrid w:val="0"/>
        <w:ind w:firstLine="560"/>
        <w:rPr>
          <w:rFonts w:ascii="Times New Roman" w:hAnsi="Times New Roman" w:eastAsia="宋体" w:cs="Times New Roman"/>
          <w:sz w:val="28"/>
          <w:szCs w:val="28"/>
          <w:u w:val="single"/>
        </w:rPr>
      </w:pPr>
      <w:bookmarkStart w:id="295" w:name="_Toc41385875"/>
      <w:r>
        <w:rPr>
          <w:rFonts w:ascii="Times New Roman" w:hAnsi="Times New Roman" w:eastAsia="宋体" w:cs="Times New Roman"/>
          <w:sz w:val="28"/>
          <w:szCs w:val="28"/>
          <w:u w:val="single"/>
        </w:rPr>
        <w:t>（一）</w:t>
      </w:r>
      <w:r>
        <w:rPr>
          <w:rFonts w:hint="eastAsia" w:ascii="Times New Roman" w:hAnsi="Times New Roman" w:eastAsia="宋体" w:cs="Times New Roman"/>
          <w:sz w:val="28"/>
          <w:szCs w:val="28"/>
          <w:u w:val="single"/>
          <w:lang w:val="en-US" w:eastAsia="zh-CN"/>
        </w:rPr>
        <w:t>乙方供货的货物款式经甲方书面确认后，</w:t>
      </w:r>
      <w:r>
        <w:rPr>
          <w:rFonts w:hint="eastAsia" w:ascii="Times New Roman" w:hAnsi="Times New Roman" w:eastAsia="宋体" w:cs="Times New Roman"/>
          <w:sz w:val="28"/>
          <w:szCs w:val="28"/>
          <w:u w:val="single"/>
        </w:rPr>
        <w:t>甲方支付合同总金额的10%作为</w:t>
      </w:r>
      <w:r>
        <w:rPr>
          <w:rFonts w:hint="eastAsia" w:ascii="Times New Roman" w:hAnsi="Times New Roman" w:eastAsia="宋体" w:cs="Times New Roman"/>
          <w:sz w:val="28"/>
          <w:szCs w:val="28"/>
          <w:u w:val="single"/>
          <w:lang w:val="en-US" w:eastAsia="zh-CN"/>
        </w:rPr>
        <w:t>货物排产款</w:t>
      </w:r>
      <w:r>
        <w:rPr>
          <w:rFonts w:hint="eastAsia" w:ascii="Times New Roman" w:hAnsi="Times New Roman" w:eastAsia="宋体" w:cs="Times New Roman"/>
          <w:sz w:val="28"/>
          <w:szCs w:val="28"/>
          <w:u w:val="single"/>
          <w:lang w:eastAsia="zh-CN"/>
        </w:rPr>
        <w:t>。</w:t>
      </w:r>
      <w:r>
        <w:rPr>
          <w:rFonts w:ascii="Times New Roman" w:hAnsi="Times New Roman" w:eastAsia="宋体" w:cs="Times New Roman"/>
          <w:sz w:val="28"/>
          <w:szCs w:val="28"/>
          <w:u w:val="single"/>
        </w:rPr>
        <w:t>甲方发出书面供货通知后，乙方应当按要求进行</w:t>
      </w:r>
      <w:r>
        <w:rPr>
          <w:rFonts w:hint="eastAsia" w:ascii="Times New Roman" w:hAnsi="Times New Roman" w:eastAsia="宋体" w:cs="Times New Roman"/>
          <w:sz w:val="28"/>
          <w:szCs w:val="28"/>
          <w:u w:val="single"/>
          <w:lang w:val="en-US" w:eastAsia="zh-CN"/>
        </w:rPr>
        <w:t>货物采购，</w:t>
      </w:r>
      <w:r>
        <w:rPr>
          <w:rFonts w:ascii="Times New Roman" w:hAnsi="Times New Roman" w:eastAsia="宋体" w:cs="Times New Roman"/>
          <w:sz w:val="28"/>
          <w:szCs w:val="28"/>
          <w:u w:val="single"/>
        </w:rPr>
        <w:t>在本批次货物发货前，经双方确认具备发货条件。本批次货物运送到工地并经甲方检查验收合格接收后，支付至实际已接收货物</w:t>
      </w:r>
      <w:r>
        <w:rPr>
          <w:rFonts w:hint="eastAsia" w:ascii="Times New Roman" w:hAnsi="Times New Roman" w:eastAsia="宋体" w:cs="Times New Roman"/>
          <w:sz w:val="28"/>
          <w:szCs w:val="28"/>
          <w:u w:val="single"/>
        </w:rPr>
        <w:t>货款</w:t>
      </w:r>
      <w:r>
        <w:rPr>
          <w:rFonts w:ascii="Times New Roman" w:hAnsi="Times New Roman" w:eastAsia="宋体" w:cs="Times New Roman"/>
          <w:sz w:val="28"/>
          <w:szCs w:val="28"/>
          <w:u w:val="single"/>
        </w:rPr>
        <w:t>总金额的50%。</w:t>
      </w:r>
    </w:p>
    <w:p w14:paraId="1635697D">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w:t>
      </w:r>
      <w:r>
        <w:rPr>
          <w:rFonts w:hint="eastAsia" w:ascii="Times New Roman" w:hAnsi="Times New Roman" w:eastAsia="宋体" w:cs="Times New Roman"/>
          <w:sz w:val="28"/>
          <w:szCs w:val="28"/>
          <w:u w:val="single"/>
          <w:lang w:val="en-US" w:eastAsia="zh-CN"/>
        </w:rPr>
        <w:t>二</w:t>
      </w:r>
      <w:r>
        <w:rPr>
          <w:rFonts w:ascii="Times New Roman" w:hAnsi="Times New Roman" w:eastAsia="宋体" w:cs="Times New Roman"/>
          <w:sz w:val="28"/>
          <w:szCs w:val="28"/>
          <w:u w:val="single"/>
        </w:rPr>
        <w:t>）</w:t>
      </w:r>
      <w:r>
        <w:rPr>
          <w:rFonts w:hint="eastAsia" w:ascii="Times New Roman" w:hAnsi="Times New Roman" w:eastAsia="宋体" w:cs="Times New Roman"/>
          <w:sz w:val="28"/>
          <w:szCs w:val="28"/>
          <w:u w:val="single"/>
        </w:rPr>
        <w:t>全部货物现场安装完成，经甲方验收合格后，支付至实际已接收货物货款总金额的80%。</w:t>
      </w:r>
    </w:p>
    <w:p w14:paraId="4F210369">
      <w:pPr>
        <w:widowControl w:val="0"/>
        <w:adjustRightInd w:val="0"/>
        <w:snapToGrid w:val="0"/>
        <w:ind w:firstLine="560"/>
        <w:rPr>
          <w:rFonts w:hint="eastAsia" w:ascii="Times New Roman" w:hAnsi="Times New Roman" w:eastAsia="宋体" w:cs="Times New Roman"/>
          <w:sz w:val="28"/>
          <w:szCs w:val="28"/>
          <w:u w:val="single"/>
        </w:rPr>
      </w:pPr>
      <w:r>
        <w:rPr>
          <w:rFonts w:ascii="Times New Roman" w:hAnsi="Times New Roman" w:eastAsia="宋体" w:cs="Times New Roman"/>
          <w:sz w:val="28"/>
          <w:szCs w:val="28"/>
          <w:u w:val="single"/>
        </w:rPr>
        <w:t>（三）</w:t>
      </w:r>
      <w:r>
        <w:rPr>
          <w:rFonts w:hint="eastAsia" w:ascii="Times New Roman" w:hAnsi="Times New Roman" w:eastAsia="宋体" w:cs="Times New Roman"/>
          <w:sz w:val="28"/>
          <w:szCs w:val="28"/>
          <w:u w:val="single"/>
          <w:lang w:val="en-US" w:eastAsia="zh-CN"/>
        </w:rPr>
        <w:t>工程</w:t>
      </w:r>
      <w:r>
        <w:rPr>
          <w:rFonts w:hint="eastAsia" w:ascii="Times New Roman" w:hAnsi="Times New Roman" w:eastAsia="宋体" w:cs="Times New Roman"/>
          <w:sz w:val="28"/>
          <w:szCs w:val="28"/>
          <w:u w:val="single"/>
        </w:rPr>
        <w:t>竣工验收并移交甲方</w:t>
      </w:r>
      <w:r>
        <w:rPr>
          <w:rFonts w:hint="eastAsia" w:ascii="Times New Roman" w:hAnsi="Times New Roman" w:eastAsia="宋体" w:cs="Times New Roman"/>
          <w:sz w:val="28"/>
          <w:szCs w:val="28"/>
          <w:u w:val="single"/>
          <w:lang w:eastAsia="zh-CN"/>
        </w:rPr>
        <w:t>，</w:t>
      </w:r>
      <w:r>
        <w:rPr>
          <w:rFonts w:hint="eastAsia" w:ascii="Times New Roman" w:hAnsi="Times New Roman" w:eastAsia="宋体" w:cs="Times New Roman"/>
          <w:sz w:val="28"/>
          <w:szCs w:val="28"/>
          <w:u w:val="single"/>
        </w:rPr>
        <w:t>双方按实际采购货物数量办理合同结算，经甲方审核，且满足本合同约定及甲方要求的其他付款条件后，甲方支付至本合同结算总金额的 97％。剩余结算总金额的 3％作为</w:t>
      </w:r>
      <w:r>
        <w:rPr>
          <w:rFonts w:hint="eastAsia" w:ascii="Times New Roman" w:hAnsi="Times New Roman" w:eastAsia="宋体" w:cs="Times New Roman"/>
          <w:sz w:val="28"/>
          <w:szCs w:val="28"/>
          <w:u w:val="single"/>
          <w:lang w:val="en-US" w:eastAsia="zh-CN"/>
        </w:rPr>
        <w:t>质量保证金</w:t>
      </w:r>
      <w:r>
        <w:rPr>
          <w:rFonts w:hint="eastAsia" w:ascii="Times New Roman" w:hAnsi="Times New Roman" w:eastAsia="宋体" w:cs="Times New Roman"/>
          <w:sz w:val="28"/>
          <w:szCs w:val="28"/>
          <w:u w:val="single"/>
        </w:rPr>
        <w:t>（乙方可采用银行保函或经甲方认可的国有专业担保公司出具保函形式的质量保函）。</w:t>
      </w:r>
    </w:p>
    <w:p w14:paraId="2666AEC1">
      <w:pPr>
        <w:widowControl w:val="0"/>
        <w:adjustRightInd w:val="0"/>
        <w:snapToGrid w:val="0"/>
        <w:ind w:firstLine="560"/>
        <w:rPr>
          <w:rFonts w:hint="eastAsia" w:ascii="Times New Roman" w:hAnsi="Times New Roman" w:eastAsia="宋体" w:cs="Times New Roman"/>
          <w:sz w:val="28"/>
          <w:szCs w:val="28"/>
          <w:u w:val="single"/>
        </w:rPr>
      </w:pPr>
      <w:r>
        <w:rPr>
          <w:rFonts w:ascii="Times New Roman" w:hAnsi="Times New Roman" w:eastAsia="宋体" w:cs="Times New Roman"/>
          <w:sz w:val="28"/>
          <w:szCs w:val="28"/>
          <w:u w:val="single"/>
        </w:rPr>
        <w:t>（四）质量保证金不计利息。</w:t>
      </w:r>
      <w:r>
        <w:rPr>
          <w:rFonts w:hint="eastAsia" w:ascii="Times New Roman" w:hAnsi="Times New Roman" w:eastAsia="宋体" w:cs="Times New Roman"/>
          <w:sz w:val="28"/>
          <w:szCs w:val="28"/>
          <w:u w:val="single"/>
        </w:rPr>
        <w:t>保修期满，经甲方组织查验合格后15 日内，经甲方审核后，支付剩余保修金或退回质量保函。</w:t>
      </w:r>
    </w:p>
    <w:p w14:paraId="2B8D6BA9">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（五）付款说明：</w:t>
      </w:r>
    </w:p>
    <w:p w14:paraId="6BC33744">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1.因乙方无法及时提供</w:t>
      </w:r>
      <w:r>
        <w:rPr>
          <w:rFonts w:hint="eastAsia" w:ascii="Times New Roman" w:hAnsi="Times New Roman" w:eastAsia="宋体" w:cs="Times New Roman"/>
          <w:sz w:val="28"/>
          <w:szCs w:val="28"/>
          <w:u w:val="single"/>
        </w:rPr>
        <w:t>符合甲方要求的</w:t>
      </w:r>
      <w:r>
        <w:rPr>
          <w:rFonts w:ascii="Times New Roman" w:hAnsi="Times New Roman" w:eastAsia="宋体" w:cs="Times New Roman"/>
          <w:sz w:val="28"/>
          <w:szCs w:val="28"/>
          <w:u w:val="single"/>
        </w:rPr>
        <w:t>付款完备资料导致的付款延误</w:t>
      </w:r>
      <w:r>
        <w:rPr>
          <w:rFonts w:hint="eastAsia" w:ascii="Times New Roman" w:hAnsi="Times New Roman" w:eastAsia="宋体" w:cs="Times New Roman"/>
          <w:sz w:val="28"/>
          <w:szCs w:val="28"/>
          <w:u w:val="single"/>
          <w:lang w:eastAsia="zh-CN"/>
        </w:rPr>
        <w:t>，</w:t>
      </w:r>
      <w:r>
        <w:rPr>
          <w:rFonts w:hint="eastAsia" w:ascii="Times New Roman" w:hAnsi="Times New Roman" w:eastAsia="宋体" w:cs="Times New Roman"/>
          <w:sz w:val="28"/>
          <w:szCs w:val="28"/>
          <w:u w:val="single"/>
        </w:rPr>
        <w:t>甲方有权付款且无需承担违约责任，不视为甲方违约；乙方自行承担全部责任，乙方不得因此延迟、拒绝履行本合同项下任何义务。</w:t>
      </w:r>
    </w:p>
    <w:p w14:paraId="1B1CEFF5">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2.</w:t>
      </w:r>
      <w:r>
        <w:rPr>
          <w:rFonts w:hint="eastAsia" w:ascii="Times New Roman" w:hAnsi="Times New Roman" w:eastAsia="宋体" w:cs="Times New Roman"/>
          <w:sz w:val="28"/>
          <w:szCs w:val="28"/>
          <w:u w:val="single"/>
        </w:rPr>
        <w:t>若乙方在质量、交货期、工期达不到合同要求的，在处理完成且经甲方验收合格之前，甲方有权不予支付任何款项且无需承担任何违约责任，不视为甲方违约，乙方不得因此延迟、拒绝履行本合同项下任何义务。</w:t>
      </w:r>
    </w:p>
    <w:p w14:paraId="461AC2BB">
      <w:pPr>
        <w:widowControl w:val="0"/>
        <w:adjustRightInd w:val="0"/>
        <w:snapToGrid w:val="0"/>
        <w:ind w:firstLine="560"/>
        <w:rPr>
          <w:rFonts w:ascii="Times New Roman" w:hAnsi="Times New Roman" w:eastAsia="宋体" w:cs="Times New Roman"/>
          <w:sz w:val="28"/>
          <w:szCs w:val="28"/>
          <w:u w:val="single"/>
        </w:rPr>
      </w:pPr>
      <w:r>
        <w:rPr>
          <w:rFonts w:ascii="Times New Roman" w:hAnsi="Times New Roman" w:eastAsia="宋体" w:cs="Times New Roman"/>
          <w:sz w:val="28"/>
          <w:szCs w:val="28"/>
          <w:u w:val="single"/>
        </w:rPr>
        <w:t>3.甲方以转账方式向乙方付款。乙方在办理每一次付款手续时，都必须提交一份乙方银行户名、银行</w:t>
      </w:r>
      <w:r>
        <w:rPr>
          <w:rFonts w:hint="eastAsia" w:ascii="Times New Roman" w:hAnsi="Times New Roman" w:eastAsia="宋体" w:cs="Times New Roman"/>
          <w:sz w:val="28"/>
          <w:szCs w:val="28"/>
          <w:u w:val="single"/>
          <w:lang w:val="en-US" w:eastAsia="zh-CN"/>
        </w:rPr>
        <w:t>账号</w:t>
      </w:r>
      <w:r>
        <w:rPr>
          <w:rFonts w:ascii="Times New Roman" w:hAnsi="Times New Roman" w:eastAsia="宋体" w:cs="Times New Roman"/>
          <w:sz w:val="28"/>
          <w:szCs w:val="28"/>
          <w:u w:val="single"/>
        </w:rPr>
        <w:t>的证明并加盖公章。</w:t>
      </w:r>
    </w:p>
    <w:p w14:paraId="29CB8B00">
      <w:pPr>
        <w:widowControl w:val="0"/>
        <w:adjustRightInd w:val="0"/>
        <w:snapToGrid w:val="0"/>
        <w:ind w:firstLine="560"/>
        <w:rPr>
          <w:rFonts w:hint="eastAsia" w:ascii="Times New Roman" w:hAnsi="Times New Roman" w:eastAsia="宋体" w:cs="Times New Roman"/>
          <w:bCs/>
          <w:sz w:val="28"/>
          <w:szCs w:val="28"/>
          <w:u w:val="single"/>
        </w:rPr>
      </w:pPr>
      <w:r>
        <w:rPr>
          <w:rFonts w:ascii="Times New Roman" w:hAnsi="Times New Roman" w:eastAsia="宋体" w:cs="Times New Roman"/>
          <w:bCs/>
          <w:sz w:val="28"/>
          <w:szCs w:val="28"/>
          <w:u w:val="single"/>
        </w:rPr>
        <w:t>4.</w:t>
      </w:r>
      <w:r>
        <w:rPr>
          <w:rFonts w:hint="eastAsia" w:ascii="Times New Roman" w:hAnsi="Times New Roman" w:eastAsia="宋体" w:cs="Times New Roman"/>
          <w:bCs/>
          <w:sz w:val="28"/>
          <w:szCs w:val="28"/>
          <w:u w:val="single"/>
        </w:rPr>
        <w:t>若乙方有违反本合同约定相关责任的，甲方有权直接从任一应向乙方支付的款项中直接扣除乙方应承担的违约金、损失赔偿、甲方垫付费用等且无需另行征得乙方同意。</w:t>
      </w:r>
    </w:p>
    <w:p w14:paraId="2DF8CFA6">
      <w:pPr>
        <w:widowControl w:val="0"/>
        <w:adjustRightInd w:val="0"/>
        <w:snapToGrid w:val="0"/>
        <w:ind w:firstLine="560"/>
        <w:rPr>
          <w:rFonts w:ascii="Times New Roman" w:hAnsi="Times New Roman" w:eastAsia="宋体" w:cs="Times New Roman"/>
          <w:bCs/>
          <w:sz w:val="28"/>
          <w:szCs w:val="28"/>
          <w:u w:val="single"/>
        </w:rPr>
      </w:pPr>
      <w:r>
        <w:rPr>
          <w:rFonts w:ascii="Times New Roman" w:hAnsi="Times New Roman" w:eastAsia="宋体" w:cs="Times New Roman"/>
          <w:bCs/>
          <w:sz w:val="28"/>
          <w:szCs w:val="28"/>
          <w:u w:val="single"/>
        </w:rPr>
        <w:t>5.乙方申请支付各项款项，须向甲方提交符合</w:t>
      </w:r>
      <w:r>
        <w:rPr>
          <w:rFonts w:hint="eastAsia" w:ascii="Times New Roman" w:hAnsi="Times New Roman" w:eastAsia="宋体" w:cs="Times New Roman"/>
          <w:bCs/>
          <w:sz w:val="28"/>
          <w:szCs w:val="28"/>
          <w:u w:val="single"/>
        </w:rPr>
        <w:t>甲方要求及</w:t>
      </w:r>
      <w:r>
        <w:rPr>
          <w:rFonts w:ascii="Times New Roman" w:hAnsi="Times New Roman" w:eastAsia="宋体" w:cs="Times New Roman"/>
          <w:bCs/>
          <w:sz w:val="28"/>
          <w:szCs w:val="28"/>
          <w:u w:val="single"/>
        </w:rPr>
        <w:t>国家及当地税务部门要求的增值税专用发票。乙方在申请结算款时，须提供结算金额的全部发票（含保修款）。</w:t>
      </w:r>
    </w:p>
    <w:p w14:paraId="77BDE69C">
      <w:pPr>
        <w:widowControl w:val="0"/>
        <w:adjustRightInd w:val="0"/>
        <w:snapToGrid w:val="0"/>
        <w:ind w:firstLine="562"/>
        <w:outlineLvl w:val="2"/>
        <w:rPr>
          <w:rFonts w:ascii="Times New Roman" w:hAnsi="Times New Roman" w:eastAsia="宋体" w:cs="Times New Roman"/>
          <w:kern w:val="0"/>
          <w:sz w:val="28"/>
          <w:szCs w:val="28"/>
        </w:rPr>
      </w:pPr>
      <w:bookmarkStart w:id="296" w:name="_Toc19497"/>
      <w:r>
        <w:rPr>
          <w:rFonts w:ascii="Times New Roman" w:hAnsi="Times New Roman" w:eastAsia="宋体" w:cs="Times New Roman"/>
          <w:b/>
          <w:kern w:val="0"/>
          <w:sz w:val="28"/>
          <w:szCs w:val="28"/>
        </w:rPr>
        <w:t>六、保证金方式</w:t>
      </w:r>
      <w:bookmarkEnd w:id="295"/>
      <w:bookmarkEnd w:id="296"/>
    </w:p>
    <w:p w14:paraId="4AD49111">
      <w:pPr>
        <w:widowControl w:val="0"/>
        <w:adjustRightInd w:val="0"/>
        <w:snapToGrid w:val="0"/>
        <w:ind w:firstLine="562"/>
        <w:outlineLvl w:val="9"/>
        <w:rPr>
          <w:rFonts w:hint="eastAsia" w:ascii="Times New Roman" w:hAnsi="Times New Roman" w:eastAsia="宋体" w:cs="Times New Roman"/>
          <w:b w:val="0"/>
          <w:bCs/>
          <w:sz w:val="28"/>
          <w:szCs w:val="28"/>
        </w:rPr>
      </w:pPr>
      <w:bookmarkStart w:id="297" w:name="_Toc41385876"/>
      <w:bookmarkStart w:id="298" w:name="_Toc23820"/>
      <w:r>
        <w:rPr>
          <w:rFonts w:hint="eastAsia" w:ascii="Times New Roman" w:hAnsi="Times New Roman" w:eastAsia="宋体" w:cs="Times New Roman"/>
          <w:b w:val="0"/>
          <w:bCs/>
          <w:sz w:val="28"/>
          <w:szCs w:val="28"/>
        </w:rPr>
        <w:t>乙方履约担保采用银行保函或经发包人认可的国有专业担保公司出具的保函，担保金额为合同价款的10％，即人民币￥         。办理履约担保所需的费用由乙方自行负责，并且履约保函的有效期不早于本项目竣工验收合格日期。乙方未能提供符合甲方要求的履约担保的，甲方有权拒绝支付本合同项下任一款项，且不视为甲方违约，乙方不得因此延迟、拒绝履行本合同项下任何义务。</w:t>
      </w:r>
    </w:p>
    <w:p w14:paraId="2273E117">
      <w:pPr>
        <w:widowControl w:val="0"/>
        <w:adjustRightInd w:val="0"/>
        <w:snapToGrid w:val="0"/>
        <w:ind w:firstLine="562"/>
        <w:outlineLvl w:val="2"/>
        <w:rPr>
          <w:rFonts w:ascii="Times New Roman" w:hAnsi="Times New Roman" w:eastAsia="宋体" w:cs="Times New Roman"/>
          <w:kern w:val="0"/>
          <w:sz w:val="28"/>
          <w:szCs w:val="28"/>
        </w:rPr>
      </w:pPr>
      <w:r>
        <w:rPr>
          <w:rFonts w:ascii="Times New Roman" w:hAnsi="Times New Roman" w:eastAsia="宋体" w:cs="Times New Roman"/>
          <w:b/>
          <w:kern w:val="0"/>
          <w:sz w:val="28"/>
          <w:szCs w:val="28"/>
        </w:rPr>
        <w:t>七、免费保修期限：</w:t>
      </w:r>
      <w:bookmarkEnd w:id="297"/>
      <w:bookmarkEnd w:id="298"/>
    </w:p>
    <w:p w14:paraId="4FAC33CB">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免费保修期为</w:t>
      </w:r>
      <w:r>
        <w:rPr>
          <w:rFonts w:ascii="Times New Roman" w:hAnsi="Times New Roman" w:eastAsia="宋体" w:cs="Times New Roman"/>
          <w:b/>
          <w:bCs/>
          <w:sz w:val="28"/>
          <w:szCs w:val="28"/>
          <w:u w:val="single"/>
        </w:rPr>
        <w:t>贰</w:t>
      </w:r>
      <w:r>
        <w:rPr>
          <w:rFonts w:ascii="Times New Roman" w:hAnsi="Times New Roman" w:eastAsia="宋体" w:cs="Times New Roman"/>
          <w:sz w:val="28"/>
          <w:szCs w:val="28"/>
        </w:rPr>
        <w:t>年（自竣工验收之日起计算）。</w:t>
      </w:r>
    </w:p>
    <w:p w14:paraId="000C0C71">
      <w:pPr>
        <w:widowControl w:val="0"/>
        <w:adjustRightInd w:val="0"/>
        <w:snapToGrid w:val="0"/>
        <w:ind w:firstLine="562"/>
        <w:outlineLvl w:val="2"/>
        <w:rPr>
          <w:rFonts w:ascii="Times New Roman" w:hAnsi="Times New Roman" w:eastAsia="宋体" w:cs="Times New Roman"/>
          <w:kern w:val="0"/>
          <w:sz w:val="28"/>
          <w:szCs w:val="28"/>
        </w:rPr>
      </w:pPr>
      <w:bookmarkStart w:id="299" w:name="_Toc29983"/>
      <w:bookmarkStart w:id="300" w:name="_Toc41385877"/>
      <w:r>
        <w:rPr>
          <w:rFonts w:ascii="Times New Roman" w:hAnsi="Times New Roman" w:eastAsia="宋体" w:cs="Times New Roman"/>
          <w:b/>
          <w:kern w:val="0"/>
          <w:sz w:val="28"/>
          <w:szCs w:val="28"/>
        </w:rPr>
        <w:t>八、生产周期</w:t>
      </w:r>
      <w:bookmarkEnd w:id="299"/>
      <w:bookmarkEnd w:id="300"/>
    </w:p>
    <w:p w14:paraId="29F980E1">
      <w:pPr>
        <w:widowControl w:val="0"/>
        <w:adjustRightInd w:val="0"/>
        <w:snapToGrid w:val="0"/>
        <w:ind w:firstLine="560"/>
        <w:rPr>
          <w:rFonts w:ascii="Times New Roman" w:hAnsi="Times New Roman" w:eastAsia="宋体" w:cs="Times New Roman"/>
          <w:sz w:val="28"/>
          <w:szCs w:val="28"/>
        </w:rPr>
      </w:pPr>
      <w:r>
        <w:rPr>
          <w:rFonts w:hint="eastAsia" w:ascii="Times New Roman" w:hAnsi="Times New Roman" w:eastAsia="宋体" w:cs="Times New Roman"/>
          <w:bCs/>
          <w:sz w:val="28"/>
          <w:szCs w:val="28"/>
        </w:rPr>
        <w:t>15</w:t>
      </w:r>
      <w:r>
        <w:rPr>
          <w:rFonts w:ascii="Times New Roman" w:hAnsi="Times New Roman" w:eastAsia="宋体" w:cs="Times New Roman"/>
          <w:bCs/>
          <w:sz w:val="28"/>
          <w:szCs w:val="28"/>
        </w:rPr>
        <w:t>日历天</w:t>
      </w:r>
      <w:r>
        <w:rPr>
          <w:rFonts w:ascii="Times New Roman" w:hAnsi="Times New Roman" w:eastAsia="宋体" w:cs="Times New Roman"/>
          <w:sz w:val="28"/>
          <w:szCs w:val="28"/>
        </w:rPr>
        <w:t>。</w:t>
      </w:r>
    </w:p>
    <w:p w14:paraId="73C82285">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如甲方有增加或减少供货数量的要求，提前一个生产周期向乙方发出有甲方代表签发的书面通知，乙方项目经理进行书面确认后即可执行。</w:t>
      </w:r>
    </w:p>
    <w:p w14:paraId="25F49C8E">
      <w:pPr>
        <w:widowControl w:val="0"/>
        <w:adjustRightInd w:val="0"/>
        <w:snapToGrid w:val="0"/>
        <w:ind w:firstLine="562"/>
        <w:outlineLvl w:val="2"/>
        <w:rPr>
          <w:rFonts w:ascii="Times New Roman" w:hAnsi="Times New Roman" w:eastAsia="宋体" w:cs="Times New Roman"/>
          <w:kern w:val="0"/>
          <w:sz w:val="28"/>
          <w:szCs w:val="28"/>
        </w:rPr>
      </w:pPr>
      <w:bookmarkStart w:id="301" w:name="_Toc12195"/>
      <w:bookmarkStart w:id="302" w:name="_Toc41385878"/>
      <w:r>
        <w:rPr>
          <w:rFonts w:ascii="Times New Roman" w:hAnsi="Times New Roman" w:eastAsia="宋体" w:cs="Times New Roman"/>
          <w:b/>
          <w:kern w:val="0"/>
          <w:sz w:val="28"/>
          <w:szCs w:val="28"/>
        </w:rPr>
        <w:t>九、合同终止</w:t>
      </w:r>
      <w:bookmarkEnd w:id="301"/>
      <w:bookmarkEnd w:id="302"/>
    </w:p>
    <w:p w14:paraId="373EE264">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（一）乙方到货时间迟到3天以上的，每延误</w:t>
      </w:r>
      <w:r>
        <w:rPr>
          <w:rFonts w:ascii="Times New Roman" w:hAnsi="Times New Roman" w:eastAsia="宋体" w:cs="Times New Roman"/>
          <w:sz w:val="28"/>
          <w:szCs w:val="28"/>
          <w:u w:val="single"/>
        </w:rPr>
        <w:t xml:space="preserve"> 1 </w:t>
      </w:r>
      <w:r>
        <w:rPr>
          <w:rFonts w:ascii="Times New Roman" w:hAnsi="Times New Roman" w:eastAsia="宋体" w:cs="Times New Roman"/>
          <w:sz w:val="28"/>
          <w:szCs w:val="28"/>
        </w:rPr>
        <w:t>天，乙方应向甲方支付该批次货物价款的</w:t>
      </w:r>
      <w:r>
        <w:rPr>
          <w:rFonts w:hint="eastAsia" w:ascii="宋体" w:hAnsi="宋体" w:eastAsia="宋体" w:cs="宋体"/>
          <w:b/>
          <w:bCs/>
          <w:sz w:val="28"/>
          <w:szCs w:val="28"/>
          <w:u w:val="single"/>
        </w:rPr>
        <w:t>万分之五/</w:t>
      </w:r>
      <w:r>
        <w:rPr>
          <w:rFonts w:hint="eastAsia" w:ascii="宋体" w:hAnsi="宋体" w:eastAsia="宋体" w:cs="宋体"/>
          <w:b/>
          <w:bCs/>
          <w:sz w:val="28"/>
          <w:szCs w:val="28"/>
          <w:u w:val="single"/>
          <w:lang w:val="en-US" w:eastAsia="zh-CN"/>
        </w:rPr>
        <w:t>天</w:t>
      </w:r>
      <w:r>
        <w:rPr>
          <w:rFonts w:ascii="Times New Roman" w:hAnsi="Times New Roman" w:eastAsia="宋体" w:cs="Times New Roman"/>
          <w:sz w:val="28"/>
          <w:szCs w:val="28"/>
        </w:rPr>
        <w:t>作为违约金。到货时间迟到</w:t>
      </w:r>
      <w:r>
        <w:rPr>
          <w:rFonts w:ascii="Times New Roman" w:hAnsi="Times New Roman" w:eastAsia="宋体" w:cs="Times New Roman"/>
          <w:sz w:val="28"/>
          <w:szCs w:val="28"/>
          <w:u w:val="single"/>
        </w:rPr>
        <w:t>15</w:t>
      </w:r>
      <w:r>
        <w:rPr>
          <w:rFonts w:ascii="Times New Roman" w:hAnsi="Times New Roman" w:eastAsia="宋体" w:cs="Times New Roman"/>
          <w:sz w:val="28"/>
          <w:szCs w:val="28"/>
        </w:rPr>
        <w:t>天以上的，甲方有权解除本合同，并保留追究乙方违约责任的权利。乙方除向甲方支付合同价</w:t>
      </w:r>
      <w:r>
        <w:rPr>
          <w:rFonts w:ascii="Times New Roman" w:hAnsi="Times New Roman" w:eastAsia="宋体" w:cs="Times New Roman"/>
          <w:sz w:val="28"/>
          <w:szCs w:val="28"/>
          <w:u w:val="single"/>
        </w:rPr>
        <w:t xml:space="preserve">  20  </w:t>
      </w:r>
      <w:r>
        <w:rPr>
          <w:rFonts w:ascii="Times New Roman" w:hAnsi="Times New Roman" w:eastAsia="宋体" w:cs="Times New Roman"/>
          <w:sz w:val="28"/>
          <w:szCs w:val="28"/>
        </w:rPr>
        <w:t>%的违约金外，还应承担由此造成的货物风险、经济损失等一切损失。</w:t>
      </w:r>
    </w:p>
    <w:p w14:paraId="2A7D1A5D">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（二）</w:t>
      </w:r>
      <w:r>
        <w:rPr>
          <w:rFonts w:hint="eastAsia" w:ascii="Times New Roman" w:hAnsi="Times New Roman" w:eastAsia="宋体" w:cs="Times New Roman"/>
          <w:sz w:val="28"/>
          <w:szCs w:val="28"/>
        </w:rPr>
        <w:t>由于甲方及/或甲方的母公司和关联公司内部程序、流程而影响，延期支付工程款90天内（含90天）的乙方应予谅解，并不可撤销地放弃全部索赔的权利；延期支付工程款超过90天的，甲方应自91日起向乙方支付应付未付款的贷款利息，贷款利息按中国人民银行发布的同期同类贷款基准利率计算，同时乙方不得以此延误工期及/或延迟、拒绝履行本合同项下的任何义务。乙方须在甲方完成补付延期支付工程款后14天内书面提出利息补偿申请并经甲方审核批复，才能得到延期应付款的利息补偿。</w:t>
      </w:r>
    </w:p>
    <w:p w14:paraId="578D3D07">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（三）</w:t>
      </w:r>
      <w:r>
        <w:rPr>
          <w:rFonts w:hint="eastAsia" w:ascii="Times New Roman" w:hAnsi="Times New Roman" w:eastAsia="宋体" w:cs="Times New Roman"/>
          <w:sz w:val="28"/>
          <w:szCs w:val="28"/>
        </w:rPr>
        <w:t>因乙方原因造成货物质量不符合合同约定及甲方要求的，甲方有权要求乙方返工直至达到合同约定的质量标准为止，并由乙方承担由此增加的费用和延误的工期。如从甲方书面要求乙方返工之日起15日内仍未采取有效措施并达到合同约定及甲方要求的标准的，甲方有权书面通知乙方解除本合同，并要求甲方支付合同价款</w:t>
      </w:r>
      <w:r>
        <w:rPr>
          <w:rFonts w:hint="eastAsia" w:ascii="Times New Roman" w:hAnsi="Times New Roman" w:eastAsia="宋体" w:cs="Times New Roman"/>
          <w:sz w:val="28"/>
          <w:szCs w:val="28"/>
          <w:lang w:val="en-US" w:eastAsia="zh-CN"/>
        </w:rPr>
        <w:t>2</w:t>
      </w:r>
      <w:r>
        <w:rPr>
          <w:rFonts w:hint="eastAsia" w:ascii="Times New Roman" w:hAnsi="Times New Roman" w:eastAsia="宋体" w:cs="Times New Roman"/>
          <w:sz w:val="28"/>
          <w:szCs w:val="28"/>
        </w:rPr>
        <w:t>0%作为违约金，违约金不足以弥补甲方损失，甲方有权要求乙方承担补充责任；甲方有权从任一应向乙方支付的款项中直接扣除上述违约金、损失赔偿金且无需另行征得乙方同意。</w:t>
      </w:r>
    </w:p>
    <w:p w14:paraId="34728D25">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四）甲方有权增加、减少或取消货物采购量，乙方应无条件配合。减少或取消采购的货物，如甲方未签发书面生产指令的，乙方不能得到任何补偿；如甲方已签发书面生产指令的，甲方按乙方实际已发生的相应损失费用支付给乙方。</w:t>
      </w:r>
    </w:p>
    <w:p w14:paraId="54B529D3">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（五）如合同内容发生调整、取消或者甲方单方面解除本合同，按实际已完成</w:t>
      </w:r>
      <w:r>
        <w:rPr>
          <w:rFonts w:hint="eastAsia" w:ascii="Times New Roman" w:hAnsi="Times New Roman" w:eastAsia="宋体" w:cs="Times New Roman"/>
          <w:sz w:val="28"/>
          <w:szCs w:val="28"/>
        </w:rPr>
        <w:t>且经甲方验收合格</w:t>
      </w:r>
      <w:r>
        <w:rPr>
          <w:rFonts w:ascii="Times New Roman" w:hAnsi="Times New Roman" w:eastAsia="宋体" w:cs="Times New Roman"/>
          <w:sz w:val="28"/>
          <w:szCs w:val="28"/>
        </w:rPr>
        <w:t>的工作量进行结算，乙方不得因此向甲方提出任何索赔、补偿要求，甲方亦不承担任何违约责任。</w:t>
      </w:r>
    </w:p>
    <w:p w14:paraId="76779D49">
      <w:pPr>
        <w:widowControl w:val="0"/>
        <w:adjustRightInd w:val="0"/>
        <w:snapToGrid w:val="0"/>
        <w:ind w:firstLine="562"/>
        <w:outlineLvl w:val="2"/>
        <w:rPr>
          <w:rFonts w:ascii="Times New Roman" w:hAnsi="Times New Roman" w:eastAsia="宋体" w:cs="Times New Roman"/>
          <w:kern w:val="0"/>
          <w:sz w:val="28"/>
          <w:szCs w:val="28"/>
        </w:rPr>
      </w:pPr>
      <w:bookmarkStart w:id="303" w:name="_Toc3858"/>
      <w:bookmarkStart w:id="304" w:name="_Toc41385879"/>
      <w:r>
        <w:rPr>
          <w:rFonts w:ascii="Times New Roman" w:hAnsi="Times New Roman" w:eastAsia="宋体" w:cs="Times New Roman"/>
          <w:b/>
          <w:kern w:val="0"/>
          <w:sz w:val="28"/>
          <w:szCs w:val="28"/>
        </w:rPr>
        <w:t>十、争议</w:t>
      </w:r>
      <w:bookmarkEnd w:id="303"/>
      <w:bookmarkEnd w:id="304"/>
    </w:p>
    <w:p w14:paraId="0DE66DEC">
      <w:pPr>
        <w:widowControl w:val="0"/>
        <w:adjustRightInd w:val="0"/>
        <w:snapToGrid w:val="0"/>
        <w:ind w:firstLine="560"/>
        <w:rPr>
          <w:rFonts w:ascii="Times New Roman" w:hAnsi="Times New Roman" w:eastAsia="宋体" w:cs="Times New Roman"/>
          <w:snapToGrid w:val="0"/>
          <w:spacing w:val="20"/>
          <w:kern w:val="0"/>
          <w:sz w:val="28"/>
          <w:szCs w:val="28"/>
        </w:rPr>
      </w:pPr>
      <w:r>
        <w:rPr>
          <w:rFonts w:ascii="Times New Roman" w:hAnsi="Times New Roman" w:eastAsia="宋体" w:cs="Times New Roman"/>
          <w:sz w:val="28"/>
          <w:szCs w:val="28"/>
        </w:rPr>
        <w:t>甲乙双方在履行合同时发生争议，可以和解或者要求有关主管部门调解。当事人不愿和解、调解或者和解、调解不成的，任何一方可向项目所在地人民法院提起诉讼</w:t>
      </w:r>
      <w:r>
        <w:rPr>
          <w:rFonts w:ascii="Times New Roman" w:hAnsi="Times New Roman" w:eastAsia="宋体" w:cs="Times New Roman"/>
          <w:snapToGrid w:val="0"/>
          <w:spacing w:val="20"/>
          <w:kern w:val="0"/>
          <w:sz w:val="28"/>
          <w:szCs w:val="28"/>
        </w:rPr>
        <w:t>。</w:t>
      </w:r>
    </w:p>
    <w:p w14:paraId="7E76F2AA">
      <w:pPr>
        <w:widowControl w:val="0"/>
        <w:adjustRightInd w:val="0"/>
        <w:snapToGrid w:val="0"/>
        <w:ind w:firstLine="562"/>
        <w:outlineLvl w:val="2"/>
        <w:rPr>
          <w:rFonts w:ascii="Times New Roman" w:hAnsi="Times New Roman" w:eastAsia="宋体" w:cs="Times New Roman"/>
          <w:b/>
          <w:sz w:val="28"/>
          <w:szCs w:val="28"/>
        </w:rPr>
      </w:pPr>
      <w:bookmarkStart w:id="305" w:name="_Toc15939"/>
      <w:bookmarkStart w:id="306" w:name="_Toc41385880"/>
      <w:r>
        <w:rPr>
          <w:rFonts w:ascii="Times New Roman" w:hAnsi="Times New Roman" w:eastAsia="宋体" w:cs="Times New Roman"/>
          <w:b/>
          <w:kern w:val="0"/>
          <w:sz w:val="28"/>
          <w:szCs w:val="28"/>
        </w:rPr>
        <w:t>十一、维修责任人</w:t>
      </w:r>
      <w:bookmarkEnd w:id="305"/>
      <w:bookmarkEnd w:id="306"/>
    </w:p>
    <w:p w14:paraId="4034A8FA">
      <w:pPr>
        <w:widowControl w:val="0"/>
        <w:adjustRightInd w:val="0"/>
        <w:snapToGrid w:val="0"/>
        <w:ind w:firstLine="560"/>
        <w:rPr>
          <w:rFonts w:hint="eastAsia" w:ascii="Times New Roman" w:hAnsi="Times New Roman" w:eastAsia="宋体" w:cs="Times New Roman"/>
          <w:sz w:val="28"/>
          <w:szCs w:val="28"/>
          <w:lang w:val="en-US" w:eastAsia="zh-CN"/>
        </w:rPr>
      </w:pPr>
      <w:r>
        <w:rPr>
          <w:rFonts w:ascii="Times New Roman" w:hAnsi="Times New Roman" w:eastAsia="宋体" w:cs="Times New Roman"/>
          <w:sz w:val="28"/>
          <w:szCs w:val="28"/>
        </w:rPr>
        <w:t>乙方保修负责人：</w:t>
      </w:r>
    </w:p>
    <w:p w14:paraId="6F445091">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通讯地址：</w:t>
      </w:r>
    </w:p>
    <w:p w14:paraId="1202E557">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电话/手机：</w:t>
      </w:r>
    </w:p>
    <w:p w14:paraId="0F584680">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传     真：</w:t>
      </w:r>
    </w:p>
    <w:p w14:paraId="26A5E830">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以上内容若有变动需及时书面知会</w:t>
      </w:r>
      <w:r>
        <w:rPr>
          <w:rFonts w:hint="eastAsia" w:ascii="Times New Roman" w:hAnsi="Times New Roman" w:eastAsia="宋体" w:cs="Times New Roman"/>
          <w:sz w:val="28"/>
          <w:szCs w:val="28"/>
          <w:lang w:eastAsia="zh-CN"/>
        </w:rPr>
        <w:t>甲方代表</w:t>
      </w:r>
      <w:r>
        <w:rPr>
          <w:rFonts w:ascii="Times New Roman" w:hAnsi="Times New Roman" w:eastAsia="宋体" w:cs="Times New Roman"/>
          <w:sz w:val="28"/>
          <w:szCs w:val="28"/>
        </w:rPr>
        <w:t>，否则无法联系时，视为乙方已收到甲方传达之信息。</w:t>
      </w:r>
    </w:p>
    <w:p w14:paraId="030DBC55">
      <w:pPr>
        <w:widowControl w:val="0"/>
        <w:adjustRightInd w:val="0"/>
        <w:snapToGrid w:val="0"/>
        <w:ind w:firstLine="560"/>
        <w:rPr>
          <w:rFonts w:ascii="Times New Roman" w:hAnsi="Times New Roman" w:eastAsia="宋体" w:cs="Times New Roman"/>
          <w:sz w:val="28"/>
          <w:szCs w:val="28"/>
        </w:rPr>
      </w:pPr>
      <w:r>
        <w:rPr>
          <w:rFonts w:ascii="Times New Roman" w:hAnsi="Times New Roman" w:eastAsia="宋体" w:cs="Times New Roman"/>
          <w:sz w:val="28"/>
          <w:szCs w:val="28"/>
        </w:rPr>
        <w:t>（以下无正文）</w:t>
      </w:r>
    </w:p>
    <w:p w14:paraId="42FA514F">
      <w:pPr>
        <w:widowControl w:val="0"/>
        <w:ind w:firstLine="480"/>
        <w:rPr>
          <w:rFonts w:ascii="Times New Roman" w:hAnsi="Times New Roman" w:eastAsia="宋体" w:cs="Times New Roman"/>
          <w:bCs/>
          <w:sz w:val="24"/>
        </w:rPr>
      </w:pPr>
      <w:r>
        <w:rPr>
          <w:rFonts w:ascii="Times New Roman" w:hAnsi="Times New Roman" w:eastAsia="宋体" w:cs="Times New Roman"/>
          <w:bCs/>
          <w:sz w:val="24"/>
        </w:rPr>
        <w:br w:type="page"/>
      </w:r>
    </w:p>
    <w:p w14:paraId="1B54D71C">
      <w:pPr>
        <w:widowControl w:val="0"/>
        <w:spacing w:line="240" w:lineRule="auto"/>
        <w:ind w:firstLine="0" w:firstLineChars="0"/>
        <w:jc w:val="left"/>
        <w:outlineLvl w:val="1"/>
        <w:rPr>
          <w:rFonts w:ascii="Times New Roman" w:hAnsi="Times New Roman" w:eastAsia="宋体" w:cs="Times New Roman"/>
          <w:b/>
          <w:kern w:val="0"/>
          <w:sz w:val="32"/>
          <w:szCs w:val="32"/>
        </w:rPr>
      </w:pPr>
      <w:bookmarkStart w:id="307" w:name="_Toc522810513"/>
      <w:bookmarkStart w:id="308" w:name="_Toc533844334"/>
      <w:r>
        <w:rPr>
          <w:rFonts w:ascii="Times New Roman" w:hAnsi="Times New Roman" w:eastAsia="宋体" w:cs="Times New Roman"/>
          <w:b/>
          <w:kern w:val="0"/>
          <w:sz w:val="32"/>
          <w:szCs w:val="32"/>
        </w:rPr>
        <w:t>合同附件一：</w:t>
      </w:r>
      <w:bookmarkEnd w:id="307"/>
      <w:bookmarkEnd w:id="308"/>
      <w:r>
        <w:rPr>
          <w:rFonts w:ascii="Times New Roman" w:hAnsi="Times New Roman" w:eastAsia="宋体" w:cs="Times New Roman"/>
          <w:b/>
          <w:kern w:val="0"/>
          <w:sz w:val="32"/>
          <w:szCs w:val="32"/>
        </w:rPr>
        <w:t>项目开发建设廉洁协议书</w:t>
      </w:r>
    </w:p>
    <w:p w14:paraId="52C3E4AA">
      <w:pPr>
        <w:widowControl w:val="0"/>
        <w:spacing w:line="500" w:lineRule="exact"/>
        <w:ind w:firstLine="0" w:firstLineChars="0"/>
        <w:jc w:val="center"/>
        <w:rPr>
          <w:rFonts w:ascii="Times New Roman" w:hAnsi="Times New Roman" w:eastAsia="宋体" w:cs="Times New Roman"/>
          <w:b/>
          <w:kern w:val="0"/>
          <w:sz w:val="32"/>
          <w:szCs w:val="32"/>
        </w:rPr>
      </w:pPr>
    </w:p>
    <w:p w14:paraId="0CDB5417">
      <w:pPr>
        <w:widowControl w:val="0"/>
        <w:spacing w:line="500" w:lineRule="exact"/>
        <w:ind w:firstLine="0" w:firstLineChars="0"/>
        <w:jc w:val="center"/>
        <w:rPr>
          <w:rFonts w:ascii="Times New Roman" w:hAnsi="Times New Roman" w:eastAsia="宋体" w:cs="Times New Roman"/>
          <w:b/>
          <w:kern w:val="0"/>
          <w:sz w:val="32"/>
          <w:szCs w:val="32"/>
        </w:rPr>
      </w:pPr>
    </w:p>
    <w:p w14:paraId="3241D4C1">
      <w:pPr>
        <w:widowControl w:val="0"/>
        <w:spacing w:line="500" w:lineRule="exact"/>
        <w:ind w:firstLine="0" w:firstLineChars="0"/>
        <w:jc w:val="center"/>
        <w:rPr>
          <w:rFonts w:ascii="Times New Roman" w:hAnsi="Times New Roman" w:eastAsia="宋体" w:cs="Times New Roman"/>
          <w:b/>
          <w:kern w:val="0"/>
          <w:sz w:val="32"/>
          <w:szCs w:val="32"/>
        </w:rPr>
      </w:pPr>
      <w:r>
        <w:rPr>
          <w:rFonts w:ascii="Times New Roman" w:hAnsi="Times New Roman" w:eastAsia="宋体" w:cs="Times New Roman"/>
          <w:b/>
          <w:kern w:val="0"/>
          <w:sz w:val="32"/>
          <w:szCs w:val="32"/>
        </w:rPr>
        <w:t>项目开发建设廉洁协议书</w:t>
      </w:r>
    </w:p>
    <w:p w14:paraId="79420706">
      <w:pPr>
        <w:widowControl w:val="0"/>
        <w:spacing w:line="500" w:lineRule="exact"/>
        <w:ind w:firstLine="0" w:firstLineChars="0"/>
        <w:jc w:val="center"/>
        <w:rPr>
          <w:rFonts w:ascii="Times New Roman" w:hAnsi="Times New Roman" w:eastAsia="宋体" w:cs="Times New Roman"/>
          <w:b/>
          <w:kern w:val="0"/>
          <w:sz w:val="32"/>
          <w:szCs w:val="32"/>
        </w:rPr>
      </w:pPr>
    </w:p>
    <w:p w14:paraId="672345A8">
      <w:pPr>
        <w:widowControl w:val="0"/>
        <w:spacing w:line="500" w:lineRule="exact"/>
        <w:ind w:firstLine="0" w:firstLineChars="0"/>
        <w:jc w:val="center"/>
        <w:rPr>
          <w:rFonts w:ascii="Times New Roman" w:hAnsi="Times New Roman" w:eastAsia="宋体" w:cs="Times New Roman"/>
          <w:b/>
          <w:kern w:val="0"/>
          <w:sz w:val="32"/>
          <w:szCs w:val="32"/>
        </w:rPr>
      </w:pPr>
    </w:p>
    <w:p w14:paraId="0CC9684A">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委托人(全称)：</w:t>
      </w:r>
      <w:r>
        <w:rPr>
          <w:rFonts w:hint="eastAsia" w:ascii="宋体" w:hAnsi="宋体" w:eastAsia="宋体" w:cs="宋体"/>
          <w:sz w:val="28"/>
          <w:szCs w:val="28"/>
          <w:u w:val="single"/>
        </w:rPr>
        <w:t>深圳市高新健置业开发有限公司</w:t>
      </w:r>
    </w:p>
    <w:p w14:paraId="4B356114">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default" w:ascii="宋体" w:hAnsi="宋体" w:eastAsia="宋体" w:cs="宋体"/>
          <w:sz w:val="28"/>
          <w:szCs w:val="28"/>
          <w:u w:val="single"/>
          <w:lang w:val="en-US" w:eastAsia="zh-CN"/>
        </w:rPr>
      </w:pPr>
      <w:r>
        <w:rPr>
          <w:rFonts w:hint="eastAsia" w:ascii="宋体" w:hAnsi="宋体" w:eastAsia="宋体" w:cs="宋体"/>
          <w:b/>
          <w:bCs/>
          <w:sz w:val="28"/>
          <w:szCs w:val="28"/>
        </w:rPr>
        <w:t>承包人(全称)：</w:t>
      </w:r>
      <w:r>
        <w:rPr>
          <w:rFonts w:hint="eastAsia" w:ascii="宋体" w:hAnsi="宋体" w:eastAsia="宋体" w:cs="宋体"/>
          <w:sz w:val="28"/>
          <w:szCs w:val="28"/>
          <w:u w:val="single"/>
          <w:lang w:val="en-US" w:eastAsia="zh-CN"/>
        </w:rPr>
        <w:t xml:space="preserve">                            </w:t>
      </w:r>
    </w:p>
    <w:p w14:paraId="72B83C0A">
      <w:pPr>
        <w:keepNext w:val="0"/>
        <w:keepLines w:val="0"/>
        <w:pageBreakBefore w:val="0"/>
        <w:widowControl w:val="0"/>
        <w:tabs>
          <w:tab w:val="left" w:pos="360"/>
          <w:tab w:val="left" w:pos="540"/>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p>
    <w:p w14:paraId="5AEED24F">
      <w:pPr>
        <w:keepNext w:val="0"/>
        <w:keepLines w:val="0"/>
        <w:pageBreakBefore w:val="0"/>
        <w:widowControl w:val="0"/>
        <w:tabs>
          <w:tab w:val="left" w:pos="360"/>
          <w:tab w:val="left" w:pos="540"/>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为加强廉洁建设，规范双方的活动，防止发生各种谋取不正当利益的违法违纪行为，保护双方的合法权益，保证国有资产的安全和有效使用，根据国家有关规定和廉洁从业的各项要求，双方签订本廉洁协议。</w:t>
      </w:r>
    </w:p>
    <w:p w14:paraId="44566F7F">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第一条</w:t>
      </w:r>
      <w:r>
        <w:rPr>
          <w:rFonts w:hint="eastAsia" w:ascii="宋体" w:hAnsi="宋体" w:eastAsia="宋体" w:cs="宋体"/>
          <w:sz w:val="28"/>
          <w:szCs w:val="28"/>
        </w:rPr>
        <w:t xml:space="preserve"> 双方的权利和责任</w:t>
      </w:r>
    </w:p>
    <w:p w14:paraId="509043F3">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w:t>
      </w:r>
      <w:r>
        <w:rPr>
          <w:rFonts w:hint="eastAsia" w:ascii="宋体" w:hAnsi="宋体" w:eastAsia="宋体" w:cs="宋体"/>
          <w:sz w:val="28"/>
          <w:szCs w:val="28"/>
        </w:rPr>
        <w:t>严格遵守国家法律法规、廉洁从业规定以及相关行业规定。</w:t>
      </w:r>
    </w:p>
    <w:p w14:paraId="56D6043A">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严格执行一切合同文件及本协议条款，自觉履行权利和责任。</w:t>
      </w:r>
    </w:p>
    <w:p w14:paraId="5676BC5A">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双方的业务活动坚持公平、公开、公正和诚信的原则（法律法规另有规定除外），不得损害国家、集体和对方利益，不得违反项目开发建设管理的有关规章制度。</w:t>
      </w:r>
    </w:p>
    <w:p w14:paraId="6F2CB43E">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（四）</w:t>
      </w:r>
      <w:r>
        <w:rPr>
          <w:rFonts w:hint="eastAsia" w:ascii="宋体" w:hAnsi="宋体" w:eastAsia="宋体" w:cs="宋体"/>
          <w:sz w:val="28"/>
          <w:szCs w:val="28"/>
        </w:rPr>
        <w:t>建立健全廉洁制度，开展廉洁教育，公布监督部门和电话，监督并认真查处违纪违法行为。</w:t>
      </w:r>
    </w:p>
    <w:p w14:paraId="7B599CB2">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（五）</w:t>
      </w:r>
      <w:r>
        <w:rPr>
          <w:rFonts w:hint="eastAsia" w:ascii="宋体" w:hAnsi="宋体" w:eastAsia="宋体" w:cs="宋体"/>
          <w:sz w:val="28"/>
          <w:szCs w:val="28"/>
        </w:rPr>
        <w:t>发现对方在业务活动中有违反本协议的行为倾向，有权利和义务及时给予提醒和纠正。</w:t>
      </w:r>
    </w:p>
    <w:p w14:paraId="2C8D85CA">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w:t>
      </w:r>
      <w:r>
        <w:rPr>
          <w:rFonts w:hint="eastAsia" w:ascii="宋体" w:hAnsi="宋体" w:eastAsia="宋体" w:cs="宋体"/>
          <w:sz w:val="28"/>
          <w:szCs w:val="28"/>
        </w:rPr>
        <w:t>发现对方有违反本协议的行为，应及时向指定的监督部门举报控告，也有权向纪检监察或司法机关举报控告。</w:t>
      </w:r>
    </w:p>
    <w:p w14:paraId="1366D74F">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（七）</w:t>
      </w:r>
      <w:r>
        <w:rPr>
          <w:rFonts w:hint="eastAsia" w:ascii="宋体" w:hAnsi="宋体" w:eastAsia="宋体" w:cs="宋体"/>
          <w:sz w:val="28"/>
          <w:szCs w:val="28"/>
        </w:rPr>
        <w:t>双方应互相配合，积极开展廉洁教育、学习和宣传活动，有配合对方履行本协议的责任。</w:t>
      </w:r>
    </w:p>
    <w:p w14:paraId="05D7E7FE">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（八）</w:t>
      </w:r>
      <w:r>
        <w:rPr>
          <w:rFonts w:hint="eastAsia" w:ascii="宋体" w:hAnsi="宋体" w:eastAsia="宋体" w:cs="宋体"/>
          <w:sz w:val="28"/>
          <w:szCs w:val="28"/>
        </w:rPr>
        <w:t>一方有不履行或不完全履行廉洁宣传教育责任的，另一方有权利和责任要求对方履行和督促改进。</w:t>
      </w:r>
    </w:p>
    <w:p w14:paraId="16E61239">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第二条</w:t>
      </w:r>
      <w:r>
        <w:rPr>
          <w:rFonts w:hint="eastAsia" w:ascii="宋体" w:hAnsi="宋体" w:eastAsia="宋体" w:cs="宋体"/>
          <w:sz w:val="28"/>
          <w:szCs w:val="28"/>
        </w:rPr>
        <w:t xml:space="preserve"> 委托人的责任</w:t>
      </w:r>
    </w:p>
    <w:p w14:paraId="76659952">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（一）</w:t>
      </w:r>
      <w:r>
        <w:rPr>
          <w:rFonts w:hint="eastAsia" w:ascii="宋体" w:hAnsi="宋体" w:eastAsia="宋体" w:cs="宋体"/>
          <w:sz w:val="28"/>
          <w:szCs w:val="28"/>
        </w:rPr>
        <w:t>委托人作为项目的建设单位，全面负责项目开发建设的进度、质量和资金管理，认真履行合同规定的委托人责任。</w:t>
      </w:r>
    </w:p>
    <w:p w14:paraId="05EF745D">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委托人人员不得违反规定变更规划设计、材料设备供应或改变项目开发建设的投资规模、变更工程量等；不得违反规定与项目承担单位商谈项目施工、资金拨付、工程验收、工程质量处理、工程决算等事项，也不得违反规定干预、决定。</w:t>
      </w:r>
    </w:p>
    <w:p w14:paraId="3CB4FF39">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（三）</w:t>
      </w:r>
      <w:r>
        <w:rPr>
          <w:rFonts w:hint="eastAsia" w:ascii="宋体" w:hAnsi="宋体" w:eastAsia="宋体" w:cs="宋体"/>
          <w:sz w:val="28"/>
          <w:szCs w:val="28"/>
        </w:rPr>
        <w:t>委托人人员不得要求项目承担单位购买合同约定以外的商品、物品、设备和服务等。</w:t>
      </w:r>
    </w:p>
    <w:p w14:paraId="093F715F">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（四）</w:t>
      </w:r>
      <w:r>
        <w:rPr>
          <w:rFonts w:hint="eastAsia" w:ascii="宋体" w:hAnsi="宋体" w:eastAsia="宋体" w:cs="宋体"/>
          <w:sz w:val="28"/>
          <w:szCs w:val="28"/>
        </w:rPr>
        <w:t>委托人人员不得索要、接受项目承担单位违反法规赠送的现金、有价证券、支付凭证或股份等各种财物；不得索要、接受项目承担单位违反法规提供的通讯工具、交通工具、高档办公用品。</w:t>
      </w:r>
    </w:p>
    <w:p w14:paraId="64EDC5A8">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（五）</w:t>
      </w:r>
      <w:r>
        <w:rPr>
          <w:rFonts w:hint="eastAsia" w:ascii="宋体" w:hAnsi="宋体" w:eastAsia="宋体" w:cs="宋体"/>
          <w:sz w:val="28"/>
          <w:szCs w:val="28"/>
        </w:rPr>
        <w:t>委托人人员不得索要、接受承包人对个人或配偶子女等亲属亲友的馈赠、赞助、费用报销、装修、旅游、疗养、健身以及各种高消费娱乐等活动。</w:t>
      </w:r>
    </w:p>
    <w:p w14:paraId="27DAAFA3">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w:t>
      </w:r>
      <w:r>
        <w:rPr>
          <w:rFonts w:hint="eastAsia" w:ascii="宋体" w:hAnsi="宋体" w:eastAsia="宋体" w:cs="宋体"/>
          <w:sz w:val="28"/>
          <w:szCs w:val="28"/>
        </w:rPr>
        <w:t>委托人人员不得索要、接受项目承担单位为本人配偶子女等亲属亲友提供工作的安排、照顾和便利等；本人及配偶子女等亲属亲友不得从事与项目承担单位有关的工程材料设备供应、工程分包与施工、劳务等经济活动。</w:t>
      </w:r>
    </w:p>
    <w:p w14:paraId="336DAB00">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第三条</w:t>
      </w:r>
      <w:r>
        <w:rPr>
          <w:rFonts w:hint="eastAsia" w:ascii="宋体" w:hAnsi="宋体" w:eastAsia="宋体" w:cs="宋体"/>
          <w:sz w:val="28"/>
          <w:szCs w:val="28"/>
        </w:rPr>
        <w:t xml:space="preserve"> 承包人的责任</w:t>
      </w:r>
    </w:p>
    <w:p w14:paraId="0DF68E80">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bCs/>
          <w:sz w:val="28"/>
          <w:szCs w:val="28"/>
        </w:rPr>
      </w:pPr>
      <w:r>
        <w:rPr>
          <w:rFonts w:hint="eastAsia" w:ascii="宋体" w:hAnsi="宋体" w:eastAsia="宋体" w:cs="宋体"/>
          <w:b/>
          <w:bCs/>
          <w:sz w:val="28"/>
          <w:szCs w:val="28"/>
        </w:rPr>
        <w:t>（一）</w:t>
      </w:r>
      <w:r>
        <w:rPr>
          <w:rFonts w:hint="eastAsia" w:ascii="宋体" w:hAnsi="宋体" w:eastAsia="宋体" w:cs="宋体"/>
          <w:bCs/>
          <w:sz w:val="28"/>
          <w:szCs w:val="28"/>
        </w:rPr>
        <w:t>承包人作为项目的施工责任主体，严格执行工程建设法律、法规和强制性标准与规范，依照合同负责承担</w:t>
      </w:r>
      <w:r>
        <w:rPr>
          <w:rFonts w:hint="eastAsia" w:ascii="宋体" w:hAnsi="宋体" w:eastAsia="宋体" w:cs="宋体"/>
          <w:sz w:val="28"/>
          <w:szCs w:val="28"/>
        </w:rPr>
        <w:t>项目开发建设</w:t>
      </w:r>
      <w:r>
        <w:rPr>
          <w:rFonts w:hint="eastAsia" w:ascii="宋体" w:hAnsi="宋体" w:eastAsia="宋体" w:cs="宋体"/>
          <w:bCs/>
          <w:sz w:val="28"/>
          <w:szCs w:val="28"/>
        </w:rPr>
        <w:t>工程的进度、质量、资金控制。</w:t>
      </w:r>
    </w:p>
    <w:p w14:paraId="4AA26EC2">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（二）</w:t>
      </w:r>
      <w:r>
        <w:rPr>
          <w:rFonts w:hint="eastAsia" w:ascii="宋体" w:hAnsi="宋体" w:eastAsia="宋体" w:cs="宋体"/>
          <w:sz w:val="28"/>
          <w:szCs w:val="28"/>
        </w:rPr>
        <w:t>承包人不得违反规定变更规划设计、材料设备供应或改变项目开发建设的投资规模、变更工程量等；不得违反规定与建设单位商谈项目施工、资金拨付、工程验收、工程质量处理、工程决算等事项，也不得违反规定干预、决定。</w:t>
      </w:r>
    </w:p>
    <w:p w14:paraId="64B1EC52">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w:t>
      </w:r>
      <w:r>
        <w:rPr>
          <w:rFonts w:hint="eastAsia" w:ascii="宋体" w:hAnsi="宋体" w:eastAsia="宋体" w:cs="宋体"/>
          <w:sz w:val="28"/>
          <w:szCs w:val="28"/>
        </w:rPr>
        <w:t>承包人不得接受建设单位要求购买合同约定以外的商品、物品、设备和服务等要求。</w:t>
      </w:r>
    </w:p>
    <w:p w14:paraId="4A830ADD">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（四）</w:t>
      </w:r>
      <w:r>
        <w:rPr>
          <w:rFonts w:hint="eastAsia" w:ascii="宋体" w:hAnsi="宋体" w:eastAsia="宋体" w:cs="宋体"/>
          <w:sz w:val="28"/>
          <w:szCs w:val="28"/>
        </w:rPr>
        <w:t>承包人不得以任何理由违反法规向委托人人员赠送现金、有价证券、支付凭证或股份等各种财物；不得违反法规向委托人人员提供通讯工具、交通工具、高档办公用品等。</w:t>
      </w:r>
    </w:p>
    <w:p w14:paraId="2D142370">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（五）</w:t>
      </w:r>
      <w:r>
        <w:rPr>
          <w:rFonts w:hint="eastAsia" w:ascii="宋体" w:hAnsi="宋体" w:eastAsia="宋体" w:cs="宋体"/>
          <w:sz w:val="28"/>
          <w:szCs w:val="28"/>
        </w:rPr>
        <w:t>承包人不得对委托人人员个人或其配偶子女等亲属亲友提供馈赠、赞助、费用报销、装修、旅游、疗养、健身以及各种高消费娱乐等活动。</w:t>
      </w:r>
    </w:p>
    <w:p w14:paraId="0CEE778A">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（六）</w:t>
      </w:r>
      <w:r>
        <w:rPr>
          <w:rFonts w:hint="eastAsia" w:ascii="宋体" w:hAnsi="宋体" w:eastAsia="宋体" w:cs="宋体"/>
          <w:sz w:val="28"/>
          <w:szCs w:val="28"/>
        </w:rPr>
        <w:t>承包人不得为委托人人员个人的配偶子女等亲属亲友提供工作的安排、照顾和便利等；不得接受委托人人员个人及配偶子女等亲属亲友从事与项目承担单位有关的工程材料设备供应、工程分包与施工、劳务等经济活动的要求。</w:t>
      </w:r>
    </w:p>
    <w:p w14:paraId="2F1AE623">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第四条</w:t>
      </w:r>
      <w:r>
        <w:rPr>
          <w:rFonts w:hint="eastAsia" w:ascii="宋体" w:hAnsi="宋体" w:eastAsia="宋体" w:cs="宋体"/>
          <w:sz w:val="28"/>
          <w:szCs w:val="28"/>
        </w:rPr>
        <w:t xml:space="preserve"> 违约责任</w:t>
      </w:r>
    </w:p>
    <w:p w14:paraId="0C216089">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一）委托人人员违反本协议第一条和第二条规定的，由委托人按照管理权限，依据有关法律和规定给予党纪、政纪处分或组织处理，涉嫌犯罪的，移交司法机关追究刑事责任；给承包人造成经济损失的，应予赔偿。</w:t>
      </w:r>
    </w:p>
    <w:p w14:paraId="29E7F6F6">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二）承包人人员违反本协议第一条和第三条规定的，由承包人按照管理权限，依据有关法律和规定给予党纪、政纪处分或组织处理，涉嫌犯罪的，移交司法机关追究刑事责任；给委托人造成经济损失的，应予赔偿。</w:t>
      </w:r>
    </w:p>
    <w:p w14:paraId="28109963">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第五条</w:t>
      </w:r>
      <w:r>
        <w:rPr>
          <w:rFonts w:hint="eastAsia" w:ascii="宋体" w:hAnsi="宋体" w:eastAsia="宋体" w:cs="宋体"/>
          <w:sz w:val="28"/>
          <w:szCs w:val="28"/>
        </w:rPr>
        <w:t xml:space="preserve"> 监督与联络</w:t>
      </w:r>
    </w:p>
    <w:p w14:paraId="398F3D37">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bCs/>
          <w:sz w:val="28"/>
          <w:szCs w:val="28"/>
        </w:rPr>
        <w:t>互相监督，发现重大违规违纪现象时，可向双方纪检监察部门举报</w:t>
      </w:r>
      <w:r>
        <w:rPr>
          <w:rFonts w:hint="eastAsia" w:ascii="宋体" w:hAnsi="宋体" w:eastAsia="宋体" w:cs="宋体"/>
          <w:sz w:val="28"/>
          <w:szCs w:val="28"/>
        </w:rPr>
        <w:t>。</w:t>
      </w:r>
    </w:p>
    <w:p w14:paraId="020A1E61">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 xml:space="preserve">第六条 </w:t>
      </w:r>
      <w:r>
        <w:rPr>
          <w:rFonts w:hint="eastAsia" w:ascii="宋体" w:hAnsi="宋体" w:eastAsia="宋体" w:cs="宋体"/>
          <w:sz w:val="28"/>
          <w:szCs w:val="28"/>
        </w:rPr>
        <w:t>本协议书作为项目开发建设工程合同的附件，在双方签署工程合同的同时签署本协议，经双方签署后生效，有效时间以双方签订的工程施工合同的有效期限为准。</w:t>
      </w:r>
    </w:p>
    <w:p w14:paraId="02B2F495">
      <w:pPr>
        <w:keepNext w:val="0"/>
        <w:keepLines w:val="0"/>
        <w:pageBreakBefore w:val="0"/>
        <w:widowControl w:val="0"/>
        <w:kinsoku/>
        <w:wordWrap/>
        <w:overflowPunct/>
        <w:topLinePunct w:val="0"/>
        <w:autoSpaceDE/>
        <w:autoSpaceDN/>
        <w:bidi w:val="0"/>
        <w:adjustRightInd w:val="0"/>
        <w:snapToGrid/>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 xml:space="preserve">第七条 </w:t>
      </w:r>
      <w:r>
        <w:rPr>
          <w:rFonts w:hint="eastAsia" w:ascii="宋体" w:hAnsi="宋体" w:eastAsia="宋体" w:cs="宋体"/>
          <w:sz w:val="28"/>
          <w:szCs w:val="28"/>
        </w:rPr>
        <w:t>协议份数</w:t>
      </w:r>
    </w:p>
    <w:p w14:paraId="56DDAA50">
      <w:pPr>
        <w:keepNext w:val="0"/>
        <w:keepLines w:val="0"/>
        <w:pageBreakBefore w:val="0"/>
        <w:widowControl w:val="0"/>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本协议一式</w:t>
      </w:r>
      <w:r>
        <w:rPr>
          <w:rFonts w:hint="eastAsia" w:ascii="宋体" w:hAnsi="宋体" w:eastAsia="宋体" w:cs="宋体"/>
          <w:sz w:val="28"/>
          <w:szCs w:val="28"/>
          <w:u w:val="single"/>
        </w:rPr>
        <w:t>陆</w:t>
      </w:r>
      <w:r>
        <w:rPr>
          <w:rFonts w:hint="eastAsia" w:ascii="宋体" w:hAnsi="宋体" w:eastAsia="宋体" w:cs="宋体"/>
          <w:sz w:val="28"/>
          <w:szCs w:val="28"/>
        </w:rPr>
        <w:t>份，委托人执</w:t>
      </w:r>
      <w:r>
        <w:rPr>
          <w:rFonts w:hint="eastAsia" w:ascii="宋体" w:hAnsi="宋体" w:eastAsia="宋体" w:cs="宋体"/>
          <w:sz w:val="28"/>
          <w:szCs w:val="28"/>
          <w:u w:val="single"/>
        </w:rPr>
        <w:t xml:space="preserve"> 肆 </w:t>
      </w:r>
      <w:r>
        <w:rPr>
          <w:rFonts w:hint="eastAsia" w:ascii="宋体" w:hAnsi="宋体" w:eastAsia="宋体" w:cs="宋体"/>
          <w:sz w:val="28"/>
          <w:szCs w:val="28"/>
        </w:rPr>
        <w:t>份，承包人执</w:t>
      </w:r>
      <w:r>
        <w:rPr>
          <w:rFonts w:hint="eastAsia" w:ascii="宋体" w:hAnsi="宋体" w:eastAsia="宋体" w:cs="宋体"/>
          <w:sz w:val="28"/>
          <w:szCs w:val="28"/>
          <w:u w:val="single"/>
        </w:rPr>
        <w:t xml:space="preserve"> 贰 </w:t>
      </w:r>
      <w:r>
        <w:rPr>
          <w:rFonts w:hint="eastAsia" w:ascii="宋体" w:hAnsi="宋体" w:eastAsia="宋体" w:cs="宋体"/>
          <w:sz w:val="28"/>
          <w:szCs w:val="28"/>
        </w:rPr>
        <w:t>份（其中双方监督部门各留存一份），具有同等效力。</w:t>
      </w:r>
    </w:p>
    <w:p w14:paraId="235CEC05">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p>
    <w:p w14:paraId="3D8F78B6">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委托人（公章）：深圳市高新健置业开发有限公司         </w:t>
      </w:r>
    </w:p>
    <w:p w14:paraId="223E7275">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法定代表人或委托代理人（签字）：</w:t>
      </w:r>
    </w:p>
    <w:p w14:paraId="1A7FBB27">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签订日期：</w:t>
      </w:r>
      <w:r>
        <w:rPr>
          <w:rFonts w:hint="eastAsia" w:ascii="宋体" w:hAnsi="宋体" w:eastAsia="宋体" w:cs="宋体"/>
          <w:sz w:val="28"/>
          <w:szCs w:val="28"/>
          <w:lang w:val="en-US" w:eastAsia="zh-CN"/>
        </w:rPr>
        <w:t xml:space="preserve">2026年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5B2DAB91">
      <w:pPr>
        <w:keepNext w:val="0"/>
        <w:keepLines w:val="0"/>
        <w:pageBreakBefore w:val="0"/>
        <w:widowControl/>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p>
    <w:p w14:paraId="240ACB74">
      <w:pPr>
        <w:keepNext w:val="0"/>
        <w:keepLines w:val="0"/>
        <w:pageBreakBefore w:val="0"/>
        <w:widowControl/>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p>
    <w:p w14:paraId="45A4F898">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承包人（公章）： </w:t>
      </w:r>
    </w:p>
    <w:p w14:paraId="39BE7DD2">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法定代表人或委托代理人（签字）：</w:t>
      </w:r>
    </w:p>
    <w:p w14:paraId="490C6C07">
      <w:pPr>
        <w:keepNext w:val="0"/>
        <w:keepLines w:val="0"/>
        <w:pageBreakBefore w:val="0"/>
        <w:widowControl/>
        <w:tabs>
          <w:tab w:val="left" w:pos="3969"/>
        </w:tabs>
        <w:kinsoku/>
        <w:wordWrap/>
        <w:overflowPunct/>
        <w:topLinePunct w:val="0"/>
        <w:autoSpaceDE/>
        <w:autoSpaceDN/>
        <w:bidi w:val="0"/>
        <w:adjustRightInd w:val="0"/>
        <w:snapToGrid/>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签订日期：</w:t>
      </w:r>
      <w:r>
        <w:rPr>
          <w:rFonts w:hint="eastAsia" w:ascii="宋体" w:hAnsi="宋体" w:eastAsia="宋体" w:cs="宋体"/>
          <w:sz w:val="28"/>
          <w:szCs w:val="28"/>
          <w:lang w:val="en-US" w:eastAsia="zh-CN"/>
        </w:rPr>
        <w:t xml:space="preserve">2026年    </w:t>
      </w:r>
      <w:r>
        <w:rPr>
          <w:rFonts w:hint="eastAsia" w:ascii="宋体" w:hAnsi="宋体" w:eastAsia="宋体" w:cs="宋体"/>
          <w:sz w:val="28"/>
          <w:szCs w:val="28"/>
        </w:rPr>
        <w:t>月</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p>
    <w:p w14:paraId="34F3905E">
      <w:pPr>
        <w:widowControl w:val="0"/>
        <w:ind w:firstLine="0" w:firstLineChars="0"/>
        <w:outlineLvl w:val="1"/>
        <w:rPr>
          <w:rFonts w:ascii="Times New Roman" w:hAnsi="Times New Roman" w:eastAsia="宋体" w:cs="Times New Roman"/>
          <w:b/>
          <w:kern w:val="0"/>
          <w:sz w:val="32"/>
          <w:szCs w:val="32"/>
        </w:rPr>
      </w:pPr>
      <w:r>
        <w:rPr>
          <w:rFonts w:ascii="Times New Roman" w:hAnsi="Times New Roman" w:eastAsia="宋体" w:cs="Times New Roman"/>
          <w:sz w:val="21"/>
          <w:szCs w:val="20"/>
        </w:rPr>
        <w:br w:type="page"/>
      </w:r>
      <w:bookmarkStart w:id="309" w:name="_Toc20772"/>
      <w:bookmarkStart w:id="310" w:name="_Toc245"/>
      <w:r>
        <w:rPr>
          <w:rFonts w:ascii="Times New Roman" w:hAnsi="Times New Roman" w:eastAsia="宋体" w:cs="Times New Roman"/>
          <w:b/>
          <w:kern w:val="0"/>
          <w:sz w:val="32"/>
          <w:szCs w:val="32"/>
        </w:rPr>
        <w:t>合同附件二：</w:t>
      </w:r>
      <w:bookmarkEnd w:id="309"/>
      <w:bookmarkEnd w:id="310"/>
      <w:r>
        <w:rPr>
          <w:rFonts w:hint="eastAsia" w:ascii="Times New Roman" w:hAnsi="Times New Roman" w:eastAsia="宋体" w:cs="Times New Roman"/>
          <w:b/>
          <w:kern w:val="0"/>
          <w:sz w:val="32"/>
          <w:szCs w:val="32"/>
        </w:rPr>
        <w:t>材料/设备质量保修协议书</w:t>
      </w:r>
    </w:p>
    <w:p w14:paraId="02918714">
      <w:pPr>
        <w:widowControl w:val="0"/>
        <w:spacing w:line="240" w:lineRule="auto"/>
        <w:ind w:firstLine="0" w:firstLineChars="0"/>
        <w:jc w:val="center"/>
        <w:outlineLvl w:val="9"/>
        <w:rPr>
          <w:rFonts w:ascii="Times New Roman" w:hAnsi="Times New Roman" w:eastAsia="宋体" w:cs="Times New Roman"/>
          <w:b/>
          <w:kern w:val="0"/>
          <w:sz w:val="32"/>
          <w:szCs w:val="32"/>
        </w:rPr>
      </w:pPr>
    </w:p>
    <w:p w14:paraId="5D60839A">
      <w:pPr>
        <w:widowControl w:val="0"/>
        <w:spacing w:line="240" w:lineRule="auto"/>
        <w:ind w:firstLine="0" w:firstLineChars="0"/>
        <w:jc w:val="center"/>
        <w:outlineLvl w:val="9"/>
        <w:rPr>
          <w:rFonts w:ascii="Times New Roman" w:hAnsi="Times New Roman" w:eastAsia="宋体" w:cs="Times New Roman"/>
          <w:b/>
          <w:kern w:val="0"/>
          <w:sz w:val="32"/>
          <w:szCs w:val="32"/>
        </w:rPr>
      </w:pPr>
      <w:r>
        <w:rPr>
          <w:rFonts w:ascii="Times New Roman" w:hAnsi="Times New Roman" w:eastAsia="宋体" w:cs="Times New Roman"/>
          <w:b/>
          <w:kern w:val="0"/>
          <w:sz w:val="32"/>
          <w:szCs w:val="32"/>
        </w:rPr>
        <w:t>材料/设备质量保修协议书</w:t>
      </w:r>
    </w:p>
    <w:p w14:paraId="5D21AF71">
      <w:pPr>
        <w:widowControl w:val="0"/>
        <w:spacing w:line="240" w:lineRule="auto"/>
        <w:ind w:firstLine="0" w:firstLineChars="0"/>
        <w:jc w:val="center"/>
        <w:rPr>
          <w:rFonts w:ascii="Times New Roman" w:hAnsi="Times New Roman" w:eastAsia="宋体" w:cs="Times New Roman"/>
          <w:sz w:val="24"/>
          <w:szCs w:val="20"/>
        </w:rPr>
      </w:pPr>
    </w:p>
    <w:p w14:paraId="0C806983">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bCs/>
          <w:sz w:val="28"/>
          <w:szCs w:val="28"/>
        </w:rPr>
        <w:t>甲方（全称）</w:t>
      </w:r>
      <w:r>
        <w:rPr>
          <w:rFonts w:hint="eastAsia" w:ascii="宋体" w:hAnsi="宋体" w:eastAsia="宋体" w:cs="宋体"/>
          <w:sz w:val="28"/>
          <w:szCs w:val="28"/>
        </w:rPr>
        <w:t>：</w:t>
      </w:r>
      <w:r>
        <w:rPr>
          <w:rFonts w:hint="eastAsia" w:ascii="宋体" w:hAnsi="宋体" w:eastAsia="宋体" w:cs="宋体"/>
          <w:sz w:val="28"/>
          <w:szCs w:val="28"/>
          <w:u w:val="single"/>
        </w:rPr>
        <w:t>深圳市高新健置业开发有限公司</w:t>
      </w:r>
    </w:p>
    <w:p w14:paraId="2ADC4902">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sz w:val="28"/>
          <w:szCs w:val="28"/>
          <w:u w:val="single"/>
        </w:rPr>
      </w:pPr>
      <w:r>
        <w:rPr>
          <w:rFonts w:hint="eastAsia" w:ascii="宋体" w:hAnsi="宋体" w:eastAsia="宋体" w:cs="宋体"/>
          <w:b/>
          <w:bCs/>
          <w:sz w:val="28"/>
          <w:szCs w:val="28"/>
        </w:rPr>
        <w:t>乙方（全称）</w:t>
      </w:r>
      <w:r>
        <w:rPr>
          <w:rFonts w:hint="eastAsia" w:ascii="宋体" w:hAnsi="宋体" w:eastAsia="宋体" w:cs="宋体"/>
          <w:sz w:val="28"/>
          <w:szCs w:val="28"/>
        </w:rPr>
        <w:t>：</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6E615A81">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为保证材料/设备在合理使用期限内正常使用，甲乙双方协商一致签订材料/设备质量保修书。乙方按本保修书的约定承担材料/设备的质量保修、保养责任。</w:t>
      </w:r>
    </w:p>
    <w:p w14:paraId="29A6283D">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一、保修期限</w:t>
      </w:r>
    </w:p>
    <w:p w14:paraId="66ADD858">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不少于国家规定及本保修协议书约定的保修、保养时间，从</w:t>
      </w:r>
      <w:r>
        <w:rPr>
          <w:rFonts w:hint="eastAsia" w:ascii="宋体" w:hAnsi="宋体" w:eastAsia="宋体" w:cs="宋体"/>
          <w:b/>
          <w:bCs/>
          <w:sz w:val="28"/>
          <w:szCs w:val="28"/>
          <w:u w:val="single"/>
          <w:lang w:eastAsia="zh-CN"/>
        </w:rPr>
        <w:t>瑞云府项目架空层软装、儿童游乐设施、运动器械供货及安装</w:t>
      </w:r>
      <w:r>
        <w:rPr>
          <w:rFonts w:hint="eastAsia" w:ascii="宋体" w:hAnsi="宋体" w:eastAsia="宋体" w:cs="宋体"/>
          <w:b/>
          <w:bCs/>
          <w:sz w:val="28"/>
          <w:szCs w:val="28"/>
          <w:u w:val="single"/>
        </w:rPr>
        <w:t>验收合格</w:t>
      </w:r>
      <w:r>
        <w:rPr>
          <w:rFonts w:hint="eastAsia" w:ascii="宋体" w:hAnsi="宋体" w:eastAsia="宋体" w:cs="宋体"/>
          <w:sz w:val="28"/>
          <w:szCs w:val="28"/>
        </w:rPr>
        <w:t>之日起算，具体时间为</w:t>
      </w:r>
      <w:r>
        <w:rPr>
          <w:rFonts w:hint="eastAsia" w:ascii="宋体" w:hAnsi="宋体" w:eastAsia="宋体" w:cs="宋体"/>
          <w:b/>
          <w:bCs/>
          <w:sz w:val="28"/>
          <w:szCs w:val="28"/>
          <w:u w:val="single"/>
        </w:rPr>
        <w:t xml:space="preserve"> 贰 </w:t>
      </w:r>
      <w:r>
        <w:rPr>
          <w:rFonts w:hint="eastAsia" w:ascii="宋体" w:hAnsi="宋体" w:eastAsia="宋体" w:cs="宋体"/>
          <w:sz w:val="28"/>
          <w:szCs w:val="28"/>
        </w:rPr>
        <w:t>年。</w:t>
      </w:r>
    </w:p>
    <w:p w14:paraId="5BE0ECA2">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儿童游乐设施：设备主体钢结构框架、整体结构质保不少于5年；塑料构件、五金配件质保不少于3年；EPDM塑胶铺装面层质保不少于3年；其余整体质保2年。</w:t>
      </w:r>
    </w:p>
    <w:p w14:paraId="5C7DCDFA">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成人运动器械：设备主体钢结构框架、主受力结构质保不少于8年（对标国标安全使用年限）；整机设备、传动配件、橡塑配件质保不少于5年；整体工程质保不少于2年，所有质保标准高于国家最低规范要求。</w:t>
      </w:r>
    </w:p>
    <w:p w14:paraId="49F25E68">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sz w:val="28"/>
          <w:szCs w:val="28"/>
          <w:u w:val="single"/>
        </w:rPr>
      </w:pPr>
      <w:r>
        <w:rPr>
          <w:rFonts w:hint="eastAsia" w:ascii="宋体" w:hAnsi="宋体" w:eastAsia="宋体" w:cs="宋体"/>
          <w:sz w:val="28"/>
          <w:szCs w:val="28"/>
        </w:rPr>
        <w:t>详细约定为：</w:t>
      </w:r>
      <w:r>
        <w:rPr>
          <w:rFonts w:hint="eastAsia" w:ascii="宋体" w:hAnsi="宋体" w:eastAsia="宋体" w:cs="宋体"/>
          <w:b/>
          <w:bCs/>
          <w:sz w:val="28"/>
          <w:szCs w:val="28"/>
          <w:u w:val="single"/>
        </w:rPr>
        <w:t>本协议结算款所包含的项目、甲乙双方其他约定等全部内容，在质保期内，由于乙方原因出现的质量问题，均属乙方保修范围，乙方必须进行更换且承担一切费用（包括已使用在工程上所需的更换人工及材料等费用）因此造成甲方及第三方的全部损失，均由乙方负责。如属使用不当造成的问题，乙方仍应及时负责修复或更换，费用由责任方承担。</w:t>
      </w:r>
    </w:p>
    <w:p w14:paraId="1D486595">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二、保修款</w:t>
      </w:r>
    </w:p>
    <w:p w14:paraId="458541D4">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甲乙双方同意从乙方合同结算金额的</w:t>
      </w:r>
      <w:r>
        <w:rPr>
          <w:rFonts w:hint="eastAsia" w:ascii="宋体" w:hAnsi="宋体" w:eastAsia="宋体" w:cs="宋体"/>
          <w:sz w:val="28"/>
          <w:szCs w:val="28"/>
          <w:u w:val="single"/>
        </w:rPr>
        <w:t>3</w:t>
      </w:r>
      <w:r>
        <w:rPr>
          <w:rFonts w:hint="eastAsia" w:ascii="宋体" w:hAnsi="宋体" w:eastAsia="宋体" w:cs="宋体"/>
          <w:sz w:val="28"/>
          <w:szCs w:val="28"/>
        </w:rPr>
        <w:t>%作为质量保证金。作为保修款，2年保修期满后，在乙方已完成全部保修工作后（需物业公司、甲方签字认可），甲方在30日历天内结清。凡与防水有关的保修项，即使保修款按上述方式支付完毕，亦不能免除乙方防水保修5年的责任。</w:t>
      </w:r>
    </w:p>
    <w:p w14:paraId="48DF2F5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物业管理人负责本工程保修期内返修工作的统一协调管理及保修款的确认。乙方就工程质量保修向甲方及物业管理人负责，工程保修款最终由乙方和甲方进行结算，乙方须填写《工程质量验收表》，由物业管理人签字同意后报甲方作付款审批依据，相关手续由甲方负责办理。</w:t>
      </w:r>
    </w:p>
    <w:p w14:paraId="6D59318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若甲方垫付维修费用超出质量保证金，超出部分仍由乙方支付；所有保修款在结算时均不计利息。乙方不愿支付超额部分的，甲方有权从应支付乙方的其他任何费用中扣除，仍不够的，以法律手段追回。</w:t>
      </w:r>
    </w:p>
    <w:p w14:paraId="20EAA72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b/>
          <w:sz w:val="28"/>
          <w:szCs w:val="28"/>
        </w:rPr>
      </w:pPr>
      <w:r>
        <w:rPr>
          <w:rFonts w:hint="eastAsia" w:ascii="宋体" w:hAnsi="宋体" w:eastAsia="宋体" w:cs="宋体"/>
          <w:sz w:val="28"/>
          <w:szCs w:val="28"/>
        </w:rPr>
        <w:t>本产品在正常使用情况下的有效寿命为</w:t>
      </w:r>
      <w:r>
        <w:rPr>
          <w:rFonts w:hint="eastAsia" w:ascii="宋体" w:hAnsi="宋体" w:eastAsia="宋体" w:cs="宋体"/>
          <w:sz w:val="28"/>
          <w:szCs w:val="28"/>
          <w:u w:val="single"/>
        </w:rPr>
        <w:t>5</w:t>
      </w:r>
      <w:r>
        <w:rPr>
          <w:rFonts w:hint="eastAsia" w:ascii="宋体" w:hAnsi="宋体" w:eastAsia="宋体" w:cs="宋体"/>
          <w:sz w:val="28"/>
          <w:szCs w:val="28"/>
        </w:rPr>
        <w:t>年，乙方同意在免费保修期满后至该产品有效寿命年限内，继续提供适当维修服务，并按成本价收取费用。</w:t>
      </w:r>
    </w:p>
    <w:p w14:paraId="1DCA6133">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三、保修范围</w:t>
      </w:r>
    </w:p>
    <w:p w14:paraId="7B25478A">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质量保修范围包括甲乙双方合同约定本工程全部工程范围，具体保修内容约定如下：</w:t>
      </w:r>
    </w:p>
    <w:p w14:paraId="79852806">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本协议结算款所包含的工程。</w:t>
      </w:r>
    </w:p>
    <w:p w14:paraId="4C2BCA3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工程及各分项工程质量，经竣工验收符合有关规定要求，如业主入伙时对某些工程内容提出质量异议，经甲方、物业管理人、监理单位三方确认上述质量问题无误，乙方仍有责任对其进行返工修改。</w:t>
      </w:r>
    </w:p>
    <w:p w14:paraId="1991373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由于乙方原因造成的质量问题，均属乙方保修范围，因此造成甲方、业主及第三方的全部损失，均由乙方依法负责。</w:t>
      </w:r>
    </w:p>
    <w:p w14:paraId="6DBE4F96">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因使用不当或者不可抗力造成的质量缺陷不属于保修责任范围。</w:t>
      </w:r>
    </w:p>
    <w:p w14:paraId="1C311874">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四、保修实施</w:t>
      </w:r>
    </w:p>
    <w:p w14:paraId="71EEEB97">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工程竣工验收合格后，本工程移交给</w:t>
      </w:r>
      <w:r>
        <w:rPr>
          <w:rFonts w:hint="eastAsia" w:ascii="宋体" w:hAnsi="宋体" w:eastAsia="宋体" w:cs="宋体"/>
          <w:sz w:val="28"/>
          <w:szCs w:val="28"/>
          <w:u w:val="single"/>
        </w:rPr>
        <w:t xml:space="preserve"> 甲方委托的物业管理单位  </w:t>
      </w:r>
      <w:r>
        <w:rPr>
          <w:rFonts w:hint="eastAsia" w:ascii="宋体" w:hAnsi="宋体" w:eastAsia="宋体" w:cs="宋体"/>
          <w:sz w:val="28"/>
          <w:szCs w:val="28"/>
        </w:rPr>
        <w:t>管理。</w:t>
      </w:r>
    </w:p>
    <w:p w14:paraId="33F42D21">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保修期间内，如发生保修问题，甲方或甲方委托的物业管理人以书面形式（《客户服务联系单》等）、电子邮件、电话、邮件（ 挂号信或特快专递）等形式通知乙方。乙方的通讯地址以合同约定的为准（地址如有变更，应在变更后5个日历天内以书面形式通知甲方，否则导致通知信函不能送达，由乙方承担相应责任）。</w:t>
      </w:r>
    </w:p>
    <w:p w14:paraId="2FD739CA">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客户服务中心负责本工程保修期内返修工作的统一协调管理及保修款的支付审批，乙方就工程质量保修向甲方客户服务中心负责，工程保修款最终由乙方和甲方客户服务中心进行结算，相关手续由甲方客户服务中心负责办理。同时，甲方保留依法追究乙方质量责任的权利。</w:t>
      </w:r>
    </w:p>
    <w:p w14:paraId="1C335ED3">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五、保修的时间性</w:t>
      </w:r>
    </w:p>
    <w:p w14:paraId="522819C7">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发生重大、紧急抢修事故的如结构安全、水管爆裂、漏电等，乙方须在接到甲方通知后1小时内赶到现场进行抢修。</w:t>
      </w:r>
    </w:p>
    <w:p w14:paraId="02AC8839">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在本产品施工范围内出现影响居民正常生活的质量问题如房屋渗漏、供水供电中断等，乙方承诺在收到甲方或甲方委托的物业管理人通知后2小时内或约定的时间内赶到现场并于最短的时间内完成维修。</w:t>
      </w:r>
    </w:p>
    <w:p w14:paraId="16905D7C">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其他情况下，乙方须在甲方通知后24小时或约定的时间内赶到现场查看情况，无须更换材料/设备的，在48小时内处理完毕并清理维修现场；须更换的，由乙方提出时间表并在得到甲方或委托人认可后严格按时间表维修，其余按本条约定办理。</w:t>
      </w:r>
    </w:p>
    <w:p w14:paraId="3F99DA75">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承诺，对于合同范围内质量缺陷，不论谁的责任，在接到通知后，均遵守时间要求不问理由地进行维修，并在维修过程中与甲方及业主共同取证，以判断责任原因，不属乙方责任的，由责任方向乙方支付材料及人工费用。</w:t>
      </w:r>
    </w:p>
    <w:p w14:paraId="775E0FEF">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每个维修项目完成后，经业主和甲方代表验收并签字后，方为该维修项目本次维修完毕。</w:t>
      </w:r>
    </w:p>
    <w:p w14:paraId="52670A90">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所有维修项目的保修期限自维修验收合格之日起重新计算，重新计算的期限长度与合同规定的保修期限长度相同。如再次出现质量问题，则应再次维修。</w:t>
      </w:r>
    </w:p>
    <w:p w14:paraId="6F764FC5">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六、维修质量保障措施</w:t>
      </w:r>
    </w:p>
    <w:p w14:paraId="77AC75FE">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乙方有义务根据甲方或甲方委托的物业管理人的要求提供关于产品维修的技术资料，如材料出厂合格证、试验报告等的复印件，代用的维修材料必须经过甲方、物业管理人或监理单位的审核同意。</w:t>
      </w:r>
    </w:p>
    <w:p w14:paraId="7A900564">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对于涉及结构安全的质量问题，应当按照国家、地区相关规定，立即向当地建设行政主管部门报告，采取安全防范措施，由原设计单位或者具有相应资质等级的设计单位提出保修方案，乙方实施保修。</w:t>
      </w:r>
    </w:p>
    <w:p w14:paraId="18CD6798">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维修工作完成后，乙方负责把施工现场清理干净，做到工完场清（维修过程中给业主造成的损失由乙方负责，否则每次由乙方支付违约金500元），并负责现场各类成品或半成品的保护工作。由于乙方责任造成甲方、物业管理人及业主设备、材料等的丢失或损坏，乙方应承担相应恢复或赔偿责任，并按本保修书的约定支付相应的违约金。</w:t>
      </w:r>
    </w:p>
    <w:p w14:paraId="66C36B6D">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工作人员上门服务时，如果必须修改某些产品，则要征得业主及甲方或甲方委托的物业管理人同意，并在维修完毕后恢复原样，并得到业主认可。</w:t>
      </w:r>
    </w:p>
    <w:p w14:paraId="6B4A3BEE">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因质量问题乙方维修一次后，六个月内同一部位再出现类似问题，乙方除按协议再次进行维修外，乙方每次每项还需向甲方支付违约金人民币1000元。</w:t>
      </w:r>
    </w:p>
    <w:p w14:paraId="39CE0E81">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如有下列情况之一发生，甲方有权另行委托其他第三方进行维修，由此引起的一切费用和责任由乙方承担。</w:t>
      </w:r>
    </w:p>
    <w:p w14:paraId="36AEBB05">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接到甲方返修通知后拒不到现场处理问题；</w:t>
      </w:r>
    </w:p>
    <w:p w14:paraId="54E5D094">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超过规定的到场时间后2小时仍未赶到现场；</w:t>
      </w:r>
    </w:p>
    <w:p w14:paraId="0AC568D1">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超过规定的时间仍未完成有关工程返修任务，且不主动向甲方客户服务中心报告；</w:t>
      </w:r>
    </w:p>
    <w:p w14:paraId="25D11D10">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对同一位置经过一次返修仍未彻底解决问题；</w:t>
      </w:r>
    </w:p>
    <w:p w14:paraId="0608C6B7">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因现场返修人员服务行为造成业主强烈投诉；</w:t>
      </w:r>
    </w:p>
    <w:p w14:paraId="249EA152">
      <w:pPr>
        <w:keepNext w:val="0"/>
        <w:keepLines w:val="0"/>
        <w:pageBreakBefore w:val="0"/>
        <w:widowControl w:val="0"/>
        <w:numPr>
          <w:ilvl w:val="1"/>
          <w:numId w:val="6"/>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甲方认为乙方不能履行保修要求的其它行为。</w:t>
      </w:r>
    </w:p>
    <w:p w14:paraId="5D493261">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甲方或甲方委托的物业管理人另行聘请其他第三方进行维修的费用计算方法：按照专业维修商的计价取费独立核算。</w:t>
      </w:r>
    </w:p>
    <w:p w14:paraId="0DEAE02E">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因乙方责任造成甲方或业主损失的，乙方应按照以下标准赔偿甲方直接和间接损失：直接返修加直接赔偿的费用在人民币1000元以下的，按照4倍计算；直接返修加直接赔偿的费用在人民币1000到5000元的，按照3倍计算；直接返修加直接赔偿的费用在人民币5000元以上的，按照2倍计算。</w:t>
      </w:r>
    </w:p>
    <w:p w14:paraId="4D3FE331">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如业主因乙方工程质量问题向甲方提出索赔要求，则乙方同意由甲方全权与业主进行索赔谈判并确定赔偿金额，谈判结果经甲方和业主签字后立即生效，乙方无条件承担该谈判结果中甲方应负的各种责任。</w:t>
      </w:r>
    </w:p>
    <w:p w14:paraId="02294D15">
      <w:pPr>
        <w:keepNext w:val="0"/>
        <w:keepLines w:val="0"/>
        <w:pageBreakBefore w:val="0"/>
        <w:widowControl w:val="0"/>
        <w:numPr>
          <w:ilvl w:val="0"/>
          <w:numId w:val="5"/>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按上述办法计算出的费用总额由甲方书面知会乙方，无需征得乙方书面签收意见即可直接从乙方保修款中扣除，但并不等于免除乙方的任何应负的责任。</w:t>
      </w:r>
    </w:p>
    <w:p w14:paraId="2440B43C">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b/>
          <w:sz w:val="28"/>
          <w:szCs w:val="28"/>
        </w:rPr>
      </w:pPr>
      <w:r>
        <w:rPr>
          <w:rFonts w:hint="eastAsia" w:ascii="宋体" w:hAnsi="宋体" w:eastAsia="宋体" w:cs="宋体"/>
          <w:b/>
          <w:sz w:val="28"/>
          <w:szCs w:val="28"/>
        </w:rPr>
        <w:t>七、对乙方维修人员的要求</w:t>
      </w:r>
    </w:p>
    <w:p w14:paraId="436EC4D1">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乙方必须委派保修负责人处理项目的维修工作。如甲方认为该负责人不能胜任工作，乙方应在接到通知后2个日历天内予以更换，并书面通知甲方。</w:t>
      </w:r>
    </w:p>
    <w:p w14:paraId="10DC69F6">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乙方保修负责人应留有可联系的通讯方式，并保持24小时开通状态。联系方式若有变动须及时书面知会甲方，否则无法联系时，视为乙方已收到传达之信息。</w:t>
      </w:r>
    </w:p>
    <w:p w14:paraId="54CAEC46">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乙方应按甲方或甲方委托的物业管理人的要求在各阶段在现场配备有足够的人力完成维修工作。</w:t>
      </w:r>
    </w:p>
    <w:p w14:paraId="78AA986D">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乙方维修人员应统一着装，并配带工作卡，否则物业管理人将不允许其进入小区现场服务，由此而造成保修工作无法正常进行的，承包人承担全部责任。</w:t>
      </w:r>
    </w:p>
    <w:p w14:paraId="1501D9D9">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乙方维修人员应按甲方认定的维修程序进行维修，服从甲方客户服务中心的管理，服从业主的监督，文明施工、文明用语，不得与业主发生任何争执，否则每次乙方支付违约金人民币500元。</w:t>
      </w:r>
    </w:p>
    <w:p w14:paraId="6CAEA0C2">
      <w:pPr>
        <w:keepNext w:val="0"/>
        <w:keepLines w:val="0"/>
        <w:pageBreakBefore w:val="0"/>
        <w:widowControl w:val="0"/>
        <w:numPr>
          <w:ilvl w:val="0"/>
          <w:numId w:val="7"/>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每一套住宅，无论维修项目多少，全部维修人员均应一次到位维修。</w:t>
      </w:r>
    </w:p>
    <w:p w14:paraId="39D56CE6">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7．乙方保修负责人：</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14:paraId="0EDB4FFA">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u w:val="single"/>
        </w:rPr>
      </w:pPr>
      <w:r>
        <w:rPr>
          <w:rFonts w:hint="eastAsia" w:ascii="宋体" w:hAnsi="宋体" w:eastAsia="宋体" w:cs="宋体"/>
          <w:sz w:val="28"/>
          <w:szCs w:val="28"/>
        </w:rPr>
        <w:t xml:space="preserve">   通讯地址：</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p>
    <w:p w14:paraId="68F3EA76">
      <w:pPr>
        <w:keepNext w:val="0"/>
        <w:keepLines w:val="0"/>
        <w:pageBreakBefore w:val="0"/>
        <w:widowControl w:val="0"/>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   电话：</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rPr>
        <w:t xml:space="preserve">  </w:t>
      </w:r>
    </w:p>
    <w:p w14:paraId="5B9AB530">
      <w:pPr>
        <w:keepNext w:val="0"/>
        <w:keepLines w:val="0"/>
        <w:pageBreakBefore w:val="0"/>
        <w:widowControl w:val="0"/>
        <w:kinsoku/>
        <w:wordWrap/>
        <w:overflowPunct/>
        <w:topLinePunct w:val="0"/>
        <w:autoSpaceDE/>
        <w:autoSpaceDN/>
        <w:bidi w:val="0"/>
        <w:adjustRightInd w:val="0"/>
        <w:snapToGrid w:val="0"/>
        <w:spacing w:line="360" w:lineRule="auto"/>
        <w:ind w:left="0" w:firstLine="562" w:firstLineChars="200"/>
        <w:jc w:val="both"/>
        <w:textAlignment w:val="auto"/>
        <w:rPr>
          <w:rFonts w:hint="eastAsia" w:ascii="宋体" w:hAnsi="宋体" w:eastAsia="宋体" w:cs="宋体"/>
          <w:sz w:val="28"/>
          <w:szCs w:val="28"/>
        </w:rPr>
      </w:pPr>
      <w:r>
        <w:rPr>
          <w:rFonts w:hint="eastAsia" w:ascii="宋体" w:hAnsi="宋体" w:eastAsia="宋体" w:cs="宋体"/>
          <w:b/>
          <w:sz w:val="28"/>
          <w:szCs w:val="28"/>
        </w:rPr>
        <w:t>八、其他</w:t>
      </w:r>
    </w:p>
    <w:p w14:paraId="1A5B1891">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在本协议书有效期内双方必须遵守国家的法律、法规、政策及工程所在地的有关规定。在协议履行中，若双方发生争议，经调解仍不能解决时，按本协议书相关条款约定的办法解决纠纷。</w:t>
      </w:r>
    </w:p>
    <w:p w14:paraId="753087BA">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本协议书作为本合同附件，在设备材料有效使用期限内一直生效，不受设备材料的所有权或是使用权转移的影响。本协议未尽事宜，经双方协商同意签订补充协议，该补充协议与原协议有同等的法律效力。</w:t>
      </w:r>
    </w:p>
    <w:p w14:paraId="498FD155">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本协议书中业主指购买、租用及使用本项目房屋的客户。</w:t>
      </w:r>
    </w:p>
    <w:p w14:paraId="45C6577F">
      <w:pPr>
        <w:keepNext w:val="0"/>
        <w:keepLines w:val="0"/>
        <w:pageBreakBefore w:val="0"/>
        <w:widowControl w:val="0"/>
        <w:numPr>
          <w:ilvl w:val="0"/>
          <w:numId w:val="8"/>
        </w:numPr>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本协议书自双方法定代表人或授权代表签署（签字或签章）并加盖公司公章之日起生效。</w:t>
      </w:r>
    </w:p>
    <w:p w14:paraId="20977F42">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p>
    <w:p w14:paraId="6D23D519">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 xml:space="preserve">委托人（公章）：深圳市高新健置业开发有限公司         </w:t>
      </w:r>
    </w:p>
    <w:p w14:paraId="47546443">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法定代表人或委托代理人（签字）：</w:t>
      </w:r>
    </w:p>
    <w:p w14:paraId="4F9A8EA8">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签订日期：</w:t>
      </w:r>
      <w:r>
        <w:rPr>
          <w:rFonts w:hint="eastAsia" w:ascii="宋体" w:hAnsi="宋体" w:eastAsia="宋体" w:cs="宋体"/>
          <w:sz w:val="28"/>
          <w:szCs w:val="28"/>
          <w:lang w:eastAsia="zh-CN"/>
        </w:rPr>
        <w:t>2026年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    日</w:t>
      </w:r>
    </w:p>
    <w:p w14:paraId="610D1B91">
      <w:pPr>
        <w:keepNext w:val="0"/>
        <w:keepLines w:val="0"/>
        <w:pageBreakBefore w:val="0"/>
        <w:widowControl/>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p>
    <w:p w14:paraId="0606F8E6">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lang w:eastAsia="zh-CN"/>
        </w:rPr>
      </w:pPr>
      <w:r>
        <w:rPr>
          <w:rFonts w:hint="eastAsia" w:ascii="宋体" w:hAnsi="宋体" w:eastAsia="宋体" w:cs="宋体"/>
          <w:sz w:val="28"/>
          <w:szCs w:val="28"/>
        </w:rPr>
        <w:t>承包人（公章）：</w:t>
      </w:r>
    </w:p>
    <w:p w14:paraId="6277BA5F">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法定代表人或委托代理人（签字）：</w:t>
      </w:r>
    </w:p>
    <w:p w14:paraId="4E0FFE01">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签订日期：</w:t>
      </w:r>
      <w:r>
        <w:rPr>
          <w:rFonts w:hint="eastAsia" w:ascii="宋体" w:hAnsi="宋体" w:eastAsia="宋体" w:cs="宋体"/>
          <w:sz w:val="28"/>
          <w:szCs w:val="28"/>
          <w:lang w:eastAsia="zh-CN"/>
        </w:rPr>
        <w:t>2026年</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月    日</w:t>
      </w:r>
    </w:p>
    <w:p w14:paraId="2EF6456F">
      <w:pPr>
        <w:keepNext w:val="0"/>
        <w:keepLines w:val="0"/>
        <w:pageBreakBefore w:val="0"/>
        <w:widowControl/>
        <w:tabs>
          <w:tab w:val="left" w:pos="3969"/>
        </w:tabs>
        <w:kinsoku/>
        <w:wordWrap/>
        <w:overflowPunct/>
        <w:topLinePunct w:val="0"/>
        <w:autoSpaceDE/>
        <w:autoSpaceDN/>
        <w:bidi w:val="0"/>
        <w:adjustRightInd w:val="0"/>
        <w:snapToGrid w:val="0"/>
        <w:spacing w:line="360" w:lineRule="auto"/>
        <w:ind w:left="0" w:firstLine="480" w:firstLineChars="200"/>
        <w:jc w:val="both"/>
        <w:textAlignment w:val="auto"/>
        <w:rPr>
          <w:rFonts w:ascii="Times New Roman" w:hAnsi="Times New Roman" w:eastAsia="宋体" w:cs="Times New Roman"/>
          <w:bCs/>
          <w:sz w:val="24"/>
        </w:rPr>
      </w:pPr>
      <w:r>
        <w:rPr>
          <w:rFonts w:ascii="Times New Roman" w:hAnsi="Times New Roman" w:eastAsia="宋体" w:cs="Times New Roman"/>
          <w:bCs/>
          <w:sz w:val="24"/>
        </w:rPr>
        <w:t xml:space="preserve">   </w:t>
      </w:r>
    </w:p>
    <w:p w14:paraId="1FF43A3A">
      <w:pPr>
        <w:widowControl w:val="0"/>
        <w:ind w:firstLine="643"/>
        <w:rPr>
          <w:rFonts w:ascii="Times New Roman" w:hAnsi="Times New Roman" w:eastAsia="宋体" w:cs="Times New Roman"/>
          <w:b/>
          <w:kern w:val="0"/>
          <w:sz w:val="32"/>
          <w:szCs w:val="32"/>
        </w:rPr>
      </w:pPr>
      <w:r>
        <w:rPr>
          <w:rFonts w:ascii="Times New Roman" w:hAnsi="Times New Roman" w:eastAsia="宋体" w:cs="Times New Roman"/>
          <w:b/>
          <w:kern w:val="0"/>
          <w:sz w:val="32"/>
          <w:szCs w:val="32"/>
        </w:rPr>
        <w:br w:type="page"/>
      </w:r>
    </w:p>
    <w:p w14:paraId="5A6F6489">
      <w:pPr>
        <w:widowControl w:val="0"/>
        <w:spacing w:line="240" w:lineRule="auto"/>
        <w:ind w:firstLine="0" w:firstLineChars="0"/>
        <w:jc w:val="left"/>
        <w:outlineLvl w:val="1"/>
        <w:rPr>
          <w:rFonts w:hint="eastAsia" w:ascii="宋体" w:hAnsi="宋体" w:eastAsia="宋体" w:cs="宋体"/>
          <w:b/>
          <w:kern w:val="0"/>
          <w:sz w:val="32"/>
          <w:szCs w:val="32"/>
        </w:rPr>
      </w:pPr>
      <w:r>
        <w:rPr>
          <w:rFonts w:hint="eastAsia" w:ascii="宋体" w:hAnsi="宋体" w:eastAsia="宋体" w:cs="宋体"/>
          <w:b/>
          <w:kern w:val="0"/>
          <w:sz w:val="32"/>
          <w:szCs w:val="32"/>
        </w:rPr>
        <w:t>合同附件三：材料/设备下料单、验收单（以现场项目部要求的格式为准）</w:t>
      </w:r>
    </w:p>
    <w:p w14:paraId="6184B19E">
      <w:pPr>
        <w:widowControl w:val="0"/>
        <w:spacing w:line="240" w:lineRule="auto"/>
        <w:ind w:firstLine="0" w:firstLineChars="0"/>
        <w:jc w:val="center"/>
        <w:outlineLvl w:val="9"/>
        <w:rPr>
          <w:rFonts w:hint="eastAsia" w:ascii="宋体" w:hAnsi="宋体" w:eastAsia="宋体" w:cs="宋体"/>
          <w:b/>
          <w:color w:val="000000"/>
          <w:sz w:val="32"/>
          <w:szCs w:val="32"/>
          <w:highlight w:val="none"/>
        </w:rPr>
      </w:pPr>
    </w:p>
    <w:p w14:paraId="329406AB">
      <w:pPr>
        <w:widowControl w:val="0"/>
        <w:spacing w:line="240" w:lineRule="auto"/>
        <w:ind w:firstLine="0" w:firstLineChars="0"/>
        <w:jc w:val="center"/>
        <w:outlineLvl w:val="9"/>
        <w:rPr>
          <w:rFonts w:hint="eastAsia" w:ascii="宋体" w:hAnsi="宋体" w:eastAsia="宋体" w:cs="宋体"/>
          <w:b/>
          <w:color w:val="000000"/>
          <w:sz w:val="32"/>
          <w:szCs w:val="32"/>
          <w:highlight w:val="none"/>
        </w:rPr>
      </w:pPr>
      <w:r>
        <w:rPr>
          <w:rFonts w:hint="eastAsia" w:ascii="宋体" w:hAnsi="宋体" w:eastAsia="宋体" w:cs="宋体"/>
          <w:b/>
          <w:color w:val="000000"/>
          <w:sz w:val="32"/>
          <w:szCs w:val="32"/>
          <w:highlight w:val="none"/>
        </w:rPr>
        <w:t>材料进场验收审批表</w:t>
      </w:r>
    </w:p>
    <w:p w14:paraId="6B0845BA">
      <w:pPr>
        <w:widowControl w:val="0"/>
        <w:spacing w:line="240" w:lineRule="auto"/>
        <w:ind w:firstLine="0" w:firstLineChars="0"/>
        <w:jc w:val="both"/>
        <w:outlineLvl w:val="9"/>
        <w:rPr>
          <w:rFonts w:hint="eastAsia" w:ascii="宋体" w:hAnsi="宋体" w:eastAsia="宋体" w:cs="宋体"/>
          <w:b/>
          <w:color w:val="000000"/>
          <w:sz w:val="22"/>
          <w:szCs w:val="22"/>
          <w:highlight w:val="none"/>
        </w:rPr>
      </w:pPr>
    </w:p>
    <w:p w14:paraId="0D873EEF">
      <w:pPr>
        <w:widowControl w:val="0"/>
        <w:spacing w:line="360" w:lineRule="auto"/>
        <w:ind w:firstLine="0" w:firstLineChars="0"/>
        <w:jc w:val="left"/>
        <w:outlineLvl w:val="9"/>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2"/>
          <w:szCs w:val="22"/>
          <w:highlight w:val="none"/>
          <w:lang w:val="en-US" w:eastAsia="zh-CN"/>
        </w:rPr>
        <w:t xml:space="preserve">工程名称：                                     时间：           </w:t>
      </w:r>
    </w:p>
    <w:tbl>
      <w:tblPr>
        <w:tblStyle w:val="53"/>
        <w:tblW w:w="95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9"/>
        <w:gridCol w:w="1342"/>
        <w:gridCol w:w="813"/>
        <w:gridCol w:w="1142"/>
        <w:gridCol w:w="610"/>
        <w:gridCol w:w="678"/>
        <w:gridCol w:w="742"/>
        <w:gridCol w:w="742"/>
        <w:gridCol w:w="810"/>
        <w:gridCol w:w="742"/>
        <w:gridCol w:w="742"/>
        <w:gridCol w:w="712"/>
      </w:tblGrid>
      <w:tr w14:paraId="686AB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6"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642FBB77">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序号</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7F7F64A0">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材料名称</w:t>
            </w:r>
          </w:p>
        </w:tc>
        <w:tc>
          <w:tcPr>
            <w:tcW w:w="813" w:type="dxa"/>
            <w:tcBorders>
              <w:top w:val="single" w:color="auto" w:sz="4" w:space="0"/>
              <w:left w:val="single" w:color="auto" w:sz="4" w:space="0"/>
              <w:bottom w:val="single" w:color="auto" w:sz="4" w:space="0"/>
              <w:right w:val="single" w:color="auto" w:sz="4" w:space="0"/>
            </w:tcBorders>
            <w:noWrap w:val="0"/>
            <w:vAlign w:val="center"/>
          </w:tcPr>
          <w:p w14:paraId="35F341AF">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生产厂家</w:t>
            </w:r>
          </w:p>
        </w:tc>
        <w:tc>
          <w:tcPr>
            <w:tcW w:w="1142" w:type="dxa"/>
            <w:tcBorders>
              <w:top w:val="single" w:color="auto" w:sz="4" w:space="0"/>
              <w:left w:val="single" w:color="auto" w:sz="4" w:space="0"/>
              <w:bottom w:val="single" w:color="auto" w:sz="4" w:space="0"/>
              <w:right w:val="single" w:color="auto" w:sz="4" w:space="0"/>
            </w:tcBorders>
            <w:noWrap w:val="0"/>
            <w:vAlign w:val="center"/>
          </w:tcPr>
          <w:p w14:paraId="5E61E32D">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规格型号</w:t>
            </w:r>
          </w:p>
        </w:tc>
        <w:tc>
          <w:tcPr>
            <w:tcW w:w="610" w:type="dxa"/>
            <w:tcBorders>
              <w:top w:val="single" w:color="auto" w:sz="4" w:space="0"/>
              <w:left w:val="single" w:color="auto" w:sz="4" w:space="0"/>
              <w:bottom w:val="single" w:color="auto" w:sz="4" w:space="0"/>
              <w:right w:val="single" w:color="auto" w:sz="4" w:space="0"/>
            </w:tcBorders>
            <w:noWrap w:val="0"/>
            <w:vAlign w:val="center"/>
          </w:tcPr>
          <w:p w14:paraId="75B6C917">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单位</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44E17626">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数量</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0EBBECAE">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合格证</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5E3D84E0">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外观质量检查</w:t>
            </w:r>
          </w:p>
        </w:tc>
        <w:tc>
          <w:tcPr>
            <w:tcW w:w="810" w:type="dxa"/>
            <w:tcBorders>
              <w:top w:val="single" w:color="auto" w:sz="4" w:space="0"/>
              <w:left w:val="single" w:color="auto" w:sz="4" w:space="0"/>
              <w:bottom w:val="single" w:color="auto" w:sz="4" w:space="0"/>
              <w:right w:val="single" w:color="auto" w:sz="4" w:space="0"/>
            </w:tcBorders>
            <w:noWrap w:val="0"/>
            <w:vAlign w:val="center"/>
          </w:tcPr>
          <w:p w14:paraId="7FEADCDB">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抽检情况</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714FA6A1">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施工方</w:t>
            </w:r>
          </w:p>
        </w:tc>
        <w:tc>
          <w:tcPr>
            <w:tcW w:w="742" w:type="dxa"/>
            <w:tcBorders>
              <w:top w:val="single" w:color="auto" w:sz="4" w:space="0"/>
              <w:left w:val="single" w:color="auto" w:sz="4" w:space="0"/>
              <w:bottom w:val="single" w:color="auto" w:sz="4" w:space="0"/>
              <w:right w:val="single" w:color="auto" w:sz="4" w:space="0"/>
            </w:tcBorders>
            <w:noWrap w:val="0"/>
            <w:vAlign w:val="center"/>
          </w:tcPr>
          <w:p w14:paraId="6E27F818">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监理方</w:t>
            </w:r>
          </w:p>
        </w:tc>
        <w:tc>
          <w:tcPr>
            <w:tcW w:w="712" w:type="dxa"/>
            <w:tcBorders>
              <w:top w:val="single" w:color="auto" w:sz="4" w:space="0"/>
              <w:left w:val="single" w:color="auto" w:sz="4" w:space="0"/>
              <w:bottom w:val="single" w:color="auto" w:sz="4" w:space="0"/>
              <w:right w:val="single" w:color="auto" w:sz="4" w:space="0"/>
            </w:tcBorders>
            <w:noWrap w:val="0"/>
            <w:vAlign w:val="center"/>
          </w:tcPr>
          <w:p w14:paraId="6280AAD5">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建设方</w:t>
            </w:r>
          </w:p>
        </w:tc>
      </w:tr>
      <w:tr w14:paraId="20A48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74B6C188">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1</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65279542">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0583AFCE">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5BB91F7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538B0D9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3349876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685E9CC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748A574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0CF57D0">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2BFFB2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4412018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59B3B8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2037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7E9D847A">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2</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52C8114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78C2E9E0">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55A9174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7E53183D">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0F1810E1">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46138C6C">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68243DB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11BF221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7EABF9A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58B3FE4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3196BEE">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78BC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038B7755">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3</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4B5D121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1775249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675E729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43304EE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5DA6FF2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512C53B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7290F3D2">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A782E21">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62BCA4E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A6A2D7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47D4900">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7D4FF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12466834">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4</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04967B04">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524B9F01">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6A945632">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5730A726">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5D11D35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16A2104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CA7796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494259E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610EBD1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93366B6">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428CD7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33D2E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398ADE3F">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5</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02301C4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0D1C823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15FBE4B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34E47C8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6C35F5C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833D921">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1FF83DF7">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23E306A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172D7F2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4EC0F67">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A0CF6A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2925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7113628B">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6</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540F02E6">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1580B492">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29053084">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31AC1D9A">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63B382E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3FEBEC6D">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0CFA06E5">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95AC91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14563614">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29F60961">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6589E6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r w14:paraId="3B87A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519" w:type="dxa"/>
            <w:tcBorders>
              <w:top w:val="single" w:color="auto" w:sz="4" w:space="0"/>
              <w:left w:val="single" w:color="auto" w:sz="4" w:space="0"/>
              <w:bottom w:val="single" w:color="auto" w:sz="4" w:space="0"/>
              <w:right w:val="single" w:color="auto" w:sz="4" w:space="0"/>
            </w:tcBorders>
            <w:noWrap w:val="0"/>
            <w:vAlign w:val="center"/>
          </w:tcPr>
          <w:p w14:paraId="6ECB6F3F">
            <w:pPr>
              <w:widowControl w:val="0"/>
              <w:spacing w:line="240" w:lineRule="auto"/>
              <w:ind w:firstLine="0" w:firstLineChars="0"/>
              <w:jc w:val="center"/>
              <w:outlineLvl w:val="9"/>
              <w:rPr>
                <w:rFonts w:hint="eastAsia" w:ascii="宋体" w:hAnsi="宋体" w:eastAsia="宋体" w:cs="宋体"/>
                <w:color w:val="000000"/>
                <w:sz w:val="22"/>
                <w:szCs w:val="22"/>
                <w:highlight w:val="none"/>
              </w:rPr>
            </w:pPr>
            <w:r>
              <w:rPr>
                <w:rFonts w:hint="eastAsia" w:ascii="宋体" w:hAnsi="宋体" w:eastAsia="宋体" w:cs="宋体"/>
                <w:color w:val="000000"/>
                <w:sz w:val="22"/>
                <w:szCs w:val="22"/>
                <w:highlight w:val="none"/>
              </w:rPr>
              <w:t>7</w:t>
            </w:r>
          </w:p>
        </w:tc>
        <w:tc>
          <w:tcPr>
            <w:tcW w:w="1342" w:type="dxa"/>
            <w:tcBorders>
              <w:top w:val="single" w:color="auto" w:sz="4" w:space="0"/>
              <w:left w:val="single" w:color="auto" w:sz="4" w:space="0"/>
              <w:bottom w:val="single" w:color="auto" w:sz="4" w:space="0"/>
              <w:right w:val="single" w:color="auto" w:sz="4" w:space="0"/>
            </w:tcBorders>
            <w:noWrap w:val="0"/>
            <w:vAlign w:val="center"/>
          </w:tcPr>
          <w:p w14:paraId="5B09593B">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3" w:type="dxa"/>
            <w:tcBorders>
              <w:top w:val="single" w:color="auto" w:sz="4" w:space="0"/>
              <w:left w:val="single" w:color="auto" w:sz="4" w:space="0"/>
              <w:bottom w:val="single" w:color="auto" w:sz="4" w:space="0"/>
              <w:right w:val="single" w:color="auto" w:sz="4" w:space="0"/>
            </w:tcBorders>
            <w:noWrap w:val="0"/>
            <w:vAlign w:val="center"/>
          </w:tcPr>
          <w:p w14:paraId="3B3516BD">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1142" w:type="dxa"/>
            <w:tcBorders>
              <w:top w:val="single" w:color="auto" w:sz="4" w:space="0"/>
              <w:left w:val="single" w:color="auto" w:sz="4" w:space="0"/>
              <w:bottom w:val="single" w:color="auto" w:sz="4" w:space="0"/>
              <w:right w:val="single" w:color="auto" w:sz="4" w:space="0"/>
            </w:tcBorders>
            <w:noWrap w:val="0"/>
            <w:vAlign w:val="center"/>
          </w:tcPr>
          <w:p w14:paraId="0E7BEAF6">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10" w:type="dxa"/>
            <w:tcBorders>
              <w:top w:val="single" w:color="auto" w:sz="4" w:space="0"/>
              <w:left w:val="single" w:color="auto" w:sz="4" w:space="0"/>
              <w:bottom w:val="single" w:color="auto" w:sz="4" w:space="0"/>
              <w:right w:val="single" w:color="auto" w:sz="4" w:space="0"/>
            </w:tcBorders>
            <w:noWrap w:val="0"/>
            <w:vAlign w:val="center"/>
          </w:tcPr>
          <w:p w14:paraId="5C599B3D">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678" w:type="dxa"/>
            <w:tcBorders>
              <w:top w:val="single" w:color="auto" w:sz="4" w:space="0"/>
              <w:left w:val="single" w:color="auto" w:sz="4" w:space="0"/>
              <w:bottom w:val="single" w:color="auto" w:sz="4" w:space="0"/>
              <w:right w:val="single" w:color="auto" w:sz="4" w:space="0"/>
            </w:tcBorders>
            <w:noWrap w:val="0"/>
            <w:vAlign w:val="center"/>
          </w:tcPr>
          <w:p w14:paraId="56E2F9AC">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170D819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64337CC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810" w:type="dxa"/>
            <w:tcBorders>
              <w:top w:val="single" w:color="auto" w:sz="4" w:space="0"/>
              <w:left w:val="single" w:color="auto" w:sz="4" w:space="0"/>
              <w:bottom w:val="single" w:color="auto" w:sz="4" w:space="0"/>
              <w:right w:val="single" w:color="auto" w:sz="4" w:space="0"/>
            </w:tcBorders>
            <w:noWrap w:val="0"/>
            <w:vAlign w:val="center"/>
          </w:tcPr>
          <w:p w14:paraId="382150BF">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3EC6E893">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42" w:type="dxa"/>
            <w:tcBorders>
              <w:top w:val="single" w:color="auto" w:sz="4" w:space="0"/>
              <w:left w:val="single" w:color="auto" w:sz="4" w:space="0"/>
              <w:bottom w:val="single" w:color="auto" w:sz="4" w:space="0"/>
              <w:right w:val="single" w:color="auto" w:sz="4" w:space="0"/>
            </w:tcBorders>
            <w:noWrap w:val="0"/>
            <w:vAlign w:val="center"/>
          </w:tcPr>
          <w:p w14:paraId="4E900658">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45A1459">
            <w:pPr>
              <w:widowControl w:val="0"/>
              <w:spacing w:line="240" w:lineRule="auto"/>
              <w:ind w:firstLine="0" w:firstLineChars="0"/>
              <w:jc w:val="center"/>
              <w:outlineLvl w:val="9"/>
              <w:rPr>
                <w:rFonts w:hint="eastAsia" w:ascii="宋体" w:hAnsi="宋体" w:eastAsia="宋体" w:cs="宋体"/>
                <w:color w:val="000000"/>
                <w:sz w:val="22"/>
                <w:szCs w:val="22"/>
                <w:highlight w:val="none"/>
              </w:rPr>
            </w:pPr>
          </w:p>
        </w:tc>
      </w:tr>
    </w:tbl>
    <w:p w14:paraId="47A33831">
      <w:pPr>
        <w:widowControl w:val="0"/>
        <w:spacing w:line="240" w:lineRule="auto"/>
        <w:ind w:firstLine="0" w:firstLineChars="0"/>
        <w:rPr>
          <w:rFonts w:ascii="Times New Roman" w:hAnsi="Times New Roman" w:eastAsia="宋体" w:cs="Times New Roman"/>
          <w:b/>
          <w:kern w:val="0"/>
          <w:sz w:val="32"/>
          <w:szCs w:val="32"/>
        </w:rPr>
      </w:pPr>
      <w:r>
        <w:rPr>
          <w:rFonts w:hint="eastAsia" w:ascii="宋体" w:hAnsi="宋体" w:eastAsia="宋体" w:cs="Times New Roman"/>
          <w:b/>
          <w:color w:val="auto"/>
          <w:kern w:val="0"/>
          <w:sz w:val="32"/>
          <w:szCs w:val="32"/>
          <w:highlight w:val="none"/>
          <w:lang w:val="en-US" w:eastAsia="zh-CN"/>
          <w14:ligatures w14:val="standardContextual"/>
        </w:rPr>
        <w:br w:type="page"/>
      </w:r>
    </w:p>
    <w:p w14:paraId="19968B16">
      <w:pPr>
        <w:widowControl w:val="0"/>
        <w:spacing w:line="240" w:lineRule="auto"/>
        <w:ind w:firstLine="0" w:firstLineChars="0"/>
        <w:jc w:val="left"/>
        <w:outlineLvl w:val="1"/>
        <w:rPr>
          <w:rFonts w:hint="default" w:ascii="宋体" w:hAnsi="宋体" w:eastAsia="宋体" w:cs="宋体"/>
          <w:b/>
          <w:kern w:val="0"/>
          <w:sz w:val="32"/>
          <w:szCs w:val="32"/>
          <w:lang w:val="en-US" w:eastAsia="zh-CN"/>
        </w:rPr>
      </w:pPr>
      <w:r>
        <w:rPr>
          <w:rFonts w:hint="eastAsia" w:ascii="宋体" w:hAnsi="宋体" w:eastAsia="宋体" w:cs="宋体"/>
          <w:b/>
          <w:kern w:val="0"/>
          <w:sz w:val="32"/>
          <w:szCs w:val="32"/>
        </w:rPr>
        <w:t>合同附件</w:t>
      </w:r>
      <w:r>
        <w:rPr>
          <w:rFonts w:hint="eastAsia" w:ascii="宋体" w:hAnsi="宋体" w:eastAsia="宋体" w:cs="宋体"/>
          <w:b/>
          <w:kern w:val="0"/>
          <w:sz w:val="32"/>
          <w:szCs w:val="32"/>
          <w:lang w:val="en-US" w:eastAsia="zh-CN"/>
        </w:rPr>
        <w:t>四</w:t>
      </w:r>
      <w:r>
        <w:rPr>
          <w:rFonts w:hint="eastAsia" w:ascii="宋体" w:hAnsi="宋体" w:eastAsia="宋体" w:cs="宋体"/>
          <w:b/>
          <w:kern w:val="0"/>
          <w:sz w:val="32"/>
          <w:szCs w:val="32"/>
        </w:rPr>
        <w:t>：</w:t>
      </w:r>
      <w:r>
        <w:rPr>
          <w:rFonts w:hint="eastAsia" w:ascii="宋体" w:hAnsi="宋体" w:eastAsia="宋体" w:cs="宋体"/>
          <w:b/>
          <w:kern w:val="0"/>
          <w:sz w:val="32"/>
          <w:szCs w:val="32"/>
          <w:lang w:val="en-US" w:eastAsia="zh-CN"/>
        </w:rPr>
        <w:t>技术要求</w:t>
      </w:r>
    </w:p>
    <w:p w14:paraId="42E8E277">
      <w:pPr>
        <w:widowControl w:val="0"/>
        <w:spacing w:line="240" w:lineRule="auto"/>
        <w:ind w:firstLine="0" w:firstLineChars="0"/>
        <w:jc w:val="left"/>
        <w:outlineLvl w:val="1"/>
        <w:rPr>
          <w:rFonts w:hint="default" w:ascii="宋体" w:hAnsi="宋体" w:eastAsia="宋体" w:cs="宋体"/>
          <w:b/>
          <w:kern w:val="0"/>
          <w:sz w:val="32"/>
          <w:szCs w:val="32"/>
          <w:lang w:val="en-US" w:eastAsia="zh-CN"/>
        </w:rPr>
      </w:pPr>
      <w:r>
        <w:rPr>
          <w:rFonts w:hint="eastAsia" w:ascii="宋体" w:hAnsi="宋体" w:eastAsia="宋体" w:cs="宋体"/>
          <w:b/>
          <w:kern w:val="0"/>
          <w:sz w:val="32"/>
          <w:szCs w:val="32"/>
        </w:rPr>
        <w:t>合同附件</w:t>
      </w:r>
      <w:r>
        <w:rPr>
          <w:rFonts w:hint="eastAsia" w:ascii="宋体" w:hAnsi="宋体" w:eastAsia="宋体" w:cs="宋体"/>
          <w:b/>
          <w:kern w:val="0"/>
          <w:sz w:val="32"/>
          <w:szCs w:val="32"/>
          <w:lang w:val="en-US" w:eastAsia="zh-CN"/>
        </w:rPr>
        <w:t>五</w:t>
      </w:r>
      <w:r>
        <w:rPr>
          <w:rFonts w:hint="eastAsia" w:ascii="宋体" w:hAnsi="宋体" w:eastAsia="宋体" w:cs="宋体"/>
          <w:b/>
          <w:kern w:val="0"/>
          <w:sz w:val="32"/>
          <w:szCs w:val="32"/>
        </w:rPr>
        <w:t>：</w:t>
      </w:r>
      <w:r>
        <w:rPr>
          <w:rFonts w:hint="eastAsia" w:ascii="宋体" w:hAnsi="宋体" w:eastAsia="宋体" w:cs="宋体"/>
          <w:b/>
          <w:kern w:val="0"/>
          <w:sz w:val="32"/>
          <w:szCs w:val="32"/>
          <w:lang w:val="en-US" w:eastAsia="zh-CN"/>
        </w:rPr>
        <w:t>合同价清单</w:t>
      </w:r>
    </w:p>
    <w:p w14:paraId="1D8CB4CA">
      <w:pPr>
        <w:widowControl w:val="0"/>
        <w:spacing w:line="240" w:lineRule="auto"/>
        <w:ind w:firstLine="0" w:firstLineChars="0"/>
        <w:jc w:val="left"/>
        <w:outlineLvl w:val="1"/>
        <w:rPr>
          <w:rFonts w:hint="eastAsia" w:ascii="宋体" w:hAnsi="宋体" w:eastAsia="宋体" w:cs="宋体"/>
          <w:b/>
          <w:kern w:val="0"/>
          <w:sz w:val="32"/>
          <w:szCs w:val="32"/>
        </w:rPr>
      </w:pPr>
      <w:r>
        <w:rPr>
          <w:rFonts w:hint="eastAsia" w:ascii="宋体" w:hAnsi="宋体" w:eastAsia="宋体" w:cs="宋体"/>
          <w:b/>
          <w:kern w:val="0"/>
          <w:sz w:val="32"/>
          <w:szCs w:val="32"/>
        </w:rPr>
        <w:t>合同附件六：其他（招标人提供的相关附件或其他需补充的投标技术规格表等响应资料）</w:t>
      </w:r>
    </w:p>
    <w:p w14:paraId="7829F427">
      <w:pPr>
        <w:widowControl/>
        <w:tabs>
          <w:tab w:val="left" w:pos="3969"/>
        </w:tabs>
        <w:spacing w:line="500" w:lineRule="exact"/>
        <w:ind w:firstLine="0" w:firstLineChars="0"/>
        <w:rPr>
          <w:rFonts w:ascii="Times New Roman" w:hAnsi="Times New Roman" w:eastAsia="宋体" w:cs="Times New Roman"/>
          <w:sz w:val="21"/>
        </w:rPr>
      </w:pPr>
    </w:p>
    <w:p w14:paraId="759A0D09">
      <w:pPr>
        <w:widowControl/>
        <w:ind w:firstLine="0" w:firstLineChars="0"/>
        <w:rPr>
          <w:rFonts w:ascii="Times New Roman" w:hAnsi="Times New Roman" w:eastAsia="宋体" w:cs="Times New Roman"/>
          <w:sz w:val="21"/>
        </w:rPr>
      </w:pPr>
    </w:p>
    <w:p w14:paraId="0877F788">
      <w:pPr>
        <w:widowControl/>
        <w:ind w:firstLine="0" w:firstLineChars="0"/>
        <w:rPr>
          <w:rFonts w:ascii="Times New Roman" w:hAnsi="Times New Roman" w:eastAsia="宋体" w:cs="Times New Roman"/>
          <w:sz w:val="21"/>
        </w:rPr>
      </w:pPr>
    </w:p>
    <w:p w14:paraId="02579D55">
      <w:pPr>
        <w:widowControl/>
        <w:ind w:firstLine="0" w:firstLineChars="0"/>
        <w:rPr>
          <w:rFonts w:ascii="Times New Roman" w:hAnsi="Times New Roman" w:eastAsia="宋体" w:cs="Times New Roman"/>
          <w:sz w:val="21"/>
        </w:rPr>
      </w:pPr>
    </w:p>
    <w:p w14:paraId="6F4CE291">
      <w:pPr>
        <w:widowControl/>
        <w:ind w:firstLine="0" w:firstLineChars="0"/>
        <w:rPr>
          <w:rFonts w:ascii="Times New Roman" w:hAnsi="Times New Roman" w:eastAsia="宋体" w:cs="Times New Roman"/>
          <w:sz w:val="21"/>
        </w:rPr>
      </w:pPr>
    </w:p>
    <w:p w14:paraId="53EC1805">
      <w:pPr>
        <w:widowControl/>
        <w:ind w:firstLine="0" w:firstLineChars="0"/>
        <w:rPr>
          <w:rFonts w:ascii="Times New Roman" w:hAnsi="Times New Roman" w:eastAsia="宋体" w:cs="Times New Roman"/>
          <w:sz w:val="21"/>
        </w:rPr>
      </w:pPr>
    </w:p>
    <w:p w14:paraId="5AFBA863">
      <w:pPr>
        <w:widowControl/>
        <w:ind w:firstLine="0" w:firstLineChars="0"/>
        <w:rPr>
          <w:rFonts w:ascii="Times New Roman" w:hAnsi="Times New Roman" w:eastAsia="宋体" w:cs="Times New Roman"/>
          <w:sz w:val="21"/>
        </w:rPr>
      </w:pPr>
    </w:p>
    <w:p w14:paraId="18950C43">
      <w:pPr>
        <w:widowControl/>
        <w:ind w:firstLine="0" w:firstLineChars="0"/>
        <w:rPr>
          <w:rFonts w:ascii="Times New Roman" w:hAnsi="Times New Roman" w:eastAsia="宋体" w:cs="Times New Roman"/>
          <w:sz w:val="21"/>
        </w:rPr>
      </w:pPr>
    </w:p>
    <w:p w14:paraId="7F39D285">
      <w:pPr>
        <w:widowControl/>
        <w:ind w:firstLine="0" w:firstLineChars="0"/>
        <w:rPr>
          <w:rFonts w:ascii="Times New Roman" w:hAnsi="Times New Roman" w:eastAsia="宋体" w:cs="Times New Roman"/>
          <w:sz w:val="21"/>
        </w:rPr>
      </w:pPr>
    </w:p>
    <w:p w14:paraId="3533DE41">
      <w:pPr>
        <w:widowControl/>
        <w:ind w:firstLine="0" w:firstLineChars="0"/>
        <w:rPr>
          <w:rFonts w:ascii="Times New Roman" w:hAnsi="Times New Roman" w:eastAsia="宋体" w:cs="Times New Roman"/>
          <w:sz w:val="21"/>
        </w:rPr>
      </w:pPr>
    </w:p>
    <w:p w14:paraId="150FF2D3">
      <w:pPr>
        <w:widowControl/>
        <w:ind w:firstLine="0" w:firstLineChars="0"/>
        <w:rPr>
          <w:rFonts w:ascii="Times New Roman" w:hAnsi="Times New Roman" w:eastAsia="宋体" w:cs="Times New Roman"/>
          <w:sz w:val="21"/>
        </w:rPr>
      </w:pPr>
    </w:p>
    <w:p w14:paraId="4BC31202">
      <w:pPr>
        <w:widowControl/>
        <w:ind w:firstLine="0" w:firstLineChars="0"/>
        <w:rPr>
          <w:rFonts w:ascii="Times New Roman" w:hAnsi="Times New Roman" w:eastAsia="宋体" w:cs="Times New Roman"/>
          <w:sz w:val="21"/>
        </w:rPr>
      </w:pPr>
    </w:p>
    <w:p w14:paraId="2D5C801D">
      <w:pPr>
        <w:widowControl/>
        <w:ind w:firstLine="0" w:firstLineChars="0"/>
        <w:rPr>
          <w:rFonts w:ascii="Times New Roman" w:hAnsi="Times New Roman" w:eastAsia="宋体" w:cs="Times New Roman"/>
          <w:sz w:val="21"/>
        </w:rPr>
      </w:pPr>
    </w:p>
    <w:p w14:paraId="49241D2D">
      <w:pPr>
        <w:widowControl/>
        <w:ind w:firstLine="0" w:firstLineChars="0"/>
        <w:rPr>
          <w:rFonts w:ascii="Times New Roman" w:hAnsi="Times New Roman" w:eastAsia="宋体" w:cs="Times New Roman"/>
          <w:sz w:val="21"/>
        </w:rPr>
      </w:pPr>
    </w:p>
    <w:p w14:paraId="7E770761">
      <w:pPr>
        <w:widowControl/>
        <w:ind w:firstLine="0" w:firstLineChars="0"/>
        <w:rPr>
          <w:rFonts w:ascii="Times New Roman" w:hAnsi="Times New Roman" w:eastAsia="宋体" w:cs="Times New Roman"/>
          <w:sz w:val="21"/>
        </w:rPr>
      </w:pPr>
    </w:p>
    <w:p w14:paraId="70D75A8E">
      <w:pPr>
        <w:widowControl/>
        <w:ind w:firstLine="0" w:firstLineChars="0"/>
        <w:rPr>
          <w:rFonts w:ascii="Times New Roman" w:hAnsi="Times New Roman" w:eastAsia="宋体" w:cs="Times New Roman"/>
          <w:sz w:val="21"/>
        </w:rPr>
      </w:pPr>
    </w:p>
    <w:p w14:paraId="33A64B05">
      <w:pPr>
        <w:widowControl/>
        <w:ind w:firstLine="0" w:firstLineChars="0"/>
        <w:jc w:val="left"/>
        <w:rPr>
          <w:rFonts w:ascii="Times New Roman" w:hAnsi="Times New Roman" w:eastAsia="宋体" w:cs="Times New Roman"/>
          <w:sz w:val="21"/>
        </w:rPr>
      </w:pPr>
    </w:p>
    <w:p w14:paraId="3EDA4E23">
      <w:pPr>
        <w:rPr>
          <w:rFonts w:hint="eastAsia" w:ascii="宋体" w:hAnsi="宋体" w:eastAsia="宋体" w:cs="宋体"/>
          <w:color w:val="auto"/>
          <w:sz w:val="32"/>
          <w:szCs w:val="32"/>
          <w:highlight w:val="none"/>
        </w:rPr>
      </w:pPr>
      <w:r>
        <w:rPr>
          <w:rFonts w:hint="eastAsia" w:ascii="宋体" w:hAnsi="宋体" w:eastAsia="宋体" w:cs="Times New Roman"/>
          <w:b/>
          <w:color w:val="auto"/>
          <w:kern w:val="0"/>
          <w:sz w:val="32"/>
          <w:szCs w:val="32"/>
          <w:highlight w:val="none"/>
          <w14:ligatures w14:val="standardContextual"/>
        </w:rPr>
        <w:br w:type="page"/>
      </w:r>
    </w:p>
    <w:p w14:paraId="19FD4CE6">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796662E6">
      <w:pPr>
        <w:pStyle w:val="2"/>
        <w:spacing w:line="360" w:lineRule="auto"/>
        <w:ind w:left="0"/>
        <w:jc w:val="center"/>
        <w:rPr>
          <w:rFonts w:hint="default" w:ascii="Times New Roman" w:hAnsi="Times New Roman" w:eastAsia="宋体" w:cs="Times New Roman"/>
          <w:color w:val="auto"/>
          <w:kern w:val="2"/>
          <w:sz w:val="32"/>
          <w:szCs w:val="32"/>
          <w:highlight w:val="none"/>
          <w:lang w:val="en-US" w:eastAsia="zh-CN" w:bidi="ar-SA"/>
        </w:rPr>
      </w:pPr>
      <w:bookmarkStart w:id="311" w:name="_Toc2590"/>
      <w:bookmarkStart w:id="312" w:name="_Toc6908"/>
      <w:r>
        <w:rPr>
          <w:rFonts w:hint="eastAsia" w:ascii="宋体" w:hAnsi="宋体" w:eastAsia="宋体" w:cs="宋体"/>
          <w:color w:val="auto"/>
          <w:sz w:val="32"/>
          <w:szCs w:val="32"/>
          <w:highlight w:val="none"/>
        </w:rPr>
        <w:t>第</w:t>
      </w:r>
      <w:r>
        <w:rPr>
          <w:rFonts w:hint="eastAsia" w:ascii="宋体" w:hAnsi="宋体" w:eastAsia="宋体" w:cs="宋体"/>
          <w:color w:val="auto"/>
          <w:sz w:val="32"/>
          <w:szCs w:val="32"/>
          <w:highlight w:val="none"/>
          <w:lang w:val="en-US" w:eastAsia="zh-CN"/>
        </w:rPr>
        <w:t>五章</w:t>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szCs w:val="32"/>
          <w:highlight w:val="none"/>
          <w:lang w:val="en-US" w:eastAsia="zh-CN"/>
        </w:rPr>
        <w:t xml:space="preserve"> </w:t>
      </w:r>
      <w:bookmarkEnd w:id="205"/>
      <w:bookmarkEnd w:id="206"/>
      <w:bookmarkEnd w:id="207"/>
      <w:bookmarkEnd w:id="208"/>
      <w:bookmarkEnd w:id="209"/>
      <w:bookmarkEnd w:id="210"/>
      <w:bookmarkEnd w:id="211"/>
      <w:bookmarkEnd w:id="212"/>
      <w:bookmarkEnd w:id="311"/>
      <w:bookmarkEnd w:id="312"/>
      <w:bookmarkStart w:id="313" w:name="_Toc71877322"/>
      <w:bookmarkStart w:id="314" w:name="_Toc152042575"/>
      <w:bookmarkStart w:id="315" w:name="_Toc152045786"/>
      <w:bookmarkStart w:id="316" w:name="_Toc144974855"/>
      <w:r>
        <w:rPr>
          <w:rFonts w:hint="eastAsia" w:ascii="宋体" w:hAnsi="宋体" w:eastAsia="宋体" w:cs="宋体"/>
          <w:color w:val="auto"/>
          <w:sz w:val="32"/>
          <w:szCs w:val="32"/>
          <w:highlight w:val="none"/>
          <w:lang w:val="en-US" w:eastAsia="zh-CN"/>
        </w:rPr>
        <w:t>技术要求</w:t>
      </w:r>
    </w:p>
    <w:p w14:paraId="4F04508E">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bookmarkStart w:id="317" w:name="_Toc31694"/>
      <w:bookmarkStart w:id="318" w:name="_Toc11399"/>
      <w:r>
        <w:rPr>
          <w:rFonts w:hint="eastAsia" w:ascii="Times New Roman" w:hAnsi="Times New Roman" w:eastAsia="黑体" w:cs="Times New Roman"/>
          <w:b/>
          <w:bCs/>
          <w:color w:val="auto"/>
          <w:kern w:val="44"/>
          <w:sz w:val="32"/>
          <w:szCs w:val="32"/>
          <w:lang w:val="en-US" w:eastAsia="zh-CN" w:bidi="ar-SA"/>
        </w:rPr>
        <w:t>1.项目概况</w:t>
      </w:r>
      <w:bookmarkEnd w:id="317"/>
    </w:p>
    <w:p w14:paraId="128901E2">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bookmarkStart w:id="319" w:name="_Toc3931"/>
      <w:r>
        <w:rPr>
          <w:rFonts w:hint="eastAsia" w:ascii="宋体" w:hAnsi="宋体" w:eastAsia="宋体" w:cs="宋体"/>
          <w:b w:val="0"/>
          <w:color w:val="auto"/>
          <w:kern w:val="2"/>
          <w:sz w:val="30"/>
          <w:szCs w:val="30"/>
          <w:lang w:val="en-US" w:eastAsia="zh-CN" w:bidi="ar-SA"/>
        </w:rPr>
        <w:t>1.1项目名称</w:t>
      </w:r>
    </w:p>
    <w:p w14:paraId="219624B8">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r>
        <w:rPr>
          <w:rFonts w:hint="eastAsia" w:ascii="宋体" w:hAnsi="宋体" w:eastAsia="宋体" w:cs="宋体"/>
          <w:b w:val="0"/>
          <w:color w:val="auto"/>
          <w:kern w:val="2"/>
          <w:sz w:val="30"/>
          <w:szCs w:val="30"/>
          <w:lang w:val="en-US" w:eastAsia="zh-CN" w:bidi="ar-SA"/>
        </w:rPr>
        <w:t>瑞云府项目架空层软装、儿童游乐设施、运动器械供货及安装</w:t>
      </w:r>
    </w:p>
    <w:p w14:paraId="4CE05977">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r>
        <w:rPr>
          <w:rFonts w:hint="eastAsia" w:ascii="宋体" w:hAnsi="宋体" w:eastAsia="宋体" w:cs="宋体"/>
          <w:b w:val="0"/>
          <w:color w:val="auto"/>
          <w:kern w:val="2"/>
          <w:sz w:val="30"/>
          <w:szCs w:val="30"/>
          <w:lang w:val="en-US" w:eastAsia="zh-CN" w:bidi="ar-SA"/>
        </w:rPr>
        <w:t>1.2项目位置</w:t>
      </w:r>
    </w:p>
    <w:p w14:paraId="50AB243D">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r>
        <w:rPr>
          <w:rFonts w:hint="eastAsia" w:ascii="宋体" w:hAnsi="宋体" w:eastAsia="宋体" w:cs="宋体"/>
          <w:b w:val="0"/>
          <w:color w:val="auto"/>
          <w:kern w:val="2"/>
          <w:sz w:val="30"/>
          <w:szCs w:val="30"/>
          <w:lang w:val="en-US" w:eastAsia="zh-CN" w:bidi="ar-SA"/>
        </w:rPr>
        <w:t>广东省深圳市坪山区碧岭街道龙勤路与沙湖复兴路交汇处西北侧。</w:t>
      </w:r>
    </w:p>
    <w:p w14:paraId="58644EF7">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r>
        <w:rPr>
          <w:rFonts w:hint="eastAsia" w:ascii="宋体" w:hAnsi="宋体" w:eastAsia="宋体" w:cs="宋体"/>
          <w:b w:val="0"/>
          <w:color w:val="auto"/>
          <w:kern w:val="2"/>
          <w:sz w:val="30"/>
          <w:szCs w:val="30"/>
          <w:lang w:val="en-US" w:eastAsia="zh-CN" w:bidi="ar-SA"/>
        </w:rPr>
        <w:t>1.3项目简介</w:t>
      </w:r>
    </w:p>
    <w:p w14:paraId="5896348B">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00" w:firstLineChars="200"/>
        <w:jc w:val="both"/>
        <w:textAlignment w:val="auto"/>
        <w:outlineLvl w:val="1"/>
        <w:rPr>
          <w:rFonts w:hint="eastAsia" w:ascii="宋体" w:hAnsi="宋体" w:eastAsia="宋体" w:cs="宋体"/>
          <w:b w:val="0"/>
          <w:color w:val="auto"/>
          <w:kern w:val="2"/>
          <w:sz w:val="30"/>
          <w:szCs w:val="30"/>
          <w:lang w:val="en-US" w:eastAsia="zh-CN" w:bidi="ar-SA"/>
        </w:rPr>
      </w:pPr>
      <w:r>
        <w:rPr>
          <w:rFonts w:hint="eastAsia" w:ascii="宋体" w:hAnsi="宋体" w:eastAsia="宋体" w:cs="宋体"/>
          <w:b w:val="0"/>
          <w:color w:val="auto"/>
          <w:kern w:val="2"/>
          <w:sz w:val="30"/>
          <w:szCs w:val="30"/>
          <w:lang w:val="en-US" w:eastAsia="zh-CN" w:bidi="ar-SA"/>
        </w:rPr>
        <w:t>全项目规模总用地面积36026.37㎡（建设用地面积31343.99㎡，市政道路用地面积4682.38㎡），容积率为4.75，总建筑面积为222994.65㎡，计规定容积率建筑面积148882.00 ㎡。其中住宅136552㎡，商业3000㎡，公共配套9330㎡（社区警务室30㎡，邮政支局2000㎡，文化活动室1500㎡，老年人日照料中心2000㎡，幼儿园3500㎡，物业服务用房300㎡）。</w:t>
      </w:r>
    </w:p>
    <w:p w14:paraId="23DBE8DE">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r>
        <w:rPr>
          <w:rFonts w:hint="eastAsia" w:ascii="Times New Roman" w:hAnsi="Times New Roman" w:eastAsia="黑体" w:cs="Times New Roman"/>
          <w:b/>
          <w:bCs/>
          <w:color w:val="auto"/>
          <w:kern w:val="44"/>
          <w:sz w:val="32"/>
          <w:szCs w:val="32"/>
          <w:lang w:val="en-US" w:eastAsia="zh-CN" w:bidi="ar-SA"/>
        </w:rPr>
        <w:t>2.招标范围</w:t>
      </w:r>
      <w:bookmarkEnd w:id="319"/>
    </w:p>
    <w:p w14:paraId="495CDA5D">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本</w:t>
      </w:r>
      <w:r>
        <w:rPr>
          <w:rFonts w:hint="eastAsia" w:ascii="宋体" w:hAnsi="宋体" w:eastAsia="宋体" w:cs="宋体"/>
          <w:color w:val="auto"/>
          <w:sz w:val="30"/>
          <w:szCs w:val="30"/>
          <w:lang w:val="en-US" w:eastAsia="zh-CN"/>
        </w:rPr>
        <w:t>项目招标</w:t>
      </w:r>
      <w:r>
        <w:rPr>
          <w:rFonts w:hint="eastAsia" w:ascii="宋体" w:hAnsi="宋体" w:eastAsia="宋体" w:cs="宋体"/>
          <w:color w:val="auto"/>
          <w:sz w:val="30"/>
          <w:szCs w:val="30"/>
        </w:rPr>
        <w:t>范围为8栋塔楼的首层大堂、架空层，内容包括软装、儿童游乐设施、运动器械等（详见瑞云府项目首层大堂、架空层及门厅软装平面示意文本）。</w:t>
      </w:r>
      <w:r>
        <w:rPr>
          <w:rFonts w:hint="eastAsia" w:ascii="宋体" w:hAnsi="宋体" w:eastAsia="宋体" w:cs="宋体"/>
          <w:color w:val="auto"/>
          <w:sz w:val="30"/>
          <w:szCs w:val="30"/>
          <w:lang w:val="en-US" w:eastAsia="zh-CN"/>
        </w:rPr>
        <w:t>包括但不限于</w:t>
      </w:r>
      <w:r>
        <w:rPr>
          <w:rFonts w:hint="eastAsia" w:ascii="宋体" w:hAnsi="宋体" w:eastAsia="宋体" w:cs="宋体"/>
          <w:color w:val="auto"/>
          <w:sz w:val="30"/>
          <w:szCs w:val="30"/>
        </w:rPr>
        <w:t>材料供货、施工、调试、检测、试运行、验收、成品保护、开荒保洁、垃圾清理和外运、水电费用、安全文明施工费、措施费、资料归档移交等相关内容、培训、维护保养、保修以及施工过程中对外部有关部门沟通协调等各项服务。</w:t>
      </w:r>
    </w:p>
    <w:p w14:paraId="46F233B9">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特别说明：</w:t>
      </w:r>
    </w:p>
    <w:p w14:paraId="7DBBD9D1">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sz w:val="30"/>
          <w:szCs w:val="30"/>
          <w:lang w:val="en-US" w:eastAsia="zh-CN"/>
        </w:rPr>
      </w:pPr>
      <w:r>
        <w:rPr>
          <w:rFonts w:hint="eastAsia" w:ascii="宋体" w:hAnsi="宋体" w:eastAsia="宋体" w:cs="宋体"/>
          <w:b/>
          <w:bCs/>
          <w:color w:val="auto"/>
          <w:sz w:val="30"/>
          <w:szCs w:val="30"/>
          <w:lang w:val="en-US" w:eastAsia="zh-CN"/>
        </w:rPr>
        <w:t>（一）2栋一单元大堂已经配置并摆放安装的软装，不在本次招标范围，投标单位可自行踏勘现场。</w:t>
      </w:r>
    </w:p>
    <w:p w14:paraId="295B5DB1">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color w:val="auto"/>
          <w:sz w:val="30"/>
          <w:szCs w:val="30"/>
        </w:rPr>
      </w:pP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lang w:val="en-US" w:eastAsia="zh-CN"/>
        </w:rPr>
        <w:t>二</w:t>
      </w:r>
      <w:r>
        <w:rPr>
          <w:rFonts w:hint="eastAsia" w:ascii="宋体" w:hAnsi="宋体" w:eastAsia="宋体" w:cs="宋体"/>
          <w:b/>
          <w:bCs/>
          <w:color w:val="auto"/>
          <w:sz w:val="30"/>
          <w:szCs w:val="30"/>
          <w:lang w:eastAsia="zh-CN"/>
        </w:rPr>
        <w:t>）</w:t>
      </w:r>
      <w:r>
        <w:rPr>
          <w:rFonts w:hint="eastAsia" w:ascii="宋体" w:hAnsi="宋体" w:eastAsia="宋体" w:cs="宋体"/>
          <w:b/>
          <w:bCs/>
          <w:color w:val="auto"/>
          <w:sz w:val="30"/>
          <w:szCs w:val="30"/>
        </w:rPr>
        <w:t>招标范围内的儿童游乐设施及运动器械等设施选板定样时，</w:t>
      </w:r>
      <w:r>
        <w:rPr>
          <w:rFonts w:hint="eastAsia" w:ascii="宋体" w:hAnsi="宋体" w:eastAsia="宋体" w:cs="宋体"/>
          <w:b/>
          <w:bCs/>
          <w:color w:val="auto"/>
          <w:sz w:val="30"/>
          <w:szCs w:val="30"/>
          <w:lang w:val="en-US" w:eastAsia="zh-CN"/>
        </w:rPr>
        <w:t>如果有与</w:t>
      </w:r>
      <w:r>
        <w:rPr>
          <w:rFonts w:hint="eastAsia" w:ascii="宋体" w:hAnsi="宋体" w:eastAsia="宋体" w:cs="宋体"/>
          <w:b/>
          <w:bCs/>
          <w:color w:val="auto"/>
          <w:sz w:val="30"/>
          <w:szCs w:val="30"/>
        </w:rPr>
        <w:t>批量景观园林单位</w:t>
      </w:r>
      <w:r>
        <w:rPr>
          <w:rFonts w:hint="eastAsia" w:ascii="宋体" w:hAnsi="宋体" w:eastAsia="宋体" w:cs="宋体"/>
          <w:b/>
          <w:bCs/>
          <w:color w:val="auto"/>
          <w:sz w:val="30"/>
          <w:szCs w:val="30"/>
          <w:lang w:val="en-US" w:eastAsia="zh-CN"/>
        </w:rPr>
        <w:t>同类设施</w:t>
      </w:r>
      <w:r>
        <w:rPr>
          <w:rFonts w:hint="eastAsia" w:ascii="宋体" w:hAnsi="宋体" w:eastAsia="宋体" w:cs="宋体"/>
          <w:b/>
          <w:bCs/>
          <w:color w:val="auto"/>
          <w:sz w:val="30"/>
          <w:szCs w:val="30"/>
        </w:rPr>
        <w:t>，需在</w:t>
      </w:r>
      <w:r>
        <w:rPr>
          <w:rFonts w:hint="eastAsia" w:ascii="宋体" w:hAnsi="宋体" w:eastAsia="宋体" w:cs="宋体"/>
          <w:b/>
          <w:bCs/>
          <w:color w:val="auto"/>
          <w:sz w:val="30"/>
          <w:szCs w:val="30"/>
          <w:lang w:val="en-US" w:eastAsia="zh-CN"/>
        </w:rPr>
        <w:t>品牌和规格上保持一致</w:t>
      </w:r>
      <w:r>
        <w:rPr>
          <w:rFonts w:hint="eastAsia" w:ascii="宋体" w:hAnsi="宋体" w:eastAsia="宋体" w:cs="宋体"/>
          <w:b/>
          <w:bCs/>
          <w:color w:val="auto"/>
          <w:sz w:val="30"/>
          <w:szCs w:val="30"/>
        </w:rPr>
        <w:t>，严禁出现明显反差现象。</w:t>
      </w:r>
    </w:p>
    <w:p w14:paraId="6EA4269E">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bookmarkStart w:id="320" w:name="_Toc4943"/>
      <w:r>
        <w:rPr>
          <w:rFonts w:hint="eastAsia" w:ascii="Times New Roman" w:hAnsi="Times New Roman" w:eastAsia="黑体" w:cs="Times New Roman"/>
          <w:b/>
          <w:bCs/>
          <w:color w:val="auto"/>
          <w:kern w:val="44"/>
          <w:sz w:val="32"/>
          <w:szCs w:val="32"/>
          <w:lang w:val="en-US" w:eastAsia="zh-CN" w:bidi="ar-SA"/>
        </w:rPr>
        <w:t>3.工期要求</w:t>
      </w:r>
      <w:bookmarkEnd w:id="320"/>
    </w:p>
    <w:p w14:paraId="5486FB4C">
      <w:pPr>
        <w:pageBreakBefore w:val="0"/>
        <w:widowControl/>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Times New Roman"/>
          <w:b/>
          <w:bCs/>
          <w:color w:val="auto"/>
          <w:sz w:val="30"/>
          <w:szCs w:val="30"/>
        </w:rPr>
      </w:pPr>
      <w:r>
        <w:rPr>
          <w:rFonts w:hint="eastAsia" w:ascii="宋体" w:hAnsi="宋体" w:eastAsia="宋体" w:cs="Times New Roman"/>
          <w:b/>
          <w:bCs/>
          <w:color w:val="auto"/>
          <w:sz w:val="30"/>
          <w:szCs w:val="30"/>
        </w:rPr>
        <w:t>3.1、工期要求：总日历天数为：</w:t>
      </w:r>
      <w:r>
        <w:rPr>
          <w:rFonts w:hint="eastAsia" w:ascii="宋体" w:hAnsi="宋体" w:eastAsia="宋体" w:cs="Times New Roman"/>
          <w:b/>
          <w:bCs/>
          <w:color w:val="auto"/>
          <w:sz w:val="30"/>
          <w:szCs w:val="30"/>
          <w:lang w:val="en-US" w:eastAsia="zh-CN"/>
        </w:rPr>
        <w:t>45</w:t>
      </w:r>
      <w:r>
        <w:rPr>
          <w:rFonts w:hint="eastAsia" w:ascii="宋体" w:hAnsi="宋体" w:eastAsia="宋体" w:cs="Times New Roman"/>
          <w:b/>
          <w:bCs/>
          <w:color w:val="auto"/>
          <w:sz w:val="30"/>
          <w:szCs w:val="30"/>
        </w:rPr>
        <w:t>日历天，具体开工日期以</w:t>
      </w:r>
      <w:r>
        <w:rPr>
          <w:rFonts w:hint="eastAsia" w:ascii="宋体" w:hAnsi="宋体" w:eastAsia="宋体" w:cs="Times New Roman"/>
          <w:b/>
          <w:bCs/>
          <w:color w:val="auto"/>
          <w:sz w:val="30"/>
          <w:szCs w:val="30"/>
          <w:lang w:val="en-US" w:eastAsia="zh-CN"/>
        </w:rPr>
        <w:t>招标人</w:t>
      </w:r>
      <w:r>
        <w:rPr>
          <w:rFonts w:hint="eastAsia" w:ascii="宋体" w:hAnsi="宋体" w:eastAsia="宋体" w:cs="Times New Roman"/>
          <w:b/>
          <w:bCs/>
          <w:color w:val="auto"/>
          <w:sz w:val="30"/>
          <w:szCs w:val="30"/>
        </w:rPr>
        <w:t>下发开工令为准。</w:t>
      </w:r>
    </w:p>
    <w:p w14:paraId="17CF604F">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lang w:eastAsia="zh-CN"/>
        </w:rPr>
      </w:pPr>
      <w:r>
        <w:rPr>
          <w:rFonts w:hint="eastAsia" w:ascii="宋体" w:hAnsi="宋体" w:eastAsia="宋体" w:cs="宋体"/>
          <w:color w:val="auto"/>
          <w:sz w:val="30"/>
          <w:szCs w:val="30"/>
        </w:rPr>
        <w:t>备注：以上工期包含天气影响、节假日（含春节）、政府部门要求停工、停水停电等一切不利因素的影响，中标单位不得以任何理由推迟完工日期。遇到不可抗力因素导致工期延迟，中标单位必须在不可抗力因素发生的24小时之内向</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提交工期延期申请报告，</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签字确认后才能免除处罚,不可抗力因素为：深圳市法律法规规定的建设工程不可抗力条款</w:t>
      </w:r>
      <w:r>
        <w:rPr>
          <w:rFonts w:hint="eastAsia" w:ascii="宋体" w:hAnsi="宋体" w:eastAsia="宋体" w:cs="宋体"/>
          <w:color w:val="auto"/>
          <w:sz w:val="30"/>
          <w:szCs w:val="30"/>
          <w:lang w:eastAsia="zh-CN"/>
        </w:rPr>
        <w:t>。</w:t>
      </w:r>
    </w:p>
    <w:p w14:paraId="4EF3F54E">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color w:val="auto"/>
          <w:sz w:val="30"/>
          <w:szCs w:val="30"/>
        </w:rPr>
      </w:pPr>
      <w:r>
        <w:rPr>
          <w:rFonts w:hint="eastAsia" w:ascii="宋体" w:hAnsi="宋体" w:eastAsia="宋体" w:cs="宋体"/>
          <w:b/>
          <w:bCs/>
          <w:color w:val="auto"/>
          <w:sz w:val="30"/>
          <w:szCs w:val="30"/>
        </w:rPr>
        <w:t>3.2、材料选型定样：该工程所涉及的设备与材料在批量进场前需先行送样、建设单位及设计院确认后方可大面积供货、安装，儿童游乐设施及运动器械等设施选板定样时，</w:t>
      </w:r>
      <w:r>
        <w:rPr>
          <w:rFonts w:hint="eastAsia" w:ascii="宋体" w:hAnsi="宋体" w:eastAsia="宋体" w:cs="宋体"/>
          <w:b/>
          <w:bCs/>
          <w:color w:val="auto"/>
          <w:sz w:val="30"/>
          <w:szCs w:val="30"/>
          <w:lang w:val="en-US" w:eastAsia="zh-CN"/>
        </w:rPr>
        <w:t>如果有与</w:t>
      </w:r>
      <w:r>
        <w:rPr>
          <w:rFonts w:hint="eastAsia" w:ascii="宋体" w:hAnsi="宋体" w:eastAsia="宋体" w:cs="宋体"/>
          <w:b/>
          <w:bCs/>
          <w:color w:val="auto"/>
          <w:sz w:val="30"/>
          <w:szCs w:val="30"/>
        </w:rPr>
        <w:t>批量景观园林单位</w:t>
      </w:r>
      <w:r>
        <w:rPr>
          <w:rFonts w:hint="eastAsia" w:ascii="宋体" w:hAnsi="宋体" w:eastAsia="宋体" w:cs="宋体"/>
          <w:b/>
          <w:bCs/>
          <w:color w:val="auto"/>
          <w:sz w:val="30"/>
          <w:szCs w:val="30"/>
          <w:lang w:val="en-US" w:eastAsia="zh-CN"/>
        </w:rPr>
        <w:t>同类设施</w:t>
      </w:r>
      <w:r>
        <w:rPr>
          <w:rFonts w:hint="eastAsia" w:ascii="宋体" w:hAnsi="宋体" w:eastAsia="宋体" w:cs="宋体"/>
          <w:b/>
          <w:bCs/>
          <w:color w:val="auto"/>
          <w:sz w:val="30"/>
          <w:szCs w:val="30"/>
        </w:rPr>
        <w:t>，需在</w:t>
      </w:r>
      <w:r>
        <w:rPr>
          <w:rFonts w:hint="eastAsia" w:ascii="宋体" w:hAnsi="宋体" w:eastAsia="宋体" w:cs="宋体"/>
          <w:b/>
          <w:bCs/>
          <w:color w:val="auto"/>
          <w:sz w:val="30"/>
          <w:szCs w:val="30"/>
          <w:lang w:val="en-US" w:eastAsia="zh-CN"/>
        </w:rPr>
        <w:t>品牌和规格上保持一致</w:t>
      </w:r>
      <w:r>
        <w:rPr>
          <w:rFonts w:hint="eastAsia" w:ascii="宋体" w:hAnsi="宋体" w:eastAsia="宋体" w:cs="宋体"/>
          <w:b/>
          <w:bCs/>
          <w:color w:val="auto"/>
          <w:sz w:val="30"/>
          <w:szCs w:val="30"/>
        </w:rPr>
        <w:t>，严禁出现明显反差现象。材料选型定样工作应在正式施工前30天完成，未审核通过的样板，每滞后一天将按照1000-2000元/天进行处罚。</w:t>
      </w:r>
    </w:p>
    <w:p w14:paraId="592AF759">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3.3、总体进度计划：</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应在收到中标通知书后的10天内上报切实可行的总体进度计划，月进度计划、周进度计划等，同时在施工期间应每周五上午周例会前上报周进度计划，并对进度计划的完成情况定期进行检讨。</w:t>
      </w:r>
    </w:p>
    <w:p w14:paraId="73875337">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（1）项目整体进度计划每滞后一天，</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按1000-2000元/天向</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计收进度处罚金。</w:t>
      </w:r>
    </w:p>
    <w:p w14:paraId="2A163D11">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（2）月度或专项进度计划实际进度无法按计划完成时，将按合同约定暂扣当月部分额度进度款或暂缓当月进度款的支付。</w:t>
      </w:r>
    </w:p>
    <w:p w14:paraId="735DE4A7">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（3）工期延误违约金上限为结算总价的15%。</w:t>
      </w:r>
    </w:p>
    <w:p w14:paraId="1087B355">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3.4、</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有权利根据现场的实际施工进度要求中标单位提前或推迟进场施工时间，中标单位不得以任何借口拖延或拒绝</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指定的进场施工时间要求。</w:t>
      </w:r>
    </w:p>
    <w:p w14:paraId="180B8BD0">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3.5、以上工期包含天气影响等一切不利因素的影响，中标单位不得以任何理由推迟完工日期。</w:t>
      </w:r>
    </w:p>
    <w:p w14:paraId="250B6B6C">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3.6、施工安全目标：达到安全文明工地良好标准，无安全事故。</w:t>
      </w:r>
    </w:p>
    <w:p w14:paraId="463F4300">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3.7、</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项目负责人应定期准时参加监理例会及相关协调会，对无故不参加或未经</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批准不参加各项工程会议，将按合同约定予以处罚。</w:t>
      </w:r>
    </w:p>
    <w:p w14:paraId="62588614">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sz w:val="30"/>
          <w:szCs w:val="30"/>
        </w:rPr>
      </w:pPr>
      <w:r>
        <w:rPr>
          <w:rFonts w:hint="eastAsia" w:ascii="宋体" w:hAnsi="宋体" w:eastAsia="宋体" w:cs="宋体"/>
          <w:b/>
          <w:bCs/>
          <w:color w:val="auto"/>
          <w:sz w:val="30"/>
          <w:szCs w:val="30"/>
        </w:rPr>
        <w:t>3.8、中标单位项目负责人原则不允许替换，若确实需要更换，需征得</w:t>
      </w:r>
      <w:r>
        <w:rPr>
          <w:rFonts w:hint="eastAsia" w:ascii="宋体" w:hAnsi="宋体" w:eastAsia="宋体" w:cs="宋体"/>
          <w:b/>
          <w:bCs/>
          <w:color w:val="auto"/>
          <w:sz w:val="30"/>
          <w:szCs w:val="30"/>
          <w:lang w:eastAsia="zh-CN"/>
        </w:rPr>
        <w:t>招标人</w:t>
      </w:r>
      <w:r>
        <w:rPr>
          <w:rFonts w:hint="eastAsia" w:ascii="宋体" w:hAnsi="宋体" w:eastAsia="宋体" w:cs="宋体"/>
          <w:b/>
          <w:bCs/>
          <w:color w:val="auto"/>
          <w:sz w:val="30"/>
          <w:szCs w:val="30"/>
        </w:rPr>
        <w:t>书面同意，否则将对中标人处以1万元处罚。</w:t>
      </w:r>
    </w:p>
    <w:p w14:paraId="10C54F2D">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3.9、</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或监理</w:t>
      </w:r>
      <w:r>
        <w:rPr>
          <w:rFonts w:hint="eastAsia" w:ascii="宋体" w:hAnsi="宋体" w:eastAsia="宋体" w:cs="宋体"/>
          <w:color w:val="auto"/>
          <w:sz w:val="30"/>
          <w:szCs w:val="30"/>
          <w:lang w:val="en-US" w:eastAsia="zh-CN"/>
        </w:rPr>
        <w:t>人</w:t>
      </w:r>
      <w:r>
        <w:rPr>
          <w:rFonts w:hint="eastAsia" w:ascii="宋体" w:hAnsi="宋体" w:eastAsia="宋体" w:cs="宋体"/>
          <w:color w:val="auto"/>
          <w:sz w:val="30"/>
          <w:szCs w:val="30"/>
        </w:rPr>
        <w:t>下发的质量整改单或者质量督办整改事项，施工单位未及时整改并回复，或者已回复但实际现场未整改，或者已整改但超过整改时限要求导致其他工序施工受影响等情况，酌情按照1000元-2000元/次进行处罚且工期不顺延，情况恶劣的</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将要求施工单位停工整改或返工，同时将暂停当月进度款支付，直至质量问题整改完成。</w:t>
      </w:r>
    </w:p>
    <w:p w14:paraId="28DC7C90">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3.10、</w:t>
      </w:r>
      <w:r>
        <w:rPr>
          <w:rFonts w:hint="eastAsia" w:ascii="宋体" w:hAnsi="宋体" w:eastAsia="宋体" w:cs="宋体"/>
          <w:b/>
          <w:bCs/>
          <w:color w:val="auto"/>
          <w:sz w:val="30"/>
          <w:szCs w:val="30"/>
        </w:rPr>
        <w:t>项目交付因工程质量或欠薪引起的群诉或舆情处罚：每出现一次对中标单位处罚1万元，</w:t>
      </w:r>
      <w:r>
        <w:rPr>
          <w:rFonts w:hint="eastAsia" w:ascii="宋体" w:hAnsi="宋体" w:eastAsia="宋体" w:cs="宋体"/>
          <w:color w:val="auto"/>
          <w:sz w:val="30"/>
          <w:szCs w:val="30"/>
        </w:rPr>
        <w:t>并责令中标单位立即整改维修或解决欠薪问题直至群诉问题处理完毕。</w:t>
      </w:r>
    </w:p>
    <w:p w14:paraId="1B60C0E5">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b/>
          <w:bCs/>
          <w:color w:val="auto"/>
          <w:sz w:val="30"/>
          <w:szCs w:val="30"/>
        </w:rPr>
      </w:pPr>
      <w:r>
        <w:rPr>
          <w:rFonts w:hint="eastAsia" w:ascii="宋体" w:hAnsi="宋体" w:eastAsia="宋体" w:cs="宋体"/>
          <w:color w:val="auto"/>
          <w:sz w:val="30"/>
          <w:szCs w:val="30"/>
        </w:rPr>
        <w:t>3.11、</w:t>
      </w:r>
      <w:r>
        <w:rPr>
          <w:rFonts w:hint="eastAsia" w:ascii="宋体" w:hAnsi="宋体" w:eastAsia="宋体" w:cs="宋体"/>
          <w:b/>
          <w:bCs/>
          <w:color w:val="auto"/>
          <w:sz w:val="30"/>
          <w:szCs w:val="30"/>
          <w:lang w:eastAsia="zh-CN"/>
        </w:rPr>
        <w:t>中标单位</w:t>
      </w:r>
      <w:r>
        <w:rPr>
          <w:rFonts w:hint="eastAsia" w:ascii="宋体" w:hAnsi="宋体" w:eastAsia="宋体" w:cs="宋体"/>
          <w:b/>
          <w:bCs/>
          <w:color w:val="auto"/>
          <w:sz w:val="30"/>
          <w:szCs w:val="30"/>
        </w:rPr>
        <w:t>需提供完整的项目管理团队构架表，并在投标时汇总主要负责人的资格证书，并确保主要岗位人员按时到位，成为未来项目的执行团队。</w:t>
      </w:r>
      <w:r>
        <w:rPr>
          <w:rFonts w:hint="eastAsia" w:ascii="宋体" w:hAnsi="宋体" w:eastAsia="宋体" w:cs="宋体"/>
          <w:b/>
          <w:bCs/>
          <w:color w:val="auto"/>
          <w:sz w:val="30"/>
          <w:szCs w:val="30"/>
          <w:lang w:eastAsia="zh-CN"/>
        </w:rPr>
        <w:t>中标单位</w:t>
      </w:r>
      <w:r>
        <w:rPr>
          <w:rFonts w:hint="eastAsia" w:ascii="宋体" w:hAnsi="宋体" w:eastAsia="宋体" w:cs="宋体"/>
          <w:b/>
          <w:bCs/>
          <w:color w:val="auto"/>
          <w:sz w:val="30"/>
          <w:szCs w:val="30"/>
        </w:rPr>
        <w:t>项目管理人员必须不少于:项目经理、质量负责人、材料主管、安全负责人、造价工程师、劳资专管员、资料员等必须专人专岗配置，不允许兼任。以上人员详细资料在技术标中详细列出，一经确定未经允许不得更换。</w:t>
      </w:r>
      <w:r>
        <w:rPr>
          <w:rFonts w:hint="eastAsia" w:ascii="宋体" w:hAnsi="宋体" w:eastAsia="宋体" w:cs="宋体"/>
          <w:b/>
          <w:bCs/>
          <w:color w:val="auto"/>
          <w:sz w:val="30"/>
          <w:szCs w:val="30"/>
          <w:lang w:eastAsia="zh-CN"/>
        </w:rPr>
        <w:t>中标单位</w:t>
      </w:r>
      <w:r>
        <w:rPr>
          <w:rFonts w:hint="eastAsia" w:ascii="宋体" w:hAnsi="宋体" w:eastAsia="宋体" w:cs="宋体"/>
          <w:b/>
          <w:bCs/>
          <w:color w:val="auto"/>
          <w:sz w:val="30"/>
          <w:szCs w:val="30"/>
        </w:rPr>
        <w:t>接到</w:t>
      </w:r>
      <w:r>
        <w:rPr>
          <w:rFonts w:hint="eastAsia" w:ascii="宋体" w:hAnsi="宋体" w:eastAsia="宋体" w:cs="宋体"/>
          <w:b/>
          <w:bCs/>
          <w:color w:val="auto"/>
          <w:sz w:val="30"/>
          <w:szCs w:val="30"/>
          <w:lang w:eastAsia="zh-CN"/>
        </w:rPr>
        <w:t>招标人</w:t>
      </w:r>
      <w:r>
        <w:rPr>
          <w:rFonts w:hint="eastAsia" w:ascii="宋体" w:hAnsi="宋体" w:eastAsia="宋体" w:cs="宋体"/>
          <w:b/>
          <w:bCs/>
          <w:color w:val="auto"/>
          <w:sz w:val="30"/>
          <w:szCs w:val="30"/>
        </w:rPr>
        <w:t>项目部进场通知书后3天内上述管理人员需全部到齐。如上述关键岗位人员出现缺失情况，按每人每月1000-2000元从合同总金额中扣除相关费用(不足一月按一月计算)。</w:t>
      </w:r>
    </w:p>
    <w:p w14:paraId="55F44A8B">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bookmarkStart w:id="321" w:name="_Toc2348"/>
      <w:bookmarkStart w:id="322" w:name="_Toc10348"/>
      <w:bookmarkStart w:id="323" w:name="_Toc62564538"/>
      <w:r>
        <w:rPr>
          <w:rFonts w:hint="eastAsia" w:ascii="Times New Roman" w:hAnsi="Times New Roman" w:eastAsia="黑体" w:cs="Times New Roman"/>
          <w:b/>
          <w:bCs/>
          <w:color w:val="auto"/>
          <w:kern w:val="44"/>
          <w:sz w:val="32"/>
          <w:szCs w:val="32"/>
          <w:lang w:val="en-US" w:eastAsia="zh-CN" w:bidi="ar-SA"/>
        </w:rPr>
        <w:t>4.质量要求</w:t>
      </w:r>
      <w:bookmarkEnd w:id="321"/>
      <w:bookmarkEnd w:id="322"/>
      <w:bookmarkEnd w:id="323"/>
    </w:p>
    <w:p w14:paraId="22479004">
      <w:pPr>
        <w:pageBreakBefore w:val="0"/>
        <w:widowControl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工程质量要求：合格，并满足国家及当地法律法规及验收标准要求。质保期：工程整体质保2年，自项目竣工验收完成之日起算。</w:t>
      </w:r>
    </w:p>
    <w:p w14:paraId="1273A7C7">
      <w:pPr>
        <w:pageBreakBefore w:val="0"/>
        <w:widowControl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儿童游乐设施：</w:t>
      </w:r>
      <w:r>
        <w:rPr>
          <w:rFonts w:ascii="宋体" w:hAnsi="宋体" w:eastAsia="宋体" w:cs="宋体"/>
          <w:b/>
          <w:bCs/>
          <w:color w:val="auto"/>
          <w:kern w:val="0"/>
          <w:sz w:val="30"/>
          <w:szCs w:val="30"/>
          <w:lang w:val="en-US" w:eastAsia="zh-CN" w:bidi="ar"/>
        </w:rPr>
        <w:t>设备主体钢结构框架、整体结构质保不少于5年；塑料构件、五金配件质保不少于3年；EPDM塑胶铺装面层质保不少于3年；</w:t>
      </w:r>
      <w:r>
        <w:rPr>
          <w:rFonts w:hint="eastAsia" w:ascii="宋体" w:hAnsi="宋体" w:eastAsia="宋体" w:cs="宋体"/>
          <w:b/>
          <w:bCs/>
          <w:color w:val="auto"/>
          <w:kern w:val="0"/>
          <w:sz w:val="30"/>
          <w:szCs w:val="30"/>
          <w:lang w:val="en-US" w:eastAsia="zh-CN" w:bidi="ar"/>
        </w:rPr>
        <w:t>其余整体质保</w:t>
      </w:r>
      <w:r>
        <w:rPr>
          <w:rFonts w:hint="eastAsia" w:ascii="宋体" w:hAnsi="宋体" w:eastAsia="宋体" w:cs="宋体"/>
          <w:b/>
          <w:bCs/>
          <w:color w:val="auto"/>
          <w:kern w:val="2"/>
          <w:sz w:val="30"/>
          <w:szCs w:val="30"/>
          <w:lang w:val="en-US" w:eastAsia="zh-CN" w:bidi="ar-SA"/>
        </w:rPr>
        <w:t>2年。</w:t>
      </w:r>
    </w:p>
    <w:p w14:paraId="129A130B">
      <w:pPr>
        <w:pageBreakBefore w:val="0"/>
        <w:widowControl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kern w:val="2"/>
          <w:sz w:val="30"/>
          <w:szCs w:val="30"/>
          <w:lang w:val="en-US" w:eastAsia="zh-CN" w:bidi="ar-SA"/>
        </w:rPr>
      </w:pPr>
      <w:r>
        <w:rPr>
          <w:rFonts w:hint="eastAsia" w:ascii="宋体" w:hAnsi="宋体" w:eastAsia="宋体" w:cs="宋体"/>
          <w:b/>
          <w:bCs/>
          <w:color w:val="auto"/>
          <w:kern w:val="2"/>
          <w:sz w:val="30"/>
          <w:szCs w:val="30"/>
          <w:lang w:val="en-US" w:eastAsia="zh-CN" w:bidi="ar-SA"/>
        </w:rPr>
        <w:t>成人运动器械：设备主体钢结构框架、主受力结构质保不少于8年（对标国标安全使用年限）；整机设备、传动配件、橡塑配件质保不少于5年；整体工程质保不少于2年，所有质保标准高于国家最低规范要求。</w:t>
      </w:r>
    </w:p>
    <w:p w14:paraId="14CE10BB">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bookmarkStart w:id="324" w:name="_Toc4764"/>
      <w:bookmarkStart w:id="325" w:name="_Toc1303"/>
      <w:bookmarkStart w:id="326" w:name="_Toc26906"/>
      <w:bookmarkStart w:id="327" w:name="_Toc309029485"/>
      <w:bookmarkStart w:id="328" w:name="_Toc309029715"/>
      <w:r>
        <w:rPr>
          <w:rFonts w:hint="eastAsia" w:ascii="Times New Roman" w:hAnsi="Times New Roman" w:eastAsia="黑体" w:cs="Times New Roman"/>
          <w:b/>
          <w:bCs/>
          <w:color w:val="auto"/>
          <w:kern w:val="44"/>
          <w:sz w:val="32"/>
          <w:szCs w:val="32"/>
          <w:lang w:val="en-US" w:eastAsia="zh-CN" w:bidi="ar-SA"/>
        </w:rPr>
        <w:t>5.材料设备技术要求</w:t>
      </w:r>
      <w:bookmarkEnd w:id="324"/>
    </w:p>
    <w:p w14:paraId="080750CF">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outlineLvl w:val="2"/>
        <w:rPr>
          <w:rFonts w:hint="eastAsia" w:ascii="宋体" w:hAnsi="宋体" w:eastAsia="宋体" w:cs="宋体"/>
          <w:b/>
          <w:bCs/>
          <w:color w:val="auto"/>
          <w:sz w:val="30"/>
          <w:szCs w:val="30"/>
        </w:rPr>
      </w:pPr>
      <w:bookmarkStart w:id="329" w:name="_Toc29223"/>
      <w:r>
        <w:rPr>
          <w:rFonts w:hint="eastAsia" w:ascii="宋体" w:hAnsi="宋体" w:eastAsia="宋体" w:cs="宋体"/>
          <w:b/>
          <w:bCs/>
          <w:color w:val="auto"/>
          <w:sz w:val="30"/>
          <w:szCs w:val="30"/>
        </w:rPr>
        <w:t>5.1软装技术要求</w:t>
      </w:r>
      <w:bookmarkEnd w:id="329"/>
    </w:p>
    <w:p w14:paraId="44E249A5">
      <w:pPr>
        <w:pageBreakBefore w:val="0"/>
        <w:widowControl/>
        <w:tabs>
          <w:tab w:val="left" w:pos="720"/>
        </w:tabs>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宋体"/>
          <w:b/>
          <w:bCs/>
          <w:color w:val="auto"/>
          <w:kern w:val="0"/>
          <w:sz w:val="30"/>
          <w:szCs w:val="30"/>
          <w:lang w:val="en-US" w:eastAsia="zh-CN" w:bidi="ar"/>
        </w:rPr>
      </w:pPr>
      <w:r>
        <w:rPr>
          <w:rFonts w:hint="eastAsia" w:ascii="宋体" w:hAnsi="宋体" w:eastAsia="宋体" w:cs="宋体"/>
          <w:b/>
          <w:bCs/>
          <w:color w:val="auto"/>
          <w:kern w:val="0"/>
          <w:sz w:val="30"/>
          <w:szCs w:val="30"/>
          <w:lang w:val="en-US" w:eastAsia="zh-CN" w:bidi="ar"/>
        </w:rPr>
        <w:t>5.1.1总体履约要求</w:t>
      </w:r>
    </w:p>
    <w:p w14:paraId="5BCECF6D">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default" w:ascii="宋体" w:hAnsi="宋体" w:eastAsia="宋体" w:cs="宋体"/>
          <w:color w:val="auto"/>
          <w:sz w:val="30"/>
          <w:szCs w:val="30"/>
          <w:lang w:val="en-US" w:eastAsia="zh-CN"/>
        </w:rPr>
      </w:pPr>
      <w:r>
        <w:rPr>
          <w:rFonts w:hint="eastAsia" w:ascii="宋体" w:hAnsi="宋体" w:eastAsia="宋体" w:cs="宋体"/>
          <w:b/>
          <w:bCs/>
          <w:color w:val="auto"/>
          <w:sz w:val="30"/>
          <w:szCs w:val="30"/>
          <w:lang w:val="en-US" w:eastAsia="zh-CN"/>
        </w:rPr>
        <w:t>软装的款式与材质，必须保持与2栋一单元已施工完成的软装保持一致，请投标单位提前踏勘现场。</w:t>
      </w:r>
      <w:r>
        <w:rPr>
          <w:rFonts w:hint="eastAsia" w:ascii="宋体" w:hAnsi="宋体" w:eastAsia="宋体" w:cs="宋体"/>
          <w:color w:val="auto"/>
          <w:sz w:val="30"/>
          <w:szCs w:val="30"/>
          <w:lang w:val="en-US" w:eastAsia="zh-CN"/>
        </w:rPr>
        <w:t>详见《物料说明清单》（附件一）以及《瑞云府项目首层大堂、架空层及门厅软装平面示意文本》（附件二）</w:t>
      </w:r>
    </w:p>
    <w:p w14:paraId="09DD4F3A">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sz w:val="30"/>
          <w:szCs w:val="30"/>
        </w:rPr>
      </w:pPr>
      <w:r>
        <w:rPr>
          <w:rFonts w:hint="eastAsia" w:ascii="宋体" w:hAnsi="宋体" w:eastAsia="宋体" w:cs="宋体"/>
          <w:color w:val="auto"/>
          <w:sz w:val="30"/>
          <w:szCs w:val="30"/>
        </w:rPr>
        <w:t>需满足的国家质量验收标准如下</w:t>
      </w:r>
    </w:p>
    <w:p w14:paraId="5E62FF25">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本工程必须严格执行但不限于以下标准，所有标准为履约底线标准，</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有权从严管控</w:t>
      </w:r>
      <w:r>
        <w:rPr>
          <w:rFonts w:hint="eastAsia" w:ascii="宋体" w:hAnsi="宋体" w:eastAsia="宋体" w:cs="宋体"/>
          <w:color w:val="auto"/>
          <w:kern w:val="0"/>
          <w:sz w:val="30"/>
          <w:szCs w:val="30"/>
          <w:lang w:bidi="ar"/>
        </w:rPr>
        <w:t>，</w:t>
      </w:r>
      <w:r>
        <w:rPr>
          <w:rFonts w:ascii="宋体" w:hAnsi="宋体" w:eastAsia="宋体" w:cs="宋体"/>
          <w:color w:val="auto"/>
          <w:kern w:val="0"/>
          <w:sz w:val="30"/>
          <w:szCs w:val="30"/>
          <w:lang w:bidi="ar"/>
        </w:rPr>
        <w:t>本条款为招标文件强制性技术条款，</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所有工作成果不得低于本标准及国家、行业、地方现行最新强制规范要求，规范更新自动执行最新版本。</w:t>
      </w:r>
    </w:p>
    <w:p w14:paraId="634ABB66">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《建筑装饰装修工程质量验收标准》（GB 50210-2018）</w:t>
      </w:r>
    </w:p>
    <w:p w14:paraId="3A7B50CA">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《建筑工程施工质量验收统一标准》（GB 50300-2013）</w:t>
      </w:r>
    </w:p>
    <w:p w14:paraId="39BCACA3">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《民用建筑工程室内环境污染控制标准》（GB 50325-2020）</w:t>
      </w:r>
    </w:p>
    <w:p w14:paraId="588E772F">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《室内空气质量标准》（GB/T 18883-2022）</w:t>
      </w:r>
    </w:p>
    <w:p w14:paraId="7E0634DA">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《人造板及其制品甲醛释放量分级》（GB 18580-2025）</w:t>
      </w:r>
    </w:p>
    <w:p w14:paraId="0448903E">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《建筑材料及制品燃烧性能分级》（GB 8624-2025）</w:t>
      </w:r>
    </w:p>
    <w:p w14:paraId="342DA710">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《建筑设计防火规范》（GB 50016-2014，2018年版）</w:t>
      </w:r>
    </w:p>
    <w:p w14:paraId="34A3C19B">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《住宅室内装饰装修设计规范》（JGJ 367-2015）</w:t>
      </w:r>
    </w:p>
    <w:p w14:paraId="5CAC783D">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《建筑室内装饰装修设计防火规范》（JGJ/T 436-2018）</w:t>
      </w:r>
    </w:p>
    <w:p w14:paraId="0D525A4F">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《国家纺织产品基本安全技术规范》（GB 18401-2010）</w:t>
      </w:r>
    </w:p>
    <w:p w14:paraId="1389CD13">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《室内装饰装修材料 内墙涂料中有害物质限量》（GB 18582-2020）</w:t>
      </w:r>
    </w:p>
    <w:p w14:paraId="2EBE38CC">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《室内装饰装修材料 胶粘剂中有害物质限量》（GB 18583-2008）</w:t>
      </w:r>
    </w:p>
    <w:p w14:paraId="7B6C26F8">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《建筑材料放射性核素限量》（GB 6566-2010）</w:t>
      </w:r>
    </w:p>
    <w:p w14:paraId="76456E95">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《建筑电气工程施工质量验收规范》（GB 50303-2015）</w:t>
      </w:r>
    </w:p>
    <w:p w14:paraId="514EAC4D">
      <w:pPr>
        <w:pageBreakBefore w:val="0"/>
        <w:widowControl/>
        <w:numPr>
          <w:ilvl w:val="0"/>
          <w:numId w:val="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《灯具 第1部分：一般要求与试验》（GB 7000.1-2017）</w:t>
      </w:r>
    </w:p>
    <w:p w14:paraId="329C7E78">
      <w:pPr>
        <w:pageBreakBefore w:val="0"/>
        <w:widowControl/>
        <w:numPr>
          <w:ilvl w:val="0"/>
          <w:numId w:val="1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须完成软装方案深化、尺寸优化、点位复核、灯光软装一体化深化、消防合规深化、施工图落地深化，所有深化图纸须经</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设计、工程、成本审核确认后方可施工。</w:t>
      </w:r>
    </w:p>
    <w:p w14:paraId="776026E0">
      <w:pPr>
        <w:pageBreakBefore w:val="0"/>
        <w:widowControl/>
        <w:numPr>
          <w:ilvl w:val="0"/>
          <w:numId w:val="1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所有材料实行</w:t>
      </w:r>
      <w:r>
        <w:rPr>
          <w:rFonts w:ascii="宋体" w:hAnsi="宋体" w:eastAsia="宋体" w:cs="宋体"/>
          <w:b/>
          <w:color w:val="auto"/>
          <w:kern w:val="0"/>
          <w:sz w:val="30"/>
          <w:szCs w:val="30"/>
          <w:lang w:bidi="ar"/>
        </w:rPr>
        <w:t>先封样、先送检、先报验、后进场</w:t>
      </w:r>
      <w:r>
        <w:rPr>
          <w:rFonts w:ascii="宋体" w:hAnsi="宋体" w:eastAsia="宋体" w:cs="宋体"/>
          <w:color w:val="auto"/>
          <w:kern w:val="0"/>
          <w:sz w:val="30"/>
          <w:szCs w:val="30"/>
          <w:lang w:bidi="ar"/>
        </w:rPr>
        <w:t>制度，未封样、未检测、未报验材料严禁进场使用。</w:t>
      </w:r>
    </w:p>
    <w:p w14:paraId="268DE094">
      <w:pPr>
        <w:pageBreakBefore w:val="0"/>
        <w:widowControl/>
        <w:numPr>
          <w:ilvl w:val="0"/>
          <w:numId w:val="1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所有软装成品、半成品须满足安全、防火、环保、耐久、美观、易清洁的公区使用要求。</w:t>
      </w:r>
    </w:p>
    <w:p w14:paraId="59982E5B">
      <w:pPr>
        <w:pageBreakBefore w:val="0"/>
        <w:widowControl/>
        <w:numPr>
          <w:ilvl w:val="0"/>
          <w:numId w:val="10"/>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施工全过程做好成品保护，严禁磕碰、污染、划痕、色差，交叉施工必须采取专项防护措施。</w:t>
      </w:r>
    </w:p>
    <w:p w14:paraId="580CC6B7">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宋体"/>
          <w:b/>
          <w:bCs/>
          <w:color w:val="auto"/>
          <w:kern w:val="0"/>
          <w:sz w:val="30"/>
          <w:szCs w:val="30"/>
          <w:lang w:val="en-US" w:eastAsia="zh-CN" w:bidi="ar"/>
        </w:rPr>
      </w:pPr>
      <w:r>
        <w:rPr>
          <w:rFonts w:hint="eastAsia" w:ascii="宋体" w:hAnsi="宋体" w:eastAsia="宋体" w:cs="宋体"/>
          <w:b/>
          <w:bCs/>
          <w:color w:val="auto"/>
          <w:kern w:val="0"/>
          <w:sz w:val="30"/>
          <w:szCs w:val="30"/>
          <w:lang w:val="en-US" w:eastAsia="zh-CN" w:bidi="ar"/>
        </w:rPr>
        <w:t>5.1.2 软装材料强制技术标准</w:t>
      </w:r>
    </w:p>
    <w:p w14:paraId="5C984185">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人造板、木质装饰软装材料</w:t>
      </w:r>
    </w:p>
    <w:p w14:paraId="75119412">
      <w:pPr>
        <w:pageBreakBefore w:val="0"/>
        <w:widowControl/>
        <w:numPr>
          <w:ilvl w:val="0"/>
          <w:numId w:val="1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执行标准：GB 18580-2025《人造板及其制品甲醛释放量分级》</w:t>
      </w:r>
      <w:r>
        <w:rPr>
          <w:rFonts w:hint="eastAsia" w:ascii="宋体" w:hAnsi="宋体" w:eastAsia="宋体" w:cs="宋体"/>
          <w:color w:val="auto"/>
          <w:kern w:val="0"/>
          <w:sz w:val="30"/>
          <w:szCs w:val="30"/>
          <w:lang w:bidi="ar"/>
        </w:rPr>
        <w:t>。</w:t>
      </w:r>
    </w:p>
    <w:p w14:paraId="21286401">
      <w:pPr>
        <w:pageBreakBefore w:val="0"/>
        <w:widowControl/>
        <w:numPr>
          <w:ilvl w:val="0"/>
          <w:numId w:val="1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公区所有装饰墙板、固定造型、装饰柜体、木质软装构件</w:t>
      </w:r>
      <w:r>
        <w:rPr>
          <w:rFonts w:ascii="宋体" w:hAnsi="宋体" w:eastAsia="宋体" w:cs="宋体"/>
          <w:b/>
          <w:color w:val="auto"/>
          <w:kern w:val="0"/>
          <w:sz w:val="30"/>
          <w:szCs w:val="30"/>
          <w:lang w:bidi="ar"/>
        </w:rPr>
        <w:t>最低不低于E0级</w:t>
      </w:r>
      <w:r>
        <w:rPr>
          <w:rFonts w:ascii="宋体" w:hAnsi="宋体" w:eastAsia="宋体" w:cs="宋体"/>
          <w:color w:val="auto"/>
          <w:kern w:val="0"/>
          <w:sz w:val="30"/>
          <w:szCs w:val="30"/>
          <w:lang w:bidi="ar"/>
        </w:rPr>
        <w:t>。</w:t>
      </w:r>
    </w:p>
    <w:p w14:paraId="55ED2C46">
      <w:pPr>
        <w:pageBreakBefore w:val="0"/>
        <w:widowControl/>
        <w:numPr>
          <w:ilvl w:val="0"/>
          <w:numId w:val="1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检测方法采用1m³气候箱法，进场须提供有效期内CMA检测报告、产品合格证、出厂检验报告。</w:t>
      </w:r>
    </w:p>
    <w:p w14:paraId="15FD3760">
      <w:pPr>
        <w:pageBreakBefore w:val="0"/>
        <w:widowControl/>
        <w:numPr>
          <w:ilvl w:val="0"/>
          <w:numId w:val="1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所有木质构件必须做防腐、防潮、防火阻燃涂刷处理，满足公区防火等级要求。</w:t>
      </w:r>
    </w:p>
    <w:p w14:paraId="1118D560">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布艺、窗帘、软包面料</w:t>
      </w:r>
    </w:p>
    <w:p w14:paraId="2FE1FF01">
      <w:pPr>
        <w:pageBreakBefore w:val="0"/>
        <w:widowControl/>
        <w:numPr>
          <w:ilvl w:val="0"/>
          <w:numId w:val="1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安全等级：执行GB 18401-2010，所有窗帘、装饰布、墙面软包面料、沙发抱枕、装饰挂布不低于</w:t>
      </w:r>
      <w:r>
        <w:rPr>
          <w:rFonts w:ascii="宋体" w:hAnsi="宋体" w:eastAsia="宋体" w:cs="宋体"/>
          <w:b/>
          <w:color w:val="auto"/>
          <w:kern w:val="0"/>
          <w:sz w:val="30"/>
          <w:szCs w:val="30"/>
          <w:lang w:bidi="ar"/>
        </w:rPr>
        <w:t>C类安全标准</w:t>
      </w:r>
      <w:r>
        <w:rPr>
          <w:rFonts w:ascii="宋体" w:hAnsi="宋体" w:eastAsia="宋体" w:cs="宋体"/>
          <w:color w:val="auto"/>
          <w:kern w:val="0"/>
          <w:sz w:val="30"/>
          <w:szCs w:val="30"/>
          <w:lang w:bidi="ar"/>
        </w:rPr>
        <w:t>。</w:t>
      </w:r>
    </w:p>
    <w:p w14:paraId="6C78E485">
      <w:pPr>
        <w:pageBreakBefore w:val="0"/>
        <w:widowControl/>
        <w:numPr>
          <w:ilvl w:val="0"/>
          <w:numId w:val="1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防火等级：严格执行GB 8624-2025，公区所有布艺软装</w:t>
      </w:r>
      <w:r>
        <w:rPr>
          <w:rFonts w:ascii="宋体" w:hAnsi="宋体" w:eastAsia="宋体" w:cs="宋体"/>
          <w:b/>
          <w:color w:val="auto"/>
          <w:kern w:val="0"/>
          <w:sz w:val="30"/>
          <w:szCs w:val="30"/>
          <w:lang w:bidi="ar"/>
        </w:rPr>
        <w:t>必须达到B1级难燃标准</w:t>
      </w:r>
      <w:r>
        <w:rPr>
          <w:rFonts w:ascii="宋体" w:hAnsi="宋体" w:eastAsia="宋体" w:cs="宋体"/>
          <w:color w:val="auto"/>
          <w:kern w:val="0"/>
          <w:sz w:val="30"/>
          <w:szCs w:val="30"/>
          <w:lang w:bidi="ar"/>
        </w:rPr>
        <w:t>，严禁使用B3级易燃材料。</w:t>
      </w:r>
    </w:p>
    <w:p w14:paraId="01DA5B0F">
      <w:pPr>
        <w:pageBreakBefore w:val="0"/>
        <w:widowControl/>
        <w:numPr>
          <w:ilvl w:val="0"/>
          <w:numId w:val="1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必检指标：甲醛含量、pH值、可分解致癌芳香胺染料、异味、干湿摩擦色牢度、阻燃性能，全部合格方可进场。</w:t>
      </w:r>
    </w:p>
    <w:p w14:paraId="1DD4D4B3">
      <w:pPr>
        <w:pageBreakBefore w:val="0"/>
        <w:widowControl/>
        <w:numPr>
          <w:ilvl w:val="0"/>
          <w:numId w:val="1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面料要求：耐晒、耐老化、不易褪色、抗静电、易清洁，适配公区长期使用。</w:t>
      </w:r>
    </w:p>
    <w:p w14:paraId="2608A216">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皮革类软装材料</w:t>
      </w:r>
    </w:p>
    <w:p w14:paraId="4C0913FB">
      <w:pPr>
        <w:pageBreakBefore w:val="0"/>
        <w:widowControl/>
        <w:numPr>
          <w:ilvl w:val="0"/>
          <w:numId w:val="14"/>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 xml:space="preserve"> 执行GB 20400-2006皮革有害物质限量标准，无重金属超标、无有害染料、无刺鼻异味。</w:t>
      </w:r>
    </w:p>
    <w:p w14:paraId="4FDC4C4A">
      <w:pPr>
        <w:pageBreakBefore w:val="0"/>
        <w:widowControl/>
        <w:numPr>
          <w:ilvl w:val="0"/>
          <w:numId w:val="14"/>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 xml:space="preserve"> 皮艺软包、沙发饰面耐磨、耐刮、耐老化、色牢度高，阻燃性能符合公区B1级要求。</w:t>
      </w:r>
    </w:p>
    <w:p w14:paraId="52336943">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胶黏剂、涂料、界面辅料</w:t>
      </w:r>
    </w:p>
    <w:p w14:paraId="77F1B900">
      <w:pPr>
        <w:pageBreakBefore w:val="0"/>
        <w:widowControl/>
        <w:numPr>
          <w:ilvl w:val="0"/>
          <w:numId w:val="15"/>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所有软装专用胶、免钉胶、结构胶、裱糊胶执行GB 18583-2008，严禁苯、甲苯、二甲苯超标，低VOC、低异味。</w:t>
      </w:r>
    </w:p>
    <w:p w14:paraId="1E71BDD0">
      <w:pPr>
        <w:pageBreakBefore w:val="0"/>
        <w:widowControl/>
        <w:numPr>
          <w:ilvl w:val="0"/>
          <w:numId w:val="15"/>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 xml:space="preserve"> 艺术漆、肌理饰面、软装配套涂装执行GB 18582-2020，VOC、甲醛、重金属含量符合国标限值。</w:t>
      </w:r>
    </w:p>
    <w:p w14:paraId="3C21FA2E">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石材、装饰主材</w:t>
      </w:r>
    </w:p>
    <w:p w14:paraId="317D2FEA">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天然及人造装饰石材执行GB 6566-2010，</w:t>
      </w:r>
      <w:r>
        <w:rPr>
          <w:rFonts w:ascii="宋体" w:hAnsi="宋体" w:eastAsia="宋体" w:cs="宋体"/>
          <w:b/>
          <w:color w:val="auto"/>
          <w:kern w:val="0"/>
          <w:sz w:val="30"/>
          <w:szCs w:val="30"/>
          <w:lang w:bidi="ar"/>
        </w:rPr>
        <w:t>必须为A类石材</w:t>
      </w:r>
      <w:r>
        <w:rPr>
          <w:rFonts w:ascii="宋体" w:hAnsi="宋体" w:eastAsia="宋体" w:cs="宋体"/>
          <w:color w:val="auto"/>
          <w:kern w:val="0"/>
          <w:sz w:val="30"/>
          <w:szCs w:val="30"/>
          <w:lang w:bidi="ar"/>
        </w:rPr>
        <w:t>，可用于所有室内公区，放射性指标达标，提供检测报告。</w:t>
      </w:r>
    </w:p>
    <w:p w14:paraId="65B3C573">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装饰灯具及电气软装</w:t>
      </w:r>
    </w:p>
    <w:p w14:paraId="31891B3F">
      <w:pPr>
        <w:pageBreakBefore w:val="0"/>
        <w:widowControl/>
        <w:numPr>
          <w:ilvl w:val="0"/>
          <w:numId w:val="16"/>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灯具安全执行GB 7000.1-2017，绝缘、接地、防护等级满足室内公区使用要求。</w:t>
      </w:r>
    </w:p>
    <w:p w14:paraId="4ADFF161">
      <w:pPr>
        <w:pageBreakBefore w:val="0"/>
        <w:widowControl/>
        <w:numPr>
          <w:ilvl w:val="0"/>
          <w:numId w:val="16"/>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灯具安装、接线、承重、封堵严格执行GB 50303-2015，杜绝漏电、脱落、过热隐患。</w:t>
      </w:r>
    </w:p>
    <w:p w14:paraId="5749C85C">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仿真花艺、绿植、装饰摆件</w:t>
      </w:r>
    </w:p>
    <w:p w14:paraId="128ABF41">
      <w:pPr>
        <w:pageBreakBefore w:val="0"/>
        <w:widowControl/>
        <w:numPr>
          <w:ilvl w:val="0"/>
          <w:numId w:val="17"/>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 xml:space="preserve"> 材质无回收劣质塑料、无刺鼻异味、无VOC超标，色彩均匀、造型精致、无掉漆掉色。</w:t>
      </w:r>
    </w:p>
    <w:p w14:paraId="716BCE8D">
      <w:pPr>
        <w:pageBreakBefore w:val="0"/>
        <w:widowControl/>
        <w:numPr>
          <w:ilvl w:val="0"/>
          <w:numId w:val="17"/>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 xml:space="preserve"> 绿植花器、装饰摆件牢固稳定，公区人流密集位置杜绝倾倒风险。</w:t>
      </w:r>
    </w:p>
    <w:p w14:paraId="6561A0B6">
      <w:pPr>
        <w:pageBreakBefore w:val="0"/>
        <w:widowControl/>
        <w:tabs>
          <w:tab w:val="left" w:pos="720"/>
        </w:tabs>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宋体"/>
          <w:b/>
          <w:bCs/>
          <w:color w:val="auto"/>
          <w:kern w:val="0"/>
          <w:sz w:val="30"/>
          <w:szCs w:val="30"/>
          <w:lang w:val="en-US" w:eastAsia="zh-CN" w:bidi="ar"/>
        </w:rPr>
      </w:pPr>
      <w:r>
        <w:rPr>
          <w:rFonts w:hint="eastAsia" w:ascii="宋体" w:hAnsi="宋体" w:eastAsia="宋体" w:cs="宋体"/>
          <w:b/>
          <w:bCs/>
          <w:color w:val="auto"/>
          <w:kern w:val="0"/>
          <w:sz w:val="30"/>
          <w:szCs w:val="30"/>
          <w:lang w:val="en-US" w:eastAsia="zh-CN" w:bidi="ar"/>
        </w:rPr>
        <w:t>5.1.3施工及安装工艺质量标准</w:t>
      </w:r>
    </w:p>
    <w:p w14:paraId="2DA77545">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裱糊、软包、硬包工程</w:t>
      </w:r>
    </w:p>
    <w:p w14:paraId="68DA44A7">
      <w:pPr>
        <w:pageBreakBefore w:val="0"/>
        <w:widowControl/>
        <w:numPr>
          <w:ilvl w:val="0"/>
          <w:numId w:val="1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基层、龙骨、底板平整牢固，防腐、防潮、防火处理到位，隐蔽验收合格后方可面层施工。</w:t>
      </w:r>
    </w:p>
    <w:p w14:paraId="0CFF1A03">
      <w:pPr>
        <w:pageBreakBefore w:val="0"/>
        <w:widowControl/>
        <w:numPr>
          <w:ilvl w:val="0"/>
          <w:numId w:val="1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软包面层平整、无空鼓、无翘边、无褶皱、无破损、无色差、无污渍。</w:t>
      </w:r>
    </w:p>
    <w:p w14:paraId="35EA8D23">
      <w:pPr>
        <w:pageBreakBefore w:val="0"/>
        <w:widowControl/>
        <w:numPr>
          <w:ilvl w:val="0"/>
          <w:numId w:val="1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接缝顺直、拼缝均匀、阴阳角方正、收口严密，与吊顶、墙面、柜体交接顺直无瑕疵。</w:t>
      </w:r>
    </w:p>
    <w:p w14:paraId="63B7E88C">
      <w:pPr>
        <w:pageBreakBefore w:val="0"/>
        <w:widowControl/>
        <w:numPr>
          <w:ilvl w:val="0"/>
          <w:numId w:val="1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内衬填充材料环保、无异味、阻燃达标，填充饱满平整。</w:t>
      </w:r>
    </w:p>
    <w:p w14:paraId="12202192">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细部固定软装安装</w:t>
      </w:r>
    </w:p>
    <w:p w14:paraId="795278CE">
      <w:pPr>
        <w:pageBreakBefore w:val="0"/>
        <w:widowControl/>
        <w:numPr>
          <w:ilvl w:val="0"/>
          <w:numId w:val="19"/>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窗帘盒、窗帘轨道、装饰线条、挂镜线、装饰收口、固定艺术构件安装牢固、无松动、无晃动。</w:t>
      </w:r>
    </w:p>
    <w:p w14:paraId="1E5A174B">
      <w:pPr>
        <w:pageBreakBefore w:val="0"/>
        <w:widowControl/>
        <w:numPr>
          <w:ilvl w:val="0"/>
          <w:numId w:val="19"/>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水平度、垂直度、直线度偏差符合国标允许偏差，整体观感统一、精致、顺直。</w:t>
      </w:r>
    </w:p>
    <w:p w14:paraId="72B28B1F">
      <w:pPr>
        <w:pageBreakBefore w:val="0"/>
        <w:widowControl/>
        <w:numPr>
          <w:ilvl w:val="0"/>
          <w:numId w:val="19"/>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五金配件防锈防腐、开合顺畅、承重可靠，重型软装构件必须预埋加固。</w:t>
      </w:r>
    </w:p>
    <w:p w14:paraId="0DABCF5B">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成品保护及现场管理</w:t>
      </w:r>
    </w:p>
    <w:p w14:paraId="54F03147">
      <w:pPr>
        <w:pageBreakBefore w:val="0"/>
        <w:widowControl/>
        <w:numPr>
          <w:ilvl w:val="0"/>
          <w:numId w:val="20"/>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软装进场、安装、调试全过程采取专项成品保护，布艺、皮革、灯具、艺术装置重点防护。</w:t>
      </w:r>
    </w:p>
    <w:p w14:paraId="515250C3">
      <w:pPr>
        <w:pageBreakBefore w:val="0"/>
        <w:widowControl/>
        <w:numPr>
          <w:ilvl w:val="0"/>
          <w:numId w:val="20"/>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交叉施工采取隔离、覆盖、防护措施，杜绝污染、划痕、破损、变色。</w:t>
      </w:r>
    </w:p>
    <w:p w14:paraId="2FBCA0B0">
      <w:pPr>
        <w:pageBreakBefore w:val="0"/>
        <w:widowControl/>
        <w:numPr>
          <w:ilvl w:val="0"/>
          <w:numId w:val="20"/>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完工后精细开荒保洁，无灰尘、无污渍、无胶迹、无杂物，达到</w:t>
      </w:r>
      <w:r>
        <w:rPr>
          <w:rFonts w:hint="eastAsia" w:ascii="宋体" w:hAnsi="宋体" w:eastAsia="宋体" w:cs="宋体"/>
          <w:color w:val="auto"/>
          <w:kern w:val="0"/>
          <w:sz w:val="30"/>
          <w:szCs w:val="30"/>
          <w:lang w:bidi="ar"/>
        </w:rPr>
        <w:t>交付</w:t>
      </w:r>
      <w:r>
        <w:rPr>
          <w:rFonts w:ascii="宋体" w:hAnsi="宋体" w:eastAsia="宋体" w:cs="宋体"/>
          <w:color w:val="auto"/>
          <w:kern w:val="0"/>
          <w:sz w:val="30"/>
          <w:szCs w:val="30"/>
          <w:lang w:bidi="ar"/>
        </w:rPr>
        <w:t>标准。</w:t>
      </w:r>
    </w:p>
    <w:p w14:paraId="4CEE2823">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5.1.4防火、环保、室内环境验收标准</w:t>
      </w:r>
    </w:p>
    <w:p w14:paraId="27E2CC68">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防火验收强制标准</w:t>
      </w:r>
    </w:p>
    <w:p w14:paraId="7CFAC6EC">
      <w:pPr>
        <w:pageBreakBefore w:val="0"/>
        <w:widowControl/>
        <w:numPr>
          <w:ilvl w:val="0"/>
          <w:numId w:val="21"/>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所有公区软装布艺、软包、地毯、木质装饰燃烧性能均需提供B1级难燃检测报告，资料齐全、真实有效。</w:t>
      </w:r>
    </w:p>
    <w:p w14:paraId="7AE08D62">
      <w:pPr>
        <w:pageBreakBefore w:val="0"/>
        <w:widowControl/>
        <w:numPr>
          <w:ilvl w:val="0"/>
          <w:numId w:val="21"/>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软装施工不得破坏原有防火分区、防火封堵、消防设施，严禁遮挡、占用消防功能区域。</w:t>
      </w:r>
    </w:p>
    <w:p w14:paraId="305B912A">
      <w:pPr>
        <w:pageBreakBefore w:val="0"/>
        <w:widowControl/>
        <w:numPr>
          <w:ilvl w:val="0"/>
          <w:numId w:val="21"/>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所有木质软装、填充材料防火阻燃处理到位，满足公区消防安全验收要求。</w:t>
      </w:r>
    </w:p>
    <w:p w14:paraId="168C439F">
      <w:pPr>
        <w:keepNext w:val="0"/>
        <w:keepLines w:val="0"/>
        <w:pageBreakBefore w:val="0"/>
        <w:widowControl/>
        <w:numPr>
          <w:ilvl w:val="0"/>
          <w:numId w:val="1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室内环境环保验收</w:t>
      </w:r>
    </w:p>
    <w:p w14:paraId="17B60383">
      <w:pPr>
        <w:pageBreakBefore w:val="0"/>
        <w:widowControl/>
        <w:numPr>
          <w:ilvl w:val="0"/>
          <w:numId w:val="22"/>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执行双重标准：工程验收执行GB 50325-2020，健康人居提升标准执行GB/T 18883-2022。</w:t>
      </w:r>
    </w:p>
    <w:p w14:paraId="468041B1">
      <w:pPr>
        <w:pageBreakBefore w:val="0"/>
        <w:widowControl/>
        <w:numPr>
          <w:ilvl w:val="0"/>
          <w:numId w:val="22"/>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验收控制指标：甲醛、苯、甲苯、二甲苯、TVOC、氨、氡全部达标。</w:t>
      </w:r>
    </w:p>
    <w:p w14:paraId="73013CDB">
      <w:pPr>
        <w:pageBreakBefore w:val="0"/>
        <w:widowControl/>
        <w:numPr>
          <w:ilvl w:val="0"/>
          <w:numId w:val="22"/>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关闭门窗12小时，委托具备CMA资质第三方机构检测，检测合格报告作为竣工验收、移交、结算必备资料。</w:t>
      </w:r>
    </w:p>
    <w:p w14:paraId="1AB5FCEB">
      <w:pPr>
        <w:pageBreakBefore w:val="0"/>
        <w:widowControl/>
        <w:numPr>
          <w:ilvl w:val="0"/>
          <w:numId w:val="22"/>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若检测超标，</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须无条件更换材料、专项治理、复检直至合格，承担所有工期及经济损失。</w:t>
      </w:r>
    </w:p>
    <w:p w14:paraId="08F35C04">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5.1.5不合格处置</w:t>
      </w:r>
    </w:p>
    <w:p w14:paraId="3E90488D">
      <w:pPr>
        <w:pageBreakBefore w:val="0"/>
        <w:widowControl/>
        <w:numPr>
          <w:ilvl w:val="0"/>
          <w:numId w:val="2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材料不合格：无条件退场、重新采购封样送检，工期不顺延、费用不增加；</w:t>
      </w:r>
    </w:p>
    <w:p w14:paraId="4DCCF245">
      <w:pPr>
        <w:pageBreakBefore w:val="0"/>
        <w:widowControl/>
        <w:numPr>
          <w:ilvl w:val="0"/>
          <w:numId w:val="2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施工质量不合格：无条件返工、整改至国标及</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观感标准；</w:t>
      </w:r>
    </w:p>
    <w:p w14:paraId="7287D2FF">
      <w:pPr>
        <w:pageBreakBefore w:val="0"/>
        <w:widowControl/>
        <w:numPr>
          <w:ilvl w:val="0"/>
          <w:numId w:val="2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环保、防火指标不达标：视为重大质量缺陷，不予竣工验收，不予结算。</w:t>
      </w:r>
    </w:p>
    <w:p w14:paraId="47C87B03">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p>
    <w:p w14:paraId="70A8CFE8">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outlineLvl w:val="2"/>
        <w:rPr>
          <w:rFonts w:hint="eastAsia" w:ascii="宋体" w:hAnsi="宋体" w:eastAsia="宋体" w:cs="宋体"/>
          <w:b/>
          <w:bCs/>
          <w:color w:val="auto"/>
          <w:sz w:val="30"/>
          <w:szCs w:val="30"/>
        </w:rPr>
      </w:pPr>
      <w:bookmarkStart w:id="330" w:name="_Toc26915"/>
      <w:r>
        <w:rPr>
          <w:rFonts w:hint="eastAsia" w:ascii="宋体" w:hAnsi="宋体" w:eastAsia="宋体" w:cs="宋体"/>
          <w:b/>
          <w:bCs/>
          <w:color w:val="auto"/>
          <w:sz w:val="30"/>
          <w:szCs w:val="30"/>
        </w:rPr>
        <w:t>5.2儿童游乐设施技术要求</w:t>
      </w:r>
      <w:bookmarkEnd w:id="330"/>
    </w:p>
    <w:p w14:paraId="75FE40EA">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5.2.1总体要求</w:t>
      </w:r>
    </w:p>
    <w:p w14:paraId="0ED5BA52">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本文件为项目招标、评标、施工管控、竣工验收、结算履约的技术依据，</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所有工作成果不得低于本文件条款及国家、行业现行最新强制规范，规范版本更新自动执行最新有效版本，</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及集团工程、成本、设计部门有权从严验收管控。</w:t>
      </w:r>
    </w:p>
    <w:p w14:paraId="6DECEA0F">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本工程所有设备制造、结构安全、场地铺装、施工安装、环保阻燃、验收判定必须100%执行以下强制标准，低于本标准视为不合格工程，无条件返工退场：</w:t>
      </w:r>
    </w:p>
    <w:p w14:paraId="3EF51A7A">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《游乐设施安全规范 第1部分：总则》（GB 8408.1-2022）（国家强制新版）</w:t>
      </w:r>
    </w:p>
    <w:p w14:paraId="496F4FC3">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《游乐设施安全规范 第2部分：儿童游乐设施》（GB 8408.2-2022）（儿童专项强条全覆盖）</w:t>
      </w:r>
    </w:p>
    <w:p w14:paraId="6670B883">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《儿童游乐设施场地安全要求》（GB/T 39222-2020）（场地间距、缓冲、防护专项标准）</w:t>
      </w:r>
    </w:p>
    <w:p w14:paraId="45F15276">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《柔性泡沫橡塑铺装地面技术规范》（GB/T 39025-2020）（EPDM塑胶铺装施工验收）</w:t>
      </w:r>
    </w:p>
    <w:p w14:paraId="5FDBEAE6">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《建筑工程施工质量验收统一标准》（GB 50300-2013）</w:t>
      </w:r>
    </w:p>
    <w:p w14:paraId="56BC0F48">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《建筑地面工程施工质量验收规范》（GB 50209-2010）</w:t>
      </w:r>
    </w:p>
    <w:p w14:paraId="2020566E">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《民用建筑工程室内环境污染控制标准》（GB 50325-2020）</w:t>
      </w:r>
    </w:p>
    <w:p w14:paraId="142ED1A8">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《人造板及其制品甲醛释放量分级》（GB 18580-2025）</w:t>
      </w:r>
    </w:p>
    <w:p w14:paraId="08BBC06F">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《国家纺织产品基本安全技术规范》（GB 18401-2010）</w:t>
      </w:r>
    </w:p>
    <w:p w14:paraId="0700369C">
      <w:pPr>
        <w:pageBreakBefore w:val="0"/>
        <w:widowControl/>
        <w:numPr>
          <w:ilvl w:val="0"/>
          <w:numId w:val="2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《建筑设计防火规范》（GB 50016-2014，2018年版）</w:t>
      </w:r>
    </w:p>
    <w:p w14:paraId="3DCA51BB">
      <w:pPr>
        <w:pageBreakBefore w:val="0"/>
        <w:widowControl/>
        <w:numPr>
          <w:ilvl w:val="0"/>
          <w:numId w:val="2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所有设备实行</w:t>
      </w:r>
      <w:r>
        <w:rPr>
          <w:rFonts w:ascii="宋体" w:hAnsi="宋体" w:eastAsia="宋体" w:cs="宋体"/>
          <w:b/>
          <w:color w:val="auto"/>
          <w:kern w:val="0"/>
          <w:sz w:val="30"/>
          <w:szCs w:val="30"/>
          <w:lang w:bidi="ar"/>
        </w:rPr>
        <w:t>图纸深化先行、样品封样前置、送检报验必审</w:t>
      </w:r>
      <w:r>
        <w:rPr>
          <w:rFonts w:ascii="宋体" w:hAnsi="宋体" w:eastAsia="宋体" w:cs="宋体"/>
          <w:color w:val="auto"/>
          <w:kern w:val="0"/>
          <w:sz w:val="30"/>
          <w:szCs w:val="30"/>
          <w:lang w:bidi="ar"/>
        </w:rPr>
        <w:t>制度，未通过</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深化审核、未封样、未取得CMA合格报告的设备及材料，严禁生产、进场、安装。</w:t>
      </w:r>
    </w:p>
    <w:p w14:paraId="7DD76E3C">
      <w:pPr>
        <w:pageBreakBefore w:val="0"/>
        <w:widowControl/>
        <w:numPr>
          <w:ilvl w:val="0"/>
          <w:numId w:val="2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所有设备、主材、辅材、铺装材料必须为全新原生料，严禁回收料、翻新料、劣质掺杂料，进场需提供原材料溯源及厂家资质证明。</w:t>
      </w:r>
    </w:p>
    <w:p w14:paraId="5A3B0D29">
      <w:pPr>
        <w:pageBreakBefore w:val="0"/>
        <w:widowControl/>
        <w:numPr>
          <w:ilvl w:val="0"/>
          <w:numId w:val="2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设备整体满足</w:t>
      </w:r>
      <w:r>
        <w:rPr>
          <w:rFonts w:ascii="宋体" w:hAnsi="宋体" w:eastAsia="宋体" w:cs="宋体"/>
          <w:b/>
          <w:color w:val="auto"/>
          <w:kern w:val="0"/>
          <w:sz w:val="30"/>
          <w:szCs w:val="30"/>
          <w:lang w:bidi="ar"/>
        </w:rPr>
        <w:t>全安全零隐患、全环保零异味、全耐候零老化、全圆角零棱角</w:t>
      </w:r>
      <w:r>
        <w:rPr>
          <w:rFonts w:ascii="宋体" w:hAnsi="宋体" w:eastAsia="宋体" w:cs="宋体"/>
          <w:color w:val="auto"/>
          <w:kern w:val="0"/>
          <w:sz w:val="30"/>
          <w:szCs w:val="30"/>
          <w:lang w:bidi="ar"/>
        </w:rPr>
        <w:t>地产交付标准，适配小区2-12岁儿童高频使用。</w:t>
      </w:r>
    </w:p>
    <w:p w14:paraId="1E577C69">
      <w:pPr>
        <w:pageBreakBefore w:val="0"/>
        <w:widowControl/>
        <w:numPr>
          <w:ilvl w:val="0"/>
          <w:numId w:val="25"/>
        </w:numPr>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color w:val="auto"/>
          <w:kern w:val="0"/>
          <w:sz w:val="30"/>
          <w:szCs w:val="30"/>
          <w:lang w:bidi="ar"/>
        </w:rPr>
      </w:pPr>
      <w:r>
        <w:rPr>
          <w:rFonts w:ascii="宋体" w:hAnsi="宋体" w:eastAsia="宋体" w:cs="宋体"/>
          <w:color w:val="auto"/>
          <w:kern w:val="0"/>
          <w:sz w:val="30"/>
          <w:szCs w:val="30"/>
          <w:lang w:bidi="ar"/>
        </w:rPr>
        <w:t>施工全过程严格执行成品保护制度，设备进场、吊装、组装、铺装、保洁各阶段杜绝划痕、掉漆、变形、污染、破损。</w:t>
      </w:r>
    </w:p>
    <w:p w14:paraId="6F4772FB">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5.2.2设备通用安全强制技术参数</w:t>
      </w:r>
    </w:p>
    <w:p w14:paraId="40CC21ED">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本章为GB 8408.2-2022新版国标硬性强条，所有尺寸、间隙、荷载、防护为</w:t>
      </w:r>
      <w:r>
        <w:rPr>
          <w:rFonts w:ascii="宋体" w:hAnsi="宋体" w:eastAsia="宋体" w:cs="宋体"/>
          <w:b/>
          <w:color w:val="auto"/>
          <w:kern w:val="0"/>
          <w:sz w:val="30"/>
          <w:szCs w:val="30"/>
          <w:lang w:bidi="ar"/>
        </w:rPr>
        <w:t>招标底线参数，严禁超标</w:t>
      </w:r>
      <w:r>
        <w:rPr>
          <w:rFonts w:ascii="宋体" w:hAnsi="宋体" w:eastAsia="宋体" w:cs="宋体"/>
          <w:color w:val="auto"/>
          <w:kern w:val="0"/>
          <w:sz w:val="30"/>
          <w:szCs w:val="30"/>
          <w:lang w:bidi="ar"/>
        </w:rPr>
        <w:t>。</w:t>
      </w:r>
    </w:p>
    <w:p w14:paraId="625E0933">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防夹、防卡、防缠绕安全间隙标准</w:t>
      </w:r>
    </w:p>
    <w:p w14:paraId="11B7BCFE">
      <w:pPr>
        <w:pageBreakBefore w:val="0"/>
        <w:widowControl/>
        <w:numPr>
          <w:ilvl w:val="0"/>
          <w:numId w:val="27"/>
        </w:numPr>
        <w:kinsoku/>
        <w:wordWrap/>
        <w:overflowPunct/>
        <w:topLinePunct w:val="0"/>
        <w:autoSpaceDE/>
        <w:autoSpaceDN/>
        <w:bidi w:val="0"/>
        <w:adjustRightInd w:val="0"/>
        <w:snapToGrid/>
        <w:spacing w:line="520" w:lineRule="exact"/>
        <w:ind w:left="0" w:leftChars="0" w:firstLine="602" w:firstLineChars="200"/>
        <w:jc w:val="both"/>
        <w:textAlignment w:val="auto"/>
        <w:rPr>
          <w:rFonts w:ascii="Times New Roman" w:hAnsi="Times New Roman" w:eastAsia="宋体" w:cs="Times New Roman"/>
          <w:color w:val="auto"/>
          <w:sz w:val="30"/>
          <w:szCs w:val="30"/>
        </w:rPr>
      </w:pPr>
      <w:r>
        <w:rPr>
          <w:rFonts w:ascii="宋体" w:hAnsi="宋体" w:eastAsia="宋体" w:cs="宋体"/>
          <w:b/>
          <w:color w:val="auto"/>
          <w:kern w:val="0"/>
          <w:sz w:val="30"/>
          <w:szCs w:val="30"/>
          <w:lang w:bidi="ar"/>
        </w:rPr>
        <w:t>头部、颈部卡滞防护</w:t>
      </w:r>
      <w:r>
        <w:rPr>
          <w:rFonts w:ascii="宋体" w:hAnsi="宋体" w:eastAsia="宋体" w:cs="宋体"/>
          <w:color w:val="auto"/>
          <w:kern w:val="0"/>
          <w:sz w:val="30"/>
          <w:szCs w:val="30"/>
          <w:lang w:bidi="ar"/>
        </w:rPr>
        <w:t>：设备所有封闭式间隙、杆件间距、网格开孔尺寸严禁出现80mm～180mm危险区间，杜绝卡头、卡颈风险；小于80mm或大于180mm为合规尺寸。</w:t>
      </w:r>
    </w:p>
    <w:p w14:paraId="2F68B6D1">
      <w:pPr>
        <w:pageBreakBefore w:val="0"/>
        <w:widowControl/>
        <w:numPr>
          <w:ilvl w:val="0"/>
          <w:numId w:val="27"/>
        </w:numPr>
        <w:kinsoku/>
        <w:wordWrap/>
        <w:overflowPunct/>
        <w:topLinePunct w:val="0"/>
        <w:autoSpaceDE/>
        <w:autoSpaceDN/>
        <w:bidi w:val="0"/>
        <w:adjustRightInd w:val="0"/>
        <w:snapToGrid/>
        <w:spacing w:line="520" w:lineRule="exact"/>
        <w:ind w:left="0" w:leftChars="0" w:firstLine="602" w:firstLineChars="200"/>
        <w:jc w:val="both"/>
        <w:textAlignment w:val="auto"/>
        <w:rPr>
          <w:rFonts w:ascii="Times New Roman" w:hAnsi="Times New Roman" w:eastAsia="宋体" w:cs="Times New Roman"/>
          <w:color w:val="auto"/>
          <w:sz w:val="30"/>
          <w:szCs w:val="30"/>
        </w:rPr>
      </w:pPr>
      <w:r>
        <w:rPr>
          <w:rFonts w:ascii="宋体" w:hAnsi="宋体" w:eastAsia="宋体" w:cs="宋体"/>
          <w:b/>
          <w:color w:val="auto"/>
          <w:kern w:val="0"/>
          <w:sz w:val="30"/>
          <w:szCs w:val="30"/>
          <w:lang w:bidi="ar"/>
        </w:rPr>
        <w:t>手部、肢体夹伤防护</w:t>
      </w:r>
      <w:r>
        <w:rPr>
          <w:rFonts w:ascii="宋体" w:hAnsi="宋体" w:eastAsia="宋体" w:cs="宋体"/>
          <w:color w:val="auto"/>
          <w:kern w:val="0"/>
          <w:sz w:val="30"/>
          <w:szCs w:val="30"/>
          <w:lang w:bidi="ar"/>
        </w:rPr>
        <w:t>：活动构件、开合部位、滑动间隙、转动间隙不得出现5mm～30mm危险间隙，防止夹手、夹指。</w:t>
      </w:r>
    </w:p>
    <w:p w14:paraId="29D20456">
      <w:pPr>
        <w:pageBreakBefore w:val="0"/>
        <w:widowControl/>
        <w:numPr>
          <w:ilvl w:val="0"/>
          <w:numId w:val="27"/>
        </w:numPr>
        <w:kinsoku/>
        <w:wordWrap/>
        <w:overflowPunct/>
        <w:topLinePunct w:val="0"/>
        <w:autoSpaceDE/>
        <w:autoSpaceDN/>
        <w:bidi w:val="0"/>
        <w:adjustRightInd w:val="0"/>
        <w:snapToGrid/>
        <w:spacing w:line="520" w:lineRule="exact"/>
        <w:ind w:left="0" w:leftChars="0" w:firstLine="602" w:firstLineChars="200"/>
        <w:jc w:val="both"/>
        <w:textAlignment w:val="auto"/>
        <w:rPr>
          <w:rFonts w:ascii="Times New Roman" w:hAnsi="Times New Roman" w:eastAsia="宋体" w:cs="Times New Roman"/>
          <w:color w:val="auto"/>
          <w:sz w:val="30"/>
          <w:szCs w:val="30"/>
        </w:rPr>
      </w:pPr>
      <w:r>
        <w:rPr>
          <w:rFonts w:ascii="宋体" w:hAnsi="宋体" w:eastAsia="宋体" w:cs="宋体"/>
          <w:b/>
          <w:color w:val="auto"/>
          <w:kern w:val="0"/>
          <w:sz w:val="30"/>
          <w:szCs w:val="30"/>
          <w:lang w:bidi="ar"/>
        </w:rPr>
        <w:t>衣物缠绕防护</w:t>
      </w:r>
      <w:r>
        <w:rPr>
          <w:rFonts w:ascii="宋体" w:hAnsi="宋体" w:eastAsia="宋体" w:cs="宋体"/>
          <w:color w:val="auto"/>
          <w:kern w:val="0"/>
          <w:sz w:val="30"/>
          <w:szCs w:val="30"/>
          <w:lang w:bidi="ar"/>
        </w:rPr>
        <w:t>所有外露杆件、挂钩、连接件无突出尖锐端头、无环形缠绕结构，绳索、链条端部固定牢固，无游离摆动缠绕隐患。</w:t>
      </w:r>
    </w:p>
    <w:p w14:paraId="726C5F40">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棱角、端头、紧固件安全标准</w:t>
      </w:r>
    </w:p>
    <w:p w14:paraId="195A66BB">
      <w:pPr>
        <w:pageBreakBefore w:val="0"/>
        <w:widowControl/>
        <w:numPr>
          <w:ilvl w:val="0"/>
          <w:numId w:val="2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设备所有可接触立面、边角、端头必须做</w:t>
      </w:r>
      <w:r>
        <w:rPr>
          <w:rFonts w:ascii="宋体" w:hAnsi="宋体" w:eastAsia="宋体" w:cs="宋体"/>
          <w:b/>
          <w:color w:val="auto"/>
          <w:kern w:val="0"/>
          <w:sz w:val="30"/>
          <w:szCs w:val="30"/>
          <w:lang w:bidi="ar"/>
        </w:rPr>
        <w:t>圆弧钝化处理</w:t>
      </w:r>
      <w:r>
        <w:rPr>
          <w:rFonts w:ascii="宋体" w:hAnsi="宋体" w:eastAsia="宋体" w:cs="宋体"/>
          <w:color w:val="auto"/>
          <w:kern w:val="0"/>
          <w:sz w:val="30"/>
          <w:szCs w:val="30"/>
          <w:lang w:bidi="ar"/>
        </w:rPr>
        <w:t>，圆角半径≥3mm，严禁直角、锐角、毛刺、割手断面。</w:t>
      </w:r>
    </w:p>
    <w:p w14:paraId="5BF62322">
      <w:pPr>
        <w:pageBreakBefore w:val="0"/>
        <w:widowControl/>
        <w:numPr>
          <w:ilvl w:val="0"/>
          <w:numId w:val="2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所有螺栓、螺母、螺丝全部采用</w:t>
      </w:r>
      <w:r>
        <w:rPr>
          <w:rFonts w:ascii="宋体" w:hAnsi="宋体" w:eastAsia="宋体" w:cs="宋体"/>
          <w:b/>
          <w:color w:val="auto"/>
          <w:kern w:val="0"/>
          <w:sz w:val="30"/>
          <w:szCs w:val="30"/>
          <w:lang w:bidi="ar"/>
        </w:rPr>
        <w:t>内嵌式、防盗防脱落结构</w:t>
      </w:r>
      <w:r>
        <w:rPr>
          <w:rFonts w:ascii="宋体" w:hAnsi="宋体" w:eastAsia="宋体" w:cs="宋体"/>
          <w:color w:val="auto"/>
          <w:kern w:val="0"/>
          <w:sz w:val="30"/>
          <w:szCs w:val="30"/>
          <w:lang w:bidi="ar"/>
        </w:rPr>
        <w:t>，严禁外露尖锐紧固件；外露金属件全部包裹防护，无硬质突出点。</w:t>
      </w:r>
    </w:p>
    <w:p w14:paraId="297B303B">
      <w:pPr>
        <w:pageBreakBefore w:val="0"/>
        <w:widowControl/>
        <w:numPr>
          <w:ilvl w:val="0"/>
          <w:numId w:val="2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设备拼接缝隙均匀顺滑，无错台、无凸起、无割边，儿童触摸无任何不适感、无伤害风险。</w:t>
      </w:r>
    </w:p>
    <w:p w14:paraId="3BA5167A">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结构荷载与稳定性能标准</w:t>
      </w:r>
    </w:p>
    <w:p w14:paraId="0565066E">
      <w:pPr>
        <w:pageBreakBefore w:val="0"/>
        <w:widowControl/>
        <w:numPr>
          <w:ilvl w:val="0"/>
          <w:numId w:val="2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所有游乐设备静态、动态荷载满足GB 8408.2-2022儿童游乐设施荷载要求，单人受力点位承载能力≥100kg，整体结构无变形、无晃动、无疲劳损伤。</w:t>
      </w:r>
    </w:p>
    <w:p w14:paraId="070E25CE">
      <w:pPr>
        <w:pageBreakBefore w:val="0"/>
        <w:widowControl/>
        <w:numPr>
          <w:ilvl w:val="0"/>
          <w:numId w:val="2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高层游乐结构、攀爬构架、滑梯平台必须设置抗倾覆结构，水平抗推力、竖向承载力满足户外风压及人群荷载要求，整机稳固无晃动。</w:t>
      </w:r>
    </w:p>
    <w:p w14:paraId="2B0B6C4A">
      <w:pPr>
        <w:pageBreakBefore w:val="0"/>
        <w:widowControl/>
        <w:numPr>
          <w:ilvl w:val="0"/>
          <w:numId w:val="2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摆动类、摇动类设备（秋千、摇马）限位装置、缓冲装置、防脱落装置齐全有效，无超行程摆动、无脱轨、无坠落风险。</w:t>
      </w:r>
    </w:p>
    <w:p w14:paraId="2C84F1E0">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4"/>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坠落防护与护栏标准</w:t>
      </w:r>
    </w:p>
    <w:p w14:paraId="7B7A6E8C">
      <w:pPr>
        <w:pageBreakBefore w:val="0"/>
        <w:widowControl/>
        <w:numPr>
          <w:ilvl w:val="0"/>
          <w:numId w:val="3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设备平台、架空区域高度≥600mm时，必须设置防护栏杆，栏杆净高≥700mm；高位平台严格按国标提升防护高度。</w:t>
      </w:r>
    </w:p>
    <w:p w14:paraId="276B915B">
      <w:pPr>
        <w:pageBreakBefore w:val="0"/>
        <w:widowControl/>
        <w:numPr>
          <w:ilvl w:val="0"/>
          <w:numId w:val="3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栏杆竖杆间距≤110mm，杜绝儿童钻空坠落、卡身风险；栏杆结构牢固，无松动、无变形、可承受侧向推力。</w:t>
      </w:r>
    </w:p>
    <w:p w14:paraId="742A03CD">
      <w:pPr>
        <w:pageBreakBefore w:val="0"/>
        <w:widowControl/>
        <w:numPr>
          <w:ilvl w:val="0"/>
          <w:numId w:val="3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滑梯出入口、平台出入口设置防滑、防踏空防护结构，高差过渡顺滑，无突兀绊脚点位。</w:t>
      </w:r>
    </w:p>
    <w:p w14:paraId="3ABD3684">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3"/>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5.2.3分品类设备专项技术要求</w:t>
      </w:r>
    </w:p>
    <w:p w14:paraId="45F99476">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组合滑梯系统</w:t>
      </w:r>
    </w:p>
    <w:p w14:paraId="02EA9E0B">
      <w:pPr>
        <w:pageBreakBefore w:val="0"/>
        <w:widowControl/>
        <w:numPr>
          <w:ilvl w:val="0"/>
          <w:numId w:val="3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滑梯面板采用全新HDPE食品级原生塑料，厚度≥6mm，一体成型、无拼接缝、无裂纹、无沙眼，表面光滑细腻，摩擦系数低，不卡衣、不磨肤。</w:t>
      </w:r>
    </w:p>
    <w:p w14:paraId="77BD28B3">
      <w:pPr>
        <w:pageBreakBefore w:val="0"/>
        <w:widowControl/>
        <w:numPr>
          <w:ilvl w:val="0"/>
          <w:numId w:val="3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滑梯坡度符合国标人体滑行参数，无陡坡冲刺、无顿挫卡顿，滑行速度均匀、安全可控。</w:t>
      </w:r>
    </w:p>
    <w:p w14:paraId="744D7A6D">
      <w:pPr>
        <w:pageBreakBefore w:val="0"/>
        <w:widowControl/>
        <w:numPr>
          <w:ilvl w:val="0"/>
          <w:numId w:val="3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滑梯两侧护边高度充足，防侧翻、防侧滑脱出；滑梯出口外延充足，缓冲区域完整，无直面硬地冲击。</w:t>
      </w:r>
    </w:p>
    <w:p w14:paraId="3E7B78FF">
      <w:pPr>
        <w:pageBreakBefore w:val="0"/>
        <w:widowControl/>
        <w:numPr>
          <w:ilvl w:val="0"/>
          <w:numId w:val="3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滑梯平台防滑纹理设计，雨天不打滑，平台排水顺畅无积水。</w:t>
      </w:r>
    </w:p>
    <w:p w14:paraId="0708306E">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攀爬游乐设施</w:t>
      </w:r>
    </w:p>
    <w:p w14:paraId="71531C7B">
      <w:pPr>
        <w:pageBreakBefore w:val="0"/>
        <w:widowControl/>
        <w:numPr>
          <w:ilvl w:val="0"/>
          <w:numId w:val="3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攀爬绳网采用高强锦纶复丝材质，直径≥16mm，抗拉强度≥2000N，节点全部机械压制+缝合双固定，不松股、不脱结、不风化。</w:t>
      </w:r>
    </w:p>
    <w:p w14:paraId="759A73C8">
      <w:pPr>
        <w:pageBreakBefore w:val="0"/>
        <w:widowControl/>
        <w:numPr>
          <w:ilvl w:val="0"/>
          <w:numId w:val="3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攀爬支点、脚踏点防滑、牢固、无松动，受力无翻转、无脱落。</w:t>
      </w:r>
    </w:p>
    <w:p w14:paraId="13DB6738">
      <w:pPr>
        <w:pageBreakBefore w:val="0"/>
        <w:widowControl/>
        <w:numPr>
          <w:ilvl w:val="0"/>
          <w:numId w:val="3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攀爬设备正下方100%全覆盖EPDM缓冲铺装，无硬地裸露区域。</w:t>
      </w:r>
    </w:p>
    <w:p w14:paraId="145E3846">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秋千、摇马类摇动设备</w:t>
      </w:r>
    </w:p>
    <w:p w14:paraId="0AE972D2">
      <w:pPr>
        <w:pageBreakBefore w:val="0"/>
        <w:widowControl/>
        <w:numPr>
          <w:ilvl w:val="0"/>
          <w:numId w:val="3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秋千吊链、吊绳防磨损、防断裂，配备缓冲减震结构，摆动平稳无异响。</w:t>
      </w:r>
    </w:p>
    <w:p w14:paraId="40958D1E">
      <w:pPr>
        <w:pageBreakBefore w:val="0"/>
        <w:widowControl/>
        <w:numPr>
          <w:ilvl w:val="0"/>
          <w:numId w:val="3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幼儿秋千配备全包围防护结构，防坠落、防侧翻；座位无硬棱角、无硌肤结构。</w:t>
      </w:r>
    </w:p>
    <w:p w14:paraId="57847DF6">
      <w:pPr>
        <w:pageBreakBefore w:val="0"/>
        <w:widowControl/>
        <w:numPr>
          <w:ilvl w:val="0"/>
          <w:numId w:val="3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摇马摇摆幅度限位可控，底部缓冲胶垫齐全，无硬性撞击、无地面磕碰。</w:t>
      </w:r>
    </w:p>
    <w:p w14:paraId="13E5AB8B">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钻洞、趣味互动小型游乐设备</w:t>
      </w:r>
    </w:p>
    <w:p w14:paraId="4D189F58">
      <w:pPr>
        <w:pageBreakBefore w:val="0"/>
        <w:widowControl/>
        <w:numPr>
          <w:ilvl w:val="0"/>
          <w:numId w:val="3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钻洞内径尺寸适配儿童通行，内壁光滑无毛刺、无突出构件。</w:t>
      </w:r>
    </w:p>
    <w:p w14:paraId="747F55C5">
      <w:pPr>
        <w:pageBreakBefore w:val="0"/>
        <w:widowControl/>
        <w:numPr>
          <w:ilvl w:val="0"/>
          <w:numId w:val="3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互动面板、转盘、齿轮转动顺畅，无卡滞、无夹手间隙，转动阻尼适中，无高速回弹风险。</w:t>
      </w:r>
    </w:p>
    <w:p w14:paraId="4DBEDFD7">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5.2.4主材材质精细化技术标准</w:t>
      </w:r>
    </w:p>
    <w:p w14:paraId="719F9240">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钢结构框架材质与工艺</w:t>
      </w:r>
    </w:p>
    <w:p w14:paraId="2C6F4EFD">
      <w:pPr>
        <w:pageBreakBefore w:val="0"/>
        <w:widowControl/>
        <w:numPr>
          <w:ilvl w:val="0"/>
          <w:numId w:val="3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主框架钢管采用国标高频焊接镀锌钢管，主管壁厚≥2.5mm，支管壁厚≥2.0mm，严禁薄管、非标管、翻新管。</w:t>
      </w:r>
    </w:p>
    <w:p w14:paraId="6F3CFB90">
      <w:pPr>
        <w:pageBreakBefore w:val="0"/>
        <w:widowControl/>
        <w:numPr>
          <w:ilvl w:val="0"/>
          <w:numId w:val="3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整体采用</w:t>
      </w:r>
      <w:r>
        <w:rPr>
          <w:rFonts w:ascii="宋体" w:hAnsi="宋体" w:eastAsia="宋体" w:cs="宋体"/>
          <w:b/>
          <w:color w:val="auto"/>
          <w:kern w:val="0"/>
          <w:sz w:val="30"/>
          <w:szCs w:val="30"/>
          <w:lang w:bidi="ar"/>
        </w:rPr>
        <w:t>热镀锌防腐+户外静电粉末双层喷涂</w:t>
      </w:r>
      <w:r>
        <w:rPr>
          <w:rFonts w:ascii="宋体" w:hAnsi="宋体" w:eastAsia="宋体" w:cs="宋体"/>
          <w:color w:val="auto"/>
          <w:kern w:val="0"/>
          <w:sz w:val="30"/>
          <w:szCs w:val="30"/>
          <w:lang w:bidi="ar"/>
        </w:rPr>
        <w:t>工艺：先热镀锌防锈打底，再高温静电喷塑，漆膜厚度60-80μm，附着力等级1级，户外耐候≥5年不脱皮、不褪色、不锈蚀。</w:t>
      </w:r>
    </w:p>
    <w:p w14:paraId="1B95F901">
      <w:pPr>
        <w:pageBreakBefore w:val="0"/>
        <w:widowControl/>
        <w:numPr>
          <w:ilvl w:val="0"/>
          <w:numId w:val="3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所有焊接部位满焊、打磨抛光、无虚焊、无夹渣、无裂纹，焊后防腐补漆到位，杜绝焊接点位锈蚀通病。</w:t>
      </w:r>
    </w:p>
    <w:p w14:paraId="265D5131">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塑料构件材质标准</w:t>
      </w:r>
    </w:p>
    <w:p w14:paraId="591B163C">
      <w:pPr>
        <w:pageBreakBefore w:val="0"/>
        <w:widowControl/>
        <w:numPr>
          <w:ilvl w:val="0"/>
          <w:numId w:val="3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所有塑料部件（滑梯、挡板、面板、扶手）为</w:t>
      </w:r>
      <w:r>
        <w:rPr>
          <w:rFonts w:ascii="宋体" w:hAnsi="宋体" w:eastAsia="宋体" w:cs="宋体"/>
          <w:b/>
          <w:color w:val="auto"/>
          <w:kern w:val="0"/>
          <w:sz w:val="30"/>
          <w:szCs w:val="30"/>
          <w:lang w:bidi="ar"/>
        </w:rPr>
        <w:t>全新食品级HDPE原生颗粒料</w:t>
      </w:r>
      <w:r>
        <w:rPr>
          <w:rFonts w:ascii="宋体" w:hAnsi="宋体" w:eastAsia="宋体" w:cs="宋体"/>
          <w:color w:val="auto"/>
          <w:kern w:val="0"/>
          <w:sz w:val="30"/>
          <w:szCs w:val="30"/>
          <w:lang w:bidi="ar"/>
        </w:rPr>
        <w:t>，100%无回收料、无二次料、无掺杂填充料。</w:t>
      </w:r>
    </w:p>
    <w:p w14:paraId="30033124">
      <w:pPr>
        <w:pageBreakBefore w:val="0"/>
        <w:widowControl/>
        <w:numPr>
          <w:ilvl w:val="0"/>
          <w:numId w:val="3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材质无毒无味、环保抑菌、抗紫外线、抗老化、耐低温、不开裂、不变脆，色母为户外专用耐候色母，长期暴晒不褪色、不泛黄。</w:t>
      </w:r>
    </w:p>
    <w:p w14:paraId="3B7F6C57">
      <w:pPr>
        <w:pageBreakBefore w:val="0"/>
        <w:widowControl/>
        <w:numPr>
          <w:ilvl w:val="0"/>
          <w:numId w:val="3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进场可提供原材料出厂合格证、材质检测报告、环保无毒检测报告。</w:t>
      </w:r>
    </w:p>
    <w:p w14:paraId="058185DA">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木质构件材质标准</w:t>
      </w:r>
    </w:p>
    <w:p w14:paraId="4FC11B61">
      <w:pPr>
        <w:pageBreakBefore w:val="0"/>
        <w:widowControl/>
        <w:numPr>
          <w:ilvl w:val="0"/>
          <w:numId w:val="3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实木构件采用进口防腐木/碳化实木，含水率8%-12%，无开裂、无变形、无结疤。</w:t>
      </w:r>
    </w:p>
    <w:p w14:paraId="67F08D49">
      <w:pPr>
        <w:pageBreakBefore w:val="0"/>
        <w:widowControl/>
        <w:numPr>
          <w:ilvl w:val="0"/>
          <w:numId w:val="3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 xml:space="preserve">全程防腐、防虫、防霉变浸泡处理，甲醛释放量执行GB 18580-2025 </w:t>
      </w:r>
      <w:r>
        <w:rPr>
          <w:rFonts w:ascii="宋体" w:hAnsi="宋体" w:eastAsia="宋体" w:cs="宋体"/>
          <w:b/>
          <w:color w:val="auto"/>
          <w:kern w:val="0"/>
          <w:sz w:val="30"/>
          <w:szCs w:val="30"/>
          <w:lang w:bidi="ar"/>
        </w:rPr>
        <w:t>E0级及以上</w:t>
      </w:r>
      <w:r>
        <w:rPr>
          <w:rFonts w:ascii="宋体" w:hAnsi="宋体" w:eastAsia="宋体" w:cs="宋体"/>
          <w:color w:val="auto"/>
          <w:kern w:val="0"/>
          <w:sz w:val="30"/>
          <w:szCs w:val="30"/>
          <w:lang w:bidi="ar"/>
        </w:rPr>
        <w:t>。</w:t>
      </w:r>
    </w:p>
    <w:p w14:paraId="07C21322">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五金紧固件标准</w:t>
      </w:r>
    </w:p>
    <w:p w14:paraId="5B8F0FEC">
      <w:pPr>
        <w:pageBreakBefore w:val="0"/>
        <w:widowControl/>
        <w:numPr>
          <w:ilvl w:val="0"/>
          <w:numId w:val="3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全部采用304不锈钢防盗螺栓、防松螺母、平弹垫，防锈、防拆、防松动。</w:t>
      </w:r>
    </w:p>
    <w:p w14:paraId="6C3163BF">
      <w:pPr>
        <w:pageBreakBefore w:val="0"/>
        <w:widowControl/>
        <w:numPr>
          <w:ilvl w:val="0"/>
          <w:numId w:val="3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所有紧固件配置专用装饰防护帽，全覆盖封闭，无外露金属端头。</w:t>
      </w:r>
    </w:p>
    <w:p w14:paraId="20DBD206">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5.2.5儿童场地EPDM安全铺装专项标准</w:t>
      </w:r>
    </w:p>
    <w:p w14:paraId="22D585DB">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严格执行GB/T 39222-2020、GB/T 39025-2020，为儿童游乐专项强制缓冲防护标准。</w:t>
      </w:r>
    </w:p>
    <w:p w14:paraId="6C8DB23D">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铺装覆盖范围</w:t>
      </w:r>
    </w:p>
    <w:p w14:paraId="6FEEC752">
      <w:pPr>
        <w:pageBreakBefore w:val="0"/>
        <w:widowControl/>
        <w:numPr>
          <w:ilvl w:val="0"/>
          <w:numId w:val="3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所有游乐设备坠落投影区、滑行出口区、摆动扫地区、攀爬正下方</w:t>
      </w:r>
      <w:r>
        <w:rPr>
          <w:rFonts w:ascii="宋体" w:hAnsi="宋体" w:eastAsia="宋体" w:cs="宋体"/>
          <w:b/>
          <w:color w:val="auto"/>
          <w:kern w:val="0"/>
          <w:sz w:val="30"/>
          <w:szCs w:val="30"/>
          <w:lang w:bidi="ar"/>
        </w:rPr>
        <w:t>100%全覆盖</w:t>
      </w:r>
      <w:r>
        <w:rPr>
          <w:rFonts w:ascii="宋体" w:hAnsi="宋体" w:eastAsia="宋体" w:cs="宋体"/>
          <w:color w:val="auto"/>
          <w:kern w:val="0"/>
          <w:sz w:val="30"/>
          <w:szCs w:val="30"/>
          <w:lang w:bidi="ar"/>
        </w:rPr>
        <w:t>，无硬地裸露死角，防护外延距离满足国标安全间距。</w:t>
      </w:r>
    </w:p>
    <w:p w14:paraId="1A1DE696">
      <w:pPr>
        <w:pageBreakBefore w:val="0"/>
        <w:widowControl/>
        <w:numPr>
          <w:ilvl w:val="0"/>
          <w:numId w:val="3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场地边界收口规整，与硬质地面、绿化收口平顺，无高差、无绊脚、无开裂翘边。</w:t>
      </w:r>
    </w:p>
    <w:p w14:paraId="5B84B748">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EPDM材料与厚度标准</w:t>
      </w:r>
    </w:p>
    <w:p w14:paraId="4D341A99">
      <w:pPr>
        <w:pageBreakBefore w:val="0"/>
        <w:widowControl/>
        <w:numPr>
          <w:ilvl w:val="0"/>
          <w:numId w:val="4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采用全新三元乙丙橡胶颗粒，颗粒均匀、无杂质、无回收废颗粒，环保无毒、无异味、不脱粒。</w:t>
      </w:r>
    </w:p>
    <w:p w14:paraId="7E396F36">
      <w:pPr>
        <w:pageBreakBefore w:val="0"/>
        <w:widowControl/>
        <w:numPr>
          <w:ilvl w:val="0"/>
          <w:numId w:val="4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铺装厚度：常规游乐区≥13mm，高位滑梯、高攀爬区域≥15mm，厚度均匀一致，无厚薄不均。</w:t>
      </w:r>
    </w:p>
    <w:p w14:paraId="15E89872">
      <w:pPr>
        <w:pageBreakBefore w:val="0"/>
        <w:widowControl/>
        <w:numPr>
          <w:ilvl w:val="0"/>
          <w:numId w:val="4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胶水采用专用户外聚氨酯环保胶，配比合规、粘接牢固，杜绝脱层、起砂、起皮、空鼓。</w:t>
      </w:r>
    </w:p>
    <w:p w14:paraId="07251C3C">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物理性能指标</w:t>
      </w:r>
    </w:p>
    <w:p w14:paraId="70EED99A">
      <w:pPr>
        <w:pageBreakBefore w:val="0"/>
        <w:widowControl/>
        <w:numPr>
          <w:ilvl w:val="0"/>
          <w:numId w:val="4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冲击吸收、垂直变形、防滑系数完全符合国标儿童场地缓冲要求，有效防护儿童坠落磕碰伤害。</w:t>
      </w:r>
    </w:p>
    <w:p w14:paraId="00ECA046">
      <w:pPr>
        <w:pageBreakBefore w:val="0"/>
        <w:widowControl/>
        <w:numPr>
          <w:ilvl w:val="0"/>
          <w:numId w:val="4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透水透气、排水顺畅，场地设置合理排水坡度，无积水、无返潮发霉。</w:t>
      </w:r>
    </w:p>
    <w:p w14:paraId="1FA3C41A">
      <w:pPr>
        <w:pageBreakBefore w:val="0"/>
        <w:widowControl/>
        <w:numPr>
          <w:ilvl w:val="0"/>
          <w:numId w:val="4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耐候性强，耐高温、抗严寒、抗紫外线，长期使用不粉化、不褪色、不脆裂。</w:t>
      </w:r>
    </w:p>
    <w:p w14:paraId="03D795DA">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5.2.6环保、阻燃、无毒专项强制要求</w:t>
      </w:r>
    </w:p>
    <w:p w14:paraId="0EA36A49">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环保指标（交房零异味标准）</w:t>
      </w:r>
    </w:p>
    <w:p w14:paraId="5A30F273">
      <w:pPr>
        <w:pageBreakBefore w:val="0"/>
        <w:widowControl/>
        <w:numPr>
          <w:ilvl w:val="0"/>
          <w:numId w:val="4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所有塑料、橡胶、木质、涂料、胶水辅料有害物质限量符合GB 50325-2020，进场无刺鼻异味、无挥发性有毒物质。</w:t>
      </w:r>
    </w:p>
    <w:p w14:paraId="0A0DC9AE">
      <w:pPr>
        <w:pageBreakBefore w:val="0"/>
        <w:widowControl/>
        <w:numPr>
          <w:ilvl w:val="0"/>
          <w:numId w:val="4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纺织品布艺、防护织带符合GB 18401儿童相关安全规范，无致癌染料、无重金属超标。</w:t>
      </w:r>
    </w:p>
    <w:p w14:paraId="4E2207F0">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阻燃安全要求</w:t>
      </w:r>
    </w:p>
    <w:p w14:paraId="3D1810F0">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所有软性填充、布艺、塑胶铺装、装饰构件阻燃性能达标，不自燃、不助燃、离火自熄、低烟低毒，满足小区户外消防管控要求。</w:t>
      </w:r>
    </w:p>
    <w:p w14:paraId="7474BFB1">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5.2.7基础施工与设备安装工艺标准</w:t>
      </w:r>
    </w:p>
    <w:p w14:paraId="24EE4262">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基础工程</w:t>
      </w:r>
    </w:p>
    <w:p w14:paraId="048DD3BC">
      <w:pPr>
        <w:pageBreakBefore w:val="0"/>
        <w:widowControl/>
        <w:numPr>
          <w:ilvl w:val="0"/>
          <w:numId w:val="4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场地基层碾压密实，无松土、无沉降隐患，地基承载力满足设备荷载要求。</w:t>
      </w:r>
    </w:p>
    <w:p w14:paraId="3004BC22">
      <w:pPr>
        <w:pageBreakBefore w:val="0"/>
        <w:widowControl/>
        <w:numPr>
          <w:ilvl w:val="0"/>
          <w:numId w:val="4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设备独立基础采用C25及以上</w:t>
      </w:r>
      <w:r>
        <w:rPr>
          <w:rFonts w:hint="eastAsia" w:ascii="宋体" w:hAnsi="宋体" w:eastAsia="宋体" w:cs="宋体"/>
          <w:color w:val="auto"/>
          <w:kern w:val="0"/>
          <w:sz w:val="30"/>
          <w:szCs w:val="30"/>
          <w:lang w:bidi="ar"/>
        </w:rPr>
        <w:t>（</w:t>
      </w:r>
      <w:r>
        <w:rPr>
          <w:rFonts w:hint="eastAsia" w:ascii="宋体" w:hAnsi="宋体" w:eastAsia="宋体" w:cs="宋体"/>
          <w:b/>
          <w:bCs/>
          <w:color w:val="auto"/>
          <w:kern w:val="0"/>
          <w:sz w:val="30"/>
          <w:szCs w:val="30"/>
          <w:lang w:bidi="ar"/>
        </w:rPr>
        <w:t>有图参照图纸，图纸未注明则不低于此要求</w:t>
      </w:r>
      <w:r>
        <w:rPr>
          <w:rFonts w:hint="eastAsia" w:ascii="宋体" w:hAnsi="宋体" w:eastAsia="宋体" w:cs="宋体"/>
          <w:color w:val="auto"/>
          <w:kern w:val="0"/>
          <w:sz w:val="30"/>
          <w:szCs w:val="30"/>
          <w:lang w:bidi="ar"/>
        </w:rPr>
        <w:t>）</w:t>
      </w:r>
      <w:r>
        <w:rPr>
          <w:rFonts w:ascii="宋体" w:hAnsi="宋体" w:eastAsia="宋体" w:cs="宋体"/>
          <w:color w:val="auto"/>
          <w:kern w:val="0"/>
          <w:sz w:val="30"/>
          <w:szCs w:val="30"/>
          <w:lang w:bidi="ar"/>
        </w:rPr>
        <w:t>混凝土浇筑，基础尺寸、埋深、锚固长度符合设备图纸及国标要求，预埋螺栓定位精准、无偏移。</w:t>
      </w:r>
    </w:p>
    <w:p w14:paraId="09052902">
      <w:pPr>
        <w:pageBreakBefore w:val="0"/>
        <w:widowControl/>
        <w:numPr>
          <w:ilvl w:val="0"/>
          <w:numId w:val="4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基础养护期满、隐蔽验收合格后，方可进行设备安装及面层铺装。</w:t>
      </w:r>
    </w:p>
    <w:p w14:paraId="6F34BC1E">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设备安装精度要求</w:t>
      </w:r>
    </w:p>
    <w:p w14:paraId="7B4EAFDB">
      <w:pPr>
        <w:pageBreakBefore w:val="0"/>
        <w:widowControl/>
        <w:numPr>
          <w:ilvl w:val="0"/>
          <w:numId w:val="4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设备整体垂直度偏差≤3mm/m，整体平整度、顺直度统一，无歪斜、无错台。</w:t>
      </w:r>
    </w:p>
    <w:p w14:paraId="1F30E57E">
      <w:pPr>
        <w:pageBreakBefore w:val="0"/>
        <w:widowControl/>
        <w:numPr>
          <w:ilvl w:val="0"/>
          <w:numId w:val="4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所有连接点位紧固到位，防松措施齐全，整机无晃动、无异响、无卡顿。</w:t>
      </w:r>
    </w:p>
    <w:p w14:paraId="2578BF74">
      <w:pPr>
        <w:pageBreakBefore w:val="0"/>
        <w:widowControl/>
        <w:numPr>
          <w:ilvl w:val="0"/>
          <w:numId w:val="4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漆面完整洁净，无划痕、掉漆、污渍、胶迹，整体观感高端统一。</w:t>
      </w:r>
    </w:p>
    <w:p w14:paraId="2D41224A">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5.2.8标识、警示与场地配套</w:t>
      </w:r>
    </w:p>
    <w:p w14:paraId="38723032">
      <w:pPr>
        <w:pageBreakBefore w:val="0"/>
        <w:widowControl/>
        <w:numPr>
          <w:ilvl w:val="0"/>
          <w:numId w:val="4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场地标配</w:t>
      </w:r>
      <w:r>
        <w:rPr>
          <w:rFonts w:ascii="宋体" w:hAnsi="宋体" w:eastAsia="宋体" w:cs="宋体"/>
          <w:b/>
          <w:color w:val="auto"/>
          <w:kern w:val="0"/>
          <w:sz w:val="30"/>
          <w:szCs w:val="30"/>
          <w:lang w:bidi="ar"/>
        </w:rPr>
        <w:t>儿童游乐安全警示牌、适龄提示（2-12岁）、监护人陪同提示、禁止危险行为提示</w:t>
      </w:r>
      <w:r>
        <w:rPr>
          <w:rFonts w:ascii="宋体" w:hAnsi="宋体" w:eastAsia="宋体" w:cs="宋体"/>
          <w:color w:val="auto"/>
          <w:kern w:val="0"/>
          <w:sz w:val="30"/>
          <w:szCs w:val="30"/>
          <w:lang w:bidi="ar"/>
        </w:rPr>
        <w:t>。</w:t>
      </w:r>
    </w:p>
    <w:p w14:paraId="5DA2E436">
      <w:pPr>
        <w:pageBreakBefore w:val="0"/>
        <w:widowControl/>
        <w:numPr>
          <w:ilvl w:val="0"/>
          <w:numId w:val="4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每台设备配备专用铭牌：厂家信息、执行标准、生产日期、质保年限、售后电话。</w:t>
      </w:r>
    </w:p>
    <w:p w14:paraId="5B8CF374">
      <w:pPr>
        <w:pageBreakBefore w:val="0"/>
        <w:widowControl/>
        <w:numPr>
          <w:ilvl w:val="0"/>
          <w:numId w:val="4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标识标牌耐候防晒、不褪色、不脱落、字迹清晰，安装位置醒目规范。</w:t>
      </w:r>
    </w:p>
    <w:p w14:paraId="3BEB113E">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5.2.9验收、竣工资料及不合格处置</w:t>
      </w:r>
    </w:p>
    <w:p w14:paraId="6AB3691C">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验收</w:t>
      </w:r>
    </w:p>
    <w:p w14:paraId="1174D506">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材料进场验收→隐蔽基础验收→设备安装分项验收→整体场地竣工验收，每一道工序验收合格后方可进入下道工序。</w:t>
      </w:r>
      <w:r>
        <w:rPr>
          <w:rFonts w:hint="eastAsia" w:ascii="宋体" w:hAnsi="宋体" w:eastAsia="宋体" w:cs="宋体"/>
          <w:color w:val="auto"/>
          <w:kern w:val="0"/>
          <w:sz w:val="30"/>
          <w:szCs w:val="30"/>
          <w:lang w:bidi="ar"/>
        </w:rPr>
        <w:t>最终需满足政府验收要求，并配合完成全项目竣工备案。</w:t>
      </w:r>
    </w:p>
    <w:p w14:paraId="641A3263">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竣工资料</w:t>
      </w:r>
    </w:p>
    <w:p w14:paraId="474495C6">
      <w:pPr>
        <w:pageBreakBefore w:val="0"/>
        <w:widowControl/>
        <w:numPr>
          <w:ilvl w:val="0"/>
          <w:numId w:val="4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深化施工图、场地布置图、基础施工图、专项施工方案；</w:t>
      </w:r>
    </w:p>
    <w:p w14:paraId="38FB615B">
      <w:pPr>
        <w:pageBreakBefore w:val="0"/>
        <w:widowControl/>
        <w:numPr>
          <w:ilvl w:val="0"/>
          <w:numId w:val="4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全套设备合格证、出厂检验报告、CMA资质检测报告（结构安全、耐候、环保、阻燃、EPDM铺装性能）；</w:t>
      </w:r>
    </w:p>
    <w:p w14:paraId="5054AD59">
      <w:pPr>
        <w:pageBreakBefore w:val="0"/>
        <w:widowControl/>
        <w:numPr>
          <w:ilvl w:val="0"/>
          <w:numId w:val="4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隐蔽验收记录、安装调试记录、自检报告；</w:t>
      </w:r>
    </w:p>
    <w:p w14:paraId="1FE15769">
      <w:pPr>
        <w:pageBreakBefore w:val="0"/>
        <w:widowControl/>
        <w:numPr>
          <w:ilvl w:val="0"/>
          <w:numId w:val="4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质保承诺书、售后维保方案、安全使用说明书。</w:t>
      </w:r>
    </w:p>
    <w:p w14:paraId="693CA5C1">
      <w:pPr>
        <w:keepNext w:val="0"/>
        <w:keepLines w:val="0"/>
        <w:pageBreakBefore w:val="0"/>
        <w:widowControl/>
        <w:numPr>
          <w:ilvl w:val="0"/>
          <w:numId w:val="26"/>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hint="eastAsia" w:ascii="宋体" w:hAnsi="宋体" w:eastAsia="宋体" w:cs="宋体"/>
          <w:b/>
          <w:color w:val="auto"/>
          <w:kern w:val="2"/>
          <w:sz w:val="30"/>
          <w:szCs w:val="30"/>
          <w:lang w:val="en-US" w:eastAsia="zh-CN" w:bidi="ar-SA"/>
        </w:rPr>
      </w:pPr>
      <w:r>
        <w:rPr>
          <w:rFonts w:ascii="宋体" w:hAnsi="宋体" w:eastAsia="宋体" w:cs="宋体"/>
          <w:b/>
          <w:color w:val="auto"/>
          <w:kern w:val="2"/>
          <w:sz w:val="30"/>
          <w:szCs w:val="30"/>
          <w:lang w:val="en-US" w:eastAsia="zh-CN" w:bidi="ar-SA"/>
        </w:rPr>
        <w:t>不合格处置规则</w:t>
      </w:r>
    </w:p>
    <w:p w14:paraId="2FD31BCA">
      <w:pPr>
        <w:pageBreakBefore w:val="0"/>
        <w:widowControl/>
        <w:numPr>
          <w:ilvl w:val="0"/>
          <w:numId w:val="4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材质、壁厚、间隙、荷载、环保、阻燃任意一项不达标：无条件退场更换，工期不顺延、费用不增加。</w:t>
      </w:r>
    </w:p>
    <w:p w14:paraId="64BFA99F">
      <w:pPr>
        <w:pageBreakBefore w:val="0"/>
        <w:widowControl/>
        <w:numPr>
          <w:ilvl w:val="0"/>
          <w:numId w:val="4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安装存在安全隐患、防护缺失、间隙超标：立即停工整改，整改复验合格方可验收。</w:t>
      </w:r>
    </w:p>
    <w:p w14:paraId="07B2F503">
      <w:pPr>
        <w:pageBreakBefore w:val="0"/>
        <w:widowControl/>
        <w:numPr>
          <w:ilvl w:val="0"/>
          <w:numId w:val="4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重大安全、环保缺陷直接判定不合格，不予竣工验收、不予结算。</w:t>
      </w:r>
    </w:p>
    <w:p w14:paraId="488DEA0D">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5.2.10质保与售后维保标准</w:t>
      </w:r>
    </w:p>
    <w:p w14:paraId="3158B2BC">
      <w:pPr>
        <w:pageBreakBefore w:val="0"/>
        <w:widowControl/>
        <w:numPr>
          <w:ilvl w:val="0"/>
          <w:numId w:val="48"/>
        </w:numPr>
        <w:kinsoku/>
        <w:wordWrap/>
        <w:overflowPunct/>
        <w:topLinePunct w:val="0"/>
        <w:autoSpaceDE/>
        <w:autoSpaceDN/>
        <w:bidi w:val="0"/>
        <w:adjustRightInd w:val="0"/>
        <w:snapToGrid/>
        <w:spacing w:line="520" w:lineRule="exact"/>
        <w:ind w:left="0" w:leftChars="0" w:firstLine="602" w:firstLineChars="200"/>
        <w:jc w:val="both"/>
        <w:textAlignment w:val="auto"/>
        <w:rPr>
          <w:rFonts w:ascii="Times New Roman" w:hAnsi="Times New Roman" w:eastAsia="宋体" w:cs="Times New Roman"/>
          <w:b/>
          <w:bCs/>
          <w:color w:val="auto"/>
          <w:sz w:val="30"/>
          <w:szCs w:val="30"/>
        </w:rPr>
      </w:pPr>
      <w:r>
        <w:rPr>
          <w:rFonts w:ascii="宋体" w:hAnsi="宋体" w:eastAsia="宋体" w:cs="宋体"/>
          <w:b/>
          <w:bCs/>
          <w:color w:val="auto"/>
          <w:kern w:val="0"/>
          <w:sz w:val="30"/>
          <w:szCs w:val="30"/>
          <w:lang w:bidi="ar"/>
        </w:rPr>
        <w:t>设备主体钢结构框架、整体结构质保不少于5年；塑料构件、五金配件质保不少于3年；EPDM塑胶铺装面层质保不少于3年；整体工程质保不少于2年，所有质保高于国标最低要求。</w:t>
      </w:r>
    </w:p>
    <w:p w14:paraId="757538DB">
      <w:pPr>
        <w:pageBreakBefore w:val="0"/>
        <w:widowControl/>
        <w:numPr>
          <w:ilvl w:val="0"/>
          <w:numId w:val="4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质保期内出现锈蚀、掉漆、开裂、松动、异响、脱粒、褪色、积水等问题，</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无偿维修、更换、重做。</w:t>
      </w:r>
    </w:p>
    <w:p w14:paraId="2B145E7D">
      <w:pPr>
        <w:pageBreakBefore w:val="0"/>
        <w:widowControl/>
        <w:numPr>
          <w:ilvl w:val="0"/>
          <w:numId w:val="4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实行24小时售后响应，每季度上门巡检、紧固、保养、清洁，保障场地长期安全达标。</w:t>
      </w:r>
    </w:p>
    <w:p w14:paraId="1AE0B4B5">
      <w:pPr>
        <w:pageBreakBefore w:val="0"/>
        <w:widowControl/>
        <w:numPr>
          <w:ilvl w:val="0"/>
          <w:numId w:val="4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质保期满提供终身成本价维修、配件更换服务。</w:t>
      </w:r>
    </w:p>
    <w:p w14:paraId="6FA7745D">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rPr>
          <w:rFonts w:hint="eastAsia" w:ascii="宋体" w:hAnsi="宋体" w:eastAsia="宋体" w:cs="宋体"/>
          <w:b/>
          <w:bCs/>
          <w:color w:val="auto"/>
          <w:sz w:val="30"/>
          <w:szCs w:val="30"/>
        </w:rPr>
      </w:pPr>
    </w:p>
    <w:p w14:paraId="64988EA1">
      <w:pPr>
        <w:pageBreakBefore w:val="0"/>
        <w:kinsoku/>
        <w:wordWrap/>
        <w:overflowPunct/>
        <w:topLinePunct w:val="0"/>
        <w:autoSpaceDE/>
        <w:autoSpaceDN/>
        <w:bidi w:val="0"/>
        <w:adjustRightInd w:val="0"/>
        <w:snapToGrid/>
        <w:spacing w:line="520" w:lineRule="exact"/>
        <w:ind w:left="0" w:leftChars="0" w:firstLine="602" w:firstLineChars="200"/>
        <w:jc w:val="both"/>
        <w:textAlignment w:val="auto"/>
        <w:outlineLvl w:val="1"/>
        <w:rPr>
          <w:rFonts w:hint="eastAsia" w:ascii="宋体" w:hAnsi="宋体" w:eastAsia="宋体" w:cs="宋体"/>
          <w:b/>
          <w:bCs/>
          <w:color w:val="auto"/>
          <w:sz w:val="30"/>
          <w:szCs w:val="30"/>
        </w:rPr>
      </w:pPr>
      <w:bookmarkStart w:id="331" w:name="_Toc13188"/>
      <w:r>
        <w:rPr>
          <w:rFonts w:hint="eastAsia" w:ascii="宋体" w:hAnsi="宋体" w:eastAsia="宋体" w:cs="宋体"/>
          <w:b/>
          <w:bCs/>
          <w:color w:val="auto"/>
          <w:sz w:val="30"/>
          <w:szCs w:val="30"/>
        </w:rPr>
        <w:t>5.3成人运动器械技术要求</w:t>
      </w:r>
      <w:bookmarkEnd w:id="331"/>
    </w:p>
    <w:p w14:paraId="492E4BAD">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本文件为项目招标、评标、施工管控、飞检核查、竣工验收、结算履约的唯一专属技术依据。</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所有工作成果不得低于本文件条款及国家、行业现行最新强制性规范，规范版本更新自动执行最新有效版本，</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及集团工程、成本、设计、物业部门有权从严验收管控。</w:t>
      </w:r>
    </w:p>
    <w:p w14:paraId="1A9CFF8A">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5.3.1总体要求</w:t>
      </w:r>
    </w:p>
    <w:p w14:paraId="687DFC2A">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本工程所有设备设计、生产制造、结构安全、材料工艺、场地安装、环保耐候、验收判定必须100%执行以下强制标准，低于本标准视为不合格工程，无条件返工、整改、退场：</w:t>
      </w:r>
    </w:p>
    <w:p w14:paraId="692FA62F">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《室外健身器材 安全 通用要求》（GB 19272-2024）【最新国家强制标准，全文强制执行】</w:t>
      </w:r>
    </w:p>
    <w:p w14:paraId="5651889A">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《室外健身器材 安装和验收》（GB/T 34278-2017）【安装精度、基础、间距、验收专用标准】</w:t>
      </w:r>
    </w:p>
    <w:p w14:paraId="3552F5F8">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《建筑工程施工质量验收统一标准》（GB 50300-2013）</w:t>
      </w:r>
    </w:p>
    <w:p w14:paraId="1E4D333E">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《建筑地面工程施工质量验收规范》（GB 50209-2010）</w:t>
      </w:r>
    </w:p>
    <w:p w14:paraId="27E0EBD9">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《民用建筑工程室内环境污染控制标准》（GB 50325-2020）</w:t>
      </w:r>
    </w:p>
    <w:p w14:paraId="7375AAF0">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《建筑设计防火规范》（GB 50016-2014，2018年版）</w:t>
      </w:r>
    </w:p>
    <w:p w14:paraId="2C565070">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《人造板及其制品甲醛释放量分级》（GB 18580-2025）</w:t>
      </w:r>
    </w:p>
    <w:p w14:paraId="190076A4">
      <w:pPr>
        <w:pageBreakBefore w:val="0"/>
        <w:widowControl/>
        <w:numPr>
          <w:ilvl w:val="0"/>
          <w:numId w:val="4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《涂装前钢材表面锈蚀等级和除锈等级》（GB/T 8923.1-2011）</w:t>
      </w:r>
    </w:p>
    <w:p w14:paraId="4FC9B793">
      <w:pPr>
        <w:pageBreakBefore w:val="0"/>
        <w:widowControl/>
        <w:numPr>
          <w:ilvl w:val="0"/>
          <w:numId w:val="5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所有健身器械实行</w:t>
      </w:r>
      <w:r>
        <w:rPr>
          <w:rFonts w:ascii="宋体" w:hAnsi="宋体" w:eastAsia="宋体" w:cs="宋体"/>
          <w:b/>
          <w:color w:val="auto"/>
          <w:kern w:val="0"/>
          <w:sz w:val="30"/>
          <w:szCs w:val="30"/>
          <w:lang w:bidi="ar"/>
        </w:rPr>
        <w:t>图纸深化先行、样品封样前置、送检报验必审、认证资料必核</w:t>
      </w:r>
      <w:r>
        <w:rPr>
          <w:rFonts w:ascii="宋体" w:hAnsi="宋体" w:eastAsia="宋体" w:cs="宋体"/>
          <w:color w:val="auto"/>
          <w:kern w:val="0"/>
          <w:sz w:val="30"/>
          <w:szCs w:val="30"/>
          <w:lang w:bidi="ar"/>
        </w:rPr>
        <w:t>制度，未通过</w:t>
      </w:r>
      <w:r>
        <w:rPr>
          <w:rFonts w:hint="eastAsia" w:ascii="宋体" w:hAnsi="宋体" w:eastAsia="宋体" w:cs="宋体"/>
          <w:color w:val="auto"/>
          <w:kern w:val="0"/>
          <w:sz w:val="30"/>
          <w:szCs w:val="30"/>
          <w:lang w:eastAsia="zh-CN" w:bidi="ar"/>
        </w:rPr>
        <w:t>招标人</w:t>
      </w:r>
      <w:r>
        <w:rPr>
          <w:rFonts w:ascii="宋体" w:hAnsi="宋体" w:eastAsia="宋体" w:cs="宋体"/>
          <w:color w:val="auto"/>
          <w:kern w:val="0"/>
          <w:sz w:val="30"/>
          <w:szCs w:val="30"/>
          <w:lang w:bidi="ar"/>
        </w:rPr>
        <w:t>深化审核、未现场封样、未取得有效CMA检测报告及NSCC国体认证的设备，严禁生产、进场、安装。</w:t>
      </w:r>
    </w:p>
    <w:p w14:paraId="35B3467A">
      <w:pPr>
        <w:pageBreakBefore w:val="0"/>
        <w:widowControl/>
        <w:numPr>
          <w:ilvl w:val="0"/>
          <w:numId w:val="5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所有主材、管材、涂层、橡塑配件、紧固件必须为全新原厂正品，严禁回收料、翻新管材、二次喷涂、劣质配件，进场需提供原材料溯源、厂家资质、生产批次证明。</w:t>
      </w:r>
    </w:p>
    <w:p w14:paraId="172849C0">
      <w:pPr>
        <w:pageBreakBefore w:val="0"/>
        <w:widowControl/>
        <w:numPr>
          <w:ilvl w:val="0"/>
          <w:numId w:val="5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设备整体满足</w:t>
      </w:r>
      <w:r>
        <w:rPr>
          <w:rFonts w:ascii="宋体" w:hAnsi="宋体" w:eastAsia="宋体" w:cs="宋体"/>
          <w:b/>
          <w:color w:val="auto"/>
          <w:kern w:val="0"/>
          <w:sz w:val="30"/>
          <w:szCs w:val="30"/>
          <w:lang w:bidi="ar"/>
        </w:rPr>
        <w:t>结构零松动、运动零卡滞、外观零锈蚀、户外高耐候、使用高安全</w:t>
      </w:r>
      <w:r>
        <w:rPr>
          <w:rFonts w:ascii="宋体" w:hAnsi="宋体" w:eastAsia="宋体" w:cs="宋体"/>
          <w:color w:val="auto"/>
          <w:kern w:val="0"/>
          <w:sz w:val="30"/>
          <w:szCs w:val="30"/>
          <w:lang w:bidi="ar"/>
        </w:rPr>
        <w:t>地产交付标准，适配全年龄段成人长期高频使用，兼顾老年人适老化安全使用要求。</w:t>
      </w:r>
    </w:p>
    <w:p w14:paraId="2389BFBC">
      <w:pPr>
        <w:pageBreakBefore w:val="0"/>
        <w:widowControl/>
        <w:numPr>
          <w:ilvl w:val="0"/>
          <w:numId w:val="5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施工全过程执行精品成品保护制度，运输、吊装、堆放、组装、收口全过程杜绝管材变形、漆面划伤、丝牙损坏、配件丢失污染。</w:t>
      </w:r>
    </w:p>
    <w:p w14:paraId="7F1CC29F">
      <w:pPr>
        <w:pageBreakBefore w:val="0"/>
        <w:widowControl/>
        <w:numPr>
          <w:ilvl w:val="0"/>
          <w:numId w:val="5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所有器械必须满足国标</w:t>
      </w:r>
      <w:r>
        <w:rPr>
          <w:rFonts w:ascii="宋体" w:hAnsi="宋体" w:eastAsia="宋体" w:cs="宋体"/>
          <w:b/>
          <w:color w:val="auto"/>
          <w:kern w:val="0"/>
          <w:sz w:val="30"/>
          <w:szCs w:val="30"/>
          <w:lang w:bidi="ar"/>
        </w:rPr>
        <w:t>防夹、防磕碰、防惯性伤人、防超程、防倾倒</w:t>
      </w:r>
      <w:r>
        <w:rPr>
          <w:rFonts w:ascii="宋体" w:hAnsi="宋体" w:eastAsia="宋体" w:cs="宋体"/>
          <w:color w:val="auto"/>
          <w:kern w:val="0"/>
          <w:sz w:val="30"/>
          <w:szCs w:val="30"/>
          <w:lang w:bidi="ar"/>
        </w:rPr>
        <w:t>五大安全底线。</w:t>
      </w:r>
    </w:p>
    <w:p w14:paraId="00EF46E8">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5.3.2通用强制安全技术参数</w:t>
      </w:r>
    </w:p>
    <w:p w14:paraId="187C237F">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本章为2024新版国标硬性强条，所有尺寸、间隙、荷载、限位、阻尼、防滑、防腐参数为</w:t>
      </w:r>
      <w:r>
        <w:rPr>
          <w:rFonts w:ascii="宋体" w:hAnsi="宋体" w:eastAsia="宋体" w:cs="宋体"/>
          <w:b/>
          <w:color w:val="auto"/>
          <w:kern w:val="0"/>
          <w:sz w:val="30"/>
          <w:szCs w:val="30"/>
          <w:lang w:bidi="ar"/>
        </w:rPr>
        <w:t>招标底线阈值，严禁超标</w:t>
      </w:r>
      <w:r>
        <w:rPr>
          <w:rFonts w:ascii="宋体" w:hAnsi="宋体" w:eastAsia="宋体" w:cs="宋体"/>
          <w:color w:val="auto"/>
          <w:kern w:val="0"/>
          <w:sz w:val="30"/>
          <w:szCs w:val="30"/>
          <w:lang w:bidi="ar"/>
        </w:rPr>
        <w:t>。</w:t>
      </w:r>
    </w:p>
    <w:p w14:paraId="437E7246">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 xml:space="preserve"> 防夹、防剪切、防挤压安全间隙</w:t>
      </w:r>
    </w:p>
    <w:p w14:paraId="349999D2">
      <w:pPr>
        <w:pageBreakBefore w:val="0"/>
        <w:widowControl/>
        <w:numPr>
          <w:ilvl w:val="0"/>
          <w:numId w:val="5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所有活动构件、摆动部位、转动重合部位、伸缩间隙，严禁出现5mm～30mm危险剪切间隙，杜绝夹手、夹肢、挤压伤害。</w:t>
      </w:r>
    </w:p>
    <w:p w14:paraId="66BD2CB9">
      <w:pPr>
        <w:pageBreakBefore w:val="0"/>
        <w:widowControl/>
        <w:numPr>
          <w:ilvl w:val="0"/>
          <w:numId w:val="5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固定杆件与运动杆件重合区域必须设置避让结构或全封闭防护，无裸露剪切点。</w:t>
      </w:r>
    </w:p>
    <w:p w14:paraId="75D1A26D">
      <w:pPr>
        <w:pageBreakBefore w:val="0"/>
        <w:widowControl/>
        <w:numPr>
          <w:ilvl w:val="0"/>
          <w:numId w:val="5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链条、绳索、传动结构无外露缠绕风险，无环形扣、无游离摆动端头。</w:t>
      </w:r>
    </w:p>
    <w:p w14:paraId="713CC611">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握持、脚踏人体工学安全尺寸</w:t>
      </w:r>
    </w:p>
    <w:p w14:paraId="5D461AB6">
      <w:pPr>
        <w:pageBreakBefore w:val="0"/>
        <w:widowControl/>
        <w:numPr>
          <w:ilvl w:val="0"/>
          <w:numId w:val="5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所有手握支撑管横截面外径：16mm～45mm，符合成人握持人机工学，防滑不硌手、不打滑。</w:t>
      </w:r>
    </w:p>
    <w:p w14:paraId="601B3D9B">
      <w:pPr>
        <w:pageBreakBefore w:val="0"/>
        <w:widowControl/>
        <w:numPr>
          <w:ilvl w:val="0"/>
          <w:numId w:val="5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抓握支撑件厚度≤60mm，握持贴合度高、发力稳定。</w:t>
      </w:r>
    </w:p>
    <w:p w14:paraId="6FAB2C50">
      <w:pPr>
        <w:pageBreakBefore w:val="0"/>
        <w:widowControl/>
        <w:numPr>
          <w:ilvl w:val="0"/>
          <w:numId w:val="5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所有脚踏板面、踩踏区域防滑系数≥0.5，雨天、积灰状态下不打滑，踩踏无悬空、无晃动。</w:t>
      </w:r>
    </w:p>
    <w:p w14:paraId="10992581">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运动限位与阻尼安全要求</w:t>
      </w:r>
    </w:p>
    <w:p w14:paraId="18E5FD3E">
      <w:pPr>
        <w:pageBreakBefore w:val="0"/>
        <w:widowControl/>
        <w:numPr>
          <w:ilvl w:val="0"/>
          <w:numId w:val="5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所有摆动、转动、滑动类器械必须设置</w:t>
      </w:r>
      <w:r>
        <w:rPr>
          <w:rFonts w:ascii="宋体" w:hAnsi="宋体" w:eastAsia="宋体" w:cs="宋体"/>
          <w:b/>
          <w:color w:val="auto"/>
          <w:kern w:val="0"/>
          <w:sz w:val="30"/>
          <w:szCs w:val="30"/>
          <w:lang w:bidi="ar"/>
        </w:rPr>
        <w:t>机械硬性限位+缓冲阻尼双保护</w:t>
      </w:r>
      <w:r>
        <w:rPr>
          <w:rFonts w:ascii="宋体" w:hAnsi="宋体" w:eastAsia="宋体" w:cs="宋体"/>
          <w:color w:val="auto"/>
          <w:kern w:val="0"/>
          <w:sz w:val="30"/>
          <w:szCs w:val="30"/>
          <w:lang w:bidi="ar"/>
        </w:rPr>
        <w:t>，杜绝超行程运动、惯性甩动、回弹撞击。</w:t>
      </w:r>
    </w:p>
    <w:p w14:paraId="63DBA586">
      <w:pPr>
        <w:pageBreakBefore w:val="0"/>
        <w:widowControl/>
        <w:numPr>
          <w:ilvl w:val="0"/>
          <w:numId w:val="5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转盘、滚筒、扭腰类高速惯性器械必须配备阻尼缓冲装置，转动顺滑、减速可控，无高速空转、无突然骤停、无惯性伤人风险。</w:t>
      </w:r>
    </w:p>
    <w:p w14:paraId="1FB420E8">
      <w:pPr>
        <w:pageBreakBefore w:val="0"/>
        <w:widowControl/>
        <w:numPr>
          <w:ilvl w:val="0"/>
          <w:numId w:val="5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摆动类器械摆动幅度可控，端点缓冲无硬性撞击异响，杜绝结构疲劳松动。</w:t>
      </w:r>
    </w:p>
    <w:p w14:paraId="48CAF3A4">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结构荷载与抗倾覆性能</w:t>
      </w:r>
    </w:p>
    <w:p w14:paraId="6ACD1876">
      <w:pPr>
        <w:pageBreakBefore w:val="0"/>
        <w:widowControl/>
        <w:numPr>
          <w:ilvl w:val="0"/>
          <w:numId w:val="5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整机静态承重、单人单点承载力、侧向抗推力完全符合GB19272-2024标准，单点承载≥150kg，满足成人高强度使用。</w:t>
      </w:r>
    </w:p>
    <w:p w14:paraId="694D0FB6">
      <w:pPr>
        <w:pageBreakBefore w:val="0"/>
        <w:widowControl/>
        <w:numPr>
          <w:ilvl w:val="0"/>
          <w:numId w:val="5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主立柱整体水平抗拉力≥1800N，整机无晃动、无位移、无塑性变形，抗风、抗外力倾覆能力达标。</w:t>
      </w:r>
    </w:p>
    <w:p w14:paraId="59AB6E6F">
      <w:pPr>
        <w:pageBreakBefore w:val="0"/>
        <w:widowControl/>
        <w:numPr>
          <w:ilvl w:val="0"/>
          <w:numId w:val="5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设备安全使用寿命按国标≥8年设计，结构疲劳强度满足长期户外高频使用。</w:t>
      </w:r>
    </w:p>
    <w:p w14:paraId="34A662AE">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棱角、端头、紧固件安全标准</w:t>
      </w:r>
    </w:p>
    <w:p w14:paraId="0880AFFA">
      <w:pPr>
        <w:pageBreakBefore w:val="0"/>
        <w:widowControl/>
        <w:numPr>
          <w:ilvl w:val="0"/>
          <w:numId w:val="5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所有可接触金属端头、管件切口、焊接接点全部圆弧钝化处理，无毛刺、无锐边、无割手断面。</w:t>
      </w:r>
    </w:p>
    <w:p w14:paraId="7C7CCA38">
      <w:pPr>
        <w:pageBreakBefore w:val="0"/>
        <w:widowControl/>
        <w:numPr>
          <w:ilvl w:val="0"/>
          <w:numId w:val="5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全部采用</w:t>
      </w:r>
      <w:r>
        <w:rPr>
          <w:rFonts w:ascii="宋体" w:hAnsi="宋体" w:eastAsia="宋体" w:cs="宋体"/>
          <w:b/>
          <w:color w:val="auto"/>
          <w:kern w:val="0"/>
          <w:sz w:val="30"/>
          <w:szCs w:val="30"/>
          <w:lang w:bidi="ar"/>
        </w:rPr>
        <w:t>防盗防松内嵌式螺栓结构</w:t>
      </w:r>
      <w:r>
        <w:rPr>
          <w:rFonts w:ascii="宋体" w:hAnsi="宋体" w:eastAsia="宋体" w:cs="宋体"/>
          <w:color w:val="auto"/>
          <w:kern w:val="0"/>
          <w:sz w:val="30"/>
          <w:szCs w:val="30"/>
          <w:lang w:bidi="ar"/>
        </w:rPr>
        <w:t>，外露螺栓全覆盖装饰帽，无裸露丝牙、无突出硬质紧固件。</w:t>
      </w:r>
    </w:p>
    <w:p w14:paraId="1B73E4EA">
      <w:pPr>
        <w:pageBreakBefore w:val="0"/>
        <w:widowControl/>
        <w:numPr>
          <w:ilvl w:val="0"/>
          <w:numId w:val="5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所有拼接缝隙均匀、平整、无错台、无凸起，整体触感顺滑安全。</w:t>
      </w:r>
    </w:p>
    <w:p w14:paraId="1287D4A0">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5.3.3分品类器械专项技术要求</w:t>
      </w:r>
    </w:p>
    <w:p w14:paraId="11AF1B7B">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太空漫步机（双位/三位）</w:t>
      </w:r>
    </w:p>
    <w:p w14:paraId="479D10E0">
      <w:pPr>
        <w:pageBreakBefore w:val="0"/>
        <w:widowControl/>
        <w:numPr>
          <w:ilvl w:val="0"/>
          <w:numId w:val="5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摆臂摆动轨迹顺畅，上下摆动无卡顿、无偏摆、无侧向晃动，左右摆动同步一致。</w:t>
      </w:r>
    </w:p>
    <w:p w14:paraId="74E869BC">
      <w:pPr>
        <w:pageBreakBefore w:val="0"/>
        <w:widowControl/>
        <w:numPr>
          <w:ilvl w:val="0"/>
          <w:numId w:val="5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配置专用高精度轴承+耐磨缓冲限位结构，摆动末端缓冲柔和，无硬性撞击、无异响、不回弹。</w:t>
      </w:r>
    </w:p>
    <w:p w14:paraId="170E85F4">
      <w:pPr>
        <w:pageBreakBefore w:val="0"/>
        <w:widowControl/>
        <w:numPr>
          <w:ilvl w:val="0"/>
          <w:numId w:val="5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脚踏板加宽防滑设计，板面防滑纹理深度达标，踩踏稳固不打滑，踏板无变形、无弯折。</w:t>
      </w:r>
    </w:p>
    <w:p w14:paraId="15B61559">
      <w:pPr>
        <w:pageBreakBefore w:val="0"/>
        <w:widowControl/>
        <w:numPr>
          <w:ilvl w:val="0"/>
          <w:numId w:val="5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扶手高度、间距符合成人人体工学，握持舒适、受力均衡，适配高矮人群使用。</w:t>
      </w:r>
    </w:p>
    <w:p w14:paraId="4FBCF828">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扭腰类器械（三位扭腰、立式扭腰）</w:t>
      </w:r>
    </w:p>
    <w:p w14:paraId="24503ACF">
      <w:pPr>
        <w:pageBreakBefore w:val="0"/>
        <w:widowControl/>
        <w:numPr>
          <w:ilvl w:val="0"/>
          <w:numId w:val="5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转盘转动阻尼均匀、启停顺滑，无卡顿、无死角、无单边偏重，杜绝高速惯性甩动。</w:t>
      </w:r>
    </w:p>
    <w:p w14:paraId="55435631">
      <w:pPr>
        <w:pageBreakBefore w:val="0"/>
        <w:widowControl/>
        <w:numPr>
          <w:ilvl w:val="0"/>
          <w:numId w:val="5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转盘底座限位可靠，无超程转动，底盘与立柱连接牢固，长期使用无松动、无异响。</w:t>
      </w:r>
    </w:p>
    <w:p w14:paraId="1952BE7C">
      <w:pPr>
        <w:pageBreakBefore w:val="0"/>
        <w:widowControl/>
        <w:numPr>
          <w:ilvl w:val="0"/>
          <w:numId w:val="5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脚踏区域防滑、耐磨、防水，不积灰、不积水，适老化设计，老年人使用无打滑风险。</w:t>
      </w:r>
    </w:p>
    <w:p w14:paraId="69C05502">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上肢牵引器、太极推柔器</w:t>
      </w:r>
    </w:p>
    <w:p w14:paraId="5C1D8914">
      <w:pPr>
        <w:pageBreakBefore w:val="0"/>
        <w:widowControl/>
        <w:numPr>
          <w:ilvl w:val="0"/>
          <w:numId w:val="5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牵引钢丝绳顺滑无卡顿，耐磨防断、防脱丝，上下行程限位精准，防顶冲、防脱落。</w:t>
      </w:r>
    </w:p>
    <w:p w14:paraId="07C8BB8B">
      <w:pPr>
        <w:pageBreakBefore w:val="0"/>
        <w:widowControl/>
        <w:numPr>
          <w:ilvl w:val="0"/>
          <w:numId w:val="5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太极圆盘转动均匀、阻尼适中，360°转动无卡点、无偏心，轴承密封防水防尘，户外不进泥沙。</w:t>
      </w:r>
    </w:p>
    <w:p w14:paraId="7C8AFA8C">
      <w:pPr>
        <w:pageBreakBefore w:val="0"/>
        <w:widowControl/>
        <w:numPr>
          <w:ilvl w:val="0"/>
          <w:numId w:val="5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握把耐磨耐老化，不脱皮、不粘手、不褪色，四季使用舒适。</w:t>
      </w:r>
    </w:p>
    <w:p w14:paraId="7633CC8F">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蹬力器、坐姿推举训练器</w:t>
      </w:r>
    </w:p>
    <w:p w14:paraId="239E7F91">
      <w:pPr>
        <w:pageBreakBefore w:val="0"/>
        <w:widowControl/>
        <w:numPr>
          <w:ilvl w:val="0"/>
          <w:numId w:val="6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坐板、靠背平整牢固，无变形、无松动，贴合人体腰背曲线，久坐舒适。</w:t>
      </w:r>
    </w:p>
    <w:p w14:paraId="243DDF6D">
      <w:pPr>
        <w:pageBreakBefore w:val="0"/>
        <w:widowControl/>
        <w:numPr>
          <w:ilvl w:val="0"/>
          <w:numId w:val="6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蹬腿行程限位精准，缓冲到位，杜绝硬性撞击结构，保护框架结构长期稳定。</w:t>
      </w:r>
    </w:p>
    <w:p w14:paraId="37B9E2AA">
      <w:pPr>
        <w:pageBreakBefore w:val="0"/>
        <w:widowControl/>
        <w:numPr>
          <w:ilvl w:val="0"/>
          <w:numId w:val="6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受力杆件承重冗余充足，无弯曲变形、无疲劳异响，适配大体重人群使用。</w:t>
      </w:r>
    </w:p>
    <w:p w14:paraId="5610985E">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单杠、双杠、云梯、平行杠</w:t>
      </w:r>
    </w:p>
    <w:p w14:paraId="33AFD7D9">
      <w:pPr>
        <w:pageBreakBefore w:val="0"/>
        <w:widowControl/>
        <w:numPr>
          <w:ilvl w:val="0"/>
          <w:numId w:val="6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横杆水平度精准、平直无弯曲，握杆圆润光滑，无接头凸起、无焊缝毛刺。</w:t>
      </w:r>
    </w:p>
    <w:p w14:paraId="5D652DEC">
      <w:pPr>
        <w:pageBreakBefore w:val="0"/>
        <w:widowControl/>
        <w:numPr>
          <w:ilvl w:val="0"/>
          <w:numId w:val="6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立柱垂直度、横杆平行度达标，整体结构刚性强，承重无晃动、无颤振。</w:t>
      </w:r>
    </w:p>
    <w:p w14:paraId="4FE348E0">
      <w:pPr>
        <w:pageBreakBefore w:val="0"/>
        <w:widowControl/>
        <w:numPr>
          <w:ilvl w:val="0"/>
          <w:numId w:val="6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高度、间距严格符合国标安全尺寸，满足成人拉伸、引体向上标准使用场景，无磕碰头部、身体风险。</w:t>
      </w:r>
    </w:p>
    <w:p w14:paraId="03518E6F">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腰背按摩器、按摩滚轮类器械</w:t>
      </w:r>
    </w:p>
    <w:p w14:paraId="2ECB5C83">
      <w:pPr>
        <w:pageBreakBefore w:val="0"/>
        <w:widowControl/>
        <w:numPr>
          <w:ilvl w:val="0"/>
          <w:numId w:val="6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滚轮转动灵活、无卡滞、无偏心，滚轮表面圆润不伤肤，软硬适中。</w:t>
      </w:r>
    </w:p>
    <w:p w14:paraId="6FC1C5AB">
      <w:pPr>
        <w:pageBreakBefore w:val="0"/>
        <w:widowControl/>
        <w:numPr>
          <w:ilvl w:val="0"/>
          <w:numId w:val="6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支架结构稳固，受力无变形，高度适配成人腰背按摩体位，符合人体康复锻炼标准。</w:t>
      </w:r>
    </w:p>
    <w:p w14:paraId="74FCF0E7">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5.3.4主材材质与工艺精细化标准</w:t>
      </w:r>
    </w:p>
    <w:p w14:paraId="1E85DB99">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主体钢管材质与壁厚标准</w:t>
      </w:r>
    </w:p>
    <w:p w14:paraId="400E3DB2">
      <w:pPr>
        <w:pageBreakBefore w:val="0"/>
        <w:widowControl/>
        <w:numPr>
          <w:ilvl w:val="0"/>
          <w:numId w:val="6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主立柱：采用国标高频焊接热镀锌钢管，壁厚</w:t>
      </w:r>
      <w:r>
        <w:rPr>
          <w:rFonts w:ascii="宋体" w:hAnsi="宋体" w:eastAsia="宋体" w:cs="宋体"/>
          <w:b/>
          <w:color w:val="auto"/>
          <w:kern w:val="0"/>
          <w:sz w:val="30"/>
          <w:szCs w:val="30"/>
          <w:lang w:bidi="ar"/>
        </w:rPr>
        <w:t>≥2.75mm</w:t>
      </w:r>
      <w:r>
        <w:rPr>
          <w:rFonts w:ascii="宋体" w:hAnsi="宋体" w:eastAsia="宋体" w:cs="宋体"/>
          <w:color w:val="auto"/>
          <w:kern w:val="0"/>
          <w:sz w:val="30"/>
          <w:szCs w:val="30"/>
          <w:lang w:bidi="ar"/>
        </w:rPr>
        <w:t>，严禁薄壁管、非标管、改尺管、翻新管。</w:t>
      </w:r>
    </w:p>
    <w:p w14:paraId="138E5480">
      <w:pPr>
        <w:pageBreakBefore w:val="0"/>
        <w:widowControl/>
        <w:numPr>
          <w:ilvl w:val="0"/>
          <w:numId w:val="6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受力支管、连接横梁：壁厚≥2.5mm，辅助杆件壁厚≥2.0mm，整体结构承重冗余充足。</w:t>
      </w:r>
    </w:p>
    <w:p w14:paraId="44700D8D">
      <w:pPr>
        <w:pageBreakBefore w:val="0"/>
        <w:widowControl/>
        <w:numPr>
          <w:ilvl w:val="0"/>
          <w:numId w:val="6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所有管材为全新国标正品，壁厚均匀、无沙眼、无空心、无锈蚀、无变形。</w:t>
      </w:r>
    </w:p>
    <w:p w14:paraId="1D09FFDC">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防腐与喷涂工艺（户外耐候核心标准）</w:t>
      </w:r>
    </w:p>
    <w:p w14:paraId="0377C5CE">
      <w:pPr>
        <w:pageBreakBefore w:val="0"/>
        <w:widowControl/>
        <w:numPr>
          <w:ilvl w:val="0"/>
          <w:numId w:val="6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基材前处理：喷砂除锈达国标Sa2.5级，彻底除油、除锈、除氧化皮，杜绝底层返锈。</w:t>
      </w:r>
    </w:p>
    <w:p w14:paraId="1DC8FE6B">
      <w:pPr>
        <w:pageBreakBefore w:val="0"/>
        <w:widowControl/>
        <w:numPr>
          <w:ilvl w:val="0"/>
          <w:numId w:val="6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双层防腐体系：整体热镀锌打底+户外静电粉末高温喷涂，防腐层完整无遗漏。</w:t>
      </w:r>
    </w:p>
    <w:p w14:paraId="7F724B8E">
      <w:pPr>
        <w:pageBreakBefore w:val="0"/>
        <w:widowControl/>
        <w:numPr>
          <w:ilvl w:val="0"/>
          <w:numId w:val="6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表面静电喷塑漆膜厚度60～90μm，附着力1级，耐候性通过800小时人工加速老化试验，老化等级≥2级，户外使用5年以上不脱皮、不粉化、不褪色、不锈穿。</w:t>
      </w:r>
    </w:p>
    <w:p w14:paraId="4B08A299">
      <w:pPr>
        <w:pageBreakBefore w:val="0"/>
        <w:widowControl/>
        <w:numPr>
          <w:ilvl w:val="0"/>
          <w:numId w:val="64"/>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所有焊接点、切口位置重点防腐补涂，杜绝焊接位优先锈蚀通病。</w:t>
      </w:r>
    </w:p>
    <w:p w14:paraId="280161B6">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橡塑配件、握把、踏板材质</w:t>
      </w:r>
    </w:p>
    <w:p w14:paraId="407C8082">
      <w:pPr>
        <w:pageBreakBefore w:val="0"/>
        <w:widowControl/>
        <w:numPr>
          <w:ilvl w:val="0"/>
          <w:numId w:val="6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所有握把、防滑套、缓冲垫采用全新原生TPR/PP耐候橡塑材质，无毒无味、抗紫外线、耐高低温、不开裂、不发硬、不脱落。</w:t>
      </w:r>
    </w:p>
    <w:p w14:paraId="1622E35D">
      <w:pPr>
        <w:pageBreakBefore w:val="0"/>
        <w:widowControl/>
        <w:numPr>
          <w:ilvl w:val="0"/>
          <w:numId w:val="6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颜色为整体浸色，非表面喷漆，长期暴晒不褪色、不泛黄、不粘手。</w:t>
      </w:r>
    </w:p>
    <w:p w14:paraId="5F2C261A">
      <w:pPr>
        <w:pageBreakBefore w:val="0"/>
        <w:widowControl/>
        <w:numPr>
          <w:ilvl w:val="0"/>
          <w:numId w:val="65"/>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踏板、坐板、靠背高强度工程塑料，承重强、抗冲击、耐老化、无脆裂。</w:t>
      </w:r>
    </w:p>
    <w:p w14:paraId="7187B405">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 xml:space="preserve"> 轴承、传动及五金配件</w:t>
      </w:r>
    </w:p>
    <w:p w14:paraId="0601D93C">
      <w:pPr>
        <w:pageBreakBefore w:val="0"/>
        <w:widowControl/>
        <w:numPr>
          <w:ilvl w:val="0"/>
          <w:numId w:val="6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全部采用密封防水精密轴承，防尘、防水、防泥沙侵入，户外长期使用不卡顿、无异响、不生锈。</w:t>
      </w:r>
    </w:p>
    <w:p w14:paraId="430D9772">
      <w:pPr>
        <w:pageBreakBefore w:val="0"/>
        <w:widowControl/>
        <w:numPr>
          <w:ilvl w:val="0"/>
          <w:numId w:val="6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所有紧固件为304不锈钢防盗螺栓、防松螺母、双重平弹垫，具备防松、防锈、防人为拆卸功能。</w:t>
      </w:r>
    </w:p>
    <w:p w14:paraId="22C63A47">
      <w:pPr>
        <w:pageBreakBefore w:val="0"/>
        <w:widowControl/>
        <w:numPr>
          <w:ilvl w:val="0"/>
          <w:numId w:val="66"/>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所有丝牙精准匹配，紧固到位无滑丝、无脱扣，外露五金全覆盖防护。</w:t>
      </w:r>
    </w:p>
    <w:p w14:paraId="653D9B1E">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5.3.5场地布局、安全间距与基础安装标准（GB/T34278-2017）</w:t>
      </w:r>
    </w:p>
    <w:p w14:paraId="363AFBF9">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器械安全间距强制要求</w:t>
      </w:r>
    </w:p>
    <w:p w14:paraId="11403A01">
      <w:pPr>
        <w:pageBreakBefore w:val="0"/>
        <w:widowControl/>
        <w:numPr>
          <w:ilvl w:val="0"/>
          <w:numId w:val="6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各器械之间、器械与硬质地面、景观、墙体、绿植之间预留国标安全运动间距，无运动干涉、无碰撞风险。</w:t>
      </w:r>
    </w:p>
    <w:p w14:paraId="6C5899FA">
      <w:pPr>
        <w:pageBreakBefore w:val="0"/>
        <w:widowControl/>
        <w:numPr>
          <w:ilvl w:val="0"/>
          <w:numId w:val="6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摆动、转动类器械外侧扫地区域无任何障碍物，安全缓冲区完整无侵占。</w:t>
      </w:r>
    </w:p>
    <w:p w14:paraId="08F2001D">
      <w:pPr>
        <w:pageBreakBefore w:val="0"/>
        <w:widowControl/>
        <w:numPr>
          <w:ilvl w:val="0"/>
          <w:numId w:val="67"/>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健身区与儿童游乐区、人行通道、消防通道分区清晰，互不干扰，不占用消防疏散空间。</w:t>
      </w:r>
    </w:p>
    <w:p w14:paraId="30CC84AC">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混凝土基础施工标准</w:t>
      </w:r>
    </w:p>
    <w:p w14:paraId="13744AB7">
      <w:pPr>
        <w:pageBreakBefore w:val="0"/>
        <w:widowControl/>
        <w:numPr>
          <w:ilvl w:val="0"/>
          <w:numId w:val="6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场地基层压实平整，地基承载力满足设备荷载，无松土、无后期沉降隐患。</w:t>
      </w:r>
    </w:p>
    <w:p w14:paraId="7F848CDD">
      <w:pPr>
        <w:pageBreakBefore w:val="0"/>
        <w:widowControl/>
        <w:numPr>
          <w:ilvl w:val="0"/>
          <w:numId w:val="6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设备独立基础采用</w:t>
      </w:r>
      <w:r>
        <w:rPr>
          <w:rFonts w:ascii="宋体" w:hAnsi="宋体" w:eastAsia="宋体" w:cs="宋体"/>
          <w:b/>
          <w:color w:val="auto"/>
          <w:kern w:val="0"/>
          <w:sz w:val="30"/>
          <w:szCs w:val="30"/>
          <w:lang w:bidi="ar"/>
        </w:rPr>
        <w:t>C25及以上商品混凝土</w:t>
      </w:r>
      <w:r>
        <w:rPr>
          <w:rFonts w:ascii="宋体" w:hAnsi="宋体" w:eastAsia="宋体" w:cs="宋体"/>
          <w:color w:val="auto"/>
          <w:kern w:val="0"/>
          <w:sz w:val="30"/>
          <w:szCs w:val="30"/>
          <w:lang w:bidi="ar"/>
        </w:rPr>
        <w:t>浇筑</w:t>
      </w:r>
      <w:r>
        <w:rPr>
          <w:rFonts w:hint="eastAsia" w:ascii="宋体" w:hAnsi="宋体" w:eastAsia="宋体" w:cs="宋体"/>
          <w:color w:val="auto"/>
          <w:kern w:val="0"/>
          <w:sz w:val="30"/>
          <w:szCs w:val="30"/>
          <w:lang w:bidi="ar"/>
        </w:rPr>
        <w:t>（</w:t>
      </w:r>
      <w:r>
        <w:rPr>
          <w:rFonts w:hint="eastAsia" w:ascii="宋体" w:hAnsi="宋体" w:eastAsia="宋体" w:cs="宋体"/>
          <w:b/>
          <w:bCs/>
          <w:color w:val="auto"/>
          <w:kern w:val="0"/>
          <w:sz w:val="30"/>
          <w:szCs w:val="30"/>
          <w:lang w:bidi="ar"/>
        </w:rPr>
        <w:t>有图参照图纸，图纸未注明则不低于此要求</w:t>
      </w:r>
      <w:r>
        <w:rPr>
          <w:rFonts w:hint="eastAsia" w:ascii="宋体" w:hAnsi="宋体" w:eastAsia="宋体" w:cs="宋体"/>
          <w:color w:val="auto"/>
          <w:kern w:val="0"/>
          <w:sz w:val="30"/>
          <w:szCs w:val="30"/>
          <w:lang w:bidi="ar"/>
        </w:rPr>
        <w:t>）</w:t>
      </w:r>
      <w:r>
        <w:rPr>
          <w:rFonts w:ascii="宋体" w:hAnsi="宋体" w:eastAsia="宋体" w:cs="宋体"/>
          <w:color w:val="auto"/>
          <w:kern w:val="0"/>
          <w:sz w:val="30"/>
          <w:szCs w:val="30"/>
          <w:lang w:bidi="ar"/>
        </w:rPr>
        <w:t>，基础尺寸、埋深、锚固长度严格按照设备施工图及国标执行。</w:t>
      </w:r>
    </w:p>
    <w:p w14:paraId="70749A71">
      <w:pPr>
        <w:pageBreakBefore w:val="0"/>
        <w:widowControl/>
        <w:numPr>
          <w:ilvl w:val="0"/>
          <w:numId w:val="6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预埋螺栓定位精准、垂直无偏移，锚固牢固，基础养护周期充足，强度达标后方可安装设备。</w:t>
      </w:r>
    </w:p>
    <w:p w14:paraId="226B3216">
      <w:pPr>
        <w:pageBreakBefore w:val="0"/>
        <w:widowControl/>
        <w:numPr>
          <w:ilvl w:val="0"/>
          <w:numId w:val="68"/>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基础周边收边平整、无积水坑、无突兀棱角，观感整洁规范。</w:t>
      </w:r>
    </w:p>
    <w:p w14:paraId="000BD3CB">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设备安装精度标准</w:t>
      </w:r>
    </w:p>
    <w:p w14:paraId="765B9B47">
      <w:pPr>
        <w:pageBreakBefore w:val="0"/>
        <w:widowControl/>
        <w:numPr>
          <w:ilvl w:val="0"/>
          <w:numId w:val="6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立柱垂直度偏差≤2mm/m，整机端正、无倾斜、无偏移。</w:t>
      </w:r>
    </w:p>
    <w:p w14:paraId="71993E19">
      <w:pPr>
        <w:pageBreakBefore w:val="0"/>
        <w:widowControl/>
        <w:numPr>
          <w:ilvl w:val="0"/>
          <w:numId w:val="6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横梁水平度、器械对称度统一，缝隙均匀、拼接工整。</w:t>
      </w:r>
    </w:p>
    <w:p w14:paraId="62CAA6AA">
      <w:pPr>
        <w:pageBreakBefore w:val="0"/>
        <w:widowControl/>
        <w:numPr>
          <w:ilvl w:val="0"/>
          <w:numId w:val="6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所有运动部件调试到位，运转顺畅、阻尼均匀、限位精准、缓冲有效、无异响、无晃动。</w:t>
      </w:r>
    </w:p>
    <w:p w14:paraId="509A3B38">
      <w:pPr>
        <w:pageBreakBefore w:val="0"/>
        <w:widowControl/>
        <w:numPr>
          <w:ilvl w:val="0"/>
          <w:numId w:val="69"/>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安装完成后整机清洁无污渍、无胶迹、无划痕，漆面完好如初。</w:t>
      </w:r>
    </w:p>
    <w:p w14:paraId="0B21B7C7">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5.3.6 环保、耐候、阻燃、无毒专项要求</w:t>
      </w:r>
    </w:p>
    <w:p w14:paraId="719030EA">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环保无毒要求</w:t>
      </w:r>
    </w:p>
    <w:p w14:paraId="4DD34522">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所有喷涂粉末、橡塑配件、辅助胶水、密封材料有害物质限量符合GB 50325-2020标准，进场无刺鼻异味、无有毒挥发物，适配小区人居环境。</w:t>
      </w:r>
    </w:p>
    <w:p w14:paraId="0A0E72A9">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耐候耐久要求</w:t>
      </w:r>
    </w:p>
    <w:p w14:paraId="1DC59192">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全套设备耐日晒、耐雨淋、耐霜雪、耐温差，长期户外使用不粉化、不脆裂、不脱落、不生锈，满足小区常年露天使用工况。</w:t>
      </w:r>
    </w:p>
    <w:p w14:paraId="5B6CDDA7">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阻燃安全要求</w:t>
      </w:r>
    </w:p>
    <w:p w14:paraId="1BED503B">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橡塑配件、软性缓冲件、装饰件阻燃性能达标，不自燃、不助燃、离火自熄，满足小区户外消防管控要求。</w:t>
      </w:r>
    </w:p>
    <w:p w14:paraId="089799E3">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5.3.7标识标牌、安全警示配套标准</w:t>
      </w:r>
    </w:p>
    <w:p w14:paraId="519FD5C6">
      <w:pPr>
        <w:pageBreakBefore w:val="0"/>
        <w:widowControl/>
        <w:numPr>
          <w:ilvl w:val="0"/>
          <w:numId w:val="7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每台器械标配</w:t>
      </w:r>
      <w:r>
        <w:rPr>
          <w:rFonts w:ascii="宋体" w:hAnsi="宋体" w:eastAsia="宋体" w:cs="宋体"/>
          <w:b/>
          <w:color w:val="auto"/>
          <w:kern w:val="0"/>
          <w:sz w:val="30"/>
          <w:szCs w:val="30"/>
          <w:lang w:bidi="ar"/>
        </w:rPr>
        <w:t>国标安全使用说明牌、功能介绍、适用人群、禁忌人群、正确使用方法、安全警示</w:t>
      </w:r>
      <w:r>
        <w:rPr>
          <w:rFonts w:ascii="宋体" w:hAnsi="宋体" w:eastAsia="宋体" w:cs="宋体"/>
          <w:color w:val="auto"/>
          <w:kern w:val="0"/>
          <w:sz w:val="30"/>
          <w:szCs w:val="30"/>
          <w:lang w:bidi="ar"/>
        </w:rPr>
        <w:t>，标识清晰、图文规范、耐候防晒。</w:t>
      </w:r>
    </w:p>
    <w:p w14:paraId="6225D541">
      <w:pPr>
        <w:pageBreakBefore w:val="0"/>
        <w:widowControl/>
        <w:numPr>
          <w:ilvl w:val="0"/>
          <w:numId w:val="7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场地设置总警示标识：未成年人需监护人陪同、禁止剧烈违规使用、禁止攀爬翻越、老旧体弱人群慎用提示。</w:t>
      </w:r>
    </w:p>
    <w:p w14:paraId="25EA75E7">
      <w:pPr>
        <w:pageBreakBefore w:val="0"/>
        <w:widowControl/>
        <w:numPr>
          <w:ilvl w:val="0"/>
          <w:numId w:val="7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每台设备永久性铭牌齐全：厂家名称、执行标准GB19272-2024、生产日期、安全使用年限、售后联系方式、产品认证信息。</w:t>
      </w:r>
    </w:p>
    <w:p w14:paraId="6899CE02">
      <w:pPr>
        <w:pageBreakBefore w:val="0"/>
        <w:widowControl/>
        <w:numPr>
          <w:ilvl w:val="0"/>
          <w:numId w:val="70"/>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标牌安装牢固、位置醒目、端正平整，不歪斜、不脱落、不褪色。</w:t>
      </w:r>
    </w:p>
    <w:p w14:paraId="4720036A">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5.3.8验收、资料及不合格处置</w:t>
      </w:r>
    </w:p>
    <w:p w14:paraId="3B297734">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验收</w:t>
      </w:r>
    </w:p>
    <w:p w14:paraId="3865C2CE">
      <w:pPr>
        <w:pageBreakBefore w:val="0"/>
        <w:widowControl/>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严格执行：材料设备进场验收→隐蔽基础验收→安装完成竣工验收，上道工序不合格严禁进入下道工序。</w:t>
      </w:r>
      <w:r>
        <w:rPr>
          <w:rFonts w:hint="eastAsia" w:ascii="宋体" w:hAnsi="宋体" w:eastAsia="宋体" w:cs="宋体"/>
          <w:color w:val="auto"/>
          <w:kern w:val="0"/>
          <w:sz w:val="30"/>
          <w:szCs w:val="30"/>
          <w:lang w:bidi="ar"/>
        </w:rPr>
        <w:t>最终需满足政府验收要求，并配合完成全项目竣工备案。</w:t>
      </w:r>
    </w:p>
    <w:p w14:paraId="35B94675">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竣工资料</w:t>
      </w:r>
    </w:p>
    <w:p w14:paraId="637B17ED">
      <w:pPr>
        <w:pageBreakBefore w:val="0"/>
        <w:widowControl/>
        <w:numPr>
          <w:ilvl w:val="0"/>
          <w:numId w:val="7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深化布置图、基础施工图、专项施工方案、技术交底资料；</w:t>
      </w:r>
    </w:p>
    <w:p w14:paraId="4128ADEA">
      <w:pPr>
        <w:pageBreakBefore w:val="0"/>
        <w:widowControl/>
        <w:numPr>
          <w:ilvl w:val="0"/>
          <w:numId w:val="7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全套设备合格证、出厂检验报告、CMA第三方检测报告（结构、荷载、防腐、耐候、环保）；</w:t>
      </w:r>
    </w:p>
    <w:p w14:paraId="52822D64">
      <w:pPr>
        <w:pageBreakBefore w:val="0"/>
        <w:widowControl/>
        <w:numPr>
          <w:ilvl w:val="0"/>
          <w:numId w:val="7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有效期内</w:t>
      </w:r>
      <w:r>
        <w:rPr>
          <w:rFonts w:ascii="宋体" w:hAnsi="宋体" w:eastAsia="宋体" w:cs="宋体"/>
          <w:b/>
          <w:color w:val="auto"/>
          <w:kern w:val="0"/>
          <w:sz w:val="30"/>
          <w:szCs w:val="30"/>
          <w:lang w:bidi="ar"/>
        </w:rPr>
        <w:t>NSCC国体产品认证证书</w:t>
      </w:r>
      <w:r>
        <w:rPr>
          <w:rFonts w:ascii="宋体" w:hAnsi="宋体" w:eastAsia="宋体" w:cs="宋体"/>
          <w:color w:val="auto"/>
          <w:kern w:val="0"/>
          <w:sz w:val="30"/>
          <w:szCs w:val="30"/>
          <w:lang w:bidi="ar"/>
        </w:rPr>
        <w:t>（投标、竣工必备）；</w:t>
      </w:r>
    </w:p>
    <w:p w14:paraId="0CCD1918">
      <w:pPr>
        <w:pageBreakBefore w:val="0"/>
        <w:widowControl/>
        <w:numPr>
          <w:ilvl w:val="0"/>
          <w:numId w:val="7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隐蔽工程验收记录、设备安装调试记录、自检报告；</w:t>
      </w:r>
    </w:p>
    <w:p w14:paraId="5930564B">
      <w:pPr>
        <w:pageBreakBefore w:val="0"/>
        <w:widowControl/>
        <w:numPr>
          <w:ilvl w:val="0"/>
          <w:numId w:val="71"/>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产品说明书、安全使用手册、质保承诺书、售后维保方案。</w:t>
      </w:r>
    </w:p>
    <w:p w14:paraId="4F848896">
      <w:pPr>
        <w:keepNext w:val="0"/>
        <w:keepLines w:val="0"/>
        <w:pageBreakBefore w:val="0"/>
        <w:widowControl/>
        <w:numPr>
          <w:ilvl w:val="0"/>
          <w:numId w:val="51"/>
        </w:numPr>
        <w:kinsoku/>
        <w:wordWrap/>
        <w:overflowPunct/>
        <w:topLinePunct w:val="0"/>
        <w:autoSpaceDE/>
        <w:autoSpaceDN/>
        <w:bidi w:val="0"/>
        <w:adjustRightInd w:val="0"/>
        <w:snapToGrid/>
        <w:spacing w:before="280" w:after="290" w:line="520" w:lineRule="exact"/>
        <w:ind w:left="0" w:leftChars="0" w:firstLine="602" w:firstLineChars="200"/>
        <w:jc w:val="both"/>
        <w:textAlignment w:val="auto"/>
        <w:outlineLvl w:val="3"/>
        <w:rPr>
          <w:rFonts w:ascii="Arial" w:hAnsi="Arial" w:eastAsia="黑体" w:cs="Times New Roman"/>
          <w:b/>
          <w:color w:val="auto"/>
          <w:kern w:val="2"/>
          <w:sz w:val="30"/>
          <w:szCs w:val="30"/>
          <w:lang w:val="en-US" w:eastAsia="zh-CN" w:bidi="ar-SA"/>
        </w:rPr>
      </w:pPr>
      <w:r>
        <w:rPr>
          <w:rFonts w:ascii="Arial" w:hAnsi="Arial" w:eastAsia="黑体" w:cs="Times New Roman"/>
          <w:b/>
          <w:color w:val="auto"/>
          <w:kern w:val="2"/>
          <w:sz w:val="30"/>
          <w:szCs w:val="30"/>
          <w:lang w:val="en-US" w:eastAsia="zh-CN" w:bidi="ar-SA"/>
        </w:rPr>
        <w:t>不合格处置</w:t>
      </w:r>
    </w:p>
    <w:p w14:paraId="776D78CE">
      <w:pPr>
        <w:pageBreakBefore w:val="0"/>
        <w:widowControl/>
        <w:numPr>
          <w:ilvl w:val="0"/>
          <w:numId w:val="7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管材壁厚、结构荷载、安全间隙、阻尼限位、防腐耐候任意一项不满足GB19272-2024新国标：无条件退场更换，工期不顺延、费用不增加。</w:t>
      </w:r>
    </w:p>
    <w:p w14:paraId="7AD8A8D5">
      <w:pPr>
        <w:pageBreakBefore w:val="0"/>
        <w:widowControl/>
        <w:numPr>
          <w:ilvl w:val="0"/>
          <w:numId w:val="7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安装存在晃动、异响、卡滞、限位失效、安全间距不足等质量隐患：立即停工全面整改，复验合格方可验收。</w:t>
      </w:r>
    </w:p>
    <w:p w14:paraId="0F381CDF">
      <w:pPr>
        <w:pageBreakBefore w:val="0"/>
        <w:widowControl/>
        <w:numPr>
          <w:ilvl w:val="0"/>
          <w:numId w:val="72"/>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无有效国体认证、检测报告造假、材质与封样不符：判定为重大质量违约，不予验收、不予结算、无条件清场。</w:t>
      </w:r>
    </w:p>
    <w:p w14:paraId="2AA039C3">
      <w:pPr>
        <w:pageBreakBefore w:val="0"/>
        <w:widowControl/>
        <w:kinsoku/>
        <w:wordWrap/>
        <w:overflowPunct/>
        <w:topLinePunct w:val="0"/>
        <w:autoSpaceDE/>
        <w:autoSpaceDN/>
        <w:bidi w:val="0"/>
        <w:adjustRightInd w:val="0"/>
        <w:snapToGrid/>
        <w:spacing w:beforeAutospacing="1" w:afterAutospacing="1" w:line="520" w:lineRule="exact"/>
        <w:ind w:left="0" w:leftChars="0" w:firstLine="602" w:firstLineChars="200"/>
        <w:jc w:val="both"/>
        <w:textAlignment w:val="auto"/>
        <w:outlineLvl w:val="2"/>
        <w:rPr>
          <w:rFonts w:hint="eastAsia" w:ascii="宋体" w:hAnsi="宋体" w:eastAsia="宋体" w:cs="Times New Roman"/>
          <w:b/>
          <w:bCs/>
          <w:color w:val="auto"/>
          <w:kern w:val="0"/>
          <w:sz w:val="30"/>
          <w:szCs w:val="30"/>
          <w:lang w:val="en-US" w:eastAsia="zh-CN" w:bidi="ar-SA"/>
        </w:rPr>
      </w:pPr>
      <w:r>
        <w:rPr>
          <w:rFonts w:hint="eastAsia" w:ascii="宋体" w:hAnsi="宋体" w:eastAsia="宋体" w:cs="Times New Roman"/>
          <w:b/>
          <w:bCs/>
          <w:color w:val="auto"/>
          <w:kern w:val="0"/>
          <w:sz w:val="30"/>
          <w:szCs w:val="30"/>
          <w:lang w:val="en-US" w:eastAsia="zh-CN" w:bidi="ar-SA"/>
        </w:rPr>
        <w:t>5.3.9 质保与售后维保标准</w:t>
      </w:r>
    </w:p>
    <w:p w14:paraId="3B1B80B9">
      <w:pPr>
        <w:pageBreakBefore w:val="0"/>
        <w:widowControl/>
        <w:numPr>
          <w:ilvl w:val="0"/>
          <w:numId w:val="73"/>
        </w:numPr>
        <w:kinsoku/>
        <w:wordWrap/>
        <w:overflowPunct/>
        <w:topLinePunct w:val="0"/>
        <w:autoSpaceDE/>
        <w:autoSpaceDN/>
        <w:bidi w:val="0"/>
        <w:adjustRightInd w:val="0"/>
        <w:snapToGrid/>
        <w:spacing w:line="520" w:lineRule="exact"/>
        <w:ind w:left="0" w:leftChars="0" w:firstLine="602" w:firstLineChars="200"/>
        <w:jc w:val="both"/>
        <w:textAlignment w:val="auto"/>
        <w:rPr>
          <w:rFonts w:ascii="Times New Roman" w:hAnsi="Times New Roman" w:eastAsia="宋体" w:cs="Times New Roman"/>
          <w:b/>
          <w:bCs/>
          <w:color w:val="auto"/>
          <w:sz w:val="30"/>
          <w:szCs w:val="30"/>
        </w:rPr>
      </w:pPr>
      <w:r>
        <w:rPr>
          <w:rFonts w:ascii="宋体" w:hAnsi="宋体" w:eastAsia="宋体" w:cs="宋体"/>
          <w:b/>
          <w:bCs/>
          <w:color w:val="auto"/>
          <w:kern w:val="0"/>
          <w:sz w:val="30"/>
          <w:szCs w:val="30"/>
          <w:lang w:bidi="ar"/>
        </w:rPr>
        <w:t>设备主体钢结构框架、主受力结构质保不少于8年（对标国标安全使用年限）；整机设备、传动配件、橡塑配件质保不少于5年；整体工程质保不少于2年，所有质保标准高于国家最低规范要求。</w:t>
      </w:r>
    </w:p>
    <w:p w14:paraId="4F650D12">
      <w:pPr>
        <w:pageBreakBefore w:val="0"/>
        <w:widowControl/>
        <w:numPr>
          <w:ilvl w:val="0"/>
          <w:numId w:val="7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质保期内出现锈蚀、掉漆、松动、异响、卡顿、限位失效、配件老化破损等所有质量问题，</w:t>
      </w:r>
      <w:r>
        <w:rPr>
          <w:rFonts w:hint="eastAsia" w:ascii="宋体" w:hAnsi="宋体" w:eastAsia="宋体" w:cs="宋体"/>
          <w:color w:val="auto"/>
          <w:kern w:val="0"/>
          <w:sz w:val="30"/>
          <w:szCs w:val="30"/>
          <w:lang w:eastAsia="zh-CN" w:bidi="ar"/>
        </w:rPr>
        <w:t>中标单位</w:t>
      </w:r>
      <w:r>
        <w:rPr>
          <w:rFonts w:ascii="宋体" w:hAnsi="宋体" w:eastAsia="宋体" w:cs="宋体"/>
          <w:color w:val="auto"/>
          <w:kern w:val="0"/>
          <w:sz w:val="30"/>
          <w:szCs w:val="30"/>
          <w:lang w:bidi="ar"/>
        </w:rPr>
        <w:t>无偿更换、维修、调试恢复。</w:t>
      </w:r>
    </w:p>
    <w:p w14:paraId="49FAB705">
      <w:pPr>
        <w:pageBreakBefore w:val="0"/>
        <w:widowControl/>
        <w:numPr>
          <w:ilvl w:val="0"/>
          <w:numId w:val="7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建立24小时售后响应机制，每季度上门巡检、紧固螺丝、保养轴承、调试阻尼、清洁维护，保障器械长期安全稳定运行。</w:t>
      </w:r>
    </w:p>
    <w:p w14:paraId="5C94EF31">
      <w:pPr>
        <w:pageBreakBefore w:val="0"/>
        <w:widowControl/>
        <w:numPr>
          <w:ilvl w:val="0"/>
          <w:numId w:val="73"/>
        </w:numPr>
        <w:kinsoku/>
        <w:wordWrap/>
        <w:overflowPunct/>
        <w:topLinePunct w:val="0"/>
        <w:autoSpaceDE/>
        <w:autoSpaceDN/>
        <w:bidi w:val="0"/>
        <w:adjustRightInd w:val="0"/>
        <w:snapToGrid/>
        <w:spacing w:line="520" w:lineRule="exact"/>
        <w:ind w:left="0" w:leftChars="0" w:firstLine="600" w:firstLineChars="200"/>
        <w:jc w:val="both"/>
        <w:textAlignment w:val="auto"/>
        <w:rPr>
          <w:rFonts w:ascii="Times New Roman" w:hAnsi="Times New Roman" w:eastAsia="宋体" w:cs="Times New Roman"/>
          <w:color w:val="auto"/>
          <w:sz w:val="30"/>
          <w:szCs w:val="30"/>
        </w:rPr>
      </w:pPr>
      <w:r>
        <w:rPr>
          <w:rFonts w:ascii="宋体" w:hAnsi="宋体" w:eastAsia="宋体" w:cs="宋体"/>
          <w:color w:val="auto"/>
          <w:kern w:val="0"/>
          <w:sz w:val="30"/>
          <w:szCs w:val="30"/>
          <w:lang w:bidi="ar"/>
        </w:rPr>
        <w:t>质保期满后提供终身成本价配件更换、维修升级服务，保障小区健身设施长效运营。</w:t>
      </w:r>
    </w:p>
    <w:p w14:paraId="3536B6E5">
      <w:pPr>
        <w:keepNext/>
        <w:keepLines/>
        <w:pageBreakBefore w:val="0"/>
        <w:widowControl w:val="0"/>
        <w:numPr>
          <w:ilvl w:val="0"/>
          <w:numId w:val="0"/>
        </w:numPr>
        <w:tabs>
          <w:tab w:val="left" w:pos="720"/>
        </w:tabs>
        <w:kinsoku/>
        <w:wordWrap/>
        <w:overflowPunct/>
        <w:topLinePunct w:val="0"/>
        <w:autoSpaceDE/>
        <w:autoSpaceDN/>
        <w:bidi w:val="0"/>
        <w:adjustRightInd w:val="0"/>
        <w:snapToGrid/>
        <w:spacing w:before="156" w:beforeLines="50" w:after="156" w:afterLines="50" w:line="520" w:lineRule="exact"/>
        <w:ind w:left="0" w:leftChars="0" w:firstLine="643" w:firstLineChars="200"/>
        <w:jc w:val="both"/>
        <w:textAlignment w:val="auto"/>
        <w:outlineLvl w:val="1"/>
        <w:rPr>
          <w:rFonts w:ascii="Times New Roman" w:hAnsi="Times New Roman" w:eastAsia="黑体" w:cs="Times New Roman"/>
          <w:b/>
          <w:bCs/>
          <w:color w:val="auto"/>
          <w:kern w:val="44"/>
          <w:sz w:val="32"/>
          <w:szCs w:val="32"/>
          <w:lang w:val="en-US" w:eastAsia="zh-CN" w:bidi="ar-SA"/>
        </w:rPr>
      </w:pPr>
      <w:bookmarkStart w:id="332" w:name="_Toc13779"/>
      <w:r>
        <w:rPr>
          <w:rFonts w:hint="eastAsia" w:ascii="Times New Roman" w:hAnsi="Times New Roman" w:eastAsia="黑体" w:cs="Times New Roman"/>
          <w:b/>
          <w:bCs/>
          <w:color w:val="auto"/>
          <w:kern w:val="44"/>
          <w:sz w:val="32"/>
          <w:szCs w:val="32"/>
          <w:lang w:val="en-US" w:eastAsia="zh-CN" w:bidi="ar-SA"/>
        </w:rPr>
        <w:t>6.处罚细则</w:t>
      </w:r>
      <w:bookmarkEnd w:id="325"/>
      <w:bookmarkEnd w:id="326"/>
      <w:bookmarkEnd w:id="332"/>
    </w:p>
    <w:p w14:paraId="49BBCB82">
      <w:pPr>
        <w:pageBreakBefore w:val="0"/>
        <w:kinsoku/>
        <w:wordWrap/>
        <w:overflowPunct/>
        <w:topLinePunct w:val="0"/>
        <w:autoSpaceDE/>
        <w:autoSpaceDN/>
        <w:bidi w:val="0"/>
        <w:adjustRightInd w:val="0"/>
        <w:snapToGrid/>
        <w:spacing w:line="520" w:lineRule="exact"/>
        <w:ind w:left="0" w:leftChars="0" w:firstLine="600" w:firstLineChars="200"/>
        <w:jc w:val="both"/>
        <w:textAlignment w:val="auto"/>
        <w:rPr>
          <w:rFonts w:hint="eastAsia" w:ascii="宋体" w:hAnsi="宋体" w:eastAsia="宋体" w:cs="宋体"/>
          <w:sz w:val="30"/>
          <w:szCs w:val="30"/>
        </w:rPr>
      </w:pPr>
      <w:r>
        <w:rPr>
          <w:rFonts w:hint="eastAsia" w:ascii="宋体" w:hAnsi="宋体" w:eastAsia="宋体" w:cs="宋体"/>
          <w:color w:val="auto"/>
          <w:sz w:val="30"/>
          <w:szCs w:val="30"/>
        </w:rPr>
        <w:t>工程施工中，除非发生不可抗力或经</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／监理工程师认可的事件外，发生但不限于下列情况，</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委托监理单位代行使权力对</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进行处罚，并保留进一步经济索赔的权力：</w:t>
      </w:r>
    </w:p>
    <w:bookmarkEnd w:id="327"/>
    <w:bookmarkEnd w:id="328"/>
    <w:tbl>
      <w:tblPr>
        <w:tblStyle w:val="53"/>
        <w:tblW w:w="9787" w:type="dxa"/>
        <w:tblInd w:w="-4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2"/>
        <w:gridCol w:w="4538"/>
        <w:gridCol w:w="2411"/>
        <w:gridCol w:w="2226"/>
      </w:tblGrid>
      <w:tr w14:paraId="5FC4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blHeader/>
        </w:trPr>
        <w:tc>
          <w:tcPr>
            <w:tcW w:w="612" w:type="dxa"/>
            <w:shd w:val="clear" w:color="auto" w:fill="E6E6E6"/>
            <w:vAlign w:val="center"/>
          </w:tcPr>
          <w:p w14:paraId="0F1FD289">
            <w:pPr>
              <w:keepNext w:val="0"/>
              <w:keepLines w:val="0"/>
              <w:pageBreakBefore w:val="0"/>
              <w:widowControl w:val="0"/>
              <w:tabs>
                <w:tab w:val="right" w:leader="dot" w:pos="9627"/>
              </w:tabs>
              <w:kinsoku/>
              <w:wordWrap/>
              <w:overflowPunct/>
              <w:topLinePunct w:val="0"/>
              <w:autoSpaceDE/>
              <w:autoSpaceDN/>
              <w:bidi w:val="0"/>
              <w:adjustRightInd w:val="0"/>
              <w:snapToGrid w:val="0"/>
              <w:spacing w:line="520" w:lineRule="exact"/>
              <w:jc w:val="center"/>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序号</w:t>
            </w:r>
          </w:p>
        </w:tc>
        <w:tc>
          <w:tcPr>
            <w:tcW w:w="4538" w:type="dxa"/>
            <w:shd w:val="clear" w:color="auto" w:fill="E6E6E6"/>
            <w:vAlign w:val="center"/>
          </w:tcPr>
          <w:p w14:paraId="532DB447">
            <w:pPr>
              <w:keepNext w:val="0"/>
              <w:keepLines w:val="0"/>
              <w:pageBreakBefore w:val="0"/>
              <w:widowControl w:val="0"/>
              <w:tabs>
                <w:tab w:val="right" w:leader="dot" w:pos="9627"/>
              </w:tabs>
              <w:kinsoku/>
              <w:wordWrap/>
              <w:overflowPunct/>
              <w:topLinePunct w:val="0"/>
              <w:autoSpaceDE/>
              <w:autoSpaceDN/>
              <w:bidi w:val="0"/>
              <w:adjustRightInd w:val="0"/>
              <w:snapToGrid w:val="0"/>
              <w:spacing w:line="520" w:lineRule="exact"/>
              <w:jc w:val="center"/>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项目</w:t>
            </w:r>
          </w:p>
        </w:tc>
        <w:tc>
          <w:tcPr>
            <w:tcW w:w="2411" w:type="dxa"/>
            <w:shd w:val="clear" w:color="auto" w:fill="E6E6E6"/>
            <w:vAlign w:val="center"/>
          </w:tcPr>
          <w:p w14:paraId="78CD9E93">
            <w:pPr>
              <w:keepNext w:val="0"/>
              <w:keepLines w:val="0"/>
              <w:pageBreakBefore w:val="0"/>
              <w:widowControl w:val="0"/>
              <w:tabs>
                <w:tab w:val="right" w:leader="dot" w:pos="9627"/>
              </w:tabs>
              <w:kinsoku/>
              <w:wordWrap/>
              <w:overflowPunct/>
              <w:topLinePunct w:val="0"/>
              <w:autoSpaceDE/>
              <w:autoSpaceDN/>
              <w:bidi w:val="0"/>
              <w:adjustRightInd w:val="0"/>
              <w:snapToGrid w:val="0"/>
              <w:spacing w:line="520" w:lineRule="exact"/>
              <w:jc w:val="center"/>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处理办法</w:t>
            </w:r>
          </w:p>
        </w:tc>
        <w:tc>
          <w:tcPr>
            <w:tcW w:w="2226" w:type="dxa"/>
            <w:shd w:val="clear" w:color="auto" w:fill="E6E6E6"/>
            <w:vAlign w:val="center"/>
          </w:tcPr>
          <w:p w14:paraId="6B9768F4">
            <w:pPr>
              <w:keepNext w:val="0"/>
              <w:keepLines w:val="0"/>
              <w:pageBreakBefore w:val="0"/>
              <w:widowControl w:val="0"/>
              <w:tabs>
                <w:tab w:val="right" w:leader="dot" w:pos="9627"/>
              </w:tabs>
              <w:kinsoku/>
              <w:wordWrap/>
              <w:overflowPunct/>
              <w:topLinePunct w:val="0"/>
              <w:autoSpaceDE/>
              <w:autoSpaceDN/>
              <w:bidi w:val="0"/>
              <w:adjustRightInd w:val="0"/>
              <w:snapToGrid w:val="0"/>
              <w:spacing w:line="520" w:lineRule="exact"/>
              <w:jc w:val="center"/>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罚款额度</w:t>
            </w:r>
          </w:p>
        </w:tc>
      </w:tr>
      <w:tr w14:paraId="70C3B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12" w:type="dxa"/>
            <w:vAlign w:val="center"/>
          </w:tcPr>
          <w:p w14:paraId="08BFD7F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一</w:t>
            </w:r>
          </w:p>
        </w:tc>
        <w:tc>
          <w:tcPr>
            <w:tcW w:w="9175" w:type="dxa"/>
            <w:gridSpan w:val="3"/>
            <w:vAlign w:val="center"/>
          </w:tcPr>
          <w:p w14:paraId="4FD2647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工程进度</w:t>
            </w:r>
          </w:p>
        </w:tc>
      </w:tr>
      <w:tr w14:paraId="0FCC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E30E07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2E43796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未按期完成总控计划的阶段工期控制点</w:t>
            </w:r>
          </w:p>
        </w:tc>
        <w:tc>
          <w:tcPr>
            <w:tcW w:w="2411" w:type="dxa"/>
            <w:vAlign w:val="center"/>
          </w:tcPr>
          <w:p w14:paraId="077E9BC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调整压缩月计划</w:t>
            </w:r>
          </w:p>
        </w:tc>
        <w:tc>
          <w:tcPr>
            <w:tcW w:w="2226" w:type="dxa"/>
            <w:vAlign w:val="center"/>
          </w:tcPr>
          <w:p w14:paraId="4E86008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1000-5000元／天</w:t>
            </w:r>
          </w:p>
        </w:tc>
      </w:tr>
      <w:tr w14:paraId="2CC36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67DCF57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590DCDB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未按期完成当日作业计划，影响后续工序施工</w:t>
            </w:r>
          </w:p>
        </w:tc>
        <w:tc>
          <w:tcPr>
            <w:tcW w:w="2411" w:type="dxa"/>
            <w:vAlign w:val="center"/>
          </w:tcPr>
          <w:p w14:paraId="48E27EB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2B05845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1000-2000元／天</w:t>
            </w:r>
          </w:p>
        </w:tc>
      </w:tr>
      <w:tr w14:paraId="4CD6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D1FB61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1C3EF82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单项计划节点推迟</w:t>
            </w:r>
          </w:p>
        </w:tc>
        <w:tc>
          <w:tcPr>
            <w:tcW w:w="2411" w:type="dxa"/>
            <w:vAlign w:val="center"/>
          </w:tcPr>
          <w:p w14:paraId="1EB53BD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扣除相应工程款</w:t>
            </w:r>
          </w:p>
        </w:tc>
        <w:tc>
          <w:tcPr>
            <w:tcW w:w="2226" w:type="dxa"/>
            <w:vAlign w:val="center"/>
          </w:tcPr>
          <w:p w14:paraId="61F1B1C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1000-2000元/天</w:t>
            </w:r>
          </w:p>
        </w:tc>
      </w:tr>
      <w:tr w14:paraId="26F08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347AFE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46259E5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未按总控计划完成专项验收（各项竣工验收）</w:t>
            </w:r>
          </w:p>
        </w:tc>
        <w:tc>
          <w:tcPr>
            <w:tcW w:w="2411" w:type="dxa"/>
            <w:vAlign w:val="center"/>
          </w:tcPr>
          <w:p w14:paraId="18F85EF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36CD105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1000-5000元／天</w:t>
            </w:r>
          </w:p>
        </w:tc>
      </w:tr>
      <w:tr w14:paraId="54E4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450B12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1AADBEF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未按总控计划完成竣工验收</w:t>
            </w:r>
          </w:p>
        </w:tc>
        <w:tc>
          <w:tcPr>
            <w:tcW w:w="2411" w:type="dxa"/>
            <w:vAlign w:val="center"/>
          </w:tcPr>
          <w:p w14:paraId="764811B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追究违约责任</w:t>
            </w:r>
          </w:p>
        </w:tc>
        <w:tc>
          <w:tcPr>
            <w:tcW w:w="2226" w:type="dxa"/>
            <w:vAlign w:val="center"/>
          </w:tcPr>
          <w:p w14:paraId="40F93E9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2000-5000元／天</w:t>
            </w:r>
          </w:p>
        </w:tc>
      </w:tr>
      <w:tr w14:paraId="38F0A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13EC6C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56119B0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资料整理报送不及时</w:t>
            </w:r>
          </w:p>
        </w:tc>
        <w:tc>
          <w:tcPr>
            <w:tcW w:w="2411" w:type="dxa"/>
            <w:vAlign w:val="center"/>
          </w:tcPr>
          <w:p w14:paraId="2C91E1A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08C1FD4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1000-2000元／天</w:t>
            </w:r>
          </w:p>
        </w:tc>
      </w:tr>
      <w:tr w14:paraId="7E50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694DC8F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二</w:t>
            </w:r>
          </w:p>
        </w:tc>
        <w:tc>
          <w:tcPr>
            <w:tcW w:w="9175" w:type="dxa"/>
            <w:gridSpan w:val="3"/>
            <w:vAlign w:val="center"/>
          </w:tcPr>
          <w:p w14:paraId="7F520C3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w:t>
            </w:r>
          </w:p>
        </w:tc>
      </w:tr>
      <w:tr w14:paraId="48C23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34CB3C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20A29F4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对项目公司、上级单位或监理单位等整改通知单指出的质量问题未及时整改并回复</w:t>
            </w:r>
          </w:p>
        </w:tc>
        <w:tc>
          <w:tcPr>
            <w:tcW w:w="2411" w:type="dxa"/>
            <w:vAlign w:val="center"/>
          </w:tcPr>
          <w:p w14:paraId="28F40DE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7F75DA3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1000-5000元／次</w:t>
            </w:r>
          </w:p>
        </w:tc>
      </w:tr>
      <w:tr w14:paraId="1C2A6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A2B0F9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5C588A7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项目公司或上级单位材料抽检发现不材料合格现象</w:t>
            </w:r>
          </w:p>
        </w:tc>
        <w:tc>
          <w:tcPr>
            <w:tcW w:w="2411" w:type="dxa"/>
            <w:vAlign w:val="center"/>
          </w:tcPr>
          <w:p w14:paraId="658F0D3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材料立即退场</w:t>
            </w:r>
          </w:p>
        </w:tc>
        <w:tc>
          <w:tcPr>
            <w:tcW w:w="2226" w:type="dxa"/>
            <w:vAlign w:val="center"/>
          </w:tcPr>
          <w:p w14:paraId="7265639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3000-5000元/次</w:t>
            </w:r>
          </w:p>
        </w:tc>
      </w:tr>
      <w:tr w14:paraId="7DA0D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D06672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4C97188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工程材料、设备进场不报验即用于工程上</w:t>
            </w:r>
          </w:p>
        </w:tc>
        <w:tc>
          <w:tcPr>
            <w:tcW w:w="2411" w:type="dxa"/>
            <w:vAlign w:val="center"/>
          </w:tcPr>
          <w:p w14:paraId="026A805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停工整顿、限期报验</w:t>
            </w:r>
          </w:p>
        </w:tc>
        <w:tc>
          <w:tcPr>
            <w:tcW w:w="2226" w:type="dxa"/>
            <w:vAlign w:val="center"/>
          </w:tcPr>
          <w:p w14:paraId="017BA7B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2000元／次</w:t>
            </w:r>
          </w:p>
        </w:tc>
      </w:tr>
      <w:tr w14:paraId="5593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0A5494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7F15F78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未按要求进行工序自检</w:t>
            </w:r>
          </w:p>
        </w:tc>
        <w:tc>
          <w:tcPr>
            <w:tcW w:w="2411" w:type="dxa"/>
            <w:vAlign w:val="center"/>
          </w:tcPr>
          <w:p w14:paraId="2276260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停工整顿、限期完成</w:t>
            </w:r>
          </w:p>
        </w:tc>
        <w:tc>
          <w:tcPr>
            <w:tcW w:w="2226" w:type="dxa"/>
            <w:vAlign w:val="center"/>
          </w:tcPr>
          <w:p w14:paraId="279367E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45D8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F8B0F4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457C1E6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分项、分部工程未报监理验收即进行下道工序</w:t>
            </w:r>
          </w:p>
        </w:tc>
        <w:tc>
          <w:tcPr>
            <w:tcW w:w="2411" w:type="dxa"/>
            <w:vAlign w:val="center"/>
          </w:tcPr>
          <w:p w14:paraId="1C6AD09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停工整顿、返工</w:t>
            </w:r>
          </w:p>
        </w:tc>
        <w:tc>
          <w:tcPr>
            <w:tcW w:w="2226" w:type="dxa"/>
            <w:vAlign w:val="center"/>
          </w:tcPr>
          <w:p w14:paraId="6CD784F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02E96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612" w:type="dxa"/>
            <w:vAlign w:val="center"/>
          </w:tcPr>
          <w:p w14:paraId="00494FE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43E0F5D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未达到合同约定的质量目标</w:t>
            </w:r>
          </w:p>
        </w:tc>
        <w:tc>
          <w:tcPr>
            <w:tcW w:w="2411" w:type="dxa"/>
            <w:vAlign w:val="center"/>
          </w:tcPr>
          <w:p w14:paraId="7147576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追究违约责任</w:t>
            </w:r>
          </w:p>
        </w:tc>
        <w:tc>
          <w:tcPr>
            <w:tcW w:w="2226" w:type="dxa"/>
            <w:vAlign w:val="center"/>
          </w:tcPr>
          <w:p w14:paraId="2945204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5000-10000元／间</w:t>
            </w:r>
          </w:p>
        </w:tc>
      </w:tr>
      <w:tr w14:paraId="7D5E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612" w:type="dxa"/>
            <w:vAlign w:val="center"/>
          </w:tcPr>
          <w:p w14:paraId="64E0E37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hint="eastAsia" w:ascii="宋体" w:hAnsi="宋体" w:eastAsia="宋体" w:cs="宋体"/>
                <w:bCs/>
                <w:color w:val="000000"/>
                <w:sz w:val="24"/>
                <w:szCs w:val="24"/>
              </w:rPr>
            </w:pPr>
          </w:p>
        </w:tc>
        <w:tc>
          <w:tcPr>
            <w:tcW w:w="4538" w:type="dxa"/>
            <w:vAlign w:val="center"/>
          </w:tcPr>
          <w:p w14:paraId="4AF071E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现场出现重大质量事故</w:t>
            </w:r>
          </w:p>
        </w:tc>
        <w:tc>
          <w:tcPr>
            <w:tcW w:w="2411" w:type="dxa"/>
            <w:vAlign w:val="center"/>
          </w:tcPr>
          <w:p w14:paraId="516A941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追究质量责任</w:t>
            </w:r>
          </w:p>
        </w:tc>
        <w:tc>
          <w:tcPr>
            <w:tcW w:w="2226" w:type="dxa"/>
            <w:vAlign w:val="center"/>
          </w:tcPr>
          <w:p w14:paraId="3B3A668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10000-50000元／次</w:t>
            </w:r>
          </w:p>
        </w:tc>
      </w:tr>
      <w:tr w14:paraId="0EACD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D93920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三</w:t>
            </w:r>
          </w:p>
        </w:tc>
        <w:tc>
          <w:tcPr>
            <w:tcW w:w="4538" w:type="dxa"/>
            <w:tcBorders>
              <w:right w:val="nil"/>
            </w:tcBorders>
            <w:vAlign w:val="center"/>
          </w:tcPr>
          <w:p w14:paraId="40F178B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安全文明施工</w:t>
            </w:r>
          </w:p>
        </w:tc>
        <w:tc>
          <w:tcPr>
            <w:tcW w:w="4637" w:type="dxa"/>
            <w:gridSpan w:val="2"/>
            <w:tcBorders>
              <w:left w:val="nil"/>
            </w:tcBorders>
            <w:vAlign w:val="center"/>
          </w:tcPr>
          <w:p w14:paraId="10B3F6A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r>
      <w:tr w14:paraId="2C51C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1A570C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55FEC8A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未按要求设置标志标识</w:t>
            </w:r>
          </w:p>
        </w:tc>
        <w:tc>
          <w:tcPr>
            <w:tcW w:w="2411" w:type="dxa"/>
            <w:vAlign w:val="center"/>
          </w:tcPr>
          <w:p w14:paraId="7BCBA2C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停工整改至完成</w:t>
            </w:r>
          </w:p>
        </w:tc>
        <w:tc>
          <w:tcPr>
            <w:tcW w:w="2226" w:type="dxa"/>
            <w:vAlign w:val="center"/>
          </w:tcPr>
          <w:p w14:paraId="33DE165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1000元／次</w:t>
            </w:r>
          </w:p>
        </w:tc>
      </w:tr>
      <w:tr w14:paraId="2E617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5AE1D50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78EB7C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现场材料堆放混乱</w:t>
            </w:r>
          </w:p>
        </w:tc>
        <w:tc>
          <w:tcPr>
            <w:tcW w:w="2411" w:type="dxa"/>
            <w:vAlign w:val="center"/>
          </w:tcPr>
          <w:p w14:paraId="0522342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停工整改至完成</w:t>
            </w:r>
          </w:p>
        </w:tc>
        <w:tc>
          <w:tcPr>
            <w:tcW w:w="2226" w:type="dxa"/>
            <w:vAlign w:val="center"/>
          </w:tcPr>
          <w:p w14:paraId="53D1103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1000元／次</w:t>
            </w:r>
          </w:p>
        </w:tc>
      </w:tr>
      <w:tr w14:paraId="04879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D421B0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2CDE0CC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现场施工垃圾清理不及时，环境卫生差</w:t>
            </w:r>
          </w:p>
        </w:tc>
        <w:tc>
          <w:tcPr>
            <w:tcW w:w="2411" w:type="dxa"/>
            <w:vAlign w:val="center"/>
          </w:tcPr>
          <w:p w14:paraId="2E77490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限期清理</w:t>
            </w:r>
          </w:p>
        </w:tc>
        <w:tc>
          <w:tcPr>
            <w:tcW w:w="2226" w:type="dxa"/>
            <w:vAlign w:val="center"/>
          </w:tcPr>
          <w:p w14:paraId="4E2691E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0320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51BDC95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1954E4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浪费施工水源、电源</w:t>
            </w:r>
          </w:p>
        </w:tc>
        <w:tc>
          <w:tcPr>
            <w:tcW w:w="2411" w:type="dxa"/>
            <w:vAlign w:val="center"/>
          </w:tcPr>
          <w:p w14:paraId="336CC83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297D8E7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1000元／次</w:t>
            </w:r>
          </w:p>
        </w:tc>
      </w:tr>
      <w:tr w14:paraId="2AF0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93280D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4E253BE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临时电线托地乱接</w:t>
            </w:r>
          </w:p>
        </w:tc>
        <w:tc>
          <w:tcPr>
            <w:tcW w:w="2411" w:type="dxa"/>
            <w:vAlign w:val="center"/>
          </w:tcPr>
          <w:p w14:paraId="6439969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0BE472A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2391E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A747C7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14105B9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墙面乱涂乱画</w:t>
            </w:r>
          </w:p>
        </w:tc>
        <w:tc>
          <w:tcPr>
            <w:tcW w:w="2411" w:type="dxa"/>
            <w:vAlign w:val="center"/>
          </w:tcPr>
          <w:p w14:paraId="1F5F72D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限期清理</w:t>
            </w:r>
          </w:p>
        </w:tc>
        <w:tc>
          <w:tcPr>
            <w:tcW w:w="2226" w:type="dxa"/>
            <w:vAlign w:val="center"/>
          </w:tcPr>
          <w:p w14:paraId="102AFC9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1000元／处</w:t>
            </w:r>
          </w:p>
        </w:tc>
      </w:tr>
      <w:tr w14:paraId="52A9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5C18A0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0EAD396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施工现场有烟头</w:t>
            </w:r>
          </w:p>
        </w:tc>
        <w:tc>
          <w:tcPr>
            <w:tcW w:w="2411" w:type="dxa"/>
            <w:vAlign w:val="center"/>
          </w:tcPr>
          <w:p w14:paraId="2F812B9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限期清理</w:t>
            </w:r>
          </w:p>
        </w:tc>
        <w:tc>
          <w:tcPr>
            <w:tcW w:w="2226" w:type="dxa"/>
            <w:vAlign w:val="center"/>
          </w:tcPr>
          <w:p w14:paraId="2907363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1000元／个</w:t>
            </w:r>
          </w:p>
        </w:tc>
      </w:tr>
      <w:tr w14:paraId="145A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FAB6E0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7BE87B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施工现场有吸烟者</w:t>
            </w:r>
          </w:p>
        </w:tc>
        <w:tc>
          <w:tcPr>
            <w:tcW w:w="2411" w:type="dxa"/>
            <w:vAlign w:val="center"/>
          </w:tcPr>
          <w:p w14:paraId="34833B5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681EA75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1000元／人</w:t>
            </w:r>
          </w:p>
        </w:tc>
      </w:tr>
      <w:tr w14:paraId="14EDB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AF2036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AA68E6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施工现场有大小便</w:t>
            </w:r>
          </w:p>
        </w:tc>
        <w:tc>
          <w:tcPr>
            <w:tcW w:w="2411" w:type="dxa"/>
            <w:vAlign w:val="center"/>
          </w:tcPr>
          <w:p w14:paraId="72548F9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限期清理</w:t>
            </w:r>
          </w:p>
        </w:tc>
        <w:tc>
          <w:tcPr>
            <w:tcW w:w="2226" w:type="dxa"/>
            <w:vAlign w:val="center"/>
          </w:tcPr>
          <w:p w14:paraId="5E08765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1000元／处</w:t>
            </w:r>
          </w:p>
        </w:tc>
      </w:tr>
      <w:tr w14:paraId="4C277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4F3B540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463B46E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消防设施配备不齐</w:t>
            </w:r>
          </w:p>
        </w:tc>
        <w:tc>
          <w:tcPr>
            <w:tcW w:w="2411" w:type="dxa"/>
            <w:vAlign w:val="center"/>
          </w:tcPr>
          <w:p w14:paraId="0E2E6F5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55BF1D5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1000-5000元／次</w:t>
            </w:r>
          </w:p>
        </w:tc>
      </w:tr>
      <w:tr w14:paraId="414CC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C74239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5ACE922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安全防护设施不到位</w:t>
            </w:r>
          </w:p>
        </w:tc>
        <w:tc>
          <w:tcPr>
            <w:tcW w:w="2411" w:type="dxa"/>
            <w:vAlign w:val="center"/>
          </w:tcPr>
          <w:p w14:paraId="0E2E27B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54A8476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6CFF9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612" w:type="dxa"/>
            <w:vAlign w:val="center"/>
          </w:tcPr>
          <w:p w14:paraId="112114E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EFEB35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施工通道／作业面无照明或照明设施失灵造成人员伤害</w:t>
            </w:r>
          </w:p>
        </w:tc>
        <w:tc>
          <w:tcPr>
            <w:tcW w:w="2411" w:type="dxa"/>
            <w:vAlign w:val="center"/>
          </w:tcPr>
          <w:p w14:paraId="57DEC29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303FF51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6E900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DFAF96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0CAB967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施工人员不带安全帽</w:t>
            </w:r>
          </w:p>
        </w:tc>
        <w:tc>
          <w:tcPr>
            <w:tcW w:w="2411" w:type="dxa"/>
            <w:vAlign w:val="center"/>
          </w:tcPr>
          <w:p w14:paraId="36D0C70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72236DF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500元／人</w:t>
            </w:r>
          </w:p>
        </w:tc>
      </w:tr>
      <w:tr w14:paraId="6D499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648231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39BA54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作业人员向施工场地内扔杂物及倾倒垃圾</w:t>
            </w:r>
          </w:p>
        </w:tc>
        <w:tc>
          <w:tcPr>
            <w:tcW w:w="2411" w:type="dxa"/>
            <w:vAlign w:val="center"/>
          </w:tcPr>
          <w:p w14:paraId="1EECBF2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限期清理</w:t>
            </w:r>
          </w:p>
        </w:tc>
        <w:tc>
          <w:tcPr>
            <w:tcW w:w="2226" w:type="dxa"/>
            <w:vAlign w:val="center"/>
          </w:tcPr>
          <w:p w14:paraId="3643A0C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647B0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2F6567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4AE88440">
            <w:pPr>
              <w:keepNext w:val="0"/>
              <w:keepLines w:val="0"/>
              <w:pageBreakBefore w:val="0"/>
              <w:widowControl w:val="0"/>
              <w:tabs>
                <w:tab w:val="right" w:leader="dot" w:pos="9627"/>
              </w:tabs>
              <w:kinsoku/>
              <w:wordWrap/>
              <w:overflowPunct/>
              <w:topLinePunct w:val="0"/>
              <w:autoSpaceDE/>
              <w:autoSpaceDN/>
              <w:bidi w:val="0"/>
              <w:adjustRightInd w:val="0"/>
              <w:snapToGrid w:val="0"/>
              <w:spacing w:line="520" w:lineRule="exact"/>
              <w:jc w:val="left"/>
              <w:textAlignment w:val="auto"/>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未按半成品、成品保护细则进行保护</w:t>
            </w:r>
          </w:p>
        </w:tc>
        <w:tc>
          <w:tcPr>
            <w:tcW w:w="2411" w:type="dxa"/>
            <w:vAlign w:val="center"/>
          </w:tcPr>
          <w:p w14:paraId="589517E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1E27C10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6D180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58A5F98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0556E56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损坏已完半成品、成品</w:t>
            </w:r>
          </w:p>
        </w:tc>
        <w:tc>
          <w:tcPr>
            <w:tcW w:w="2411" w:type="dxa"/>
            <w:vAlign w:val="center"/>
          </w:tcPr>
          <w:p w14:paraId="7DF3B10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限期修复</w:t>
            </w:r>
          </w:p>
        </w:tc>
        <w:tc>
          <w:tcPr>
            <w:tcW w:w="2226" w:type="dxa"/>
            <w:vAlign w:val="center"/>
          </w:tcPr>
          <w:p w14:paraId="54CB413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260C1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2F2EFD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DF2F72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现场管理不利，造成材料、设备丢失</w:t>
            </w:r>
          </w:p>
        </w:tc>
        <w:tc>
          <w:tcPr>
            <w:tcW w:w="2411" w:type="dxa"/>
            <w:vAlign w:val="center"/>
          </w:tcPr>
          <w:p w14:paraId="3921A59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限期补货</w:t>
            </w:r>
          </w:p>
        </w:tc>
        <w:tc>
          <w:tcPr>
            <w:tcW w:w="2226" w:type="dxa"/>
            <w:vAlign w:val="center"/>
          </w:tcPr>
          <w:p w14:paraId="547C3B3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60A46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45EF15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1D541E2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在政府部门的检查中受到通报批评</w:t>
            </w:r>
          </w:p>
        </w:tc>
        <w:tc>
          <w:tcPr>
            <w:tcW w:w="2411" w:type="dxa"/>
            <w:vAlign w:val="center"/>
          </w:tcPr>
          <w:p w14:paraId="19F69B3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55DD021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2000元／次</w:t>
            </w:r>
          </w:p>
        </w:tc>
      </w:tr>
      <w:tr w14:paraId="0E36C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35B6D6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4BEBE5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出现重大安全事故，影响工程正常进行</w:t>
            </w:r>
          </w:p>
        </w:tc>
        <w:tc>
          <w:tcPr>
            <w:tcW w:w="2411" w:type="dxa"/>
            <w:vAlign w:val="center"/>
          </w:tcPr>
          <w:p w14:paraId="6DCBFE6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w:t>
            </w:r>
          </w:p>
        </w:tc>
        <w:tc>
          <w:tcPr>
            <w:tcW w:w="2226" w:type="dxa"/>
            <w:vAlign w:val="center"/>
          </w:tcPr>
          <w:p w14:paraId="0F91BFC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10000-50000元／次</w:t>
            </w:r>
          </w:p>
        </w:tc>
      </w:tr>
      <w:tr w14:paraId="217DF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F06AE0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1C35422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未达到合同约定的安全文明施工目标</w:t>
            </w:r>
          </w:p>
        </w:tc>
        <w:tc>
          <w:tcPr>
            <w:tcW w:w="2411" w:type="dxa"/>
            <w:vAlign w:val="center"/>
          </w:tcPr>
          <w:p w14:paraId="5924B94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23F6C26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3000-10000元、次</w:t>
            </w:r>
          </w:p>
        </w:tc>
      </w:tr>
      <w:tr w14:paraId="3276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01F275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29A2EA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着火</w:t>
            </w:r>
          </w:p>
        </w:tc>
        <w:tc>
          <w:tcPr>
            <w:tcW w:w="2411" w:type="dxa"/>
            <w:vAlign w:val="center"/>
          </w:tcPr>
          <w:p w14:paraId="21A636A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39072CB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3000-10000元/次</w:t>
            </w:r>
          </w:p>
        </w:tc>
      </w:tr>
      <w:tr w14:paraId="32D89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21EE748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52DA3C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高空坠物伤人</w:t>
            </w:r>
          </w:p>
        </w:tc>
        <w:tc>
          <w:tcPr>
            <w:tcW w:w="2411" w:type="dxa"/>
            <w:vAlign w:val="center"/>
          </w:tcPr>
          <w:p w14:paraId="581C5CC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10AFBBA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3000-10000元/次</w:t>
            </w:r>
          </w:p>
        </w:tc>
      </w:tr>
      <w:tr w14:paraId="3AFA1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021713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1BFAFA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未按合同约定进行成品保护</w:t>
            </w:r>
          </w:p>
        </w:tc>
        <w:tc>
          <w:tcPr>
            <w:tcW w:w="2411" w:type="dxa"/>
            <w:vAlign w:val="center"/>
          </w:tcPr>
          <w:p w14:paraId="5D5CC6D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限期整改，追究责任</w:t>
            </w:r>
          </w:p>
        </w:tc>
        <w:tc>
          <w:tcPr>
            <w:tcW w:w="2226" w:type="dxa"/>
            <w:vAlign w:val="center"/>
          </w:tcPr>
          <w:p w14:paraId="468C185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17C92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5DA0221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四</w:t>
            </w:r>
          </w:p>
        </w:tc>
        <w:tc>
          <w:tcPr>
            <w:tcW w:w="9175" w:type="dxa"/>
            <w:gridSpan w:val="3"/>
            <w:vAlign w:val="center"/>
          </w:tcPr>
          <w:p w14:paraId="6184A87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工程技术能力</w:t>
            </w:r>
          </w:p>
        </w:tc>
      </w:tr>
      <w:tr w14:paraId="419E5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2A2C17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2F87BD9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未按施工方案编制计划完成各种方案编制</w:t>
            </w:r>
          </w:p>
        </w:tc>
        <w:tc>
          <w:tcPr>
            <w:tcW w:w="2411" w:type="dxa"/>
            <w:vAlign w:val="center"/>
          </w:tcPr>
          <w:p w14:paraId="01207C6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40EF45C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78A09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1BB6EAA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23F323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未发现明显的图纸错误，造成返工</w:t>
            </w:r>
          </w:p>
        </w:tc>
        <w:tc>
          <w:tcPr>
            <w:tcW w:w="2411" w:type="dxa"/>
            <w:vAlign w:val="center"/>
          </w:tcPr>
          <w:p w14:paraId="175C2B6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限期整改 </w:t>
            </w:r>
          </w:p>
        </w:tc>
        <w:tc>
          <w:tcPr>
            <w:tcW w:w="2226" w:type="dxa"/>
            <w:vAlign w:val="center"/>
          </w:tcPr>
          <w:p w14:paraId="00A0651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41AB9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404F805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48D5F17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技术交底针对性不强，造成施工错误</w:t>
            </w:r>
          </w:p>
        </w:tc>
        <w:tc>
          <w:tcPr>
            <w:tcW w:w="2411" w:type="dxa"/>
            <w:vAlign w:val="center"/>
          </w:tcPr>
          <w:p w14:paraId="689205D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返工</w:t>
            </w:r>
          </w:p>
        </w:tc>
        <w:tc>
          <w:tcPr>
            <w:tcW w:w="2226" w:type="dxa"/>
            <w:vAlign w:val="center"/>
          </w:tcPr>
          <w:p w14:paraId="22C404A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2125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8C8937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B6343A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未按深化设计计划完成深化设计图纸及报批工作，影响工程正常进行</w:t>
            </w:r>
          </w:p>
        </w:tc>
        <w:tc>
          <w:tcPr>
            <w:tcW w:w="2411" w:type="dxa"/>
            <w:vAlign w:val="center"/>
          </w:tcPr>
          <w:p w14:paraId="2250CAC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7F8BF94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4BFE0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4D47E9A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5B1C97D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深化设计图纸未考虑各专业交圈问题，造成施工错误</w:t>
            </w:r>
          </w:p>
        </w:tc>
        <w:tc>
          <w:tcPr>
            <w:tcW w:w="2411" w:type="dxa"/>
            <w:vAlign w:val="center"/>
          </w:tcPr>
          <w:p w14:paraId="256F29C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返工</w:t>
            </w:r>
          </w:p>
        </w:tc>
        <w:tc>
          <w:tcPr>
            <w:tcW w:w="2226" w:type="dxa"/>
            <w:vAlign w:val="center"/>
          </w:tcPr>
          <w:p w14:paraId="016D0EE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76BD0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DB7520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五</w:t>
            </w:r>
          </w:p>
        </w:tc>
        <w:tc>
          <w:tcPr>
            <w:tcW w:w="9175" w:type="dxa"/>
            <w:gridSpan w:val="3"/>
            <w:vAlign w:val="center"/>
          </w:tcPr>
          <w:p w14:paraId="1AE576D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规章制度、会议决议执行情况</w:t>
            </w:r>
          </w:p>
        </w:tc>
      </w:tr>
      <w:tr w14:paraId="6A94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 w:hRule="atLeast"/>
        </w:trPr>
        <w:tc>
          <w:tcPr>
            <w:tcW w:w="612" w:type="dxa"/>
            <w:vAlign w:val="center"/>
          </w:tcPr>
          <w:p w14:paraId="24A78D2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13D44E5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业主代表签发的工作联系函未执行或及时回复</w:t>
            </w:r>
          </w:p>
        </w:tc>
        <w:tc>
          <w:tcPr>
            <w:tcW w:w="2411" w:type="dxa"/>
            <w:vAlign w:val="center"/>
          </w:tcPr>
          <w:p w14:paraId="740C35D1">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4C6412B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1D03C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12" w:type="dxa"/>
            <w:vAlign w:val="center"/>
          </w:tcPr>
          <w:p w14:paraId="2FF5899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p w14:paraId="6BC35F5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551C377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未经</w:t>
            </w:r>
            <w:r>
              <w:rPr>
                <w:rFonts w:hint="eastAsia" w:ascii="宋体" w:hAnsi="宋体" w:eastAsia="宋体" w:cs="宋体"/>
                <w:color w:val="000000"/>
                <w:sz w:val="24"/>
                <w:szCs w:val="24"/>
                <w:lang w:eastAsia="zh-CN"/>
              </w:rPr>
              <w:t>招标人</w:t>
            </w:r>
            <w:r>
              <w:rPr>
                <w:rFonts w:hint="eastAsia" w:ascii="宋体" w:hAnsi="宋体" w:eastAsia="宋体" w:cs="宋体"/>
                <w:color w:val="000000"/>
                <w:sz w:val="24"/>
                <w:szCs w:val="24"/>
              </w:rPr>
              <w:t>／监理工程师认可私自更换项目经理及主要管理人员</w:t>
            </w:r>
          </w:p>
        </w:tc>
        <w:tc>
          <w:tcPr>
            <w:tcW w:w="2411" w:type="dxa"/>
            <w:vAlign w:val="center"/>
          </w:tcPr>
          <w:p w14:paraId="4A5CAA4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换回原管理人员</w:t>
            </w:r>
          </w:p>
        </w:tc>
        <w:tc>
          <w:tcPr>
            <w:tcW w:w="2226" w:type="dxa"/>
            <w:vAlign w:val="center"/>
          </w:tcPr>
          <w:p w14:paraId="7B71FE5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10000元／次</w:t>
            </w:r>
          </w:p>
        </w:tc>
      </w:tr>
      <w:tr w14:paraId="68683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06F3FA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747499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工程管理人员不及时到位</w:t>
            </w:r>
          </w:p>
        </w:tc>
        <w:tc>
          <w:tcPr>
            <w:tcW w:w="2411" w:type="dxa"/>
            <w:vAlign w:val="center"/>
          </w:tcPr>
          <w:p w14:paraId="3AC361FB">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限期到位</w:t>
            </w:r>
          </w:p>
        </w:tc>
        <w:tc>
          <w:tcPr>
            <w:tcW w:w="2226" w:type="dxa"/>
            <w:vAlign w:val="center"/>
          </w:tcPr>
          <w:p w14:paraId="252D30F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1000-2000元／人次</w:t>
            </w:r>
          </w:p>
        </w:tc>
      </w:tr>
      <w:tr w14:paraId="4CA8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363D1F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2AFC3E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项目经理或主要管理技术人员无故不在现场</w:t>
            </w:r>
          </w:p>
        </w:tc>
        <w:tc>
          <w:tcPr>
            <w:tcW w:w="2411" w:type="dxa"/>
            <w:vAlign w:val="center"/>
          </w:tcPr>
          <w:p w14:paraId="069C5F3F">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704260E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1000-2000元／人次</w:t>
            </w:r>
          </w:p>
        </w:tc>
      </w:tr>
      <w:tr w14:paraId="07AE8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43CAB6A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974023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违反现场各种规章制度</w:t>
            </w:r>
          </w:p>
        </w:tc>
        <w:tc>
          <w:tcPr>
            <w:tcW w:w="2411" w:type="dxa"/>
            <w:vAlign w:val="center"/>
          </w:tcPr>
          <w:p w14:paraId="5AB6F1E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53BC6A5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33BBA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7A6325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502E2F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会议（含现场检查）无故迟到</w:t>
            </w:r>
          </w:p>
        </w:tc>
        <w:tc>
          <w:tcPr>
            <w:tcW w:w="2411" w:type="dxa"/>
            <w:vAlign w:val="center"/>
          </w:tcPr>
          <w:p w14:paraId="72D9D7A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0A34906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500元／5分钟</w:t>
            </w:r>
          </w:p>
        </w:tc>
      </w:tr>
      <w:tr w14:paraId="643F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0A490E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061EC0C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会议（含现场检查）无故缺席</w:t>
            </w:r>
          </w:p>
        </w:tc>
        <w:tc>
          <w:tcPr>
            <w:tcW w:w="2411" w:type="dxa"/>
            <w:vAlign w:val="center"/>
          </w:tcPr>
          <w:p w14:paraId="4BADE0A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3B71CD5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1000-2000元／次</w:t>
            </w:r>
          </w:p>
        </w:tc>
      </w:tr>
      <w:tr w14:paraId="01F0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681010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4FC35C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w:t>
            </w:r>
            <w:r>
              <w:rPr>
                <w:rFonts w:hint="eastAsia" w:ascii="宋体" w:hAnsi="宋体" w:eastAsia="宋体" w:cs="宋体"/>
                <w:color w:val="000000"/>
                <w:sz w:val="24"/>
                <w:szCs w:val="24"/>
                <w:lang w:eastAsia="zh-CN"/>
              </w:rPr>
              <w:t>招标人</w:t>
            </w:r>
            <w:r>
              <w:rPr>
                <w:rFonts w:hint="eastAsia" w:ascii="宋体" w:hAnsi="宋体" w:eastAsia="宋体" w:cs="宋体"/>
                <w:color w:val="000000"/>
                <w:sz w:val="24"/>
                <w:szCs w:val="24"/>
              </w:rPr>
              <w:t>／监理指令、会议决议执行不利，经一次督促仍未完成</w:t>
            </w:r>
          </w:p>
        </w:tc>
        <w:tc>
          <w:tcPr>
            <w:tcW w:w="2411" w:type="dxa"/>
            <w:vAlign w:val="center"/>
          </w:tcPr>
          <w:p w14:paraId="366D1BB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限期完成</w:t>
            </w:r>
          </w:p>
        </w:tc>
        <w:tc>
          <w:tcPr>
            <w:tcW w:w="2226" w:type="dxa"/>
            <w:vAlign w:val="center"/>
          </w:tcPr>
          <w:p w14:paraId="06BE91C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11937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7C2C070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2301A67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指定材料、设备提量不及时、不准确造成工期拖延和材料浪费</w:t>
            </w:r>
          </w:p>
        </w:tc>
        <w:tc>
          <w:tcPr>
            <w:tcW w:w="2411" w:type="dxa"/>
            <w:vAlign w:val="center"/>
          </w:tcPr>
          <w:p w14:paraId="7D8E313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扣除</w:t>
            </w:r>
            <w:r>
              <w:rPr>
                <w:rFonts w:hint="eastAsia" w:ascii="宋体" w:hAnsi="宋体" w:eastAsia="宋体" w:cs="宋体"/>
                <w:color w:val="000000"/>
                <w:sz w:val="24"/>
                <w:szCs w:val="24"/>
                <w:lang w:eastAsia="zh-CN"/>
              </w:rPr>
              <w:t>中标单位</w:t>
            </w:r>
            <w:r>
              <w:rPr>
                <w:rFonts w:hint="eastAsia" w:ascii="宋体" w:hAnsi="宋体" w:eastAsia="宋体" w:cs="宋体"/>
                <w:color w:val="000000"/>
                <w:sz w:val="24"/>
                <w:szCs w:val="24"/>
              </w:rPr>
              <w:t>材料设备管理费的30%</w:t>
            </w:r>
          </w:p>
        </w:tc>
        <w:tc>
          <w:tcPr>
            <w:tcW w:w="2226" w:type="dxa"/>
            <w:vAlign w:val="center"/>
          </w:tcPr>
          <w:p w14:paraId="287FB61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浪费部分双倍赔偿</w:t>
            </w:r>
          </w:p>
        </w:tc>
      </w:tr>
      <w:tr w14:paraId="2503A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0D180D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49EA62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指定材料、设备仓储管理混乱造成材料设备丢失、损坏</w:t>
            </w:r>
          </w:p>
        </w:tc>
        <w:tc>
          <w:tcPr>
            <w:tcW w:w="2411" w:type="dxa"/>
            <w:vAlign w:val="center"/>
          </w:tcPr>
          <w:p w14:paraId="48F13AB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p>
        </w:tc>
        <w:tc>
          <w:tcPr>
            <w:tcW w:w="2226" w:type="dxa"/>
            <w:vAlign w:val="center"/>
          </w:tcPr>
          <w:p w14:paraId="3824A61A">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双倍赔偿丢失、损坏的材料设备</w:t>
            </w:r>
          </w:p>
        </w:tc>
      </w:tr>
      <w:tr w14:paraId="344DD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208E40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15D20C7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未对指定材料、设备进行记账管理，或记账混乱</w:t>
            </w:r>
          </w:p>
        </w:tc>
        <w:tc>
          <w:tcPr>
            <w:tcW w:w="2411" w:type="dxa"/>
            <w:vAlign w:val="center"/>
          </w:tcPr>
          <w:p w14:paraId="28E4206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扣除</w:t>
            </w:r>
            <w:r>
              <w:rPr>
                <w:rFonts w:hint="eastAsia" w:ascii="宋体" w:hAnsi="宋体" w:eastAsia="宋体" w:cs="宋体"/>
                <w:color w:val="000000"/>
                <w:sz w:val="24"/>
                <w:szCs w:val="24"/>
                <w:lang w:eastAsia="zh-CN"/>
              </w:rPr>
              <w:t>中标单位</w:t>
            </w:r>
            <w:r>
              <w:rPr>
                <w:rFonts w:hint="eastAsia" w:ascii="宋体" w:hAnsi="宋体" w:eastAsia="宋体" w:cs="宋体"/>
                <w:color w:val="000000"/>
                <w:sz w:val="24"/>
                <w:szCs w:val="24"/>
              </w:rPr>
              <w:t>材料设备管理费的70%</w:t>
            </w:r>
          </w:p>
        </w:tc>
        <w:tc>
          <w:tcPr>
            <w:tcW w:w="2226" w:type="dxa"/>
            <w:vAlign w:val="center"/>
          </w:tcPr>
          <w:p w14:paraId="5198D4E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1000-5000元/次</w:t>
            </w:r>
          </w:p>
        </w:tc>
      </w:tr>
      <w:tr w14:paraId="2618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7AC7AB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六</w:t>
            </w:r>
          </w:p>
        </w:tc>
        <w:tc>
          <w:tcPr>
            <w:tcW w:w="9175" w:type="dxa"/>
            <w:gridSpan w:val="3"/>
            <w:vAlign w:val="center"/>
          </w:tcPr>
          <w:p w14:paraId="43D4426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保修期间的配合工作</w:t>
            </w:r>
          </w:p>
        </w:tc>
      </w:tr>
      <w:tr w14:paraId="31CFF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08F5AB9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6722EEB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维修人员不及时到位</w:t>
            </w:r>
          </w:p>
        </w:tc>
        <w:tc>
          <w:tcPr>
            <w:tcW w:w="2411" w:type="dxa"/>
            <w:vAlign w:val="center"/>
          </w:tcPr>
          <w:p w14:paraId="259A9E09">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限期到位</w:t>
            </w:r>
          </w:p>
        </w:tc>
        <w:tc>
          <w:tcPr>
            <w:tcW w:w="2226" w:type="dxa"/>
            <w:vAlign w:val="center"/>
          </w:tcPr>
          <w:p w14:paraId="7B06E540">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3C1C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3B7999E3">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37998FF2">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未按要求及时维修</w:t>
            </w:r>
          </w:p>
        </w:tc>
        <w:tc>
          <w:tcPr>
            <w:tcW w:w="2411" w:type="dxa"/>
            <w:vAlign w:val="center"/>
          </w:tcPr>
          <w:p w14:paraId="44FAECC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限期整顿</w:t>
            </w:r>
          </w:p>
        </w:tc>
        <w:tc>
          <w:tcPr>
            <w:tcW w:w="2226" w:type="dxa"/>
            <w:vAlign w:val="center"/>
          </w:tcPr>
          <w:p w14:paraId="5CD29725">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6C23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4CE3878E">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7721797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不服从物业管理</w:t>
            </w:r>
          </w:p>
        </w:tc>
        <w:tc>
          <w:tcPr>
            <w:tcW w:w="2411" w:type="dxa"/>
            <w:vAlign w:val="center"/>
          </w:tcPr>
          <w:p w14:paraId="6203467C">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限期整顿</w:t>
            </w:r>
          </w:p>
        </w:tc>
        <w:tc>
          <w:tcPr>
            <w:tcW w:w="2226" w:type="dxa"/>
            <w:vAlign w:val="center"/>
          </w:tcPr>
          <w:p w14:paraId="457D52AD">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r w14:paraId="1ACB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2" w:type="dxa"/>
            <w:vAlign w:val="center"/>
          </w:tcPr>
          <w:p w14:paraId="66D65F64">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bCs/>
                <w:color w:val="000000"/>
                <w:sz w:val="24"/>
                <w:szCs w:val="24"/>
              </w:rPr>
            </w:pPr>
          </w:p>
        </w:tc>
        <w:tc>
          <w:tcPr>
            <w:tcW w:w="4538" w:type="dxa"/>
            <w:vAlign w:val="center"/>
          </w:tcPr>
          <w:p w14:paraId="24CB3268">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不遵守物业规章制度</w:t>
            </w:r>
          </w:p>
        </w:tc>
        <w:tc>
          <w:tcPr>
            <w:tcW w:w="2411" w:type="dxa"/>
            <w:vAlign w:val="center"/>
          </w:tcPr>
          <w:p w14:paraId="13027136">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限期整顿</w:t>
            </w:r>
          </w:p>
        </w:tc>
        <w:tc>
          <w:tcPr>
            <w:tcW w:w="2226" w:type="dxa"/>
            <w:vAlign w:val="center"/>
          </w:tcPr>
          <w:p w14:paraId="052D27B7">
            <w:pPr>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1000-3000元／次</w:t>
            </w:r>
          </w:p>
        </w:tc>
      </w:tr>
    </w:tbl>
    <w:p w14:paraId="3B377076">
      <w:pPr>
        <w:keepNext/>
        <w:keepLines/>
        <w:widowControl w:val="0"/>
        <w:numPr>
          <w:ilvl w:val="0"/>
          <w:numId w:val="0"/>
        </w:numPr>
        <w:tabs>
          <w:tab w:val="left" w:pos="720"/>
        </w:tabs>
        <w:spacing w:before="156" w:beforeLines="50" w:after="156" w:afterLines="50" w:line="520" w:lineRule="exact"/>
        <w:ind w:left="420"/>
        <w:jc w:val="both"/>
        <w:outlineLvl w:val="1"/>
        <w:rPr>
          <w:rFonts w:ascii="Times New Roman" w:hAnsi="Times New Roman" w:eastAsia="黑体" w:cs="Times New Roman"/>
          <w:b/>
          <w:bCs/>
          <w:color w:val="auto"/>
          <w:kern w:val="44"/>
          <w:sz w:val="32"/>
          <w:szCs w:val="32"/>
          <w:lang w:val="en-US" w:eastAsia="zh-CN" w:bidi="ar-SA"/>
        </w:rPr>
      </w:pPr>
      <w:bookmarkStart w:id="333" w:name="_Toc15738"/>
      <w:bookmarkStart w:id="334" w:name="_Toc31811"/>
      <w:r>
        <w:rPr>
          <w:rFonts w:hint="eastAsia" w:ascii="Times New Roman" w:hAnsi="Times New Roman" w:eastAsia="黑体" w:cs="Times New Roman"/>
          <w:b/>
          <w:bCs/>
          <w:color w:val="auto"/>
          <w:kern w:val="44"/>
          <w:sz w:val="32"/>
          <w:szCs w:val="32"/>
          <w:lang w:val="en-US" w:eastAsia="zh-CN" w:bidi="ar-SA"/>
        </w:rPr>
        <w:t>7.保修要求</w:t>
      </w:r>
      <w:bookmarkEnd w:id="333"/>
      <w:bookmarkEnd w:id="334"/>
    </w:p>
    <w:p w14:paraId="0B3B1C76">
      <w:pPr>
        <w:spacing w:line="520" w:lineRule="exact"/>
        <w:ind w:firstLine="602" w:firstLineChars="200"/>
        <w:outlineLvl w:val="2"/>
        <w:rPr>
          <w:rFonts w:hint="eastAsia" w:ascii="宋体" w:hAnsi="宋体" w:eastAsia="宋体" w:cs="宋体"/>
          <w:b/>
          <w:bCs/>
          <w:color w:val="auto"/>
          <w:sz w:val="30"/>
          <w:szCs w:val="30"/>
        </w:rPr>
      </w:pPr>
      <w:bookmarkStart w:id="335" w:name="_Toc11210"/>
      <w:r>
        <w:rPr>
          <w:rFonts w:hint="eastAsia" w:ascii="宋体" w:hAnsi="宋体" w:eastAsia="宋体" w:cs="宋体"/>
          <w:b/>
          <w:bCs/>
          <w:color w:val="auto"/>
          <w:sz w:val="30"/>
          <w:szCs w:val="30"/>
        </w:rPr>
        <w:t>7.1质量保修责任</w:t>
      </w:r>
      <w:bookmarkEnd w:id="335"/>
    </w:p>
    <w:p w14:paraId="0CBF1D17">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（1）在质量保修期内由于</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工程质量原因给</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或业主或房屋使用人造成的直接和连带损失，由</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承担赔偿和保修责任，所需费用由</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自行承担。</w:t>
      </w:r>
    </w:p>
    <w:p w14:paraId="5D8CFC49">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（2）</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应派出足够的维修和管理人员常驻现场负责维修工作，认真履行保修责任，做到服务周到，随叫随到。服从</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及</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授权的物业公司的现场管理，遵守</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及</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授权的物业公司的各项规章制度与进场流程要求。</w:t>
      </w:r>
      <w:r>
        <w:rPr>
          <w:rFonts w:hint="eastAsia" w:ascii="宋体" w:hAnsi="宋体" w:eastAsia="宋体" w:cs="宋体"/>
          <w:b/>
          <w:bCs/>
          <w:color w:val="auto"/>
          <w:sz w:val="30"/>
          <w:szCs w:val="30"/>
        </w:rPr>
        <w:t>维修到场时间及维修时限要求：24小时内之内到场，48小时之内维修完毕，否则按照保修不及时条款进行处罚。</w:t>
      </w:r>
    </w:p>
    <w:p w14:paraId="2A538713">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①在保修期内，若发生不影响业主正常生活和日常管理类非紧急保修的情况，</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须在规定时限内到达现场踏勘后，制订业主及</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认可的保修方案，并在二十四小时内组织人员进场维修。</w:t>
      </w:r>
    </w:p>
    <w:p w14:paraId="00987AB8">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②在保修期内，若发生不及时处理会造成</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及业主重大损失的紧急事件，在</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维修人员到达之前，</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或</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授权的物业公司可采取适当的应急措施，若</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无法立即到达，</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有权自行委托代工施工方进行维修，产生费用不论质量缺陷原因由</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承担，</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将从支付给</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的任何款项（含保修金）中扣除。</w:t>
      </w:r>
    </w:p>
    <w:p w14:paraId="4ADC313F">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（3）</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如有下列情况之一发生，且经</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书面（传真或快递）或者电子邮件致函</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一次而未得到响应或改善的，</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有权另行委托他人代为保修处理，由此发生的维修费用（按照维修代工施工方的计价取费独立核算，具体金额以</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和维修代工施工方签字盖章确认为准，</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无条件接受）及赔偿费用（含业主损害赔偿费用）不问质量缺陷原因从</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支付给</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的任何款项（含保修金）中扣除，但不解除</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的任何应负的责任（含整体保修责任）。同时，</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将额外扣除修复及赔偿费用的 百分之二十作为违约金。</w:t>
      </w:r>
    </w:p>
    <w:p w14:paraId="1FEDA462">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①交付保修期内，无人维修或维修人员不足。</w:t>
      </w:r>
    </w:p>
    <w:p w14:paraId="35BAB715">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②</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未按约定的时限内到现场检查、未提出处理方案、或未按约定的时 间进场施工，或未按维修时限完成维修项目并达到验收标准的，且无</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签字认可的延期原因的。</w:t>
      </w:r>
    </w:p>
    <w:p w14:paraId="50C2E3E9">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③在接到</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保修通知后拒不到现场处理，明确声明不履行维修责任，或主动要求委托第三方代工维修的。</w:t>
      </w:r>
    </w:p>
    <w:p w14:paraId="57D5F3B4">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④在接到</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保修通知后，虽及时到现场，但在保修过程中不负责任或推诿或保修不力的。</w:t>
      </w:r>
    </w:p>
    <w:p w14:paraId="37014EE0">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⑤同一维修事项经过两次维修未能达成验收标准的，或同类维修问题出现三次未能解决，或未按要求限期整改函的要求进行整改的。</w:t>
      </w:r>
    </w:p>
    <w:p w14:paraId="693024AF">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⑥</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的维修方案不满足</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要求，虽经两次（含）以上修改仍不能满足要求的。</w:t>
      </w:r>
    </w:p>
    <w:p w14:paraId="77EBF1FC">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⑦对已装修部分维修不配合或拒绝做成品保护的。</w:t>
      </w:r>
    </w:p>
    <w:p w14:paraId="5F222628">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⑧因</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原因，在维修期间造成业主或房屋使用人其他直接或间接损失，且不具备修复能力或拒绝赔付的。</w:t>
      </w:r>
    </w:p>
    <w:p w14:paraId="1114FAD2">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⑨维修问题的责任方不唯一，且涉及的任何一方均不愿单独维修的。</w:t>
      </w:r>
    </w:p>
    <w:p w14:paraId="7004C6DF">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⑩发生紧急抢修事件，如电路问题等，</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接到通知后不能立即到达现场，或到达现场后2小时内未能完成抢修的。在</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到达现场之前，</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可以采用紧急措施，相关费用由责任方承担。</w:t>
      </w:r>
    </w:p>
    <w:p w14:paraId="28176CA7">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出现两次因发生上述情况，</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在收到</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书面（传真或快递）或者电子邮件致函通知保修而未进行响应或改善的，</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有权在后期发生类似情况后不再另行通知</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，而直接委托他人代为保修处理。</w:t>
      </w:r>
    </w:p>
    <w:p w14:paraId="3EBB66E1">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（4）当出现如上（3）条款所列举的情况时，</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承诺提供包括材料、技术、前期施工情况的描述等方面的支持和交底予代工施工方。</w:t>
      </w:r>
    </w:p>
    <w:p w14:paraId="735479F8">
      <w:pPr>
        <w:spacing w:line="520" w:lineRule="exact"/>
        <w:ind w:firstLine="600" w:firstLineChars="200"/>
        <w:rPr>
          <w:rFonts w:hint="eastAsia" w:ascii="宋体" w:hAnsi="宋体" w:eastAsia="宋体" w:cs="宋体"/>
          <w:color w:val="auto"/>
          <w:sz w:val="30"/>
          <w:szCs w:val="30"/>
        </w:rPr>
      </w:pPr>
      <w:r>
        <w:rPr>
          <w:rFonts w:hint="eastAsia" w:ascii="宋体" w:hAnsi="宋体" w:eastAsia="宋体" w:cs="宋体"/>
          <w:color w:val="auto"/>
          <w:sz w:val="30"/>
          <w:szCs w:val="30"/>
        </w:rPr>
        <w:t>（5）</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负责保修质量，每次维修完毕，应负责将施工现场清理干净并在完成后取得业主和</w:t>
      </w:r>
      <w:r>
        <w:rPr>
          <w:rFonts w:hint="eastAsia" w:ascii="宋体" w:hAnsi="宋体" w:eastAsia="宋体" w:cs="宋体"/>
          <w:color w:val="auto"/>
          <w:sz w:val="30"/>
          <w:szCs w:val="30"/>
          <w:lang w:eastAsia="zh-CN"/>
        </w:rPr>
        <w:t>招标人</w:t>
      </w:r>
      <w:r>
        <w:rPr>
          <w:rFonts w:hint="eastAsia" w:ascii="宋体" w:hAnsi="宋体" w:eastAsia="宋体" w:cs="宋体"/>
          <w:color w:val="auto"/>
          <w:sz w:val="30"/>
          <w:szCs w:val="30"/>
        </w:rPr>
        <w:t>的验收签字，所维修项目如在六个月内再次出现同样缺陷的，仍然由</w:t>
      </w:r>
      <w:r>
        <w:rPr>
          <w:rFonts w:hint="eastAsia" w:ascii="宋体" w:hAnsi="宋体" w:eastAsia="宋体" w:cs="宋体"/>
          <w:color w:val="auto"/>
          <w:sz w:val="30"/>
          <w:szCs w:val="30"/>
          <w:lang w:eastAsia="zh-CN"/>
        </w:rPr>
        <w:t>中标单位</w:t>
      </w:r>
      <w:r>
        <w:rPr>
          <w:rFonts w:hint="eastAsia" w:ascii="宋体" w:hAnsi="宋体" w:eastAsia="宋体" w:cs="宋体"/>
          <w:color w:val="auto"/>
          <w:sz w:val="30"/>
          <w:szCs w:val="30"/>
        </w:rPr>
        <w:t>保修。</w:t>
      </w:r>
    </w:p>
    <w:p w14:paraId="564EAE58">
      <w:pPr>
        <w:spacing w:line="520" w:lineRule="exact"/>
        <w:ind w:firstLine="602" w:firstLineChars="200"/>
        <w:outlineLvl w:val="2"/>
        <w:rPr>
          <w:rFonts w:hint="eastAsia" w:ascii="宋体" w:hAnsi="宋体" w:eastAsia="宋体" w:cs="宋体"/>
          <w:b/>
          <w:bCs/>
          <w:sz w:val="30"/>
          <w:szCs w:val="30"/>
        </w:rPr>
      </w:pPr>
      <w:bookmarkStart w:id="336" w:name="_Toc5091"/>
      <w:r>
        <w:rPr>
          <w:rFonts w:hint="eastAsia" w:ascii="宋体" w:hAnsi="宋体" w:eastAsia="宋体" w:cs="宋体"/>
          <w:b/>
          <w:bCs/>
          <w:sz w:val="30"/>
          <w:szCs w:val="30"/>
        </w:rPr>
        <w:t>7.2保修安排</w:t>
      </w:r>
      <w:bookmarkEnd w:id="336"/>
    </w:p>
    <w:p w14:paraId="4F611796">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sz w:val="30"/>
          <w:szCs w:val="30"/>
          <w:lang w:eastAsia="zh-CN"/>
        </w:rPr>
        <w:t>中标单位</w:t>
      </w:r>
      <w:r>
        <w:rPr>
          <w:rFonts w:hint="eastAsia" w:ascii="宋体" w:hAnsi="宋体" w:eastAsia="宋体" w:cs="宋体"/>
          <w:sz w:val="30"/>
          <w:szCs w:val="30"/>
        </w:rPr>
        <w:t>已明确，工程保修是</w:t>
      </w:r>
      <w:r>
        <w:rPr>
          <w:rFonts w:hint="eastAsia" w:ascii="宋体" w:hAnsi="宋体" w:eastAsia="宋体" w:cs="宋体"/>
          <w:sz w:val="30"/>
          <w:szCs w:val="30"/>
          <w:lang w:eastAsia="zh-CN"/>
        </w:rPr>
        <w:t>中标单位</w:t>
      </w:r>
      <w:r>
        <w:rPr>
          <w:rFonts w:hint="eastAsia" w:ascii="宋体" w:hAnsi="宋体" w:eastAsia="宋体" w:cs="宋体"/>
          <w:sz w:val="30"/>
          <w:szCs w:val="30"/>
        </w:rPr>
        <w:t>的责任，</w:t>
      </w:r>
      <w:r>
        <w:rPr>
          <w:rFonts w:hint="eastAsia" w:ascii="宋体" w:hAnsi="宋体" w:eastAsia="宋体" w:cs="宋体"/>
          <w:sz w:val="30"/>
          <w:szCs w:val="30"/>
          <w:lang w:eastAsia="zh-CN"/>
        </w:rPr>
        <w:t>中标单位</w:t>
      </w:r>
      <w:r>
        <w:rPr>
          <w:rFonts w:hint="eastAsia" w:ascii="宋体" w:hAnsi="宋体" w:eastAsia="宋体" w:cs="宋体"/>
          <w:sz w:val="30"/>
          <w:szCs w:val="30"/>
        </w:rPr>
        <w:t>指定的保修负责人应与</w:t>
      </w:r>
      <w:r>
        <w:rPr>
          <w:rFonts w:hint="eastAsia" w:ascii="宋体" w:hAnsi="宋体" w:eastAsia="宋体" w:cs="宋体"/>
          <w:sz w:val="30"/>
          <w:szCs w:val="30"/>
          <w:lang w:eastAsia="zh-CN"/>
        </w:rPr>
        <w:t>招标人</w:t>
      </w:r>
      <w:r>
        <w:rPr>
          <w:rFonts w:hint="eastAsia" w:ascii="宋体" w:hAnsi="宋体" w:eastAsia="宋体" w:cs="宋体"/>
          <w:sz w:val="30"/>
          <w:szCs w:val="30"/>
        </w:rPr>
        <w:t>进行工作对接，熟悉并掌握</w:t>
      </w:r>
      <w:r>
        <w:rPr>
          <w:rFonts w:hint="eastAsia" w:ascii="宋体" w:hAnsi="宋体" w:eastAsia="宋体" w:cs="宋体"/>
          <w:sz w:val="30"/>
          <w:szCs w:val="30"/>
          <w:lang w:eastAsia="zh-CN"/>
        </w:rPr>
        <w:t>招标人</w:t>
      </w:r>
      <w:r>
        <w:rPr>
          <w:rFonts w:hint="eastAsia" w:ascii="宋体" w:hAnsi="宋体" w:eastAsia="宋体" w:cs="宋体"/>
          <w:sz w:val="30"/>
          <w:szCs w:val="30"/>
        </w:rPr>
        <w:t>的各项保修制度。</w:t>
      </w:r>
    </w:p>
    <w:p w14:paraId="7240E1B2">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w:t>
      </w:r>
      <w:r>
        <w:rPr>
          <w:rFonts w:hint="eastAsia" w:ascii="宋体" w:hAnsi="宋体" w:eastAsia="宋体" w:cs="宋体"/>
          <w:sz w:val="30"/>
          <w:szCs w:val="30"/>
          <w:lang w:eastAsia="zh-CN"/>
        </w:rPr>
        <w:t>中标单位</w:t>
      </w:r>
      <w:r>
        <w:rPr>
          <w:rFonts w:hint="eastAsia" w:ascii="宋体" w:hAnsi="宋体" w:eastAsia="宋体" w:cs="宋体"/>
          <w:sz w:val="30"/>
          <w:szCs w:val="30"/>
        </w:rPr>
        <w:t>将认真听从</w:t>
      </w:r>
      <w:r>
        <w:rPr>
          <w:rFonts w:hint="eastAsia" w:ascii="宋体" w:hAnsi="宋体" w:eastAsia="宋体" w:cs="宋体"/>
          <w:sz w:val="30"/>
          <w:szCs w:val="30"/>
          <w:lang w:eastAsia="zh-CN"/>
        </w:rPr>
        <w:t>招标人</w:t>
      </w:r>
      <w:r>
        <w:rPr>
          <w:rFonts w:hint="eastAsia" w:ascii="宋体" w:hAnsi="宋体" w:eastAsia="宋体" w:cs="宋体"/>
          <w:sz w:val="30"/>
          <w:szCs w:val="30"/>
        </w:rPr>
        <w:t>的指挥调度，积极配合相关安排；</w:t>
      </w:r>
      <w:r>
        <w:rPr>
          <w:rFonts w:hint="eastAsia" w:ascii="宋体" w:hAnsi="宋体" w:eastAsia="宋体" w:cs="宋体"/>
          <w:sz w:val="30"/>
          <w:szCs w:val="30"/>
          <w:lang w:eastAsia="zh-CN"/>
        </w:rPr>
        <w:t>中标单位</w:t>
      </w:r>
      <w:r>
        <w:rPr>
          <w:rFonts w:hint="eastAsia" w:ascii="宋体" w:hAnsi="宋体" w:eastAsia="宋体" w:cs="宋体"/>
          <w:sz w:val="30"/>
          <w:szCs w:val="30"/>
        </w:rPr>
        <w:t>将按</w:t>
      </w:r>
      <w:r>
        <w:rPr>
          <w:rFonts w:hint="eastAsia" w:ascii="宋体" w:hAnsi="宋体" w:eastAsia="宋体" w:cs="宋体"/>
          <w:sz w:val="30"/>
          <w:szCs w:val="30"/>
          <w:lang w:eastAsia="zh-CN"/>
        </w:rPr>
        <w:t>招标人</w:t>
      </w:r>
      <w:r>
        <w:rPr>
          <w:rFonts w:hint="eastAsia" w:ascii="宋体" w:hAnsi="宋体" w:eastAsia="宋体" w:cs="宋体"/>
          <w:sz w:val="30"/>
          <w:szCs w:val="30"/>
        </w:rPr>
        <w:t>的维修标准化管理要求，对维修人员进行统一管理，服从</w:t>
      </w:r>
      <w:r>
        <w:rPr>
          <w:rFonts w:hint="eastAsia" w:ascii="宋体" w:hAnsi="宋体" w:eastAsia="宋体" w:cs="宋体"/>
          <w:sz w:val="30"/>
          <w:szCs w:val="30"/>
          <w:lang w:eastAsia="zh-CN"/>
        </w:rPr>
        <w:t>招标人</w:t>
      </w:r>
      <w:r>
        <w:rPr>
          <w:rFonts w:hint="eastAsia" w:ascii="宋体" w:hAnsi="宋体" w:eastAsia="宋体" w:cs="宋体"/>
          <w:sz w:val="30"/>
          <w:szCs w:val="30"/>
        </w:rPr>
        <w:t>对着装、礼仪、维修等方面的要求。</w:t>
      </w:r>
    </w:p>
    <w:p w14:paraId="2F7F7FD5">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w:t>
      </w:r>
      <w:r>
        <w:rPr>
          <w:rFonts w:hint="eastAsia" w:ascii="宋体" w:hAnsi="宋体" w:eastAsia="宋体" w:cs="宋体"/>
          <w:sz w:val="30"/>
          <w:szCs w:val="30"/>
          <w:lang w:eastAsia="zh-CN"/>
        </w:rPr>
        <w:t>招标人</w:t>
      </w:r>
      <w:r>
        <w:rPr>
          <w:rFonts w:hint="eastAsia" w:ascii="宋体" w:hAnsi="宋体" w:eastAsia="宋体" w:cs="宋体"/>
          <w:sz w:val="30"/>
          <w:szCs w:val="30"/>
        </w:rPr>
        <w:t>有权对</w:t>
      </w:r>
      <w:r>
        <w:rPr>
          <w:rFonts w:hint="eastAsia" w:ascii="宋体" w:hAnsi="宋体" w:eastAsia="宋体" w:cs="宋体"/>
          <w:sz w:val="30"/>
          <w:szCs w:val="30"/>
          <w:lang w:eastAsia="zh-CN"/>
        </w:rPr>
        <w:t>中标单位</w:t>
      </w:r>
      <w:r>
        <w:rPr>
          <w:rFonts w:hint="eastAsia" w:ascii="宋体" w:hAnsi="宋体" w:eastAsia="宋体" w:cs="宋体"/>
          <w:sz w:val="30"/>
          <w:szCs w:val="30"/>
        </w:rPr>
        <w:t>的维修过程和质量进行监控，必要时可对维修结果进行质量检测，因此而发生的费用由责任人承担。</w:t>
      </w:r>
    </w:p>
    <w:p w14:paraId="5DC833E9">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（4）当维修责任有待进一步界定的情况出现时（隐蔽工程出现质量问题），</w:t>
      </w:r>
      <w:r>
        <w:rPr>
          <w:rFonts w:hint="eastAsia" w:ascii="宋体" w:hAnsi="宋体" w:eastAsia="宋体" w:cs="宋体"/>
          <w:sz w:val="30"/>
          <w:szCs w:val="30"/>
          <w:lang w:eastAsia="zh-CN"/>
        </w:rPr>
        <w:t>中标单位</w:t>
      </w:r>
      <w:r>
        <w:rPr>
          <w:rFonts w:hint="eastAsia" w:ascii="宋体" w:hAnsi="宋体" w:eastAsia="宋体" w:cs="宋体"/>
          <w:sz w:val="30"/>
          <w:szCs w:val="30"/>
        </w:rPr>
        <w:t>承诺作为最后一道施工流程，无条件协调调查问题所在，并提供人工、材料、机具进行现场勘查，产生的费用</w:t>
      </w:r>
      <w:r>
        <w:rPr>
          <w:rFonts w:hint="eastAsia" w:ascii="宋体" w:hAnsi="宋体" w:eastAsia="宋体" w:cs="宋体"/>
          <w:sz w:val="30"/>
          <w:szCs w:val="30"/>
          <w:lang w:eastAsia="zh-CN"/>
        </w:rPr>
        <w:t>中标单位</w:t>
      </w:r>
      <w:r>
        <w:rPr>
          <w:rFonts w:hint="eastAsia" w:ascii="宋体" w:hAnsi="宋体" w:eastAsia="宋体" w:cs="宋体"/>
          <w:sz w:val="30"/>
          <w:szCs w:val="30"/>
        </w:rPr>
        <w:t>将进行垫支，但问题查明后再由责任方进行承担。</w:t>
      </w:r>
    </w:p>
    <w:p w14:paraId="09AE1C14">
      <w:pPr>
        <w:keepNext/>
        <w:keepLines/>
        <w:widowControl w:val="0"/>
        <w:numPr>
          <w:ilvl w:val="0"/>
          <w:numId w:val="0"/>
        </w:numPr>
        <w:tabs>
          <w:tab w:val="left" w:pos="720"/>
        </w:tabs>
        <w:spacing w:before="156" w:beforeLines="50" w:after="156" w:afterLines="50" w:line="520" w:lineRule="exact"/>
        <w:ind w:left="420"/>
        <w:jc w:val="both"/>
        <w:outlineLvl w:val="1"/>
        <w:rPr>
          <w:rFonts w:ascii="Times New Roman" w:hAnsi="Times New Roman" w:eastAsia="黑体" w:cs="Times New Roman"/>
          <w:b/>
          <w:bCs/>
          <w:kern w:val="44"/>
          <w:sz w:val="32"/>
          <w:szCs w:val="32"/>
          <w:lang w:val="en-US" w:eastAsia="zh-CN" w:bidi="ar-SA"/>
        </w:rPr>
      </w:pPr>
      <w:bookmarkStart w:id="337" w:name="_Toc14845"/>
      <w:r>
        <w:rPr>
          <w:rFonts w:hint="eastAsia" w:ascii="Times New Roman" w:hAnsi="Times New Roman" w:eastAsia="黑体" w:cs="Times New Roman"/>
          <w:b/>
          <w:bCs/>
          <w:kern w:val="44"/>
          <w:sz w:val="32"/>
          <w:szCs w:val="32"/>
          <w:lang w:val="en-US" w:eastAsia="zh-CN" w:bidi="ar-SA"/>
        </w:rPr>
        <w:t>8.关于工程验收与移交</w:t>
      </w:r>
      <w:bookmarkEnd w:id="337"/>
    </w:p>
    <w:p w14:paraId="2E50CD24">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（1）质量验收标准：合格。</w:t>
      </w:r>
      <w:r>
        <w:rPr>
          <w:rFonts w:hint="eastAsia" w:ascii="宋体" w:hAnsi="宋体" w:eastAsia="宋体" w:cs="宋体"/>
          <w:sz w:val="30"/>
          <w:szCs w:val="30"/>
          <w:lang w:eastAsia="zh-CN"/>
        </w:rPr>
        <w:t>中标单位</w:t>
      </w:r>
      <w:r>
        <w:rPr>
          <w:rFonts w:hint="eastAsia" w:ascii="宋体" w:hAnsi="宋体" w:eastAsia="宋体" w:cs="宋体"/>
          <w:sz w:val="30"/>
          <w:szCs w:val="30"/>
        </w:rPr>
        <w:t>需负责对软装及儿童游乐设施、运动器械等材料、设备安装与调试并达到国家相关验收标准，对安装调试错误导致的设备损坏承担全部责任。</w:t>
      </w:r>
    </w:p>
    <w:p w14:paraId="0356F04C">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（2）验收：当满足以下所有条件时，</w:t>
      </w:r>
      <w:r>
        <w:rPr>
          <w:rFonts w:hint="eastAsia" w:ascii="宋体" w:hAnsi="宋体" w:eastAsia="宋体" w:cs="宋体"/>
          <w:sz w:val="30"/>
          <w:szCs w:val="30"/>
          <w:lang w:val="en-US" w:eastAsia="zh-CN"/>
        </w:rPr>
        <w:t>招标人</w:t>
      </w:r>
      <w:r>
        <w:rPr>
          <w:rFonts w:hint="eastAsia" w:ascii="宋体" w:hAnsi="宋体" w:eastAsia="宋体" w:cs="宋体"/>
          <w:sz w:val="30"/>
          <w:szCs w:val="30"/>
        </w:rPr>
        <w:t>才向</w:t>
      </w:r>
      <w:r>
        <w:rPr>
          <w:rFonts w:hint="eastAsia" w:ascii="宋体" w:hAnsi="宋体" w:eastAsia="宋体" w:cs="宋体"/>
          <w:sz w:val="30"/>
          <w:szCs w:val="30"/>
          <w:lang w:eastAsia="zh-CN"/>
        </w:rPr>
        <w:t>中标单位</w:t>
      </w:r>
      <w:r>
        <w:rPr>
          <w:rFonts w:hint="eastAsia" w:ascii="宋体" w:hAnsi="宋体" w:eastAsia="宋体" w:cs="宋体"/>
          <w:sz w:val="30"/>
          <w:szCs w:val="30"/>
        </w:rPr>
        <w:t>申请联合验收：</w:t>
      </w:r>
    </w:p>
    <w:p w14:paraId="6D7A9192">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①</w:t>
      </w:r>
      <w:r>
        <w:rPr>
          <w:rFonts w:hint="eastAsia" w:ascii="宋体" w:hAnsi="宋体" w:eastAsia="宋体" w:cs="宋体"/>
          <w:sz w:val="30"/>
          <w:szCs w:val="30"/>
          <w:lang w:eastAsia="zh-CN"/>
        </w:rPr>
        <w:t>中标单位</w:t>
      </w:r>
      <w:r>
        <w:rPr>
          <w:rFonts w:hint="eastAsia" w:ascii="宋体" w:hAnsi="宋体" w:eastAsia="宋体" w:cs="宋体"/>
          <w:sz w:val="30"/>
          <w:szCs w:val="30"/>
        </w:rPr>
        <w:t>已按照合同规定提供了全部货物及完整的技术资料；</w:t>
      </w:r>
    </w:p>
    <w:p w14:paraId="2A6BC763">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②货物符合招标文件技术要求，性能满足要求；</w:t>
      </w:r>
    </w:p>
    <w:p w14:paraId="1523B2BC">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③货物具备产品合格证；</w:t>
      </w:r>
    </w:p>
    <w:p w14:paraId="616D59BC">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④货物安装调试完毕，正式投入使用1个月后无故障；</w:t>
      </w:r>
    </w:p>
    <w:p w14:paraId="4C153EA0">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⑤项目验收及自检：安装调试完成后，</w:t>
      </w:r>
      <w:r>
        <w:rPr>
          <w:rFonts w:hint="eastAsia" w:ascii="宋体" w:hAnsi="宋体" w:eastAsia="宋体" w:cs="宋体"/>
          <w:sz w:val="30"/>
          <w:szCs w:val="30"/>
          <w:lang w:eastAsia="zh-CN"/>
        </w:rPr>
        <w:t>中标单位</w:t>
      </w:r>
      <w:r>
        <w:rPr>
          <w:rFonts w:hint="eastAsia" w:ascii="宋体" w:hAnsi="宋体" w:eastAsia="宋体" w:cs="宋体"/>
          <w:sz w:val="30"/>
          <w:szCs w:val="30"/>
        </w:rPr>
        <w:t>自检合格，同时申请</w:t>
      </w:r>
      <w:r>
        <w:rPr>
          <w:rFonts w:hint="eastAsia" w:ascii="宋体" w:hAnsi="宋体" w:eastAsia="宋体" w:cs="宋体"/>
          <w:sz w:val="30"/>
          <w:szCs w:val="30"/>
          <w:lang w:val="en-US" w:eastAsia="zh-CN"/>
        </w:rPr>
        <w:t>招标人</w:t>
      </w:r>
      <w:r>
        <w:rPr>
          <w:rFonts w:hint="eastAsia" w:ascii="宋体" w:hAnsi="宋体" w:eastAsia="宋体" w:cs="宋体"/>
          <w:sz w:val="30"/>
          <w:szCs w:val="30"/>
        </w:rPr>
        <w:t>项目部验收合格；</w:t>
      </w:r>
    </w:p>
    <w:p w14:paraId="7E1C60FD">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（3）移交：</w:t>
      </w:r>
    </w:p>
    <w:p w14:paraId="47C61747">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①验收：工程完工后，须经项目监理单位、</w:t>
      </w:r>
      <w:r>
        <w:rPr>
          <w:rFonts w:hint="eastAsia" w:ascii="宋体" w:hAnsi="宋体" w:eastAsia="宋体" w:cs="宋体"/>
          <w:sz w:val="30"/>
          <w:szCs w:val="30"/>
          <w:lang w:val="en-US" w:eastAsia="zh-CN"/>
        </w:rPr>
        <w:t>招标人</w:t>
      </w:r>
      <w:r>
        <w:rPr>
          <w:rFonts w:hint="eastAsia" w:ascii="宋体" w:hAnsi="宋体" w:eastAsia="宋体" w:cs="宋体"/>
          <w:sz w:val="30"/>
          <w:szCs w:val="30"/>
        </w:rPr>
        <w:t>验收，</w:t>
      </w:r>
      <w:r>
        <w:rPr>
          <w:rFonts w:hint="eastAsia" w:ascii="宋体" w:hAnsi="宋体" w:eastAsia="宋体" w:cs="宋体"/>
          <w:sz w:val="30"/>
          <w:szCs w:val="30"/>
          <w:lang w:val="en-US" w:eastAsia="zh-CN"/>
        </w:rPr>
        <w:t>深圳市高新区投资发展集团有限公司</w:t>
      </w:r>
      <w:r>
        <w:rPr>
          <w:rFonts w:hint="eastAsia" w:ascii="宋体" w:hAnsi="宋体" w:eastAsia="宋体" w:cs="宋体"/>
          <w:sz w:val="30"/>
          <w:szCs w:val="30"/>
        </w:rPr>
        <w:t>联合验收，</w:t>
      </w:r>
      <w:r>
        <w:rPr>
          <w:rFonts w:hint="eastAsia" w:ascii="宋体" w:hAnsi="宋体" w:eastAsia="宋体" w:cs="宋体"/>
          <w:sz w:val="30"/>
          <w:szCs w:val="30"/>
          <w:lang w:val="en-US" w:eastAsia="zh-CN"/>
        </w:rPr>
        <w:t>并经</w:t>
      </w:r>
      <w:r>
        <w:rPr>
          <w:rFonts w:hint="eastAsia" w:ascii="宋体" w:hAnsi="宋体" w:eastAsia="宋体" w:cs="宋体"/>
          <w:sz w:val="30"/>
          <w:szCs w:val="30"/>
        </w:rPr>
        <w:t>质安监站验收通过；</w:t>
      </w:r>
    </w:p>
    <w:p w14:paraId="55284B18">
      <w:pPr>
        <w:spacing w:line="52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②工程移交：工程完工验收合格后，移交</w:t>
      </w:r>
      <w:r>
        <w:rPr>
          <w:rFonts w:hint="eastAsia" w:ascii="宋体" w:hAnsi="宋体" w:eastAsia="宋体" w:cs="宋体"/>
          <w:sz w:val="30"/>
          <w:szCs w:val="30"/>
          <w:lang w:val="en-US" w:eastAsia="zh-CN"/>
        </w:rPr>
        <w:t>招标人</w:t>
      </w:r>
      <w:r>
        <w:rPr>
          <w:rFonts w:hint="eastAsia" w:ascii="宋体" w:hAnsi="宋体" w:eastAsia="宋体" w:cs="宋体"/>
          <w:sz w:val="30"/>
          <w:szCs w:val="30"/>
        </w:rPr>
        <w:t>，并提供验收报告。</w:t>
      </w:r>
    </w:p>
    <w:p w14:paraId="45AB1DE5">
      <w:pPr>
        <w:keepNext/>
        <w:keepLines/>
        <w:widowControl w:val="0"/>
        <w:numPr>
          <w:ilvl w:val="0"/>
          <w:numId w:val="0"/>
        </w:numPr>
        <w:tabs>
          <w:tab w:val="left" w:pos="720"/>
        </w:tabs>
        <w:spacing w:before="156" w:beforeLines="50" w:after="156" w:afterLines="50" w:line="520" w:lineRule="exact"/>
        <w:ind w:left="420"/>
        <w:jc w:val="both"/>
        <w:outlineLvl w:val="1"/>
        <w:rPr>
          <w:rFonts w:hint="eastAsia" w:ascii="Times New Roman" w:hAnsi="Times New Roman" w:eastAsia="黑体" w:cs="Times New Roman"/>
          <w:b/>
          <w:bCs/>
          <w:kern w:val="44"/>
          <w:sz w:val="32"/>
          <w:szCs w:val="32"/>
          <w:lang w:val="en-US" w:eastAsia="zh-CN" w:bidi="ar-SA"/>
        </w:rPr>
      </w:pPr>
      <w:bookmarkStart w:id="338" w:name="_Toc9517"/>
      <w:r>
        <w:rPr>
          <w:rFonts w:hint="eastAsia" w:ascii="Times New Roman" w:hAnsi="Times New Roman" w:eastAsia="黑体" w:cs="Times New Roman"/>
          <w:b/>
          <w:bCs/>
          <w:kern w:val="44"/>
          <w:sz w:val="32"/>
          <w:szCs w:val="32"/>
          <w:lang w:val="en-US" w:eastAsia="zh-CN" w:bidi="ar-SA"/>
        </w:rPr>
        <w:t>9.品牌要求</w:t>
      </w:r>
      <w:bookmarkEnd w:id="338"/>
    </w:p>
    <w:tbl>
      <w:tblPr>
        <w:tblStyle w:val="53"/>
        <w:tblW w:w="8746"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82"/>
        <w:gridCol w:w="6164"/>
      </w:tblGrid>
      <w:tr w14:paraId="741E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64EE145B">
            <w:pPr>
              <w:widowControl w:val="0"/>
              <w:autoSpaceDE w:val="0"/>
              <w:autoSpaceDN w:val="0"/>
              <w:adjustRightInd w:val="0"/>
              <w:spacing w:line="360" w:lineRule="auto"/>
              <w:ind w:right="-100" w:firstLine="0" w:firstLineChars="0"/>
              <w:jc w:val="center"/>
              <w:rPr>
                <w:rFonts w:hint="eastAsia"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材料</w:t>
            </w:r>
          </w:p>
        </w:tc>
        <w:tc>
          <w:tcPr>
            <w:tcW w:w="6164" w:type="dxa"/>
            <w:noWrap w:val="0"/>
            <w:vAlign w:val="top"/>
          </w:tcPr>
          <w:p w14:paraId="0DC6C783">
            <w:pPr>
              <w:widowControl w:val="0"/>
              <w:autoSpaceDE w:val="0"/>
              <w:autoSpaceDN w:val="0"/>
              <w:adjustRightInd w:val="0"/>
              <w:spacing w:line="360" w:lineRule="auto"/>
              <w:ind w:right="-100" w:firstLine="0" w:firstLineChars="0"/>
              <w:jc w:val="center"/>
              <w:rPr>
                <w:rFonts w:hint="default" w:ascii="宋体" w:hAnsi="宋体" w:eastAsia="宋体" w:cs="Times New Roman"/>
                <w:b/>
                <w:bCs/>
                <w:color w:val="auto"/>
                <w:kern w:val="2"/>
                <w:sz w:val="24"/>
                <w:szCs w:val="24"/>
                <w:lang w:val="en-US" w:eastAsia="zh-CN" w:bidi="ar-SA"/>
              </w:rPr>
            </w:pPr>
            <w:r>
              <w:rPr>
                <w:rFonts w:hint="eastAsia" w:ascii="宋体" w:hAnsi="宋体" w:eastAsia="宋体" w:cs="Times New Roman"/>
                <w:b/>
                <w:bCs/>
                <w:color w:val="auto"/>
                <w:kern w:val="2"/>
                <w:sz w:val="24"/>
                <w:szCs w:val="24"/>
                <w:lang w:val="en-US" w:eastAsia="zh-CN" w:bidi="ar-SA"/>
              </w:rPr>
              <w:t>品牌范围</w:t>
            </w:r>
          </w:p>
        </w:tc>
      </w:tr>
      <w:tr w14:paraId="061C1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050D9BDF">
            <w:pPr>
              <w:widowControl w:val="0"/>
              <w:autoSpaceDE w:val="0"/>
              <w:autoSpaceDN w:val="0"/>
              <w:adjustRightInd w:val="0"/>
              <w:spacing w:line="360" w:lineRule="auto"/>
              <w:ind w:right="-100" w:firstLine="0" w:firstLineChars="0"/>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成品康体器械</w:t>
            </w:r>
          </w:p>
        </w:tc>
        <w:tc>
          <w:tcPr>
            <w:tcW w:w="6164" w:type="dxa"/>
            <w:noWrap w:val="0"/>
            <w:vAlign w:val="top"/>
          </w:tcPr>
          <w:p w14:paraId="200F4300">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南通铁人、奥瑞特、康纳一品、万澳、科洛普</w:t>
            </w:r>
          </w:p>
        </w:tc>
      </w:tr>
      <w:tr w14:paraId="58BA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1EC344A2">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成品体能器械</w:t>
            </w:r>
          </w:p>
        </w:tc>
        <w:tc>
          <w:tcPr>
            <w:tcW w:w="6164" w:type="dxa"/>
            <w:noWrap w:val="0"/>
            <w:vAlign w:val="top"/>
          </w:tcPr>
          <w:p w14:paraId="50D8912F">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南通铁人、奥瑞特、康纳一品、万澳、科洛普</w:t>
            </w:r>
          </w:p>
        </w:tc>
      </w:tr>
      <w:tr w14:paraId="00F3A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23F26855">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成品运动器械</w:t>
            </w:r>
          </w:p>
        </w:tc>
        <w:tc>
          <w:tcPr>
            <w:tcW w:w="6164" w:type="dxa"/>
            <w:noWrap w:val="0"/>
            <w:vAlign w:val="top"/>
          </w:tcPr>
          <w:p w14:paraId="2288082A">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南通铁人、奥瑞特、康纳一品、万澳、科洛普</w:t>
            </w:r>
          </w:p>
        </w:tc>
      </w:tr>
      <w:tr w14:paraId="12A37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0621F6F6">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乒乓球台</w:t>
            </w:r>
          </w:p>
        </w:tc>
        <w:tc>
          <w:tcPr>
            <w:tcW w:w="6164" w:type="dxa"/>
            <w:noWrap w:val="0"/>
            <w:vAlign w:val="top"/>
          </w:tcPr>
          <w:p w14:paraId="50DF722D">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双鱼、红双喜、金陵体育</w:t>
            </w:r>
          </w:p>
        </w:tc>
      </w:tr>
      <w:tr w14:paraId="54874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461DD19D">
            <w:pPr>
              <w:widowControl w:val="0"/>
              <w:autoSpaceDE w:val="0"/>
              <w:autoSpaceDN w:val="0"/>
              <w:adjustRightInd w:val="0"/>
              <w:spacing w:line="360" w:lineRule="auto"/>
              <w:ind w:right="-100" w:firstLine="0" w:firstLineChars="0"/>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主题滑梯、摇摇飞船</w:t>
            </w:r>
          </w:p>
        </w:tc>
        <w:tc>
          <w:tcPr>
            <w:tcW w:w="6164" w:type="dxa"/>
            <w:noWrap w:val="0"/>
            <w:vAlign w:val="top"/>
          </w:tcPr>
          <w:p w14:paraId="1CD5CF34">
            <w:pPr>
              <w:widowControl w:val="0"/>
              <w:autoSpaceDE w:val="0"/>
              <w:autoSpaceDN w:val="0"/>
              <w:adjustRightInd w:val="0"/>
              <w:spacing w:line="360" w:lineRule="auto"/>
              <w:ind w:right="-100" w:firstLine="0" w:firstLineChars="0"/>
              <w:jc w:val="center"/>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牧童、欢乐岛、童年之家、奇乐儿、华东游乐</w:t>
            </w:r>
          </w:p>
        </w:tc>
      </w:tr>
      <w:tr w14:paraId="0BBE6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82" w:type="dxa"/>
            <w:noWrap w:val="0"/>
            <w:vAlign w:val="top"/>
          </w:tcPr>
          <w:p w14:paraId="46734659">
            <w:pPr>
              <w:widowControl w:val="0"/>
              <w:autoSpaceDE w:val="0"/>
              <w:autoSpaceDN w:val="0"/>
              <w:adjustRightInd w:val="0"/>
              <w:spacing w:line="360" w:lineRule="auto"/>
              <w:ind w:right="-100" w:firstLine="0" w:firstLineChars="0"/>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其他软装</w:t>
            </w:r>
          </w:p>
        </w:tc>
        <w:tc>
          <w:tcPr>
            <w:tcW w:w="6164" w:type="dxa"/>
            <w:noWrap w:val="0"/>
            <w:vAlign w:val="top"/>
          </w:tcPr>
          <w:p w14:paraId="52506F5A">
            <w:pPr>
              <w:widowControl w:val="0"/>
              <w:autoSpaceDE w:val="0"/>
              <w:autoSpaceDN w:val="0"/>
              <w:adjustRightInd w:val="0"/>
              <w:spacing w:line="360" w:lineRule="auto"/>
              <w:ind w:right="-100" w:firstLine="0" w:firstLineChars="0"/>
              <w:jc w:val="center"/>
              <w:rPr>
                <w:rFonts w:hint="default"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材质与款式与2栋一单元已施工完并对外展示的保持一致</w:t>
            </w:r>
          </w:p>
        </w:tc>
      </w:tr>
    </w:tbl>
    <w:p w14:paraId="32547FD4">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5C922CC4">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附件一：《物料说明清单》</w:t>
      </w:r>
    </w:p>
    <w:p w14:paraId="4487FBE2">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附件二：《瑞云府项目首层大堂、架空层及门厅软装平面示意文本》</w:t>
      </w:r>
    </w:p>
    <w:p w14:paraId="6796A4AF">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33B5A07F">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5EE062AC">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792B21AA">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79CEC1AD">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0DFD259B">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18670B75">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63528CA1">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29EB9EE6">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015379EE">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0EFCF934">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p w14:paraId="02282517">
      <w:pPr>
        <w:keepLines w:val="0"/>
        <w:pageBreakBefore w:val="0"/>
        <w:kinsoku/>
        <w:wordWrap/>
        <w:overflowPunct/>
        <w:topLinePunct w:val="0"/>
        <w:autoSpaceDE/>
        <w:autoSpaceDN/>
        <w:bidi w:val="0"/>
        <w:adjustRightInd/>
        <w:snapToGrid/>
        <w:spacing w:line="520" w:lineRule="exact"/>
        <w:ind w:firstLine="480" w:firstLineChars="200"/>
        <w:textAlignment w:val="auto"/>
        <w:outlineLvl w:val="9"/>
        <w:rPr>
          <w:rFonts w:hint="eastAsia" w:ascii="宋体" w:hAnsi="宋体" w:eastAsia="宋体" w:cs="宋体"/>
          <w:sz w:val="24"/>
          <w:szCs w:val="24"/>
          <w:highlight w:val="none"/>
          <w:lang w:val="en-US" w:eastAsia="zh-CN"/>
        </w:rPr>
      </w:pPr>
    </w:p>
    <w:bookmarkEnd w:id="318"/>
    <w:p w14:paraId="60A3C2E2">
      <w:pPr>
        <w:pStyle w:val="2"/>
        <w:spacing w:line="360" w:lineRule="auto"/>
        <w:ind w:left="0"/>
        <w:jc w:val="center"/>
        <w:rPr>
          <w:rFonts w:hint="eastAsia" w:ascii="宋体" w:hAnsi="宋体" w:eastAsia="宋体" w:cs="Times New Roman"/>
          <w:color w:val="auto"/>
          <w:sz w:val="32"/>
          <w:szCs w:val="32"/>
          <w:highlight w:val="none"/>
          <w:lang w:val="en-US" w:eastAsia="zh-CN"/>
        </w:rPr>
      </w:pPr>
      <w:bookmarkStart w:id="339" w:name="_Toc10267"/>
      <w:bookmarkStart w:id="340" w:name="_Toc19389"/>
      <w:r>
        <w:rPr>
          <w:rFonts w:hint="eastAsia" w:ascii="宋体" w:hAnsi="宋体" w:eastAsia="宋体" w:cs="Times New Roman"/>
          <w:color w:val="auto"/>
          <w:sz w:val="32"/>
          <w:szCs w:val="32"/>
          <w:highlight w:val="none"/>
          <w:lang w:val="en-US" w:eastAsia="zh-CN"/>
        </w:rPr>
        <w:t>第六章  投标文件格式</w:t>
      </w:r>
      <w:bookmarkEnd w:id="313"/>
      <w:bookmarkEnd w:id="314"/>
      <w:bookmarkEnd w:id="315"/>
      <w:bookmarkEnd w:id="316"/>
      <w:bookmarkEnd w:id="339"/>
      <w:bookmarkEnd w:id="340"/>
    </w:p>
    <w:p w14:paraId="17375203">
      <w:pPr>
        <w:ind w:firstLine="0" w:firstLineChars="0"/>
        <w:rPr>
          <w:rFonts w:asciiTheme="majorEastAsia" w:hAnsiTheme="majorEastAsia" w:eastAsiaTheme="majorEastAsia"/>
          <w:color w:val="auto"/>
          <w:sz w:val="24"/>
          <w:highlight w:val="none"/>
        </w:rPr>
      </w:pPr>
      <w:r>
        <w:rPr>
          <w:rFonts w:asciiTheme="majorEastAsia" w:hAnsiTheme="majorEastAsia" w:eastAsiaTheme="majorEastAsia"/>
          <w:color w:val="auto"/>
          <w:sz w:val="24"/>
          <w:highlight w:val="none"/>
        </w:rPr>
        <w:br w:type="page"/>
      </w:r>
      <w:bookmarkStart w:id="341" w:name="_Toc277844085"/>
      <w:bookmarkStart w:id="342" w:name="_Toc277844084"/>
    </w:p>
    <w:p w14:paraId="1DEB1481">
      <w:pPr>
        <w:ind w:firstLine="0" w:firstLineChars="0"/>
        <w:rPr>
          <w:rFonts w:hint="eastAsia" w:asciiTheme="majorEastAsia" w:hAnsiTheme="majorEastAsia" w:eastAsiaTheme="majorEastAsia"/>
          <w:color w:val="auto"/>
          <w:sz w:val="24"/>
          <w:highlight w:val="none"/>
          <w:lang w:val="en-US" w:eastAsia="zh-CN"/>
        </w:rPr>
      </w:pPr>
    </w:p>
    <w:p w14:paraId="50AEBA37">
      <w:pPr>
        <w:ind w:firstLine="0" w:firstLineChars="0"/>
        <w:rPr>
          <w:rFonts w:hint="eastAsia" w:asciiTheme="majorEastAsia" w:hAnsiTheme="majorEastAsia" w:eastAsiaTheme="majorEastAsia"/>
          <w:color w:val="auto"/>
          <w:sz w:val="24"/>
          <w:highlight w:val="none"/>
          <w:lang w:val="en-US" w:eastAsia="zh-CN"/>
        </w:rPr>
      </w:pPr>
    </w:p>
    <w:p w14:paraId="493B75C4">
      <w:pPr>
        <w:autoSpaceDE w:val="0"/>
        <w:autoSpaceDN w:val="0"/>
        <w:adjustRightInd w:val="0"/>
        <w:snapToGrid w:val="0"/>
        <w:ind w:firstLine="0" w:firstLineChars="0"/>
        <w:jc w:val="center"/>
        <w:rPr>
          <w:rFonts w:ascii="宋体" w:hAnsi="宋体" w:eastAsia="宋体"/>
          <w:b/>
          <w:color w:val="auto"/>
          <w:sz w:val="20"/>
          <w:szCs w:val="20"/>
          <w:highlight w:val="none"/>
        </w:rPr>
      </w:pPr>
      <w:r>
        <w:rPr>
          <w:rFonts w:hint="eastAsia" w:ascii="宋体" w:hAnsi="宋体" w:eastAsia="宋体" w:cs="Courier New"/>
          <w:b/>
          <w:bCs/>
          <w:color w:val="auto"/>
          <w:sz w:val="84"/>
          <w:szCs w:val="84"/>
          <w:highlight w:val="none"/>
        </w:rPr>
        <w:t>投标文件</w:t>
      </w:r>
    </w:p>
    <w:p w14:paraId="69F92F86">
      <w:pPr>
        <w:autoSpaceDE w:val="0"/>
        <w:autoSpaceDN w:val="0"/>
        <w:adjustRightInd w:val="0"/>
        <w:snapToGrid w:val="0"/>
        <w:ind w:firstLine="0" w:firstLineChars="0"/>
        <w:jc w:val="center"/>
        <w:rPr>
          <w:rFonts w:ascii="宋体" w:hAnsi="宋体" w:eastAsia="宋体"/>
          <w:color w:val="auto"/>
          <w:szCs w:val="28"/>
          <w:highlight w:val="none"/>
        </w:rPr>
      </w:pPr>
    </w:p>
    <w:p w14:paraId="72ED02F7">
      <w:pPr>
        <w:pStyle w:val="19"/>
        <w:ind w:left="0" w:leftChars="0" w:firstLine="0" w:firstLineChars="0"/>
        <w:rPr>
          <w:rFonts w:ascii="宋体" w:hAnsi="宋体" w:eastAsia="宋体"/>
          <w:color w:val="auto"/>
          <w:szCs w:val="28"/>
          <w:highlight w:val="none"/>
        </w:rPr>
      </w:pPr>
    </w:p>
    <w:p w14:paraId="15575982">
      <w:pPr>
        <w:pStyle w:val="19"/>
        <w:rPr>
          <w:rFonts w:ascii="宋体" w:hAnsi="宋体" w:eastAsia="宋体"/>
          <w:color w:val="auto"/>
          <w:szCs w:val="28"/>
          <w:highlight w:val="none"/>
        </w:rPr>
      </w:pPr>
    </w:p>
    <w:tbl>
      <w:tblPr>
        <w:tblStyle w:val="53"/>
        <w:tblW w:w="5000" w:type="pct"/>
        <w:tblInd w:w="0" w:type="dxa"/>
        <w:tblLayout w:type="autofit"/>
        <w:tblCellMar>
          <w:top w:w="0" w:type="dxa"/>
          <w:left w:w="108" w:type="dxa"/>
          <w:bottom w:w="0" w:type="dxa"/>
          <w:right w:w="108" w:type="dxa"/>
        </w:tblCellMar>
      </w:tblPr>
      <w:tblGrid>
        <w:gridCol w:w="3709"/>
        <w:gridCol w:w="5091"/>
      </w:tblGrid>
      <w:tr w14:paraId="0F30E906">
        <w:tblPrEx>
          <w:tblCellMar>
            <w:top w:w="0" w:type="dxa"/>
            <w:left w:w="108" w:type="dxa"/>
            <w:bottom w:w="0" w:type="dxa"/>
            <w:right w:w="108" w:type="dxa"/>
          </w:tblCellMar>
        </w:tblPrEx>
        <w:trPr>
          <w:trHeight w:val="850" w:hRule="atLeast"/>
        </w:trPr>
        <w:tc>
          <w:tcPr>
            <w:tcW w:w="2107" w:type="pct"/>
            <w:vAlign w:val="bottom"/>
          </w:tcPr>
          <w:p w14:paraId="5AE86E6D">
            <w:pPr>
              <w:autoSpaceDE w:val="0"/>
              <w:autoSpaceDN w:val="0"/>
              <w:adjustRightInd w:val="0"/>
              <w:snapToGrid w:val="0"/>
              <w:ind w:firstLine="0" w:firstLineChars="0"/>
              <w:jc w:val="both"/>
              <w:rPr>
                <w:rFonts w:ascii="宋体" w:hAnsi="宋体" w:eastAsia="宋体"/>
                <w:b/>
                <w:color w:val="auto"/>
                <w:sz w:val="32"/>
                <w:szCs w:val="32"/>
                <w:highlight w:val="none"/>
              </w:rPr>
            </w:pPr>
            <w:r>
              <w:rPr>
                <w:rFonts w:hint="eastAsia" w:ascii="宋体" w:hAnsi="宋体" w:eastAsia="宋体"/>
                <w:b/>
                <w:color w:val="auto"/>
                <w:sz w:val="32"/>
                <w:szCs w:val="32"/>
                <w:highlight w:val="none"/>
              </w:rPr>
              <w:t>项目名称：</w:t>
            </w:r>
          </w:p>
        </w:tc>
        <w:tc>
          <w:tcPr>
            <w:tcW w:w="2892" w:type="pct"/>
            <w:vAlign w:val="bottom"/>
          </w:tcPr>
          <w:p w14:paraId="0BA73B2E">
            <w:pPr>
              <w:autoSpaceDE w:val="0"/>
              <w:autoSpaceDN w:val="0"/>
              <w:adjustRightInd w:val="0"/>
              <w:snapToGrid w:val="0"/>
              <w:ind w:firstLine="0" w:firstLineChars="0"/>
              <w:jc w:val="both"/>
              <w:rPr>
                <w:rFonts w:ascii="宋体" w:hAnsi="宋体" w:eastAsia="宋体"/>
                <w:b/>
                <w:color w:val="auto"/>
                <w:sz w:val="32"/>
                <w:szCs w:val="32"/>
                <w:highlight w:val="none"/>
                <w:u w:val="single"/>
              </w:rPr>
            </w:pPr>
            <w:r>
              <w:rPr>
                <w:rFonts w:hint="eastAsia" w:ascii="宋体" w:hAnsi="宋体" w:eastAsia="宋体"/>
                <w:b/>
                <w:color w:val="auto"/>
                <w:sz w:val="32"/>
                <w:szCs w:val="32"/>
                <w:highlight w:val="none"/>
                <w:u w:val="single"/>
              </w:rPr>
              <w:t xml:space="preserve">           </w:t>
            </w:r>
            <w:r>
              <w:rPr>
                <w:rFonts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rPr>
              <w:t xml:space="preserve">  </w:t>
            </w:r>
          </w:p>
        </w:tc>
      </w:tr>
      <w:tr w14:paraId="091328DF">
        <w:tblPrEx>
          <w:tblCellMar>
            <w:top w:w="0" w:type="dxa"/>
            <w:left w:w="108" w:type="dxa"/>
            <w:bottom w:w="0" w:type="dxa"/>
            <w:right w:w="108" w:type="dxa"/>
          </w:tblCellMar>
        </w:tblPrEx>
        <w:trPr>
          <w:trHeight w:val="850" w:hRule="atLeast"/>
        </w:trPr>
        <w:tc>
          <w:tcPr>
            <w:tcW w:w="2107" w:type="pct"/>
            <w:vAlign w:val="bottom"/>
          </w:tcPr>
          <w:p w14:paraId="66E91190">
            <w:pPr>
              <w:autoSpaceDE w:val="0"/>
              <w:autoSpaceDN w:val="0"/>
              <w:adjustRightInd w:val="0"/>
              <w:snapToGrid w:val="0"/>
              <w:ind w:firstLine="0" w:firstLineChars="0"/>
              <w:jc w:val="both"/>
              <w:rPr>
                <w:rFonts w:hint="eastAsia" w:ascii="宋体" w:hAnsi="宋体" w:eastAsia="宋体" w:cs="Times New Roman"/>
                <w:b/>
                <w:color w:val="auto"/>
                <w:kern w:val="2"/>
                <w:sz w:val="32"/>
                <w:szCs w:val="32"/>
                <w:highlight w:val="none"/>
                <w:lang w:val="en-US" w:eastAsia="zh-CN" w:bidi="ar-SA"/>
              </w:rPr>
            </w:pPr>
            <w:r>
              <w:rPr>
                <w:rFonts w:hint="eastAsia" w:ascii="宋体" w:hAnsi="宋体" w:eastAsia="宋体"/>
                <w:b/>
                <w:color w:val="auto"/>
                <w:sz w:val="32"/>
                <w:szCs w:val="32"/>
                <w:highlight w:val="none"/>
              </w:rPr>
              <w:t>投标文件内容：</w:t>
            </w:r>
          </w:p>
        </w:tc>
        <w:tc>
          <w:tcPr>
            <w:tcW w:w="2892" w:type="pct"/>
            <w:vAlign w:val="bottom"/>
          </w:tcPr>
          <w:p w14:paraId="3801B482">
            <w:pPr>
              <w:autoSpaceDE w:val="0"/>
              <w:autoSpaceDN w:val="0"/>
              <w:adjustRightInd w:val="0"/>
              <w:snapToGrid w:val="0"/>
              <w:ind w:firstLine="0" w:firstLineChars="0"/>
              <w:jc w:val="both"/>
              <w:rPr>
                <w:rFonts w:hint="eastAsia" w:ascii="宋体" w:hAnsi="宋体" w:eastAsia="宋体" w:cs="Times New Roman"/>
                <w:b/>
                <w:color w:val="auto"/>
                <w:kern w:val="2"/>
                <w:sz w:val="32"/>
                <w:szCs w:val="32"/>
                <w:highlight w:val="none"/>
                <w:u w:val="single"/>
                <w:lang w:val="en-US" w:eastAsia="zh-CN" w:bidi="ar-SA"/>
              </w:rPr>
            </w:pPr>
            <w:r>
              <w:rPr>
                <w:rFonts w:hint="eastAsia" w:ascii="宋体" w:hAnsi="宋体" w:eastAsia="宋体"/>
                <w:b/>
                <w:color w:val="auto"/>
                <w:sz w:val="32"/>
                <w:szCs w:val="32"/>
                <w:highlight w:val="none"/>
                <w:u w:val="single"/>
              </w:rPr>
              <w:t xml:space="preserve">           </w:t>
            </w:r>
            <w:r>
              <w:rPr>
                <w:rFonts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rPr>
              <w:t xml:space="preserve">  </w:t>
            </w:r>
          </w:p>
        </w:tc>
      </w:tr>
      <w:tr w14:paraId="38F35BE4">
        <w:tblPrEx>
          <w:tblCellMar>
            <w:top w:w="0" w:type="dxa"/>
            <w:left w:w="108" w:type="dxa"/>
            <w:bottom w:w="0" w:type="dxa"/>
            <w:right w:w="108" w:type="dxa"/>
          </w:tblCellMar>
        </w:tblPrEx>
        <w:trPr>
          <w:trHeight w:val="850" w:hRule="atLeast"/>
        </w:trPr>
        <w:tc>
          <w:tcPr>
            <w:tcW w:w="2107" w:type="pct"/>
            <w:vAlign w:val="bottom"/>
          </w:tcPr>
          <w:p w14:paraId="54A1E8F4">
            <w:pPr>
              <w:autoSpaceDE w:val="0"/>
              <w:autoSpaceDN w:val="0"/>
              <w:adjustRightInd w:val="0"/>
              <w:snapToGrid w:val="0"/>
              <w:ind w:firstLine="0" w:firstLineChars="0"/>
              <w:jc w:val="both"/>
              <w:rPr>
                <w:rFonts w:ascii="宋体" w:hAnsi="宋体" w:eastAsia="宋体"/>
                <w:b/>
                <w:color w:val="auto"/>
                <w:sz w:val="32"/>
                <w:szCs w:val="32"/>
                <w:highlight w:val="none"/>
              </w:rPr>
            </w:pPr>
            <w:r>
              <w:rPr>
                <w:rFonts w:hint="eastAsia" w:ascii="宋体" w:hAnsi="宋体" w:eastAsia="宋体"/>
                <w:b/>
                <w:color w:val="auto"/>
                <w:sz w:val="32"/>
                <w:szCs w:val="32"/>
                <w:highlight w:val="none"/>
              </w:rPr>
              <w:t>投标人</w:t>
            </w:r>
            <w:r>
              <w:rPr>
                <w:rFonts w:hint="eastAsia" w:ascii="宋体" w:hAnsi="宋体" w:eastAsia="宋体"/>
                <w:b/>
                <w:color w:val="auto"/>
                <w:sz w:val="32"/>
                <w:szCs w:val="32"/>
                <w:highlight w:val="none"/>
                <w:lang w:val="en-US" w:eastAsia="zh-CN"/>
              </w:rPr>
              <w:t>名称</w:t>
            </w:r>
            <w:r>
              <w:rPr>
                <w:rFonts w:hint="eastAsia" w:ascii="宋体" w:hAnsi="宋体" w:eastAsia="宋体"/>
                <w:b/>
                <w:color w:val="auto"/>
                <w:sz w:val="32"/>
                <w:szCs w:val="32"/>
                <w:highlight w:val="none"/>
              </w:rPr>
              <w:t>：</w:t>
            </w:r>
          </w:p>
        </w:tc>
        <w:tc>
          <w:tcPr>
            <w:tcW w:w="2892" w:type="pct"/>
            <w:vAlign w:val="bottom"/>
          </w:tcPr>
          <w:p w14:paraId="6599D03A">
            <w:pPr>
              <w:autoSpaceDE w:val="0"/>
              <w:autoSpaceDN w:val="0"/>
              <w:adjustRightInd w:val="0"/>
              <w:snapToGrid w:val="0"/>
              <w:ind w:firstLine="0" w:firstLineChars="0"/>
              <w:jc w:val="both"/>
              <w:rPr>
                <w:rFonts w:ascii="宋体" w:hAnsi="宋体" w:eastAsia="宋体"/>
                <w:b/>
                <w:color w:val="auto"/>
                <w:sz w:val="32"/>
                <w:szCs w:val="32"/>
                <w:highlight w:val="none"/>
                <w:u w:val="single"/>
              </w:rPr>
            </w:pPr>
            <w:r>
              <w:rPr>
                <w:rFonts w:hint="eastAsia" w:ascii="宋体" w:hAnsi="宋体" w:eastAsia="宋体"/>
                <w:b/>
                <w:color w:val="auto"/>
                <w:sz w:val="32"/>
                <w:szCs w:val="32"/>
                <w:highlight w:val="none"/>
                <w:u w:val="single"/>
              </w:rPr>
              <w:t xml:space="preserve">           </w:t>
            </w:r>
            <w:r>
              <w:rPr>
                <w:rFonts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rPr>
              <w:t xml:space="preserve">  </w:t>
            </w:r>
          </w:p>
        </w:tc>
      </w:tr>
      <w:tr w14:paraId="7160C773">
        <w:tblPrEx>
          <w:tblCellMar>
            <w:top w:w="0" w:type="dxa"/>
            <w:left w:w="108" w:type="dxa"/>
            <w:bottom w:w="0" w:type="dxa"/>
            <w:right w:w="108" w:type="dxa"/>
          </w:tblCellMar>
        </w:tblPrEx>
        <w:trPr>
          <w:trHeight w:val="850" w:hRule="atLeast"/>
        </w:trPr>
        <w:tc>
          <w:tcPr>
            <w:tcW w:w="2107" w:type="pct"/>
            <w:vAlign w:val="bottom"/>
          </w:tcPr>
          <w:p w14:paraId="13950547">
            <w:pPr>
              <w:autoSpaceDE w:val="0"/>
              <w:autoSpaceDN w:val="0"/>
              <w:adjustRightInd w:val="0"/>
              <w:snapToGrid w:val="0"/>
              <w:ind w:firstLine="0" w:firstLineChars="0"/>
              <w:jc w:val="both"/>
              <w:rPr>
                <w:rFonts w:hint="eastAsia" w:ascii="宋体" w:hAnsi="宋体" w:eastAsia="宋体"/>
                <w:b/>
                <w:color w:val="auto"/>
                <w:sz w:val="32"/>
                <w:szCs w:val="32"/>
                <w:highlight w:val="none"/>
              </w:rPr>
            </w:pPr>
            <w:r>
              <w:rPr>
                <w:rFonts w:hint="eastAsia" w:ascii="宋体" w:hAnsi="宋体" w:eastAsia="宋体"/>
                <w:b/>
                <w:color w:val="auto"/>
                <w:sz w:val="32"/>
                <w:szCs w:val="32"/>
                <w:highlight w:val="none"/>
              </w:rPr>
              <w:t>法定代表人/单位负责人</w:t>
            </w:r>
          </w:p>
          <w:p w14:paraId="5A0D1CC3">
            <w:pPr>
              <w:autoSpaceDE w:val="0"/>
              <w:autoSpaceDN w:val="0"/>
              <w:adjustRightInd w:val="0"/>
              <w:snapToGrid w:val="0"/>
              <w:ind w:firstLine="0" w:firstLineChars="0"/>
              <w:jc w:val="both"/>
              <w:rPr>
                <w:rFonts w:hint="eastAsia" w:ascii="宋体" w:hAnsi="宋体" w:eastAsia="宋体"/>
                <w:b/>
                <w:color w:val="auto"/>
                <w:sz w:val="32"/>
                <w:szCs w:val="32"/>
                <w:highlight w:val="none"/>
                <w:lang w:val="en-US" w:eastAsia="zh-CN"/>
              </w:rPr>
            </w:pPr>
            <w:r>
              <w:rPr>
                <w:rFonts w:hint="eastAsia" w:ascii="宋体" w:hAnsi="宋体" w:eastAsia="宋体"/>
                <w:b/>
                <w:color w:val="auto"/>
                <w:sz w:val="32"/>
                <w:szCs w:val="32"/>
                <w:highlight w:val="none"/>
              </w:rPr>
              <w:t>或其委托代理人：</w:t>
            </w:r>
          </w:p>
        </w:tc>
        <w:tc>
          <w:tcPr>
            <w:tcW w:w="2892" w:type="pct"/>
            <w:vAlign w:val="bottom"/>
          </w:tcPr>
          <w:p w14:paraId="65DA2A21">
            <w:pPr>
              <w:autoSpaceDE w:val="0"/>
              <w:autoSpaceDN w:val="0"/>
              <w:adjustRightInd w:val="0"/>
              <w:snapToGrid w:val="0"/>
              <w:ind w:firstLine="0" w:firstLineChars="0"/>
              <w:jc w:val="both"/>
              <w:rPr>
                <w:rFonts w:hint="eastAsia" w:ascii="宋体" w:hAnsi="宋体" w:eastAsia="宋体"/>
                <w:b/>
                <w:color w:val="auto"/>
                <w:sz w:val="32"/>
                <w:szCs w:val="32"/>
                <w:highlight w:val="none"/>
                <w:lang w:val="en-US" w:eastAsia="zh-CN"/>
              </w:rPr>
            </w:pPr>
            <w:r>
              <w:rPr>
                <w:rFonts w:hint="eastAsia" w:ascii="宋体" w:hAnsi="宋体" w:eastAsia="宋体"/>
                <w:b/>
                <w:color w:val="auto"/>
                <w:sz w:val="32"/>
                <w:szCs w:val="32"/>
                <w:highlight w:val="none"/>
                <w:u w:val="single"/>
              </w:rPr>
              <w:t xml:space="preserve">           </w:t>
            </w:r>
            <w:r>
              <w:rPr>
                <w:rFonts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rPr>
              <w:t xml:space="preserve">                          </w:t>
            </w:r>
          </w:p>
        </w:tc>
      </w:tr>
      <w:tr w14:paraId="01CC005C">
        <w:tblPrEx>
          <w:tblCellMar>
            <w:top w:w="0" w:type="dxa"/>
            <w:left w:w="108" w:type="dxa"/>
            <w:bottom w:w="0" w:type="dxa"/>
            <w:right w:w="108" w:type="dxa"/>
          </w:tblCellMar>
        </w:tblPrEx>
        <w:trPr>
          <w:trHeight w:val="850" w:hRule="atLeast"/>
        </w:trPr>
        <w:tc>
          <w:tcPr>
            <w:tcW w:w="2107" w:type="pct"/>
            <w:vAlign w:val="bottom"/>
          </w:tcPr>
          <w:p w14:paraId="59A31DEE">
            <w:pPr>
              <w:autoSpaceDE w:val="0"/>
              <w:autoSpaceDN w:val="0"/>
              <w:adjustRightInd w:val="0"/>
              <w:snapToGrid w:val="0"/>
              <w:ind w:firstLine="0" w:firstLineChars="0"/>
              <w:jc w:val="both"/>
              <w:rPr>
                <w:rFonts w:ascii="宋体" w:hAnsi="宋体" w:eastAsia="宋体"/>
                <w:b/>
                <w:color w:val="auto"/>
                <w:sz w:val="32"/>
                <w:szCs w:val="32"/>
                <w:highlight w:val="none"/>
              </w:rPr>
            </w:pPr>
            <w:r>
              <w:rPr>
                <w:rFonts w:hint="eastAsia" w:ascii="宋体" w:hAnsi="宋体" w:eastAsia="宋体"/>
                <w:b/>
                <w:color w:val="auto"/>
                <w:sz w:val="32"/>
                <w:szCs w:val="32"/>
                <w:highlight w:val="none"/>
              </w:rPr>
              <w:t>日</w:t>
            </w:r>
            <w:r>
              <w:rPr>
                <w:rFonts w:hint="eastAsia" w:ascii="宋体" w:hAnsi="宋体" w:eastAsia="宋体"/>
                <w:b/>
                <w:color w:val="auto"/>
                <w:sz w:val="32"/>
                <w:szCs w:val="32"/>
                <w:highlight w:val="none"/>
                <w:lang w:val="en-US" w:eastAsia="zh-CN"/>
              </w:rPr>
              <w:t xml:space="preserve">    </w:t>
            </w:r>
            <w:r>
              <w:rPr>
                <w:rFonts w:hint="eastAsia" w:ascii="宋体" w:hAnsi="宋体" w:eastAsia="宋体"/>
                <w:b/>
                <w:color w:val="auto"/>
                <w:sz w:val="32"/>
                <w:szCs w:val="32"/>
                <w:highlight w:val="none"/>
              </w:rPr>
              <w:t>期</w:t>
            </w:r>
            <w:r>
              <w:rPr>
                <w:rFonts w:ascii="宋体" w:hAnsi="宋体" w:eastAsia="宋体"/>
                <w:b/>
                <w:color w:val="auto"/>
                <w:sz w:val="32"/>
                <w:szCs w:val="32"/>
                <w:highlight w:val="none"/>
              </w:rPr>
              <w:t>：</w:t>
            </w:r>
          </w:p>
        </w:tc>
        <w:tc>
          <w:tcPr>
            <w:tcW w:w="2892" w:type="pct"/>
            <w:vAlign w:val="bottom"/>
          </w:tcPr>
          <w:p w14:paraId="0DD716CD">
            <w:pPr>
              <w:autoSpaceDE w:val="0"/>
              <w:autoSpaceDN w:val="0"/>
              <w:adjustRightInd w:val="0"/>
              <w:snapToGrid w:val="0"/>
              <w:ind w:firstLine="0" w:firstLineChars="0"/>
              <w:jc w:val="both"/>
              <w:rPr>
                <w:rFonts w:ascii="宋体" w:hAnsi="宋体" w:eastAsia="宋体"/>
                <w:b/>
                <w:color w:val="auto"/>
                <w:sz w:val="32"/>
                <w:szCs w:val="32"/>
                <w:highlight w:val="none"/>
                <w:u w:val="single"/>
              </w:rPr>
            </w:pP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lang w:val="en-US" w:eastAsia="zh-CN"/>
              </w:rPr>
              <w:t xml:space="preserve">   </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rPr>
              <w:t>年</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lang w:val="en-US" w:eastAsia="zh-CN"/>
              </w:rPr>
              <w:t xml:space="preserve"> </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rPr>
              <w:t>月</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u w:val="single"/>
                <w:lang w:val="en-US" w:eastAsia="zh-CN"/>
              </w:rPr>
              <w:t xml:space="preserve"> </w:t>
            </w:r>
            <w:r>
              <w:rPr>
                <w:rFonts w:hint="eastAsia" w:ascii="宋体" w:hAnsi="宋体" w:eastAsia="宋体"/>
                <w:b/>
                <w:color w:val="auto"/>
                <w:sz w:val="32"/>
                <w:szCs w:val="32"/>
                <w:highlight w:val="none"/>
                <w:u w:val="single"/>
              </w:rPr>
              <w:t xml:space="preserve"> </w:t>
            </w:r>
            <w:r>
              <w:rPr>
                <w:rFonts w:hint="eastAsia" w:ascii="宋体" w:hAnsi="宋体" w:eastAsia="宋体"/>
                <w:b/>
                <w:color w:val="auto"/>
                <w:sz w:val="32"/>
                <w:szCs w:val="32"/>
                <w:highlight w:val="none"/>
              </w:rPr>
              <w:t>日</w:t>
            </w:r>
          </w:p>
        </w:tc>
      </w:tr>
    </w:tbl>
    <w:p w14:paraId="3531AD3E">
      <w:pPr>
        <w:ind w:firstLine="0" w:firstLineChars="0"/>
        <w:rPr>
          <w:rFonts w:asciiTheme="majorEastAsia" w:hAnsiTheme="majorEastAsia" w:eastAsiaTheme="majorEastAsia"/>
          <w:b/>
          <w:color w:val="auto"/>
          <w:sz w:val="24"/>
          <w:highlight w:val="none"/>
        </w:rPr>
      </w:pPr>
    </w:p>
    <w:p w14:paraId="6DA57D3B">
      <w:pPr>
        <w:ind w:firstLine="0" w:firstLineChars="0"/>
        <w:rPr>
          <w:rFonts w:hint="eastAsia" w:asciiTheme="majorEastAsia" w:hAnsiTheme="majorEastAsia" w:eastAsiaTheme="majorEastAsia"/>
          <w:color w:val="auto"/>
          <w:sz w:val="24"/>
          <w:highlight w:val="none"/>
        </w:rPr>
      </w:pPr>
    </w:p>
    <w:p w14:paraId="7F1CF9C3">
      <w:pPr>
        <w:ind w:firstLine="0" w:firstLineChars="0"/>
        <w:rPr>
          <w:rFonts w:hint="eastAsia"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投标人郑重承诺：</w:t>
      </w:r>
    </w:p>
    <w:p w14:paraId="37F95112">
      <w:pPr>
        <w:ind w:firstLine="0" w:firstLineChars="0"/>
        <w:rPr>
          <w:rFonts w:hint="eastAsia"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1、本投标文件已经过我单位法定代表人认可。</w:t>
      </w:r>
    </w:p>
    <w:p w14:paraId="1DE73F73">
      <w:pPr>
        <w:ind w:firstLine="0" w:firstLineChars="0"/>
        <w:rPr>
          <w:rFonts w:asciiTheme="majorEastAsia" w:hAnsiTheme="majorEastAsia" w:eastAsiaTheme="majorEastAsia"/>
          <w:b/>
          <w:color w:val="auto"/>
          <w:sz w:val="24"/>
          <w:highlight w:val="none"/>
        </w:rPr>
      </w:pPr>
      <w:r>
        <w:rPr>
          <w:rFonts w:hint="eastAsia" w:asciiTheme="majorEastAsia" w:hAnsiTheme="majorEastAsia" w:eastAsiaTheme="majorEastAsia"/>
          <w:color w:val="auto"/>
          <w:sz w:val="24"/>
          <w:highlight w:val="none"/>
        </w:rPr>
        <w:t>2、对所提供资料的真实性、准确性、有效性负全部责任。</w:t>
      </w:r>
    </w:p>
    <w:p w14:paraId="3B18C8F7">
      <w:pPr>
        <w:ind w:firstLine="0" w:firstLineChars="0"/>
        <w:rPr>
          <w:rFonts w:asciiTheme="majorEastAsia" w:hAnsiTheme="majorEastAsia" w:eastAsiaTheme="majorEastAsia"/>
          <w:color w:val="auto"/>
          <w:sz w:val="24"/>
          <w:highlight w:val="none"/>
        </w:rPr>
      </w:pPr>
      <w:r>
        <w:rPr>
          <w:rFonts w:asciiTheme="majorEastAsia" w:hAnsiTheme="majorEastAsia" w:eastAsiaTheme="majorEastAsia"/>
          <w:color w:val="auto"/>
          <w:sz w:val="24"/>
          <w:highlight w:val="none"/>
        </w:rPr>
        <w:br w:type="page"/>
      </w:r>
    </w:p>
    <w:p w14:paraId="1B54B63C">
      <w:pPr>
        <w:numPr>
          <w:ilvl w:val="0"/>
          <w:numId w:val="0"/>
        </w:numPr>
        <w:jc w:val="center"/>
        <w:outlineLvl w:val="9"/>
        <w:rPr>
          <w:rFonts w:hint="eastAsia" w:asciiTheme="majorEastAsia" w:hAnsiTheme="majorEastAsia" w:eastAsiaTheme="majorEastAsia"/>
          <w:b/>
          <w:color w:val="auto"/>
          <w:sz w:val="24"/>
          <w:highlight w:val="none"/>
          <w:lang w:val="en-US" w:eastAsia="zh-CN"/>
        </w:rPr>
      </w:pPr>
      <w:bookmarkStart w:id="343" w:name="_Toc6143"/>
      <w:bookmarkStart w:id="344" w:name="_Toc71877323"/>
      <w:bookmarkStart w:id="345" w:name="_Hlk532142363"/>
      <w:r>
        <w:rPr>
          <w:rFonts w:hint="eastAsia" w:asciiTheme="majorEastAsia" w:hAnsiTheme="majorEastAsia" w:eastAsiaTheme="majorEastAsia"/>
          <w:b/>
          <w:color w:val="auto"/>
          <w:sz w:val="24"/>
          <w:highlight w:val="none"/>
          <w:lang w:val="en-US" w:eastAsia="zh-CN"/>
        </w:rPr>
        <w:t>目录</w:t>
      </w:r>
      <w:bookmarkEnd w:id="343"/>
    </w:p>
    <w:p w14:paraId="49B66A83">
      <w:pPr>
        <w:numPr>
          <w:ilvl w:val="0"/>
          <w:numId w:val="0"/>
        </w:numPr>
        <w:jc w:val="center"/>
        <w:outlineLvl w:val="9"/>
        <w:rPr>
          <w:rFonts w:hint="eastAsia" w:asciiTheme="majorEastAsia" w:hAnsiTheme="majorEastAsia" w:eastAsiaTheme="majorEastAsia"/>
          <w:b/>
          <w:color w:val="auto"/>
          <w:sz w:val="24"/>
          <w:highlight w:val="none"/>
          <w:lang w:val="en-US" w:eastAsia="zh-CN"/>
        </w:rPr>
      </w:pPr>
      <w:bookmarkStart w:id="346" w:name="_Toc2698"/>
      <w:r>
        <w:rPr>
          <w:rFonts w:hint="eastAsia" w:asciiTheme="majorEastAsia" w:hAnsiTheme="majorEastAsia" w:eastAsiaTheme="majorEastAsia"/>
          <w:b/>
          <w:color w:val="auto"/>
          <w:sz w:val="24"/>
          <w:highlight w:val="none"/>
          <w:lang w:val="en-US" w:eastAsia="zh-CN"/>
        </w:rPr>
        <w:t>（为方便评标委员会查阅，投标人自行编制目录）</w:t>
      </w:r>
      <w:bookmarkEnd w:id="346"/>
    </w:p>
    <w:p w14:paraId="2E69F8B9">
      <w:pPr>
        <w:outlineLvl w:val="9"/>
        <w:rPr>
          <w:rFonts w:hint="eastAsia" w:asciiTheme="majorEastAsia" w:hAnsiTheme="majorEastAsia" w:eastAsiaTheme="majorEastAsia"/>
          <w:b/>
          <w:color w:val="auto"/>
          <w:sz w:val="24"/>
          <w:highlight w:val="none"/>
        </w:rPr>
      </w:pPr>
    </w:p>
    <w:p w14:paraId="23B517CE">
      <w:pPr>
        <w:rPr>
          <w:rFonts w:hint="eastAsia"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br w:type="page"/>
      </w:r>
    </w:p>
    <w:p w14:paraId="75D42914">
      <w:pPr>
        <w:widowControl w:val="0"/>
        <w:autoSpaceDE w:val="0"/>
        <w:autoSpaceDN w:val="0"/>
        <w:adjustRightInd w:val="0"/>
        <w:snapToGrid w:val="0"/>
        <w:ind w:firstLine="0" w:firstLineChars="0"/>
        <w:jc w:val="center"/>
        <w:outlineLvl w:val="1"/>
        <w:rPr>
          <w:rFonts w:hint="default" w:ascii="宋体" w:hAnsi="宋体" w:eastAsia="宋体" w:cs="Times New Roman"/>
          <w:b/>
          <w:color w:val="auto"/>
          <w:sz w:val="44"/>
          <w:szCs w:val="44"/>
          <w:highlight w:val="none"/>
          <w:lang w:val="en-US" w:eastAsia="zh-CN"/>
        </w:rPr>
      </w:pPr>
      <w:bookmarkStart w:id="347" w:name="_Toc6607"/>
      <w:bookmarkStart w:id="348" w:name="_Toc29412"/>
      <w:bookmarkStart w:id="349" w:name="_Toc23294"/>
      <w:r>
        <w:rPr>
          <w:rFonts w:hint="eastAsia" w:ascii="宋体" w:hAnsi="宋体" w:eastAsia="宋体" w:cs="Times New Roman"/>
          <w:b/>
          <w:color w:val="auto"/>
          <w:sz w:val="44"/>
          <w:szCs w:val="44"/>
          <w:highlight w:val="none"/>
          <w:lang w:val="en-US" w:eastAsia="zh-CN"/>
        </w:rPr>
        <w:t>一、资信标</w:t>
      </w:r>
      <w:bookmarkEnd w:id="344"/>
      <w:bookmarkEnd w:id="345"/>
      <w:r>
        <w:rPr>
          <w:rFonts w:hint="eastAsia" w:ascii="宋体" w:hAnsi="宋体" w:eastAsia="宋体" w:cs="Times New Roman"/>
          <w:b/>
          <w:color w:val="auto"/>
          <w:sz w:val="44"/>
          <w:szCs w:val="44"/>
          <w:highlight w:val="none"/>
          <w:lang w:val="en-US" w:eastAsia="zh-CN"/>
        </w:rPr>
        <w:t>部分</w:t>
      </w:r>
      <w:bookmarkEnd w:id="347"/>
      <w:bookmarkEnd w:id="348"/>
      <w:bookmarkEnd w:id="349"/>
    </w:p>
    <w:p w14:paraId="0573E535">
      <w:pPr>
        <w:rPr>
          <w:rFonts w:hint="eastAsia" w:asciiTheme="majorEastAsia" w:hAnsiTheme="majorEastAsia" w:eastAsiaTheme="majorEastAsia"/>
          <w:b/>
          <w:color w:val="auto"/>
          <w:sz w:val="24"/>
          <w:highlight w:val="none"/>
        </w:rPr>
      </w:pPr>
      <w:bookmarkStart w:id="350" w:name="_Toc12771"/>
      <w:bookmarkStart w:id="351" w:name="_Toc10983"/>
      <w:bookmarkStart w:id="352" w:name="_Toc20310"/>
      <w:bookmarkStart w:id="353" w:name="_Toc16871"/>
      <w:r>
        <w:rPr>
          <w:rFonts w:hint="eastAsia" w:asciiTheme="majorEastAsia" w:hAnsiTheme="majorEastAsia" w:eastAsiaTheme="majorEastAsia"/>
          <w:b/>
          <w:color w:val="auto"/>
          <w:sz w:val="24"/>
          <w:highlight w:val="none"/>
        </w:rPr>
        <w:br w:type="page"/>
      </w:r>
    </w:p>
    <w:p w14:paraId="5119539A">
      <w:pPr>
        <w:ind w:firstLine="0" w:firstLineChars="0"/>
        <w:outlineLvl w:val="2"/>
        <w:rPr>
          <w:rFonts w:hint="eastAsia" w:asciiTheme="majorEastAsia" w:hAnsiTheme="majorEastAsia" w:eastAsiaTheme="majorEastAsia"/>
          <w:b/>
          <w:bCs/>
          <w:color w:val="auto"/>
          <w:sz w:val="24"/>
          <w:highlight w:val="none"/>
        </w:rPr>
      </w:pPr>
      <w:bookmarkStart w:id="354" w:name="_Toc12000"/>
      <w:bookmarkStart w:id="355" w:name="_Toc10503"/>
      <w:bookmarkStart w:id="356" w:name="_Toc6210"/>
      <w:bookmarkStart w:id="357" w:name="_Toc16352"/>
      <w:bookmarkStart w:id="358" w:name="_Toc14517"/>
      <w:bookmarkStart w:id="359" w:name="_Toc16093"/>
      <w:r>
        <w:rPr>
          <w:rFonts w:hint="eastAsia" w:asciiTheme="majorEastAsia" w:hAnsiTheme="majorEastAsia" w:eastAsiaTheme="majorEastAsia"/>
          <w:b/>
          <w:color w:val="auto"/>
          <w:sz w:val="24"/>
          <w:highlight w:val="none"/>
        </w:rPr>
        <w:t>A1、</w:t>
      </w:r>
      <w:r>
        <w:rPr>
          <w:rFonts w:hint="eastAsia" w:asciiTheme="majorEastAsia" w:hAnsiTheme="majorEastAsia" w:eastAsiaTheme="majorEastAsia"/>
          <w:b/>
          <w:bCs/>
          <w:color w:val="auto"/>
          <w:sz w:val="24"/>
          <w:highlight w:val="none"/>
        </w:rPr>
        <w:t>投标函</w:t>
      </w:r>
      <w:bookmarkEnd w:id="350"/>
      <w:bookmarkEnd w:id="351"/>
      <w:bookmarkEnd w:id="354"/>
      <w:bookmarkEnd w:id="355"/>
      <w:bookmarkEnd w:id="356"/>
      <w:bookmarkEnd w:id="357"/>
      <w:bookmarkEnd w:id="358"/>
      <w:bookmarkEnd w:id="359"/>
    </w:p>
    <w:p w14:paraId="1B68D50D">
      <w:pPr>
        <w:widowControl w:val="0"/>
        <w:autoSpaceDE w:val="0"/>
        <w:autoSpaceDN w:val="0"/>
        <w:adjustRightInd w:val="0"/>
        <w:snapToGrid w:val="0"/>
        <w:ind w:firstLine="0" w:firstLineChars="0"/>
        <w:jc w:val="center"/>
        <w:rPr>
          <w:rFonts w:hint="eastAsia" w:ascii="宋体" w:hAnsi="宋体" w:eastAsia="宋体" w:cs="宋体"/>
          <w:color w:val="auto"/>
          <w:sz w:val="21"/>
          <w:szCs w:val="21"/>
          <w:highlight w:val="none"/>
        </w:rPr>
      </w:pPr>
      <w:r>
        <w:rPr>
          <w:rFonts w:hint="eastAsia" w:ascii="宋体" w:hAnsi="宋体" w:eastAsia="宋体" w:cs="宋体"/>
          <w:b/>
          <w:bCs/>
          <w:color w:val="auto"/>
          <w:sz w:val="32"/>
          <w:szCs w:val="32"/>
          <w:highlight w:val="none"/>
        </w:rPr>
        <w:t>投标函</w:t>
      </w:r>
    </w:p>
    <w:bookmarkEnd w:id="352"/>
    <w:bookmarkEnd w:id="353"/>
    <w:p w14:paraId="71C92D99">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color w:val="auto"/>
          <w:sz w:val="22"/>
          <w:szCs w:val="22"/>
          <w:highlight w:val="none"/>
          <w:lang w:val="en-US" w:eastAsia="zh-CN"/>
        </w:rPr>
      </w:pPr>
      <w:bookmarkStart w:id="360" w:name="_Toc280341016"/>
      <w:bookmarkStart w:id="361" w:name="_Toc14938"/>
      <w:bookmarkStart w:id="362" w:name="_Toc20936"/>
      <w:bookmarkStart w:id="363" w:name="_Toc14515"/>
      <w:bookmarkStart w:id="364" w:name="_Toc12373"/>
      <w:bookmarkStart w:id="365" w:name="_Toc12823"/>
      <w:bookmarkStart w:id="366" w:name="_Toc278892899"/>
      <w:bookmarkStart w:id="367" w:name="_Toc28872"/>
      <w:bookmarkStart w:id="368" w:name="_Toc390444141"/>
      <w:bookmarkStart w:id="369" w:name="_Hlk532142439"/>
      <w:r>
        <w:rPr>
          <w:rFonts w:hint="eastAsia" w:ascii="宋体" w:hAnsi="宋体" w:eastAsia="宋体" w:cs="宋体"/>
          <w:color w:val="auto"/>
          <w:sz w:val="22"/>
          <w:szCs w:val="22"/>
          <w:highlight w:val="none"/>
        </w:rPr>
        <w:t>致</w:t>
      </w:r>
      <w:r>
        <w:rPr>
          <w:rFonts w:hint="eastAsia" w:ascii="宋体" w:hAnsi="宋体" w:eastAsia="宋体" w:cs="宋体"/>
          <w:color w:val="auto"/>
          <w:sz w:val="22"/>
          <w:szCs w:val="22"/>
          <w:highlight w:val="none"/>
          <w:u w:val="none"/>
          <w:lang w:val="en-US" w:eastAsia="zh-CN"/>
        </w:rPr>
        <w:t>：</w:t>
      </w:r>
      <w:r>
        <w:rPr>
          <w:rFonts w:hint="eastAsia" w:ascii="宋体" w:hAnsi="宋体" w:eastAsia="宋体" w:cs="宋体"/>
          <w:color w:val="auto"/>
          <w:sz w:val="22"/>
          <w:szCs w:val="22"/>
          <w:highlight w:val="none"/>
          <w:u w:val="single"/>
          <w:lang w:val="en-US" w:eastAsia="zh-CN"/>
        </w:rPr>
        <w:t>深圳市高新健置业开发有限公司</w:t>
      </w:r>
    </w:p>
    <w:p w14:paraId="060C19D2">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在研究了你方提供的招标文件及澄清或修改文件后，我方愿意按投标报价一览表投标总价投标、服务期和服务要求提供服务，并履行招标文件及合同协议书中的责任和义务。</w:t>
      </w:r>
    </w:p>
    <w:p w14:paraId="759286E4">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r>
        <w:rPr>
          <w:rFonts w:hint="eastAsia" w:ascii="宋体" w:hAnsi="宋体" w:eastAsia="宋体" w:cs="宋体"/>
          <w:color w:val="auto"/>
          <w:sz w:val="22"/>
          <w:szCs w:val="22"/>
          <w:highlight w:val="none"/>
          <w:lang w:val="en-US" w:eastAsia="zh-CN"/>
        </w:rPr>
        <w:t>.</w:t>
      </w:r>
      <w:r>
        <w:rPr>
          <w:rFonts w:hint="eastAsia" w:ascii="宋体" w:hAnsi="宋体" w:eastAsia="宋体" w:cs="宋体"/>
          <w:color w:val="auto"/>
          <w:sz w:val="22"/>
          <w:szCs w:val="22"/>
          <w:highlight w:val="none"/>
        </w:rPr>
        <w:t>我方已详细审查全部招标文件，包括澄清或修改文件（如有）以及有关附件。我方完全理解并同意放弃对这方面有不明及误解的权利。</w:t>
      </w:r>
    </w:p>
    <w:p w14:paraId="5E1FD694">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color w:val="auto"/>
          <w:sz w:val="22"/>
          <w:szCs w:val="22"/>
          <w:highlight w:val="none"/>
        </w:rPr>
        <w:t>3</w:t>
      </w:r>
      <w:r>
        <w:rPr>
          <w:rFonts w:hint="eastAsia" w:ascii="宋体" w:hAnsi="宋体" w:eastAsia="宋体" w:cs="宋体"/>
          <w:color w:val="auto"/>
          <w:sz w:val="22"/>
          <w:szCs w:val="22"/>
          <w:highlight w:val="none"/>
          <w:lang w:val="en-US" w:eastAsia="zh-CN"/>
        </w:rPr>
        <w:t>.</w:t>
      </w:r>
      <w:r>
        <w:rPr>
          <w:rFonts w:hint="eastAsia" w:ascii="宋体" w:hAnsi="宋体" w:eastAsia="宋体" w:cs="宋体"/>
          <w:bCs/>
          <w:color w:val="auto"/>
          <w:sz w:val="22"/>
          <w:szCs w:val="22"/>
          <w:highlight w:val="none"/>
        </w:rPr>
        <w:t>本投标有效期为投标截止日起</w:t>
      </w:r>
      <w:r>
        <w:rPr>
          <w:rFonts w:hint="eastAsia" w:ascii="宋体" w:hAnsi="宋体" w:eastAsia="宋体" w:cs="宋体"/>
          <w:bCs/>
          <w:color w:val="auto"/>
          <w:sz w:val="22"/>
          <w:szCs w:val="22"/>
          <w:highlight w:val="none"/>
          <w:u w:val="single"/>
        </w:rPr>
        <w:t xml:space="preserve"> 90 </w:t>
      </w:r>
      <w:r>
        <w:rPr>
          <w:rFonts w:hint="eastAsia" w:ascii="宋体" w:hAnsi="宋体" w:eastAsia="宋体" w:cs="宋体"/>
          <w:bCs/>
          <w:color w:val="auto"/>
          <w:sz w:val="22"/>
          <w:szCs w:val="22"/>
          <w:highlight w:val="none"/>
        </w:rPr>
        <w:t>日历日，我方保证在</w:t>
      </w:r>
      <w:r>
        <w:rPr>
          <w:rFonts w:hint="eastAsia" w:ascii="宋体" w:hAnsi="宋体" w:eastAsia="宋体" w:cs="宋体"/>
          <w:color w:val="auto"/>
          <w:sz w:val="22"/>
          <w:szCs w:val="22"/>
          <w:highlight w:val="none"/>
        </w:rPr>
        <w:t>投标有效期内严格遵守本投标函的各项承诺。在此期限届满之前，本投标函将对我方具有约束力，并随时接受中标</w:t>
      </w:r>
      <w:r>
        <w:rPr>
          <w:rFonts w:hint="eastAsia" w:ascii="宋体" w:hAnsi="宋体" w:eastAsia="宋体" w:cs="宋体"/>
          <w:bCs/>
          <w:color w:val="auto"/>
          <w:sz w:val="22"/>
          <w:szCs w:val="22"/>
          <w:highlight w:val="none"/>
        </w:rPr>
        <w:t>。</w:t>
      </w:r>
    </w:p>
    <w:p w14:paraId="2BAC3F05">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4</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rPr>
        <w:t>我方同意按照你方的要求提供与本投标有关的一切数据或资料，完全理解你方不一定要接受最低价的投标或收到的任何投标。</w:t>
      </w:r>
      <w:r>
        <w:rPr>
          <w:rFonts w:hint="eastAsia" w:ascii="宋体" w:hAnsi="宋体" w:eastAsia="宋体" w:cs="宋体"/>
          <w:color w:val="auto"/>
          <w:sz w:val="22"/>
          <w:szCs w:val="22"/>
          <w:highlight w:val="none"/>
        </w:rPr>
        <w:t>同时也理解，你方不负担我方的任何投标费用。</w:t>
      </w:r>
    </w:p>
    <w:p w14:paraId="0DDAFC75">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w:t>
      </w:r>
      <w:r>
        <w:rPr>
          <w:rFonts w:hint="eastAsia" w:ascii="宋体" w:hAnsi="宋体" w:eastAsia="宋体" w:cs="宋体"/>
          <w:bCs/>
          <w:color w:val="auto"/>
          <w:sz w:val="22"/>
          <w:szCs w:val="22"/>
          <w:highlight w:val="none"/>
          <w:lang w:val="en-US" w:eastAsia="zh-CN"/>
        </w:rPr>
        <w:t>.</w:t>
      </w:r>
      <w:r>
        <w:rPr>
          <w:rFonts w:hint="eastAsia" w:ascii="宋体" w:hAnsi="宋体" w:eastAsia="宋体" w:cs="宋体"/>
          <w:bCs/>
          <w:color w:val="auto"/>
          <w:sz w:val="22"/>
          <w:szCs w:val="22"/>
          <w:highlight w:val="none"/>
        </w:rPr>
        <w:t>如果我方中标，我方保证按照招标文件规定的期限要求履行提供服务及有关责任和义务。</w:t>
      </w:r>
    </w:p>
    <w:p w14:paraId="2D73F2A4">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w:t>
      </w:r>
      <w:r>
        <w:rPr>
          <w:rFonts w:hint="eastAsia" w:ascii="宋体" w:hAnsi="宋体" w:eastAsia="宋体" w:cs="宋体"/>
          <w:bCs/>
          <w:color w:val="auto"/>
          <w:sz w:val="22"/>
          <w:szCs w:val="22"/>
          <w:highlight w:val="none"/>
          <w:lang w:val="en-US" w:eastAsia="zh-CN"/>
        </w:rPr>
        <w:t>.</w:t>
      </w:r>
      <w:r>
        <w:rPr>
          <w:rFonts w:hint="eastAsia" w:ascii="宋体" w:hAnsi="宋体" w:eastAsia="宋体" w:cs="宋体"/>
          <w:color w:val="auto"/>
          <w:sz w:val="22"/>
          <w:szCs w:val="22"/>
          <w:highlight w:val="none"/>
        </w:rPr>
        <w:t>在合同协议书正式签署生效之前，本投标函连同你方发出的中标通知书，将构成你我双方共同遵守的文件，对双方具有约束力。</w:t>
      </w:r>
    </w:p>
    <w:p w14:paraId="7C9B47AD">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lang w:val="en-US" w:eastAsia="zh-CN"/>
        </w:rPr>
        <w:t>7.</w:t>
      </w:r>
      <w:r>
        <w:rPr>
          <w:rFonts w:hint="eastAsia" w:ascii="宋体" w:hAnsi="宋体" w:eastAsia="宋体" w:cs="宋体"/>
          <w:bCs/>
          <w:color w:val="auto"/>
          <w:sz w:val="22"/>
          <w:szCs w:val="22"/>
          <w:highlight w:val="none"/>
        </w:rPr>
        <w:t>随同本投标函，我方缴纳符合招标文件要求的投标保证金。如果我方存在以下任何一种行为时，你方有权不予退还投标保证金，取消我方中标资格，另选中标单位</w:t>
      </w:r>
      <w:r>
        <w:rPr>
          <w:rFonts w:hint="eastAsia" w:ascii="宋体" w:hAnsi="宋体" w:eastAsia="宋体" w:cs="宋体"/>
          <w:color w:val="auto"/>
          <w:sz w:val="22"/>
          <w:szCs w:val="22"/>
          <w:highlight w:val="none"/>
        </w:rPr>
        <w:t>，给你方造成的损失超过我方投标保证金的，你方还有权要求我方对超过部分进行赔偿</w:t>
      </w:r>
      <w:r>
        <w:rPr>
          <w:rFonts w:hint="eastAsia" w:ascii="宋体" w:hAnsi="宋体" w:eastAsia="宋体" w:cs="宋体"/>
          <w:bCs/>
          <w:color w:val="auto"/>
          <w:sz w:val="22"/>
          <w:szCs w:val="22"/>
          <w:highlight w:val="none"/>
        </w:rPr>
        <w:t>：</w:t>
      </w:r>
    </w:p>
    <w:p w14:paraId="3A5970D9">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 xml:space="preserve">（1）投标截止时间后，我方在投标有效期内撤回或修改投标文件； </w:t>
      </w:r>
    </w:p>
    <w:p w14:paraId="13CBD9BA">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（2）</w:t>
      </w:r>
      <w:r>
        <w:rPr>
          <w:rFonts w:hint="eastAsia" w:ascii="宋体" w:hAnsi="宋体" w:eastAsia="宋体" w:cs="宋体"/>
          <w:color w:val="auto"/>
          <w:sz w:val="22"/>
          <w:szCs w:val="22"/>
          <w:highlight w:val="none"/>
        </w:rPr>
        <w:t>我方在接到中标通知书后放弃中标</w:t>
      </w:r>
      <w:r>
        <w:rPr>
          <w:rFonts w:hint="eastAsia" w:ascii="宋体" w:hAnsi="宋体" w:eastAsia="宋体" w:cs="宋体"/>
          <w:bCs/>
          <w:color w:val="auto"/>
          <w:sz w:val="22"/>
          <w:szCs w:val="22"/>
          <w:highlight w:val="none"/>
        </w:rPr>
        <w:t xml:space="preserve">； </w:t>
      </w:r>
    </w:p>
    <w:p w14:paraId="02129F52">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（3）我方自中标通知书发出之日起</w:t>
      </w:r>
      <w:r>
        <w:rPr>
          <w:rFonts w:hint="eastAsia" w:ascii="宋体" w:hAnsi="宋体" w:eastAsia="宋体" w:cs="宋体"/>
          <w:bCs/>
          <w:color w:val="auto"/>
          <w:sz w:val="22"/>
          <w:szCs w:val="22"/>
          <w:highlight w:val="none"/>
          <w:u w:val="single"/>
        </w:rPr>
        <w:t>30</w:t>
      </w:r>
      <w:r>
        <w:rPr>
          <w:rFonts w:hint="eastAsia" w:ascii="宋体" w:hAnsi="宋体" w:eastAsia="宋体" w:cs="宋体"/>
          <w:bCs/>
          <w:color w:val="auto"/>
          <w:sz w:val="22"/>
          <w:szCs w:val="22"/>
          <w:highlight w:val="none"/>
        </w:rPr>
        <w:t>天内拒绝按照你方指定的时间和地点签订合同及附件；</w:t>
      </w:r>
    </w:p>
    <w:p w14:paraId="63AB3EE9">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（4）我方未能按招标文件要求提交足额履约担保；</w:t>
      </w:r>
    </w:p>
    <w:p w14:paraId="3CA8E17C">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（5）我方在签订合同时提出你方不能接受的附加条件或者更改合同实质性内容的；</w:t>
      </w:r>
    </w:p>
    <w:p w14:paraId="0356C4E9">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（6）我方资质证书被暂扣或吊销，但仍参与投标的；</w:t>
      </w:r>
    </w:p>
    <w:p w14:paraId="0B51B3AB">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bCs/>
          <w:color w:val="auto"/>
          <w:sz w:val="22"/>
          <w:szCs w:val="22"/>
          <w:highlight w:val="none"/>
        </w:rPr>
      </w:pPr>
      <w:r>
        <w:rPr>
          <w:rFonts w:hint="eastAsia" w:ascii="宋体" w:hAnsi="宋体" w:eastAsia="宋体" w:cs="宋体"/>
          <w:bCs/>
          <w:color w:val="auto"/>
          <w:sz w:val="22"/>
          <w:szCs w:val="22"/>
          <w:highlight w:val="none"/>
        </w:rPr>
        <w:t>（7）我方有法律法规或招标文件中规定的可以不予退还投标保证金的其他行为。</w:t>
      </w:r>
    </w:p>
    <w:p w14:paraId="39E3A4D0">
      <w:pPr>
        <w:keepNext w:val="0"/>
        <w:keepLines/>
        <w:pageBreakBefore w:val="0"/>
        <w:widowControl w:val="0"/>
        <w:kinsoku/>
        <w:wordWrap/>
        <w:overflowPunct/>
        <w:topLinePunct w:val="0"/>
        <w:autoSpaceDE/>
        <w:autoSpaceDN/>
        <w:bidi w:val="0"/>
        <w:adjustRightInd/>
        <w:snapToGrid/>
        <w:spacing w:line="380" w:lineRule="exact"/>
        <w:ind w:firstLine="0" w:firstLineChars="0"/>
        <w:jc w:val="both"/>
        <w:textAlignment w:val="auto"/>
        <w:rPr>
          <w:rFonts w:hint="eastAsia" w:ascii="宋体" w:hAnsi="宋体" w:eastAsia="宋体" w:cs="宋体"/>
          <w:color w:val="auto"/>
          <w:sz w:val="22"/>
          <w:szCs w:val="22"/>
          <w:highlight w:val="none"/>
        </w:rPr>
      </w:pPr>
      <w:r>
        <w:rPr>
          <w:rFonts w:hint="eastAsia" w:ascii="宋体" w:hAnsi="宋体" w:eastAsia="宋体" w:cs="宋体"/>
          <w:bCs/>
          <w:color w:val="auto"/>
          <w:sz w:val="22"/>
          <w:szCs w:val="22"/>
          <w:highlight w:val="none"/>
          <w:lang w:val="en-US" w:eastAsia="zh-CN"/>
        </w:rPr>
        <w:t>8.</w:t>
      </w:r>
      <w:r>
        <w:rPr>
          <w:rFonts w:hint="eastAsia" w:ascii="宋体" w:hAnsi="宋体" w:eastAsia="宋体" w:cs="宋体"/>
          <w:bCs/>
          <w:color w:val="auto"/>
          <w:sz w:val="22"/>
          <w:szCs w:val="22"/>
          <w:highlight w:val="none"/>
        </w:rPr>
        <w:t>与本投标有关的一切正式往来通讯请发往：</w:t>
      </w:r>
    </w:p>
    <w:p w14:paraId="38EAA61E">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投标人</w:t>
      </w:r>
      <w:r>
        <w:rPr>
          <w:rFonts w:hint="eastAsia" w:ascii="宋体" w:hAnsi="宋体" w:eastAsia="宋体" w:cs="宋体"/>
          <w:b/>
          <w:bCs/>
          <w:color w:val="auto"/>
          <w:sz w:val="22"/>
          <w:szCs w:val="22"/>
          <w:highlight w:val="none"/>
          <w:lang w:val="en-US" w:eastAsia="zh-CN"/>
        </w:rPr>
        <w:t>名称（加盖单位公章）</w:t>
      </w:r>
      <w:r>
        <w:rPr>
          <w:rFonts w:hint="eastAsia" w:ascii="宋体" w:hAnsi="宋体" w:eastAsia="宋体" w:cs="宋体"/>
          <w:b/>
          <w:bCs/>
          <w:color w:val="auto"/>
          <w:sz w:val="22"/>
          <w:szCs w:val="22"/>
          <w:highlight w:val="none"/>
        </w:rPr>
        <w:t>：</w:t>
      </w:r>
      <w:r>
        <w:rPr>
          <w:rFonts w:hint="eastAsia" w:ascii="宋体" w:hAnsi="宋体" w:eastAsia="宋体" w:cs="宋体"/>
          <w:b/>
          <w:bCs/>
          <w:color w:val="auto"/>
          <w:sz w:val="22"/>
          <w:szCs w:val="22"/>
          <w:highlight w:val="none"/>
          <w:u w:val="single"/>
        </w:rPr>
        <w:t xml:space="preserve">                               </w:t>
      </w:r>
    </w:p>
    <w:p w14:paraId="440B86BA">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z w:val="22"/>
          <w:szCs w:val="22"/>
          <w:highlight w:val="none"/>
        </w:rPr>
        <w:t>法定代表人或其授权代理人（签字或签章）：</w:t>
      </w:r>
      <w:r>
        <w:rPr>
          <w:rFonts w:hint="eastAsia" w:ascii="宋体" w:hAnsi="宋体" w:eastAsia="宋体" w:cs="宋体"/>
          <w:b/>
          <w:bCs/>
          <w:color w:val="auto"/>
          <w:sz w:val="22"/>
          <w:szCs w:val="22"/>
          <w:highlight w:val="none"/>
          <w:u w:val="single"/>
        </w:rPr>
        <w:t xml:space="preserve">         </w:t>
      </w:r>
      <w:r>
        <w:rPr>
          <w:rFonts w:hint="eastAsia" w:ascii="宋体" w:hAnsi="宋体" w:eastAsia="宋体" w:cs="宋体"/>
          <w:b/>
          <w:bCs/>
          <w:color w:val="auto"/>
          <w:sz w:val="22"/>
          <w:szCs w:val="22"/>
          <w:highlight w:val="none"/>
          <w:u w:val="single"/>
          <w:lang w:val="en-US" w:eastAsia="zh-CN"/>
        </w:rPr>
        <w:t xml:space="preserve">    </w:t>
      </w:r>
      <w:r>
        <w:rPr>
          <w:rFonts w:hint="eastAsia" w:ascii="宋体" w:hAnsi="宋体" w:eastAsia="宋体" w:cs="宋体"/>
          <w:b/>
          <w:bCs/>
          <w:color w:val="auto"/>
          <w:sz w:val="22"/>
          <w:szCs w:val="22"/>
          <w:highlight w:val="none"/>
          <w:u w:val="single"/>
        </w:rPr>
        <w:t xml:space="preserve">    </w:t>
      </w:r>
    </w:p>
    <w:p w14:paraId="33A88C7B">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投标人地址：</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64869ED0">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lang w:val="en-US" w:eastAsia="zh-CN"/>
        </w:rPr>
        <w:t>投标联系</w:t>
      </w:r>
      <w:r>
        <w:rPr>
          <w:rFonts w:hint="eastAsia" w:ascii="宋体" w:hAnsi="宋体" w:eastAsia="宋体" w:cs="宋体"/>
          <w:color w:val="auto"/>
          <w:sz w:val="22"/>
          <w:szCs w:val="22"/>
          <w:highlight w:val="none"/>
        </w:rPr>
        <w:t>电话：</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5809D667">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电子邮箱：</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4B784A67">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邮政编码：</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u w:val="single"/>
          <w:lang w:val="en-US" w:eastAsia="zh-CN"/>
        </w:rPr>
        <w:t xml:space="preserve">    </w:t>
      </w:r>
      <w:r>
        <w:rPr>
          <w:rFonts w:hint="eastAsia" w:ascii="宋体" w:hAnsi="宋体" w:eastAsia="宋体" w:cs="宋体"/>
          <w:color w:val="auto"/>
          <w:sz w:val="22"/>
          <w:szCs w:val="22"/>
          <w:highlight w:val="none"/>
          <w:u w:val="single"/>
        </w:rPr>
        <w:t xml:space="preserve">        </w:t>
      </w:r>
    </w:p>
    <w:p w14:paraId="273513BD">
      <w:pPr>
        <w:keepNext w:val="0"/>
        <w:keepLines/>
        <w:pageBreakBefore w:val="0"/>
        <w:widowControl w:val="0"/>
        <w:kinsoku/>
        <w:wordWrap/>
        <w:overflowPunct/>
        <w:topLinePunct w:val="0"/>
        <w:autoSpaceDE/>
        <w:autoSpaceDN/>
        <w:bidi w:val="0"/>
        <w:adjustRightInd/>
        <w:snapToGrid/>
        <w:spacing w:line="380" w:lineRule="exact"/>
        <w:ind w:left="0" w:leftChars="0" w:firstLine="0" w:firstLineChars="0"/>
        <w:jc w:val="both"/>
        <w:textAlignment w:val="auto"/>
        <w:rPr>
          <w:rFonts w:hint="eastAsia" w:ascii="宋体" w:hAnsi="宋体" w:eastAsia="宋体" w:cs="宋体"/>
          <w:color w:val="auto"/>
          <w:sz w:val="22"/>
          <w:szCs w:val="22"/>
          <w:highlight w:val="none"/>
          <w:u w:val="single"/>
        </w:rPr>
      </w:pPr>
      <w:r>
        <w:rPr>
          <w:rFonts w:hint="eastAsia" w:ascii="宋体" w:hAnsi="宋体" w:eastAsia="宋体" w:cs="宋体"/>
          <w:color w:val="auto"/>
          <w:sz w:val="22"/>
          <w:szCs w:val="22"/>
          <w:highlight w:val="none"/>
        </w:rPr>
        <w:t>日期：</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年</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月</w:t>
      </w:r>
      <w:r>
        <w:rPr>
          <w:rFonts w:hint="eastAsia" w:ascii="宋体" w:hAnsi="宋体" w:eastAsia="宋体" w:cs="宋体"/>
          <w:color w:val="auto"/>
          <w:sz w:val="22"/>
          <w:szCs w:val="22"/>
          <w:highlight w:val="none"/>
          <w:u w:val="single"/>
        </w:rPr>
        <w:t xml:space="preserve">      </w:t>
      </w:r>
      <w:r>
        <w:rPr>
          <w:rFonts w:hint="eastAsia" w:ascii="宋体" w:hAnsi="宋体" w:eastAsia="宋体" w:cs="宋体"/>
          <w:color w:val="auto"/>
          <w:sz w:val="22"/>
          <w:szCs w:val="22"/>
          <w:highlight w:val="none"/>
        </w:rPr>
        <w:t>日</w:t>
      </w:r>
    </w:p>
    <w:p w14:paraId="0987376D">
      <w:pPr>
        <w:rPr>
          <w:rFonts w:hint="eastAsia"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rPr>
        <w:br w:type="page"/>
      </w:r>
    </w:p>
    <w:p w14:paraId="2AC2603D">
      <w:pPr>
        <w:ind w:firstLine="0" w:firstLineChars="0"/>
        <w:outlineLvl w:val="2"/>
        <w:rPr>
          <w:rFonts w:asciiTheme="majorEastAsia" w:hAnsiTheme="majorEastAsia" w:eastAsiaTheme="majorEastAsia"/>
          <w:b/>
          <w:color w:val="auto"/>
          <w:sz w:val="24"/>
          <w:highlight w:val="none"/>
        </w:rPr>
      </w:pPr>
      <w:bookmarkStart w:id="370" w:name="_Toc23774"/>
      <w:bookmarkStart w:id="371" w:name="_Toc7843"/>
      <w:bookmarkStart w:id="372" w:name="_Toc16196"/>
      <w:bookmarkStart w:id="373" w:name="_Toc25799"/>
      <w:r>
        <w:rPr>
          <w:rFonts w:hint="eastAsia" w:asciiTheme="majorEastAsia" w:hAnsiTheme="majorEastAsia" w:eastAsiaTheme="majorEastAsia"/>
          <w:b/>
          <w:color w:val="auto"/>
          <w:sz w:val="24"/>
          <w:highlight w:val="none"/>
        </w:rPr>
        <w:t>A2、</w:t>
      </w:r>
      <w:bookmarkEnd w:id="360"/>
      <w:bookmarkEnd w:id="361"/>
      <w:bookmarkEnd w:id="362"/>
      <w:bookmarkEnd w:id="363"/>
      <w:bookmarkEnd w:id="364"/>
      <w:bookmarkEnd w:id="365"/>
      <w:bookmarkEnd w:id="366"/>
      <w:bookmarkEnd w:id="367"/>
      <w:bookmarkEnd w:id="368"/>
      <w:bookmarkEnd w:id="370"/>
      <w:bookmarkEnd w:id="371"/>
      <w:bookmarkEnd w:id="372"/>
      <w:bookmarkEnd w:id="373"/>
      <w:r>
        <w:rPr>
          <w:rFonts w:hint="eastAsia" w:asciiTheme="majorEastAsia" w:hAnsiTheme="majorEastAsia" w:eastAsiaTheme="majorEastAsia"/>
          <w:b/>
          <w:color w:val="auto"/>
          <w:sz w:val="24"/>
          <w:highlight w:val="none"/>
        </w:rPr>
        <w:t>法定代表人(单位负责人)资格证明书</w:t>
      </w:r>
    </w:p>
    <w:p w14:paraId="791C3451">
      <w:pPr>
        <w:ind w:firstLine="0" w:firstLineChars="0"/>
        <w:rPr>
          <w:rFonts w:asciiTheme="majorEastAsia" w:hAnsiTheme="majorEastAsia" w:eastAsiaTheme="majorEastAsia"/>
          <w:color w:val="auto"/>
          <w:sz w:val="24"/>
          <w:highlight w:val="none"/>
        </w:rPr>
      </w:pPr>
    </w:p>
    <w:bookmarkEnd w:id="369"/>
    <w:p w14:paraId="1F50C490">
      <w:pPr>
        <w:ind w:firstLine="2168" w:firstLineChars="900"/>
        <w:rPr>
          <w:rFonts w:asciiTheme="majorEastAsia" w:hAnsiTheme="majorEastAsia" w:eastAsiaTheme="majorEastAsia"/>
          <w:b/>
          <w:color w:val="auto"/>
          <w:sz w:val="24"/>
          <w:highlight w:val="none"/>
        </w:rPr>
      </w:pPr>
      <w:bookmarkStart w:id="374" w:name="_Hlk532142471"/>
      <w:r>
        <w:rPr>
          <w:rFonts w:hint="eastAsia" w:asciiTheme="majorEastAsia" w:hAnsiTheme="majorEastAsia" w:eastAsiaTheme="majorEastAsia"/>
          <w:b/>
          <w:color w:val="auto"/>
          <w:sz w:val="24"/>
          <w:highlight w:val="none"/>
        </w:rPr>
        <w:t>法定代表人(单位负责人)资格证明书</w:t>
      </w:r>
    </w:p>
    <w:p w14:paraId="45EDB483">
      <w:pPr>
        <w:ind w:firstLine="0" w:firstLineChars="0"/>
        <w:rPr>
          <w:rFonts w:asciiTheme="majorEastAsia" w:hAnsiTheme="majorEastAsia" w:eastAsiaTheme="majorEastAsia"/>
          <w:color w:val="auto"/>
          <w:sz w:val="24"/>
          <w:highlight w:val="none"/>
        </w:rPr>
      </w:pPr>
    </w:p>
    <w:p w14:paraId="2EA1FDBE">
      <w:pPr>
        <w:widowControl w:val="0"/>
        <w:autoSpaceDE w:val="0"/>
        <w:autoSpaceDN w:val="0"/>
        <w:adjustRightInd w:val="0"/>
        <w:snapToGrid w:val="0"/>
        <w:ind w:firstLine="0" w:firstLineChars="0"/>
        <w:jc w:val="left"/>
        <w:rPr>
          <w:rFonts w:ascii="宋体" w:hAnsi="宋体" w:eastAsia="宋体"/>
          <w:sz w:val="21"/>
          <w:szCs w:val="21"/>
          <w:u w:val="single"/>
        </w:rPr>
      </w:pPr>
      <w:r>
        <w:rPr>
          <w:rFonts w:hint="eastAsia" w:ascii="宋体" w:hAnsi="宋体" w:eastAsia="宋体"/>
          <w:sz w:val="21"/>
          <w:szCs w:val="21"/>
        </w:rPr>
        <w:t>投标人名称：</w:t>
      </w:r>
      <w:r>
        <w:rPr>
          <w:rFonts w:hint="eastAsia" w:ascii="宋体" w:hAnsi="宋体" w:eastAsia="宋体"/>
          <w:sz w:val="21"/>
          <w:szCs w:val="21"/>
          <w:u w:val="single"/>
        </w:rPr>
        <w:t xml:space="preserve">                                 </w:t>
      </w:r>
    </w:p>
    <w:p w14:paraId="1F0E59B5">
      <w:pPr>
        <w:widowControl w:val="0"/>
        <w:autoSpaceDE w:val="0"/>
        <w:autoSpaceDN w:val="0"/>
        <w:adjustRightInd w:val="0"/>
        <w:snapToGrid w:val="0"/>
        <w:ind w:firstLine="0" w:firstLineChars="0"/>
        <w:jc w:val="left"/>
        <w:rPr>
          <w:rFonts w:ascii="宋体" w:hAnsi="宋体" w:eastAsia="宋体"/>
          <w:sz w:val="21"/>
          <w:szCs w:val="21"/>
          <w:u w:val="single"/>
        </w:rPr>
      </w:pPr>
      <w:r>
        <w:rPr>
          <w:rFonts w:hint="eastAsia" w:ascii="宋体" w:hAnsi="宋体" w:eastAsia="宋体"/>
          <w:sz w:val="21"/>
          <w:szCs w:val="21"/>
        </w:rPr>
        <w:t>单位性质：</w:t>
      </w:r>
      <w:r>
        <w:rPr>
          <w:rFonts w:hint="eastAsia" w:ascii="宋体" w:hAnsi="宋体" w:eastAsia="宋体"/>
          <w:sz w:val="21"/>
          <w:szCs w:val="21"/>
          <w:u w:val="single"/>
        </w:rPr>
        <w:t xml:space="preserve">                                   </w:t>
      </w:r>
    </w:p>
    <w:p w14:paraId="20B4B1A2">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地址：</w:t>
      </w:r>
      <w:r>
        <w:rPr>
          <w:rFonts w:hint="eastAsia" w:ascii="宋体" w:hAnsi="宋体" w:eastAsia="宋体"/>
          <w:sz w:val="21"/>
          <w:szCs w:val="21"/>
          <w:u w:val="single"/>
        </w:rPr>
        <w:t xml:space="preserve">                                       </w:t>
      </w:r>
    </w:p>
    <w:p w14:paraId="31C28F15">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成立时间：</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rPr>
        <w:t>日</w:t>
      </w:r>
    </w:p>
    <w:p w14:paraId="7327A467">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经营期限：</w:t>
      </w:r>
      <w:r>
        <w:rPr>
          <w:rFonts w:hint="eastAsia" w:ascii="宋体" w:hAnsi="宋体" w:eastAsia="宋体"/>
          <w:sz w:val="21"/>
          <w:szCs w:val="21"/>
          <w:u w:val="single"/>
        </w:rPr>
        <w:t xml:space="preserve">                                   </w:t>
      </w:r>
    </w:p>
    <w:p w14:paraId="17B8671E">
      <w:pPr>
        <w:widowControl w:val="0"/>
        <w:autoSpaceDE w:val="0"/>
        <w:autoSpaceDN w:val="0"/>
        <w:adjustRightInd w:val="0"/>
        <w:snapToGrid w:val="0"/>
        <w:ind w:firstLine="0" w:firstLineChars="0"/>
        <w:jc w:val="left"/>
        <w:rPr>
          <w:rFonts w:ascii="宋体" w:hAnsi="宋体" w:eastAsia="宋体"/>
          <w:sz w:val="21"/>
          <w:szCs w:val="21"/>
          <w:u w:val="single"/>
        </w:rPr>
      </w:pPr>
      <w:r>
        <w:rPr>
          <w:rFonts w:hint="eastAsia" w:ascii="宋体" w:hAnsi="宋体" w:eastAsia="宋体"/>
          <w:sz w:val="21"/>
          <w:szCs w:val="21"/>
        </w:rPr>
        <w:t>姓名：</w:t>
      </w:r>
      <w:r>
        <w:rPr>
          <w:rFonts w:hint="eastAsia" w:ascii="宋体" w:hAnsi="宋体" w:eastAsia="宋体"/>
          <w:sz w:val="21"/>
          <w:szCs w:val="21"/>
          <w:u w:val="single"/>
        </w:rPr>
        <w:t xml:space="preserve">                                       </w:t>
      </w:r>
    </w:p>
    <w:p w14:paraId="135A7BF3">
      <w:pPr>
        <w:widowControl w:val="0"/>
        <w:autoSpaceDE w:val="0"/>
        <w:autoSpaceDN w:val="0"/>
        <w:adjustRightInd w:val="0"/>
        <w:snapToGrid w:val="0"/>
        <w:ind w:firstLine="0" w:firstLineChars="0"/>
        <w:jc w:val="left"/>
        <w:rPr>
          <w:rFonts w:ascii="宋体" w:hAnsi="宋体" w:eastAsia="宋体"/>
          <w:sz w:val="21"/>
          <w:szCs w:val="21"/>
          <w:u w:val="single"/>
        </w:rPr>
      </w:pPr>
      <w:r>
        <w:rPr>
          <w:rFonts w:hint="eastAsia" w:ascii="宋体" w:hAnsi="宋体" w:eastAsia="宋体"/>
          <w:sz w:val="21"/>
          <w:szCs w:val="21"/>
        </w:rPr>
        <w:t>性别：</w:t>
      </w:r>
      <w:r>
        <w:rPr>
          <w:rFonts w:hint="eastAsia" w:ascii="宋体" w:hAnsi="宋体" w:eastAsia="宋体"/>
          <w:sz w:val="21"/>
          <w:szCs w:val="21"/>
          <w:u w:val="single"/>
        </w:rPr>
        <w:t xml:space="preserve">                                       </w:t>
      </w:r>
    </w:p>
    <w:p w14:paraId="31C59684">
      <w:pPr>
        <w:widowControl w:val="0"/>
        <w:autoSpaceDE w:val="0"/>
        <w:autoSpaceDN w:val="0"/>
        <w:adjustRightInd w:val="0"/>
        <w:snapToGrid w:val="0"/>
        <w:ind w:firstLine="0" w:firstLineChars="0"/>
        <w:jc w:val="left"/>
        <w:rPr>
          <w:rFonts w:ascii="宋体" w:hAnsi="宋体" w:eastAsia="宋体"/>
          <w:sz w:val="21"/>
          <w:szCs w:val="21"/>
          <w:u w:val="single"/>
        </w:rPr>
      </w:pPr>
      <w:r>
        <w:rPr>
          <w:rFonts w:hint="eastAsia" w:ascii="宋体" w:hAnsi="宋体" w:eastAsia="宋体"/>
          <w:sz w:val="21"/>
          <w:szCs w:val="21"/>
        </w:rPr>
        <w:t>年龄：</w:t>
      </w:r>
      <w:r>
        <w:rPr>
          <w:rFonts w:hint="eastAsia" w:ascii="宋体" w:hAnsi="宋体" w:eastAsia="宋体"/>
          <w:sz w:val="21"/>
          <w:szCs w:val="21"/>
          <w:u w:val="single"/>
        </w:rPr>
        <w:t xml:space="preserve">                                       </w:t>
      </w:r>
    </w:p>
    <w:p w14:paraId="64DA7C19">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职务：</w:t>
      </w:r>
      <w:r>
        <w:rPr>
          <w:rFonts w:hint="eastAsia" w:ascii="宋体" w:hAnsi="宋体" w:eastAsia="宋体"/>
          <w:sz w:val="21"/>
          <w:szCs w:val="21"/>
          <w:u w:val="single"/>
        </w:rPr>
        <w:t xml:space="preserve">                                       </w:t>
      </w:r>
    </w:p>
    <w:p w14:paraId="3F3F698B">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系</w:t>
      </w:r>
      <w:r>
        <w:rPr>
          <w:rFonts w:hint="eastAsia" w:ascii="宋体" w:hAnsi="宋体" w:eastAsia="宋体"/>
          <w:b/>
          <w:bCs/>
          <w:sz w:val="21"/>
          <w:szCs w:val="21"/>
          <w:u w:val="single"/>
        </w:rPr>
        <w:t xml:space="preserve">   </w:t>
      </w:r>
      <w:r>
        <w:rPr>
          <w:rFonts w:hint="eastAsia" w:ascii="宋体" w:hAnsi="宋体" w:eastAsia="宋体"/>
          <w:b/>
          <w:bCs/>
          <w:sz w:val="21"/>
          <w:szCs w:val="21"/>
          <w:u w:val="single"/>
          <w:lang w:eastAsia="zh-CN"/>
        </w:rPr>
        <w:t>【</w:t>
      </w:r>
      <w:r>
        <w:rPr>
          <w:rFonts w:hint="eastAsia" w:ascii="宋体" w:hAnsi="宋体" w:eastAsia="宋体"/>
          <w:b/>
          <w:bCs/>
          <w:sz w:val="21"/>
          <w:szCs w:val="21"/>
          <w:u w:val="single"/>
          <w:lang w:val="en-US" w:eastAsia="zh-CN"/>
        </w:rPr>
        <w:t>填写</w:t>
      </w:r>
      <w:r>
        <w:rPr>
          <w:rFonts w:hint="eastAsia" w:ascii="宋体" w:hAnsi="宋体" w:eastAsia="宋体"/>
          <w:b/>
          <w:bCs/>
          <w:sz w:val="21"/>
          <w:szCs w:val="21"/>
          <w:u w:val="single"/>
        </w:rPr>
        <w:t>投标人</w:t>
      </w:r>
      <w:r>
        <w:rPr>
          <w:rFonts w:hint="eastAsia" w:ascii="宋体" w:hAnsi="宋体" w:eastAsia="宋体"/>
          <w:b/>
          <w:bCs/>
          <w:sz w:val="21"/>
          <w:szCs w:val="21"/>
          <w:u w:val="single"/>
          <w:lang w:val="en-US" w:eastAsia="zh-CN"/>
        </w:rPr>
        <w:t>全</w:t>
      </w:r>
      <w:r>
        <w:rPr>
          <w:rFonts w:hint="eastAsia" w:ascii="宋体" w:hAnsi="宋体" w:eastAsia="宋体"/>
          <w:b/>
          <w:bCs/>
          <w:sz w:val="21"/>
          <w:szCs w:val="21"/>
          <w:u w:val="single"/>
        </w:rPr>
        <w:t>称</w:t>
      </w:r>
      <w:r>
        <w:rPr>
          <w:rFonts w:hint="eastAsia" w:ascii="宋体" w:hAnsi="宋体" w:eastAsia="宋体"/>
          <w:b/>
          <w:bCs/>
          <w:sz w:val="21"/>
          <w:szCs w:val="21"/>
          <w:u w:val="single"/>
          <w:lang w:eastAsia="zh-CN"/>
        </w:rPr>
        <w:t>】</w:t>
      </w:r>
      <w:r>
        <w:rPr>
          <w:rFonts w:hint="eastAsia" w:ascii="宋体" w:hAnsi="宋体" w:eastAsia="宋体"/>
          <w:b/>
          <w:bCs/>
          <w:sz w:val="21"/>
          <w:szCs w:val="21"/>
          <w:u w:val="single"/>
        </w:rPr>
        <w:t xml:space="preserve">  </w:t>
      </w:r>
      <w:r>
        <w:rPr>
          <w:rFonts w:hint="eastAsia" w:ascii="宋体" w:hAnsi="宋体" w:eastAsia="宋体"/>
          <w:sz w:val="21"/>
          <w:szCs w:val="21"/>
        </w:rPr>
        <w:t>的法定代表人</w:t>
      </w:r>
      <w:r>
        <w:rPr>
          <w:rFonts w:hint="eastAsia" w:ascii="宋体" w:hAnsi="宋体" w:eastAsia="宋体"/>
          <w:sz w:val="21"/>
          <w:szCs w:val="21"/>
          <w:lang w:val="en-US" w:eastAsia="zh-CN"/>
        </w:rPr>
        <w:t>(单位负责人)</w:t>
      </w:r>
      <w:r>
        <w:rPr>
          <w:rFonts w:hint="eastAsia" w:ascii="宋体" w:hAnsi="宋体" w:eastAsia="宋体"/>
          <w:sz w:val="21"/>
          <w:szCs w:val="21"/>
        </w:rPr>
        <w:t>。</w:t>
      </w:r>
    </w:p>
    <w:p w14:paraId="4B5A707D">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特此证明。</w:t>
      </w:r>
    </w:p>
    <w:p w14:paraId="10B62F57">
      <w:pPr>
        <w:widowControl w:val="0"/>
        <w:autoSpaceDE w:val="0"/>
        <w:autoSpaceDN w:val="0"/>
        <w:adjustRightInd w:val="0"/>
        <w:snapToGrid w:val="0"/>
        <w:ind w:firstLine="0" w:firstLineChars="0"/>
        <w:jc w:val="left"/>
        <w:rPr>
          <w:rFonts w:ascii="宋体" w:hAnsi="宋体" w:eastAsia="宋体"/>
          <w:bCs/>
          <w:sz w:val="21"/>
          <w:szCs w:val="21"/>
        </w:rPr>
      </w:pPr>
    </w:p>
    <w:p w14:paraId="0B382D64">
      <w:pPr>
        <w:widowControl w:val="0"/>
        <w:autoSpaceDE w:val="0"/>
        <w:autoSpaceDN w:val="0"/>
        <w:adjustRightInd w:val="0"/>
        <w:snapToGrid w:val="0"/>
        <w:ind w:firstLine="0" w:firstLineChars="0"/>
        <w:jc w:val="left"/>
        <w:rPr>
          <w:rFonts w:ascii="宋体" w:hAnsi="宋体" w:eastAsia="宋体"/>
          <w:b/>
          <w:bCs/>
          <w:sz w:val="21"/>
          <w:szCs w:val="21"/>
          <w:highlight w:val="none"/>
          <w:u w:val="single"/>
        </w:rPr>
      </w:pPr>
      <w:r>
        <w:rPr>
          <w:rFonts w:hint="eastAsia" w:ascii="宋体" w:hAnsi="宋体" w:eastAsia="宋体"/>
          <w:b/>
          <w:bCs/>
          <w:sz w:val="21"/>
          <w:szCs w:val="21"/>
          <w:highlight w:val="none"/>
        </w:rPr>
        <w:t>投标人</w:t>
      </w:r>
      <w:r>
        <w:rPr>
          <w:rFonts w:hint="eastAsia" w:ascii="宋体" w:hAnsi="宋体" w:eastAsia="宋体"/>
          <w:b/>
          <w:bCs/>
          <w:sz w:val="21"/>
          <w:szCs w:val="21"/>
          <w:highlight w:val="none"/>
          <w:lang w:eastAsia="zh-CN"/>
        </w:rPr>
        <w:t>（</w:t>
      </w:r>
      <w:r>
        <w:rPr>
          <w:rFonts w:hint="eastAsia" w:ascii="宋体" w:hAnsi="宋体" w:eastAsia="宋体" w:cs="Times New Roman"/>
          <w:b/>
          <w:bCs/>
          <w:color w:val="auto"/>
          <w:sz w:val="21"/>
          <w:szCs w:val="21"/>
          <w:highlight w:val="none"/>
          <w:u w:val="none"/>
        </w:rPr>
        <w:t>加盖单位公章</w:t>
      </w:r>
      <w:r>
        <w:rPr>
          <w:rFonts w:hint="eastAsia" w:ascii="宋体" w:hAnsi="宋体" w:eastAsia="宋体"/>
          <w:b/>
          <w:bCs/>
          <w:sz w:val="21"/>
          <w:szCs w:val="21"/>
          <w:highlight w:val="none"/>
          <w:lang w:eastAsia="zh-CN"/>
        </w:rPr>
        <w:t>）</w:t>
      </w:r>
      <w:r>
        <w:rPr>
          <w:rFonts w:hint="eastAsia" w:ascii="宋体" w:hAnsi="宋体" w:eastAsia="宋体"/>
          <w:b/>
          <w:bCs/>
          <w:sz w:val="21"/>
          <w:szCs w:val="21"/>
          <w:highlight w:val="none"/>
        </w:rPr>
        <w:t>：</w:t>
      </w:r>
      <w:r>
        <w:rPr>
          <w:rFonts w:hint="eastAsia" w:ascii="宋体" w:hAnsi="宋体" w:eastAsia="宋体"/>
          <w:b/>
          <w:bCs/>
          <w:sz w:val="21"/>
          <w:szCs w:val="21"/>
          <w:highlight w:val="none"/>
          <w:u w:val="single"/>
        </w:rPr>
        <w:t xml:space="preserve">                    </w:t>
      </w:r>
      <w:r>
        <w:rPr>
          <w:rFonts w:ascii="宋体" w:hAnsi="宋体" w:eastAsia="宋体"/>
          <w:b/>
          <w:bCs/>
          <w:sz w:val="21"/>
          <w:szCs w:val="21"/>
          <w:highlight w:val="none"/>
          <w:u w:val="single"/>
        </w:rPr>
        <w:t xml:space="preserve">     </w:t>
      </w:r>
    </w:p>
    <w:p w14:paraId="4D2B59F4">
      <w:pPr>
        <w:widowControl w:val="0"/>
        <w:autoSpaceDE w:val="0"/>
        <w:autoSpaceDN w:val="0"/>
        <w:adjustRightInd w:val="0"/>
        <w:snapToGrid w:val="0"/>
        <w:ind w:firstLine="0" w:firstLineChars="0"/>
        <w:jc w:val="left"/>
        <w:rPr>
          <w:rFonts w:ascii="宋体" w:hAnsi="宋体" w:eastAsia="宋体"/>
          <w:sz w:val="21"/>
          <w:szCs w:val="21"/>
          <w:highlight w:val="none"/>
        </w:rPr>
      </w:pPr>
      <w:r>
        <w:rPr>
          <w:rFonts w:hint="eastAsia" w:ascii="宋体" w:hAnsi="宋体" w:eastAsia="宋体"/>
          <w:sz w:val="21"/>
          <w:szCs w:val="21"/>
          <w:highlight w:val="none"/>
        </w:rPr>
        <w:t>日期：</w:t>
      </w:r>
      <w:r>
        <w:rPr>
          <w:rFonts w:hint="eastAsia" w:ascii="宋体" w:hAnsi="宋体" w:eastAsia="宋体"/>
          <w:sz w:val="21"/>
          <w:szCs w:val="21"/>
          <w:highlight w:val="none"/>
          <w:u w:val="single"/>
        </w:rPr>
        <w:t xml:space="preserve">        </w:t>
      </w:r>
      <w:r>
        <w:rPr>
          <w:rFonts w:hint="eastAsia" w:ascii="宋体" w:hAnsi="宋体" w:eastAsia="宋体"/>
          <w:sz w:val="21"/>
          <w:szCs w:val="21"/>
          <w:highlight w:val="none"/>
        </w:rPr>
        <w:t>年</w:t>
      </w:r>
      <w:r>
        <w:rPr>
          <w:rFonts w:hint="eastAsia" w:ascii="宋体" w:hAnsi="宋体" w:eastAsia="宋体"/>
          <w:sz w:val="21"/>
          <w:szCs w:val="21"/>
          <w:highlight w:val="none"/>
          <w:u w:val="single"/>
        </w:rPr>
        <w:t xml:space="preserve">       </w:t>
      </w:r>
      <w:r>
        <w:rPr>
          <w:rFonts w:hint="eastAsia" w:ascii="宋体" w:hAnsi="宋体" w:eastAsia="宋体"/>
          <w:sz w:val="21"/>
          <w:szCs w:val="21"/>
          <w:highlight w:val="none"/>
        </w:rPr>
        <w:t>月</w:t>
      </w:r>
      <w:r>
        <w:rPr>
          <w:rFonts w:hint="eastAsia" w:ascii="宋体" w:hAnsi="宋体" w:eastAsia="宋体"/>
          <w:sz w:val="21"/>
          <w:szCs w:val="21"/>
          <w:highlight w:val="none"/>
          <w:u w:val="single"/>
        </w:rPr>
        <w:t xml:space="preserve">       </w:t>
      </w:r>
      <w:r>
        <w:rPr>
          <w:rFonts w:hint="eastAsia" w:ascii="宋体" w:hAnsi="宋体" w:eastAsia="宋体"/>
          <w:sz w:val="21"/>
          <w:szCs w:val="21"/>
          <w:highlight w:val="none"/>
        </w:rPr>
        <w:t>日</w:t>
      </w:r>
    </w:p>
    <w:p w14:paraId="03056468">
      <w:pPr>
        <w:widowControl w:val="0"/>
        <w:autoSpaceDE w:val="0"/>
        <w:autoSpaceDN w:val="0"/>
        <w:adjustRightInd w:val="0"/>
        <w:snapToGrid w:val="0"/>
        <w:ind w:firstLine="0" w:firstLineChars="0"/>
        <w:jc w:val="left"/>
        <w:rPr>
          <w:rFonts w:ascii="宋体" w:hAnsi="宋体" w:eastAsia="宋体"/>
          <w:sz w:val="21"/>
          <w:szCs w:val="21"/>
        </w:rPr>
      </w:pPr>
    </w:p>
    <w:p w14:paraId="6911675F">
      <w:pPr>
        <w:widowControl w:val="0"/>
        <w:autoSpaceDE w:val="0"/>
        <w:autoSpaceDN w:val="0"/>
        <w:adjustRightInd w:val="0"/>
        <w:snapToGrid w:val="0"/>
        <w:ind w:firstLine="0" w:firstLineChars="0"/>
        <w:jc w:val="left"/>
        <w:rPr>
          <w:rFonts w:ascii="宋体" w:hAnsi="宋体" w:eastAsia="宋体"/>
          <w:b/>
          <w:sz w:val="21"/>
          <w:szCs w:val="21"/>
        </w:rPr>
      </w:pPr>
      <w:r>
        <w:rPr>
          <w:rFonts w:hint="eastAsia" w:ascii="宋体" w:hAnsi="宋体" w:eastAsia="宋体"/>
          <w:b/>
          <w:sz w:val="21"/>
          <w:szCs w:val="21"/>
        </w:rPr>
        <w:t>注：</w:t>
      </w:r>
    </w:p>
    <w:p w14:paraId="1BF82DFC">
      <w:pPr>
        <w:widowControl w:val="0"/>
        <w:autoSpaceDE w:val="0"/>
        <w:autoSpaceDN w:val="0"/>
        <w:adjustRightInd w:val="0"/>
        <w:snapToGrid w:val="0"/>
        <w:ind w:firstLine="0" w:firstLineChars="0"/>
        <w:jc w:val="left"/>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、如为法定代表人(单位负责人)参加本次投标活动时，则不需要填写“法定代表人</w:t>
      </w:r>
      <w:r>
        <w:rPr>
          <w:rFonts w:hint="eastAsia" w:ascii="宋体" w:hAnsi="宋体" w:eastAsia="宋体"/>
          <w:sz w:val="21"/>
          <w:szCs w:val="21"/>
          <w:lang w:val="en-US" w:eastAsia="zh-CN"/>
        </w:rPr>
        <w:t>(单位负责人)</w:t>
      </w:r>
      <w:r>
        <w:rPr>
          <w:rFonts w:hint="eastAsia" w:ascii="宋体" w:hAnsi="宋体" w:eastAsia="宋体"/>
          <w:sz w:val="21"/>
          <w:szCs w:val="21"/>
        </w:rPr>
        <w:t>授权委托书”。</w:t>
      </w:r>
    </w:p>
    <w:p w14:paraId="52AE26D4">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2、后附法定代表人</w:t>
      </w:r>
      <w:r>
        <w:rPr>
          <w:rFonts w:hint="eastAsia" w:ascii="宋体" w:hAnsi="宋体" w:eastAsia="宋体"/>
          <w:sz w:val="21"/>
          <w:szCs w:val="21"/>
          <w:lang w:val="en-US" w:eastAsia="zh-CN"/>
        </w:rPr>
        <w:t>(单位负责人)</w:t>
      </w:r>
      <w:r>
        <w:rPr>
          <w:rFonts w:hint="eastAsia" w:ascii="宋体" w:hAnsi="宋体" w:eastAsia="宋体"/>
          <w:sz w:val="21"/>
          <w:szCs w:val="21"/>
        </w:rPr>
        <w:t>身份证</w:t>
      </w:r>
      <w:r>
        <w:rPr>
          <w:rFonts w:hint="eastAsia" w:ascii="宋体" w:hAnsi="宋体" w:eastAsia="宋体"/>
          <w:sz w:val="21"/>
          <w:szCs w:val="21"/>
          <w:lang w:val="en-US" w:eastAsia="zh-CN"/>
        </w:rPr>
        <w:t>明正反面扫描</w:t>
      </w:r>
      <w:r>
        <w:rPr>
          <w:rFonts w:hint="eastAsia" w:ascii="宋体" w:hAnsi="宋体" w:eastAsia="宋体"/>
          <w:sz w:val="21"/>
          <w:szCs w:val="21"/>
        </w:rPr>
        <w:t>件。</w:t>
      </w:r>
    </w:p>
    <w:p w14:paraId="4C79DB88">
      <w:pPr>
        <w:widowControl w:val="0"/>
        <w:autoSpaceDE w:val="0"/>
        <w:autoSpaceDN w:val="0"/>
        <w:adjustRightInd w:val="0"/>
        <w:snapToGrid w:val="0"/>
        <w:ind w:firstLine="0" w:firstLineChars="0"/>
        <w:jc w:val="left"/>
        <w:rPr>
          <w:rFonts w:hint="eastAsia" w:ascii="宋体" w:hAnsi="宋体" w:eastAsia="宋体"/>
          <w:sz w:val="21"/>
          <w:szCs w:val="21"/>
        </w:rPr>
      </w:pPr>
      <w:r>
        <w:rPr>
          <w:rFonts w:hint="eastAsia" w:ascii="宋体" w:hAnsi="宋体" w:eastAsia="宋体"/>
          <w:sz w:val="21"/>
          <w:szCs w:val="21"/>
        </w:rPr>
        <w:t>3、格式仅供参考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73963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3FF595D7">
            <w:pPr>
              <w:widowControl w:val="0"/>
              <w:autoSpaceDE w:val="0"/>
              <w:autoSpaceDN w:val="0"/>
              <w:adjustRightInd w:val="0"/>
              <w:snapToGrid w:val="0"/>
              <w:ind w:firstLine="0" w:firstLineChars="0"/>
              <w:rPr>
                <w:rFonts w:ascii="宋体" w:hAnsi="宋体" w:eastAsia="宋体"/>
                <w:sz w:val="21"/>
                <w:szCs w:val="21"/>
              </w:rPr>
            </w:pPr>
            <w:r>
              <w:rPr>
                <w:rFonts w:hint="eastAsia" w:ascii="宋体" w:hAnsi="宋体" w:eastAsia="宋体"/>
                <w:sz w:val="21"/>
                <w:szCs w:val="21"/>
              </w:rPr>
              <w:t>身份证</w:t>
            </w:r>
            <w:r>
              <w:rPr>
                <w:rFonts w:hint="eastAsia" w:ascii="宋体" w:hAnsi="宋体" w:eastAsia="宋体"/>
                <w:sz w:val="21"/>
                <w:szCs w:val="21"/>
                <w:lang w:val="en-US" w:eastAsia="zh-CN"/>
              </w:rPr>
              <w:t>明扫描</w:t>
            </w:r>
            <w:r>
              <w:rPr>
                <w:rFonts w:hint="eastAsia" w:ascii="宋体" w:hAnsi="宋体" w:eastAsia="宋体"/>
                <w:sz w:val="21"/>
                <w:szCs w:val="21"/>
              </w:rPr>
              <w:t>件</w:t>
            </w:r>
          </w:p>
        </w:tc>
        <w:tc>
          <w:tcPr>
            <w:tcW w:w="4290" w:type="dxa"/>
            <w:noWrap w:val="0"/>
            <w:vAlign w:val="top"/>
          </w:tcPr>
          <w:p w14:paraId="1FF8A209">
            <w:pPr>
              <w:widowControl w:val="0"/>
              <w:autoSpaceDE w:val="0"/>
              <w:autoSpaceDN w:val="0"/>
              <w:adjustRightInd w:val="0"/>
              <w:snapToGrid w:val="0"/>
              <w:ind w:firstLine="0" w:firstLineChars="0"/>
              <w:rPr>
                <w:rFonts w:ascii="宋体" w:hAnsi="宋体" w:eastAsia="宋体"/>
                <w:sz w:val="21"/>
                <w:szCs w:val="21"/>
              </w:rPr>
            </w:pPr>
          </w:p>
        </w:tc>
      </w:tr>
    </w:tbl>
    <w:p w14:paraId="2C14AD7D">
      <w:pPr>
        <w:widowControl w:val="0"/>
        <w:autoSpaceDE w:val="0"/>
        <w:autoSpaceDN w:val="0"/>
        <w:adjustRightInd w:val="0"/>
        <w:snapToGrid w:val="0"/>
        <w:ind w:firstLine="0" w:firstLineChars="0"/>
        <w:outlineLvl w:val="2"/>
        <w:rPr>
          <w:rFonts w:ascii="宋体" w:hAnsi="宋体" w:eastAsia="宋体"/>
          <w:b/>
          <w:sz w:val="21"/>
          <w:szCs w:val="21"/>
        </w:rPr>
      </w:pPr>
      <w:r>
        <w:rPr>
          <w:rFonts w:asciiTheme="majorEastAsia" w:hAnsiTheme="majorEastAsia" w:eastAsiaTheme="majorEastAsia"/>
          <w:b/>
          <w:color w:val="auto"/>
          <w:sz w:val="24"/>
          <w:highlight w:val="none"/>
        </w:rPr>
        <w:br w:type="page"/>
      </w:r>
      <w:bookmarkStart w:id="375" w:name="_Toc10352"/>
      <w:bookmarkStart w:id="376" w:name="_Toc1980"/>
      <w:bookmarkStart w:id="377" w:name="_Toc19375"/>
      <w:bookmarkStart w:id="378" w:name="_Toc31464"/>
      <w:bookmarkStart w:id="379" w:name="_Toc27994"/>
      <w:bookmarkStart w:id="380" w:name="_Toc11954"/>
      <w:bookmarkStart w:id="381" w:name="_Toc14864"/>
      <w:bookmarkStart w:id="382" w:name="_Toc29879"/>
      <w:bookmarkStart w:id="383" w:name="_Toc4652"/>
      <w:bookmarkStart w:id="384" w:name="_Toc24654"/>
      <w:r>
        <w:rPr>
          <w:rFonts w:hint="eastAsia" w:asciiTheme="majorEastAsia" w:hAnsiTheme="majorEastAsia" w:eastAsiaTheme="majorEastAsia"/>
          <w:b/>
          <w:color w:val="auto"/>
          <w:sz w:val="24"/>
          <w:highlight w:val="none"/>
        </w:rPr>
        <w:t>A3、</w:t>
      </w:r>
      <w:bookmarkEnd w:id="374"/>
      <w:bookmarkEnd w:id="375"/>
      <w:bookmarkEnd w:id="376"/>
      <w:bookmarkEnd w:id="377"/>
      <w:bookmarkEnd w:id="378"/>
      <w:bookmarkEnd w:id="379"/>
      <w:bookmarkEnd w:id="380"/>
      <w:bookmarkEnd w:id="381"/>
      <w:bookmarkEnd w:id="382"/>
      <w:bookmarkEnd w:id="383"/>
      <w:bookmarkEnd w:id="384"/>
      <w:r>
        <w:rPr>
          <w:rFonts w:hint="eastAsia" w:ascii="宋体" w:hAnsi="宋体" w:eastAsia="宋体" w:cs="Times New Roman"/>
          <w:b/>
          <w:sz w:val="21"/>
        </w:rPr>
        <w:t>法定代表人(单位负责人)授权委托书</w:t>
      </w:r>
    </w:p>
    <w:p w14:paraId="55DD1F65">
      <w:pPr>
        <w:widowControl w:val="0"/>
        <w:autoSpaceDE w:val="0"/>
        <w:autoSpaceDN w:val="0"/>
        <w:adjustRightInd w:val="0"/>
        <w:snapToGrid w:val="0"/>
        <w:ind w:firstLine="0" w:firstLineChars="0"/>
        <w:jc w:val="left"/>
        <w:rPr>
          <w:rFonts w:ascii="宋体" w:hAnsi="宋体" w:eastAsia="宋体"/>
          <w:b/>
          <w:sz w:val="28"/>
          <w:szCs w:val="28"/>
        </w:rPr>
      </w:pPr>
    </w:p>
    <w:p w14:paraId="78174DC3">
      <w:pPr>
        <w:widowControl w:val="0"/>
        <w:autoSpaceDE w:val="0"/>
        <w:autoSpaceDN w:val="0"/>
        <w:adjustRightInd w:val="0"/>
        <w:snapToGrid w:val="0"/>
        <w:ind w:firstLine="0" w:firstLineChars="0"/>
        <w:jc w:val="center"/>
        <w:rPr>
          <w:rFonts w:ascii="宋体" w:hAnsi="宋体" w:eastAsia="宋体"/>
          <w:b/>
          <w:sz w:val="32"/>
          <w:szCs w:val="32"/>
        </w:rPr>
      </w:pPr>
      <w:r>
        <w:rPr>
          <w:rFonts w:hint="eastAsia" w:ascii="宋体" w:hAnsi="宋体" w:eastAsia="宋体"/>
          <w:b/>
          <w:sz w:val="32"/>
          <w:szCs w:val="32"/>
        </w:rPr>
        <w:t>法定代表人(单位负责人)授权委托书</w:t>
      </w:r>
    </w:p>
    <w:p w14:paraId="39E6F85E">
      <w:pPr>
        <w:widowControl w:val="0"/>
        <w:autoSpaceDE w:val="0"/>
        <w:autoSpaceDN w:val="0"/>
        <w:adjustRightInd w:val="0"/>
        <w:snapToGrid w:val="0"/>
        <w:ind w:firstLine="0" w:firstLineChars="0"/>
        <w:jc w:val="left"/>
        <w:rPr>
          <w:rFonts w:ascii="宋体" w:hAnsi="宋体" w:eastAsia="宋体"/>
          <w:sz w:val="24"/>
        </w:rPr>
      </w:pPr>
    </w:p>
    <w:p w14:paraId="214332BD">
      <w:pPr>
        <w:widowControl w:val="0"/>
        <w:autoSpaceDE w:val="0"/>
        <w:autoSpaceDN w:val="0"/>
        <w:adjustRightInd w:val="0"/>
        <w:snapToGrid w:val="0"/>
        <w:ind w:firstLine="0" w:firstLineChars="0"/>
        <w:jc w:val="left"/>
        <w:rPr>
          <w:rFonts w:ascii="宋体" w:hAnsi="宋体" w:eastAsia="宋体"/>
          <w:sz w:val="21"/>
          <w:u w:val="single"/>
        </w:rPr>
      </w:pPr>
      <w:r>
        <w:rPr>
          <w:rFonts w:hint="eastAsia" w:ascii="宋体" w:hAnsi="宋体" w:eastAsia="宋体"/>
          <w:sz w:val="21"/>
        </w:rPr>
        <w:t>致：</w:t>
      </w:r>
      <w:r>
        <w:rPr>
          <w:rFonts w:hint="eastAsia" w:ascii="宋体" w:hAnsi="宋体" w:eastAsia="宋体"/>
          <w:sz w:val="21"/>
          <w:u w:val="single"/>
        </w:rPr>
        <w:t>深圳市高新健置业开发有限公司</w:t>
      </w:r>
    </w:p>
    <w:p w14:paraId="18260229">
      <w:pPr>
        <w:widowControl w:val="0"/>
        <w:autoSpaceDE w:val="0"/>
        <w:autoSpaceDN w:val="0"/>
        <w:adjustRightInd w:val="0"/>
        <w:snapToGrid w:val="0"/>
        <w:ind w:firstLine="0" w:firstLineChars="0"/>
        <w:jc w:val="left"/>
        <w:rPr>
          <w:rFonts w:ascii="宋体" w:hAnsi="宋体" w:eastAsia="宋体"/>
          <w:sz w:val="21"/>
          <w:szCs w:val="21"/>
        </w:rPr>
      </w:pPr>
    </w:p>
    <w:p w14:paraId="2DB88D7D">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本授权委托书宣告：</w:t>
      </w:r>
      <w:r>
        <w:rPr>
          <w:rFonts w:hint="eastAsia" w:ascii="宋体" w:hAnsi="宋体" w:eastAsia="宋体"/>
          <w:b w:val="0"/>
          <w:bCs w:val="0"/>
          <w:sz w:val="21"/>
          <w:szCs w:val="21"/>
          <w:u w:val="single"/>
          <w:lang w:eastAsia="zh-CN"/>
        </w:rPr>
        <w:t>【</w:t>
      </w:r>
      <w:r>
        <w:rPr>
          <w:rFonts w:hint="eastAsia" w:ascii="宋体" w:hAnsi="宋体" w:eastAsia="宋体"/>
          <w:b w:val="0"/>
          <w:bCs w:val="0"/>
          <w:sz w:val="21"/>
          <w:szCs w:val="21"/>
          <w:u w:val="single"/>
          <w:lang w:val="en-US" w:eastAsia="zh-CN"/>
        </w:rPr>
        <w:t>填写</w:t>
      </w:r>
      <w:r>
        <w:rPr>
          <w:rFonts w:hint="eastAsia" w:ascii="宋体" w:hAnsi="宋体" w:eastAsia="宋体"/>
          <w:b w:val="0"/>
          <w:bCs w:val="0"/>
          <w:sz w:val="21"/>
          <w:szCs w:val="21"/>
          <w:u w:val="single"/>
        </w:rPr>
        <w:t>投标人</w:t>
      </w:r>
      <w:r>
        <w:rPr>
          <w:rFonts w:hint="eastAsia" w:ascii="宋体" w:hAnsi="宋体" w:eastAsia="宋体"/>
          <w:b w:val="0"/>
          <w:bCs w:val="0"/>
          <w:sz w:val="21"/>
          <w:szCs w:val="21"/>
          <w:u w:val="single"/>
          <w:lang w:val="en-US" w:eastAsia="zh-CN"/>
        </w:rPr>
        <w:t>全</w:t>
      </w:r>
      <w:r>
        <w:rPr>
          <w:rFonts w:hint="eastAsia" w:ascii="宋体" w:hAnsi="宋体" w:eastAsia="宋体"/>
          <w:b w:val="0"/>
          <w:bCs w:val="0"/>
          <w:sz w:val="21"/>
          <w:szCs w:val="21"/>
          <w:u w:val="single"/>
        </w:rPr>
        <w:t>称</w:t>
      </w:r>
      <w:r>
        <w:rPr>
          <w:rFonts w:hint="eastAsia" w:ascii="宋体" w:hAnsi="宋体" w:eastAsia="宋体"/>
          <w:b w:val="0"/>
          <w:bCs w:val="0"/>
          <w:sz w:val="21"/>
          <w:szCs w:val="21"/>
          <w:u w:val="single"/>
          <w:lang w:eastAsia="zh-CN"/>
        </w:rPr>
        <w:t>】</w:t>
      </w:r>
      <w:r>
        <w:rPr>
          <w:rFonts w:hint="eastAsia" w:ascii="宋体" w:hAnsi="宋体" w:eastAsia="宋体"/>
          <w:sz w:val="21"/>
          <w:szCs w:val="21"/>
        </w:rPr>
        <w:t>的</w:t>
      </w:r>
      <w:r>
        <w:rPr>
          <w:rFonts w:hint="eastAsia" w:ascii="宋体" w:hAnsi="宋体" w:eastAsia="宋体"/>
          <w:sz w:val="21"/>
          <w:szCs w:val="21"/>
          <w:u w:val="single"/>
        </w:rPr>
        <w:t xml:space="preserve"> （职务）（姓名）（联系方式）</w:t>
      </w:r>
      <w:r>
        <w:rPr>
          <w:rFonts w:hint="eastAsia" w:ascii="宋体" w:hAnsi="宋体" w:eastAsia="宋体"/>
          <w:sz w:val="21"/>
          <w:szCs w:val="21"/>
          <w:u w:val="single"/>
          <w:lang w:val="en-US" w:eastAsia="zh-CN"/>
        </w:rPr>
        <w:t xml:space="preserve"> </w:t>
      </w:r>
      <w:r>
        <w:rPr>
          <w:rFonts w:hint="eastAsia" w:ascii="宋体" w:hAnsi="宋体" w:eastAsia="宋体"/>
          <w:sz w:val="21"/>
          <w:szCs w:val="21"/>
        </w:rPr>
        <w:t>以其法定代表人</w:t>
      </w:r>
      <w:r>
        <w:rPr>
          <w:rFonts w:hint="eastAsia" w:ascii="宋体" w:hAnsi="宋体" w:eastAsia="宋体"/>
          <w:sz w:val="21"/>
          <w:szCs w:val="21"/>
          <w:lang w:val="en-US" w:eastAsia="zh-CN"/>
        </w:rPr>
        <w:t>(单位负责人)</w:t>
      </w:r>
      <w:r>
        <w:rPr>
          <w:rFonts w:hint="eastAsia" w:ascii="宋体" w:hAnsi="宋体" w:eastAsia="宋体"/>
          <w:sz w:val="21"/>
          <w:szCs w:val="21"/>
        </w:rPr>
        <w:t>的身份，合法地代表本单位，授权</w:t>
      </w:r>
      <w:r>
        <w:rPr>
          <w:rFonts w:hint="eastAsia" w:ascii="宋体" w:hAnsi="宋体" w:eastAsia="宋体"/>
          <w:sz w:val="21"/>
          <w:szCs w:val="21"/>
          <w:u w:val="single"/>
        </w:rPr>
        <w:t xml:space="preserve"> </w:t>
      </w:r>
      <w:r>
        <w:rPr>
          <w:rFonts w:hint="eastAsia" w:ascii="宋体" w:hAnsi="宋体" w:eastAsia="宋体"/>
          <w:b w:val="0"/>
          <w:bCs w:val="0"/>
          <w:sz w:val="21"/>
          <w:szCs w:val="21"/>
          <w:u w:val="single"/>
          <w:lang w:eastAsia="zh-CN"/>
        </w:rPr>
        <w:t>【</w:t>
      </w:r>
      <w:r>
        <w:rPr>
          <w:rFonts w:hint="eastAsia" w:ascii="宋体" w:hAnsi="宋体" w:eastAsia="宋体"/>
          <w:b w:val="0"/>
          <w:bCs w:val="0"/>
          <w:sz w:val="21"/>
          <w:szCs w:val="21"/>
          <w:u w:val="single"/>
          <w:lang w:val="en-US" w:eastAsia="zh-CN"/>
        </w:rPr>
        <w:t>填写</w:t>
      </w:r>
      <w:r>
        <w:rPr>
          <w:rFonts w:hint="eastAsia" w:ascii="宋体" w:hAnsi="宋体" w:eastAsia="宋体"/>
          <w:b w:val="0"/>
          <w:bCs w:val="0"/>
          <w:sz w:val="21"/>
          <w:szCs w:val="21"/>
          <w:u w:val="single"/>
        </w:rPr>
        <w:t>投标人</w:t>
      </w:r>
      <w:r>
        <w:rPr>
          <w:rFonts w:hint="eastAsia" w:ascii="宋体" w:hAnsi="宋体" w:eastAsia="宋体"/>
          <w:b w:val="0"/>
          <w:bCs w:val="0"/>
          <w:sz w:val="21"/>
          <w:szCs w:val="21"/>
          <w:u w:val="single"/>
          <w:lang w:val="en-US" w:eastAsia="zh-CN"/>
        </w:rPr>
        <w:t>全</w:t>
      </w:r>
      <w:r>
        <w:rPr>
          <w:rFonts w:hint="eastAsia" w:ascii="宋体" w:hAnsi="宋体" w:eastAsia="宋体"/>
          <w:b w:val="0"/>
          <w:bCs w:val="0"/>
          <w:sz w:val="21"/>
          <w:szCs w:val="21"/>
          <w:u w:val="single"/>
        </w:rPr>
        <w:t>称</w:t>
      </w:r>
      <w:r>
        <w:rPr>
          <w:rFonts w:hint="eastAsia" w:ascii="宋体" w:hAnsi="宋体" w:eastAsia="宋体"/>
          <w:b w:val="0"/>
          <w:bCs w:val="0"/>
          <w:sz w:val="21"/>
          <w:szCs w:val="21"/>
          <w:u w:val="single"/>
          <w:lang w:eastAsia="zh-CN"/>
        </w:rPr>
        <w:t>】</w:t>
      </w:r>
      <w:r>
        <w:rPr>
          <w:rFonts w:hint="eastAsia" w:ascii="宋体" w:hAnsi="宋体" w:eastAsia="宋体"/>
          <w:sz w:val="21"/>
          <w:szCs w:val="21"/>
          <w:u w:val="single"/>
        </w:rPr>
        <w:t xml:space="preserve"> </w:t>
      </w:r>
      <w:r>
        <w:rPr>
          <w:rFonts w:hint="eastAsia" w:ascii="宋体" w:hAnsi="宋体" w:eastAsia="宋体"/>
          <w:sz w:val="21"/>
          <w:szCs w:val="21"/>
        </w:rPr>
        <w:t>的</w:t>
      </w:r>
      <w:r>
        <w:rPr>
          <w:rFonts w:hint="eastAsia" w:ascii="宋体" w:hAnsi="宋体" w:eastAsia="宋体"/>
          <w:sz w:val="21"/>
          <w:szCs w:val="21"/>
          <w:u w:val="single"/>
        </w:rPr>
        <w:t>（职务）（姓名）</w:t>
      </w:r>
      <w:r>
        <w:rPr>
          <w:rFonts w:hint="eastAsia" w:ascii="宋体" w:hAnsi="宋体" w:eastAsia="宋体"/>
          <w:sz w:val="21"/>
          <w:szCs w:val="21"/>
          <w:u w:val="single"/>
          <w:lang w:val="en-US" w:eastAsia="zh-CN"/>
        </w:rPr>
        <w:t>（联系方式）</w:t>
      </w:r>
      <w:r>
        <w:rPr>
          <w:rFonts w:hint="eastAsia" w:ascii="宋体" w:hAnsi="宋体" w:eastAsia="宋体"/>
          <w:sz w:val="21"/>
          <w:szCs w:val="21"/>
        </w:rPr>
        <w:t>为我单位授权代理人，该授权代理人有权在的投标活动中，以我单位的名义签署投标函和投标文件、与招标人协商、谈判、签订合同协议以及全权处理与此有关的一切事项，其法律后果由我单位承担。</w:t>
      </w:r>
    </w:p>
    <w:p w14:paraId="41941C6E">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委托期限：</w:t>
      </w:r>
      <w:r>
        <w:rPr>
          <w:rFonts w:hint="eastAsia" w:ascii="宋体" w:hAnsi="宋体" w:eastAsia="宋体"/>
          <w:sz w:val="21"/>
          <w:szCs w:val="21"/>
          <w:u w:val="single"/>
        </w:rPr>
        <w:t xml:space="preserve">                                                                    </w:t>
      </w:r>
      <w:r>
        <w:rPr>
          <w:rFonts w:hint="eastAsia" w:ascii="宋体" w:hAnsi="宋体" w:eastAsia="宋体"/>
          <w:sz w:val="21"/>
          <w:szCs w:val="21"/>
        </w:rPr>
        <w:t>。</w:t>
      </w:r>
    </w:p>
    <w:p w14:paraId="4D2EDBD6">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授权代理人无转委托权，特此委托。</w:t>
      </w:r>
    </w:p>
    <w:p w14:paraId="6BFE915D">
      <w:pPr>
        <w:widowControl w:val="0"/>
        <w:autoSpaceDE w:val="0"/>
        <w:autoSpaceDN w:val="0"/>
        <w:adjustRightInd w:val="0"/>
        <w:snapToGrid w:val="0"/>
        <w:ind w:firstLine="0" w:firstLineChars="0"/>
        <w:jc w:val="left"/>
        <w:rPr>
          <w:rFonts w:ascii="宋体" w:hAnsi="宋体" w:eastAsia="宋体"/>
          <w:sz w:val="21"/>
          <w:szCs w:val="21"/>
        </w:rPr>
      </w:pPr>
    </w:p>
    <w:p w14:paraId="4DDF1544">
      <w:pPr>
        <w:widowControl w:val="0"/>
        <w:autoSpaceDE w:val="0"/>
        <w:autoSpaceDN w:val="0"/>
        <w:adjustRightInd w:val="0"/>
        <w:snapToGrid w:val="0"/>
        <w:ind w:firstLine="0" w:firstLineChars="0"/>
        <w:jc w:val="left"/>
        <w:rPr>
          <w:rFonts w:ascii="宋体" w:hAnsi="宋体" w:eastAsia="宋体" w:cs="Times New Roman"/>
          <w:b/>
          <w:bCs/>
          <w:color w:val="auto"/>
          <w:sz w:val="21"/>
          <w:szCs w:val="21"/>
          <w:highlight w:val="none"/>
          <w:u w:val="single"/>
        </w:rPr>
      </w:pPr>
      <w:r>
        <w:rPr>
          <w:rFonts w:hint="eastAsia" w:ascii="宋体" w:hAnsi="宋体" w:eastAsia="宋体" w:cs="Times New Roman"/>
          <w:b/>
          <w:bCs/>
          <w:color w:val="auto"/>
          <w:sz w:val="21"/>
          <w:szCs w:val="21"/>
          <w:highlight w:val="none"/>
        </w:rPr>
        <w:t>投标人（加盖单位公章）：</w:t>
      </w:r>
      <w:r>
        <w:rPr>
          <w:rFonts w:hint="eastAsia" w:ascii="宋体" w:hAnsi="宋体" w:eastAsia="宋体" w:cs="Times New Roman"/>
          <w:b/>
          <w:bCs/>
          <w:color w:val="auto"/>
          <w:sz w:val="21"/>
          <w:szCs w:val="21"/>
          <w:highlight w:val="none"/>
          <w:u w:val="single"/>
        </w:rPr>
        <w:t xml:space="preserve">                            </w:t>
      </w:r>
    </w:p>
    <w:p w14:paraId="3A0A9080">
      <w:pPr>
        <w:widowControl w:val="0"/>
        <w:autoSpaceDE w:val="0"/>
        <w:autoSpaceDN w:val="0"/>
        <w:adjustRightInd w:val="0"/>
        <w:snapToGrid w:val="0"/>
        <w:ind w:firstLine="0" w:firstLineChars="0"/>
        <w:jc w:val="left"/>
        <w:rPr>
          <w:rFonts w:ascii="宋体" w:hAnsi="宋体" w:eastAsia="宋体"/>
          <w:color w:val="auto"/>
          <w:sz w:val="21"/>
          <w:szCs w:val="21"/>
          <w:highlight w:val="none"/>
          <w:u w:val="single"/>
        </w:rPr>
      </w:pPr>
      <w:r>
        <w:rPr>
          <w:rFonts w:hint="eastAsia" w:ascii="宋体" w:hAnsi="宋体" w:eastAsia="宋体" w:cs="Times New Roman"/>
          <w:b/>
          <w:bCs/>
          <w:color w:val="auto"/>
          <w:sz w:val="21"/>
          <w:szCs w:val="21"/>
          <w:highlight w:val="none"/>
        </w:rPr>
        <w:t>法定代表人(单位负责人)（签字或签章）：</w:t>
      </w:r>
      <w:r>
        <w:rPr>
          <w:rFonts w:hint="eastAsia" w:ascii="宋体" w:hAnsi="宋体" w:eastAsia="宋体"/>
          <w:color w:val="auto"/>
          <w:sz w:val="21"/>
          <w:szCs w:val="21"/>
          <w:highlight w:val="none"/>
          <w:u w:val="single"/>
        </w:rPr>
        <w:t xml:space="preserve">                        </w:t>
      </w:r>
    </w:p>
    <w:p w14:paraId="34BE11D2">
      <w:pPr>
        <w:widowControl w:val="0"/>
        <w:autoSpaceDE w:val="0"/>
        <w:autoSpaceDN w:val="0"/>
        <w:adjustRightInd w:val="0"/>
        <w:snapToGrid w:val="0"/>
        <w:ind w:firstLine="0" w:firstLineChars="0"/>
        <w:jc w:val="left"/>
        <w:rPr>
          <w:rFonts w:ascii="宋体" w:hAnsi="宋体" w:eastAsia="宋体"/>
          <w:color w:val="auto"/>
          <w:sz w:val="21"/>
          <w:szCs w:val="21"/>
        </w:rPr>
      </w:pPr>
      <w:r>
        <w:rPr>
          <w:rFonts w:hint="eastAsia" w:ascii="宋体" w:hAnsi="宋体" w:eastAsia="宋体"/>
          <w:color w:val="auto"/>
          <w:sz w:val="21"/>
          <w:szCs w:val="21"/>
        </w:rPr>
        <w:t>日期：</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年</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月</w:t>
      </w:r>
      <w:r>
        <w:rPr>
          <w:rFonts w:hint="eastAsia" w:ascii="宋体" w:hAnsi="宋体" w:eastAsia="宋体"/>
          <w:color w:val="auto"/>
          <w:sz w:val="21"/>
          <w:szCs w:val="21"/>
          <w:u w:val="single"/>
        </w:rPr>
        <w:t xml:space="preserve">      </w:t>
      </w:r>
      <w:r>
        <w:rPr>
          <w:rFonts w:hint="eastAsia" w:ascii="宋体" w:hAnsi="宋体" w:eastAsia="宋体"/>
          <w:color w:val="auto"/>
          <w:sz w:val="21"/>
          <w:szCs w:val="21"/>
        </w:rPr>
        <w:t>日</w:t>
      </w:r>
    </w:p>
    <w:p w14:paraId="6CAAF610">
      <w:pPr>
        <w:widowControl w:val="0"/>
        <w:autoSpaceDE w:val="0"/>
        <w:autoSpaceDN w:val="0"/>
        <w:adjustRightInd w:val="0"/>
        <w:snapToGrid w:val="0"/>
        <w:ind w:firstLine="0" w:firstLineChars="0"/>
        <w:jc w:val="left"/>
        <w:rPr>
          <w:rFonts w:ascii="宋体" w:hAnsi="宋体" w:eastAsia="宋体"/>
          <w:sz w:val="21"/>
          <w:szCs w:val="21"/>
        </w:rPr>
      </w:pPr>
    </w:p>
    <w:p w14:paraId="24F5C172">
      <w:pPr>
        <w:widowControl w:val="0"/>
        <w:autoSpaceDE w:val="0"/>
        <w:autoSpaceDN w:val="0"/>
        <w:adjustRightInd w:val="0"/>
        <w:snapToGrid w:val="0"/>
        <w:ind w:firstLine="0" w:firstLineChars="0"/>
        <w:jc w:val="left"/>
        <w:rPr>
          <w:rFonts w:ascii="宋体" w:hAnsi="宋体" w:eastAsia="宋体"/>
          <w:b/>
          <w:sz w:val="21"/>
          <w:szCs w:val="21"/>
        </w:rPr>
      </w:pPr>
      <w:r>
        <w:rPr>
          <w:rFonts w:hint="eastAsia" w:ascii="宋体" w:hAnsi="宋体" w:eastAsia="宋体"/>
          <w:b/>
          <w:sz w:val="21"/>
          <w:szCs w:val="21"/>
        </w:rPr>
        <w:t>注：</w:t>
      </w:r>
    </w:p>
    <w:p w14:paraId="6079AFF0">
      <w:pPr>
        <w:widowControl w:val="0"/>
        <w:autoSpaceDE w:val="0"/>
        <w:autoSpaceDN w:val="0"/>
        <w:adjustRightInd w:val="0"/>
        <w:snapToGrid w:val="0"/>
        <w:ind w:firstLine="0" w:firstLineChars="0"/>
        <w:jc w:val="left"/>
        <w:rPr>
          <w:rFonts w:ascii="宋体" w:hAnsi="宋体" w:eastAsia="宋体"/>
          <w:sz w:val="21"/>
          <w:szCs w:val="21"/>
        </w:rPr>
      </w:pPr>
      <w:r>
        <w:rPr>
          <w:rFonts w:hint="eastAsia" w:ascii="宋体" w:hAnsi="宋体" w:eastAsia="宋体"/>
          <w:sz w:val="21"/>
          <w:szCs w:val="21"/>
        </w:rPr>
        <w:t>1、如为法定代表人</w:t>
      </w:r>
      <w:r>
        <w:rPr>
          <w:rFonts w:hint="eastAsia" w:ascii="宋体" w:hAnsi="宋体" w:eastAsia="宋体"/>
          <w:sz w:val="21"/>
          <w:szCs w:val="21"/>
          <w:lang w:val="en-US" w:eastAsia="zh-CN"/>
        </w:rPr>
        <w:t>(单位负责人)</w:t>
      </w:r>
      <w:r>
        <w:rPr>
          <w:rFonts w:hint="eastAsia" w:ascii="宋体" w:hAnsi="宋体" w:eastAsia="宋体"/>
          <w:sz w:val="21"/>
          <w:szCs w:val="21"/>
        </w:rPr>
        <w:t>参加本次投标活动时，则不需要填写“法定代表人</w:t>
      </w:r>
      <w:r>
        <w:rPr>
          <w:rFonts w:hint="eastAsia" w:ascii="宋体" w:hAnsi="宋体" w:eastAsia="宋体"/>
          <w:sz w:val="21"/>
          <w:szCs w:val="21"/>
          <w:lang w:eastAsia="zh-CN"/>
        </w:rPr>
        <w:t>（</w:t>
      </w:r>
      <w:r>
        <w:rPr>
          <w:rFonts w:hint="eastAsia" w:ascii="宋体" w:hAnsi="宋体" w:eastAsia="宋体"/>
          <w:sz w:val="21"/>
          <w:szCs w:val="21"/>
          <w:lang w:val="en-US" w:eastAsia="zh-CN"/>
        </w:rPr>
        <w:t>单位负责人</w:t>
      </w:r>
      <w:r>
        <w:rPr>
          <w:rFonts w:hint="eastAsia" w:ascii="宋体" w:hAnsi="宋体" w:eastAsia="宋体"/>
          <w:sz w:val="21"/>
          <w:szCs w:val="21"/>
          <w:lang w:eastAsia="zh-CN"/>
        </w:rPr>
        <w:t>）</w:t>
      </w:r>
      <w:r>
        <w:rPr>
          <w:rFonts w:hint="eastAsia" w:ascii="宋体" w:hAnsi="宋体" w:eastAsia="宋体"/>
          <w:sz w:val="21"/>
          <w:szCs w:val="21"/>
        </w:rPr>
        <w:t>授权委托书”；</w:t>
      </w:r>
    </w:p>
    <w:p w14:paraId="4000034D">
      <w:pPr>
        <w:widowControl w:val="0"/>
        <w:autoSpaceDE w:val="0"/>
        <w:autoSpaceDN w:val="0"/>
        <w:adjustRightInd w:val="0"/>
        <w:snapToGrid w:val="0"/>
        <w:ind w:firstLine="0" w:firstLineChars="0"/>
        <w:jc w:val="left"/>
        <w:rPr>
          <w:rFonts w:ascii="宋体" w:hAnsi="宋体" w:eastAsia="宋体"/>
          <w:b/>
          <w:sz w:val="21"/>
          <w:szCs w:val="21"/>
        </w:rPr>
      </w:pPr>
      <w:r>
        <w:rPr>
          <w:rFonts w:hint="eastAsia" w:ascii="宋体" w:hAnsi="宋体" w:eastAsia="宋体"/>
          <w:sz w:val="21"/>
          <w:szCs w:val="21"/>
        </w:rPr>
        <w:t>2、后附授权代理人身份证</w:t>
      </w:r>
      <w:r>
        <w:rPr>
          <w:rFonts w:hint="eastAsia" w:ascii="宋体" w:hAnsi="宋体" w:eastAsia="宋体"/>
          <w:sz w:val="21"/>
          <w:szCs w:val="21"/>
          <w:lang w:val="en-US" w:eastAsia="zh-CN"/>
        </w:rPr>
        <w:t>明正反面扫描</w:t>
      </w:r>
      <w:r>
        <w:rPr>
          <w:rFonts w:hint="eastAsia" w:ascii="宋体" w:hAnsi="宋体" w:eastAsia="宋体"/>
          <w:sz w:val="21"/>
          <w:szCs w:val="21"/>
        </w:rPr>
        <w:t>件</w:t>
      </w:r>
      <w:r>
        <w:rPr>
          <w:rFonts w:hint="eastAsia" w:ascii="宋体" w:hAnsi="宋体" w:eastAsia="宋体"/>
          <w:spacing w:val="-8"/>
          <w:sz w:val="21"/>
          <w:szCs w:val="21"/>
        </w:rPr>
        <w:t>；</w:t>
      </w:r>
    </w:p>
    <w:p w14:paraId="64D88127">
      <w:pPr>
        <w:widowControl w:val="0"/>
        <w:autoSpaceDE w:val="0"/>
        <w:autoSpaceDN w:val="0"/>
        <w:adjustRightInd w:val="0"/>
        <w:snapToGrid w:val="0"/>
        <w:ind w:firstLine="0" w:firstLineChars="0"/>
        <w:jc w:val="left"/>
        <w:rPr>
          <w:rFonts w:hint="eastAsia" w:ascii="宋体" w:hAnsi="宋体" w:eastAsia="宋体"/>
          <w:sz w:val="21"/>
          <w:szCs w:val="21"/>
        </w:rPr>
      </w:pPr>
      <w:r>
        <w:rPr>
          <w:rFonts w:ascii="宋体" w:hAnsi="宋体" w:eastAsia="宋体"/>
          <w:spacing w:val="-8"/>
          <w:sz w:val="21"/>
          <w:szCs w:val="21"/>
        </w:rPr>
        <w:t>3</w:t>
      </w:r>
      <w:r>
        <w:rPr>
          <w:rFonts w:hint="eastAsia" w:ascii="宋体" w:hAnsi="宋体" w:eastAsia="宋体"/>
          <w:spacing w:val="-8"/>
          <w:sz w:val="21"/>
          <w:szCs w:val="21"/>
        </w:rPr>
        <w:t>、</w:t>
      </w:r>
      <w:r>
        <w:rPr>
          <w:rFonts w:hint="eastAsia" w:ascii="宋体" w:hAnsi="宋体" w:eastAsia="宋体"/>
          <w:sz w:val="21"/>
          <w:szCs w:val="21"/>
        </w:rPr>
        <w:t>格式仅供</w:t>
      </w:r>
      <w:r>
        <w:rPr>
          <w:rFonts w:ascii="宋体" w:hAnsi="宋体" w:eastAsia="宋体"/>
          <w:sz w:val="21"/>
          <w:szCs w:val="21"/>
        </w:rPr>
        <w:t>参考。</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82"/>
        <w:gridCol w:w="4290"/>
      </w:tblGrid>
      <w:tr w14:paraId="5759C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0" w:hRule="atLeast"/>
        </w:trPr>
        <w:tc>
          <w:tcPr>
            <w:tcW w:w="4182" w:type="dxa"/>
            <w:noWrap w:val="0"/>
            <w:vAlign w:val="top"/>
          </w:tcPr>
          <w:p w14:paraId="224E87A7">
            <w:pPr>
              <w:widowControl w:val="0"/>
              <w:autoSpaceDE w:val="0"/>
              <w:autoSpaceDN w:val="0"/>
              <w:adjustRightInd w:val="0"/>
              <w:snapToGrid w:val="0"/>
              <w:ind w:firstLine="0" w:firstLineChars="0"/>
              <w:rPr>
                <w:rFonts w:ascii="宋体" w:hAnsi="宋体" w:eastAsia="宋体"/>
                <w:sz w:val="21"/>
                <w:szCs w:val="21"/>
              </w:rPr>
            </w:pPr>
            <w:r>
              <w:rPr>
                <w:rFonts w:hint="eastAsia" w:ascii="宋体" w:hAnsi="宋体" w:eastAsia="宋体"/>
                <w:sz w:val="21"/>
                <w:szCs w:val="21"/>
              </w:rPr>
              <w:t>身份证</w:t>
            </w:r>
            <w:r>
              <w:rPr>
                <w:rFonts w:hint="eastAsia" w:ascii="宋体" w:hAnsi="宋体" w:eastAsia="宋体"/>
                <w:sz w:val="21"/>
                <w:szCs w:val="21"/>
                <w:lang w:val="en-US" w:eastAsia="zh-CN"/>
              </w:rPr>
              <w:t>明扫描</w:t>
            </w:r>
            <w:r>
              <w:rPr>
                <w:rFonts w:hint="eastAsia" w:ascii="宋体" w:hAnsi="宋体" w:eastAsia="宋体"/>
                <w:sz w:val="21"/>
                <w:szCs w:val="21"/>
              </w:rPr>
              <w:t>件</w:t>
            </w:r>
          </w:p>
        </w:tc>
        <w:tc>
          <w:tcPr>
            <w:tcW w:w="4290" w:type="dxa"/>
            <w:noWrap w:val="0"/>
            <w:vAlign w:val="top"/>
          </w:tcPr>
          <w:p w14:paraId="06963B90">
            <w:pPr>
              <w:widowControl w:val="0"/>
              <w:autoSpaceDE w:val="0"/>
              <w:autoSpaceDN w:val="0"/>
              <w:adjustRightInd w:val="0"/>
              <w:snapToGrid w:val="0"/>
              <w:ind w:firstLine="0" w:firstLineChars="0"/>
              <w:rPr>
                <w:rFonts w:ascii="宋体" w:hAnsi="宋体" w:eastAsia="宋体"/>
                <w:sz w:val="21"/>
                <w:szCs w:val="21"/>
              </w:rPr>
            </w:pPr>
          </w:p>
        </w:tc>
      </w:tr>
    </w:tbl>
    <w:p w14:paraId="490CB630">
      <w:pPr>
        <w:ind w:firstLine="0" w:firstLineChars="0"/>
        <w:rPr>
          <w:rFonts w:asciiTheme="majorEastAsia" w:hAnsiTheme="majorEastAsia" w:eastAsiaTheme="majorEastAsia"/>
          <w:color w:val="auto"/>
          <w:sz w:val="24"/>
          <w:highlight w:val="none"/>
        </w:rPr>
      </w:pPr>
    </w:p>
    <w:p w14:paraId="691EE88B">
      <w:pPr>
        <w:ind w:firstLine="0" w:firstLineChars="0"/>
        <w:outlineLvl w:val="2"/>
        <w:rPr>
          <w:rFonts w:hint="eastAsia" w:ascii="宋体" w:hAnsi="宋体" w:cs="Times New Roman" w:eastAsiaTheme="majorEastAsia"/>
          <w:b w:val="0"/>
          <w:bCs w:val="0"/>
          <w:color w:val="auto"/>
          <w:sz w:val="22"/>
          <w:szCs w:val="22"/>
          <w:highlight w:val="none"/>
          <w:lang w:val="en-US" w:eastAsia="zh-CN"/>
        </w:rPr>
      </w:pPr>
      <w:r>
        <w:rPr>
          <w:rFonts w:asciiTheme="majorEastAsia" w:hAnsiTheme="majorEastAsia" w:eastAsiaTheme="majorEastAsia"/>
          <w:color w:val="auto"/>
          <w:sz w:val="24"/>
          <w:highlight w:val="none"/>
        </w:rPr>
        <w:br w:type="page"/>
      </w:r>
      <w:bookmarkStart w:id="385" w:name="_Toc925"/>
      <w:bookmarkStart w:id="386" w:name="_Toc27281"/>
      <w:bookmarkStart w:id="387" w:name="_Toc17383"/>
      <w:bookmarkStart w:id="388" w:name="_Toc23270"/>
      <w:bookmarkStart w:id="389" w:name="_Toc532220823"/>
      <w:bookmarkStart w:id="390" w:name="_Toc27768"/>
      <w:bookmarkStart w:id="391" w:name="_Toc7643"/>
      <w:bookmarkStart w:id="392" w:name="_Toc30260"/>
      <w:bookmarkStart w:id="393" w:name="_Toc3497"/>
      <w:bookmarkStart w:id="394" w:name="_Toc19702"/>
      <w:bookmarkStart w:id="395" w:name="_Toc23966"/>
      <w:r>
        <w:rPr>
          <w:rFonts w:hint="eastAsia" w:cs="Times New Roman" w:asciiTheme="majorEastAsia" w:hAnsiTheme="majorEastAsia" w:eastAsiaTheme="majorEastAsia"/>
          <w:b/>
          <w:color w:val="auto"/>
          <w:sz w:val="24"/>
          <w:highlight w:val="none"/>
        </w:rPr>
        <w:t>A4、营业执照</w:t>
      </w:r>
      <w:bookmarkEnd w:id="385"/>
      <w:bookmarkEnd w:id="386"/>
      <w:bookmarkEnd w:id="387"/>
      <w:bookmarkEnd w:id="388"/>
      <w:bookmarkEnd w:id="389"/>
      <w:bookmarkEnd w:id="390"/>
      <w:bookmarkEnd w:id="391"/>
      <w:bookmarkEnd w:id="392"/>
      <w:bookmarkEnd w:id="393"/>
      <w:bookmarkEnd w:id="394"/>
      <w:bookmarkEnd w:id="395"/>
    </w:p>
    <w:p w14:paraId="1364BBDE">
      <w:pPr>
        <w:widowControl w:val="0"/>
        <w:autoSpaceDE w:val="0"/>
        <w:autoSpaceDN w:val="0"/>
        <w:adjustRightInd w:val="0"/>
        <w:snapToGrid w:val="0"/>
        <w:ind w:firstLine="0" w:firstLineChars="0"/>
        <w:jc w:val="left"/>
        <w:outlineLvl w:val="9"/>
        <w:rPr>
          <w:rFonts w:hint="eastAsia" w:ascii="宋体" w:hAnsi="宋体" w:eastAsia="宋体" w:cs="Times New Roman"/>
          <w:color w:val="auto"/>
          <w:sz w:val="22"/>
          <w:highlight w:val="none"/>
          <w:lang w:eastAsia="zh-CN"/>
        </w:rPr>
      </w:pPr>
      <w:r>
        <w:rPr>
          <w:rFonts w:hint="eastAsia" w:ascii="宋体" w:hAnsi="宋体" w:eastAsia="宋体" w:cs="Times New Roman"/>
          <w:color w:val="auto"/>
          <w:sz w:val="22"/>
          <w:highlight w:val="none"/>
        </w:rPr>
        <w:t>投标人根据招标文件第一章</w:t>
      </w:r>
      <w:r>
        <w:rPr>
          <w:rFonts w:hint="eastAsia" w:ascii="宋体" w:hAnsi="宋体" w:eastAsia="宋体" w:cs="Times New Roman"/>
          <w:color w:val="auto"/>
          <w:sz w:val="22"/>
          <w:highlight w:val="none"/>
          <w:lang w:val="en-US" w:eastAsia="zh-CN"/>
        </w:rPr>
        <w:t>招标公告</w:t>
      </w:r>
      <w:r>
        <w:rPr>
          <w:rFonts w:hint="eastAsia" w:ascii="宋体" w:hAnsi="宋体" w:eastAsia="宋体" w:cs="Times New Roman"/>
          <w:color w:val="auto"/>
          <w:sz w:val="22"/>
          <w:highlight w:val="none"/>
        </w:rPr>
        <w:t>/1.</w:t>
      </w:r>
      <w:r>
        <w:rPr>
          <w:rFonts w:hint="eastAsia" w:ascii="宋体" w:hAnsi="宋体" w:eastAsia="宋体" w:cs="Times New Roman"/>
          <w:color w:val="auto"/>
          <w:sz w:val="22"/>
          <w:highlight w:val="none"/>
          <w:lang w:val="en-US" w:eastAsia="zh-CN"/>
        </w:rPr>
        <w:t xml:space="preserve">8 </w:t>
      </w:r>
      <w:r>
        <w:rPr>
          <w:rFonts w:hint="eastAsia" w:ascii="宋体" w:hAnsi="宋体" w:eastAsia="宋体" w:cs="Times New Roman"/>
          <w:color w:val="auto"/>
          <w:sz w:val="22"/>
          <w:highlight w:val="none"/>
        </w:rPr>
        <w:t>投标人资格要求</w:t>
      </w:r>
      <w:r>
        <w:rPr>
          <w:rFonts w:hint="eastAsia" w:ascii="宋体" w:hAnsi="宋体" w:eastAsia="宋体" w:cs="Times New Roman"/>
          <w:color w:val="auto"/>
          <w:sz w:val="22"/>
          <w:highlight w:val="none"/>
          <w:lang w:val="en-US" w:eastAsia="zh-CN"/>
        </w:rPr>
        <w:t xml:space="preserve"> 第</w:t>
      </w:r>
      <w:r>
        <w:rPr>
          <w:rFonts w:hint="eastAsia" w:ascii="宋体" w:hAnsi="宋体" w:eastAsia="宋体" w:cs="Times New Roman"/>
          <w:color w:val="auto"/>
          <w:sz w:val="22"/>
          <w:highlight w:val="none"/>
          <w:lang w:eastAsia="zh-CN"/>
        </w:rPr>
        <w:t>（</w:t>
      </w:r>
      <w:r>
        <w:rPr>
          <w:rFonts w:hint="eastAsia" w:ascii="宋体" w:hAnsi="宋体" w:eastAsia="宋体" w:cs="Times New Roman"/>
          <w:color w:val="auto"/>
          <w:sz w:val="22"/>
          <w:highlight w:val="none"/>
          <w:lang w:val="en-US" w:eastAsia="zh-CN"/>
        </w:rPr>
        <w:t>一</w:t>
      </w:r>
      <w:r>
        <w:rPr>
          <w:rFonts w:hint="eastAsia" w:ascii="宋体" w:hAnsi="宋体" w:eastAsia="宋体" w:cs="Times New Roman"/>
          <w:color w:val="auto"/>
          <w:sz w:val="22"/>
          <w:highlight w:val="none"/>
          <w:lang w:eastAsia="zh-CN"/>
        </w:rPr>
        <w:t>）</w:t>
      </w:r>
      <w:r>
        <w:rPr>
          <w:rFonts w:hint="eastAsia" w:ascii="宋体" w:hAnsi="宋体" w:eastAsia="宋体" w:cs="Times New Roman"/>
          <w:color w:val="auto"/>
          <w:sz w:val="22"/>
          <w:highlight w:val="none"/>
          <w:lang w:val="en-US" w:eastAsia="zh-CN"/>
        </w:rPr>
        <w:t>条</w:t>
      </w:r>
      <w:r>
        <w:rPr>
          <w:rFonts w:hint="eastAsia" w:ascii="宋体" w:hAnsi="宋体" w:eastAsia="宋体" w:cs="Times New Roman"/>
          <w:color w:val="auto"/>
          <w:sz w:val="22"/>
          <w:highlight w:val="none"/>
        </w:rPr>
        <w:t>提供证明材料</w:t>
      </w:r>
      <w:r>
        <w:rPr>
          <w:rFonts w:hint="eastAsia" w:ascii="宋体" w:hAnsi="宋体" w:eastAsia="宋体" w:cs="Times New Roman"/>
          <w:color w:val="auto"/>
          <w:sz w:val="22"/>
          <w:highlight w:val="none"/>
          <w:lang w:eastAsia="zh-CN"/>
        </w:rPr>
        <w:t>。</w:t>
      </w:r>
    </w:p>
    <w:p w14:paraId="1C842796">
      <w:pPr>
        <w:widowControl w:val="0"/>
        <w:autoSpaceDE w:val="0"/>
        <w:autoSpaceDN w:val="0"/>
        <w:adjustRightInd w:val="0"/>
        <w:snapToGrid w:val="0"/>
        <w:ind w:firstLine="0" w:firstLineChars="0"/>
        <w:jc w:val="left"/>
        <w:outlineLvl w:val="9"/>
        <w:rPr>
          <w:rFonts w:hint="eastAsia" w:ascii="宋体" w:hAnsi="宋体" w:eastAsia="宋体" w:cs="Times New Roman"/>
          <w:b/>
          <w:bCs/>
          <w:color w:val="auto"/>
          <w:sz w:val="22"/>
          <w:szCs w:val="22"/>
          <w:highlight w:val="none"/>
        </w:rPr>
      </w:pPr>
      <w:r>
        <w:rPr>
          <w:rFonts w:hint="eastAsia" w:ascii="宋体" w:hAnsi="宋体" w:eastAsia="宋体" w:cs="Times New Roman"/>
          <w:b/>
          <w:bCs/>
          <w:color w:val="auto"/>
          <w:sz w:val="22"/>
          <w:szCs w:val="22"/>
          <w:highlight w:val="none"/>
        </w:rPr>
        <w:br w:type="page"/>
      </w:r>
    </w:p>
    <w:p w14:paraId="45C3722D">
      <w:pPr>
        <w:ind w:firstLine="0" w:firstLineChars="0"/>
        <w:outlineLvl w:val="2"/>
        <w:rPr>
          <w:rFonts w:hint="eastAsia" w:asciiTheme="majorEastAsia" w:hAnsiTheme="majorEastAsia" w:eastAsiaTheme="majorEastAsia"/>
          <w:b/>
          <w:bCs/>
          <w:color w:val="auto"/>
          <w:sz w:val="24"/>
          <w:highlight w:val="none"/>
          <w:lang w:val="en-US" w:eastAsia="zh-CN"/>
        </w:rPr>
      </w:pPr>
      <w:bookmarkStart w:id="396" w:name="_Toc18816"/>
      <w:bookmarkStart w:id="397" w:name="_Toc280341017"/>
      <w:bookmarkStart w:id="398" w:name="_Toc390444140"/>
      <w:bookmarkStart w:id="399" w:name="_Toc4482"/>
      <w:bookmarkStart w:id="400" w:name="_Toc13914"/>
      <w:bookmarkStart w:id="401" w:name="_Toc17954"/>
      <w:bookmarkStart w:id="402" w:name="_Toc12458"/>
      <w:bookmarkStart w:id="403" w:name="_Toc26766"/>
      <w:bookmarkStart w:id="404" w:name="_Toc10223"/>
      <w:bookmarkStart w:id="405" w:name="_Toc2763"/>
      <w:bookmarkStart w:id="406" w:name="_Toc12631"/>
      <w:bookmarkStart w:id="407" w:name="_Toc7207"/>
      <w:r>
        <w:rPr>
          <w:rFonts w:hint="eastAsia" w:asciiTheme="majorEastAsia" w:hAnsiTheme="majorEastAsia" w:eastAsiaTheme="majorEastAsia"/>
          <w:b/>
          <w:bCs/>
          <w:color w:val="auto"/>
          <w:sz w:val="24"/>
          <w:highlight w:val="none"/>
        </w:rPr>
        <w:t>A</w:t>
      </w:r>
      <w:r>
        <w:rPr>
          <w:rFonts w:hint="eastAsia" w:asciiTheme="majorEastAsia" w:hAnsiTheme="majorEastAsia" w:eastAsiaTheme="majorEastAsia"/>
          <w:b/>
          <w:bCs/>
          <w:color w:val="auto"/>
          <w:sz w:val="24"/>
          <w:highlight w:val="none"/>
          <w:lang w:val="en-US" w:eastAsia="zh-CN"/>
        </w:rPr>
        <w:t>5</w:t>
      </w:r>
      <w:r>
        <w:rPr>
          <w:rFonts w:hint="eastAsia" w:asciiTheme="majorEastAsia" w:hAnsiTheme="majorEastAsia" w:eastAsiaTheme="majorEastAsia"/>
          <w:b/>
          <w:bCs/>
          <w:color w:val="auto"/>
          <w:sz w:val="24"/>
          <w:highlight w:val="none"/>
        </w:rPr>
        <w:t>、</w:t>
      </w:r>
      <w:bookmarkEnd w:id="341"/>
      <w:bookmarkEnd w:id="342"/>
      <w:bookmarkEnd w:id="396"/>
      <w:bookmarkEnd w:id="397"/>
      <w:bookmarkEnd w:id="398"/>
      <w:bookmarkEnd w:id="399"/>
      <w:bookmarkEnd w:id="400"/>
      <w:bookmarkEnd w:id="401"/>
      <w:bookmarkEnd w:id="402"/>
      <w:bookmarkEnd w:id="403"/>
      <w:bookmarkEnd w:id="404"/>
      <w:bookmarkEnd w:id="405"/>
      <w:bookmarkStart w:id="408" w:name="_Toc16427"/>
      <w:bookmarkStart w:id="409" w:name="_Toc21282"/>
      <w:bookmarkStart w:id="410" w:name="_Toc28533"/>
      <w:bookmarkStart w:id="411" w:name="_Toc7721"/>
      <w:bookmarkStart w:id="412" w:name="_Toc26309"/>
      <w:bookmarkStart w:id="413" w:name="_Toc199215951"/>
      <w:bookmarkStart w:id="414" w:name="_Toc201401663"/>
      <w:bookmarkStart w:id="415" w:name="_Toc201743121"/>
      <w:bookmarkStart w:id="416" w:name="_Toc280341018"/>
      <w:bookmarkStart w:id="417" w:name="_Toc201742866"/>
      <w:bookmarkStart w:id="418" w:name="_Toc201997951"/>
      <w:bookmarkStart w:id="419" w:name="_Toc390444143"/>
      <w:bookmarkStart w:id="420" w:name="_Toc370197705"/>
      <w:bookmarkStart w:id="421" w:name="_Toc201719123"/>
      <w:r>
        <w:rPr>
          <w:rFonts w:hint="eastAsia" w:asciiTheme="majorEastAsia" w:hAnsiTheme="majorEastAsia" w:eastAsiaTheme="majorEastAsia"/>
          <w:b/>
          <w:bCs/>
          <w:color w:val="auto"/>
          <w:sz w:val="24"/>
          <w:highlight w:val="none"/>
          <w:lang w:val="en-US" w:eastAsia="zh-CN"/>
        </w:rPr>
        <w:t>类似项目业绩</w:t>
      </w:r>
      <w:bookmarkStart w:id="422" w:name="_Toc13932"/>
      <w:r>
        <w:rPr>
          <w:rFonts w:hint="eastAsia" w:asciiTheme="majorEastAsia" w:hAnsiTheme="majorEastAsia" w:eastAsiaTheme="majorEastAsia"/>
          <w:b/>
          <w:bCs/>
          <w:color w:val="auto"/>
          <w:sz w:val="24"/>
          <w:highlight w:val="none"/>
          <w:lang w:val="en-US" w:eastAsia="zh-CN"/>
        </w:rPr>
        <w:t>一览表</w:t>
      </w:r>
      <w:bookmarkEnd w:id="406"/>
      <w:bookmarkEnd w:id="407"/>
    </w:p>
    <w:bookmarkEnd w:id="422"/>
    <w:p w14:paraId="0343EEC0">
      <w:pPr>
        <w:jc w:val="center"/>
        <w:rPr>
          <w:rFonts w:hint="eastAsia" w:ascii="宋体" w:hAnsi="宋体" w:eastAsia="宋体" w:cs="宋体"/>
          <w:b/>
          <w:bCs/>
          <w:color w:val="auto"/>
          <w:highlight w:val="none"/>
          <w:lang w:val="en-US" w:eastAsia="zh-CN"/>
        </w:rPr>
      </w:pPr>
    </w:p>
    <w:p w14:paraId="6352449E">
      <w:pPr>
        <w:jc w:val="center"/>
        <w:rPr>
          <w:rFonts w:hint="eastAsia" w:ascii="宋体" w:hAnsi="宋体" w:eastAsia="宋体" w:cs="宋体"/>
          <w:b/>
          <w:bCs/>
          <w:color w:val="auto"/>
          <w:highlight w:val="none"/>
          <w:lang w:val="en-US" w:eastAsia="zh-CN"/>
        </w:rPr>
      </w:pPr>
      <w:r>
        <w:rPr>
          <w:rFonts w:hint="eastAsia" w:ascii="宋体" w:hAnsi="宋体" w:eastAsia="宋体" w:cs="宋体"/>
          <w:b/>
          <w:bCs/>
          <w:color w:val="auto"/>
          <w:highlight w:val="none"/>
          <w:lang w:val="en-US" w:eastAsia="zh-CN"/>
        </w:rPr>
        <w:t>投标人类似项目业绩一览表</w:t>
      </w:r>
    </w:p>
    <w:p w14:paraId="1AAC4B21">
      <w:pPr>
        <w:widowControl w:val="0"/>
        <w:autoSpaceDE w:val="0"/>
        <w:autoSpaceDN w:val="0"/>
        <w:adjustRightInd w:val="0"/>
        <w:snapToGrid w:val="0"/>
        <w:ind w:firstLine="0" w:firstLineChars="0"/>
        <w:jc w:val="left"/>
        <w:rPr>
          <w:rFonts w:ascii="Times New Roman" w:hAnsi="Times New Roman" w:eastAsia="宋体" w:cs="Times New Roman"/>
          <w:color w:val="auto"/>
          <w:szCs w:val="21"/>
          <w:highlight w:val="none"/>
        </w:rPr>
      </w:pPr>
    </w:p>
    <w:p w14:paraId="0A6D2E22">
      <w:pPr>
        <w:widowControl w:val="0"/>
        <w:autoSpaceDE w:val="0"/>
        <w:autoSpaceDN w:val="0"/>
        <w:adjustRightInd w:val="0"/>
        <w:snapToGrid w:val="0"/>
        <w:ind w:firstLine="0" w:firstLineChars="0"/>
        <w:jc w:val="left"/>
        <w:rPr>
          <w:rFonts w:ascii="Times New Roman" w:hAnsi="Times New Roman" w:eastAsia="宋体" w:cs="Times New Roman"/>
          <w:color w:val="auto"/>
          <w:sz w:val="21"/>
          <w:szCs w:val="21"/>
          <w:highlight w:val="none"/>
        </w:rPr>
      </w:pPr>
      <w:r>
        <w:rPr>
          <w:rFonts w:ascii="Times New Roman" w:hAnsi="Times New Roman" w:eastAsia="宋体" w:cs="Times New Roman"/>
          <w:color w:val="auto"/>
          <w:sz w:val="21"/>
          <w:szCs w:val="21"/>
          <w:highlight w:val="none"/>
        </w:rPr>
        <w:t>致：</w:t>
      </w:r>
      <w:r>
        <w:rPr>
          <w:rFonts w:hint="eastAsia" w:ascii="Times New Roman" w:hAnsi="Times New Roman" w:eastAsia="宋体" w:cs="Times New Roman"/>
          <w:color w:val="auto"/>
          <w:sz w:val="21"/>
          <w:szCs w:val="21"/>
          <w:highlight w:val="none"/>
          <w:u w:val="single"/>
        </w:rPr>
        <w:t>深圳市高新健置业开发有限公司</w:t>
      </w:r>
    </w:p>
    <w:p w14:paraId="754B1740">
      <w:pPr>
        <w:widowControl w:val="0"/>
        <w:autoSpaceDE w:val="0"/>
        <w:autoSpaceDN w:val="0"/>
        <w:adjustRightInd w:val="0"/>
        <w:snapToGrid w:val="0"/>
        <w:ind w:firstLine="420" w:firstLineChars="200"/>
        <w:jc w:val="left"/>
        <w:rPr>
          <w:rFonts w:ascii="Times New Roman" w:hAnsi="Times New Roman" w:eastAsia="宋体" w:cs="Times New Roman"/>
          <w:color w:val="auto"/>
          <w:sz w:val="21"/>
          <w:szCs w:val="21"/>
          <w:highlight w:val="none"/>
        </w:rPr>
      </w:pPr>
      <w:r>
        <w:rPr>
          <w:rFonts w:hint="eastAsia" w:ascii="宋体" w:hAnsi="宋体" w:eastAsia="宋体" w:cs="宋体"/>
          <w:color w:val="auto"/>
          <w:sz w:val="21"/>
          <w:szCs w:val="21"/>
          <w:highlight w:val="none"/>
        </w:rPr>
        <w:t>我方根据贵公司招标文件要求提供</w:t>
      </w:r>
      <w:r>
        <w:rPr>
          <w:rFonts w:hint="eastAsia" w:ascii="宋体" w:hAnsi="宋体" w:eastAsia="宋体" w:cs="宋体"/>
          <w:b/>
          <w:bCs/>
          <w:color w:val="auto"/>
          <w:sz w:val="21"/>
          <w:szCs w:val="21"/>
          <w:highlight w:val="none"/>
          <w:u w:val="single"/>
        </w:rPr>
        <w:t>从本招标公告第一次发布之日</w:t>
      </w:r>
      <w:r>
        <w:rPr>
          <w:rFonts w:hint="eastAsia" w:ascii="宋体" w:hAnsi="宋体" w:eastAsia="宋体" w:cs="宋体"/>
          <w:b/>
          <w:bCs/>
          <w:color w:val="auto"/>
          <w:sz w:val="21"/>
          <w:szCs w:val="21"/>
          <w:highlight w:val="none"/>
          <w:u w:val="single"/>
          <w:lang w:val="en-US" w:eastAsia="zh-CN"/>
        </w:rPr>
        <w:t>倒推近3年</w:t>
      </w:r>
      <w:r>
        <w:rPr>
          <w:rFonts w:hint="eastAsia" w:ascii="宋体" w:hAnsi="宋体" w:eastAsia="宋体" w:cs="宋体"/>
          <w:color w:val="auto"/>
          <w:sz w:val="21"/>
          <w:szCs w:val="21"/>
          <w:highlight w:val="none"/>
        </w:rPr>
        <w:t>真实的业绩资料，证明合同附后，清单如下</w:t>
      </w:r>
      <w:r>
        <w:rPr>
          <w:rFonts w:ascii="Times New Roman" w:hAnsi="Times New Roman" w:eastAsia="宋体" w:cs="Times New Roman"/>
          <w:color w:val="auto"/>
          <w:sz w:val="21"/>
          <w:szCs w:val="21"/>
          <w:highlight w:val="none"/>
        </w:rPr>
        <w:t>：</w:t>
      </w:r>
    </w:p>
    <w:tbl>
      <w:tblPr>
        <w:tblStyle w:val="53"/>
        <w:tblW w:w="831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2"/>
        <w:gridCol w:w="2200"/>
        <w:gridCol w:w="1381"/>
        <w:gridCol w:w="942"/>
        <w:gridCol w:w="954"/>
        <w:gridCol w:w="1383"/>
        <w:gridCol w:w="621"/>
      </w:tblGrid>
      <w:tr w14:paraId="1AC45D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1" w:hRule="atLeast"/>
          <w:jc w:val="center"/>
        </w:trPr>
        <w:tc>
          <w:tcPr>
            <w:tcW w:w="832" w:type="dxa"/>
            <w:tcBorders>
              <w:top w:val="single" w:color="auto" w:sz="4" w:space="0"/>
            </w:tcBorders>
            <w:shd w:val="clear" w:color="auto" w:fill="D9E2F3"/>
            <w:noWrap w:val="0"/>
            <w:vAlign w:val="center"/>
          </w:tcPr>
          <w:p w14:paraId="4DDCE42A">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r>
              <w:rPr>
                <w:rFonts w:ascii="Times New Roman" w:hAnsi="Times New Roman" w:eastAsia="宋体" w:cs="Times New Roman"/>
                <w:b/>
                <w:i w:val="0"/>
                <w:iCs w:val="0"/>
                <w:color w:val="auto"/>
                <w:sz w:val="18"/>
                <w:szCs w:val="21"/>
                <w:highlight w:val="none"/>
              </w:rPr>
              <w:t>序号</w:t>
            </w:r>
          </w:p>
        </w:tc>
        <w:tc>
          <w:tcPr>
            <w:tcW w:w="2200" w:type="dxa"/>
            <w:shd w:val="clear" w:color="auto" w:fill="D9E2F3"/>
            <w:noWrap w:val="0"/>
            <w:vAlign w:val="center"/>
          </w:tcPr>
          <w:p w14:paraId="6684C415">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r>
              <w:rPr>
                <w:rFonts w:ascii="Times New Roman" w:hAnsi="Times New Roman" w:eastAsia="宋体" w:cs="Times New Roman"/>
                <w:b/>
                <w:i w:val="0"/>
                <w:iCs w:val="0"/>
                <w:color w:val="auto"/>
                <w:sz w:val="18"/>
                <w:szCs w:val="21"/>
                <w:highlight w:val="none"/>
              </w:rPr>
              <w:t>合同名称</w:t>
            </w:r>
          </w:p>
        </w:tc>
        <w:tc>
          <w:tcPr>
            <w:tcW w:w="1381" w:type="dxa"/>
            <w:shd w:val="clear" w:color="auto" w:fill="D9E2F3"/>
            <w:noWrap w:val="0"/>
            <w:vAlign w:val="center"/>
          </w:tcPr>
          <w:p w14:paraId="0402B8A2">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r>
              <w:rPr>
                <w:rFonts w:ascii="Times New Roman" w:hAnsi="Times New Roman" w:eastAsia="宋体" w:cs="Times New Roman"/>
                <w:b/>
                <w:i w:val="0"/>
                <w:iCs w:val="0"/>
                <w:color w:val="auto"/>
                <w:sz w:val="18"/>
                <w:szCs w:val="21"/>
                <w:highlight w:val="none"/>
              </w:rPr>
              <w:t>合同内容</w:t>
            </w:r>
          </w:p>
        </w:tc>
        <w:tc>
          <w:tcPr>
            <w:tcW w:w="942" w:type="dxa"/>
            <w:shd w:val="clear" w:color="auto" w:fill="D9E2F3"/>
            <w:noWrap w:val="0"/>
            <w:vAlign w:val="center"/>
          </w:tcPr>
          <w:p w14:paraId="3904F4F4">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r>
              <w:rPr>
                <w:rFonts w:ascii="Times New Roman" w:hAnsi="Times New Roman" w:eastAsia="宋体" w:cs="Times New Roman"/>
                <w:b/>
                <w:i w:val="0"/>
                <w:iCs w:val="0"/>
                <w:color w:val="auto"/>
                <w:sz w:val="18"/>
                <w:szCs w:val="21"/>
                <w:highlight w:val="none"/>
              </w:rPr>
              <w:t>合同金额（万元）</w:t>
            </w:r>
          </w:p>
        </w:tc>
        <w:tc>
          <w:tcPr>
            <w:tcW w:w="954" w:type="dxa"/>
            <w:shd w:val="clear" w:color="auto" w:fill="D9E2F3"/>
            <w:noWrap w:val="0"/>
            <w:vAlign w:val="center"/>
          </w:tcPr>
          <w:p w14:paraId="6B2C4386">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r>
              <w:rPr>
                <w:rFonts w:ascii="Times New Roman" w:hAnsi="Times New Roman" w:eastAsia="宋体" w:cs="Times New Roman"/>
                <w:b/>
                <w:i w:val="0"/>
                <w:iCs w:val="0"/>
                <w:color w:val="auto"/>
                <w:sz w:val="18"/>
                <w:szCs w:val="21"/>
                <w:highlight w:val="none"/>
              </w:rPr>
              <w:t>合同签订时间</w:t>
            </w:r>
          </w:p>
        </w:tc>
        <w:tc>
          <w:tcPr>
            <w:tcW w:w="1383" w:type="dxa"/>
            <w:shd w:val="clear" w:color="auto" w:fill="D9E2F3"/>
            <w:noWrap w:val="0"/>
            <w:vAlign w:val="center"/>
          </w:tcPr>
          <w:p w14:paraId="115B0FE2">
            <w:pPr>
              <w:widowControl w:val="0"/>
              <w:autoSpaceDE w:val="0"/>
              <w:autoSpaceDN w:val="0"/>
              <w:adjustRightInd w:val="0"/>
              <w:snapToGrid w:val="0"/>
              <w:ind w:firstLine="0" w:firstLineChars="0"/>
              <w:jc w:val="center"/>
              <w:rPr>
                <w:rFonts w:hint="default" w:ascii="Times New Roman" w:hAnsi="Times New Roman" w:eastAsia="宋体" w:cs="Times New Roman"/>
                <w:b/>
                <w:i w:val="0"/>
                <w:iCs w:val="0"/>
                <w:color w:val="auto"/>
                <w:sz w:val="18"/>
                <w:szCs w:val="21"/>
                <w:highlight w:val="none"/>
                <w:lang w:val="en-US" w:eastAsia="zh-CN"/>
              </w:rPr>
            </w:pPr>
            <w:r>
              <w:rPr>
                <w:rFonts w:hint="eastAsia" w:eastAsia="宋体" w:cs="Times New Roman"/>
                <w:b/>
                <w:i w:val="0"/>
                <w:iCs w:val="0"/>
                <w:color w:val="auto"/>
                <w:sz w:val="18"/>
                <w:szCs w:val="21"/>
                <w:highlight w:val="none"/>
                <w:lang w:val="en-US" w:eastAsia="zh-CN"/>
              </w:rPr>
              <w:t>合同甲方</w:t>
            </w:r>
          </w:p>
        </w:tc>
        <w:tc>
          <w:tcPr>
            <w:tcW w:w="621" w:type="dxa"/>
            <w:shd w:val="clear" w:color="auto" w:fill="D9E2F3"/>
            <w:noWrap w:val="0"/>
            <w:vAlign w:val="center"/>
          </w:tcPr>
          <w:p w14:paraId="16DE4C50">
            <w:pPr>
              <w:widowControl w:val="0"/>
              <w:autoSpaceDE w:val="0"/>
              <w:autoSpaceDN w:val="0"/>
              <w:adjustRightInd w:val="0"/>
              <w:snapToGrid w:val="0"/>
              <w:ind w:firstLine="0" w:firstLineChars="0"/>
              <w:jc w:val="center"/>
              <w:rPr>
                <w:rFonts w:ascii="Times New Roman" w:hAnsi="Times New Roman" w:eastAsia="宋体" w:cs="Times New Roman"/>
                <w:b/>
                <w:i w:val="0"/>
                <w:iCs w:val="0"/>
                <w:color w:val="auto"/>
                <w:sz w:val="18"/>
                <w:szCs w:val="21"/>
                <w:highlight w:val="none"/>
              </w:rPr>
            </w:pPr>
            <w:bookmarkStart w:id="423" w:name="OLE_LINK158"/>
            <w:r>
              <w:rPr>
                <w:rFonts w:ascii="Times New Roman" w:hAnsi="Times New Roman" w:eastAsia="宋体" w:cs="Times New Roman"/>
                <w:b/>
                <w:i w:val="0"/>
                <w:iCs w:val="0"/>
                <w:color w:val="auto"/>
                <w:sz w:val="18"/>
                <w:szCs w:val="21"/>
                <w:highlight w:val="none"/>
              </w:rPr>
              <w:t>详见页码</w:t>
            </w:r>
            <w:bookmarkEnd w:id="423"/>
          </w:p>
        </w:tc>
      </w:tr>
      <w:tr w14:paraId="53A48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832" w:type="dxa"/>
            <w:noWrap w:val="0"/>
            <w:vAlign w:val="center"/>
          </w:tcPr>
          <w:p w14:paraId="50CE6F13">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1</w:t>
            </w:r>
          </w:p>
        </w:tc>
        <w:tc>
          <w:tcPr>
            <w:tcW w:w="2200" w:type="dxa"/>
            <w:noWrap w:val="0"/>
            <w:vAlign w:val="center"/>
          </w:tcPr>
          <w:p w14:paraId="5D059933">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1" w:type="dxa"/>
            <w:noWrap w:val="0"/>
            <w:vAlign w:val="center"/>
          </w:tcPr>
          <w:p w14:paraId="0A206A16">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45BDEA02">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72CC97B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79A2C174">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6D91AB51">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P</w:t>
            </w:r>
          </w:p>
        </w:tc>
      </w:tr>
      <w:tr w14:paraId="07EDC5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832" w:type="dxa"/>
            <w:noWrap w:val="0"/>
            <w:vAlign w:val="center"/>
          </w:tcPr>
          <w:p w14:paraId="642E79B4">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2</w:t>
            </w:r>
          </w:p>
        </w:tc>
        <w:tc>
          <w:tcPr>
            <w:tcW w:w="2200" w:type="dxa"/>
            <w:noWrap w:val="0"/>
            <w:vAlign w:val="center"/>
          </w:tcPr>
          <w:p w14:paraId="3C4B3D62">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1" w:type="dxa"/>
            <w:noWrap w:val="0"/>
            <w:vAlign w:val="center"/>
          </w:tcPr>
          <w:p w14:paraId="1C5696B1">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397B628C">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0BD7C3BA">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2FB3E428">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2B551B84">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P</w:t>
            </w:r>
          </w:p>
        </w:tc>
      </w:tr>
      <w:tr w14:paraId="7D905E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832" w:type="dxa"/>
            <w:noWrap w:val="0"/>
            <w:vAlign w:val="center"/>
          </w:tcPr>
          <w:p w14:paraId="03BB530C">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3</w:t>
            </w:r>
          </w:p>
        </w:tc>
        <w:tc>
          <w:tcPr>
            <w:tcW w:w="2200" w:type="dxa"/>
            <w:noWrap w:val="0"/>
            <w:vAlign w:val="center"/>
          </w:tcPr>
          <w:p w14:paraId="4D25847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1" w:type="dxa"/>
            <w:noWrap w:val="0"/>
            <w:vAlign w:val="center"/>
          </w:tcPr>
          <w:p w14:paraId="0B13A0E0">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78B89D6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26D6FC5D">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22F39C28">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35B612DB">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P</w:t>
            </w:r>
          </w:p>
        </w:tc>
      </w:tr>
      <w:tr w14:paraId="7EF04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832" w:type="dxa"/>
            <w:noWrap w:val="0"/>
            <w:vAlign w:val="center"/>
          </w:tcPr>
          <w:p w14:paraId="1A4AED13">
            <w:pPr>
              <w:widowControl w:val="0"/>
              <w:autoSpaceDE w:val="0"/>
              <w:autoSpaceDN w:val="0"/>
              <w:adjustRightInd w:val="0"/>
              <w:snapToGrid w:val="0"/>
              <w:ind w:firstLine="0" w:firstLineChars="0"/>
              <w:jc w:val="left"/>
              <w:rPr>
                <w:rFonts w:hint="eastAsia" w:ascii="Times New Roman" w:hAnsi="Times New Roman" w:eastAsia="宋体" w:cs="Times New Roman"/>
                <w:color w:val="auto"/>
                <w:sz w:val="18"/>
                <w:szCs w:val="21"/>
                <w:highlight w:val="none"/>
                <w:lang w:val="en-US" w:eastAsia="zh-CN"/>
              </w:rPr>
            </w:pPr>
            <w:r>
              <w:rPr>
                <w:rFonts w:hint="eastAsia" w:ascii="Times New Roman" w:hAnsi="Times New Roman" w:eastAsia="宋体" w:cs="Times New Roman"/>
                <w:color w:val="auto"/>
                <w:sz w:val="18"/>
                <w:szCs w:val="21"/>
                <w:highlight w:val="none"/>
                <w:lang w:val="en-US" w:eastAsia="zh-CN"/>
              </w:rPr>
              <w:t>4</w:t>
            </w:r>
          </w:p>
        </w:tc>
        <w:tc>
          <w:tcPr>
            <w:tcW w:w="2200" w:type="dxa"/>
            <w:noWrap w:val="0"/>
            <w:vAlign w:val="center"/>
          </w:tcPr>
          <w:p w14:paraId="49F3C526">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1" w:type="dxa"/>
            <w:noWrap w:val="0"/>
            <w:vAlign w:val="center"/>
          </w:tcPr>
          <w:p w14:paraId="64E796EE">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2000FD21">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309B47EB">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79D85D16">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5D88C8C1">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w:t>
            </w:r>
          </w:p>
        </w:tc>
      </w:tr>
      <w:tr w14:paraId="2F362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7" w:hRule="atLeast"/>
          <w:jc w:val="center"/>
        </w:trPr>
        <w:tc>
          <w:tcPr>
            <w:tcW w:w="832" w:type="dxa"/>
            <w:noWrap w:val="0"/>
            <w:vAlign w:val="center"/>
          </w:tcPr>
          <w:p w14:paraId="72711802">
            <w:pPr>
              <w:widowControl w:val="0"/>
              <w:autoSpaceDE w:val="0"/>
              <w:autoSpaceDN w:val="0"/>
              <w:adjustRightInd w:val="0"/>
              <w:snapToGrid w:val="0"/>
              <w:ind w:firstLine="0" w:firstLineChars="0"/>
              <w:jc w:val="left"/>
              <w:rPr>
                <w:rFonts w:hint="eastAsia" w:ascii="Times New Roman" w:hAnsi="Times New Roman" w:eastAsia="宋体" w:cs="Times New Roman"/>
                <w:color w:val="auto"/>
                <w:sz w:val="18"/>
                <w:szCs w:val="21"/>
                <w:highlight w:val="none"/>
                <w:lang w:val="en-US" w:eastAsia="zh-CN"/>
              </w:rPr>
            </w:pPr>
            <w:r>
              <w:rPr>
                <w:rFonts w:hint="eastAsia" w:ascii="Times New Roman" w:hAnsi="Times New Roman" w:eastAsia="宋体" w:cs="Times New Roman"/>
                <w:color w:val="auto"/>
                <w:sz w:val="18"/>
                <w:szCs w:val="21"/>
                <w:highlight w:val="none"/>
                <w:lang w:val="en-US" w:eastAsia="zh-CN"/>
              </w:rPr>
              <w:t>5</w:t>
            </w:r>
          </w:p>
        </w:tc>
        <w:tc>
          <w:tcPr>
            <w:tcW w:w="2200" w:type="dxa"/>
            <w:noWrap w:val="0"/>
            <w:vAlign w:val="center"/>
          </w:tcPr>
          <w:p w14:paraId="0AAF459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1" w:type="dxa"/>
            <w:noWrap w:val="0"/>
            <w:vAlign w:val="center"/>
          </w:tcPr>
          <w:p w14:paraId="7A4B7CF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4B88EE30">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1E856E38">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602017C4">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2C663EE3">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r>
      <w:tr w14:paraId="06A65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8" w:hRule="atLeast"/>
          <w:jc w:val="center"/>
        </w:trPr>
        <w:tc>
          <w:tcPr>
            <w:tcW w:w="832" w:type="dxa"/>
            <w:noWrap w:val="0"/>
            <w:vAlign w:val="center"/>
          </w:tcPr>
          <w:p w14:paraId="5A734F49">
            <w:pPr>
              <w:widowControl w:val="0"/>
              <w:autoSpaceDE w:val="0"/>
              <w:autoSpaceDN w:val="0"/>
              <w:adjustRightInd w:val="0"/>
              <w:snapToGrid w:val="0"/>
              <w:ind w:firstLine="0" w:firstLineChars="0"/>
              <w:jc w:val="left"/>
              <w:rPr>
                <w:rFonts w:hint="eastAsia" w:ascii="Times New Roman" w:hAnsi="Times New Roman" w:eastAsia="宋体" w:cs="Times New Roman"/>
                <w:color w:val="auto"/>
                <w:sz w:val="18"/>
                <w:szCs w:val="21"/>
                <w:highlight w:val="none"/>
                <w:lang w:val="en-US" w:eastAsia="zh-CN"/>
              </w:rPr>
            </w:pPr>
          </w:p>
        </w:tc>
        <w:tc>
          <w:tcPr>
            <w:tcW w:w="2200" w:type="dxa"/>
            <w:noWrap w:val="0"/>
            <w:vAlign w:val="center"/>
          </w:tcPr>
          <w:p w14:paraId="3CAB0A1F">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r>
              <w:rPr>
                <w:rFonts w:ascii="Times New Roman" w:hAnsi="Times New Roman" w:eastAsia="宋体" w:cs="Times New Roman"/>
                <w:color w:val="auto"/>
                <w:sz w:val="18"/>
                <w:szCs w:val="21"/>
                <w:highlight w:val="none"/>
              </w:rPr>
              <w:t>……</w:t>
            </w:r>
          </w:p>
        </w:tc>
        <w:tc>
          <w:tcPr>
            <w:tcW w:w="1381" w:type="dxa"/>
            <w:noWrap w:val="0"/>
            <w:vAlign w:val="center"/>
          </w:tcPr>
          <w:p w14:paraId="5E4810B0">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42" w:type="dxa"/>
            <w:noWrap w:val="0"/>
            <w:vAlign w:val="center"/>
          </w:tcPr>
          <w:p w14:paraId="65B6206D">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954" w:type="dxa"/>
            <w:noWrap w:val="0"/>
            <w:vAlign w:val="center"/>
          </w:tcPr>
          <w:p w14:paraId="1FE25530">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1383" w:type="dxa"/>
            <w:noWrap w:val="0"/>
            <w:vAlign w:val="center"/>
          </w:tcPr>
          <w:p w14:paraId="24872531">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c>
          <w:tcPr>
            <w:tcW w:w="621" w:type="dxa"/>
            <w:noWrap w:val="0"/>
            <w:vAlign w:val="center"/>
          </w:tcPr>
          <w:p w14:paraId="0077414E">
            <w:pPr>
              <w:widowControl w:val="0"/>
              <w:autoSpaceDE w:val="0"/>
              <w:autoSpaceDN w:val="0"/>
              <w:adjustRightInd w:val="0"/>
              <w:snapToGrid w:val="0"/>
              <w:ind w:firstLine="0" w:firstLineChars="0"/>
              <w:jc w:val="left"/>
              <w:rPr>
                <w:rFonts w:ascii="Times New Roman" w:hAnsi="Times New Roman" w:eastAsia="宋体" w:cs="Times New Roman"/>
                <w:color w:val="auto"/>
                <w:sz w:val="18"/>
                <w:szCs w:val="21"/>
                <w:highlight w:val="none"/>
              </w:rPr>
            </w:pPr>
          </w:p>
        </w:tc>
      </w:tr>
    </w:tbl>
    <w:p w14:paraId="55865EB2">
      <w:pPr>
        <w:ind w:left="0" w:leftChars="0" w:firstLine="0" w:firstLineChars="0"/>
        <w:jc w:val="left"/>
        <w:outlineLvl w:val="9"/>
        <w:rPr>
          <w:rFonts w:hint="eastAsia" w:ascii="宋体" w:hAnsi="宋体" w:eastAsia="宋体"/>
          <w:b w:val="0"/>
          <w:bCs/>
          <w:color w:val="auto"/>
          <w:sz w:val="24"/>
          <w:szCs w:val="20"/>
          <w:highlight w:val="none"/>
          <w:lang w:val="en-US" w:eastAsia="zh-CN"/>
        </w:rPr>
      </w:pPr>
    </w:p>
    <w:p w14:paraId="7C1CFBED">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61E6D8A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1.</w:t>
      </w:r>
      <w:r>
        <w:rPr>
          <w:rFonts w:hint="eastAsia" w:ascii="宋体" w:hAnsi="宋体" w:eastAsia="宋体" w:cs="宋体"/>
          <w:b/>
          <w:bCs w:val="0"/>
          <w:color w:val="auto"/>
          <w:sz w:val="21"/>
          <w:szCs w:val="21"/>
          <w:highlight w:val="none"/>
          <w:lang w:val="en-US" w:eastAsia="zh-CN"/>
        </w:rPr>
        <w:t>按照招标文件第三章 评审细则/3.13 评审内容及标准《资信技术标评审标准》提供证明材料，证明材料附在本表后。</w:t>
      </w:r>
    </w:p>
    <w:p w14:paraId="2B19652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2.投标人根据招标文件业绩部分评分标准仔细填写，并填写页码，以供评标委员会查验。</w:t>
      </w:r>
    </w:p>
    <w:p w14:paraId="192C554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Theme="majorEastAsia" w:hAnsiTheme="majorEastAsia" w:eastAsiaTheme="majorEastAsia"/>
          <w:b/>
          <w:bCs/>
          <w:color w:val="auto"/>
          <w:sz w:val="24"/>
          <w:highlight w:val="none"/>
          <w:lang w:val="en-US" w:eastAsia="zh-CN"/>
        </w:rPr>
      </w:pPr>
      <w:r>
        <w:rPr>
          <w:rFonts w:hint="eastAsia" w:ascii="宋体" w:hAnsi="宋体" w:eastAsia="宋体" w:cs="Times New Roman"/>
          <w:b w:val="0"/>
          <w:bCs/>
          <w:color w:val="auto"/>
          <w:sz w:val="21"/>
          <w:szCs w:val="21"/>
          <w:highlight w:val="none"/>
          <w:lang w:val="en-US" w:eastAsia="zh-CN"/>
        </w:rPr>
        <w:t>3.上述业绩必须为真实有效，如发现业绩不符，将取消相应资格。</w:t>
      </w:r>
      <w:bookmarkEnd w:id="408"/>
      <w:bookmarkEnd w:id="409"/>
      <w:bookmarkEnd w:id="410"/>
      <w:bookmarkEnd w:id="411"/>
      <w:bookmarkEnd w:id="412"/>
      <w:bookmarkStart w:id="424" w:name="_Toc71877325"/>
      <w:r>
        <w:rPr>
          <w:rFonts w:hint="eastAsia" w:asciiTheme="majorEastAsia" w:hAnsiTheme="majorEastAsia" w:eastAsiaTheme="majorEastAsia"/>
          <w:b/>
          <w:bCs/>
          <w:color w:val="auto"/>
          <w:sz w:val="24"/>
          <w:highlight w:val="none"/>
          <w:lang w:val="en-US" w:eastAsia="zh-CN"/>
        </w:rPr>
        <w:br w:type="page"/>
      </w:r>
    </w:p>
    <w:p w14:paraId="070B7ED8">
      <w:pPr>
        <w:ind w:firstLine="0" w:firstLineChars="0"/>
        <w:outlineLvl w:val="2"/>
        <w:rPr>
          <w:rFonts w:hint="eastAsia" w:cs="Times New Roman" w:asciiTheme="majorEastAsia" w:hAnsiTheme="majorEastAsia" w:eastAsiaTheme="majorEastAsia"/>
          <w:b/>
          <w:bCs/>
          <w:color w:val="auto"/>
          <w:sz w:val="24"/>
          <w:highlight w:val="none"/>
          <w:lang w:val="en-US" w:eastAsia="zh-CN"/>
        </w:rPr>
      </w:pPr>
      <w:bookmarkStart w:id="425" w:name="_Toc19548"/>
      <w:bookmarkStart w:id="426" w:name="_Toc19774"/>
      <w:bookmarkStart w:id="427" w:name="_Toc30424"/>
      <w:bookmarkStart w:id="428" w:name="_Toc11412"/>
      <w:bookmarkStart w:id="429" w:name="_Toc27556"/>
      <w:bookmarkStart w:id="430" w:name="_Toc410220109"/>
      <w:r>
        <w:rPr>
          <w:rFonts w:hint="eastAsia" w:cs="Times New Roman" w:asciiTheme="majorEastAsia" w:hAnsiTheme="majorEastAsia" w:eastAsiaTheme="majorEastAsia"/>
          <w:b/>
          <w:bCs/>
          <w:color w:val="auto"/>
          <w:sz w:val="24"/>
          <w:highlight w:val="none"/>
          <w:lang w:val="en-US" w:eastAsia="zh-CN"/>
        </w:rPr>
        <w:t>A6、</w:t>
      </w:r>
      <w:bookmarkEnd w:id="425"/>
      <w:r>
        <w:rPr>
          <w:rFonts w:hint="eastAsia" w:cs="Times New Roman" w:asciiTheme="majorEastAsia" w:hAnsiTheme="majorEastAsia" w:eastAsiaTheme="majorEastAsia"/>
          <w:b/>
          <w:bCs/>
          <w:color w:val="auto"/>
          <w:sz w:val="24"/>
          <w:highlight w:val="none"/>
          <w:lang w:val="en-US" w:eastAsia="zh-CN"/>
        </w:rPr>
        <w:t>项目负责人履历表</w:t>
      </w:r>
    </w:p>
    <w:p w14:paraId="31D6BDCB">
      <w:pPr>
        <w:widowControl w:val="0"/>
        <w:autoSpaceDE w:val="0"/>
        <w:autoSpaceDN w:val="0"/>
        <w:adjustRightInd w:val="0"/>
        <w:snapToGrid w:val="0"/>
        <w:ind w:firstLine="0" w:firstLineChars="0"/>
        <w:jc w:val="center"/>
        <w:rPr>
          <w:rFonts w:hint="eastAsia" w:ascii="Times New Roman" w:hAnsi="Times New Roman" w:eastAsia="宋体" w:cs="Times New Roman"/>
          <w:b/>
          <w:bCs/>
          <w:color w:val="auto"/>
          <w:sz w:val="28"/>
          <w:szCs w:val="28"/>
          <w:highlight w:val="none"/>
        </w:rPr>
      </w:pPr>
    </w:p>
    <w:p w14:paraId="6DCAE54C">
      <w:pPr>
        <w:widowControl w:val="0"/>
        <w:autoSpaceDE w:val="0"/>
        <w:autoSpaceDN w:val="0"/>
        <w:adjustRightInd w:val="0"/>
        <w:snapToGrid w:val="0"/>
        <w:ind w:firstLine="0" w:firstLineChars="0"/>
        <w:jc w:val="center"/>
        <w:rPr>
          <w:rFonts w:ascii="Times New Roman" w:hAnsi="Times New Roman" w:eastAsia="宋体" w:cs="Times New Roman"/>
          <w:b/>
          <w:bCs/>
          <w:color w:val="auto"/>
          <w:sz w:val="28"/>
          <w:szCs w:val="28"/>
          <w:highlight w:val="none"/>
        </w:rPr>
      </w:pPr>
      <w:r>
        <w:rPr>
          <w:rFonts w:hint="eastAsia" w:ascii="Times New Roman" w:hAnsi="Times New Roman" w:eastAsia="宋体" w:cs="Times New Roman"/>
          <w:b/>
          <w:bCs/>
          <w:color w:val="auto"/>
          <w:sz w:val="28"/>
          <w:szCs w:val="28"/>
          <w:highlight w:val="none"/>
        </w:rPr>
        <w:t>项目负责人履历表</w:t>
      </w:r>
    </w:p>
    <w:tbl>
      <w:tblPr>
        <w:tblStyle w:val="53"/>
        <w:tblW w:w="5500" w:type="pct"/>
        <w:jc w:val="center"/>
        <w:tblLayout w:type="fixed"/>
        <w:tblCellMar>
          <w:top w:w="0" w:type="dxa"/>
          <w:left w:w="108" w:type="dxa"/>
          <w:bottom w:w="0" w:type="dxa"/>
          <w:right w:w="108" w:type="dxa"/>
        </w:tblCellMar>
      </w:tblPr>
      <w:tblGrid>
        <w:gridCol w:w="2000"/>
        <w:gridCol w:w="1904"/>
        <w:gridCol w:w="1661"/>
        <w:gridCol w:w="1409"/>
        <w:gridCol w:w="1170"/>
        <w:gridCol w:w="829"/>
        <w:gridCol w:w="708"/>
      </w:tblGrid>
      <w:tr w14:paraId="6BC1A062">
        <w:tblPrEx>
          <w:tblCellMar>
            <w:top w:w="0" w:type="dxa"/>
            <w:left w:w="108" w:type="dxa"/>
            <w:bottom w:w="0" w:type="dxa"/>
            <w:right w:w="108" w:type="dxa"/>
          </w:tblCellMar>
        </w:tblPrEx>
        <w:trPr>
          <w:trHeight w:val="581" w:hRule="atLeast"/>
          <w:jc w:val="center"/>
        </w:trPr>
        <w:tc>
          <w:tcPr>
            <w:tcW w:w="1032" w:type="pct"/>
            <w:tcBorders>
              <w:top w:val="single" w:color="auto" w:sz="4" w:space="0"/>
              <w:left w:val="single" w:color="auto" w:sz="4" w:space="0"/>
              <w:bottom w:val="single" w:color="auto" w:sz="4" w:space="0"/>
              <w:right w:val="single" w:color="auto" w:sz="4" w:space="0"/>
            </w:tcBorders>
            <w:noWrap w:val="0"/>
            <w:vAlign w:val="center"/>
          </w:tcPr>
          <w:p w14:paraId="3402D47A">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姓名</w:t>
            </w:r>
          </w:p>
        </w:tc>
        <w:tc>
          <w:tcPr>
            <w:tcW w:w="983" w:type="pct"/>
            <w:tcBorders>
              <w:top w:val="single" w:color="auto" w:sz="4" w:space="0"/>
              <w:left w:val="nil"/>
              <w:bottom w:val="single" w:color="auto" w:sz="4" w:space="0"/>
              <w:right w:val="single" w:color="auto" w:sz="4" w:space="0"/>
            </w:tcBorders>
            <w:noWrap w:val="0"/>
            <w:vAlign w:val="center"/>
          </w:tcPr>
          <w:p w14:paraId="15FA6140">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857" w:type="pct"/>
            <w:tcBorders>
              <w:top w:val="single" w:color="auto" w:sz="4" w:space="0"/>
              <w:left w:val="nil"/>
              <w:bottom w:val="single" w:color="auto" w:sz="4" w:space="0"/>
              <w:right w:val="single" w:color="auto" w:sz="4" w:space="0"/>
            </w:tcBorders>
            <w:noWrap w:val="0"/>
            <w:vAlign w:val="center"/>
          </w:tcPr>
          <w:p w14:paraId="168BAA72">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年龄</w:t>
            </w:r>
          </w:p>
        </w:tc>
        <w:tc>
          <w:tcPr>
            <w:tcW w:w="727" w:type="pct"/>
            <w:tcBorders>
              <w:top w:val="single" w:color="auto" w:sz="4" w:space="0"/>
              <w:left w:val="nil"/>
              <w:bottom w:val="single" w:color="auto" w:sz="4" w:space="0"/>
              <w:right w:val="single" w:color="auto" w:sz="4" w:space="0"/>
            </w:tcBorders>
            <w:noWrap w:val="0"/>
            <w:vAlign w:val="center"/>
          </w:tcPr>
          <w:p w14:paraId="4FED6E94">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single" w:color="auto" w:sz="4" w:space="0"/>
              <w:left w:val="nil"/>
              <w:bottom w:val="single" w:color="auto" w:sz="4" w:space="0"/>
              <w:right w:val="single" w:color="auto" w:sz="4" w:space="0"/>
            </w:tcBorders>
            <w:noWrap w:val="0"/>
            <w:vAlign w:val="center"/>
          </w:tcPr>
          <w:p w14:paraId="639D6390">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学历</w:t>
            </w:r>
          </w:p>
        </w:tc>
        <w:tc>
          <w:tcPr>
            <w:tcW w:w="793" w:type="pct"/>
            <w:gridSpan w:val="2"/>
            <w:tcBorders>
              <w:top w:val="single" w:color="auto" w:sz="4" w:space="0"/>
              <w:left w:val="nil"/>
              <w:bottom w:val="single" w:color="auto" w:sz="4" w:space="0"/>
              <w:right w:val="single" w:color="auto" w:sz="4" w:space="0"/>
            </w:tcBorders>
            <w:noWrap/>
            <w:vAlign w:val="center"/>
          </w:tcPr>
          <w:p w14:paraId="18D1B83E">
            <w:pPr>
              <w:spacing w:line="240" w:lineRule="auto"/>
              <w:ind w:firstLine="0" w:firstLineChars="0"/>
              <w:jc w:val="left"/>
              <w:rPr>
                <w:rFonts w:ascii="Times New Roman" w:hAnsi="Times New Roman" w:eastAsia="宋体" w:cs="Times New Roman"/>
                <w:color w:val="auto"/>
                <w:kern w:val="0"/>
                <w:sz w:val="22"/>
                <w:szCs w:val="22"/>
                <w:highlight w:val="none"/>
              </w:rPr>
            </w:pPr>
            <w:r>
              <w:rPr>
                <w:rFonts w:ascii="Times New Roman" w:hAnsi="Times New Roman" w:eastAsia="宋体" w:cs="Times New Roman"/>
                <w:color w:val="auto"/>
                <w:kern w:val="0"/>
                <w:sz w:val="22"/>
                <w:szCs w:val="22"/>
                <w:highlight w:val="none"/>
              </w:rPr>
              <w:t>　</w:t>
            </w:r>
          </w:p>
        </w:tc>
      </w:tr>
      <w:tr w14:paraId="7604A52A">
        <w:tblPrEx>
          <w:tblCellMar>
            <w:top w:w="0" w:type="dxa"/>
            <w:left w:w="108" w:type="dxa"/>
            <w:bottom w:w="0" w:type="dxa"/>
            <w:right w:w="108" w:type="dxa"/>
          </w:tblCellMar>
        </w:tblPrEx>
        <w:trPr>
          <w:trHeight w:val="797" w:hRule="atLeast"/>
          <w:jc w:val="center"/>
        </w:trPr>
        <w:tc>
          <w:tcPr>
            <w:tcW w:w="1032" w:type="pct"/>
            <w:tcBorders>
              <w:top w:val="nil"/>
              <w:left w:val="single" w:color="auto" w:sz="4" w:space="0"/>
              <w:bottom w:val="single" w:color="auto" w:sz="4" w:space="0"/>
              <w:right w:val="single" w:color="auto" w:sz="4" w:space="0"/>
            </w:tcBorders>
            <w:noWrap w:val="0"/>
            <w:vAlign w:val="center"/>
          </w:tcPr>
          <w:p w14:paraId="1095E3C2">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职称/执业资格证书</w:t>
            </w:r>
          </w:p>
        </w:tc>
        <w:tc>
          <w:tcPr>
            <w:tcW w:w="983" w:type="pct"/>
            <w:tcBorders>
              <w:top w:val="single" w:color="auto" w:sz="4" w:space="0"/>
              <w:left w:val="nil"/>
              <w:bottom w:val="single" w:color="auto" w:sz="4" w:space="0"/>
              <w:right w:val="single" w:color="auto" w:sz="4" w:space="0"/>
            </w:tcBorders>
            <w:noWrap w:val="0"/>
            <w:vAlign w:val="center"/>
          </w:tcPr>
          <w:p w14:paraId="1DDDF4C6">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857" w:type="pct"/>
            <w:tcBorders>
              <w:top w:val="nil"/>
              <w:left w:val="nil"/>
              <w:bottom w:val="single" w:color="auto" w:sz="4" w:space="0"/>
              <w:right w:val="single" w:color="auto" w:sz="4" w:space="0"/>
            </w:tcBorders>
            <w:noWrap w:val="0"/>
            <w:vAlign w:val="center"/>
          </w:tcPr>
          <w:p w14:paraId="3D1411B1">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职务</w:t>
            </w:r>
          </w:p>
        </w:tc>
        <w:tc>
          <w:tcPr>
            <w:tcW w:w="727" w:type="pct"/>
            <w:tcBorders>
              <w:top w:val="nil"/>
              <w:left w:val="nil"/>
              <w:bottom w:val="single" w:color="auto" w:sz="4" w:space="0"/>
              <w:right w:val="single" w:color="auto" w:sz="4" w:space="0"/>
            </w:tcBorders>
            <w:noWrap w:val="0"/>
            <w:vAlign w:val="center"/>
          </w:tcPr>
          <w:p w14:paraId="24726596">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74C7944E">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拟在本项目任职</w:t>
            </w:r>
          </w:p>
        </w:tc>
        <w:tc>
          <w:tcPr>
            <w:tcW w:w="793" w:type="pct"/>
            <w:gridSpan w:val="2"/>
            <w:tcBorders>
              <w:top w:val="nil"/>
              <w:left w:val="nil"/>
              <w:bottom w:val="single" w:color="auto" w:sz="4" w:space="0"/>
              <w:right w:val="single" w:color="auto" w:sz="4" w:space="0"/>
            </w:tcBorders>
            <w:noWrap/>
            <w:vAlign w:val="center"/>
          </w:tcPr>
          <w:p w14:paraId="6D60BBAD">
            <w:pPr>
              <w:spacing w:line="240" w:lineRule="auto"/>
              <w:ind w:firstLine="0" w:firstLineChars="0"/>
              <w:jc w:val="left"/>
              <w:rPr>
                <w:rFonts w:ascii="Times New Roman" w:hAnsi="Times New Roman" w:eastAsia="宋体" w:cs="Times New Roman"/>
                <w:color w:val="auto"/>
                <w:kern w:val="0"/>
                <w:sz w:val="22"/>
                <w:szCs w:val="22"/>
                <w:highlight w:val="none"/>
              </w:rPr>
            </w:pPr>
            <w:r>
              <w:rPr>
                <w:rFonts w:ascii="Times New Roman" w:hAnsi="Times New Roman" w:eastAsia="宋体" w:cs="Times New Roman"/>
                <w:color w:val="auto"/>
                <w:kern w:val="0"/>
                <w:sz w:val="22"/>
                <w:szCs w:val="22"/>
                <w:highlight w:val="none"/>
              </w:rPr>
              <w:t>　</w:t>
            </w:r>
          </w:p>
        </w:tc>
      </w:tr>
      <w:tr w14:paraId="78024D3C">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2C0C65CB">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毕业学校</w:t>
            </w:r>
          </w:p>
        </w:tc>
        <w:tc>
          <w:tcPr>
            <w:tcW w:w="983" w:type="pct"/>
            <w:tcBorders>
              <w:top w:val="single" w:color="auto" w:sz="4" w:space="0"/>
              <w:left w:val="nil"/>
              <w:bottom w:val="single" w:color="auto" w:sz="4" w:space="0"/>
              <w:right w:val="single" w:color="000000" w:sz="4" w:space="0"/>
            </w:tcBorders>
            <w:noWrap w:val="0"/>
            <w:vAlign w:val="center"/>
          </w:tcPr>
          <w:p w14:paraId="2A17FA2E">
            <w:pPr>
              <w:spacing w:line="240" w:lineRule="auto"/>
              <w:ind w:firstLine="0" w:firstLineChars="0"/>
              <w:jc w:val="center"/>
              <w:rPr>
                <w:rFonts w:ascii="Times New Roman" w:hAnsi="Times New Roman" w:eastAsia="宋体" w:cs="Times New Roman"/>
                <w:color w:val="auto"/>
                <w:kern w:val="0"/>
                <w:szCs w:val="21"/>
                <w:highlight w:val="none"/>
              </w:rPr>
            </w:pPr>
          </w:p>
        </w:tc>
        <w:tc>
          <w:tcPr>
            <w:tcW w:w="2983" w:type="pct"/>
            <w:gridSpan w:val="5"/>
            <w:tcBorders>
              <w:top w:val="single" w:color="auto" w:sz="4" w:space="0"/>
              <w:left w:val="nil"/>
              <w:bottom w:val="single" w:color="auto" w:sz="4" w:space="0"/>
              <w:right w:val="single" w:color="000000" w:sz="4" w:space="0"/>
            </w:tcBorders>
            <w:noWrap w:val="0"/>
            <w:vAlign w:val="center"/>
          </w:tcPr>
          <w:p w14:paraId="4FA1FA03">
            <w:pPr>
              <w:spacing w:line="240" w:lineRule="auto"/>
              <w:ind w:firstLine="1106" w:firstLineChars="395"/>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年毕业于    学校    专业</w:t>
            </w:r>
          </w:p>
        </w:tc>
      </w:tr>
      <w:tr w14:paraId="2B9E7861">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549D2E9F">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工作经验及年限</w:t>
            </w:r>
          </w:p>
        </w:tc>
        <w:tc>
          <w:tcPr>
            <w:tcW w:w="983" w:type="pct"/>
            <w:tcBorders>
              <w:top w:val="single" w:color="auto" w:sz="4" w:space="0"/>
              <w:left w:val="nil"/>
              <w:bottom w:val="single" w:color="auto" w:sz="4" w:space="0"/>
              <w:right w:val="single" w:color="000000" w:sz="4" w:space="0"/>
            </w:tcBorders>
            <w:noWrap w:val="0"/>
            <w:vAlign w:val="center"/>
          </w:tcPr>
          <w:p w14:paraId="74509D70">
            <w:pPr>
              <w:spacing w:line="240" w:lineRule="auto"/>
              <w:ind w:firstLine="0" w:firstLineChars="0"/>
              <w:jc w:val="center"/>
              <w:rPr>
                <w:rFonts w:ascii="Times New Roman" w:hAnsi="Times New Roman" w:eastAsia="宋体" w:cs="Times New Roman"/>
                <w:color w:val="auto"/>
                <w:kern w:val="0"/>
                <w:szCs w:val="21"/>
                <w:highlight w:val="none"/>
              </w:rPr>
            </w:pPr>
          </w:p>
        </w:tc>
        <w:tc>
          <w:tcPr>
            <w:tcW w:w="2983" w:type="pct"/>
            <w:gridSpan w:val="5"/>
            <w:tcBorders>
              <w:top w:val="single" w:color="auto" w:sz="4" w:space="0"/>
              <w:left w:val="nil"/>
              <w:bottom w:val="single" w:color="auto" w:sz="4" w:space="0"/>
              <w:right w:val="single" w:color="000000" w:sz="4" w:space="0"/>
            </w:tcBorders>
            <w:noWrap w:val="0"/>
            <w:vAlign w:val="center"/>
          </w:tcPr>
          <w:p w14:paraId="5EB8A385">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r>
      <w:tr w14:paraId="7DC25AC5">
        <w:tblPrEx>
          <w:tblCellMar>
            <w:top w:w="0" w:type="dxa"/>
            <w:left w:w="108" w:type="dxa"/>
            <w:bottom w:w="0" w:type="dxa"/>
            <w:right w:w="108" w:type="dxa"/>
          </w:tblCellMar>
        </w:tblPrEx>
        <w:trPr>
          <w:trHeight w:val="581" w:hRule="atLeast"/>
          <w:jc w:val="center"/>
        </w:trPr>
        <w:tc>
          <w:tcPr>
            <w:tcW w:w="5000" w:type="pct"/>
            <w:gridSpan w:val="7"/>
            <w:tcBorders>
              <w:top w:val="single" w:color="auto" w:sz="4" w:space="0"/>
              <w:left w:val="single" w:color="auto" w:sz="4" w:space="0"/>
              <w:bottom w:val="single" w:color="auto" w:sz="4" w:space="0"/>
              <w:right w:val="single" w:color="000000" w:sz="4" w:space="0"/>
            </w:tcBorders>
            <w:noWrap w:val="0"/>
            <w:vAlign w:val="center"/>
          </w:tcPr>
          <w:p w14:paraId="30BB0705">
            <w:pPr>
              <w:spacing w:line="240" w:lineRule="auto"/>
              <w:ind w:firstLine="0" w:firstLineChars="0"/>
              <w:jc w:val="center"/>
              <w:rPr>
                <w:rFonts w:hint="eastAsia" w:ascii="Times New Roman" w:hAnsi="Times New Roman"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项目经理业绩</w:t>
            </w:r>
          </w:p>
        </w:tc>
      </w:tr>
      <w:tr w14:paraId="293E4473">
        <w:tblPrEx>
          <w:tblCellMar>
            <w:top w:w="0" w:type="dxa"/>
            <w:left w:w="108" w:type="dxa"/>
            <w:bottom w:w="0" w:type="dxa"/>
            <w:right w:w="108" w:type="dxa"/>
          </w:tblCellMar>
        </w:tblPrEx>
        <w:trPr>
          <w:trHeight w:val="1059" w:hRule="atLeast"/>
          <w:jc w:val="center"/>
        </w:trPr>
        <w:tc>
          <w:tcPr>
            <w:tcW w:w="1032" w:type="pct"/>
            <w:tcBorders>
              <w:top w:val="nil"/>
              <w:left w:val="single" w:color="auto" w:sz="4" w:space="0"/>
              <w:bottom w:val="single" w:color="auto" w:sz="4" w:space="0"/>
              <w:right w:val="single" w:color="auto" w:sz="4" w:space="0"/>
            </w:tcBorders>
            <w:noWrap w:val="0"/>
            <w:vAlign w:val="center"/>
          </w:tcPr>
          <w:p w14:paraId="73B3E5D8">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参加过的类似项目</w:t>
            </w:r>
          </w:p>
        </w:tc>
        <w:tc>
          <w:tcPr>
            <w:tcW w:w="983" w:type="pct"/>
            <w:tcBorders>
              <w:top w:val="nil"/>
              <w:left w:val="nil"/>
              <w:bottom w:val="single" w:color="auto" w:sz="4" w:space="0"/>
              <w:right w:val="single" w:color="auto" w:sz="4" w:space="0"/>
            </w:tcBorders>
            <w:noWrap/>
            <w:vAlign w:val="center"/>
          </w:tcPr>
          <w:p w14:paraId="3A96FB6D">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业绩类型</w:t>
            </w:r>
          </w:p>
        </w:tc>
        <w:tc>
          <w:tcPr>
            <w:tcW w:w="857" w:type="pct"/>
            <w:tcBorders>
              <w:top w:val="nil"/>
              <w:left w:val="nil"/>
              <w:bottom w:val="single" w:color="auto" w:sz="4" w:space="0"/>
              <w:right w:val="single" w:color="auto" w:sz="4" w:space="0"/>
            </w:tcBorders>
            <w:noWrap/>
            <w:vAlign w:val="center"/>
          </w:tcPr>
          <w:p w14:paraId="44C14901">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合同签订时间</w:t>
            </w:r>
          </w:p>
        </w:tc>
        <w:tc>
          <w:tcPr>
            <w:tcW w:w="727" w:type="pct"/>
            <w:tcBorders>
              <w:top w:val="nil"/>
              <w:left w:val="nil"/>
              <w:bottom w:val="single" w:color="auto" w:sz="4" w:space="0"/>
              <w:right w:val="single" w:color="auto" w:sz="4" w:space="0"/>
            </w:tcBorders>
            <w:noWrap/>
            <w:vAlign w:val="center"/>
          </w:tcPr>
          <w:p w14:paraId="062DF925">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合同金额（万元）</w:t>
            </w:r>
          </w:p>
        </w:tc>
        <w:tc>
          <w:tcPr>
            <w:tcW w:w="604" w:type="pct"/>
            <w:tcBorders>
              <w:top w:val="nil"/>
              <w:left w:val="nil"/>
              <w:bottom w:val="single" w:color="auto" w:sz="4" w:space="0"/>
              <w:right w:val="single" w:color="auto" w:sz="4" w:space="0"/>
            </w:tcBorders>
            <w:noWrap w:val="0"/>
            <w:vAlign w:val="center"/>
          </w:tcPr>
          <w:p w14:paraId="51C54F83">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担任职务</w:t>
            </w:r>
          </w:p>
        </w:tc>
        <w:tc>
          <w:tcPr>
            <w:tcW w:w="428" w:type="pct"/>
            <w:tcBorders>
              <w:top w:val="single" w:color="auto" w:sz="4" w:space="0"/>
              <w:left w:val="nil"/>
              <w:bottom w:val="single" w:color="auto" w:sz="4" w:space="0"/>
              <w:right w:val="single" w:color="auto" w:sz="4" w:space="0"/>
            </w:tcBorders>
            <w:noWrap w:val="0"/>
            <w:vAlign w:val="center"/>
          </w:tcPr>
          <w:p w14:paraId="079F9715">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建设单位</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23B5EE16">
            <w:pPr>
              <w:spacing w:line="240" w:lineRule="auto"/>
              <w:ind w:firstLine="0" w:firstLineChars="0"/>
              <w:jc w:val="center"/>
              <w:rPr>
                <w:rFonts w:ascii="Times New Roman" w:hAnsi="Times New Roman" w:eastAsia="宋体" w:cs="Times New Roman"/>
                <w:color w:val="auto"/>
                <w:kern w:val="0"/>
                <w:szCs w:val="21"/>
                <w:highlight w:val="none"/>
              </w:rPr>
            </w:pPr>
            <w:r>
              <w:rPr>
                <w:rFonts w:hint="eastAsia" w:ascii="Times New Roman" w:hAnsi="Times New Roman" w:eastAsia="宋体" w:cs="Times New Roman"/>
                <w:color w:val="auto"/>
                <w:kern w:val="0"/>
                <w:szCs w:val="21"/>
                <w:highlight w:val="none"/>
              </w:rPr>
              <w:t>详见页码</w:t>
            </w:r>
          </w:p>
        </w:tc>
      </w:tr>
      <w:tr w14:paraId="71E726DF">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2414674F">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2EE097E1">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10378C24">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5744EE51">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1CEF42D9">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7825FD6F">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4DB1EE7E">
            <w:pPr>
              <w:spacing w:line="240" w:lineRule="auto"/>
              <w:ind w:firstLine="0" w:firstLineChars="0"/>
              <w:jc w:val="center"/>
              <w:rPr>
                <w:rFonts w:ascii="Times New Roman" w:hAnsi="Times New Roman" w:eastAsia="宋体" w:cs="Times New Roman"/>
                <w:color w:val="auto"/>
                <w:kern w:val="0"/>
                <w:szCs w:val="21"/>
                <w:highlight w:val="none"/>
              </w:rPr>
            </w:pPr>
            <w:bookmarkStart w:id="431" w:name="OLE_LINK159"/>
            <w:r>
              <w:rPr>
                <w:rFonts w:ascii="Times New Roman" w:hAnsi="Times New Roman" w:eastAsia="宋体" w:cs="Times New Roman"/>
                <w:color w:val="auto"/>
                <w:kern w:val="0"/>
                <w:szCs w:val="21"/>
                <w:highlight w:val="none"/>
              </w:rPr>
              <w:t>P</w:t>
            </w:r>
            <w:bookmarkEnd w:id="431"/>
          </w:p>
        </w:tc>
      </w:tr>
      <w:tr w14:paraId="0EE98750">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37F0FF27">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0A1808EA">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7B44B1DC">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4152F198">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66017486">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11F42F71">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21590D74">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P</w:t>
            </w:r>
          </w:p>
        </w:tc>
      </w:tr>
      <w:tr w14:paraId="541CEA0D">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2E3C3779">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37D4E2AF">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1453C11C">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0660DB08">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25CC81C0">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7706FE35">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76761DAE">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P</w:t>
            </w:r>
          </w:p>
        </w:tc>
      </w:tr>
      <w:tr w14:paraId="0F73B1D9">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598BBDEA">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0062BAE4">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31B42B8F">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70D6F87B">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1922B730">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19FBD4F3">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3F7D2283">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P</w:t>
            </w:r>
          </w:p>
        </w:tc>
      </w:tr>
      <w:tr w14:paraId="248D5D42">
        <w:tblPrEx>
          <w:tblCellMar>
            <w:top w:w="0" w:type="dxa"/>
            <w:left w:w="108" w:type="dxa"/>
            <w:bottom w:w="0" w:type="dxa"/>
            <w:right w:w="108" w:type="dxa"/>
          </w:tblCellMar>
        </w:tblPrEx>
        <w:trPr>
          <w:trHeight w:val="581" w:hRule="atLeast"/>
          <w:jc w:val="center"/>
        </w:trPr>
        <w:tc>
          <w:tcPr>
            <w:tcW w:w="1032" w:type="pct"/>
            <w:tcBorders>
              <w:top w:val="nil"/>
              <w:left w:val="single" w:color="auto" w:sz="4" w:space="0"/>
              <w:bottom w:val="single" w:color="auto" w:sz="4" w:space="0"/>
              <w:right w:val="single" w:color="auto" w:sz="4" w:space="0"/>
            </w:tcBorders>
            <w:noWrap w:val="0"/>
            <w:vAlign w:val="center"/>
          </w:tcPr>
          <w:p w14:paraId="24CDC5E0">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36A99DCA">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79BBD35F">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59D0CEDD">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70CF67D1">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5CDD1C94">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701DADE2">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P</w:t>
            </w:r>
          </w:p>
        </w:tc>
      </w:tr>
      <w:tr w14:paraId="3545C66C">
        <w:tblPrEx>
          <w:tblCellMar>
            <w:top w:w="0" w:type="dxa"/>
            <w:left w:w="108" w:type="dxa"/>
            <w:bottom w:w="0" w:type="dxa"/>
            <w:right w:w="108" w:type="dxa"/>
          </w:tblCellMar>
        </w:tblPrEx>
        <w:trPr>
          <w:trHeight w:val="600" w:hRule="atLeast"/>
          <w:jc w:val="center"/>
        </w:trPr>
        <w:tc>
          <w:tcPr>
            <w:tcW w:w="1032" w:type="pct"/>
            <w:tcBorders>
              <w:top w:val="nil"/>
              <w:left w:val="single" w:color="auto" w:sz="4" w:space="0"/>
              <w:bottom w:val="single" w:color="auto" w:sz="4" w:space="0"/>
              <w:right w:val="single" w:color="auto" w:sz="4" w:space="0"/>
            </w:tcBorders>
            <w:noWrap w:val="0"/>
            <w:vAlign w:val="center"/>
          </w:tcPr>
          <w:p w14:paraId="64F245CD">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983" w:type="pct"/>
            <w:tcBorders>
              <w:top w:val="nil"/>
              <w:left w:val="nil"/>
              <w:bottom w:val="single" w:color="auto" w:sz="4" w:space="0"/>
              <w:right w:val="single" w:color="auto" w:sz="4" w:space="0"/>
            </w:tcBorders>
            <w:noWrap w:val="0"/>
            <w:vAlign w:val="center"/>
          </w:tcPr>
          <w:p w14:paraId="64C7CFFF">
            <w:pPr>
              <w:spacing w:line="240" w:lineRule="auto"/>
              <w:ind w:firstLine="0" w:firstLineChars="0"/>
              <w:jc w:val="left"/>
              <w:rPr>
                <w:rFonts w:ascii="Times New Roman" w:hAnsi="Times New Roman" w:eastAsia="宋体" w:cs="Times New Roman"/>
                <w:color w:val="auto"/>
                <w:kern w:val="0"/>
                <w:szCs w:val="21"/>
                <w:highlight w:val="none"/>
              </w:rPr>
            </w:pPr>
          </w:p>
        </w:tc>
        <w:tc>
          <w:tcPr>
            <w:tcW w:w="857" w:type="pct"/>
            <w:tcBorders>
              <w:top w:val="nil"/>
              <w:left w:val="nil"/>
              <w:bottom w:val="single" w:color="auto" w:sz="4" w:space="0"/>
              <w:right w:val="single" w:color="auto" w:sz="4" w:space="0"/>
            </w:tcBorders>
            <w:noWrap w:val="0"/>
            <w:vAlign w:val="center"/>
          </w:tcPr>
          <w:p w14:paraId="3F11181E">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727" w:type="pct"/>
            <w:tcBorders>
              <w:top w:val="nil"/>
              <w:left w:val="nil"/>
              <w:bottom w:val="single" w:color="auto" w:sz="4" w:space="0"/>
              <w:right w:val="single" w:color="auto" w:sz="4" w:space="0"/>
            </w:tcBorders>
            <w:noWrap w:val="0"/>
            <w:vAlign w:val="center"/>
          </w:tcPr>
          <w:p w14:paraId="2B73CFE8">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604" w:type="pct"/>
            <w:tcBorders>
              <w:top w:val="nil"/>
              <w:left w:val="nil"/>
              <w:bottom w:val="single" w:color="auto" w:sz="4" w:space="0"/>
              <w:right w:val="single" w:color="auto" w:sz="4" w:space="0"/>
            </w:tcBorders>
            <w:noWrap w:val="0"/>
            <w:vAlign w:val="center"/>
          </w:tcPr>
          <w:p w14:paraId="26D0E575">
            <w:pPr>
              <w:spacing w:line="240" w:lineRule="auto"/>
              <w:ind w:firstLine="0" w:firstLineChars="0"/>
              <w:jc w:val="left"/>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428" w:type="pct"/>
            <w:tcBorders>
              <w:top w:val="single" w:color="auto" w:sz="4" w:space="0"/>
              <w:left w:val="nil"/>
              <w:bottom w:val="single" w:color="auto" w:sz="4" w:space="0"/>
              <w:right w:val="single" w:color="auto" w:sz="4" w:space="0"/>
            </w:tcBorders>
            <w:noWrap w:val="0"/>
            <w:vAlign w:val="center"/>
          </w:tcPr>
          <w:p w14:paraId="49AA6627">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　</w:t>
            </w:r>
          </w:p>
        </w:tc>
        <w:tc>
          <w:tcPr>
            <w:tcW w:w="365" w:type="pct"/>
            <w:tcBorders>
              <w:top w:val="single" w:color="auto" w:sz="4" w:space="0"/>
              <w:left w:val="single" w:color="auto" w:sz="4" w:space="0"/>
              <w:bottom w:val="single" w:color="auto" w:sz="4" w:space="0"/>
              <w:right w:val="single" w:color="000000" w:sz="4" w:space="0"/>
            </w:tcBorders>
            <w:noWrap w:val="0"/>
            <w:vAlign w:val="center"/>
          </w:tcPr>
          <w:p w14:paraId="68C2E9CC">
            <w:pPr>
              <w:spacing w:line="240" w:lineRule="auto"/>
              <w:ind w:firstLine="0" w:firstLineChars="0"/>
              <w:jc w:val="center"/>
              <w:rPr>
                <w:rFonts w:ascii="Times New Roman" w:hAnsi="Times New Roman" w:eastAsia="宋体" w:cs="Times New Roman"/>
                <w:color w:val="auto"/>
                <w:kern w:val="0"/>
                <w:szCs w:val="21"/>
                <w:highlight w:val="none"/>
              </w:rPr>
            </w:pPr>
            <w:r>
              <w:rPr>
                <w:rFonts w:ascii="Times New Roman" w:hAnsi="Times New Roman" w:eastAsia="宋体" w:cs="Times New Roman"/>
                <w:color w:val="auto"/>
                <w:kern w:val="0"/>
                <w:szCs w:val="21"/>
                <w:highlight w:val="none"/>
              </w:rPr>
              <w:t>P</w:t>
            </w:r>
          </w:p>
        </w:tc>
      </w:tr>
    </w:tbl>
    <w:p w14:paraId="3AA7FAEB">
      <w:pPr>
        <w:widowControl w:val="0"/>
        <w:autoSpaceDE w:val="0"/>
        <w:autoSpaceDN w:val="0"/>
        <w:adjustRightInd w:val="0"/>
        <w:snapToGrid w:val="0"/>
        <w:spacing w:line="360" w:lineRule="auto"/>
        <w:ind w:firstLine="0" w:firstLineChars="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重要提示：</w:t>
      </w:r>
    </w:p>
    <w:p w14:paraId="0934ACF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bCs w:val="0"/>
          <w:color w:val="auto"/>
          <w:sz w:val="21"/>
          <w:szCs w:val="21"/>
          <w:highlight w:val="none"/>
          <w:lang w:val="en-US" w:eastAsia="zh-CN"/>
        </w:rPr>
      </w:pPr>
      <w:r>
        <w:rPr>
          <w:rFonts w:hint="eastAsia" w:ascii="宋体" w:hAnsi="宋体" w:eastAsia="宋体"/>
          <w:b/>
          <w:bCs w:val="0"/>
          <w:color w:val="auto"/>
          <w:sz w:val="21"/>
          <w:szCs w:val="21"/>
          <w:highlight w:val="none"/>
          <w:lang w:val="en-US" w:eastAsia="zh-CN"/>
        </w:rPr>
        <w:t>1.</w:t>
      </w:r>
      <w:r>
        <w:rPr>
          <w:rFonts w:hint="eastAsia" w:ascii="宋体" w:hAnsi="宋体" w:eastAsia="宋体" w:cs="宋体"/>
          <w:b/>
          <w:bCs w:val="0"/>
          <w:color w:val="auto"/>
          <w:sz w:val="21"/>
          <w:szCs w:val="21"/>
          <w:highlight w:val="none"/>
          <w:lang w:val="en-US" w:eastAsia="zh-CN"/>
        </w:rPr>
        <w:t>按照招标文件第三章 评审细则/3.13 评审内容及标准《资信技术标评审标准》提供证明材料，证明材料附在本表后。</w:t>
      </w:r>
    </w:p>
    <w:p w14:paraId="40930CC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2.投标人根据招标文件业绩部分评分标准仔细填写，并填写页码，以供评标委员会查验。</w:t>
      </w:r>
    </w:p>
    <w:p w14:paraId="5436082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left"/>
        <w:textAlignment w:val="auto"/>
        <w:outlineLvl w:val="9"/>
        <w:rPr>
          <w:rFonts w:hint="eastAsia"/>
          <w:lang w:val="en-US" w:eastAsia="zh-CN"/>
        </w:rPr>
      </w:pPr>
      <w:r>
        <w:rPr>
          <w:rFonts w:hint="eastAsia" w:ascii="宋体" w:hAnsi="宋体" w:eastAsia="宋体" w:cs="Times New Roman"/>
          <w:b w:val="0"/>
          <w:bCs/>
          <w:color w:val="auto"/>
          <w:sz w:val="21"/>
          <w:szCs w:val="21"/>
          <w:highlight w:val="none"/>
          <w:lang w:val="en-US" w:eastAsia="zh-CN"/>
        </w:rPr>
        <w:t>3.上述业绩必须为真实有效，如发现业绩不符，将取消相应资格。</w:t>
      </w:r>
    </w:p>
    <w:p w14:paraId="237737A9">
      <w:pPr>
        <w:rPr>
          <w:rFonts w:hint="eastAsia" w:asciiTheme="majorEastAsia" w:hAnsiTheme="majorEastAsia" w:eastAsiaTheme="majorEastAsia"/>
          <w:b/>
          <w:bCs/>
          <w:color w:val="auto"/>
          <w:sz w:val="24"/>
          <w:highlight w:val="none"/>
          <w:lang w:val="en-US" w:eastAsia="zh-CN"/>
        </w:rPr>
      </w:pPr>
      <w:r>
        <w:rPr>
          <w:rFonts w:hint="eastAsia" w:asciiTheme="majorEastAsia" w:hAnsiTheme="majorEastAsia" w:eastAsiaTheme="majorEastAsia"/>
          <w:b/>
          <w:bCs/>
          <w:color w:val="auto"/>
          <w:sz w:val="24"/>
          <w:highlight w:val="none"/>
          <w:lang w:val="en-US" w:eastAsia="zh-CN"/>
        </w:rPr>
        <w:br w:type="page"/>
      </w:r>
    </w:p>
    <w:p w14:paraId="5010B749">
      <w:pPr>
        <w:ind w:firstLine="0" w:firstLineChars="0"/>
        <w:outlineLvl w:val="2"/>
        <w:rPr>
          <w:rFonts w:hint="eastAsia" w:cs="Times New Roman" w:asciiTheme="majorEastAsia" w:hAnsiTheme="majorEastAsia" w:eastAsiaTheme="majorEastAsia"/>
          <w:b/>
          <w:color w:val="auto"/>
          <w:sz w:val="28"/>
          <w:szCs w:val="28"/>
          <w:highlight w:val="none"/>
        </w:rPr>
      </w:pPr>
      <w:r>
        <w:rPr>
          <w:rFonts w:hint="eastAsia" w:cs="Times New Roman" w:asciiTheme="majorEastAsia" w:hAnsiTheme="majorEastAsia" w:eastAsiaTheme="majorEastAsia"/>
          <w:b/>
          <w:color w:val="auto"/>
          <w:sz w:val="24"/>
          <w:szCs w:val="24"/>
          <w:highlight w:val="none"/>
          <w:lang w:val="en-US" w:eastAsia="zh-CN"/>
        </w:rPr>
        <w:t>A7、</w:t>
      </w:r>
      <w:r>
        <w:rPr>
          <w:rFonts w:hint="eastAsia" w:cs="Times New Roman" w:asciiTheme="majorEastAsia" w:hAnsiTheme="majorEastAsia" w:eastAsiaTheme="majorEastAsia"/>
          <w:b/>
          <w:color w:val="auto"/>
          <w:sz w:val="24"/>
          <w:szCs w:val="24"/>
          <w:highlight w:val="none"/>
        </w:rPr>
        <w:t>投标人股东关系构成表</w:t>
      </w:r>
    </w:p>
    <w:p w14:paraId="55C20D9D">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b/>
          <w:color w:val="auto"/>
          <w:sz w:val="32"/>
          <w:szCs w:val="32"/>
          <w:highlight w:val="none"/>
        </w:rPr>
      </w:pPr>
    </w:p>
    <w:p w14:paraId="3A00D204">
      <w:pPr>
        <w:widowControl w:val="0"/>
        <w:autoSpaceDE w:val="0"/>
        <w:autoSpaceDN w:val="0"/>
        <w:adjustRightInd w:val="0"/>
        <w:snapToGrid w:val="0"/>
        <w:ind w:firstLine="0" w:firstLineChars="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
          <w:color w:val="auto"/>
          <w:sz w:val="32"/>
          <w:szCs w:val="32"/>
          <w:highlight w:val="none"/>
        </w:rPr>
        <w:t>投标人股东关系构成表</w:t>
      </w:r>
    </w:p>
    <w:tbl>
      <w:tblPr>
        <w:tblStyle w:val="5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84"/>
        <w:gridCol w:w="6516"/>
      </w:tblGrid>
      <w:tr w14:paraId="3654E7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0D2488F9">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投标人名称</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687E9A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49E4A9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377F92D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本单位负责人（法定代表人）姓名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69B3F81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p>
        </w:tc>
      </w:tr>
      <w:tr w14:paraId="7C91EA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40CBF478">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是否存在本单位的控股股东</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C55D7C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□是，其控股股东为：</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3FC81847">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其他主要股东及其股份占比：</w:t>
            </w:r>
            <w:r>
              <w:rPr>
                <w:rFonts w:hint="eastAsia" w:asciiTheme="minorEastAsia" w:hAnsiTheme="minorEastAsia" w:eastAsiaTheme="minorEastAsia" w:cstheme="minorEastAsia"/>
                <w:color w:val="auto"/>
                <w:kern w:val="0"/>
                <w:sz w:val="21"/>
                <w:szCs w:val="21"/>
                <w:highlight w:val="none"/>
                <w:u w:val="single"/>
              </w:rPr>
              <w:t xml:space="preserve">                               </w:t>
            </w:r>
            <w:r>
              <w:rPr>
                <w:rFonts w:hint="eastAsia" w:asciiTheme="minorEastAsia" w:hAnsiTheme="minorEastAsia" w:eastAsiaTheme="minorEastAsia" w:cstheme="minorEastAsia"/>
                <w:color w:val="auto"/>
                <w:kern w:val="0"/>
                <w:sz w:val="21"/>
                <w:szCs w:val="21"/>
                <w:highlight w:val="none"/>
              </w:rPr>
              <w:t>。</w:t>
            </w:r>
          </w:p>
          <w:p w14:paraId="3F92AF0F">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00CC29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41C3477D">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是否存在“与本单位存在管理关系的单位”</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0B3C7056">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□是，该单位为：</w:t>
            </w:r>
            <w:r>
              <w:rPr>
                <w:rFonts w:hint="eastAsia" w:asciiTheme="minorEastAsia" w:hAnsiTheme="minorEastAsia" w:eastAsiaTheme="minorEastAsia" w:cstheme="minorEastAsia"/>
                <w:color w:val="auto"/>
                <w:kern w:val="0"/>
                <w:sz w:val="21"/>
                <w:szCs w:val="21"/>
                <w:highlight w:val="none"/>
                <w:u w:val="single"/>
              </w:rPr>
              <w:t xml:space="preserve">                                          </w:t>
            </w:r>
          </w:p>
          <w:p w14:paraId="23E8D485">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r w14:paraId="53C14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7" w:hRule="atLeast"/>
        </w:trPr>
        <w:tc>
          <w:tcPr>
            <w:tcW w:w="1298" w:type="pct"/>
            <w:tcBorders>
              <w:top w:val="single" w:color="000000" w:sz="4" w:space="0"/>
              <w:left w:val="single" w:color="000000" w:sz="4" w:space="0"/>
              <w:bottom w:val="single" w:color="000000" w:sz="4" w:space="0"/>
              <w:right w:val="single" w:color="000000" w:sz="4" w:space="0"/>
            </w:tcBorders>
            <w:shd w:val="clear" w:color="auto" w:fill="D9E2F3"/>
            <w:noWrap w:val="0"/>
            <w:vAlign w:val="center"/>
          </w:tcPr>
          <w:p w14:paraId="2B4ECB8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是否存在“与招标人有利害关系”的情况</w:t>
            </w:r>
          </w:p>
        </w:tc>
        <w:tc>
          <w:tcPr>
            <w:tcW w:w="3702" w:type="pct"/>
            <w:tcBorders>
              <w:top w:val="single" w:color="000000" w:sz="4" w:space="0"/>
              <w:left w:val="single" w:color="000000" w:sz="4" w:space="0"/>
              <w:bottom w:val="single" w:color="000000" w:sz="4" w:space="0"/>
              <w:right w:val="single" w:color="000000" w:sz="4" w:space="0"/>
            </w:tcBorders>
            <w:noWrap w:val="0"/>
            <w:vAlign w:val="center"/>
          </w:tcPr>
          <w:p w14:paraId="11DD7A6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u w:val="single"/>
              </w:rPr>
            </w:pPr>
            <w:r>
              <w:rPr>
                <w:rFonts w:hint="eastAsia" w:asciiTheme="minorEastAsia" w:hAnsiTheme="minorEastAsia" w:eastAsiaTheme="minorEastAsia" w:cstheme="minorEastAsia"/>
                <w:color w:val="auto"/>
                <w:kern w:val="0"/>
                <w:sz w:val="21"/>
                <w:szCs w:val="21"/>
                <w:highlight w:val="none"/>
              </w:rPr>
              <w:t>□是，与招标人的关系为：</w:t>
            </w:r>
            <w:r>
              <w:rPr>
                <w:rFonts w:hint="eastAsia" w:asciiTheme="minorEastAsia" w:hAnsiTheme="minorEastAsia" w:eastAsiaTheme="minorEastAsia" w:cstheme="minorEastAsia"/>
                <w:color w:val="auto"/>
                <w:kern w:val="0"/>
                <w:sz w:val="21"/>
                <w:szCs w:val="21"/>
                <w:highlight w:val="none"/>
                <w:u w:val="single"/>
              </w:rPr>
              <w:t xml:space="preserve">                                   </w:t>
            </w:r>
          </w:p>
          <w:p w14:paraId="6560858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auto"/>
                <w:kern w:val="0"/>
                <w:sz w:val="21"/>
                <w:szCs w:val="21"/>
                <w:highlight w:val="none"/>
              </w:rPr>
              <w:t>□否</w:t>
            </w:r>
          </w:p>
        </w:tc>
      </w:tr>
    </w:tbl>
    <w:p w14:paraId="1AFD686C">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注：</w:t>
      </w:r>
    </w:p>
    <w:p w14:paraId="0328C0AB">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1、控股是指：其出资额占有限责任公司资本总额百分之五十以上或其持有的股份占股份有限公司股本总额百分之五十以上的股东；出资额或者持有股份的比例虽然不足百分之五十，但依其出资额或者或其持有的股份享有的表决权已足以对股东会、股东大会的决议产生重大影响的股东；</w:t>
      </w:r>
    </w:p>
    <w:p w14:paraId="4791EABE">
      <w:pPr>
        <w:widowControl w:val="0"/>
        <w:autoSpaceDE w:val="0"/>
        <w:autoSpaceDN w:val="0"/>
        <w:adjustRightInd w:val="0"/>
        <w:snapToGrid w:val="0"/>
        <w:ind w:firstLine="0" w:firstLineChars="0"/>
        <w:jc w:val="left"/>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2、此表格必须填写，否则将视为未实质性响应招标文件；</w:t>
      </w:r>
    </w:p>
    <w:p w14:paraId="18A4742C">
      <w:pPr>
        <w:widowControl w:val="0"/>
        <w:autoSpaceDE w:val="0"/>
        <w:autoSpaceDN w:val="0"/>
        <w:adjustRightInd w:val="0"/>
        <w:snapToGrid w:val="0"/>
        <w:ind w:firstLine="0" w:firstLineChars="0"/>
        <w:jc w:val="left"/>
        <w:rPr>
          <w:rFonts w:hint="eastAsia" w:ascii="宋体" w:hAnsi="宋体"/>
          <w:bCs/>
          <w:color w:val="auto"/>
          <w:szCs w:val="21"/>
          <w:highlight w:val="none"/>
        </w:rPr>
      </w:pPr>
      <w:bookmarkStart w:id="432" w:name="_Toc14522"/>
      <w:bookmarkStart w:id="433" w:name="_Toc21805"/>
      <w:bookmarkStart w:id="434" w:name="_Toc29417"/>
      <w:bookmarkStart w:id="435" w:name="_Toc20892"/>
      <w:r>
        <w:rPr>
          <w:rFonts w:hint="eastAsia" w:asciiTheme="minorEastAsia" w:hAnsiTheme="minorEastAsia" w:eastAsiaTheme="minorEastAsia" w:cstheme="minorEastAsia"/>
          <w:bCs/>
          <w:color w:val="auto"/>
          <w:sz w:val="21"/>
          <w:szCs w:val="21"/>
          <w:highlight w:val="none"/>
        </w:rPr>
        <w:t>3、投标人需如实填写上述信息，如查实上述信息与实际不符，视为提供虚假证明材料骗取中标，投标人应承担相应法律后果</w:t>
      </w:r>
      <w:r>
        <w:rPr>
          <w:rFonts w:hint="eastAsia" w:ascii="宋体" w:hAnsi="宋体"/>
          <w:bCs/>
          <w:color w:val="auto"/>
          <w:szCs w:val="21"/>
          <w:highlight w:val="none"/>
        </w:rPr>
        <w:t>。</w:t>
      </w:r>
    </w:p>
    <w:p w14:paraId="648EA5F9">
      <w:pPr>
        <w:rPr>
          <w:rFonts w:hint="eastAsia" w:asciiTheme="majorEastAsia" w:hAnsiTheme="majorEastAsia" w:eastAsiaTheme="majorEastAsia"/>
          <w:b/>
          <w:bCs/>
          <w:color w:val="auto"/>
          <w:sz w:val="24"/>
          <w:highlight w:val="none"/>
          <w:lang w:val="en-US" w:eastAsia="zh-CN"/>
        </w:rPr>
      </w:pPr>
      <w:r>
        <w:rPr>
          <w:rFonts w:hint="eastAsia" w:asciiTheme="majorEastAsia" w:hAnsiTheme="majorEastAsia" w:eastAsiaTheme="majorEastAsia"/>
          <w:b/>
          <w:bCs/>
          <w:color w:val="auto"/>
          <w:sz w:val="24"/>
          <w:highlight w:val="none"/>
          <w:lang w:val="en-US" w:eastAsia="zh-CN"/>
        </w:rPr>
        <w:br w:type="page"/>
      </w:r>
    </w:p>
    <w:p w14:paraId="18AFA84B">
      <w:pPr>
        <w:ind w:firstLine="0" w:firstLineChars="0"/>
        <w:outlineLvl w:val="2"/>
        <w:rPr>
          <w:rFonts w:hint="eastAsia" w:asciiTheme="majorEastAsia" w:hAnsiTheme="majorEastAsia" w:eastAsiaTheme="majorEastAsia"/>
          <w:b/>
          <w:bCs/>
          <w:color w:val="auto"/>
          <w:sz w:val="24"/>
          <w:highlight w:val="none"/>
          <w:lang w:val="en-US" w:eastAsia="zh-CN"/>
        </w:rPr>
      </w:pPr>
      <w:r>
        <w:rPr>
          <w:rFonts w:hint="eastAsia" w:asciiTheme="majorEastAsia" w:hAnsiTheme="majorEastAsia" w:eastAsiaTheme="majorEastAsia"/>
          <w:b/>
          <w:bCs/>
          <w:color w:val="auto"/>
          <w:sz w:val="24"/>
          <w:highlight w:val="none"/>
          <w:lang w:val="en-US" w:eastAsia="zh-CN"/>
        </w:rPr>
        <w:t>A8、</w:t>
      </w:r>
      <w:bookmarkEnd w:id="432"/>
      <w:bookmarkEnd w:id="433"/>
      <w:r>
        <w:rPr>
          <w:rFonts w:hint="eastAsia" w:asciiTheme="majorEastAsia" w:hAnsiTheme="majorEastAsia" w:eastAsiaTheme="majorEastAsia"/>
          <w:b/>
          <w:bCs/>
          <w:color w:val="auto"/>
          <w:sz w:val="24"/>
          <w:highlight w:val="none"/>
          <w:lang w:val="en-US" w:eastAsia="zh-CN"/>
        </w:rPr>
        <w:t>投标保证金</w:t>
      </w:r>
      <w:bookmarkEnd w:id="434"/>
      <w:bookmarkEnd w:id="435"/>
    </w:p>
    <w:p w14:paraId="2098E979">
      <w:pPr>
        <w:widowControl w:val="0"/>
        <w:numPr>
          <w:ilvl w:val="0"/>
          <w:numId w:val="74"/>
        </w:numPr>
        <w:autoSpaceDE w:val="0"/>
        <w:autoSpaceDN w:val="0"/>
        <w:adjustRightInd w:val="0"/>
        <w:snapToGrid w:val="0"/>
        <w:ind w:firstLine="0" w:firstLineChars="0"/>
        <w:jc w:val="left"/>
        <w:rPr>
          <w:rFonts w:hint="eastAsia" w:ascii="宋体" w:hAnsi="宋体" w:eastAsia="宋体" w:cs="Segoe UI Symbol"/>
          <w:b/>
          <w:bCs/>
          <w:color w:val="auto"/>
          <w:kern w:val="0"/>
          <w:sz w:val="24"/>
          <w:szCs w:val="24"/>
          <w:highlight w:val="none"/>
        </w:rPr>
      </w:pPr>
      <w:r>
        <w:rPr>
          <w:rFonts w:hint="eastAsia" w:ascii="宋体" w:hAnsi="宋体" w:eastAsia="宋体" w:cs="Segoe UI Symbol"/>
          <w:b/>
          <w:bCs/>
          <w:color w:val="auto"/>
          <w:kern w:val="0"/>
          <w:sz w:val="24"/>
          <w:szCs w:val="24"/>
          <w:highlight w:val="none"/>
        </w:rPr>
        <w:t>投标保证金为</w:t>
      </w:r>
      <w:r>
        <w:rPr>
          <w:rFonts w:hint="eastAsia" w:ascii="宋体" w:hAnsi="宋体" w:eastAsia="宋体" w:cs="Segoe UI Symbol"/>
          <w:b/>
          <w:bCs/>
          <w:color w:val="auto"/>
          <w:kern w:val="0"/>
          <w:sz w:val="24"/>
          <w:szCs w:val="24"/>
          <w:highlight w:val="none"/>
          <w:lang w:val="en-US" w:eastAsia="zh-CN"/>
        </w:rPr>
        <w:t>银行</w:t>
      </w:r>
      <w:r>
        <w:rPr>
          <w:rFonts w:hint="eastAsia" w:ascii="宋体" w:hAnsi="宋体" w:eastAsia="宋体" w:cs="Segoe UI Symbol"/>
          <w:b/>
          <w:bCs/>
          <w:color w:val="auto"/>
          <w:kern w:val="0"/>
          <w:sz w:val="24"/>
          <w:szCs w:val="24"/>
          <w:highlight w:val="none"/>
        </w:rPr>
        <w:t>转账</w:t>
      </w:r>
      <w:r>
        <w:rPr>
          <w:rFonts w:hint="eastAsia" w:ascii="宋体" w:hAnsi="宋体" w:eastAsia="宋体" w:cs="Segoe UI Symbol"/>
          <w:b/>
          <w:bCs/>
          <w:color w:val="auto"/>
          <w:kern w:val="0"/>
          <w:sz w:val="24"/>
          <w:szCs w:val="24"/>
          <w:highlight w:val="none"/>
          <w:lang w:val="en-US" w:eastAsia="zh-CN"/>
        </w:rPr>
        <w:t>形式</w:t>
      </w:r>
      <w:r>
        <w:rPr>
          <w:rFonts w:hint="eastAsia" w:ascii="宋体" w:hAnsi="宋体" w:eastAsia="宋体" w:cs="Segoe UI Symbol"/>
          <w:b/>
          <w:bCs/>
          <w:color w:val="auto"/>
          <w:kern w:val="0"/>
          <w:sz w:val="24"/>
          <w:szCs w:val="24"/>
          <w:highlight w:val="none"/>
        </w:rPr>
        <w:t>的，保证金应从投标人账户中转出。</w:t>
      </w:r>
    </w:p>
    <w:p w14:paraId="634737A7">
      <w:pPr>
        <w:widowControl w:val="0"/>
        <w:numPr>
          <w:ilvl w:val="0"/>
          <w:numId w:val="0"/>
        </w:numPr>
        <w:autoSpaceDE w:val="0"/>
        <w:autoSpaceDN w:val="0"/>
        <w:adjustRightInd w:val="0"/>
        <w:snapToGrid w:val="0"/>
        <w:jc w:val="left"/>
        <w:rPr>
          <w:rFonts w:hint="eastAsia" w:ascii="宋体" w:hAnsi="宋体" w:eastAsia="宋体" w:cs="Segoe UI Symbol"/>
          <w:b/>
          <w:bCs/>
          <w:color w:val="auto"/>
          <w:kern w:val="0"/>
          <w:sz w:val="24"/>
          <w:szCs w:val="24"/>
          <w:highlight w:val="none"/>
        </w:rPr>
      </w:pPr>
      <w:r>
        <w:rPr>
          <w:rFonts w:hint="eastAsia" w:ascii="宋体" w:hAnsi="宋体" w:eastAsia="宋体" w:cs="Segoe UI Symbol"/>
          <w:b/>
          <w:bCs/>
          <w:color w:val="auto"/>
          <w:kern w:val="0"/>
          <w:sz w:val="24"/>
          <w:szCs w:val="24"/>
          <w:highlight w:val="none"/>
        </w:rPr>
        <w:t>投标人</w:t>
      </w:r>
      <w:r>
        <w:rPr>
          <w:rFonts w:hint="eastAsia" w:ascii="宋体" w:hAnsi="宋体" w:eastAsia="宋体" w:cs="Segoe UI Symbol"/>
          <w:b/>
          <w:bCs/>
          <w:color w:val="auto"/>
          <w:kern w:val="0"/>
          <w:sz w:val="24"/>
          <w:szCs w:val="24"/>
          <w:highlight w:val="none"/>
          <w:lang w:val="en-US" w:eastAsia="zh-CN"/>
        </w:rPr>
        <w:t>须</w:t>
      </w:r>
      <w:r>
        <w:rPr>
          <w:rFonts w:hint="eastAsia" w:ascii="宋体" w:hAnsi="宋体" w:eastAsia="宋体" w:cs="Segoe UI Symbol"/>
          <w:b/>
          <w:bCs/>
          <w:color w:val="auto"/>
          <w:kern w:val="0"/>
          <w:sz w:val="24"/>
          <w:szCs w:val="24"/>
          <w:highlight w:val="none"/>
        </w:rPr>
        <w:t>提供转账凭证。</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25298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8472" w:type="dxa"/>
            <w:noWrap w:val="0"/>
            <w:vAlign w:val="top"/>
          </w:tcPr>
          <w:p w14:paraId="48996283">
            <w:pPr>
              <w:widowControl w:val="0"/>
              <w:autoSpaceDE w:val="0"/>
              <w:autoSpaceDN w:val="0"/>
              <w:adjustRightInd w:val="0"/>
              <w:snapToGrid w:val="0"/>
              <w:ind w:firstLine="0" w:firstLineChars="0"/>
              <w:jc w:val="left"/>
              <w:rPr>
                <w:rFonts w:ascii="Times New Roman" w:hAnsi="Times New Roman" w:eastAsia="宋体" w:cs="Times New Roman"/>
                <w:b/>
                <w:bCs/>
                <w:sz w:val="24"/>
                <w:szCs w:val="24"/>
                <w:highlight w:val="none"/>
              </w:rPr>
            </w:pPr>
            <w:r>
              <w:rPr>
                <w:rFonts w:hint="eastAsia" w:ascii="Calibri" w:hAnsi="Calibri" w:eastAsia="宋体" w:cs="Calibri"/>
                <w:b/>
                <w:bCs/>
                <w:sz w:val="24"/>
                <w:szCs w:val="24"/>
                <w:highlight w:val="none"/>
              </w:rPr>
              <w:t>转账</w:t>
            </w:r>
            <w:r>
              <w:rPr>
                <w:rFonts w:hint="eastAsia" w:ascii="宋体" w:hAnsi="宋体" w:eastAsia="宋体" w:cs="Segoe UI Symbol"/>
                <w:b/>
                <w:bCs/>
                <w:kern w:val="0"/>
                <w:sz w:val="24"/>
                <w:szCs w:val="24"/>
                <w:highlight w:val="none"/>
              </w:rPr>
              <w:t>凭证</w:t>
            </w:r>
          </w:p>
          <w:p w14:paraId="170C8EA3">
            <w:pPr>
              <w:widowControl w:val="0"/>
              <w:autoSpaceDE w:val="0"/>
              <w:autoSpaceDN w:val="0"/>
              <w:adjustRightInd w:val="0"/>
              <w:snapToGrid w:val="0"/>
              <w:ind w:firstLine="0" w:firstLineChars="0"/>
              <w:rPr>
                <w:rFonts w:ascii="宋体" w:hAnsi="宋体"/>
                <w:sz w:val="24"/>
                <w:szCs w:val="24"/>
                <w:highlight w:val="none"/>
              </w:rPr>
            </w:pPr>
          </w:p>
          <w:p w14:paraId="7A783484">
            <w:pPr>
              <w:widowControl w:val="0"/>
              <w:autoSpaceDE w:val="0"/>
              <w:autoSpaceDN w:val="0"/>
              <w:adjustRightInd w:val="0"/>
              <w:snapToGrid w:val="0"/>
              <w:ind w:firstLine="0" w:firstLineChars="0"/>
              <w:rPr>
                <w:rFonts w:ascii="宋体" w:hAnsi="宋体"/>
                <w:sz w:val="24"/>
                <w:szCs w:val="24"/>
                <w:highlight w:val="none"/>
              </w:rPr>
            </w:pPr>
          </w:p>
          <w:p w14:paraId="417241A8">
            <w:pPr>
              <w:widowControl w:val="0"/>
              <w:autoSpaceDE w:val="0"/>
              <w:autoSpaceDN w:val="0"/>
              <w:adjustRightInd w:val="0"/>
              <w:snapToGrid w:val="0"/>
              <w:ind w:firstLine="0" w:firstLineChars="0"/>
              <w:rPr>
                <w:rFonts w:ascii="宋体" w:hAnsi="宋体"/>
                <w:sz w:val="24"/>
                <w:szCs w:val="24"/>
                <w:highlight w:val="none"/>
              </w:rPr>
            </w:pPr>
          </w:p>
        </w:tc>
      </w:tr>
    </w:tbl>
    <w:p w14:paraId="0D28B64E">
      <w:pPr>
        <w:widowControl w:val="0"/>
        <w:autoSpaceDE w:val="0"/>
        <w:autoSpaceDN w:val="0"/>
        <w:adjustRightInd w:val="0"/>
        <w:snapToGrid w:val="0"/>
        <w:ind w:firstLine="0" w:firstLineChars="0"/>
        <w:jc w:val="left"/>
        <w:rPr>
          <w:rFonts w:hint="eastAsia" w:ascii="宋体" w:hAnsi="宋体" w:eastAsia="宋体" w:cs="Times New Roman"/>
          <w:color w:val="auto"/>
          <w:szCs w:val="21"/>
          <w:highlight w:val="none"/>
        </w:rPr>
      </w:pPr>
    </w:p>
    <w:p w14:paraId="48FD13FD">
      <w:pPr>
        <w:rPr>
          <w:rFonts w:hint="eastAsia" w:ascii="宋体" w:hAnsi="宋体" w:eastAsia="宋体" w:cs="Segoe UI Symbol"/>
          <w:b/>
          <w:bCs/>
          <w:color w:val="auto"/>
          <w:kern w:val="0"/>
          <w:sz w:val="24"/>
          <w:szCs w:val="24"/>
          <w:highlight w:val="none"/>
        </w:rPr>
      </w:pPr>
      <w:r>
        <w:rPr>
          <w:rFonts w:hint="eastAsia" w:ascii="宋体" w:hAnsi="宋体" w:eastAsia="宋体" w:cs="Segoe UI Symbol"/>
          <w:b/>
          <w:bCs/>
          <w:color w:val="auto"/>
          <w:kern w:val="0"/>
          <w:sz w:val="24"/>
          <w:szCs w:val="24"/>
          <w:highlight w:val="none"/>
        </w:rPr>
        <w:br w:type="page"/>
      </w:r>
    </w:p>
    <w:p w14:paraId="736C5C7D">
      <w:pPr>
        <w:widowControl w:val="0"/>
        <w:autoSpaceDE w:val="0"/>
        <w:autoSpaceDN w:val="0"/>
        <w:adjustRightInd w:val="0"/>
        <w:snapToGrid w:val="0"/>
        <w:ind w:firstLine="0" w:firstLineChars="0"/>
        <w:jc w:val="left"/>
        <w:rPr>
          <w:rFonts w:hint="eastAsia" w:ascii="宋体" w:hAnsi="宋体" w:eastAsia="宋体" w:cs="Segoe UI Symbol"/>
          <w:b/>
          <w:bCs/>
          <w:color w:val="auto"/>
          <w:kern w:val="0"/>
          <w:sz w:val="24"/>
          <w:szCs w:val="24"/>
          <w:highlight w:val="none"/>
        </w:rPr>
      </w:pPr>
      <w:r>
        <w:rPr>
          <w:rFonts w:hint="eastAsia" w:ascii="宋体" w:hAnsi="宋体" w:eastAsia="宋体" w:cs="Segoe UI Symbol"/>
          <w:b/>
          <w:bCs/>
          <w:color w:val="auto"/>
          <w:kern w:val="0"/>
          <w:sz w:val="24"/>
          <w:szCs w:val="24"/>
          <w:highlight w:val="none"/>
        </w:rPr>
        <w:t>2）投标保证金为</w:t>
      </w:r>
      <w:r>
        <w:rPr>
          <w:rFonts w:hint="eastAsia" w:ascii="宋体" w:hAnsi="宋体" w:eastAsia="宋体" w:cs="Segoe UI Symbol"/>
          <w:b/>
          <w:bCs/>
          <w:color w:val="auto"/>
          <w:kern w:val="0"/>
          <w:sz w:val="24"/>
          <w:szCs w:val="24"/>
          <w:highlight w:val="none"/>
          <w:lang w:val="en-US" w:eastAsia="zh-CN"/>
        </w:rPr>
        <w:t>银行</w:t>
      </w:r>
      <w:r>
        <w:rPr>
          <w:rFonts w:hint="eastAsia" w:ascii="宋体" w:hAnsi="宋体" w:eastAsia="宋体" w:cs="Segoe UI Symbol"/>
          <w:b/>
          <w:bCs/>
          <w:color w:val="auto"/>
          <w:kern w:val="0"/>
          <w:sz w:val="24"/>
          <w:szCs w:val="24"/>
          <w:highlight w:val="none"/>
        </w:rPr>
        <w:t>保函形式的，保函须由投标人开户银行或对其具有管理权限的上一级银行机构出具。</w:t>
      </w:r>
      <w:r>
        <w:rPr>
          <w:rFonts w:hint="eastAsia" w:ascii="宋体" w:hAnsi="宋体" w:eastAsia="宋体" w:cs="Segoe UI Symbol"/>
          <w:b/>
          <w:bCs/>
          <w:color w:val="auto"/>
          <w:kern w:val="0"/>
          <w:sz w:val="24"/>
          <w:szCs w:val="24"/>
          <w:highlight w:val="none"/>
          <w:lang w:val="en-US" w:eastAsia="zh-CN"/>
        </w:rPr>
        <w:t>银行</w:t>
      </w:r>
      <w:r>
        <w:rPr>
          <w:rFonts w:hint="eastAsia" w:ascii="宋体" w:hAnsi="宋体" w:eastAsia="宋体" w:cs="Segoe UI Symbol"/>
          <w:b/>
          <w:bCs/>
          <w:color w:val="auto"/>
          <w:kern w:val="0"/>
          <w:sz w:val="24"/>
          <w:szCs w:val="24"/>
          <w:highlight w:val="none"/>
        </w:rPr>
        <w:t>保函原件扫描件作为投标担保的证明文件，在投标文件中上传。投标保函应在投标截止时间（含）后</w:t>
      </w:r>
      <w:r>
        <w:rPr>
          <w:rFonts w:hint="eastAsia" w:ascii="宋体" w:hAnsi="宋体" w:eastAsia="宋体" w:cs="Segoe UI Symbol"/>
          <w:b/>
          <w:bCs/>
          <w:color w:val="auto"/>
          <w:kern w:val="0"/>
          <w:sz w:val="24"/>
          <w:szCs w:val="24"/>
          <w:highlight w:val="none"/>
          <w:lang w:val="en-US" w:eastAsia="zh-CN"/>
        </w:rPr>
        <w:t>118</w:t>
      </w:r>
      <w:r>
        <w:rPr>
          <w:rFonts w:hint="eastAsia" w:ascii="宋体" w:hAnsi="宋体" w:eastAsia="宋体" w:cs="Segoe UI Symbol"/>
          <w:b/>
          <w:bCs/>
          <w:color w:val="auto"/>
          <w:kern w:val="0"/>
          <w:sz w:val="24"/>
          <w:szCs w:val="24"/>
          <w:highlight w:val="none"/>
        </w:rPr>
        <w:t>日内保持有效，</w:t>
      </w:r>
      <w:r>
        <w:rPr>
          <w:rFonts w:hint="eastAsia" w:ascii="宋体" w:hAnsi="宋体" w:eastAsia="宋体" w:cs="Segoe UI Symbol"/>
          <w:b/>
          <w:bCs/>
          <w:color w:val="auto"/>
          <w:kern w:val="0"/>
          <w:sz w:val="24"/>
          <w:szCs w:val="24"/>
          <w:highlight w:val="none"/>
          <w:lang w:val="en-US" w:eastAsia="zh-CN"/>
        </w:rPr>
        <w:t>投标</w:t>
      </w:r>
      <w:r>
        <w:rPr>
          <w:rFonts w:hint="eastAsia" w:ascii="宋体" w:hAnsi="宋体" w:eastAsia="宋体" w:cs="Segoe UI Symbol"/>
          <w:b/>
          <w:bCs/>
          <w:color w:val="auto"/>
          <w:kern w:val="0"/>
          <w:sz w:val="24"/>
          <w:szCs w:val="24"/>
          <w:highlight w:val="none"/>
        </w:rPr>
        <w:t>保函格式参考详见下页</w:t>
      </w:r>
      <w:r>
        <w:rPr>
          <w:rFonts w:hint="eastAsia" w:ascii="宋体" w:hAnsi="宋体" w:eastAsia="宋体" w:cs="Segoe UI Symbol"/>
          <w:b/>
          <w:bCs/>
          <w:color w:val="auto"/>
          <w:kern w:val="0"/>
          <w:sz w:val="24"/>
          <w:szCs w:val="24"/>
          <w:highlight w:val="none"/>
          <w:lang w:eastAsia="zh-CN"/>
        </w:rPr>
        <w:t>《</w:t>
      </w:r>
      <w:r>
        <w:rPr>
          <w:rFonts w:hint="eastAsia" w:ascii="宋体" w:hAnsi="宋体" w:eastAsia="宋体" w:cs="Segoe UI Symbol"/>
          <w:b/>
          <w:bCs/>
          <w:color w:val="auto"/>
          <w:kern w:val="0"/>
          <w:sz w:val="24"/>
          <w:szCs w:val="24"/>
          <w:highlight w:val="none"/>
          <w:lang w:val="en-US" w:eastAsia="zh-CN"/>
        </w:rPr>
        <w:t>投标保函</w:t>
      </w:r>
      <w:r>
        <w:rPr>
          <w:rFonts w:hint="eastAsia" w:ascii="宋体" w:hAnsi="宋体" w:eastAsia="宋体" w:cs="Segoe UI Symbol"/>
          <w:b/>
          <w:bCs/>
          <w:color w:val="auto"/>
          <w:kern w:val="0"/>
          <w:sz w:val="24"/>
          <w:szCs w:val="24"/>
          <w:highlight w:val="none"/>
          <w:lang w:eastAsia="zh-CN"/>
        </w:rPr>
        <w:t>》</w:t>
      </w:r>
      <w:r>
        <w:rPr>
          <w:rFonts w:hint="eastAsia" w:ascii="宋体" w:hAnsi="宋体" w:eastAsia="宋体" w:cs="Segoe UI Symbol"/>
          <w:b/>
          <w:bCs/>
          <w:color w:val="auto"/>
          <w:kern w:val="0"/>
          <w:sz w:val="24"/>
          <w:szCs w:val="24"/>
          <w:highlight w:val="none"/>
        </w:rPr>
        <w:t>：</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3386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8" w:hRule="atLeast"/>
        </w:trPr>
        <w:tc>
          <w:tcPr>
            <w:tcW w:w="8472" w:type="dxa"/>
            <w:noWrap w:val="0"/>
            <w:vAlign w:val="top"/>
          </w:tcPr>
          <w:p w14:paraId="604EAF26">
            <w:pPr>
              <w:widowControl w:val="0"/>
              <w:autoSpaceDE w:val="0"/>
              <w:autoSpaceDN w:val="0"/>
              <w:adjustRightInd w:val="0"/>
              <w:snapToGrid w:val="0"/>
              <w:ind w:firstLine="0" w:firstLineChars="0"/>
              <w:rPr>
                <w:rFonts w:hint="eastAsia" w:ascii="宋体" w:hAnsi="宋体" w:eastAsia="宋体"/>
                <w:sz w:val="24"/>
                <w:szCs w:val="20"/>
                <w:highlight w:val="none"/>
                <w:lang w:val="en-US" w:eastAsia="zh-CN"/>
              </w:rPr>
            </w:pPr>
            <w:r>
              <w:rPr>
                <w:rFonts w:hint="eastAsia" w:ascii="Times New Roman" w:hAnsi="Times New Roman" w:eastAsia="宋体" w:cs="Times New Roman"/>
                <w:b/>
                <w:bCs/>
                <w:sz w:val="24"/>
                <w:szCs w:val="20"/>
                <w:highlight w:val="none"/>
                <w:lang w:val="en-US" w:eastAsia="zh-CN"/>
              </w:rPr>
              <w:t>1.银行</w:t>
            </w:r>
            <w:r>
              <w:rPr>
                <w:rFonts w:hint="eastAsia" w:ascii="Times New Roman" w:hAnsi="Times New Roman" w:eastAsia="宋体" w:cs="Times New Roman"/>
                <w:b/>
                <w:bCs/>
                <w:sz w:val="24"/>
                <w:szCs w:val="20"/>
                <w:highlight w:val="none"/>
              </w:rPr>
              <w:t>保函</w:t>
            </w:r>
          </w:p>
        </w:tc>
      </w:tr>
      <w:tr w14:paraId="31FCD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0" w:hRule="atLeast"/>
        </w:trPr>
        <w:tc>
          <w:tcPr>
            <w:tcW w:w="8472" w:type="dxa"/>
            <w:noWrap w:val="0"/>
            <w:vAlign w:val="top"/>
          </w:tcPr>
          <w:p w14:paraId="0C5CBFFA">
            <w:pPr>
              <w:widowControl w:val="0"/>
              <w:autoSpaceDE w:val="0"/>
              <w:autoSpaceDN w:val="0"/>
              <w:adjustRightInd w:val="0"/>
              <w:snapToGrid w:val="0"/>
              <w:ind w:firstLine="0" w:firstLineChars="0"/>
              <w:rPr>
                <w:rFonts w:hint="default" w:ascii="Times New Roman" w:hAnsi="Times New Roman" w:eastAsia="宋体" w:cs="Times New Roman"/>
                <w:b/>
                <w:bCs/>
                <w:sz w:val="24"/>
                <w:szCs w:val="20"/>
                <w:highlight w:val="none"/>
                <w:lang w:val="en-US" w:eastAsia="zh-CN"/>
              </w:rPr>
            </w:pPr>
            <w:r>
              <w:rPr>
                <w:rFonts w:hint="eastAsia" w:ascii="Times New Roman" w:hAnsi="Times New Roman" w:eastAsia="宋体" w:cs="Times New Roman"/>
                <w:b/>
                <w:bCs/>
                <w:sz w:val="24"/>
                <w:szCs w:val="20"/>
                <w:highlight w:val="none"/>
                <w:lang w:val="en-US" w:eastAsia="zh-CN"/>
              </w:rPr>
              <w:t>2.开户银行或隶属关系证明（由上一级银行机构出具保函的需提供）</w:t>
            </w:r>
          </w:p>
        </w:tc>
      </w:tr>
    </w:tbl>
    <w:p w14:paraId="70740E6B">
      <w:pPr>
        <w:widowControl w:val="0"/>
        <w:numPr>
          <w:ilvl w:val="0"/>
          <w:numId w:val="0"/>
        </w:numPr>
        <w:autoSpaceDE w:val="0"/>
        <w:autoSpaceDN w:val="0"/>
        <w:adjustRightInd w:val="0"/>
        <w:snapToGrid w:val="0"/>
        <w:jc w:val="left"/>
        <w:rPr>
          <w:rFonts w:hint="eastAsia" w:ascii="宋体" w:hAnsi="宋体" w:eastAsia="宋体" w:cs="Times New Roman"/>
          <w:szCs w:val="21"/>
          <w:highlight w:val="none"/>
          <w:lang w:val="en-US" w:eastAsia="zh-CN"/>
        </w:rPr>
      </w:pPr>
    </w:p>
    <w:p w14:paraId="5EBB47B1">
      <w:pPr>
        <w:rPr>
          <w:rFonts w:hint="eastAsia" w:ascii="宋体" w:hAnsi="宋体" w:eastAsia="宋体" w:cs="Segoe UI Symbol"/>
          <w:b/>
          <w:bCs/>
          <w:color w:val="auto"/>
          <w:kern w:val="0"/>
          <w:sz w:val="24"/>
          <w:szCs w:val="24"/>
          <w:highlight w:val="none"/>
          <w:lang w:val="en-US" w:eastAsia="zh-CN"/>
        </w:rPr>
      </w:pPr>
      <w:r>
        <w:rPr>
          <w:rFonts w:hint="eastAsia" w:ascii="宋体" w:hAnsi="宋体" w:eastAsia="宋体" w:cs="Segoe UI Symbol"/>
          <w:b/>
          <w:bCs/>
          <w:color w:val="auto"/>
          <w:kern w:val="0"/>
          <w:sz w:val="24"/>
          <w:szCs w:val="24"/>
          <w:highlight w:val="none"/>
          <w:lang w:val="en-US" w:eastAsia="zh-CN"/>
        </w:rPr>
        <w:br w:type="page"/>
      </w:r>
    </w:p>
    <w:p w14:paraId="6F9A8FD2">
      <w:pPr>
        <w:widowControl w:val="0"/>
        <w:autoSpaceDE w:val="0"/>
        <w:autoSpaceDN w:val="0"/>
        <w:adjustRightInd w:val="0"/>
        <w:snapToGrid w:val="0"/>
        <w:ind w:firstLine="0" w:firstLineChars="0"/>
        <w:jc w:val="left"/>
        <w:rPr>
          <w:rFonts w:hint="eastAsia" w:ascii="宋体" w:hAnsi="宋体" w:eastAsia="宋体" w:cs="Segoe UI Symbol"/>
          <w:b/>
          <w:bCs/>
          <w:color w:val="auto"/>
          <w:kern w:val="0"/>
          <w:sz w:val="24"/>
          <w:szCs w:val="24"/>
          <w:highlight w:val="none"/>
          <w:lang w:eastAsia="zh-CN"/>
        </w:rPr>
      </w:pPr>
      <w:r>
        <w:rPr>
          <w:rFonts w:hint="eastAsia" w:ascii="宋体" w:hAnsi="宋体" w:eastAsia="宋体" w:cs="Segoe UI Symbol"/>
          <w:b/>
          <w:bCs/>
          <w:color w:val="auto"/>
          <w:kern w:val="0"/>
          <w:sz w:val="24"/>
          <w:szCs w:val="24"/>
          <w:highlight w:val="none"/>
          <w:lang w:val="en-US" w:eastAsia="zh-CN"/>
        </w:rPr>
        <w:t>3）</w:t>
      </w:r>
      <w:r>
        <w:rPr>
          <w:rFonts w:hint="eastAsia" w:ascii="宋体" w:hAnsi="宋体" w:eastAsia="宋体" w:cs="Segoe UI Symbol"/>
          <w:b/>
          <w:bCs/>
          <w:color w:val="auto"/>
          <w:kern w:val="0"/>
          <w:sz w:val="24"/>
          <w:szCs w:val="24"/>
          <w:highlight w:val="none"/>
        </w:rPr>
        <w:t>投标保证金为</w:t>
      </w:r>
      <w:r>
        <w:rPr>
          <w:rFonts w:hint="eastAsia" w:ascii="宋体" w:hAnsi="宋体" w:eastAsia="宋体" w:cs="Segoe UI Symbol"/>
          <w:b/>
          <w:bCs/>
          <w:color w:val="auto"/>
          <w:kern w:val="0"/>
          <w:sz w:val="24"/>
          <w:szCs w:val="24"/>
          <w:highlight w:val="none"/>
          <w:lang w:val="en-US" w:eastAsia="zh-CN"/>
        </w:rPr>
        <w:t>担保公司出具的投标</w:t>
      </w:r>
      <w:r>
        <w:rPr>
          <w:rFonts w:hint="eastAsia" w:ascii="宋体" w:hAnsi="宋体" w:eastAsia="宋体" w:cs="Segoe UI Symbol"/>
          <w:b/>
          <w:bCs/>
          <w:color w:val="auto"/>
          <w:kern w:val="0"/>
          <w:sz w:val="24"/>
          <w:szCs w:val="24"/>
          <w:highlight w:val="none"/>
        </w:rPr>
        <w:t>保函形式的，保费必须通过投标人账户支付，账户名称应与投标单位名称一致</w:t>
      </w:r>
      <w:r>
        <w:rPr>
          <w:rFonts w:hint="eastAsia" w:ascii="宋体" w:hAnsi="宋体" w:eastAsia="宋体" w:cs="Segoe UI Symbol"/>
          <w:b/>
          <w:bCs/>
          <w:color w:val="auto"/>
          <w:kern w:val="0"/>
          <w:sz w:val="24"/>
          <w:szCs w:val="24"/>
          <w:highlight w:val="none"/>
          <w:lang w:eastAsia="zh-CN"/>
        </w:rPr>
        <w:t>。投标保函原件扫描件</w:t>
      </w:r>
      <w:r>
        <w:rPr>
          <w:rFonts w:hint="eastAsia" w:ascii="宋体" w:hAnsi="宋体" w:eastAsia="宋体" w:cs="Segoe UI Symbol"/>
          <w:b/>
          <w:bCs/>
          <w:color w:val="auto"/>
          <w:kern w:val="0"/>
          <w:sz w:val="24"/>
          <w:szCs w:val="24"/>
          <w:highlight w:val="none"/>
          <w:lang w:val="en-US" w:eastAsia="zh-CN"/>
        </w:rPr>
        <w:t>及保费转账凭证</w:t>
      </w:r>
      <w:r>
        <w:rPr>
          <w:rFonts w:hint="eastAsia" w:ascii="宋体" w:hAnsi="宋体" w:eastAsia="宋体" w:cs="Segoe UI Symbol"/>
          <w:b/>
          <w:bCs/>
          <w:color w:val="auto"/>
          <w:kern w:val="0"/>
          <w:sz w:val="24"/>
          <w:szCs w:val="24"/>
          <w:highlight w:val="none"/>
          <w:lang w:eastAsia="zh-CN"/>
        </w:rPr>
        <w:t>作为投标担保的证明文件，在投标文件中上传</w:t>
      </w:r>
      <w:r>
        <w:rPr>
          <w:rFonts w:hint="eastAsia" w:ascii="宋体" w:hAnsi="宋体" w:eastAsia="宋体" w:cs="Segoe UI Symbol"/>
          <w:b/>
          <w:bCs/>
          <w:color w:val="auto"/>
          <w:kern w:val="0"/>
          <w:sz w:val="24"/>
          <w:szCs w:val="24"/>
          <w:highlight w:val="none"/>
          <w:lang w:val="en-US" w:eastAsia="zh-CN"/>
        </w:rPr>
        <w:t>.</w:t>
      </w:r>
      <w:r>
        <w:rPr>
          <w:rFonts w:hint="eastAsia" w:ascii="宋体" w:hAnsi="宋体" w:eastAsia="宋体" w:cs="Segoe UI Symbol"/>
          <w:b/>
          <w:bCs/>
          <w:color w:val="auto"/>
          <w:kern w:val="0"/>
          <w:sz w:val="24"/>
          <w:szCs w:val="24"/>
          <w:highlight w:val="none"/>
        </w:rPr>
        <w:t>投标保函应在投标截止时间（含）后</w:t>
      </w:r>
      <w:r>
        <w:rPr>
          <w:rFonts w:hint="eastAsia" w:ascii="宋体" w:hAnsi="宋体" w:eastAsia="宋体" w:cs="Segoe UI Symbol"/>
          <w:b/>
          <w:bCs/>
          <w:color w:val="auto"/>
          <w:kern w:val="0"/>
          <w:sz w:val="24"/>
          <w:szCs w:val="24"/>
          <w:highlight w:val="none"/>
          <w:lang w:val="en-US" w:eastAsia="zh-CN"/>
        </w:rPr>
        <w:t>118</w:t>
      </w:r>
      <w:r>
        <w:rPr>
          <w:rFonts w:hint="eastAsia" w:ascii="宋体" w:hAnsi="宋体" w:eastAsia="宋体" w:cs="Segoe UI Symbol"/>
          <w:b/>
          <w:bCs/>
          <w:color w:val="auto"/>
          <w:kern w:val="0"/>
          <w:sz w:val="24"/>
          <w:szCs w:val="24"/>
          <w:highlight w:val="none"/>
        </w:rPr>
        <w:t>日内保持有效</w:t>
      </w:r>
      <w:r>
        <w:rPr>
          <w:rFonts w:hint="eastAsia" w:ascii="宋体" w:hAnsi="宋体" w:eastAsia="宋体" w:cs="Segoe UI Symbol"/>
          <w:b/>
          <w:bCs/>
          <w:color w:val="auto"/>
          <w:kern w:val="0"/>
          <w:sz w:val="24"/>
          <w:szCs w:val="24"/>
          <w:highlight w:val="none"/>
          <w:lang w:eastAsia="zh-CN"/>
        </w:rPr>
        <w:t>。</w:t>
      </w:r>
      <w:r>
        <w:rPr>
          <w:rFonts w:hint="eastAsia" w:ascii="宋体" w:hAnsi="宋体" w:eastAsia="宋体" w:cs="Segoe UI Symbol"/>
          <w:b/>
          <w:bCs/>
          <w:color w:val="auto"/>
          <w:kern w:val="0"/>
          <w:sz w:val="24"/>
          <w:szCs w:val="24"/>
          <w:highlight w:val="none"/>
          <w:lang w:val="en-US" w:eastAsia="zh-CN"/>
        </w:rPr>
        <w:t>投标</w:t>
      </w:r>
      <w:r>
        <w:rPr>
          <w:rFonts w:hint="eastAsia" w:ascii="宋体" w:hAnsi="宋体" w:eastAsia="宋体" w:cs="Segoe UI Symbol"/>
          <w:b/>
          <w:bCs/>
          <w:color w:val="auto"/>
          <w:kern w:val="0"/>
          <w:sz w:val="24"/>
          <w:szCs w:val="24"/>
          <w:highlight w:val="none"/>
        </w:rPr>
        <w:t>保函格式参考详见下页</w:t>
      </w:r>
      <w:r>
        <w:rPr>
          <w:rFonts w:hint="eastAsia" w:ascii="宋体" w:hAnsi="宋体" w:eastAsia="宋体" w:cs="Segoe UI Symbol"/>
          <w:b/>
          <w:bCs/>
          <w:color w:val="auto"/>
          <w:kern w:val="0"/>
          <w:sz w:val="24"/>
          <w:szCs w:val="24"/>
          <w:highlight w:val="none"/>
          <w:lang w:eastAsia="zh-CN"/>
        </w:rPr>
        <w:t>《</w:t>
      </w:r>
      <w:r>
        <w:rPr>
          <w:rFonts w:hint="eastAsia" w:ascii="宋体" w:hAnsi="宋体" w:eastAsia="宋体" w:cs="Segoe UI Symbol"/>
          <w:b/>
          <w:bCs/>
          <w:color w:val="auto"/>
          <w:kern w:val="0"/>
          <w:sz w:val="24"/>
          <w:szCs w:val="24"/>
          <w:highlight w:val="none"/>
          <w:lang w:val="en-US" w:eastAsia="zh-CN"/>
        </w:rPr>
        <w:t>投标保函</w:t>
      </w:r>
      <w:r>
        <w:rPr>
          <w:rFonts w:hint="eastAsia" w:ascii="宋体" w:hAnsi="宋体" w:eastAsia="宋体" w:cs="Segoe UI Symbol"/>
          <w:b/>
          <w:bCs/>
          <w:color w:val="auto"/>
          <w:kern w:val="0"/>
          <w:sz w:val="24"/>
          <w:szCs w:val="24"/>
          <w:highlight w:val="none"/>
          <w:lang w:eastAsia="zh-CN"/>
        </w:rPr>
        <w:t>》</w:t>
      </w:r>
      <w:r>
        <w:rPr>
          <w:rFonts w:hint="eastAsia" w:ascii="宋体" w:hAnsi="宋体" w:eastAsia="宋体" w:cs="Segoe UI Symbol"/>
          <w:b/>
          <w:bCs/>
          <w:color w:val="auto"/>
          <w:kern w:val="0"/>
          <w:sz w:val="24"/>
          <w:szCs w:val="24"/>
          <w:highlight w:val="none"/>
        </w:rPr>
        <w:t>：</w:t>
      </w:r>
    </w:p>
    <w:tbl>
      <w:tblPr>
        <w:tblStyle w:val="53"/>
        <w:tblW w:w="84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14:paraId="028C0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4" w:hRule="atLeast"/>
        </w:trPr>
        <w:tc>
          <w:tcPr>
            <w:tcW w:w="8472" w:type="dxa"/>
            <w:noWrap w:val="0"/>
            <w:vAlign w:val="top"/>
          </w:tcPr>
          <w:p w14:paraId="7C434A3C">
            <w:pPr>
              <w:widowControl w:val="0"/>
              <w:autoSpaceDE w:val="0"/>
              <w:autoSpaceDN w:val="0"/>
              <w:adjustRightInd w:val="0"/>
              <w:snapToGrid w:val="0"/>
              <w:ind w:firstLine="0" w:firstLineChars="0"/>
              <w:rPr>
                <w:rFonts w:hint="eastAsia" w:ascii="Times New Roman" w:hAnsi="Times New Roman" w:eastAsia="宋体" w:cs="Times New Roman"/>
                <w:b/>
                <w:bCs/>
                <w:sz w:val="24"/>
                <w:szCs w:val="20"/>
                <w:highlight w:val="none"/>
              </w:rPr>
            </w:pPr>
            <w:r>
              <w:rPr>
                <w:rFonts w:hint="eastAsia" w:ascii="Times New Roman" w:hAnsi="Times New Roman" w:eastAsia="宋体" w:cs="Times New Roman"/>
                <w:b/>
                <w:bCs/>
                <w:sz w:val="24"/>
                <w:szCs w:val="20"/>
                <w:highlight w:val="none"/>
                <w:lang w:val="en-US" w:eastAsia="zh-CN"/>
              </w:rPr>
              <w:t>1.投标</w:t>
            </w:r>
            <w:r>
              <w:rPr>
                <w:rFonts w:hint="eastAsia" w:ascii="Times New Roman" w:hAnsi="Times New Roman" w:eastAsia="宋体" w:cs="Times New Roman"/>
                <w:b/>
                <w:bCs/>
                <w:sz w:val="24"/>
                <w:szCs w:val="20"/>
                <w:highlight w:val="none"/>
              </w:rPr>
              <w:t>保函</w:t>
            </w:r>
          </w:p>
          <w:p w14:paraId="7B753FB5">
            <w:pPr>
              <w:widowControl w:val="0"/>
              <w:autoSpaceDE w:val="0"/>
              <w:autoSpaceDN w:val="0"/>
              <w:adjustRightInd w:val="0"/>
              <w:snapToGrid w:val="0"/>
              <w:ind w:firstLine="0" w:firstLineChars="0"/>
              <w:rPr>
                <w:rFonts w:hint="eastAsia" w:ascii="Times New Roman" w:hAnsi="Times New Roman" w:eastAsia="宋体" w:cs="Times New Roman"/>
                <w:b/>
                <w:bCs/>
                <w:sz w:val="24"/>
                <w:szCs w:val="20"/>
                <w:highlight w:val="none"/>
                <w:lang w:val="en-US" w:eastAsia="zh-CN"/>
              </w:rPr>
            </w:pPr>
          </w:p>
        </w:tc>
      </w:tr>
      <w:tr w14:paraId="34EBC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3" w:hRule="atLeast"/>
        </w:trPr>
        <w:tc>
          <w:tcPr>
            <w:tcW w:w="8472" w:type="dxa"/>
            <w:noWrap w:val="0"/>
            <w:vAlign w:val="top"/>
          </w:tcPr>
          <w:p w14:paraId="64885140">
            <w:pPr>
              <w:widowControl w:val="0"/>
              <w:autoSpaceDE w:val="0"/>
              <w:autoSpaceDN w:val="0"/>
              <w:adjustRightInd w:val="0"/>
              <w:snapToGrid w:val="0"/>
              <w:ind w:firstLine="0" w:firstLineChars="0"/>
              <w:rPr>
                <w:rFonts w:hint="default" w:ascii="Times New Roman" w:hAnsi="Times New Roman" w:eastAsia="宋体" w:cs="Times New Roman"/>
                <w:b/>
                <w:bCs/>
                <w:sz w:val="24"/>
                <w:szCs w:val="20"/>
                <w:highlight w:val="none"/>
                <w:lang w:val="en-US" w:eastAsia="zh-CN"/>
              </w:rPr>
            </w:pPr>
            <w:r>
              <w:rPr>
                <w:rFonts w:hint="eastAsia" w:ascii="Times New Roman" w:hAnsi="Times New Roman" w:eastAsia="宋体" w:cs="Times New Roman"/>
                <w:b/>
                <w:bCs/>
                <w:sz w:val="24"/>
                <w:szCs w:val="20"/>
                <w:highlight w:val="none"/>
                <w:lang w:val="en-US" w:eastAsia="zh-CN"/>
              </w:rPr>
              <w:t>2.保费转账凭证</w:t>
            </w:r>
          </w:p>
        </w:tc>
      </w:tr>
    </w:tbl>
    <w:p w14:paraId="366CB4BF">
      <w:pPr>
        <w:widowControl w:val="0"/>
        <w:topLinePunct/>
        <w:adjustRightInd w:val="0"/>
        <w:snapToGrid w:val="0"/>
        <w:spacing w:line="360" w:lineRule="auto"/>
        <w:ind w:firstLine="420" w:firstLineChars="200"/>
        <w:jc w:val="both"/>
        <w:rPr>
          <w:rFonts w:ascii="宋体" w:hAnsi="宋体" w:eastAsia="宋体" w:cs="Arial"/>
          <w:kern w:val="2"/>
          <w:sz w:val="21"/>
          <w:szCs w:val="21"/>
          <w:highlight w:val="none"/>
          <w:lang w:eastAsia="zh-CN"/>
        </w:rPr>
      </w:pPr>
      <w:r>
        <w:rPr>
          <w:rFonts w:hint="eastAsia" w:ascii="宋体" w:hAnsi="宋体" w:eastAsia="宋体" w:cs="Arial"/>
          <w:kern w:val="2"/>
          <w:sz w:val="21"/>
          <w:szCs w:val="21"/>
          <w:highlight w:val="none"/>
          <w:lang w:val="en-US" w:eastAsia="zh-CN"/>
        </w:rPr>
        <w:t>银行</w:t>
      </w:r>
      <w:r>
        <w:rPr>
          <w:rFonts w:hint="eastAsia" w:ascii="宋体" w:hAnsi="宋体" w:eastAsia="宋体" w:cs="Arial"/>
          <w:kern w:val="2"/>
          <w:sz w:val="21"/>
          <w:szCs w:val="21"/>
          <w:highlight w:val="none"/>
          <w:lang w:eastAsia="zh-CN"/>
        </w:rPr>
        <w:t>保函、</w:t>
      </w:r>
      <w:r>
        <w:rPr>
          <w:rFonts w:hint="eastAsia" w:ascii="宋体" w:hAnsi="宋体" w:eastAsia="宋体" w:cs="Arial"/>
          <w:kern w:val="2"/>
          <w:sz w:val="21"/>
          <w:szCs w:val="21"/>
          <w:highlight w:val="none"/>
          <w:lang w:val="en-US" w:eastAsia="zh-CN"/>
        </w:rPr>
        <w:t>担保保函</w:t>
      </w:r>
      <w:r>
        <w:rPr>
          <w:rFonts w:hint="eastAsia" w:ascii="宋体" w:hAnsi="宋体" w:eastAsia="宋体" w:cs="Arial"/>
          <w:kern w:val="2"/>
          <w:sz w:val="21"/>
          <w:szCs w:val="21"/>
          <w:highlight w:val="none"/>
          <w:lang w:eastAsia="zh-CN"/>
        </w:rPr>
        <w:t>的格式详见招标文件参考格式。如果投标人不采用参考格式的投标保函，拟采用的投标保函应符合参考格式中对实质性内容的要求。在不改变保函实质性内容的前提下，可以对保函格式进行修改，涉及修改投标保函的保证期表述格式的，须保证投标保函的保证期间覆盖该项目的投标有效期（或延长的投标有效期）后28日（含28日），且投标人应考虑到如果出现截标时间延期导致保证期起算时间推后的情况。</w:t>
      </w:r>
    </w:p>
    <w:p w14:paraId="33F86DD4">
      <w:pPr>
        <w:widowControl w:val="0"/>
        <w:topLinePunct/>
        <w:adjustRightInd w:val="0"/>
        <w:snapToGrid w:val="0"/>
        <w:spacing w:line="360" w:lineRule="auto"/>
        <w:ind w:firstLine="420" w:firstLineChars="200"/>
        <w:jc w:val="both"/>
        <w:rPr>
          <w:rFonts w:ascii="宋体" w:hAnsi="宋体" w:eastAsia="宋体" w:cs="Arial"/>
          <w:kern w:val="2"/>
          <w:sz w:val="21"/>
          <w:szCs w:val="21"/>
          <w:highlight w:val="none"/>
          <w:lang w:eastAsia="zh-CN"/>
        </w:rPr>
      </w:pPr>
      <w:r>
        <w:rPr>
          <w:rFonts w:hint="eastAsia" w:ascii="宋体" w:hAnsi="宋体" w:eastAsia="宋体" w:cs="Arial"/>
          <w:snapToGrid w:val="0"/>
          <w:kern w:val="2"/>
          <w:sz w:val="21"/>
          <w:szCs w:val="21"/>
          <w:highlight w:val="none"/>
          <w:lang w:eastAsia="zh-CN"/>
        </w:rPr>
        <w:t>投标保函有效期从截标之日开始计算</w:t>
      </w:r>
      <w:r>
        <w:rPr>
          <w:rFonts w:hint="eastAsia" w:ascii="宋体" w:hAnsi="宋体" w:eastAsia="宋体" w:cs="Arial"/>
          <w:kern w:val="2"/>
          <w:sz w:val="21"/>
          <w:szCs w:val="21"/>
          <w:highlight w:val="none"/>
          <w:lang w:eastAsia="zh-CN"/>
        </w:rPr>
        <w:t>，如银行</w:t>
      </w:r>
      <w:r>
        <w:rPr>
          <w:rFonts w:hint="eastAsia" w:ascii="宋体" w:hAnsi="宋体" w:eastAsia="宋体" w:cs="Arial"/>
          <w:kern w:val="2"/>
          <w:sz w:val="21"/>
          <w:szCs w:val="21"/>
          <w:highlight w:val="none"/>
          <w:lang w:val="en-US" w:eastAsia="zh-CN"/>
        </w:rPr>
        <w:t>或担保公司</w:t>
      </w:r>
      <w:r>
        <w:rPr>
          <w:rFonts w:hint="eastAsia" w:ascii="宋体" w:hAnsi="宋体" w:eastAsia="宋体" w:cs="Arial"/>
          <w:kern w:val="2"/>
          <w:sz w:val="21"/>
          <w:szCs w:val="21"/>
          <w:highlight w:val="none"/>
          <w:lang w:eastAsia="zh-CN"/>
        </w:rPr>
        <w:t>要求保函的担保时间必须有明确的起止时间，请投标人自行计算。投标保函受益人为招标人。</w:t>
      </w:r>
    </w:p>
    <w:p w14:paraId="26A64497">
      <w:pPr>
        <w:widowControl w:val="0"/>
        <w:adjustRightInd/>
        <w:snapToGrid/>
        <w:spacing w:line="240" w:lineRule="auto"/>
        <w:ind w:firstLine="562" w:firstLineChars="200"/>
        <w:jc w:val="left"/>
        <w:rPr>
          <w:rFonts w:hint="eastAsia" w:ascii="宋体" w:hAnsi="宋体" w:eastAsia="宋体" w:cs="Times New Roman"/>
          <w:b/>
          <w:bCs/>
          <w:snapToGrid w:val="0"/>
          <w:color w:val="auto"/>
          <w:kern w:val="0"/>
          <w:szCs w:val="21"/>
          <w:highlight w:val="none"/>
          <w:lang w:val="en-US" w:eastAsia="zh-CN"/>
        </w:rPr>
      </w:pPr>
    </w:p>
    <w:p w14:paraId="66A790AA">
      <w:pPr>
        <w:rPr>
          <w:rFonts w:hint="eastAsia" w:ascii="宋体" w:hAnsi="宋体" w:eastAsia="宋体" w:cs="Times New Roman"/>
          <w:b/>
          <w:bCs/>
          <w:snapToGrid w:val="0"/>
          <w:color w:val="auto"/>
          <w:kern w:val="0"/>
          <w:sz w:val="24"/>
          <w:szCs w:val="20"/>
          <w:highlight w:val="none"/>
          <w:lang w:val="en-US" w:eastAsia="zh-CN"/>
        </w:rPr>
      </w:pPr>
      <w:r>
        <w:rPr>
          <w:rFonts w:hint="eastAsia" w:ascii="宋体" w:hAnsi="宋体" w:eastAsia="宋体" w:cs="Times New Roman"/>
          <w:b/>
          <w:bCs/>
          <w:snapToGrid w:val="0"/>
          <w:color w:val="auto"/>
          <w:kern w:val="0"/>
          <w:sz w:val="24"/>
          <w:szCs w:val="20"/>
          <w:highlight w:val="none"/>
          <w:lang w:val="en-US" w:eastAsia="zh-CN"/>
        </w:rPr>
        <w:br w:type="page"/>
      </w:r>
    </w:p>
    <w:p w14:paraId="22CB5B29">
      <w:pPr>
        <w:widowControl w:val="0"/>
        <w:adjustRightInd/>
        <w:snapToGrid/>
        <w:spacing w:line="240" w:lineRule="auto"/>
        <w:ind w:firstLine="482" w:firstLineChars="200"/>
        <w:jc w:val="left"/>
        <w:rPr>
          <w:rFonts w:hint="eastAsia" w:ascii="宋体" w:hAnsi="宋体" w:eastAsia="宋体" w:cs="Arial"/>
          <w:kern w:val="2"/>
          <w:sz w:val="40"/>
          <w:szCs w:val="21"/>
          <w:highlight w:val="none"/>
          <w:lang w:eastAsia="zh-CN"/>
        </w:rPr>
      </w:pPr>
      <w:r>
        <w:rPr>
          <w:rFonts w:hint="eastAsia" w:ascii="宋体" w:hAnsi="宋体" w:eastAsia="宋体" w:cs="Times New Roman"/>
          <w:b/>
          <w:bCs/>
          <w:snapToGrid w:val="0"/>
          <w:color w:val="auto"/>
          <w:kern w:val="0"/>
          <w:sz w:val="24"/>
          <w:szCs w:val="20"/>
          <w:highlight w:val="none"/>
          <w:lang w:val="en-US" w:eastAsia="zh-CN"/>
        </w:rPr>
        <w:t>投标</w:t>
      </w:r>
      <w:r>
        <w:rPr>
          <w:rFonts w:hint="eastAsia" w:ascii="宋体" w:hAnsi="宋体" w:eastAsia="宋体" w:cs="Times New Roman"/>
          <w:b/>
          <w:bCs/>
          <w:snapToGrid w:val="0"/>
          <w:color w:val="auto"/>
          <w:kern w:val="0"/>
          <w:sz w:val="24"/>
          <w:szCs w:val="20"/>
          <w:highlight w:val="none"/>
        </w:rPr>
        <w:t>保函格式</w:t>
      </w:r>
      <w:r>
        <w:rPr>
          <w:rFonts w:hint="eastAsia" w:ascii="宋体" w:hAnsi="宋体" w:eastAsia="宋体" w:cs="Times New Roman"/>
          <w:b/>
          <w:bCs/>
          <w:snapToGrid w:val="0"/>
          <w:color w:val="auto"/>
          <w:kern w:val="0"/>
          <w:sz w:val="24"/>
          <w:szCs w:val="20"/>
          <w:highlight w:val="none"/>
          <w:lang w:eastAsia="zh-CN"/>
        </w:rPr>
        <w:t>（</w:t>
      </w:r>
      <w:r>
        <w:rPr>
          <w:rFonts w:hint="eastAsia" w:ascii="宋体" w:hAnsi="宋体" w:eastAsia="宋体" w:cs="Times New Roman"/>
          <w:b/>
          <w:bCs/>
          <w:snapToGrid w:val="0"/>
          <w:color w:val="auto"/>
          <w:kern w:val="0"/>
          <w:sz w:val="24"/>
          <w:szCs w:val="20"/>
          <w:highlight w:val="none"/>
        </w:rPr>
        <w:t>参考</w:t>
      </w:r>
      <w:r>
        <w:rPr>
          <w:rFonts w:hint="eastAsia" w:ascii="宋体" w:hAnsi="宋体" w:eastAsia="宋体" w:cs="Times New Roman"/>
          <w:b/>
          <w:bCs/>
          <w:snapToGrid w:val="0"/>
          <w:color w:val="auto"/>
          <w:kern w:val="0"/>
          <w:sz w:val="24"/>
          <w:szCs w:val="20"/>
          <w:highlight w:val="none"/>
          <w:lang w:eastAsia="zh-CN"/>
        </w:rPr>
        <w:t>）：</w:t>
      </w:r>
    </w:p>
    <w:p w14:paraId="58987BF9">
      <w:pPr>
        <w:widowControl w:val="0"/>
        <w:adjustRightInd/>
        <w:snapToGrid/>
        <w:spacing w:line="240" w:lineRule="auto"/>
        <w:ind w:firstLine="0" w:firstLineChars="0"/>
        <w:jc w:val="center"/>
        <w:rPr>
          <w:rFonts w:ascii="宋体" w:hAnsi="宋体" w:eastAsia="宋体" w:cs="Arial"/>
          <w:kern w:val="2"/>
          <w:sz w:val="40"/>
          <w:szCs w:val="21"/>
          <w:highlight w:val="none"/>
          <w:lang w:eastAsia="zh-CN"/>
        </w:rPr>
      </w:pPr>
      <w:r>
        <w:rPr>
          <w:rFonts w:hint="eastAsia" w:ascii="宋体" w:hAnsi="宋体" w:eastAsia="宋体" w:cs="Arial"/>
          <w:kern w:val="2"/>
          <w:sz w:val="40"/>
          <w:szCs w:val="21"/>
          <w:highlight w:val="none"/>
          <w:lang w:eastAsia="zh-CN"/>
        </w:rPr>
        <w:t>投标保函</w:t>
      </w:r>
    </w:p>
    <w:p w14:paraId="6F7DA6EE">
      <w:pPr>
        <w:widowControl w:val="0"/>
        <w:adjustRightInd w:val="0"/>
        <w:snapToGrid w:val="0"/>
        <w:spacing w:line="360" w:lineRule="auto"/>
        <w:ind w:firstLine="5400" w:firstLineChars="27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保函编号：</w:t>
      </w:r>
      <w:r>
        <w:rPr>
          <w:rFonts w:ascii="宋体" w:hAnsi="宋体" w:eastAsia="宋体" w:cs="Arial"/>
          <w:kern w:val="2"/>
          <w:sz w:val="20"/>
          <w:szCs w:val="20"/>
          <w:highlight w:val="none"/>
          <w:u w:val="single"/>
          <w:lang w:eastAsia="zh-CN"/>
        </w:rPr>
        <w:t>__________</w:t>
      </w:r>
    </w:p>
    <w:p w14:paraId="36924F31">
      <w:pPr>
        <w:widowControl w:val="0"/>
        <w:adjustRightInd w:val="0"/>
        <w:snapToGrid w:val="0"/>
        <w:spacing w:line="360" w:lineRule="auto"/>
        <w:ind w:firstLine="0" w:firstLineChars="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致</w:t>
      </w:r>
      <w:r>
        <w:rPr>
          <w:rFonts w:ascii="宋体" w:hAnsi="宋体" w:eastAsia="宋体" w:cs="Arial"/>
          <w:kern w:val="2"/>
          <w:sz w:val="20"/>
          <w:szCs w:val="20"/>
          <w:highlight w:val="none"/>
          <w:u w:val="single"/>
          <w:lang w:eastAsia="zh-CN"/>
        </w:rPr>
        <w:t>______________________________</w:t>
      </w:r>
      <w:r>
        <w:rPr>
          <w:rFonts w:hint="eastAsia" w:ascii="宋体" w:hAnsi="宋体" w:eastAsia="宋体" w:cs="Arial"/>
          <w:kern w:val="2"/>
          <w:sz w:val="20"/>
          <w:szCs w:val="20"/>
          <w:highlight w:val="none"/>
          <w:lang w:eastAsia="zh-CN"/>
        </w:rPr>
        <w:t>（下称受益人）：</w:t>
      </w:r>
    </w:p>
    <w:p w14:paraId="7FCE4D4F">
      <w:pPr>
        <w:widowControl w:val="0"/>
        <w:adjustRightInd w:val="0"/>
        <w:snapToGrid w:val="0"/>
        <w:spacing w:line="360" w:lineRule="auto"/>
        <w:ind w:firstLine="482" w:firstLineChars="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鉴于</w:t>
      </w:r>
      <w:r>
        <w:rPr>
          <w:rFonts w:ascii="宋体" w:hAnsi="宋体" w:eastAsia="宋体" w:cs="Arial"/>
          <w:kern w:val="2"/>
          <w:sz w:val="20"/>
          <w:szCs w:val="20"/>
          <w:highlight w:val="none"/>
          <w:u w:val="single"/>
          <w:lang w:eastAsia="zh-CN"/>
        </w:rPr>
        <w:t>_____________________________</w:t>
      </w:r>
      <w:r>
        <w:rPr>
          <w:rFonts w:ascii="宋体" w:hAnsi="宋体" w:eastAsia="宋体" w:cs="Arial"/>
          <w:kern w:val="2"/>
          <w:sz w:val="20"/>
          <w:szCs w:val="20"/>
          <w:highlight w:val="none"/>
          <w:lang w:eastAsia="zh-CN"/>
        </w:rPr>
        <w:t>（</w:t>
      </w:r>
      <w:r>
        <w:rPr>
          <w:rFonts w:hint="eastAsia" w:ascii="宋体" w:hAnsi="宋体" w:eastAsia="宋体" w:cs="Arial"/>
          <w:kern w:val="2"/>
          <w:sz w:val="20"/>
          <w:szCs w:val="20"/>
          <w:highlight w:val="none"/>
          <w:lang w:eastAsia="zh-CN"/>
        </w:rPr>
        <w:t>下称被保证人</w:t>
      </w:r>
      <w:r>
        <w:rPr>
          <w:rFonts w:ascii="宋体" w:hAnsi="宋体" w:eastAsia="宋体" w:cs="Arial"/>
          <w:kern w:val="2"/>
          <w:sz w:val="20"/>
          <w:szCs w:val="20"/>
          <w:highlight w:val="none"/>
          <w:lang w:eastAsia="zh-CN"/>
        </w:rPr>
        <w:t>）</w:t>
      </w:r>
      <w:r>
        <w:rPr>
          <w:rFonts w:hint="eastAsia" w:ascii="宋体" w:hAnsi="宋体" w:eastAsia="宋体" w:cs="Arial"/>
          <w:kern w:val="2"/>
          <w:sz w:val="20"/>
          <w:szCs w:val="20"/>
          <w:highlight w:val="none"/>
          <w:lang w:eastAsia="zh-CN"/>
        </w:rPr>
        <w:t>将参加贵方标段编号为</w:t>
      </w:r>
      <w:r>
        <w:rPr>
          <w:rFonts w:ascii="宋体" w:hAnsi="宋体" w:eastAsia="宋体" w:cs="Arial"/>
          <w:kern w:val="2"/>
          <w:sz w:val="20"/>
          <w:szCs w:val="20"/>
          <w:highlight w:val="none"/>
          <w:u w:val="single"/>
          <w:lang w:eastAsia="zh-CN"/>
        </w:rPr>
        <w:t>______________</w:t>
      </w:r>
      <w:r>
        <w:rPr>
          <w:rFonts w:hint="eastAsia" w:ascii="宋体" w:hAnsi="宋体" w:eastAsia="宋体" w:cs="Arial"/>
          <w:kern w:val="2"/>
          <w:sz w:val="20"/>
          <w:szCs w:val="20"/>
          <w:highlight w:val="none"/>
          <w:lang w:eastAsia="zh-CN"/>
        </w:rPr>
        <w:t>的</w:t>
      </w:r>
      <w:r>
        <w:rPr>
          <w:rFonts w:ascii="宋体" w:hAnsi="宋体" w:eastAsia="宋体" w:cs="Arial"/>
          <w:kern w:val="2"/>
          <w:sz w:val="20"/>
          <w:szCs w:val="20"/>
          <w:highlight w:val="none"/>
          <w:u w:val="single"/>
          <w:lang w:eastAsia="zh-CN"/>
        </w:rPr>
        <w:t>____________________________________</w:t>
      </w:r>
      <w:r>
        <w:rPr>
          <w:rFonts w:hint="eastAsia" w:ascii="宋体" w:hAnsi="宋体" w:eastAsia="宋体" w:cs="Arial"/>
          <w:kern w:val="2"/>
          <w:sz w:val="20"/>
          <w:szCs w:val="20"/>
          <w:highlight w:val="none"/>
          <w:lang w:eastAsia="zh-CN"/>
        </w:rPr>
        <w:t>工程的投标，我方接受被保证人的委托，在此向受益人提供不可撤销的投标保证：</w:t>
      </w:r>
    </w:p>
    <w:p w14:paraId="6C98E6F5">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一、本保证担保的担保金额为</w:t>
      </w:r>
      <w:r>
        <w:rPr>
          <w:rFonts w:ascii="宋体" w:hAnsi="宋体" w:eastAsia="宋体" w:cs="Arial"/>
          <w:kern w:val="2"/>
          <w:sz w:val="20"/>
          <w:szCs w:val="20"/>
          <w:highlight w:val="none"/>
          <w:u w:val="single"/>
          <w:lang w:eastAsia="zh-CN"/>
        </w:rPr>
        <w:t>______</w:t>
      </w:r>
      <w:r>
        <w:rPr>
          <w:rFonts w:hint="eastAsia" w:ascii="宋体" w:hAnsi="宋体" w:eastAsia="宋体" w:cs="Arial"/>
          <w:kern w:val="2"/>
          <w:sz w:val="20"/>
          <w:szCs w:val="20"/>
          <w:highlight w:val="none"/>
          <w:lang w:eastAsia="zh-CN"/>
        </w:rPr>
        <w:t>（币种）</w:t>
      </w:r>
      <w:r>
        <w:rPr>
          <w:rFonts w:ascii="宋体" w:hAnsi="宋体" w:eastAsia="宋体" w:cs="Arial"/>
          <w:kern w:val="2"/>
          <w:sz w:val="20"/>
          <w:szCs w:val="20"/>
          <w:highlight w:val="none"/>
          <w:u w:val="single"/>
          <w:lang w:eastAsia="zh-CN"/>
        </w:rPr>
        <w:t>______</w:t>
      </w:r>
      <w:r>
        <w:rPr>
          <w:rFonts w:hint="eastAsia" w:ascii="宋体" w:hAnsi="宋体" w:eastAsia="宋体" w:cs="Arial"/>
          <w:kern w:val="2"/>
          <w:sz w:val="20"/>
          <w:szCs w:val="20"/>
          <w:highlight w:val="none"/>
          <w:lang w:eastAsia="zh-CN"/>
        </w:rPr>
        <w:t>元（小写）</w:t>
      </w:r>
      <w:r>
        <w:rPr>
          <w:rFonts w:ascii="宋体" w:hAnsi="宋体" w:eastAsia="宋体" w:cs="Arial"/>
          <w:kern w:val="2"/>
          <w:sz w:val="20"/>
          <w:szCs w:val="20"/>
          <w:highlight w:val="none"/>
          <w:u w:val="single"/>
          <w:lang w:eastAsia="zh-CN"/>
        </w:rPr>
        <w:t>_____________</w:t>
      </w:r>
      <w:r>
        <w:rPr>
          <w:rFonts w:hint="eastAsia" w:ascii="宋体" w:hAnsi="宋体" w:eastAsia="宋体" w:cs="Arial"/>
          <w:kern w:val="2"/>
          <w:sz w:val="20"/>
          <w:szCs w:val="20"/>
          <w:highlight w:val="none"/>
          <w:lang w:eastAsia="zh-CN"/>
        </w:rPr>
        <w:t>（大写）。</w:t>
      </w:r>
    </w:p>
    <w:p w14:paraId="5C18833E">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二、本保证担保的保证期间为该工程的投标有效期（或延长的投标有效期）后28日（含28日），延长投标有效期无须通知我方。</w:t>
      </w:r>
    </w:p>
    <w:p w14:paraId="3D331CF2">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三、在本保证担保的保证期间内，如果被保证人出现下列情形之一，受益人可以向我方提起索赔：</w:t>
      </w:r>
    </w:p>
    <w:p w14:paraId="11418A12">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1.被保证人在招标文件规定的投标有效期内撤回其投标；</w:t>
      </w:r>
    </w:p>
    <w:p w14:paraId="1CC76176">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2.被保证人在投标有效期内收到受益人发出的中标通知书后，不能或拒绝按招标文件的要求签署施工合同；</w:t>
      </w:r>
    </w:p>
    <w:p w14:paraId="5147D92F">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3.被保证人在投标有效期内收到受益人发出的中标通知书后，不能或拒绝按招标文件的规定提交履约担保。</w:t>
      </w:r>
    </w:p>
    <w:p w14:paraId="4FE5AC9A">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四、在本保证担保的保证期间内，我方收到受益人经法定代表人或其授权委托代理人签字并加盖公章的书面索赔通知后，将不争辩、不挑剔、不可撤销地立即向受益人支付本保证担保的担保金额。</w:t>
      </w:r>
    </w:p>
    <w:p w14:paraId="0A67FA92">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五、受益人的索赔通知应当说明索赔理由，并必须在本保证担保的保证期间内以专人送达或邮寄送达的方式送达我方。</w:t>
      </w:r>
    </w:p>
    <w:p w14:paraId="44A545F3">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六、本保证担保项下的权利不得转让。</w:t>
      </w:r>
    </w:p>
    <w:p w14:paraId="01132AEC">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七、本保证担保的保证期间届满，或我方已向受益人支付本保证担保的担保金额，我方的保证责任免除。</w:t>
      </w:r>
    </w:p>
    <w:p w14:paraId="5B45A772">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八、本保证担保适用中华人民共和国法律。</w:t>
      </w:r>
    </w:p>
    <w:p w14:paraId="795ED865">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九、本保证担保以中文文本为准，涂改无效。</w:t>
      </w:r>
    </w:p>
    <w:p w14:paraId="1F1938BE">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保证人（盖章）：</w:t>
      </w:r>
      <w:r>
        <w:rPr>
          <w:rFonts w:ascii="宋体" w:hAnsi="宋体" w:eastAsia="宋体" w:cs="Arial"/>
          <w:kern w:val="2"/>
          <w:sz w:val="20"/>
          <w:szCs w:val="20"/>
          <w:highlight w:val="none"/>
          <w:u w:val="single"/>
          <w:lang w:eastAsia="zh-CN"/>
        </w:rPr>
        <w:t>___________________________________________________</w:t>
      </w:r>
    </w:p>
    <w:p w14:paraId="400B16B8">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法定代表人或其授权委托代理人（签字或盖章）：</w:t>
      </w:r>
      <w:r>
        <w:rPr>
          <w:rFonts w:ascii="宋体" w:hAnsi="宋体" w:eastAsia="宋体" w:cs="Arial"/>
          <w:kern w:val="2"/>
          <w:sz w:val="20"/>
          <w:szCs w:val="20"/>
          <w:highlight w:val="none"/>
          <w:u w:val="single"/>
          <w:lang w:eastAsia="zh-CN"/>
        </w:rPr>
        <w:t>_______________________</w:t>
      </w:r>
    </w:p>
    <w:p w14:paraId="43155EF9">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单位地址：</w:t>
      </w:r>
      <w:r>
        <w:rPr>
          <w:rFonts w:ascii="宋体" w:hAnsi="宋体" w:eastAsia="宋体" w:cs="Arial"/>
          <w:kern w:val="2"/>
          <w:sz w:val="20"/>
          <w:szCs w:val="20"/>
          <w:highlight w:val="none"/>
          <w:u w:val="single"/>
          <w:lang w:eastAsia="zh-CN"/>
        </w:rPr>
        <w:t>________________________________________________________</w:t>
      </w:r>
    </w:p>
    <w:p w14:paraId="35D8B3E7">
      <w:pPr>
        <w:widowControl w:val="0"/>
        <w:adjustRightInd w:val="0"/>
        <w:snapToGrid w:val="0"/>
        <w:spacing w:line="360" w:lineRule="auto"/>
        <w:ind w:firstLine="480" w:firstLineChars="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邮政编码：</w:t>
      </w:r>
      <w:r>
        <w:rPr>
          <w:rFonts w:ascii="宋体" w:hAnsi="宋体" w:eastAsia="宋体" w:cs="Arial"/>
          <w:kern w:val="2"/>
          <w:sz w:val="20"/>
          <w:szCs w:val="20"/>
          <w:highlight w:val="none"/>
          <w:u w:val="single"/>
          <w:lang w:eastAsia="zh-CN"/>
        </w:rPr>
        <w:t>___________</w:t>
      </w:r>
      <w:r>
        <w:rPr>
          <w:rFonts w:hint="eastAsia" w:ascii="宋体" w:hAnsi="宋体" w:eastAsia="宋体" w:cs="Arial"/>
          <w:kern w:val="2"/>
          <w:sz w:val="20"/>
          <w:szCs w:val="20"/>
          <w:highlight w:val="none"/>
          <w:lang w:eastAsia="zh-CN"/>
        </w:rPr>
        <w:t>电话：</w:t>
      </w:r>
      <w:r>
        <w:rPr>
          <w:rFonts w:ascii="宋体" w:hAnsi="宋体" w:eastAsia="宋体" w:cs="Arial"/>
          <w:kern w:val="2"/>
          <w:sz w:val="20"/>
          <w:szCs w:val="20"/>
          <w:highlight w:val="none"/>
          <w:u w:val="single"/>
          <w:lang w:eastAsia="zh-CN"/>
        </w:rPr>
        <w:t>_________________</w:t>
      </w:r>
      <w:r>
        <w:rPr>
          <w:rFonts w:hint="eastAsia" w:ascii="宋体" w:hAnsi="宋体" w:eastAsia="宋体" w:cs="Arial"/>
          <w:kern w:val="2"/>
          <w:sz w:val="20"/>
          <w:szCs w:val="20"/>
          <w:highlight w:val="none"/>
          <w:lang w:eastAsia="zh-CN"/>
        </w:rPr>
        <w:t>传真：</w:t>
      </w:r>
      <w:r>
        <w:rPr>
          <w:rFonts w:ascii="宋体" w:hAnsi="宋体" w:eastAsia="宋体" w:cs="Arial"/>
          <w:kern w:val="2"/>
          <w:sz w:val="20"/>
          <w:szCs w:val="20"/>
          <w:highlight w:val="none"/>
          <w:u w:val="single"/>
          <w:lang w:eastAsia="zh-CN"/>
        </w:rPr>
        <w:t>________________</w:t>
      </w:r>
    </w:p>
    <w:p w14:paraId="3E0B1FC2">
      <w:pPr>
        <w:widowControl w:val="0"/>
        <w:adjustRightInd w:val="0"/>
        <w:snapToGrid w:val="0"/>
        <w:spacing w:line="360" w:lineRule="auto"/>
        <w:ind w:firstLine="400" w:firstLineChars="200"/>
        <w:jc w:val="both"/>
        <w:rPr>
          <w:rFonts w:ascii="宋体" w:hAnsi="宋体" w:eastAsia="宋体" w:cs="Arial"/>
          <w:kern w:val="2"/>
          <w:sz w:val="20"/>
          <w:szCs w:val="20"/>
          <w:highlight w:val="none"/>
          <w:lang w:eastAsia="zh-CN"/>
        </w:rPr>
      </w:pPr>
      <w:r>
        <w:rPr>
          <w:rFonts w:hint="eastAsia" w:ascii="宋体" w:hAnsi="宋体" w:eastAsia="宋体" w:cs="Arial"/>
          <w:kern w:val="2"/>
          <w:sz w:val="20"/>
          <w:szCs w:val="20"/>
          <w:highlight w:val="none"/>
          <w:lang w:eastAsia="zh-CN"/>
        </w:rPr>
        <w:t>日期：</w:t>
      </w:r>
      <w:r>
        <w:rPr>
          <w:rFonts w:ascii="宋体" w:hAnsi="宋体" w:eastAsia="宋体" w:cs="Arial"/>
          <w:kern w:val="2"/>
          <w:sz w:val="20"/>
          <w:szCs w:val="20"/>
          <w:highlight w:val="none"/>
          <w:u w:val="single"/>
          <w:lang w:eastAsia="zh-CN"/>
        </w:rPr>
        <w:t>__________</w:t>
      </w:r>
      <w:r>
        <w:rPr>
          <w:rFonts w:hint="eastAsia" w:ascii="宋体" w:hAnsi="宋体" w:eastAsia="宋体" w:cs="Arial"/>
          <w:kern w:val="2"/>
          <w:sz w:val="20"/>
          <w:szCs w:val="20"/>
          <w:highlight w:val="none"/>
          <w:lang w:eastAsia="zh-CN"/>
        </w:rPr>
        <w:t>年</w:t>
      </w:r>
      <w:r>
        <w:rPr>
          <w:rFonts w:ascii="宋体" w:hAnsi="宋体" w:eastAsia="宋体" w:cs="Arial"/>
          <w:kern w:val="2"/>
          <w:sz w:val="20"/>
          <w:szCs w:val="20"/>
          <w:highlight w:val="none"/>
          <w:u w:val="single"/>
          <w:lang w:eastAsia="zh-CN"/>
        </w:rPr>
        <w:t>______</w:t>
      </w:r>
      <w:r>
        <w:rPr>
          <w:rFonts w:hint="eastAsia" w:ascii="宋体" w:hAnsi="宋体" w:eastAsia="宋体" w:cs="Arial"/>
          <w:kern w:val="2"/>
          <w:sz w:val="20"/>
          <w:szCs w:val="20"/>
          <w:highlight w:val="none"/>
          <w:lang w:eastAsia="zh-CN"/>
        </w:rPr>
        <w:t>月</w:t>
      </w:r>
      <w:r>
        <w:rPr>
          <w:rFonts w:ascii="宋体" w:hAnsi="宋体" w:eastAsia="宋体" w:cs="Arial"/>
          <w:kern w:val="2"/>
          <w:sz w:val="20"/>
          <w:szCs w:val="20"/>
          <w:highlight w:val="none"/>
          <w:u w:val="single"/>
          <w:lang w:eastAsia="zh-CN"/>
        </w:rPr>
        <w:t>______</w:t>
      </w:r>
      <w:r>
        <w:rPr>
          <w:rFonts w:hint="eastAsia" w:ascii="宋体" w:hAnsi="宋体" w:eastAsia="宋体" w:cs="Arial"/>
          <w:kern w:val="2"/>
          <w:sz w:val="20"/>
          <w:szCs w:val="20"/>
          <w:highlight w:val="none"/>
          <w:lang w:eastAsia="zh-CN"/>
        </w:rPr>
        <w:t>日</w:t>
      </w:r>
    </w:p>
    <w:p w14:paraId="1349F9A2">
      <w:pPr>
        <w:widowControl w:val="0"/>
        <w:adjustRightInd w:val="0"/>
        <w:snapToGrid w:val="0"/>
        <w:ind w:firstLine="0" w:firstLineChars="0"/>
        <w:jc w:val="both"/>
        <w:rPr>
          <w:rFonts w:hint="eastAsia"/>
          <w:color w:val="auto"/>
          <w:sz w:val="20"/>
          <w:szCs w:val="18"/>
          <w:highlight w:val="none"/>
          <w:lang w:val="en-US" w:eastAsia="zh-CN"/>
        </w:rPr>
      </w:pPr>
      <w:r>
        <w:rPr>
          <w:rFonts w:hint="eastAsia" w:ascii="宋体" w:hAnsi="宋体" w:eastAsia="宋体" w:cs="Arial"/>
          <w:kern w:val="2"/>
          <w:sz w:val="20"/>
          <w:szCs w:val="20"/>
          <w:highlight w:val="none"/>
          <w:lang w:eastAsia="zh-CN"/>
        </w:rPr>
        <w:t>（本保函失效后，请将原件退回我方注销）</w:t>
      </w:r>
    </w:p>
    <w:p w14:paraId="3EBB59A1">
      <w:pPr>
        <w:rPr>
          <w:rFonts w:hint="eastAsia" w:asciiTheme="majorEastAsia" w:hAnsiTheme="majorEastAsia" w:eastAsiaTheme="majorEastAsia"/>
          <w:b/>
          <w:color w:val="auto"/>
          <w:sz w:val="24"/>
          <w:highlight w:val="none"/>
          <w:lang w:val="en-US" w:eastAsia="zh-CN"/>
        </w:rPr>
      </w:pPr>
      <w:r>
        <w:rPr>
          <w:rFonts w:hint="eastAsia" w:asciiTheme="majorEastAsia" w:hAnsiTheme="majorEastAsia" w:eastAsiaTheme="majorEastAsia"/>
          <w:b/>
          <w:color w:val="auto"/>
          <w:sz w:val="24"/>
          <w:highlight w:val="none"/>
          <w:lang w:val="en-US" w:eastAsia="zh-CN"/>
        </w:rPr>
        <w:br w:type="page"/>
      </w:r>
    </w:p>
    <w:p w14:paraId="6DBD7486">
      <w:pPr>
        <w:ind w:firstLine="0" w:firstLineChars="0"/>
        <w:outlineLvl w:val="2"/>
        <w:rPr>
          <w:rFonts w:asciiTheme="majorEastAsia" w:hAnsiTheme="majorEastAsia" w:eastAsiaTheme="majorEastAsia"/>
          <w:b/>
          <w:color w:val="auto"/>
          <w:sz w:val="24"/>
          <w:highlight w:val="none"/>
        </w:rPr>
      </w:pPr>
      <w:bookmarkStart w:id="436" w:name="_Toc32249"/>
      <w:bookmarkStart w:id="437" w:name="_Toc25003"/>
      <w:bookmarkStart w:id="438" w:name="_Toc13375"/>
      <w:bookmarkStart w:id="439" w:name="_Toc22025"/>
      <w:r>
        <w:rPr>
          <w:rFonts w:hint="eastAsia" w:asciiTheme="majorEastAsia" w:hAnsiTheme="majorEastAsia" w:eastAsiaTheme="majorEastAsia"/>
          <w:b/>
          <w:color w:val="auto"/>
          <w:sz w:val="24"/>
          <w:highlight w:val="none"/>
          <w:lang w:val="en-US" w:eastAsia="zh-CN"/>
        </w:rPr>
        <w:t>A8、</w:t>
      </w:r>
      <w:r>
        <w:rPr>
          <w:rFonts w:hint="eastAsia" w:asciiTheme="majorEastAsia" w:hAnsiTheme="majorEastAsia" w:eastAsiaTheme="majorEastAsia"/>
          <w:b/>
          <w:color w:val="auto"/>
          <w:sz w:val="24"/>
          <w:highlight w:val="none"/>
        </w:rPr>
        <w:t>其他</w:t>
      </w:r>
      <w:bookmarkEnd w:id="426"/>
      <w:bookmarkEnd w:id="427"/>
      <w:bookmarkEnd w:id="428"/>
      <w:bookmarkEnd w:id="429"/>
      <w:bookmarkEnd w:id="436"/>
      <w:bookmarkEnd w:id="437"/>
      <w:bookmarkEnd w:id="438"/>
      <w:bookmarkEnd w:id="439"/>
    </w:p>
    <w:p w14:paraId="73A767EC">
      <w:pPr>
        <w:rPr>
          <w:rFonts w:hint="eastAsia" w:asciiTheme="majorEastAsia" w:hAnsiTheme="majorEastAsia" w:eastAsiaTheme="majorEastAsia"/>
          <w:b/>
          <w:color w:val="auto"/>
          <w:sz w:val="24"/>
          <w:highlight w:val="none"/>
          <w:lang w:val="en-US" w:eastAsia="zh-CN"/>
        </w:rPr>
      </w:pPr>
      <w:r>
        <w:rPr>
          <w:rFonts w:hint="eastAsia" w:asciiTheme="majorEastAsia" w:hAnsiTheme="majorEastAsia" w:eastAsiaTheme="majorEastAsia"/>
          <w:color w:val="auto"/>
          <w:sz w:val="24"/>
          <w:highlight w:val="none"/>
        </w:rPr>
        <w:t>投标人认为应补充提供的其他文件资料或说明。</w:t>
      </w:r>
      <w:r>
        <w:rPr>
          <w:rFonts w:hint="eastAsia" w:asciiTheme="majorEastAsia" w:hAnsiTheme="majorEastAsia" w:eastAsiaTheme="majorEastAsia"/>
          <w:b/>
          <w:color w:val="auto"/>
          <w:sz w:val="24"/>
          <w:highlight w:val="none"/>
          <w:lang w:val="en-US" w:eastAsia="zh-CN"/>
        </w:rPr>
        <w:br w:type="page"/>
      </w:r>
    </w:p>
    <w:bookmarkEnd w:id="413"/>
    <w:bookmarkEnd w:id="414"/>
    <w:bookmarkEnd w:id="415"/>
    <w:bookmarkEnd w:id="416"/>
    <w:bookmarkEnd w:id="417"/>
    <w:bookmarkEnd w:id="418"/>
    <w:bookmarkEnd w:id="419"/>
    <w:bookmarkEnd w:id="420"/>
    <w:bookmarkEnd w:id="421"/>
    <w:bookmarkEnd w:id="424"/>
    <w:bookmarkEnd w:id="430"/>
    <w:p w14:paraId="3DE31A57">
      <w:pPr>
        <w:widowControl w:val="0"/>
        <w:autoSpaceDE w:val="0"/>
        <w:autoSpaceDN w:val="0"/>
        <w:adjustRightInd w:val="0"/>
        <w:snapToGrid w:val="0"/>
        <w:ind w:firstLine="0" w:firstLineChars="0"/>
        <w:jc w:val="center"/>
        <w:outlineLvl w:val="1"/>
        <w:rPr>
          <w:rFonts w:hint="default" w:ascii="宋体" w:hAnsi="宋体" w:eastAsia="宋体" w:cs="Times New Roman"/>
          <w:b/>
          <w:color w:val="auto"/>
          <w:sz w:val="44"/>
          <w:szCs w:val="44"/>
          <w:highlight w:val="none"/>
          <w:lang w:val="en-US" w:eastAsia="zh-CN"/>
        </w:rPr>
      </w:pPr>
      <w:bookmarkStart w:id="440" w:name="_Toc22870"/>
      <w:bookmarkStart w:id="441" w:name="_Toc24692"/>
      <w:bookmarkStart w:id="442" w:name="_Toc15325"/>
      <w:bookmarkStart w:id="443" w:name="_Toc278893410"/>
      <w:r>
        <w:rPr>
          <w:rFonts w:hint="eastAsia" w:ascii="宋体" w:hAnsi="宋体" w:eastAsia="宋体" w:cs="Times New Roman"/>
          <w:b/>
          <w:color w:val="auto"/>
          <w:sz w:val="44"/>
          <w:szCs w:val="44"/>
          <w:highlight w:val="none"/>
          <w:lang w:val="en-US" w:eastAsia="zh-CN"/>
        </w:rPr>
        <w:t>二、技术标部分</w:t>
      </w:r>
    </w:p>
    <w:p w14:paraId="1C3C77FD">
      <w:pPr>
        <w:rPr>
          <w:rFonts w:hint="eastAsia"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br w:type="page"/>
      </w:r>
    </w:p>
    <w:p w14:paraId="2FDA5C34">
      <w:pPr>
        <w:pStyle w:val="62"/>
        <w:ind w:left="0" w:leftChars="0" w:firstLine="0" w:firstLineChars="0"/>
        <w:outlineLvl w:val="2"/>
        <w:rPr>
          <w:rFonts w:hint="eastAsia" w:cs="Times New Roman" w:asciiTheme="majorEastAsia" w:hAnsiTheme="majorEastAsia" w:eastAsiaTheme="majorEastAsia"/>
          <w:b/>
          <w:color w:val="auto"/>
          <w:kern w:val="2"/>
          <w:sz w:val="24"/>
          <w:szCs w:val="24"/>
          <w:highlight w:val="none"/>
          <w:lang w:val="en-US" w:eastAsia="zh-CN" w:bidi="ar-SA"/>
        </w:rPr>
      </w:pPr>
      <w:bookmarkStart w:id="444" w:name="_Toc7327"/>
      <w:r>
        <w:rPr>
          <w:rFonts w:hint="eastAsia" w:cs="Times New Roman" w:asciiTheme="majorEastAsia" w:hAnsiTheme="majorEastAsia" w:eastAsiaTheme="majorEastAsia"/>
          <w:b/>
          <w:color w:val="auto"/>
          <w:kern w:val="2"/>
          <w:sz w:val="24"/>
          <w:szCs w:val="24"/>
          <w:highlight w:val="none"/>
          <w:lang w:val="en-US" w:eastAsia="zh-CN" w:bidi="ar-SA"/>
        </w:rPr>
        <w:t>B1、产品检测报告</w:t>
      </w:r>
    </w:p>
    <w:p w14:paraId="3F8924D3">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asciiTheme="majorEastAsia" w:hAnsiTheme="majorEastAsia" w:eastAsiaTheme="majorEastAsia"/>
          <w:color w:val="auto"/>
          <w:sz w:val="24"/>
          <w:highlight w:val="none"/>
          <w:lang w:val="en-US" w:eastAsia="zh-CN"/>
        </w:rPr>
        <w:t>提供CMA检测报告并加盖投标人公章。</w:t>
      </w:r>
    </w:p>
    <w:p w14:paraId="01256FB0">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1D6EC111">
      <w:pPr>
        <w:pStyle w:val="62"/>
        <w:ind w:left="0" w:leftChars="0"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B2、供货安装方案</w:t>
      </w:r>
      <w:bookmarkEnd w:id="444"/>
    </w:p>
    <w:p w14:paraId="0FECC5A7">
      <w:pPr>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投标人应根据</w:t>
      </w:r>
      <w:r>
        <w:rPr>
          <w:rFonts w:hint="eastAsia" w:asciiTheme="majorEastAsia" w:hAnsiTheme="majorEastAsia" w:eastAsiaTheme="majorEastAsia"/>
          <w:color w:val="auto"/>
          <w:sz w:val="24"/>
          <w:highlight w:val="none"/>
        </w:rPr>
        <w:t>招标文件第三章 评审细则/3.13 评审内容及标准《资信技术标评审标准》评分的相应内容</w:t>
      </w:r>
      <w:r>
        <w:rPr>
          <w:rFonts w:hint="eastAsia" w:asciiTheme="majorEastAsia" w:hAnsiTheme="majorEastAsia" w:eastAsiaTheme="majorEastAsia"/>
          <w:color w:val="auto"/>
          <w:sz w:val="24"/>
          <w:highlight w:val="none"/>
          <w:lang w:val="en-US" w:eastAsia="zh-CN"/>
        </w:rPr>
        <w:t>和第五章技术要求编制，原件加盖公章（格式自拟）。</w:t>
      </w:r>
    </w:p>
    <w:p w14:paraId="6CE9EAA2">
      <w:pPr>
        <w:ind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br w:type="page"/>
      </w:r>
      <w:r>
        <w:rPr>
          <w:rFonts w:hint="eastAsia" w:cs="Times New Roman" w:asciiTheme="majorEastAsia" w:hAnsiTheme="majorEastAsia" w:eastAsiaTheme="majorEastAsia"/>
          <w:b/>
          <w:color w:val="auto"/>
          <w:kern w:val="2"/>
          <w:sz w:val="24"/>
          <w:szCs w:val="24"/>
          <w:highlight w:val="none"/>
          <w:lang w:val="en-US" w:eastAsia="zh-CN" w:bidi="ar-SA"/>
        </w:rPr>
        <w:t>B3、售后与质保承诺函</w:t>
      </w:r>
    </w:p>
    <w:p w14:paraId="757A5CFD">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val="0"/>
          <w:bCs/>
          <w:color w:val="auto"/>
          <w:kern w:val="2"/>
          <w:sz w:val="24"/>
          <w:szCs w:val="24"/>
          <w:highlight w:val="none"/>
          <w:lang w:val="en-US" w:eastAsia="zh-CN" w:bidi="ar-SA"/>
        </w:rPr>
        <w:t>投标人应根据招标文件第三章 评审细则/3.13 评审内容及标准《资信技术标评审标准》评分的相应内容和第五章技术要求编制，原件加盖公章（格式自拟）。</w:t>
      </w: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3ED30257">
      <w:pPr>
        <w:ind w:firstLine="0" w:firstLineChars="0"/>
        <w:outlineLvl w:val="2"/>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t>B4、软装实物小样</w:t>
      </w:r>
    </w:p>
    <w:p w14:paraId="3EA3DA80">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val="0"/>
          <w:bCs/>
          <w:color w:val="auto"/>
          <w:kern w:val="2"/>
          <w:sz w:val="24"/>
          <w:szCs w:val="24"/>
          <w:highlight w:val="none"/>
          <w:lang w:val="en-US" w:eastAsia="zh-CN" w:bidi="ar-SA"/>
        </w:rPr>
        <w:t>提供实物小样并附上清单。</w:t>
      </w: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60272EAE">
      <w:pPr>
        <w:ind w:firstLine="0" w:firstLineChars="0"/>
        <w:outlineLvl w:val="2"/>
        <w:rPr>
          <w:rFonts w:asciiTheme="majorEastAsia" w:hAnsiTheme="majorEastAsia" w:eastAsiaTheme="majorEastAsia"/>
          <w:b/>
          <w:color w:val="auto"/>
          <w:sz w:val="24"/>
          <w:highlight w:val="none"/>
        </w:rPr>
      </w:pPr>
      <w:r>
        <w:rPr>
          <w:rFonts w:hint="eastAsia" w:cs="Times New Roman" w:asciiTheme="majorEastAsia" w:hAnsiTheme="majorEastAsia" w:eastAsiaTheme="majorEastAsia"/>
          <w:b/>
          <w:color w:val="auto"/>
          <w:kern w:val="2"/>
          <w:sz w:val="24"/>
          <w:szCs w:val="24"/>
          <w:highlight w:val="none"/>
          <w:lang w:val="en-US" w:eastAsia="zh-CN" w:bidi="ar-SA"/>
        </w:rPr>
        <w:t>B5、</w:t>
      </w:r>
      <w:r>
        <w:rPr>
          <w:rFonts w:hint="eastAsia" w:asciiTheme="majorEastAsia" w:hAnsiTheme="majorEastAsia" w:eastAsiaTheme="majorEastAsia"/>
          <w:b/>
          <w:color w:val="auto"/>
          <w:sz w:val="24"/>
          <w:highlight w:val="none"/>
        </w:rPr>
        <w:t>其他</w:t>
      </w:r>
    </w:p>
    <w:p w14:paraId="167EB60D">
      <w:pPr>
        <w:rPr>
          <w:rFonts w:hint="eastAsia" w:ascii="宋体" w:hAnsi="宋体" w:eastAsia="宋体" w:cs="Times New Roman"/>
          <w:b/>
          <w:color w:val="auto"/>
          <w:sz w:val="44"/>
          <w:szCs w:val="44"/>
          <w:highlight w:val="none"/>
          <w:lang w:val="en-US" w:eastAsia="zh-CN"/>
        </w:rPr>
      </w:pPr>
      <w:r>
        <w:rPr>
          <w:rFonts w:hint="eastAsia" w:asciiTheme="majorEastAsia" w:hAnsiTheme="majorEastAsia" w:eastAsiaTheme="majorEastAsia"/>
          <w:color w:val="auto"/>
          <w:sz w:val="24"/>
          <w:highlight w:val="none"/>
        </w:rPr>
        <w:t>投标人认为应补充提供的其他文件资料或说明。</w:t>
      </w:r>
      <w:r>
        <w:rPr>
          <w:rFonts w:hint="eastAsia" w:ascii="宋体" w:hAnsi="宋体" w:eastAsia="宋体" w:cs="Times New Roman"/>
          <w:b/>
          <w:color w:val="auto"/>
          <w:sz w:val="44"/>
          <w:szCs w:val="44"/>
          <w:highlight w:val="none"/>
          <w:lang w:val="en-US" w:eastAsia="zh-CN"/>
        </w:rPr>
        <w:br w:type="page"/>
      </w:r>
    </w:p>
    <w:p w14:paraId="7E10FF64">
      <w:pPr>
        <w:widowControl w:val="0"/>
        <w:autoSpaceDE w:val="0"/>
        <w:autoSpaceDN w:val="0"/>
        <w:adjustRightInd w:val="0"/>
        <w:snapToGrid w:val="0"/>
        <w:ind w:firstLine="0" w:firstLineChars="0"/>
        <w:jc w:val="center"/>
        <w:outlineLvl w:val="1"/>
        <w:rPr>
          <w:rFonts w:hint="default" w:ascii="宋体" w:hAnsi="宋体" w:eastAsia="宋体" w:cs="Times New Roman"/>
          <w:b/>
          <w:color w:val="auto"/>
          <w:sz w:val="44"/>
          <w:szCs w:val="44"/>
          <w:highlight w:val="none"/>
          <w:lang w:val="en-US" w:eastAsia="zh-CN"/>
        </w:rPr>
      </w:pPr>
      <w:r>
        <w:rPr>
          <w:rFonts w:hint="eastAsia" w:ascii="宋体" w:hAnsi="宋体" w:eastAsia="宋体" w:cs="Times New Roman"/>
          <w:b/>
          <w:color w:val="auto"/>
          <w:sz w:val="44"/>
          <w:szCs w:val="44"/>
          <w:highlight w:val="none"/>
          <w:lang w:val="en-US" w:eastAsia="zh-CN"/>
        </w:rPr>
        <w:t>三、价格标部分</w:t>
      </w:r>
      <w:bookmarkEnd w:id="440"/>
      <w:bookmarkEnd w:id="441"/>
      <w:bookmarkEnd w:id="442"/>
    </w:p>
    <w:p w14:paraId="5BE79129">
      <w:pPr>
        <w:rPr>
          <w:rFonts w:hint="default"/>
          <w:color w:val="auto"/>
          <w:highlight w:val="none"/>
          <w:lang w:val="en-US" w:eastAsia="zh-CN"/>
        </w:rPr>
      </w:pPr>
    </w:p>
    <w:p w14:paraId="44C2D161">
      <w:pPr>
        <w:autoSpaceDE w:val="0"/>
        <w:autoSpaceDN w:val="0"/>
        <w:adjustRightInd w:val="0"/>
        <w:snapToGrid w:val="0"/>
        <w:ind w:firstLine="0" w:firstLineChars="0"/>
        <w:jc w:val="center"/>
        <w:rPr>
          <w:rFonts w:hint="eastAsia" w:ascii="宋体" w:hAnsi="宋体" w:eastAsia="宋体" w:cs="Courier New"/>
          <w:b/>
          <w:bCs/>
          <w:color w:val="auto"/>
          <w:sz w:val="84"/>
          <w:szCs w:val="84"/>
          <w:highlight w:val="none"/>
        </w:rPr>
      </w:pPr>
    </w:p>
    <w:p w14:paraId="65B7DE5F">
      <w:pPr>
        <w:autoSpaceDE w:val="0"/>
        <w:autoSpaceDN w:val="0"/>
        <w:adjustRightInd w:val="0"/>
        <w:snapToGrid w:val="0"/>
        <w:ind w:firstLine="0" w:firstLineChars="0"/>
        <w:jc w:val="center"/>
        <w:rPr>
          <w:rFonts w:hint="eastAsia" w:ascii="宋体" w:hAnsi="宋体" w:eastAsia="宋体" w:cs="Courier New"/>
          <w:b/>
          <w:bCs/>
          <w:color w:val="auto"/>
          <w:sz w:val="84"/>
          <w:szCs w:val="84"/>
          <w:highlight w:val="none"/>
        </w:rPr>
      </w:pPr>
    </w:p>
    <w:p w14:paraId="4E30A355">
      <w:pPr>
        <w:rPr>
          <w:rFonts w:hint="eastAsia" w:asciiTheme="majorEastAsia" w:hAnsiTheme="majorEastAsia" w:eastAsiaTheme="majorEastAsia"/>
          <w:b/>
          <w:bCs/>
          <w:color w:val="auto"/>
          <w:sz w:val="24"/>
          <w:highlight w:val="none"/>
        </w:rPr>
      </w:pPr>
      <w:r>
        <w:rPr>
          <w:rFonts w:hint="eastAsia" w:asciiTheme="majorEastAsia" w:hAnsiTheme="majorEastAsia" w:eastAsiaTheme="majorEastAsia"/>
          <w:b/>
          <w:bCs/>
          <w:color w:val="auto"/>
          <w:sz w:val="24"/>
          <w:highlight w:val="none"/>
        </w:rPr>
        <w:br w:type="page"/>
      </w:r>
    </w:p>
    <w:p w14:paraId="7C102868">
      <w:pPr>
        <w:pStyle w:val="62"/>
        <w:ind w:left="0" w:leftChars="0" w:firstLine="0" w:firstLineChars="0"/>
        <w:outlineLvl w:val="2"/>
        <w:rPr>
          <w:rFonts w:hint="default" w:cs="Times New Roman" w:asciiTheme="majorEastAsia" w:hAnsiTheme="majorEastAsia" w:eastAsiaTheme="majorEastAsia"/>
          <w:b/>
          <w:color w:val="auto"/>
          <w:kern w:val="2"/>
          <w:sz w:val="24"/>
          <w:szCs w:val="24"/>
          <w:highlight w:val="none"/>
          <w:lang w:val="en-US" w:eastAsia="zh-CN" w:bidi="ar-SA"/>
        </w:rPr>
      </w:pPr>
      <w:bookmarkStart w:id="445" w:name="_Toc2065"/>
      <w:bookmarkStart w:id="446" w:name="_Toc10776"/>
      <w:bookmarkStart w:id="447" w:name="_Toc2679"/>
      <w:bookmarkStart w:id="448" w:name="_Toc10759"/>
      <w:bookmarkStart w:id="449" w:name="_Toc24435"/>
      <w:bookmarkStart w:id="450" w:name="_Toc26723"/>
      <w:r>
        <w:rPr>
          <w:rFonts w:hint="eastAsia" w:cs="Times New Roman" w:asciiTheme="majorEastAsia" w:hAnsiTheme="majorEastAsia" w:eastAsiaTheme="majorEastAsia"/>
          <w:b/>
          <w:color w:val="auto"/>
          <w:kern w:val="2"/>
          <w:sz w:val="24"/>
          <w:szCs w:val="24"/>
          <w:highlight w:val="none"/>
          <w:lang w:val="en-US" w:eastAsia="zh-CN" w:bidi="ar-SA"/>
        </w:rPr>
        <w:t>B1、投标报价一览表</w:t>
      </w:r>
      <w:bookmarkEnd w:id="445"/>
      <w:bookmarkEnd w:id="446"/>
      <w:bookmarkEnd w:id="447"/>
      <w:bookmarkEnd w:id="448"/>
      <w:bookmarkEnd w:id="449"/>
      <w:bookmarkEnd w:id="450"/>
    </w:p>
    <w:p w14:paraId="3476B264">
      <w:pPr>
        <w:ind w:firstLine="3614" w:firstLineChars="1500"/>
        <w:rPr>
          <w:rFonts w:hint="eastAsia" w:asciiTheme="majorEastAsia" w:hAnsiTheme="majorEastAsia" w:eastAsiaTheme="majorEastAsia"/>
          <w:b/>
          <w:bCs/>
          <w:color w:val="auto"/>
          <w:sz w:val="24"/>
          <w:highlight w:val="none"/>
        </w:rPr>
      </w:pPr>
    </w:p>
    <w:bookmarkEnd w:id="204"/>
    <w:bookmarkEnd w:id="443"/>
    <w:p w14:paraId="72CB21F5">
      <w:pPr>
        <w:ind w:left="0" w:leftChars="0" w:firstLine="0" w:firstLineChars="0"/>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投标报价一览表</w:t>
      </w:r>
    </w:p>
    <w:tbl>
      <w:tblPr>
        <w:tblStyle w:val="53"/>
        <w:tblW w:w="50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3543"/>
        <w:gridCol w:w="2317"/>
        <w:gridCol w:w="974"/>
      </w:tblGrid>
      <w:tr w14:paraId="231E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132" w:type="pct"/>
            <w:tcBorders>
              <w:right w:val="single" w:color="auto" w:sz="2" w:space="0"/>
            </w:tcBorders>
            <w:shd w:val="clear" w:color="auto" w:fill="DBE5F1"/>
            <w:vAlign w:val="center"/>
          </w:tcPr>
          <w:p w14:paraId="7494DDC0">
            <w:pPr>
              <w:ind w:firstLine="0" w:firstLineChars="0"/>
              <w:jc w:val="center"/>
              <w:rPr>
                <w:rFonts w:asciiTheme="majorEastAsia" w:hAnsiTheme="majorEastAsia" w:eastAsiaTheme="majorEastAsia"/>
                <w:b/>
                <w:color w:val="auto"/>
                <w:sz w:val="24"/>
                <w:highlight w:val="none"/>
              </w:rPr>
            </w:pPr>
            <w:r>
              <w:rPr>
                <w:rFonts w:hint="eastAsia" w:asciiTheme="majorEastAsia" w:hAnsiTheme="majorEastAsia" w:eastAsiaTheme="majorEastAsia"/>
                <w:b/>
                <w:color w:val="auto"/>
                <w:sz w:val="24"/>
                <w:highlight w:val="none"/>
                <w:lang w:val="en-US" w:eastAsia="zh-CN"/>
              </w:rPr>
              <w:t>项目</w:t>
            </w:r>
            <w:r>
              <w:rPr>
                <w:rFonts w:hint="eastAsia" w:asciiTheme="majorEastAsia" w:hAnsiTheme="majorEastAsia" w:eastAsiaTheme="majorEastAsia"/>
                <w:b/>
                <w:color w:val="auto"/>
                <w:sz w:val="24"/>
                <w:highlight w:val="none"/>
              </w:rPr>
              <w:t>名称</w:t>
            </w:r>
          </w:p>
        </w:tc>
        <w:tc>
          <w:tcPr>
            <w:tcW w:w="2005" w:type="pct"/>
            <w:tcBorders>
              <w:left w:val="single" w:color="auto" w:sz="2" w:space="0"/>
            </w:tcBorders>
            <w:shd w:val="clear" w:color="auto" w:fill="DBE5F1"/>
            <w:vAlign w:val="center"/>
          </w:tcPr>
          <w:p w14:paraId="4AB64E7D">
            <w:pPr>
              <w:ind w:left="0" w:leftChars="0" w:firstLine="0" w:firstLineChars="0"/>
              <w:jc w:val="center"/>
              <w:rPr>
                <w:rFonts w:hint="eastAsia" w:asciiTheme="majorEastAsia" w:hAnsiTheme="majorEastAsia" w:eastAsiaTheme="majorEastAsia"/>
                <w:b/>
                <w:color w:val="auto"/>
                <w:sz w:val="24"/>
                <w:highlight w:val="none"/>
                <w:lang w:eastAsia="zh-CN"/>
              </w:rPr>
            </w:pPr>
            <w:r>
              <w:rPr>
                <w:rFonts w:hint="eastAsia" w:asciiTheme="majorEastAsia" w:hAnsiTheme="majorEastAsia" w:eastAsiaTheme="majorEastAsia"/>
                <w:b/>
                <w:color w:val="auto"/>
                <w:sz w:val="24"/>
                <w:highlight w:val="none"/>
              </w:rPr>
              <w:t>投标</w:t>
            </w:r>
            <w:r>
              <w:rPr>
                <w:rFonts w:hint="eastAsia" w:asciiTheme="majorEastAsia" w:hAnsiTheme="majorEastAsia" w:eastAsiaTheme="majorEastAsia"/>
                <w:b/>
                <w:color w:val="auto"/>
                <w:sz w:val="24"/>
                <w:highlight w:val="none"/>
                <w:lang w:val="en-US" w:eastAsia="zh-CN"/>
              </w:rPr>
              <w:t>报</w:t>
            </w:r>
            <w:r>
              <w:rPr>
                <w:rFonts w:hint="eastAsia" w:asciiTheme="majorEastAsia" w:hAnsiTheme="majorEastAsia" w:eastAsiaTheme="majorEastAsia"/>
                <w:b/>
                <w:color w:val="auto"/>
                <w:sz w:val="24"/>
                <w:highlight w:val="none"/>
              </w:rPr>
              <w:t>价</w:t>
            </w:r>
            <w:r>
              <w:rPr>
                <w:rFonts w:hint="eastAsia" w:asciiTheme="majorEastAsia" w:hAnsiTheme="majorEastAsia" w:eastAsiaTheme="majorEastAsia"/>
                <w:b/>
                <w:color w:val="auto"/>
                <w:sz w:val="24"/>
                <w:highlight w:val="none"/>
                <w:lang w:eastAsia="zh-CN"/>
              </w:rPr>
              <w:t>（</w:t>
            </w:r>
            <w:r>
              <w:rPr>
                <w:rFonts w:hint="eastAsia" w:asciiTheme="majorEastAsia" w:hAnsiTheme="majorEastAsia" w:eastAsiaTheme="majorEastAsia"/>
                <w:b/>
                <w:color w:val="auto"/>
                <w:sz w:val="24"/>
                <w:highlight w:val="none"/>
                <w:lang w:val="en-US" w:eastAsia="zh-CN"/>
              </w:rPr>
              <w:t>含税</w:t>
            </w:r>
            <w:r>
              <w:rPr>
                <w:rFonts w:hint="eastAsia" w:asciiTheme="majorEastAsia" w:hAnsiTheme="majorEastAsia" w:eastAsiaTheme="majorEastAsia"/>
                <w:b/>
                <w:color w:val="auto"/>
                <w:sz w:val="24"/>
                <w:highlight w:val="none"/>
                <w:lang w:eastAsia="zh-CN"/>
              </w:rPr>
              <w:t>）</w:t>
            </w:r>
          </w:p>
        </w:tc>
        <w:tc>
          <w:tcPr>
            <w:tcW w:w="1311" w:type="pct"/>
            <w:shd w:val="clear" w:color="auto" w:fill="DBE5F1"/>
            <w:vAlign w:val="center"/>
          </w:tcPr>
          <w:p w14:paraId="0BEE1B05">
            <w:pPr>
              <w:ind w:firstLine="0" w:firstLineChars="0"/>
              <w:jc w:val="center"/>
              <w:rPr>
                <w:rFonts w:hint="default" w:asciiTheme="majorEastAsia" w:hAnsiTheme="majorEastAsia" w:eastAsiaTheme="majorEastAsia"/>
                <w:b/>
                <w:color w:val="auto"/>
                <w:sz w:val="24"/>
                <w:highlight w:val="none"/>
                <w:lang w:val="en-US" w:eastAsia="zh-CN"/>
              </w:rPr>
            </w:pPr>
            <w:r>
              <w:rPr>
                <w:rFonts w:hint="eastAsia" w:asciiTheme="majorEastAsia" w:hAnsiTheme="majorEastAsia" w:eastAsiaTheme="majorEastAsia"/>
                <w:b/>
                <w:color w:val="auto"/>
                <w:sz w:val="24"/>
                <w:highlight w:val="none"/>
                <w:lang w:val="en-US" w:eastAsia="zh-CN"/>
              </w:rPr>
              <w:t>供货期</w:t>
            </w:r>
          </w:p>
        </w:tc>
        <w:tc>
          <w:tcPr>
            <w:tcW w:w="551" w:type="pct"/>
            <w:shd w:val="clear" w:color="auto" w:fill="DBE5F1"/>
            <w:vAlign w:val="center"/>
          </w:tcPr>
          <w:p w14:paraId="71DD949C">
            <w:pPr>
              <w:ind w:firstLine="0" w:firstLineChars="0"/>
              <w:jc w:val="center"/>
              <w:rPr>
                <w:rFonts w:hint="eastAsia" w:cs="Times New Roman" w:asciiTheme="majorEastAsia" w:hAnsiTheme="majorEastAsia" w:eastAsiaTheme="majorEastAsia"/>
                <w:b/>
                <w:color w:val="auto"/>
                <w:kern w:val="2"/>
                <w:sz w:val="24"/>
                <w:szCs w:val="24"/>
                <w:highlight w:val="none"/>
                <w:lang w:val="en-US" w:eastAsia="zh-CN" w:bidi="ar-SA"/>
              </w:rPr>
            </w:pPr>
          </w:p>
        </w:tc>
      </w:tr>
      <w:tr w14:paraId="56315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4" w:hRule="atLeast"/>
          <w:jc w:val="center"/>
        </w:trPr>
        <w:tc>
          <w:tcPr>
            <w:tcW w:w="1132" w:type="pct"/>
            <w:tcBorders>
              <w:right w:val="single" w:color="auto" w:sz="2" w:space="0"/>
            </w:tcBorders>
            <w:vAlign w:val="center"/>
          </w:tcPr>
          <w:p w14:paraId="25294AAF">
            <w:pPr>
              <w:pStyle w:val="62"/>
              <w:ind w:left="0" w:leftChars="0" w:firstLine="0" w:firstLineChars="0"/>
              <w:jc w:val="center"/>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lang w:val="en-US" w:eastAsia="zh-CN"/>
              </w:rPr>
              <w:t>瑞云府项目架空层软装、儿童游乐设施、运动器械供货及安装</w:t>
            </w:r>
          </w:p>
        </w:tc>
        <w:tc>
          <w:tcPr>
            <w:tcW w:w="2005" w:type="pct"/>
            <w:tcBorders>
              <w:left w:val="single" w:color="auto" w:sz="2" w:space="0"/>
            </w:tcBorders>
            <w:vAlign w:val="center"/>
          </w:tcPr>
          <w:p w14:paraId="28ACAD75">
            <w:pPr>
              <w:ind w:left="0" w:leftChars="0" w:firstLine="0" w:firstLineChars="0"/>
              <w:jc w:val="both"/>
              <w:rPr>
                <w:rFonts w:hint="eastAsia" w:ascii="宋体" w:hAnsi="宋体" w:eastAsia="宋体" w:cs="宋体"/>
                <w:color w:val="auto"/>
                <w:sz w:val="24"/>
                <w:szCs w:val="20"/>
                <w:highlight w:val="none"/>
              </w:rPr>
            </w:pPr>
            <w:r>
              <w:rPr>
                <w:rFonts w:hint="eastAsia" w:ascii="宋体" w:hAnsi="宋体" w:eastAsia="宋体" w:cs="宋体"/>
                <w:color w:val="auto"/>
                <w:sz w:val="24"/>
                <w:szCs w:val="20"/>
                <w:highlight w:val="none"/>
              </w:rPr>
              <w:t>人民币</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lang w:val="en-US" w:eastAsia="zh-CN"/>
              </w:rPr>
              <w:t>大写</w:t>
            </w:r>
            <w:r>
              <w:rPr>
                <w:rFonts w:hint="eastAsia" w:ascii="宋体" w:hAnsi="宋体" w:eastAsia="宋体" w:cs="宋体"/>
                <w:color w:val="auto"/>
                <w:sz w:val="24"/>
                <w:szCs w:val="20"/>
                <w:highlight w:val="none"/>
                <w:lang w:eastAsia="zh-CN"/>
              </w:rPr>
              <w:t>）</w:t>
            </w:r>
            <w:r>
              <w:rPr>
                <w:rFonts w:hint="eastAsia" w:ascii="宋体" w:hAnsi="宋体" w:eastAsia="宋体" w:cs="宋体"/>
                <w:color w:val="auto"/>
                <w:sz w:val="24"/>
                <w:szCs w:val="20"/>
                <w:highlight w:val="none"/>
                <w:u w:val="single"/>
                <w:lang w:val="en-US" w:eastAsia="zh-CN"/>
              </w:rPr>
              <w:t xml:space="preserve">          </w:t>
            </w:r>
            <w:r>
              <w:rPr>
                <w:rFonts w:hint="eastAsia" w:ascii="宋体" w:hAnsi="宋体" w:eastAsia="宋体" w:cs="宋体"/>
                <w:color w:val="auto"/>
                <w:sz w:val="24"/>
                <w:szCs w:val="20"/>
                <w:highlight w:val="none"/>
              </w:rPr>
              <w:t>元；</w:t>
            </w:r>
          </w:p>
          <w:p w14:paraId="1540AE76">
            <w:pPr>
              <w:ind w:firstLine="0" w:firstLineChars="0"/>
              <w:jc w:val="both"/>
              <w:rPr>
                <w:rFonts w:hint="default"/>
                <w:color w:val="auto"/>
                <w:highlight w:val="none"/>
                <w:lang w:val="en-US" w:eastAsia="zh-CN"/>
              </w:rPr>
            </w:pPr>
            <w:r>
              <w:rPr>
                <w:rFonts w:hint="eastAsia" w:ascii="宋体" w:hAnsi="宋体" w:eastAsia="宋体" w:cs="宋体"/>
                <w:color w:val="auto"/>
                <w:sz w:val="24"/>
                <w:szCs w:val="20"/>
                <w:highlight w:val="none"/>
              </w:rPr>
              <w:t>（小写）：¥</w:t>
            </w:r>
            <w:r>
              <w:rPr>
                <w:rFonts w:hint="eastAsia" w:ascii="宋体" w:hAnsi="宋体" w:eastAsia="宋体" w:cs="宋体"/>
                <w:color w:val="auto"/>
                <w:sz w:val="24"/>
                <w:szCs w:val="20"/>
                <w:highlight w:val="none"/>
                <w:u w:val="single"/>
                <w:lang w:val="en-US" w:eastAsia="zh-CN"/>
              </w:rPr>
              <w:t xml:space="preserve">               </w:t>
            </w:r>
          </w:p>
        </w:tc>
        <w:tc>
          <w:tcPr>
            <w:tcW w:w="1311" w:type="pct"/>
            <w:vAlign w:val="center"/>
          </w:tcPr>
          <w:p w14:paraId="5C92CBD4">
            <w:pPr>
              <w:ind w:firstLine="0" w:firstLineChars="0"/>
              <w:jc w:val="center"/>
              <w:rPr>
                <w:rFonts w:hint="default" w:asciiTheme="majorEastAsia" w:hAnsiTheme="majorEastAsia" w:eastAsiaTheme="majorEastAsia"/>
                <w:color w:val="auto"/>
                <w:sz w:val="24"/>
                <w:highlight w:val="none"/>
                <w:u w:val="single"/>
                <w:lang w:val="en-US" w:eastAsia="zh-CN"/>
              </w:rPr>
            </w:pPr>
            <w:r>
              <w:rPr>
                <w:rFonts w:hint="eastAsia" w:ascii="宋体" w:hAnsi="宋体" w:eastAsia="宋体" w:cs="宋体"/>
                <w:color w:val="auto"/>
                <w:sz w:val="24"/>
                <w:szCs w:val="20"/>
                <w:highlight w:val="none"/>
                <w:u w:val="single"/>
                <w:lang w:val="en-US" w:eastAsia="zh-CN"/>
              </w:rPr>
              <w:t xml:space="preserve">       </w:t>
            </w:r>
            <w:r>
              <w:rPr>
                <w:rFonts w:hint="eastAsia" w:ascii="宋体" w:hAnsi="宋体" w:eastAsia="宋体" w:cs="宋体"/>
                <w:color w:val="auto"/>
                <w:sz w:val="24"/>
                <w:szCs w:val="20"/>
                <w:highlight w:val="none"/>
                <w:u w:val="none"/>
                <w:lang w:val="en-US" w:eastAsia="zh-CN"/>
              </w:rPr>
              <w:t>日历天</w:t>
            </w:r>
          </w:p>
        </w:tc>
        <w:tc>
          <w:tcPr>
            <w:tcW w:w="551" w:type="pct"/>
            <w:shd w:val="clear" w:color="auto" w:fill="auto"/>
            <w:vAlign w:val="center"/>
          </w:tcPr>
          <w:p w14:paraId="7B0C8A2E">
            <w:pPr>
              <w:ind w:firstLine="0" w:firstLineChars="0"/>
              <w:jc w:val="center"/>
              <w:rPr>
                <w:rFonts w:hint="eastAsia" w:cs="Times New Roman" w:asciiTheme="majorEastAsia" w:hAnsiTheme="majorEastAsia" w:eastAsiaTheme="majorEastAsia"/>
                <w:color w:val="auto"/>
                <w:kern w:val="2"/>
                <w:sz w:val="24"/>
                <w:szCs w:val="24"/>
                <w:highlight w:val="none"/>
                <w:lang w:val="en-US" w:eastAsia="zh-CN" w:bidi="ar-SA"/>
              </w:rPr>
            </w:pPr>
          </w:p>
        </w:tc>
      </w:tr>
    </w:tbl>
    <w:p w14:paraId="5320241E">
      <w:pPr>
        <w:adjustRightInd w:val="0"/>
        <w:snapToGrid w:val="0"/>
        <w:spacing w:line="240" w:lineRule="auto"/>
        <w:ind w:left="0" w:leftChars="0" w:firstLine="0" w:firstLineChars="0"/>
        <w:rPr>
          <w:rFonts w:hint="eastAsia" w:ascii="宋体" w:hAnsi="宋体" w:eastAsia="宋体" w:cs="宋体"/>
          <w:color w:val="auto"/>
          <w:sz w:val="22"/>
          <w:szCs w:val="22"/>
          <w:highlight w:val="none"/>
        </w:rPr>
      </w:pPr>
    </w:p>
    <w:p w14:paraId="699A5451">
      <w:pPr>
        <w:adjustRightInd w:val="0"/>
        <w:snapToGrid w:val="0"/>
        <w:spacing w:line="240" w:lineRule="auto"/>
        <w:rPr>
          <w:rFonts w:hint="eastAsia" w:ascii="宋体" w:hAnsi="宋体" w:eastAsia="宋体" w:cs="宋体"/>
          <w:color w:val="auto"/>
          <w:sz w:val="22"/>
          <w:szCs w:val="22"/>
          <w:highlight w:val="none"/>
        </w:rPr>
      </w:pPr>
    </w:p>
    <w:p w14:paraId="642861C6">
      <w:pPr>
        <w:adjustRightInd w:val="0"/>
        <w:snapToGrid w:val="0"/>
        <w:spacing w:line="240" w:lineRule="auto"/>
        <w:ind w:firstLine="420" w:firstLineChars="0"/>
        <w:rPr>
          <w:rFonts w:hint="eastAsia" w:ascii="宋体" w:hAnsi="宋体" w:eastAsia="宋体" w:cs="宋体"/>
          <w:color w:val="auto"/>
          <w:sz w:val="22"/>
          <w:szCs w:val="22"/>
          <w:highlight w:val="none"/>
        </w:rPr>
      </w:pPr>
    </w:p>
    <w:p w14:paraId="0950A6A4">
      <w:pPr>
        <w:widowControl w:val="0"/>
        <w:autoSpaceDE w:val="0"/>
        <w:autoSpaceDN w:val="0"/>
        <w:adjustRightInd w:val="0"/>
        <w:snapToGrid w:val="0"/>
        <w:ind w:firstLine="422" w:firstLineChars="200"/>
        <w:jc w:val="left"/>
        <w:rPr>
          <w:rFonts w:ascii="宋体" w:hAnsi="宋体" w:eastAsia="宋体"/>
          <w:b/>
          <w:bCs/>
          <w:color w:val="auto"/>
          <w:sz w:val="21"/>
          <w:szCs w:val="21"/>
          <w:highlight w:val="none"/>
          <w:u w:val="single"/>
        </w:rPr>
      </w:pPr>
      <w:r>
        <w:rPr>
          <w:rFonts w:hint="eastAsia" w:ascii="宋体" w:hAnsi="宋体" w:eastAsia="宋体"/>
          <w:b/>
          <w:bCs/>
          <w:color w:val="auto"/>
          <w:sz w:val="21"/>
          <w:szCs w:val="21"/>
          <w:highlight w:val="none"/>
        </w:rPr>
        <w:t>投标人</w:t>
      </w:r>
      <w:r>
        <w:rPr>
          <w:rFonts w:eastAsia="宋体"/>
          <w:b/>
          <w:bCs/>
          <w:color w:val="auto"/>
          <w:sz w:val="21"/>
          <w:szCs w:val="21"/>
          <w:highlight w:val="none"/>
        </w:rPr>
        <w:t>（加盖单位公章）</w:t>
      </w:r>
      <w:r>
        <w:rPr>
          <w:rFonts w:hint="eastAsia" w:ascii="宋体" w:hAnsi="宋体" w:eastAsia="宋体"/>
          <w:b/>
          <w:bCs/>
          <w:color w:val="auto"/>
          <w:sz w:val="21"/>
          <w:szCs w:val="21"/>
          <w:highlight w:val="none"/>
        </w:rPr>
        <w:t>：</w:t>
      </w:r>
      <w:r>
        <w:rPr>
          <w:rFonts w:hint="eastAsia" w:ascii="宋体" w:hAnsi="宋体" w:eastAsia="宋体"/>
          <w:b/>
          <w:bCs/>
          <w:color w:val="auto"/>
          <w:sz w:val="21"/>
          <w:szCs w:val="21"/>
          <w:highlight w:val="none"/>
          <w:u w:val="single"/>
        </w:rPr>
        <w:t xml:space="preserve">                                        </w:t>
      </w:r>
    </w:p>
    <w:p w14:paraId="63A2ED59">
      <w:pPr>
        <w:pStyle w:val="19"/>
        <w:rPr>
          <w:rFonts w:hint="eastAsia" w:eastAsia="宋体"/>
          <w:b/>
          <w:color w:val="auto"/>
          <w:sz w:val="21"/>
          <w:highlight w:val="none"/>
        </w:rPr>
      </w:pPr>
    </w:p>
    <w:p w14:paraId="003C665A">
      <w:pPr>
        <w:pStyle w:val="19"/>
        <w:rPr>
          <w:rFonts w:hint="eastAsia" w:eastAsia="宋体"/>
          <w:b/>
          <w:color w:val="auto"/>
          <w:sz w:val="21"/>
          <w:highlight w:val="none"/>
        </w:rPr>
      </w:pPr>
    </w:p>
    <w:p w14:paraId="1BF226E6">
      <w:pPr>
        <w:pStyle w:val="19"/>
        <w:rPr>
          <w:rFonts w:hint="eastAsia" w:eastAsia="宋体"/>
          <w:b/>
          <w:color w:val="auto"/>
          <w:sz w:val="21"/>
          <w:highlight w:val="none"/>
        </w:rPr>
      </w:pPr>
    </w:p>
    <w:p w14:paraId="5E5A9F35">
      <w:pPr>
        <w:pStyle w:val="19"/>
        <w:rPr>
          <w:rFonts w:hint="eastAsia" w:eastAsia="宋体"/>
          <w:b/>
          <w:color w:val="auto"/>
          <w:sz w:val="21"/>
          <w:highlight w:val="none"/>
        </w:rPr>
      </w:pPr>
    </w:p>
    <w:p w14:paraId="1DDFBB2B">
      <w:pPr>
        <w:pStyle w:val="19"/>
        <w:rPr>
          <w:rFonts w:hint="eastAsia" w:eastAsia="宋体"/>
          <w:b/>
          <w:color w:val="auto"/>
          <w:sz w:val="21"/>
          <w:highlight w:val="none"/>
        </w:rPr>
      </w:pPr>
    </w:p>
    <w:p w14:paraId="14AD4E0E">
      <w:pPr>
        <w:pStyle w:val="19"/>
        <w:rPr>
          <w:rFonts w:hint="eastAsia" w:eastAsia="宋体"/>
          <w:b/>
          <w:color w:val="auto"/>
          <w:sz w:val="21"/>
          <w:highlight w:val="none"/>
        </w:rPr>
      </w:pPr>
    </w:p>
    <w:p w14:paraId="35E41A23">
      <w:pPr>
        <w:pStyle w:val="19"/>
        <w:rPr>
          <w:rFonts w:hint="eastAsia" w:eastAsia="宋体"/>
          <w:b/>
          <w:color w:val="auto"/>
          <w:sz w:val="21"/>
          <w:highlight w:val="none"/>
        </w:rPr>
      </w:pPr>
    </w:p>
    <w:p w14:paraId="5FA18E05">
      <w:pPr>
        <w:rPr>
          <w:rFonts w:hint="eastAsia" w:cs="Times New Roman" w:asciiTheme="majorEastAsia" w:hAnsiTheme="majorEastAsia" w:eastAsiaTheme="majorEastAsia"/>
          <w:b/>
          <w:color w:val="auto"/>
          <w:kern w:val="2"/>
          <w:sz w:val="24"/>
          <w:szCs w:val="24"/>
          <w:highlight w:val="none"/>
          <w:lang w:val="en-US" w:eastAsia="zh-CN" w:bidi="ar-SA"/>
        </w:rPr>
      </w:pPr>
      <w:r>
        <w:rPr>
          <w:rFonts w:hint="eastAsia" w:cs="Times New Roman" w:asciiTheme="majorEastAsia" w:hAnsiTheme="majorEastAsia" w:eastAsiaTheme="majorEastAsia"/>
          <w:b/>
          <w:color w:val="auto"/>
          <w:kern w:val="2"/>
          <w:sz w:val="24"/>
          <w:szCs w:val="24"/>
          <w:highlight w:val="none"/>
          <w:lang w:val="en-US" w:eastAsia="zh-CN" w:bidi="ar-SA"/>
        </w:rPr>
        <w:br w:type="page"/>
      </w:r>
    </w:p>
    <w:p w14:paraId="71AA3043">
      <w:pPr>
        <w:widowControl w:val="0"/>
        <w:autoSpaceDE w:val="0"/>
        <w:autoSpaceDN w:val="0"/>
        <w:adjustRightInd w:val="0"/>
        <w:snapToGrid w:val="0"/>
        <w:ind w:firstLine="0" w:firstLineChars="0"/>
        <w:jc w:val="left"/>
        <w:outlineLvl w:val="2"/>
        <w:rPr>
          <w:rFonts w:hint="eastAsia" w:cs="Times New Roman" w:asciiTheme="majorEastAsia" w:hAnsiTheme="majorEastAsia" w:eastAsiaTheme="majorEastAsia"/>
          <w:b/>
          <w:color w:val="auto"/>
          <w:sz w:val="28"/>
          <w:szCs w:val="28"/>
          <w:highlight w:val="none"/>
          <w:lang w:val="en-US" w:eastAsia="zh-CN"/>
        </w:rPr>
      </w:pPr>
      <w:bookmarkStart w:id="451" w:name="_Toc11899"/>
      <w:bookmarkStart w:id="452" w:name="_Toc23669"/>
      <w:bookmarkStart w:id="453" w:name="_Toc8328"/>
      <w:bookmarkStart w:id="454" w:name="_Toc30191"/>
      <w:r>
        <w:rPr>
          <w:rFonts w:hint="eastAsia" w:cs="Times New Roman" w:asciiTheme="majorEastAsia" w:hAnsiTheme="majorEastAsia" w:eastAsiaTheme="majorEastAsia"/>
          <w:b/>
          <w:color w:val="auto"/>
          <w:sz w:val="28"/>
          <w:szCs w:val="28"/>
          <w:highlight w:val="none"/>
          <w:lang w:val="en-US" w:eastAsia="zh-CN"/>
        </w:rPr>
        <w:t>B2、投标分项报价表</w:t>
      </w:r>
    </w:p>
    <w:p w14:paraId="38FAF45A">
      <w:pPr>
        <w:widowControl w:val="0"/>
        <w:autoSpaceDE w:val="0"/>
        <w:autoSpaceDN w:val="0"/>
        <w:adjustRightInd w:val="0"/>
        <w:snapToGrid w:val="0"/>
        <w:ind w:firstLine="0" w:firstLineChars="0"/>
        <w:outlineLvl w:val="9"/>
        <w:rPr>
          <w:rFonts w:hint="eastAsia" w:ascii="宋体" w:hAnsi="宋体" w:eastAsia="宋体" w:cs="Times New Roman"/>
          <w:b/>
          <w:bCs/>
          <w:sz w:val="21"/>
          <w:highlight w:val="none"/>
          <w:lang w:val="en-US" w:eastAsia="zh-CN"/>
        </w:rPr>
      </w:pPr>
    </w:p>
    <w:p w14:paraId="080563D8">
      <w:pPr>
        <w:widowControl w:val="0"/>
        <w:autoSpaceDE w:val="0"/>
        <w:autoSpaceDN w:val="0"/>
        <w:adjustRightInd w:val="0"/>
        <w:snapToGrid w:val="0"/>
        <w:ind w:firstLine="0" w:firstLineChars="0"/>
        <w:outlineLvl w:val="9"/>
        <w:rPr>
          <w:rFonts w:hint="eastAsia" w:ascii="宋体" w:hAnsi="宋体" w:eastAsia="宋体" w:cs="Times New Roman"/>
          <w:b/>
          <w:bCs/>
          <w:sz w:val="21"/>
          <w:highlight w:val="none"/>
          <w:lang w:val="en-US" w:eastAsia="zh-CN"/>
        </w:rPr>
      </w:pPr>
      <w:r>
        <w:rPr>
          <w:rFonts w:hint="eastAsia" w:ascii="宋体" w:hAnsi="宋体" w:eastAsia="宋体" w:cs="Times New Roman"/>
          <w:b/>
          <w:bCs/>
          <w:sz w:val="21"/>
          <w:highlight w:val="none"/>
          <w:lang w:val="en-US" w:eastAsia="zh-CN"/>
        </w:rPr>
        <w:t>本项目投标报价分项表详见招标文件附件三《瑞云府项目架空层软装、儿童游乐设施、运动器械供货及安装投标报价清单》，投标人根据附件格式要求填报清单并附在本章节。</w:t>
      </w:r>
    </w:p>
    <w:p w14:paraId="46633E5A">
      <w:pPr>
        <w:widowControl w:val="0"/>
        <w:autoSpaceDE w:val="0"/>
        <w:autoSpaceDN w:val="0"/>
        <w:adjustRightInd w:val="0"/>
        <w:snapToGrid w:val="0"/>
        <w:ind w:firstLine="0" w:firstLineChars="0"/>
        <w:rPr>
          <w:rFonts w:hint="eastAsia" w:ascii="宋体" w:hAnsi="宋体" w:eastAsia="宋体" w:cs="Times New Roman"/>
          <w:b/>
          <w:sz w:val="21"/>
          <w:szCs w:val="21"/>
          <w:highlight w:val="none"/>
        </w:rPr>
      </w:pPr>
    </w:p>
    <w:p w14:paraId="26EB0595">
      <w:pPr>
        <w:widowControl w:val="0"/>
        <w:autoSpaceDE w:val="0"/>
        <w:autoSpaceDN w:val="0"/>
        <w:adjustRightInd w:val="0"/>
        <w:snapToGrid w:val="0"/>
        <w:ind w:firstLine="0" w:firstLineChars="0"/>
        <w:outlineLvl w:val="9"/>
        <w:rPr>
          <w:rFonts w:ascii="宋体" w:hAnsi="宋体" w:eastAsia="宋体" w:cs="Times New Roman"/>
          <w:b/>
          <w:sz w:val="21"/>
          <w:szCs w:val="21"/>
          <w:highlight w:val="none"/>
        </w:rPr>
      </w:pPr>
      <w:r>
        <w:rPr>
          <w:rFonts w:hint="eastAsia" w:ascii="宋体" w:hAnsi="宋体" w:eastAsia="宋体" w:cs="Times New Roman"/>
          <w:b/>
          <w:sz w:val="21"/>
          <w:szCs w:val="21"/>
          <w:highlight w:val="none"/>
        </w:rPr>
        <w:t>填报说明：</w:t>
      </w:r>
    </w:p>
    <w:p w14:paraId="14C10E36">
      <w:pPr>
        <w:widowControl w:val="0"/>
        <w:autoSpaceDE w:val="0"/>
        <w:autoSpaceDN w:val="0"/>
        <w:adjustRightInd w:val="0"/>
        <w:snapToGrid w:val="0"/>
        <w:ind w:firstLine="0" w:firstLineChars="0"/>
        <w:outlineLvl w:val="9"/>
        <w:rPr>
          <w:rFonts w:ascii="宋体" w:hAnsi="宋体" w:eastAsia="宋体" w:cs="Times New Roman"/>
          <w:sz w:val="21"/>
          <w:highlight w:val="none"/>
        </w:rPr>
      </w:pPr>
      <w:r>
        <w:rPr>
          <w:rFonts w:hint="eastAsia" w:ascii="宋体" w:hAnsi="宋体" w:eastAsia="宋体" w:cs="Times New Roman"/>
          <w:sz w:val="21"/>
          <w:highlight w:val="none"/>
        </w:rPr>
        <w:t>1、投标总价为完成本项目所有费用的合计，应与投标报价一览表的投标总价一致；</w:t>
      </w:r>
    </w:p>
    <w:p w14:paraId="1D043480">
      <w:pPr>
        <w:widowControl w:val="0"/>
        <w:autoSpaceDE w:val="0"/>
        <w:autoSpaceDN w:val="0"/>
        <w:adjustRightInd w:val="0"/>
        <w:snapToGrid w:val="0"/>
        <w:ind w:firstLine="0" w:firstLineChars="0"/>
        <w:outlineLvl w:val="9"/>
        <w:rPr>
          <w:rFonts w:hint="eastAsia" w:asciiTheme="majorEastAsia" w:hAnsiTheme="majorEastAsia" w:eastAsiaTheme="majorEastAsia"/>
          <w:b/>
          <w:color w:val="auto"/>
          <w:sz w:val="28"/>
          <w:szCs w:val="28"/>
          <w:highlight w:val="none"/>
          <w:lang w:val="en-US" w:eastAsia="zh-CN"/>
        </w:rPr>
      </w:pPr>
      <w:r>
        <w:rPr>
          <w:rFonts w:hint="eastAsia" w:ascii="宋体" w:hAnsi="宋体" w:eastAsia="宋体" w:cs="Times New Roman"/>
          <w:sz w:val="21"/>
          <w:szCs w:val="21"/>
          <w:highlight w:val="none"/>
        </w:rPr>
        <w:t>2</w:t>
      </w:r>
      <w:r>
        <w:rPr>
          <w:rFonts w:hint="eastAsia" w:ascii="宋体" w:hAnsi="宋体" w:eastAsia="宋体" w:cs="Times New Roman"/>
          <w:sz w:val="21"/>
          <w:highlight w:val="none"/>
        </w:rPr>
        <w:t>、上述投标总价中须包括本项目招标文件报价方式中要求的所有费用</w:t>
      </w:r>
      <w:r>
        <w:rPr>
          <w:rFonts w:hint="eastAsia" w:ascii="宋体" w:hAnsi="宋体" w:eastAsia="宋体" w:cs="Times New Roman"/>
          <w:sz w:val="21"/>
          <w:highlight w:val="none"/>
          <w:lang w:eastAsia="zh-CN"/>
        </w:rPr>
        <w:t>。</w:t>
      </w:r>
    </w:p>
    <w:p w14:paraId="7AAAE72B">
      <w:pPr>
        <w:rPr>
          <w:rFonts w:hint="eastAsia" w:cs="Times New Roman" w:asciiTheme="majorEastAsia" w:hAnsiTheme="majorEastAsia" w:eastAsiaTheme="majorEastAsia"/>
          <w:b/>
          <w:color w:val="auto"/>
          <w:sz w:val="28"/>
          <w:szCs w:val="28"/>
          <w:highlight w:val="none"/>
          <w:lang w:val="en-US" w:eastAsia="zh-CN"/>
        </w:rPr>
      </w:pPr>
      <w:r>
        <w:rPr>
          <w:rFonts w:hint="eastAsia" w:cs="Times New Roman" w:asciiTheme="majorEastAsia" w:hAnsiTheme="majorEastAsia" w:eastAsiaTheme="majorEastAsia"/>
          <w:b/>
          <w:color w:val="auto"/>
          <w:sz w:val="28"/>
          <w:szCs w:val="28"/>
          <w:highlight w:val="none"/>
          <w:lang w:val="en-US" w:eastAsia="zh-CN"/>
        </w:rPr>
        <w:br w:type="page"/>
      </w:r>
    </w:p>
    <w:p w14:paraId="376A76EE">
      <w:pPr>
        <w:ind w:firstLine="0" w:firstLineChars="0"/>
        <w:outlineLvl w:val="2"/>
        <w:rPr>
          <w:rFonts w:hint="eastAsia"/>
          <w:color w:val="auto"/>
          <w:highlight w:val="none"/>
          <w:lang w:val="en-US" w:eastAsia="zh-CN"/>
        </w:rPr>
      </w:pPr>
      <w:r>
        <w:rPr>
          <w:rFonts w:hint="eastAsia" w:cs="Times New Roman" w:asciiTheme="majorEastAsia" w:hAnsiTheme="majorEastAsia" w:eastAsiaTheme="majorEastAsia"/>
          <w:b/>
          <w:color w:val="auto"/>
          <w:sz w:val="28"/>
          <w:szCs w:val="28"/>
          <w:highlight w:val="none"/>
          <w:lang w:val="en-US" w:eastAsia="zh-CN"/>
        </w:rPr>
        <w:t>B3、</w:t>
      </w:r>
      <w:r>
        <w:rPr>
          <w:rFonts w:hint="eastAsia" w:asciiTheme="majorEastAsia" w:hAnsiTheme="majorEastAsia" w:eastAsiaTheme="majorEastAsia"/>
          <w:b/>
          <w:color w:val="auto"/>
          <w:sz w:val="28"/>
          <w:szCs w:val="28"/>
          <w:highlight w:val="none"/>
          <w:lang w:val="en-US" w:eastAsia="zh-CN"/>
        </w:rPr>
        <w:t>其他</w:t>
      </w:r>
      <w:bookmarkEnd w:id="451"/>
      <w:bookmarkEnd w:id="452"/>
      <w:bookmarkEnd w:id="453"/>
      <w:bookmarkEnd w:id="454"/>
    </w:p>
    <w:p w14:paraId="632E3CFE">
      <w:pPr>
        <w:pStyle w:val="62"/>
        <w:ind w:left="0" w:leftChars="0" w:firstLine="0" w:firstLineChars="0"/>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投标人认为应补充提供的其他文件资料或说明。</w:t>
      </w:r>
    </w:p>
    <w:p w14:paraId="69FE364D">
      <w:pPr>
        <w:adjustRightInd w:val="0"/>
        <w:snapToGrid w:val="0"/>
        <w:spacing w:line="240" w:lineRule="auto"/>
        <w:ind w:firstLine="420" w:firstLineChars="0"/>
        <w:rPr>
          <w:rFonts w:hint="default" w:eastAsia="宋体"/>
          <w:b/>
          <w:color w:val="auto"/>
          <w:sz w:val="21"/>
          <w:highlight w:val="none"/>
          <w:lang w:val="en-US" w:eastAsia="zh-CN"/>
        </w:rPr>
      </w:pPr>
    </w:p>
    <w:p w14:paraId="07727125">
      <w:pPr>
        <w:adjustRightInd w:val="0"/>
        <w:snapToGrid w:val="0"/>
        <w:spacing w:line="240" w:lineRule="auto"/>
        <w:ind w:firstLine="420" w:firstLineChars="0"/>
        <w:rPr>
          <w:rFonts w:hint="eastAsia" w:eastAsia="宋体"/>
          <w:b/>
          <w:color w:val="auto"/>
          <w:sz w:val="21"/>
          <w:highlight w:val="none"/>
          <w:lang w:val="en-US" w:eastAsia="zh-CN"/>
        </w:rPr>
      </w:pPr>
    </w:p>
    <w:sectPr>
      <w:headerReference r:id="rId8" w:type="default"/>
      <w:footerReference r:id="rId9" w:type="default"/>
      <w:pgSz w:w="11906" w:h="16838"/>
      <w:pgMar w:top="1440" w:right="1633" w:bottom="1440" w:left="1689" w:header="851" w:footer="992" w:gutter="0"/>
      <w:pgNumType w:fmt="decimal"/>
      <w:cols w:space="425" w:num="1"/>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幼圆">
    <w:panose1 w:val="02010509060101010101"/>
    <w:charset w:val="86"/>
    <w:family w:val="modern"/>
    <w:pitch w:val="default"/>
    <w:sig w:usb0="00000001" w:usb1="080E0000" w:usb2="00000000" w:usb3="00000000" w:csb0="00040000" w:csb1="00000000"/>
  </w:font>
  <w:font w:name="Palatino">
    <w:altName w:val="Palatino Linotype"/>
    <w:panose1 w:val="00000000000000000000"/>
    <w:charset w:val="00"/>
    <w:family w:val="auto"/>
    <w:pitch w:val="default"/>
    <w:sig w:usb0="00000000" w:usb1="00000000" w:usb2="14600000" w:usb3="00000000" w:csb0="00000193" w:csb1="00000000"/>
  </w:font>
  <w:font w:name="Palatino Linotype">
    <w:panose1 w:val="02040502050505030304"/>
    <w:charset w:val="00"/>
    <w:family w:val="auto"/>
    <w:pitch w:val="default"/>
    <w:sig w:usb0="E0000287" w:usb1="40000013" w:usb2="00000000" w:usb3="00000000" w:csb0="2000019F" w:csb1="00000000"/>
  </w:font>
  <w:font w:name="Microsoft JhengHei">
    <w:panose1 w:val="020B0604030504040204"/>
    <w:charset w:val="88"/>
    <w:family w:val="swiss"/>
    <w:pitch w:val="default"/>
    <w:sig w:usb0="000002A7" w:usb1="28CF4400" w:usb2="00000016" w:usb3="00000000" w:csb0="00100009" w:csb1="00000000"/>
  </w:font>
  <w:font w:name="全真中明體">
    <w:altName w:val="MingLiU-ExtB"/>
    <w:panose1 w:val="00000000000000000000"/>
    <w:charset w:val="88"/>
    <w:family w:val="modern"/>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新宋体">
    <w:panose1 w:val="02010609030101010101"/>
    <w:charset w:val="86"/>
    <w:family w:val="modern"/>
    <w:pitch w:val="default"/>
    <w:sig w:usb0="000002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Microsoft YaHei U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E3DF28">
    <w:pPr>
      <w:widowControl w:val="0"/>
      <w:tabs>
        <w:tab w:val="center" w:pos="4153"/>
        <w:tab w:val="right" w:pos="8306"/>
      </w:tabs>
      <w:snapToGrid w:val="0"/>
      <w:ind w:firstLine="360"/>
      <w:jc w:val="center"/>
      <w:rPr>
        <w:rFonts w:ascii="Times New Roman" w:hAnsi="Times New Roman" w:eastAsia="宋体" w:cs="Times New Roman"/>
        <w:sz w:val="18"/>
        <w:szCs w:val="18"/>
      </w:rPr>
    </w:pPr>
    <w:r>
      <w:rPr>
        <w:rFonts w:ascii="Times New Roman" w:hAnsi="Times New Roman" w:eastAsia="宋体" w:cs="Times New Roman"/>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642620" cy="389890"/>
              <wp:effectExtent l="0" t="0" r="0" b="0"/>
              <wp:wrapNone/>
              <wp:docPr id="2" name="文本框 9"/>
              <wp:cNvGraphicFramePr/>
              <a:graphic xmlns:a="http://schemas.openxmlformats.org/drawingml/2006/main">
                <a:graphicData uri="http://schemas.microsoft.com/office/word/2010/wordprocessingShape">
                  <wps:wsp>
                    <wps:cNvSpPr txBox="1"/>
                    <wps:spPr>
                      <a:xfrm>
                        <a:off x="0" y="0"/>
                        <a:ext cx="642620" cy="389890"/>
                      </a:xfrm>
                      <a:prstGeom prst="rect">
                        <a:avLst/>
                      </a:prstGeom>
                      <a:noFill/>
                      <a:ln>
                        <a:noFill/>
                      </a:ln>
                    </wps:spPr>
                    <wps:txbx>
                      <w:txbxContent>
                        <w:p w14:paraId="1C133AFC">
                          <w:pPr>
                            <w:tabs>
                              <w:tab w:val="center" w:pos="4153"/>
                              <w:tab w:val="right" w:pos="8306"/>
                            </w:tabs>
                            <w:snapToGrid w:val="0"/>
                            <w:spacing w:line="360" w:lineRule="auto"/>
                            <w:ind w:firstLine="480" w:firstLineChars="200"/>
                            <w:jc w:val="left"/>
                            <w:rPr>
                              <w:rFonts w:ascii="Times New Roman" w:hAnsi="Times New Roman" w:eastAsia="宋体" w:cs="Times New Roman"/>
                              <w:kern w:val="2"/>
                              <w:sz w:val="24"/>
                              <w:szCs w:val="24"/>
                              <w:lang w:val="en-US" w:eastAsia="zh-CN" w:bidi="ar-SA"/>
                            </w:rPr>
                          </w:pPr>
                          <w:r>
                            <w:rPr>
                              <w:rFonts w:eastAsia="宋体" w:cs="Times New Roman"/>
                              <w:kern w:val="2"/>
                              <w:sz w:val="24"/>
                              <w:szCs w:val="24"/>
                              <w:lang w:val="en-US" w:eastAsia="zh-CN" w:bidi="ar-SA"/>
                            </w:rPr>
                            <w:fldChar w:fldCharType="begin"/>
                          </w:r>
                          <w:r>
                            <w:rPr>
                              <w:rFonts w:eastAsia="宋体" w:cs="Times New Roman"/>
                              <w:kern w:val="2"/>
                              <w:sz w:val="24"/>
                              <w:szCs w:val="24"/>
                              <w:lang w:val="en-US" w:eastAsia="zh-CN" w:bidi="ar-SA"/>
                            </w:rPr>
                            <w:instrText xml:space="preserve"> PAGE  \* MERGEFORMAT </w:instrText>
                          </w:r>
                          <w:r>
                            <w:rPr>
                              <w:rFonts w:eastAsia="宋体" w:cs="Times New Roman"/>
                              <w:kern w:val="2"/>
                              <w:sz w:val="24"/>
                              <w:szCs w:val="24"/>
                              <w:lang w:val="en-US" w:eastAsia="zh-CN" w:bidi="ar-SA"/>
                            </w:rPr>
                            <w:fldChar w:fldCharType="separate"/>
                          </w:r>
                          <w:r>
                            <w:rPr>
                              <w:rFonts w:eastAsia="宋体" w:cs="Times New Roman"/>
                              <w:kern w:val="2"/>
                              <w:sz w:val="24"/>
                              <w:szCs w:val="24"/>
                              <w:lang w:val="en-US" w:eastAsia="zh-CN" w:bidi="ar-SA"/>
                            </w:rPr>
                            <w:t>1</w:t>
                          </w:r>
                          <w:r>
                            <w:rPr>
                              <w:rFonts w:eastAsia="宋体" w:cs="Times New Roman"/>
                              <w:kern w:val="2"/>
                              <w:sz w:val="24"/>
                              <w:szCs w:val="24"/>
                              <w:lang w:val="en-US" w:eastAsia="zh-CN" w:bidi="ar-SA"/>
                            </w:rPr>
                            <w:fldChar w:fldCharType="end"/>
                          </w:r>
                        </w:p>
                      </w:txbxContent>
                    </wps:txbx>
                    <wps:bodyPr wrap="square" lIns="0" tIns="0" rIns="0" bIns="0" upright="0">
                      <a:noAutofit/>
                    </wps:bodyPr>
                  </wps:wsp>
                </a:graphicData>
              </a:graphic>
            </wp:anchor>
          </w:drawing>
        </mc:Choice>
        <mc:Fallback>
          <w:pict>
            <v:shape id="文本框 9" o:spid="_x0000_s1026" o:spt="202" type="#_x0000_t202" style="position:absolute;left:0pt;margin-top:0pt;height:30.7pt;width:50.6pt;mso-position-horizontal:center;mso-position-horizontal-relative:margin;z-index:251659264;mso-width-relative:page;mso-height-relative:page;" filled="f" stroked="f" coordsize="21600,21600" o:gfxdata="UEsDBAoAAAAAAIdO4kAAAAAAAAAAAAAAAAAEAAAAZHJzL1BLAwQUAAAACACHTuJA2PDp8NMAAAAE&#10;AQAADwAAAGRycy9kb3ducmV2LnhtbE2PT0vEMBDF74LfIYzgzU26SNHa6SKiJ0Hs1oPHtJltwzaT&#10;2mT/ffvNetHLwOM93vtNuTq6UexpDtYzQrZQIIg7byz3CF/N290DiBA1Gz16JoQTBVhV11elLow/&#10;cE37dexFKuFQaIQhxqmQMnQDOR0WfiJO3sbPTsck516aWR9SuRvlUqlcOm05LQx6opeBuu165xCe&#10;v7l+tT8f7We9qW3TPCp+z7eItzeZegIR6Rj/wnDBT+hQJabW79gEMSKkR+LvvXgqW4JoEfLsHmRV&#10;yv/w1RlQSwMEFAAAAAgAh07iQD+HRbbPAQAAmQMAAA4AAABkcnMvZTJvRG9jLnhtbK1TzY7TMBC+&#10;I/EOlu803YCqNmq6AlWLkBAgLTyA69iNJf/hcZv0BeANOHHhznP1OXbsJF3YvexhL+lkZvrN930z&#10;WV/3RpOjCKCcrenVbE6JsNw1yu5r+u3rzaslJRCZbZh2VtT0JIBeb16+WHe+EqVrnW5EIAhioep8&#10;TdsYfVUUwFthGMycFxaL0gXDIr6GfdEE1iG60UU5ny+KzoXGB8cFAGa3Q5GOiOEpgE5KxcXW8YMR&#10;Ng6oQWgWURK0ygPdZLZSCh4/SwkiEl1TVBrzE4dgvEvPYrNm1T4w3yo+UmBPofBAk2HK4tAL1JZF&#10;Rg5BPYIyigcHTsYZd6YYhGRHUMXV/IE3ty3zImtBq8FfTIfng+Wfjl8CUU1NS0osM7jw86+f599/&#10;z39+kFWyp/NQYdetx77Yv3M9Hs2UB0wm1b0MJv2iHoJ1NPd0MVf0kXBMLt6UixIrHEuvl6vlKptf&#10;3P/ZB4jvhTMkBTUNuLtsKTt+hIhEsHVqSbOsu1Fa5/1p+18CG1OmSMwHhimK/a4f5excc0I1Ha69&#10;pvD9wIKgRH+w6Gu6kSkIU7CbgoMPat/mIxomvj1EJ1Vml2YMwONo3FgmPV5XOol/33PX/Re1uQ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Y8Onw0wAAAAQBAAAPAAAAAAAAAAEAIAAAACIAAABkcnMv&#10;ZG93bnJldi54bWxQSwECFAAUAAAACACHTuJAP4dFts8BAACZAwAADgAAAAAAAAABACAAAAAiAQAA&#10;ZHJzL2Uyb0RvYy54bWxQSwUGAAAAAAYABgBZAQAAYwUAAAAA&#10;">
              <v:fill on="f" focussize="0,0"/>
              <v:stroke on="f"/>
              <v:imagedata o:title=""/>
              <o:lock v:ext="edit" aspectratio="f"/>
              <v:textbox inset="0mm,0mm,0mm,0mm">
                <w:txbxContent>
                  <w:p w14:paraId="1C133AFC">
                    <w:pPr>
                      <w:tabs>
                        <w:tab w:val="center" w:pos="4153"/>
                        <w:tab w:val="right" w:pos="8306"/>
                      </w:tabs>
                      <w:snapToGrid w:val="0"/>
                      <w:spacing w:line="360" w:lineRule="auto"/>
                      <w:ind w:firstLine="480" w:firstLineChars="200"/>
                      <w:jc w:val="left"/>
                      <w:rPr>
                        <w:rFonts w:ascii="Times New Roman" w:hAnsi="Times New Roman" w:eastAsia="宋体" w:cs="Times New Roman"/>
                        <w:kern w:val="2"/>
                        <w:sz w:val="24"/>
                        <w:szCs w:val="24"/>
                        <w:lang w:val="en-US" w:eastAsia="zh-CN" w:bidi="ar-SA"/>
                      </w:rPr>
                    </w:pPr>
                    <w:r>
                      <w:rPr>
                        <w:rFonts w:eastAsia="宋体" w:cs="Times New Roman"/>
                        <w:kern w:val="2"/>
                        <w:sz w:val="24"/>
                        <w:szCs w:val="24"/>
                        <w:lang w:val="en-US" w:eastAsia="zh-CN" w:bidi="ar-SA"/>
                      </w:rPr>
                      <w:fldChar w:fldCharType="begin"/>
                    </w:r>
                    <w:r>
                      <w:rPr>
                        <w:rFonts w:eastAsia="宋体" w:cs="Times New Roman"/>
                        <w:kern w:val="2"/>
                        <w:sz w:val="24"/>
                        <w:szCs w:val="24"/>
                        <w:lang w:val="en-US" w:eastAsia="zh-CN" w:bidi="ar-SA"/>
                      </w:rPr>
                      <w:instrText xml:space="preserve"> PAGE  \* MERGEFORMAT </w:instrText>
                    </w:r>
                    <w:r>
                      <w:rPr>
                        <w:rFonts w:eastAsia="宋体" w:cs="Times New Roman"/>
                        <w:kern w:val="2"/>
                        <w:sz w:val="24"/>
                        <w:szCs w:val="24"/>
                        <w:lang w:val="en-US" w:eastAsia="zh-CN" w:bidi="ar-SA"/>
                      </w:rPr>
                      <w:fldChar w:fldCharType="separate"/>
                    </w:r>
                    <w:r>
                      <w:rPr>
                        <w:rFonts w:eastAsia="宋体" w:cs="Times New Roman"/>
                        <w:kern w:val="2"/>
                        <w:sz w:val="24"/>
                        <w:szCs w:val="24"/>
                        <w:lang w:val="en-US" w:eastAsia="zh-CN" w:bidi="ar-SA"/>
                      </w:rPr>
                      <w:t>1</w:t>
                    </w:r>
                    <w:r>
                      <w:rPr>
                        <w:rFonts w:eastAsia="宋体" w:cs="Times New Roman"/>
                        <w:kern w:val="2"/>
                        <w:sz w:val="24"/>
                        <w:szCs w:val="24"/>
                        <w:lang w:val="en-US" w:eastAsia="zh-CN" w:bidi="ar-SA"/>
                      </w:rPr>
                      <w:fldChar w:fldCharType="end"/>
                    </w:r>
                  </w:p>
                </w:txbxContent>
              </v:textbox>
            </v:shape>
          </w:pict>
        </mc:Fallback>
      </mc:AlternateContent>
    </w:r>
  </w:p>
  <w:p w14:paraId="7C0A623D">
    <w:pPr>
      <w:widowControl w:val="0"/>
      <w:tabs>
        <w:tab w:val="center" w:pos="4153"/>
        <w:tab w:val="right" w:pos="8306"/>
      </w:tabs>
      <w:snapToGrid w:val="0"/>
      <w:ind w:firstLine="360"/>
      <w:jc w:val="left"/>
      <w:rPr>
        <w:rFonts w:ascii="Times New Roman" w:hAnsi="Times New Roman" w:eastAsia="宋体"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0E791">
    <w:pPr>
      <w:tabs>
        <w:tab w:val="center" w:pos="4153"/>
        <w:tab w:val="right" w:pos="8306"/>
      </w:tabs>
      <w:snapToGrid w:val="0"/>
      <w:spacing w:line="360" w:lineRule="auto"/>
      <w:ind w:firstLine="360" w:firstLineChars="200"/>
      <w:jc w:val="left"/>
      <w:rPr>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2C2788">
                          <w:pPr>
                            <w:widowControl w:val="0"/>
                            <w:tabs>
                              <w:tab w:val="center" w:pos="4153"/>
                              <w:tab w:val="right" w:pos="8306"/>
                            </w:tabs>
                            <w:snapToGrid w:val="0"/>
                            <w:ind w:firstLine="360"/>
                            <w:jc w:val="center"/>
                            <w:rPr>
                              <w:rFonts w:ascii="Times New Roman" w:hAnsi="Times New Roman" w:eastAsia="宋体" w:cs="Times New Roman"/>
                              <w:sz w:val="21"/>
                            </w:rPr>
                          </w:pPr>
                          <w:r>
                            <w:rPr>
                              <w:rFonts w:eastAsia="宋体" w:cs="Times New Roman"/>
                              <w:sz w:val="21"/>
                            </w:rPr>
                            <w:fldChar w:fldCharType="begin"/>
                          </w:r>
                          <w:r>
                            <w:rPr>
                              <w:rFonts w:eastAsia="宋体" w:cs="Times New Roman"/>
                              <w:sz w:val="21"/>
                            </w:rPr>
                            <w:instrText xml:space="preserve"> PAGE  \* MERGEFORMAT </w:instrText>
                          </w:r>
                          <w:r>
                            <w:rPr>
                              <w:rFonts w:eastAsia="宋体" w:cs="Times New Roman"/>
                              <w:sz w:val="21"/>
                            </w:rPr>
                            <w:fldChar w:fldCharType="separate"/>
                          </w:r>
                          <w:r>
                            <w:rPr>
                              <w:rFonts w:eastAsia="宋体" w:cs="Times New Roman"/>
                              <w:sz w:val="21"/>
                            </w:rPr>
                            <w:t>23</w:t>
                          </w:r>
                          <w:r>
                            <w:rPr>
                              <w:rFonts w:eastAsia="宋体" w:cs="Times New Roman"/>
                              <w:sz w:val="21"/>
                            </w:rPr>
                            <w:fldChar w:fldCharType="end"/>
                          </w:r>
                        </w:p>
                      </w:txbxContent>
                    </wps:txbx>
                    <wps:bodyPr wrap="none" lIns="0" tIns="0" rIns="0" bIns="0" upright="0">
                      <a:spAutoFit/>
                    </wps:bodyPr>
                  </wps:wsp>
                </a:graphicData>
              </a:graphic>
            </wp:anchor>
          </w:drawing>
        </mc:Choice>
        <mc:Fallback>
          <w:pict>
            <v:shape id="文本框 10"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kVl8cBAACaAwAADgAAAGRycy9lMm9Eb2MueG1srVNNrtMwEN4jcQfL&#10;e+q0SKiKmj6BqoeQECA9OIDr2I0l/8njNukF4Aas2LDnXD0HYydp4bF5CzbOeGb8zXzfTDZ3gzXk&#10;JCNo7xq6XFSUSCd8q92hoV8+379YUwKJu5Yb72RDzxLo3fb5s00farnynTetjARBHNR9aGiXUqgZ&#10;A9FJy2Hhg3QYVD5anvAaD6yNvEd0a9iqql6x3sc2RC8kAHp3Y5BOiPEpgF4pLeTOi6OVLo2oURqe&#10;kBJ0OgDdlm6VkiJ9VApkIqahyDSVE4ugvc8n2254fYg8dFpMLfCntPCIk+XaYdEr1I4nTo5R/wNl&#10;tYgevEoL4S0biRRFkMWyeqTNQ8eDLFxQaghX0eH/wYoPp0+R6LahLylx3OLAL9+/XX78uvz8SpZF&#10;nz5AjWkPARPT8MYPuDVZt+wHdGbag4o2f5EQwTiqe76qK4dERH60Xq3XFYYExuYL4rDb8xAhvZXe&#10;kmw0NOL4iqr89B7SmDqn5GrO32tjygiN+8uBmNnDbj1mKw37YWp879sz8ulx8g11uOiUmHcOhc1L&#10;MhtxNvazcQxRH7qyRbkehNfHhE2U3nKFEXYqjCMr7Kb1yjvx571k3X6p7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VkVl8cBAACaAwAADgAAAAAAAAABACAAAAAeAQAAZHJzL2Uyb0RvYy54&#10;bWxQSwUGAAAAAAYABgBZAQAAVwUAAAAA&#10;">
              <v:fill on="f" focussize="0,0"/>
              <v:stroke on="f"/>
              <v:imagedata o:title=""/>
              <o:lock v:ext="edit" aspectratio="f"/>
              <v:textbox inset="0mm,0mm,0mm,0mm" style="mso-fit-shape-to-text:t;">
                <w:txbxContent>
                  <w:p w14:paraId="682C2788">
                    <w:pPr>
                      <w:widowControl w:val="0"/>
                      <w:tabs>
                        <w:tab w:val="center" w:pos="4153"/>
                        <w:tab w:val="right" w:pos="8306"/>
                      </w:tabs>
                      <w:snapToGrid w:val="0"/>
                      <w:ind w:firstLine="360"/>
                      <w:jc w:val="center"/>
                      <w:rPr>
                        <w:rFonts w:ascii="Times New Roman" w:hAnsi="Times New Roman" w:eastAsia="宋体" w:cs="Times New Roman"/>
                        <w:sz w:val="21"/>
                      </w:rPr>
                    </w:pPr>
                    <w:r>
                      <w:rPr>
                        <w:rFonts w:eastAsia="宋体" w:cs="Times New Roman"/>
                        <w:sz w:val="21"/>
                      </w:rPr>
                      <w:fldChar w:fldCharType="begin"/>
                    </w:r>
                    <w:r>
                      <w:rPr>
                        <w:rFonts w:eastAsia="宋体" w:cs="Times New Roman"/>
                        <w:sz w:val="21"/>
                      </w:rPr>
                      <w:instrText xml:space="preserve"> PAGE  \* MERGEFORMAT </w:instrText>
                    </w:r>
                    <w:r>
                      <w:rPr>
                        <w:rFonts w:eastAsia="宋体" w:cs="Times New Roman"/>
                        <w:sz w:val="21"/>
                      </w:rPr>
                      <w:fldChar w:fldCharType="separate"/>
                    </w:r>
                    <w:r>
                      <w:rPr>
                        <w:rFonts w:eastAsia="宋体" w:cs="Times New Roman"/>
                        <w:sz w:val="21"/>
                      </w:rPr>
                      <w:t>23</w:t>
                    </w:r>
                    <w:r>
                      <w:rPr>
                        <w:rFonts w:eastAsia="宋体" w:cs="Times New Roman"/>
                        <w:sz w:val="21"/>
                      </w:rPr>
                      <w:fldChar w:fldCharType="end"/>
                    </w:r>
                  </w:p>
                </w:txbxContent>
              </v:textbox>
            </v:shape>
          </w:pict>
        </mc:Fallback>
      </mc:AlternateContent>
    </w:r>
  </w:p>
  <w:p w14:paraId="5E8B8ADA">
    <w:pPr>
      <w:widowControl w:val="0"/>
      <w:tabs>
        <w:tab w:val="center" w:pos="4153"/>
        <w:tab w:val="right" w:pos="8306"/>
      </w:tabs>
      <w:snapToGrid w:val="0"/>
      <w:ind w:firstLine="360"/>
      <w:jc w:val="left"/>
      <w:rPr>
        <w:rFonts w:ascii="Times New Roman" w:hAnsi="Times New Roman" w:eastAsia="宋体"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C51F5">
    <w:pPr>
      <w:pStyle w:val="32"/>
      <w:ind w:firstLine="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5A2DE39">
                          <w:pPr>
                            <w:pStyle w:val="32"/>
                            <w:ind w:firstLine="360"/>
                            <w:jc w:val="center"/>
                          </w:pPr>
                          <w:r>
                            <w:fldChar w:fldCharType="begin"/>
                          </w:r>
                          <w:r>
                            <w:instrText xml:space="preserve"> PAGE  \* MERGEFORMAT </w:instrText>
                          </w:r>
                          <w:r>
                            <w:fldChar w:fldCharType="separate"/>
                          </w:r>
                          <w:r>
                            <w:t>59</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1KHPRAQAAogMAAA4AAABkcnMvZTJvRG9jLnhtbK1TzY7TMBC+I/EO&#10;lu80aRGrKmq6AlWLkBAgLfsAruM0lmyP5XGb9AXgDThx4c5z9TkYO0kXLZc9cHHmz9/M93myuR2s&#10;YScVUIOr+XJRcqachEa7Q80fvt69WnOGUbhGGHCq5meF/Hb78sWm95VaQQemUYERiMOq9zXvYvRV&#10;UaDslBW4AK8cJVsIVkRyw6FogugJ3ZpiVZY3RQ+h8QGkQqTobkzyCTE8BxDaVku1A3m0ysURNSgj&#10;IlHCTnvk2zxt2yoZP7ctqshMzYlpzCc1IXufzmK7EdUhCN9pOY0gnjPCE05WaEdNr1A7EQU7Bv0P&#10;lNUyAEIbFxJsMRLJihCLZflEm/tOeJW5kNTor6Lj/4OVn05fAtMNbQJnTlh68MuP75efvy+/vrFl&#10;kqf3WFHVvae6OLyDIZVOcaRgYj20waYv8WGUJ3HPV3HVEJlMl9ar9bqklKTc7BBO8XjdB4zvFViW&#10;jJoHer0sqjh9xDiWziWpm4M7bQzFRWUc62t+8/pNmS9cMwRuHPVIJMZhkxWH/TAx2ENzJmI9bUDN&#10;HS08Z+aDI4HTssxGmI39bBx90IeOZlzmfujfHiNNk4dMHUbYqTE9XaY5rVnajb/9XPX4a2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1NShz0QEAAKIDAAAOAAAAAAAAAAEAIAAAAB8BAABk&#10;cnMvZTJvRG9jLnhtbFBLBQYAAAAABgAGAFkBAABiBQAAAAA=&#10;">
              <v:fill on="f" focussize="0,0"/>
              <v:stroke on="f" weight="0.5pt"/>
              <v:imagedata o:title=""/>
              <o:lock v:ext="edit" aspectratio="f"/>
              <v:textbox inset="0mm,0mm,0mm,0mm" style="mso-fit-shape-to-text:t;">
                <w:txbxContent>
                  <w:p w14:paraId="35A2DE39">
                    <w:pPr>
                      <w:pStyle w:val="32"/>
                      <w:ind w:firstLine="360"/>
                      <w:jc w:val="center"/>
                    </w:pPr>
                    <w:r>
                      <w:fldChar w:fldCharType="begin"/>
                    </w:r>
                    <w:r>
                      <w:instrText xml:space="preserve"> PAGE  \* MERGEFORMAT </w:instrText>
                    </w:r>
                    <w:r>
                      <w:fldChar w:fldCharType="separate"/>
                    </w:r>
                    <w:r>
                      <w:t>59</w:t>
                    </w:r>
                    <w:r>
                      <w:fldChar w:fldCharType="end"/>
                    </w:r>
                  </w:p>
                </w:txbxContent>
              </v:textbox>
            </v:shape>
          </w:pict>
        </mc:Fallback>
      </mc:AlternateContent>
    </w:r>
  </w:p>
  <w:p w14:paraId="7076E62A">
    <w:pPr>
      <w:pStyle w:val="3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B43CC5">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73DDA">
    <w:pPr>
      <w:pStyle w:val="33"/>
      <w:ind w:firstLine="360"/>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E95D4B"/>
    <w:multiLevelType w:val="singleLevel"/>
    <w:tmpl w:val="82E95D4B"/>
    <w:lvl w:ilvl="0" w:tentative="0">
      <w:start w:val="1"/>
      <w:numFmt w:val="decimal"/>
      <w:lvlText w:val="(%1)"/>
      <w:lvlJc w:val="left"/>
      <w:pPr>
        <w:tabs>
          <w:tab w:val="left" w:pos="-420"/>
        </w:tabs>
        <w:ind w:left="5" w:hanging="425"/>
      </w:pPr>
      <w:rPr>
        <w:rFonts w:hint="default"/>
      </w:rPr>
    </w:lvl>
  </w:abstractNum>
  <w:abstractNum w:abstractNumId="1">
    <w:nsid w:val="8A657DFA"/>
    <w:multiLevelType w:val="singleLevel"/>
    <w:tmpl w:val="8A657DFA"/>
    <w:lvl w:ilvl="0" w:tentative="0">
      <w:start w:val="1"/>
      <w:numFmt w:val="decimal"/>
      <w:lvlText w:val="(%1)"/>
      <w:lvlJc w:val="left"/>
      <w:pPr>
        <w:tabs>
          <w:tab w:val="left" w:pos="-420"/>
        </w:tabs>
        <w:ind w:left="5" w:hanging="425"/>
      </w:pPr>
      <w:rPr>
        <w:rFonts w:hint="default"/>
      </w:rPr>
    </w:lvl>
  </w:abstractNum>
  <w:abstractNum w:abstractNumId="2">
    <w:nsid w:val="8C79578F"/>
    <w:multiLevelType w:val="singleLevel"/>
    <w:tmpl w:val="8C79578F"/>
    <w:lvl w:ilvl="0" w:tentative="0">
      <w:start w:val="1"/>
      <w:numFmt w:val="decimal"/>
      <w:lvlText w:val="(%1)"/>
      <w:lvlJc w:val="left"/>
      <w:pPr>
        <w:tabs>
          <w:tab w:val="left" w:pos="-420"/>
        </w:tabs>
        <w:ind w:left="5" w:hanging="425"/>
      </w:pPr>
      <w:rPr>
        <w:rFonts w:hint="default"/>
      </w:rPr>
    </w:lvl>
  </w:abstractNum>
  <w:abstractNum w:abstractNumId="3">
    <w:nsid w:val="8CFB6E57"/>
    <w:multiLevelType w:val="singleLevel"/>
    <w:tmpl w:val="8CFB6E57"/>
    <w:lvl w:ilvl="0" w:tentative="0">
      <w:start w:val="1"/>
      <w:numFmt w:val="decimal"/>
      <w:lvlText w:val="(%1)"/>
      <w:lvlJc w:val="left"/>
      <w:pPr>
        <w:tabs>
          <w:tab w:val="left" w:pos="-420"/>
        </w:tabs>
        <w:ind w:left="5" w:hanging="425"/>
      </w:pPr>
      <w:rPr>
        <w:rFonts w:hint="default"/>
      </w:rPr>
    </w:lvl>
  </w:abstractNum>
  <w:abstractNum w:abstractNumId="4">
    <w:nsid w:val="8DE6E32F"/>
    <w:multiLevelType w:val="multilevel"/>
    <w:tmpl w:val="8DE6E32F"/>
    <w:lvl w:ilvl="0" w:tentative="0">
      <w:start w:val="1"/>
      <w:numFmt w:val="decimal"/>
      <w:suff w:val="nothing"/>
      <w:lvlText w:val="%1．"/>
      <w:lvlJc w:val="left"/>
      <w:pPr>
        <w:ind w:left="28" w:firstLine="397"/>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9516FE63"/>
    <w:multiLevelType w:val="singleLevel"/>
    <w:tmpl w:val="9516FE63"/>
    <w:lvl w:ilvl="0" w:tentative="0">
      <w:start w:val="1"/>
      <w:numFmt w:val="decimal"/>
      <w:lvlText w:val="(%1)"/>
      <w:lvlJc w:val="left"/>
      <w:pPr>
        <w:ind w:left="425" w:hanging="425"/>
      </w:pPr>
      <w:rPr>
        <w:rFonts w:hint="default"/>
      </w:rPr>
    </w:lvl>
  </w:abstractNum>
  <w:abstractNum w:abstractNumId="6">
    <w:nsid w:val="96B0A56A"/>
    <w:multiLevelType w:val="singleLevel"/>
    <w:tmpl w:val="96B0A56A"/>
    <w:lvl w:ilvl="0" w:tentative="0">
      <w:start w:val="1"/>
      <w:numFmt w:val="decimal"/>
      <w:lvlText w:val="(%1)"/>
      <w:lvlJc w:val="left"/>
      <w:pPr>
        <w:tabs>
          <w:tab w:val="left" w:pos="-420"/>
        </w:tabs>
        <w:ind w:left="5" w:hanging="425"/>
      </w:pPr>
      <w:rPr>
        <w:rFonts w:hint="default"/>
      </w:rPr>
    </w:lvl>
  </w:abstractNum>
  <w:abstractNum w:abstractNumId="7">
    <w:nsid w:val="9B7FDE0D"/>
    <w:multiLevelType w:val="singleLevel"/>
    <w:tmpl w:val="9B7FDE0D"/>
    <w:lvl w:ilvl="0" w:tentative="0">
      <w:start w:val="1"/>
      <w:numFmt w:val="decimal"/>
      <w:lvlText w:val="(%1)"/>
      <w:lvlJc w:val="left"/>
      <w:pPr>
        <w:tabs>
          <w:tab w:val="left" w:pos="-420"/>
        </w:tabs>
        <w:ind w:left="5" w:hanging="425"/>
      </w:pPr>
      <w:rPr>
        <w:rFonts w:hint="default"/>
      </w:rPr>
    </w:lvl>
  </w:abstractNum>
  <w:abstractNum w:abstractNumId="8">
    <w:nsid w:val="9D4BB338"/>
    <w:multiLevelType w:val="singleLevel"/>
    <w:tmpl w:val="9D4BB338"/>
    <w:lvl w:ilvl="0" w:tentative="0">
      <w:start w:val="1"/>
      <w:numFmt w:val="decimal"/>
      <w:suff w:val="nothing"/>
      <w:lvlText w:val="%1．"/>
      <w:lvlJc w:val="left"/>
      <w:pPr>
        <w:ind w:left="283" w:firstLine="142"/>
      </w:pPr>
      <w:rPr>
        <w:rFonts w:hint="default"/>
      </w:rPr>
    </w:lvl>
  </w:abstractNum>
  <w:abstractNum w:abstractNumId="9">
    <w:nsid w:val="9EF8D7AE"/>
    <w:multiLevelType w:val="singleLevel"/>
    <w:tmpl w:val="9EF8D7AE"/>
    <w:lvl w:ilvl="0" w:tentative="0">
      <w:start w:val="1"/>
      <w:numFmt w:val="decimal"/>
      <w:lvlText w:val="(%1)"/>
      <w:lvlJc w:val="left"/>
      <w:pPr>
        <w:tabs>
          <w:tab w:val="left" w:pos="-420"/>
        </w:tabs>
        <w:ind w:left="5" w:hanging="425"/>
      </w:pPr>
      <w:rPr>
        <w:rFonts w:hint="default"/>
      </w:rPr>
    </w:lvl>
  </w:abstractNum>
  <w:abstractNum w:abstractNumId="10">
    <w:nsid w:val="AA7EE1D6"/>
    <w:multiLevelType w:val="singleLevel"/>
    <w:tmpl w:val="AA7EE1D6"/>
    <w:lvl w:ilvl="0" w:tentative="0">
      <w:start w:val="1"/>
      <w:numFmt w:val="decimal"/>
      <w:lvlText w:val="(%1)"/>
      <w:lvlJc w:val="left"/>
      <w:pPr>
        <w:tabs>
          <w:tab w:val="left" w:pos="-420"/>
        </w:tabs>
        <w:ind w:left="5" w:hanging="425"/>
      </w:pPr>
      <w:rPr>
        <w:rFonts w:hint="default"/>
      </w:rPr>
    </w:lvl>
  </w:abstractNum>
  <w:abstractNum w:abstractNumId="11">
    <w:nsid w:val="AB03041A"/>
    <w:multiLevelType w:val="singleLevel"/>
    <w:tmpl w:val="AB03041A"/>
    <w:lvl w:ilvl="0" w:tentative="0">
      <w:start w:val="1"/>
      <w:numFmt w:val="decimal"/>
      <w:lvlText w:val="(%1)"/>
      <w:lvlJc w:val="left"/>
      <w:pPr>
        <w:tabs>
          <w:tab w:val="left" w:pos="-420"/>
        </w:tabs>
        <w:ind w:left="5" w:hanging="425"/>
      </w:pPr>
      <w:rPr>
        <w:rFonts w:hint="default"/>
      </w:rPr>
    </w:lvl>
  </w:abstractNum>
  <w:abstractNum w:abstractNumId="12">
    <w:nsid w:val="AD112C27"/>
    <w:multiLevelType w:val="singleLevel"/>
    <w:tmpl w:val="AD112C27"/>
    <w:lvl w:ilvl="0" w:tentative="0">
      <w:start w:val="1"/>
      <w:numFmt w:val="decimal"/>
      <w:lvlText w:val="(%1)"/>
      <w:lvlJc w:val="left"/>
      <w:pPr>
        <w:tabs>
          <w:tab w:val="left" w:pos="-420"/>
        </w:tabs>
        <w:ind w:left="5" w:hanging="425"/>
      </w:pPr>
      <w:rPr>
        <w:rFonts w:hint="default"/>
      </w:rPr>
    </w:lvl>
  </w:abstractNum>
  <w:abstractNum w:abstractNumId="13">
    <w:nsid w:val="B09963BF"/>
    <w:multiLevelType w:val="singleLevel"/>
    <w:tmpl w:val="B09963BF"/>
    <w:lvl w:ilvl="0" w:tentative="0">
      <w:start w:val="1"/>
      <w:numFmt w:val="decimal"/>
      <w:lvlText w:val="(%1)"/>
      <w:lvlJc w:val="left"/>
      <w:pPr>
        <w:tabs>
          <w:tab w:val="left" w:pos="-420"/>
        </w:tabs>
        <w:ind w:left="5" w:hanging="425"/>
      </w:pPr>
      <w:rPr>
        <w:rFonts w:hint="default"/>
      </w:rPr>
    </w:lvl>
  </w:abstractNum>
  <w:abstractNum w:abstractNumId="14">
    <w:nsid w:val="B0CA4C8D"/>
    <w:multiLevelType w:val="singleLevel"/>
    <w:tmpl w:val="B0CA4C8D"/>
    <w:lvl w:ilvl="0" w:tentative="0">
      <w:start w:val="1"/>
      <w:numFmt w:val="decimal"/>
      <w:lvlText w:val="(%1)"/>
      <w:lvlJc w:val="left"/>
      <w:pPr>
        <w:tabs>
          <w:tab w:val="left" w:pos="-420"/>
        </w:tabs>
        <w:ind w:left="5" w:hanging="425"/>
      </w:pPr>
      <w:rPr>
        <w:rFonts w:hint="default"/>
      </w:rPr>
    </w:lvl>
  </w:abstractNum>
  <w:abstractNum w:abstractNumId="15">
    <w:nsid w:val="B2B155A2"/>
    <w:multiLevelType w:val="singleLevel"/>
    <w:tmpl w:val="B2B155A2"/>
    <w:lvl w:ilvl="0" w:tentative="0">
      <w:start w:val="1"/>
      <w:numFmt w:val="decimal"/>
      <w:lvlText w:val="(%1)"/>
      <w:lvlJc w:val="left"/>
      <w:pPr>
        <w:tabs>
          <w:tab w:val="left" w:pos="-420"/>
        </w:tabs>
        <w:ind w:left="5" w:hanging="425"/>
      </w:pPr>
      <w:rPr>
        <w:rFonts w:hint="default"/>
      </w:rPr>
    </w:lvl>
  </w:abstractNum>
  <w:abstractNum w:abstractNumId="16">
    <w:nsid w:val="B2EEF79C"/>
    <w:multiLevelType w:val="singleLevel"/>
    <w:tmpl w:val="B2EEF79C"/>
    <w:lvl w:ilvl="0" w:tentative="0">
      <w:start w:val="1"/>
      <w:numFmt w:val="decimal"/>
      <w:lvlText w:val="(%1)"/>
      <w:lvlJc w:val="left"/>
      <w:pPr>
        <w:tabs>
          <w:tab w:val="left" w:pos="-420"/>
        </w:tabs>
        <w:ind w:left="5" w:hanging="425"/>
      </w:pPr>
      <w:rPr>
        <w:rFonts w:hint="default"/>
      </w:rPr>
    </w:lvl>
  </w:abstractNum>
  <w:abstractNum w:abstractNumId="17">
    <w:nsid w:val="BC9648A4"/>
    <w:multiLevelType w:val="singleLevel"/>
    <w:tmpl w:val="BC9648A4"/>
    <w:lvl w:ilvl="0" w:tentative="0">
      <w:start w:val="1"/>
      <w:numFmt w:val="decimal"/>
      <w:lvlText w:val="(%1)"/>
      <w:lvlJc w:val="left"/>
      <w:pPr>
        <w:tabs>
          <w:tab w:val="left" w:pos="-420"/>
        </w:tabs>
        <w:ind w:left="5" w:hanging="425"/>
      </w:pPr>
      <w:rPr>
        <w:rFonts w:hint="default"/>
      </w:rPr>
    </w:lvl>
  </w:abstractNum>
  <w:abstractNum w:abstractNumId="18">
    <w:nsid w:val="BD4C1F15"/>
    <w:multiLevelType w:val="singleLevel"/>
    <w:tmpl w:val="BD4C1F15"/>
    <w:lvl w:ilvl="0" w:tentative="0">
      <w:start w:val="1"/>
      <w:numFmt w:val="decimal"/>
      <w:lvlText w:val="(%1)"/>
      <w:lvlJc w:val="left"/>
      <w:pPr>
        <w:tabs>
          <w:tab w:val="left" w:pos="-420"/>
        </w:tabs>
        <w:ind w:left="5" w:hanging="425"/>
      </w:pPr>
      <w:rPr>
        <w:rFonts w:hint="default"/>
      </w:rPr>
    </w:lvl>
  </w:abstractNum>
  <w:abstractNum w:abstractNumId="19">
    <w:nsid w:val="C2672D8F"/>
    <w:multiLevelType w:val="singleLevel"/>
    <w:tmpl w:val="C2672D8F"/>
    <w:lvl w:ilvl="0" w:tentative="0">
      <w:start w:val="1"/>
      <w:numFmt w:val="decimal"/>
      <w:suff w:val="nothing"/>
      <w:lvlText w:val="%1）"/>
      <w:lvlJc w:val="left"/>
    </w:lvl>
  </w:abstractNum>
  <w:abstractNum w:abstractNumId="20">
    <w:nsid w:val="C46BD762"/>
    <w:multiLevelType w:val="singleLevel"/>
    <w:tmpl w:val="C46BD762"/>
    <w:lvl w:ilvl="0" w:tentative="0">
      <w:start w:val="1"/>
      <w:numFmt w:val="decimal"/>
      <w:lvlText w:val="(%1)"/>
      <w:lvlJc w:val="left"/>
      <w:pPr>
        <w:tabs>
          <w:tab w:val="left" w:pos="-420"/>
        </w:tabs>
        <w:ind w:left="5" w:hanging="425"/>
      </w:pPr>
      <w:rPr>
        <w:rFonts w:hint="default"/>
      </w:rPr>
    </w:lvl>
  </w:abstractNum>
  <w:abstractNum w:abstractNumId="21">
    <w:nsid w:val="C737412F"/>
    <w:multiLevelType w:val="singleLevel"/>
    <w:tmpl w:val="C737412F"/>
    <w:lvl w:ilvl="0" w:tentative="0">
      <w:start w:val="1"/>
      <w:numFmt w:val="decimal"/>
      <w:lvlText w:val="(%1)"/>
      <w:lvlJc w:val="left"/>
      <w:pPr>
        <w:tabs>
          <w:tab w:val="left" w:pos="-420"/>
        </w:tabs>
        <w:ind w:left="5" w:hanging="425"/>
      </w:pPr>
      <w:rPr>
        <w:rFonts w:hint="default"/>
      </w:rPr>
    </w:lvl>
  </w:abstractNum>
  <w:abstractNum w:abstractNumId="22">
    <w:nsid w:val="D2646B83"/>
    <w:multiLevelType w:val="singleLevel"/>
    <w:tmpl w:val="D2646B83"/>
    <w:lvl w:ilvl="0" w:tentative="0">
      <w:start w:val="1"/>
      <w:numFmt w:val="decimal"/>
      <w:lvlText w:val="(%1)"/>
      <w:lvlJc w:val="left"/>
      <w:pPr>
        <w:tabs>
          <w:tab w:val="left" w:pos="-420"/>
        </w:tabs>
        <w:ind w:left="5" w:hanging="425"/>
      </w:pPr>
      <w:rPr>
        <w:rFonts w:hint="default"/>
      </w:rPr>
    </w:lvl>
  </w:abstractNum>
  <w:abstractNum w:abstractNumId="23">
    <w:nsid w:val="D590ADA1"/>
    <w:multiLevelType w:val="singleLevel"/>
    <w:tmpl w:val="D590ADA1"/>
    <w:lvl w:ilvl="0" w:tentative="0">
      <w:start w:val="1"/>
      <w:numFmt w:val="bullet"/>
      <w:lvlText w:val=""/>
      <w:lvlJc w:val="left"/>
      <w:pPr>
        <w:ind w:left="420" w:hanging="420"/>
      </w:pPr>
      <w:rPr>
        <w:rFonts w:hint="default" w:ascii="Wingdings" w:hAnsi="Wingdings"/>
      </w:rPr>
    </w:lvl>
  </w:abstractNum>
  <w:abstractNum w:abstractNumId="24">
    <w:nsid w:val="D787E273"/>
    <w:multiLevelType w:val="singleLevel"/>
    <w:tmpl w:val="D787E273"/>
    <w:lvl w:ilvl="0" w:tentative="0">
      <w:start w:val="1"/>
      <w:numFmt w:val="decimal"/>
      <w:lvlText w:val="(%1)"/>
      <w:lvlJc w:val="left"/>
      <w:pPr>
        <w:tabs>
          <w:tab w:val="left" w:pos="-420"/>
        </w:tabs>
        <w:ind w:left="5" w:hanging="425"/>
      </w:pPr>
      <w:rPr>
        <w:rFonts w:hint="default"/>
      </w:rPr>
    </w:lvl>
  </w:abstractNum>
  <w:abstractNum w:abstractNumId="25">
    <w:nsid w:val="D87A6489"/>
    <w:multiLevelType w:val="singleLevel"/>
    <w:tmpl w:val="D87A6489"/>
    <w:lvl w:ilvl="0" w:tentative="0">
      <w:start w:val="1"/>
      <w:numFmt w:val="decimal"/>
      <w:lvlText w:val="(%1)"/>
      <w:lvlJc w:val="left"/>
      <w:pPr>
        <w:tabs>
          <w:tab w:val="left" w:pos="-420"/>
        </w:tabs>
        <w:ind w:left="5" w:hanging="425"/>
      </w:pPr>
      <w:rPr>
        <w:rFonts w:hint="default"/>
      </w:rPr>
    </w:lvl>
  </w:abstractNum>
  <w:abstractNum w:abstractNumId="26">
    <w:nsid w:val="D9022FBF"/>
    <w:multiLevelType w:val="singleLevel"/>
    <w:tmpl w:val="D9022FBF"/>
    <w:lvl w:ilvl="0" w:tentative="0">
      <w:start w:val="1"/>
      <w:numFmt w:val="decimal"/>
      <w:lvlText w:val="(%1)"/>
      <w:lvlJc w:val="left"/>
      <w:pPr>
        <w:tabs>
          <w:tab w:val="left" w:pos="-420"/>
        </w:tabs>
        <w:ind w:left="5" w:hanging="425"/>
      </w:pPr>
      <w:rPr>
        <w:rFonts w:hint="default"/>
      </w:rPr>
    </w:lvl>
  </w:abstractNum>
  <w:abstractNum w:abstractNumId="27">
    <w:nsid w:val="DBB39127"/>
    <w:multiLevelType w:val="multilevel"/>
    <w:tmpl w:val="DBB39127"/>
    <w:lvl w:ilvl="0" w:tentative="0">
      <w:start w:val="1"/>
      <w:numFmt w:val="decimal"/>
      <w:suff w:val="nothing"/>
      <w:lvlText w:val="%1．"/>
      <w:lvlJc w:val="left"/>
      <w:pPr>
        <w:ind w:left="28" w:firstLine="397"/>
      </w:pPr>
      <w:rPr>
        <w:rFonts w:hint="default"/>
      </w:rPr>
    </w:lvl>
    <w:lvl w:ilvl="1" w:tentative="0">
      <w:start w:val="1"/>
      <w:numFmt w:val="lowerLetter"/>
      <w:lvlText w:val="%2)"/>
      <w:lvlJc w:val="left"/>
      <w:pPr>
        <w:tabs>
          <w:tab w:val="left" w:pos="1007"/>
        </w:tabs>
        <w:ind w:left="1007" w:hanging="420"/>
      </w:pPr>
    </w:lvl>
    <w:lvl w:ilvl="2" w:tentative="0">
      <w:start w:val="1"/>
      <w:numFmt w:val="lowerRoman"/>
      <w:lvlText w:val="%3."/>
      <w:lvlJc w:val="right"/>
      <w:pPr>
        <w:tabs>
          <w:tab w:val="left" w:pos="1427"/>
        </w:tabs>
        <w:ind w:left="1427" w:hanging="420"/>
      </w:pPr>
    </w:lvl>
    <w:lvl w:ilvl="3" w:tentative="0">
      <w:start w:val="1"/>
      <w:numFmt w:val="decimal"/>
      <w:lvlText w:val="%4."/>
      <w:lvlJc w:val="left"/>
      <w:pPr>
        <w:tabs>
          <w:tab w:val="left" w:pos="1847"/>
        </w:tabs>
        <w:ind w:left="1847" w:hanging="420"/>
      </w:pPr>
    </w:lvl>
    <w:lvl w:ilvl="4" w:tentative="0">
      <w:start w:val="1"/>
      <w:numFmt w:val="lowerLetter"/>
      <w:lvlText w:val="%5)"/>
      <w:lvlJc w:val="left"/>
      <w:pPr>
        <w:tabs>
          <w:tab w:val="left" w:pos="2267"/>
        </w:tabs>
        <w:ind w:left="2267" w:hanging="420"/>
      </w:pPr>
    </w:lvl>
    <w:lvl w:ilvl="5" w:tentative="0">
      <w:start w:val="1"/>
      <w:numFmt w:val="lowerRoman"/>
      <w:lvlText w:val="%6."/>
      <w:lvlJc w:val="right"/>
      <w:pPr>
        <w:tabs>
          <w:tab w:val="left" w:pos="2687"/>
        </w:tabs>
        <w:ind w:left="2687" w:hanging="420"/>
      </w:pPr>
    </w:lvl>
    <w:lvl w:ilvl="6" w:tentative="0">
      <w:start w:val="1"/>
      <w:numFmt w:val="decimal"/>
      <w:lvlText w:val="%7."/>
      <w:lvlJc w:val="left"/>
      <w:pPr>
        <w:tabs>
          <w:tab w:val="left" w:pos="3107"/>
        </w:tabs>
        <w:ind w:left="3107" w:hanging="420"/>
      </w:pPr>
    </w:lvl>
    <w:lvl w:ilvl="7" w:tentative="0">
      <w:start w:val="1"/>
      <w:numFmt w:val="lowerLetter"/>
      <w:lvlText w:val="%8)"/>
      <w:lvlJc w:val="left"/>
      <w:pPr>
        <w:tabs>
          <w:tab w:val="left" w:pos="3527"/>
        </w:tabs>
        <w:ind w:left="3527" w:hanging="420"/>
      </w:pPr>
    </w:lvl>
    <w:lvl w:ilvl="8" w:tentative="0">
      <w:start w:val="1"/>
      <w:numFmt w:val="lowerRoman"/>
      <w:lvlText w:val="%9."/>
      <w:lvlJc w:val="right"/>
      <w:pPr>
        <w:tabs>
          <w:tab w:val="left" w:pos="3947"/>
        </w:tabs>
        <w:ind w:left="3947" w:hanging="420"/>
      </w:pPr>
    </w:lvl>
  </w:abstractNum>
  <w:abstractNum w:abstractNumId="28">
    <w:nsid w:val="DC96A4FC"/>
    <w:multiLevelType w:val="singleLevel"/>
    <w:tmpl w:val="DC96A4FC"/>
    <w:lvl w:ilvl="0" w:tentative="0">
      <w:start w:val="1"/>
      <w:numFmt w:val="decimal"/>
      <w:lvlText w:val="(%1)"/>
      <w:lvlJc w:val="left"/>
      <w:pPr>
        <w:tabs>
          <w:tab w:val="left" w:pos="-420"/>
        </w:tabs>
        <w:ind w:left="5" w:hanging="425"/>
      </w:pPr>
      <w:rPr>
        <w:rFonts w:hint="default"/>
      </w:rPr>
    </w:lvl>
  </w:abstractNum>
  <w:abstractNum w:abstractNumId="29">
    <w:nsid w:val="DCC13D28"/>
    <w:multiLevelType w:val="singleLevel"/>
    <w:tmpl w:val="DCC13D28"/>
    <w:lvl w:ilvl="0" w:tentative="0">
      <w:start w:val="1"/>
      <w:numFmt w:val="decimal"/>
      <w:lvlText w:val="(%1)"/>
      <w:lvlJc w:val="left"/>
      <w:pPr>
        <w:tabs>
          <w:tab w:val="left" w:pos="-420"/>
        </w:tabs>
        <w:ind w:left="5" w:hanging="425"/>
      </w:pPr>
      <w:rPr>
        <w:rFonts w:hint="default"/>
      </w:rPr>
    </w:lvl>
  </w:abstractNum>
  <w:abstractNum w:abstractNumId="30">
    <w:nsid w:val="EBD02D76"/>
    <w:multiLevelType w:val="singleLevel"/>
    <w:tmpl w:val="EBD02D76"/>
    <w:lvl w:ilvl="0" w:tentative="0">
      <w:start w:val="1"/>
      <w:numFmt w:val="decimal"/>
      <w:lvlText w:val="(%1)"/>
      <w:lvlJc w:val="left"/>
      <w:pPr>
        <w:tabs>
          <w:tab w:val="left" w:pos="-420"/>
        </w:tabs>
        <w:ind w:left="5" w:hanging="425"/>
      </w:pPr>
      <w:rPr>
        <w:rFonts w:hint="default"/>
      </w:rPr>
    </w:lvl>
  </w:abstractNum>
  <w:abstractNum w:abstractNumId="31">
    <w:nsid w:val="F26B7413"/>
    <w:multiLevelType w:val="singleLevel"/>
    <w:tmpl w:val="F26B7413"/>
    <w:lvl w:ilvl="0" w:tentative="0">
      <w:start w:val="1"/>
      <w:numFmt w:val="decimal"/>
      <w:lvlText w:val="(%1)"/>
      <w:lvlJc w:val="left"/>
      <w:pPr>
        <w:tabs>
          <w:tab w:val="left" w:pos="-420"/>
        </w:tabs>
        <w:ind w:left="5" w:hanging="425"/>
      </w:pPr>
      <w:rPr>
        <w:rFonts w:hint="default"/>
      </w:rPr>
    </w:lvl>
  </w:abstractNum>
  <w:abstractNum w:abstractNumId="32">
    <w:nsid w:val="F2C26D40"/>
    <w:multiLevelType w:val="singleLevel"/>
    <w:tmpl w:val="F2C26D40"/>
    <w:lvl w:ilvl="0" w:tentative="0">
      <w:start w:val="1"/>
      <w:numFmt w:val="bullet"/>
      <w:lvlText w:val=""/>
      <w:lvlJc w:val="left"/>
      <w:pPr>
        <w:tabs>
          <w:tab w:val="left" w:pos="-420"/>
        </w:tabs>
        <w:ind w:left="0" w:hanging="420"/>
      </w:pPr>
      <w:rPr>
        <w:rFonts w:hint="default" w:ascii="Wingdings" w:hAnsi="Wingdings"/>
      </w:rPr>
    </w:lvl>
  </w:abstractNum>
  <w:abstractNum w:abstractNumId="33">
    <w:nsid w:val="F54B7E6F"/>
    <w:multiLevelType w:val="singleLevel"/>
    <w:tmpl w:val="F54B7E6F"/>
    <w:lvl w:ilvl="0" w:tentative="0">
      <w:start w:val="1"/>
      <w:numFmt w:val="decimal"/>
      <w:lvlText w:val="(%1)"/>
      <w:lvlJc w:val="left"/>
      <w:pPr>
        <w:tabs>
          <w:tab w:val="left" w:pos="-420"/>
        </w:tabs>
        <w:ind w:left="5" w:hanging="425"/>
      </w:pPr>
      <w:rPr>
        <w:rFonts w:hint="default"/>
      </w:rPr>
    </w:lvl>
  </w:abstractNum>
  <w:abstractNum w:abstractNumId="34">
    <w:nsid w:val="F5BA4F63"/>
    <w:multiLevelType w:val="singleLevel"/>
    <w:tmpl w:val="F5BA4F63"/>
    <w:lvl w:ilvl="0" w:tentative="0">
      <w:start w:val="1"/>
      <w:numFmt w:val="decimal"/>
      <w:lvlText w:val="(%1)"/>
      <w:lvlJc w:val="left"/>
      <w:pPr>
        <w:tabs>
          <w:tab w:val="left" w:pos="-420"/>
        </w:tabs>
        <w:ind w:left="5" w:hanging="425"/>
      </w:pPr>
      <w:rPr>
        <w:rFonts w:hint="default"/>
      </w:rPr>
    </w:lvl>
  </w:abstractNum>
  <w:abstractNum w:abstractNumId="35">
    <w:nsid w:val="F8137760"/>
    <w:multiLevelType w:val="singleLevel"/>
    <w:tmpl w:val="F8137760"/>
    <w:lvl w:ilvl="0" w:tentative="0">
      <w:start w:val="1"/>
      <w:numFmt w:val="bullet"/>
      <w:lvlText w:val=""/>
      <w:lvlJc w:val="left"/>
      <w:pPr>
        <w:ind w:left="420" w:hanging="420"/>
      </w:pPr>
      <w:rPr>
        <w:rFonts w:hint="default" w:ascii="Wingdings" w:hAnsi="Wingdings"/>
      </w:rPr>
    </w:lvl>
  </w:abstractNum>
  <w:abstractNum w:abstractNumId="36">
    <w:nsid w:val="F960BD75"/>
    <w:multiLevelType w:val="singleLevel"/>
    <w:tmpl w:val="F960BD75"/>
    <w:lvl w:ilvl="0" w:tentative="0">
      <w:start w:val="1"/>
      <w:numFmt w:val="decimal"/>
      <w:lvlText w:val="(%1)"/>
      <w:lvlJc w:val="left"/>
      <w:pPr>
        <w:tabs>
          <w:tab w:val="left" w:pos="-420"/>
        </w:tabs>
        <w:ind w:left="5" w:hanging="425"/>
      </w:pPr>
      <w:rPr>
        <w:rFonts w:hint="default"/>
      </w:rPr>
    </w:lvl>
  </w:abstractNum>
  <w:abstractNum w:abstractNumId="37">
    <w:nsid w:val="FACC355A"/>
    <w:multiLevelType w:val="singleLevel"/>
    <w:tmpl w:val="FACC355A"/>
    <w:lvl w:ilvl="0" w:tentative="0">
      <w:start w:val="1"/>
      <w:numFmt w:val="decimal"/>
      <w:lvlText w:val="(%1)"/>
      <w:lvlJc w:val="left"/>
      <w:pPr>
        <w:tabs>
          <w:tab w:val="left" w:pos="-420"/>
        </w:tabs>
        <w:ind w:left="5" w:hanging="425"/>
      </w:pPr>
      <w:rPr>
        <w:rFonts w:hint="default"/>
      </w:rPr>
    </w:lvl>
  </w:abstractNum>
  <w:abstractNum w:abstractNumId="38">
    <w:nsid w:val="FC8175E4"/>
    <w:multiLevelType w:val="singleLevel"/>
    <w:tmpl w:val="FC8175E4"/>
    <w:lvl w:ilvl="0" w:tentative="0">
      <w:start w:val="1"/>
      <w:numFmt w:val="decimal"/>
      <w:suff w:val="nothing"/>
      <w:lvlText w:val="%1．"/>
      <w:lvlJc w:val="left"/>
      <w:pPr>
        <w:ind w:left="283" w:firstLine="142"/>
      </w:pPr>
      <w:rPr>
        <w:rFonts w:hint="default"/>
      </w:rPr>
    </w:lvl>
  </w:abstractNum>
  <w:abstractNum w:abstractNumId="39">
    <w:nsid w:val="FF4342E2"/>
    <w:multiLevelType w:val="singleLevel"/>
    <w:tmpl w:val="FF4342E2"/>
    <w:lvl w:ilvl="0" w:tentative="0">
      <w:start w:val="1"/>
      <w:numFmt w:val="decimal"/>
      <w:lvlText w:val="(%1)"/>
      <w:lvlJc w:val="left"/>
      <w:pPr>
        <w:tabs>
          <w:tab w:val="left" w:pos="-420"/>
        </w:tabs>
        <w:ind w:left="5" w:hanging="425"/>
      </w:pPr>
      <w:rPr>
        <w:rFonts w:hint="default"/>
      </w:rPr>
    </w:lvl>
  </w:abstractNum>
  <w:abstractNum w:abstractNumId="40">
    <w:nsid w:val="0000000F"/>
    <w:multiLevelType w:val="multilevel"/>
    <w:tmpl w:val="0000000F"/>
    <w:lvl w:ilvl="0" w:tentative="0">
      <w:start w:val="1"/>
      <w:numFmt w:val="decimal"/>
      <w:lvlText w:val="%1、"/>
      <w:lvlJc w:val="left"/>
      <w:pPr>
        <w:tabs>
          <w:tab w:val="left" w:pos="0"/>
        </w:tabs>
        <w:ind w:left="397" w:hanging="397"/>
      </w:pPr>
      <w:rPr>
        <w:rFonts w:hint="default" w:ascii="Times New Roman" w:hAnsi="Times New Roman"/>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1">
    <w:nsid w:val="04B04E87"/>
    <w:multiLevelType w:val="singleLevel"/>
    <w:tmpl w:val="04B04E87"/>
    <w:lvl w:ilvl="0" w:tentative="0">
      <w:start w:val="1"/>
      <w:numFmt w:val="decimal"/>
      <w:lvlText w:val="(%1)"/>
      <w:lvlJc w:val="left"/>
      <w:pPr>
        <w:tabs>
          <w:tab w:val="left" w:pos="-420"/>
        </w:tabs>
        <w:ind w:left="5" w:hanging="425"/>
      </w:pPr>
      <w:rPr>
        <w:rFonts w:hint="default"/>
      </w:rPr>
    </w:lvl>
  </w:abstractNum>
  <w:abstractNum w:abstractNumId="42">
    <w:nsid w:val="103031E1"/>
    <w:multiLevelType w:val="multilevel"/>
    <w:tmpl w:val="103031E1"/>
    <w:lvl w:ilvl="0" w:tentative="0">
      <w:start w:val="1"/>
      <w:numFmt w:val="decimal"/>
      <w:suff w:val="nothing"/>
      <w:lvlText w:val="%1．"/>
      <w:lvlJc w:val="left"/>
      <w:pPr>
        <w:ind w:left="26" w:firstLine="400"/>
      </w:pPr>
      <w:rPr>
        <w:rFonts w:hint="default"/>
      </w:rPr>
    </w:lvl>
    <w:lvl w:ilvl="1" w:tentative="0">
      <w:start w:val="1"/>
      <w:numFmt w:val="lowerLetter"/>
      <w:lvlText w:val="%2)"/>
      <w:lvlJc w:val="left"/>
      <w:pPr>
        <w:tabs>
          <w:tab w:val="left" w:pos="1240"/>
        </w:tabs>
        <w:ind w:left="1240" w:hanging="420"/>
      </w:pPr>
    </w:lvl>
    <w:lvl w:ilvl="2" w:tentative="0">
      <w:start w:val="1"/>
      <w:numFmt w:val="lowerRoman"/>
      <w:lvlText w:val="%3."/>
      <w:lvlJc w:val="right"/>
      <w:pPr>
        <w:tabs>
          <w:tab w:val="left" w:pos="1660"/>
        </w:tabs>
        <w:ind w:left="1660" w:hanging="420"/>
      </w:pPr>
    </w:lvl>
    <w:lvl w:ilvl="3" w:tentative="0">
      <w:start w:val="1"/>
      <w:numFmt w:val="decimal"/>
      <w:lvlText w:val="%4."/>
      <w:lvlJc w:val="left"/>
      <w:pPr>
        <w:tabs>
          <w:tab w:val="left" w:pos="2080"/>
        </w:tabs>
        <w:ind w:left="2080" w:hanging="420"/>
      </w:pPr>
    </w:lvl>
    <w:lvl w:ilvl="4" w:tentative="0">
      <w:start w:val="1"/>
      <w:numFmt w:val="lowerLetter"/>
      <w:lvlText w:val="%5)"/>
      <w:lvlJc w:val="left"/>
      <w:pPr>
        <w:tabs>
          <w:tab w:val="left" w:pos="2500"/>
        </w:tabs>
        <w:ind w:left="2500" w:hanging="420"/>
      </w:pPr>
    </w:lvl>
    <w:lvl w:ilvl="5" w:tentative="0">
      <w:start w:val="1"/>
      <w:numFmt w:val="lowerRoman"/>
      <w:lvlText w:val="%6."/>
      <w:lvlJc w:val="right"/>
      <w:pPr>
        <w:tabs>
          <w:tab w:val="left" w:pos="2920"/>
        </w:tabs>
        <w:ind w:left="2920" w:hanging="420"/>
      </w:pPr>
    </w:lvl>
    <w:lvl w:ilvl="6" w:tentative="0">
      <w:start w:val="1"/>
      <w:numFmt w:val="decimal"/>
      <w:lvlText w:val="%7."/>
      <w:lvlJc w:val="left"/>
      <w:pPr>
        <w:tabs>
          <w:tab w:val="left" w:pos="3340"/>
        </w:tabs>
        <w:ind w:left="3340" w:hanging="420"/>
      </w:pPr>
    </w:lvl>
    <w:lvl w:ilvl="7" w:tentative="0">
      <w:start w:val="1"/>
      <w:numFmt w:val="lowerLetter"/>
      <w:lvlText w:val="%8)"/>
      <w:lvlJc w:val="left"/>
      <w:pPr>
        <w:tabs>
          <w:tab w:val="left" w:pos="3760"/>
        </w:tabs>
        <w:ind w:left="3760" w:hanging="420"/>
      </w:pPr>
    </w:lvl>
    <w:lvl w:ilvl="8" w:tentative="0">
      <w:start w:val="1"/>
      <w:numFmt w:val="lowerRoman"/>
      <w:lvlText w:val="%9."/>
      <w:lvlJc w:val="right"/>
      <w:pPr>
        <w:tabs>
          <w:tab w:val="left" w:pos="4180"/>
        </w:tabs>
        <w:ind w:left="4180" w:hanging="420"/>
      </w:pPr>
    </w:lvl>
  </w:abstractNum>
  <w:abstractNum w:abstractNumId="43">
    <w:nsid w:val="1A5F6508"/>
    <w:multiLevelType w:val="singleLevel"/>
    <w:tmpl w:val="1A5F6508"/>
    <w:lvl w:ilvl="0" w:tentative="0">
      <w:start w:val="1"/>
      <w:numFmt w:val="decimal"/>
      <w:lvlText w:val="(%1)"/>
      <w:lvlJc w:val="left"/>
      <w:pPr>
        <w:tabs>
          <w:tab w:val="left" w:pos="-420"/>
        </w:tabs>
        <w:ind w:left="5" w:hanging="425"/>
      </w:pPr>
      <w:rPr>
        <w:rFonts w:hint="default"/>
      </w:rPr>
    </w:lvl>
  </w:abstractNum>
  <w:abstractNum w:abstractNumId="44">
    <w:nsid w:val="1AF2BA26"/>
    <w:multiLevelType w:val="singleLevel"/>
    <w:tmpl w:val="1AF2BA26"/>
    <w:lvl w:ilvl="0" w:tentative="0">
      <w:start w:val="1"/>
      <w:numFmt w:val="decimal"/>
      <w:lvlText w:val="(%1)"/>
      <w:lvlJc w:val="left"/>
      <w:pPr>
        <w:tabs>
          <w:tab w:val="left" w:pos="-420"/>
        </w:tabs>
        <w:ind w:left="5" w:hanging="425"/>
      </w:pPr>
      <w:rPr>
        <w:rFonts w:hint="default"/>
      </w:rPr>
    </w:lvl>
  </w:abstractNum>
  <w:abstractNum w:abstractNumId="45">
    <w:nsid w:val="23E32A18"/>
    <w:multiLevelType w:val="singleLevel"/>
    <w:tmpl w:val="23E32A18"/>
    <w:lvl w:ilvl="0" w:tentative="0">
      <w:start w:val="1"/>
      <w:numFmt w:val="decimal"/>
      <w:lvlText w:val="(%1)"/>
      <w:lvlJc w:val="left"/>
      <w:pPr>
        <w:ind w:left="425" w:hanging="425"/>
      </w:pPr>
      <w:rPr>
        <w:rFonts w:hint="default"/>
      </w:rPr>
    </w:lvl>
  </w:abstractNum>
  <w:abstractNum w:abstractNumId="46">
    <w:nsid w:val="251C7CC2"/>
    <w:multiLevelType w:val="singleLevel"/>
    <w:tmpl w:val="251C7CC2"/>
    <w:lvl w:ilvl="0" w:tentative="0">
      <w:start w:val="1"/>
      <w:numFmt w:val="decimal"/>
      <w:lvlText w:val="(%1)"/>
      <w:lvlJc w:val="left"/>
      <w:pPr>
        <w:tabs>
          <w:tab w:val="left" w:pos="-420"/>
        </w:tabs>
        <w:ind w:left="5" w:hanging="425"/>
      </w:pPr>
      <w:rPr>
        <w:rFonts w:hint="default"/>
      </w:rPr>
    </w:lvl>
  </w:abstractNum>
  <w:abstractNum w:abstractNumId="47">
    <w:nsid w:val="255B10D3"/>
    <w:multiLevelType w:val="singleLevel"/>
    <w:tmpl w:val="255B10D3"/>
    <w:lvl w:ilvl="0" w:tentative="0">
      <w:start w:val="1"/>
      <w:numFmt w:val="decimal"/>
      <w:lvlText w:val="(%1)"/>
      <w:lvlJc w:val="left"/>
      <w:pPr>
        <w:tabs>
          <w:tab w:val="left" w:pos="-420"/>
        </w:tabs>
        <w:ind w:left="5" w:hanging="425"/>
      </w:pPr>
      <w:rPr>
        <w:rFonts w:hint="default"/>
      </w:rPr>
    </w:lvl>
  </w:abstractNum>
  <w:abstractNum w:abstractNumId="48">
    <w:nsid w:val="263D1278"/>
    <w:multiLevelType w:val="singleLevel"/>
    <w:tmpl w:val="263D1278"/>
    <w:lvl w:ilvl="0" w:tentative="0">
      <w:start w:val="1"/>
      <w:numFmt w:val="decimal"/>
      <w:lvlText w:val="(%1)"/>
      <w:lvlJc w:val="left"/>
      <w:pPr>
        <w:tabs>
          <w:tab w:val="left" w:pos="-420"/>
        </w:tabs>
        <w:ind w:left="5" w:hanging="425"/>
      </w:pPr>
      <w:rPr>
        <w:rFonts w:hint="default"/>
      </w:rPr>
    </w:lvl>
  </w:abstractNum>
  <w:abstractNum w:abstractNumId="49">
    <w:nsid w:val="28EFEA71"/>
    <w:multiLevelType w:val="singleLevel"/>
    <w:tmpl w:val="28EFEA71"/>
    <w:lvl w:ilvl="0" w:tentative="0">
      <w:start w:val="1"/>
      <w:numFmt w:val="decimal"/>
      <w:lvlText w:val="(%1)"/>
      <w:lvlJc w:val="left"/>
      <w:pPr>
        <w:tabs>
          <w:tab w:val="left" w:pos="-420"/>
        </w:tabs>
        <w:ind w:left="5" w:hanging="425"/>
      </w:pPr>
      <w:rPr>
        <w:rFonts w:hint="default"/>
      </w:rPr>
    </w:lvl>
  </w:abstractNum>
  <w:abstractNum w:abstractNumId="50">
    <w:nsid w:val="2925BAC9"/>
    <w:multiLevelType w:val="singleLevel"/>
    <w:tmpl w:val="2925BAC9"/>
    <w:lvl w:ilvl="0" w:tentative="0">
      <w:start w:val="1"/>
      <w:numFmt w:val="decimal"/>
      <w:lvlText w:val="(%1)"/>
      <w:lvlJc w:val="left"/>
      <w:pPr>
        <w:tabs>
          <w:tab w:val="left" w:pos="-420"/>
        </w:tabs>
        <w:ind w:left="5" w:hanging="425"/>
      </w:pPr>
      <w:rPr>
        <w:rFonts w:hint="default"/>
      </w:rPr>
    </w:lvl>
  </w:abstractNum>
  <w:abstractNum w:abstractNumId="51">
    <w:nsid w:val="2D181F66"/>
    <w:multiLevelType w:val="singleLevel"/>
    <w:tmpl w:val="2D181F66"/>
    <w:lvl w:ilvl="0" w:tentative="0">
      <w:start w:val="1"/>
      <w:numFmt w:val="decimal"/>
      <w:lvlText w:val="(%1)"/>
      <w:lvlJc w:val="left"/>
      <w:pPr>
        <w:tabs>
          <w:tab w:val="left" w:pos="-420"/>
        </w:tabs>
        <w:ind w:left="5" w:hanging="425"/>
      </w:pPr>
      <w:rPr>
        <w:rFonts w:hint="default"/>
      </w:rPr>
    </w:lvl>
  </w:abstractNum>
  <w:abstractNum w:abstractNumId="52">
    <w:nsid w:val="3002CBC9"/>
    <w:multiLevelType w:val="singleLevel"/>
    <w:tmpl w:val="3002CBC9"/>
    <w:lvl w:ilvl="0" w:tentative="0">
      <w:start w:val="1"/>
      <w:numFmt w:val="decimal"/>
      <w:lvlText w:val="(%1)"/>
      <w:lvlJc w:val="left"/>
      <w:pPr>
        <w:tabs>
          <w:tab w:val="left" w:pos="-420"/>
        </w:tabs>
        <w:ind w:left="5" w:hanging="425"/>
      </w:pPr>
      <w:rPr>
        <w:rFonts w:hint="default"/>
      </w:rPr>
    </w:lvl>
  </w:abstractNum>
  <w:abstractNum w:abstractNumId="53">
    <w:nsid w:val="3201BDF5"/>
    <w:multiLevelType w:val="singleLevel"/>
    <w:tmpl w:val="3201BDF5"/>
    <w:lvl w:ilvl="0" w:tentative="0">
      <w:start w:val="1"/>
      <w:numFmt w:val="decimal"/>
      <w:lvlText w:val="(%1)"/>
      <w:lvlJc w:val="left"/>
      <w:pPr>
        <w:tabs>
          <w:tab w:val="left" w:pos="-420"/>
        </w:tabs>
        <w:ind w:left="5" w:hanging="425"/>
      </w:pPr>
      <w:rPr>
        <w:rFonts w:hint="default"/>
      </w:rPr>
    </w:lvl>
  </w:abstractNum>
  <w:abstractNum w:abstractNumId="54">
    <w:nsid w:val="3454E0A0"/>
    <w:multiLevelType w:val="singleLevel"/>
    <w:tmpl w:val="3454E0A0"/>
    <w:lvl w:ilvl="0" w:tentative="0">
      <w:start w:val="1"/>
      <w:numFmt w:val="decimal"/>
      <w:lvlText w:val="(%1)"/>
      <w:lvlJc w:val="left"/>
      <w:pPr>
        <w:ind w:left="425" w:hanging="425"/>
      </w:pPr>
      <w:rPr>
        <w:rFonts w:hint="default"/>
      </w:rPr>
    </w:lvl>
  </w:abstractNum>
  <w:abstractNum w:abstractNumId="55">
    <w:nsid w:val="357D3604"/>
    <w:multiLevelType w:val="singleLevel"/>
    <w:tmpl w:val="357D3604"/>
    <w:lvl w:ilvl="0" w:tentative="0">
      <w:start w:val="1"/>
      <w:numFmt w:val="decimal"/>
      <w:lvlText w:val="(%1)"/>
      <w:lvlJc w:val="left"/>
      <w:pPr>
        <w:tabs>
          <w:tab w:val="left" w:pos="-420"/>
        </w:tabs>
        <w:ind w:left="5" w:hanging="425"/>
      </w:pPr>
      <w:rPr>
        <w:rFonts w:hint="default"/>
      </w:rPr>
    </w:lvl>
  </w:abstractNum>
  <w:abstractNum w:abstractNumId="56">
    <w:nsid w:val="3EAF1602"/>
    <w:multiLevelType w:val="singleLevel"/>
    <w:tmpl w:val="3EAF1602"/>
    <w:lvl w:ilvl="0" w:tentative="0">
      <w:start w:val="1"/>
      <w:numFmt w:val="bullet"/>
      <w:lvlText w:val=""/>
      <w:lvlJc w:val="left"/>
      <w:pPr>
        <w:ind w:left="420" w:hanging="420"/>
      </w:pPr>
      <w:rPr>
        <w:rFonts w:hint="default" w:ascii="Wingdings" w:hAnsi="Wingdings"/>
      </w:rPr>
    </w:lvl>
  </w:abstractNum>
  <w:abstractNum w:abstractNumId="57">
    <w:nsid w:val="4132B4F9"/>
    <w:multiLevelType w:val="singleLevel"/>
    <w:tmpl w:val="4132B4F9"/>
    <w:lvl w:ilvl="0" w:tentative="0">
      <w:start w:val="1"/>
      <w:numFmt w:val="decimal"/>
      <w:lvlText w:val="(%1)"/>
      <w:lvlJc w:val="left"/>
      <w:pPr>
        <w:tabs>
          <w:tab w:val="left" w:pos="-420"/>
        </w:tabs>
        <w:ind w:left="5" w:hanging="425"/>
      </w:pPr>
      <w:rPr>
        <w:rFonts w:hint="default"/>
      </w:rPr>
    </w:lvl>
  </w:abstractNum>
  <w:abstractNum w:abstractNumId="58">
    <w:nsid w:val="4159A850"/>
    <w:multiLevelType w:val="singleLevel"/>
    <w:tmpl w:val="4159A850"/>
    <w:lvl w:ilvl="0" w:tentative="0">
      <w:start w:val="1"/>
      <w:numFmt w:val="decimal"/>
      <w:lvlText w:val="(%1)"/>
      <w:lvlJc w:val="left"/>
      <w:pPr>
        <w:tabs>
          <w:tab w:val="left" w:pos="-420"/>
        </w:tabs>
        <w:ind w:left="5" w:hanging="425"/>
      </w:pPr>
      <w:rPr>
        <w:rFonts w:hint="default"/>
      </w:rPr>
    </w:lvl>
  </w:abstractNum>
  <w:abstractNum w:abstractNumId="59">
    <w:nsid w:val="41C0CD65"/>
    <w:multiLevelType w:val="multilevel"/>
    <w:tmpl w:val="41C0CD65"/>
    <w:lvl w:ilvl="0" w:tentative="0">
      <w:start w:val="1"/>
      <w:numFmt w:val="decimal"/>
      <w:suff w:val="nothing"/>
      <w:lvlText w:val="%1．"/>
      <w:lvlJc w:val="left"/>
      <w:pPr>
        <w:ind w:left="23" w:firstLine="397"/>
      </w:pPr>
      <w:rPr>
        <w:rFonts w:hint="default"/>
      </w:rPr>
    </w:lvl>
    <w:lvl w:ilvl="1" w:tentative="0">
      <w:start w:val="1"/>
      <w:numFmt w:val="lowerLetter"/>
      <w:lvlText w:val="%2)"/>
      <w:lvlJc w:val="left"/>
      <w:pPr>
        <w:tabs>
          <w:tab w:val="left" w:pos="1007"/>
        </w:tabs>
        <w:ind w:left="1007" w:hanging="420"/>
      </w:pPr>
    </w:lvl>
    <w:lvl w:ilvl="2" w:tentative="0">
      <w:start w:val="1"/>
      <w:numFmt w:val="lowerRoman"/>
      <w:lvlText w:val="%3."/>
      <w:lvlJc w:val="right"/>
      <w:pPr>
        <w:tabs>
          <w:tab w:val="left" w:pos="1427"/>
        </w:tabs>
        <w:ind w:left="1427" w:hanging="420"/>
      </w:pPr>
    </w:lvl>
    <w:lvl w:ilvl="3" w:tentative="0">
      <w:start w:val="1"/>
      <w:numFmt w:val="decimal"/>
      <w:lvlText w:val="%4."/>
      <w:lvlJc w:val="left"/>
      <w:pPr>
        <w:tabs>
          <w:tab w:val="left" w:pos="1847"/>
        </w:tabs>
        <w:ind w:left="1847" w:hanging="420"/>
      </w:pPr>
    </w:lvl>
    <w:lvl w:ilvl="4" w:tentative="0">
      <w:start w:val="1"/>
      <w:numFmt w:val="lowerLetter"/>
      <w:lvlText w:val="%5)"/>
      <w:lvlJc w:val="left"/>
      <w:pPr>
        <w:tabs>
          <w:tab w:val="left" w:pos="2267"/>
        </w:tabs>
        <w:ind w:left="2267" w:hanging="420"/>
      </w:pPr>
    </w:lvl>
    <w:lvl w:ilvl="5" w:tentative="0">
      <w:start w:val="1"/>
      <w:numFmt w:val="lowerRoman"/>
      <w:lvlText w:val="%6."/>
      <w:lvlJc w:val="right"/>
      <w:pPr>
        <w:tabs>
          <w:tab w:val="left" w:pos="2687"/>
        </w:tabs>
        <w:ind w:left="2687" w:hanging="420"/>
      </w:pPr>
    </w:lvl>
    <w:lvl w:ilvl="6" w:tentative="0">
      <w:start w:val="1"/>
      <w:numFmt w:val="decimal"/>
      <w:lvlText w:val="%7."/>
      <w:lvlJc w:val="left"/>
      <w:pPr>
        <w:tabs>
          <w:tab w:val="left" w:pos="3107"/>
        </w:tabs>
        <w:ind w:left="3107" w:hanging="420"/>
      </w:pPr>
    </w:lvl>
    <w:lvl w:ilvl="7" w:tentative="0">
      <w:start w:val="1"/>
      <w:numFmt w:val="lowerLetter"/>
      <w:lvlText w:val="%8)"/>
      <w:lvlJc w:val="left"/>
      <w:pPr>
        <w:tabs>
          <w:tab w:val="left" w:pos="3527"/>
        </w:tabs>
        <w:ind w:left="3527" w:hanging="420"/>
      </w:pPr>
    </w:lvl>
    <w:lvl w:ilvl="8" w:tentative="0">
      <w:start w:val="1"/>
      <w:numFmt w:val="lowerRoman"/>
      <w:lvlText w:val="%9."/>
      <w:lvlJc w:val="right"/>
      <w:pPr>
        <w:tabs>
          <w:tab w:val="left" w:pos="3947"/>
        </w:tabs>
        <w:ind w:left="3947" w:hanging="420"/>
      </w:pPr>
    </w:lvl>
  </w:abstractNum>
  <w:abstractNum w:abstractNumId="60">
    <w:nsid w:val="448A14A9"/>
    <w:multiLevelType w:val="singleLevel"/>
    <w:tmpl w:val="448A14A9"/>
    <w:lvl w:ilvl="0" w:tentative="0">
      <w:start w:val="1"/>
      <w:numFmt w:val="decimal"/>
      <w:lvlText w:val="(%1)"/>
      <w:lvlJc w:val="left"/>
      <w:pPr>
        <w:tabs>
          <w:tab w:val="left" w:pos="-420"/>
        </w:tabs>
        <w:ind w:left="5" w:hanging="425"/>
      </w:pPr>
      <w:rPr>
        <w:rFonts w:hint="default"/>
      </w:rPr>
    </w:lvl>
  </w:abstractNum>
  <w:abstractNum w:abstractNumId="61">
    <w:nsid w:val="44A63DE4"/>
    <w:multiLevelType w:val="singleLevel"/>
    <w:tmpl w:val="44A63DE4"/>
    <w:lvl w:ilvl="0" w:tentative="0">
      <w:start w:val="1"/>
      <w:numFmt w:val="decimal"/>
      <w:lvlText w:val="(%1)"/>
      <w:lvlJc w:val="left"/>
      <w:pPr>
        <w:tabs>
          <w:tab w:val="left" w:pos="-420"/>
        </w:tabs>
        <w:ind w:left="5" w:hanging="425"/>
      </w:pPr>
      <w:rPr>
        <w:rFonts w:hint="default"/>
      </w:rPr>
    </w:lvl>
  </w:abstractNum>
  <w:abstractNum w:abstractNumId="62">
    <w:nsid w:val="4657553F"/>
    <w:multiLevelType w:val="singleLevel"/>
    <w:tmpl w:val="4657553F"/>
    <w:lvl w:ilvl="0" w:tentative="0">
      <w:start w:val="1"/>
      <w:numFmt w:val="decimal"/>
      <w:lvlText w:val="(%1)"/>
      <w:lvlJc w:val="left"/>
      <w:pPr>
        <w:tabs>
          <w:tab w:val="left" w:pos="-420"/>
        </w:tabs>
        <w:ind w:left="5" w:hanging="425"/>
      </w:pPr>
      <w:rPr>
        <w:rFonts w:hint="default"/>
      </w:rPr>
    </w:lvl>
  </w:abstractNum>
  <w:abstractNum w:abstractNumId="63">
    <w:nsid w:val="46E8764A"/>
    <w:multiLevelType w:val="singleLevel"/>
    <w:tmpl w:val="46E8764A"/>
    <w:lvl w:ilvl="0" w:tentative="0">
      <w:start w:val="1"/>
      <w:numFmt w:val="decimal"/>
      <w:lvlText w:val="(%1)"/>
      <w:lvlJc w:val="left"/>
      <w:pPr>
        <w:tabs>
          <w:tab w:val="left" w:pos="-420"/>
        </w:tabs>
        <w:ind w:left="5" w:hanging="425"/>
      </w:pPr>
      <w:rPr>
        <w:rFonts w:hint="default"/>
      </w:rPr>
    </w:lvl>
  </w:abstractNum>
  <w:abstractNum w:abstractNumId="64">
    <w:nsid w:val="48364E35"/>
    <w:multiLevelType w:val="singleLevel"/>
    <w:tmpl w:val="48364E35"/>
    <w:lvl w:ilvl="0" w:tentative="0">
      <w:start w:val="1"/>
      <w:numFmt w:val="decimal"/>
      <w:lvlText w:val="(%1)"/>
      <w:lvlJc w:val="left"/>
      <w:pPr>
        <w:tabs>
          <w:tab w:val="left" w:pos="-420"/>
        </w:tabs>
        <w:ind w:left="5" w:hanging="425"/>
      </w:pPr>
      <w:rPr>
        <w:rFonts w:hint="default"/>
      </w:rPr>
    </w:lvl>
  </w:abstractNum>
  <w:abstractNum w:abstractNumId="65">
    <w:nsid w:val="50733B89"/>
    <w:multiLevelType w:val="singleLevel"/>
    <w:tmpl w:val="50733B89"/>
    <w:lvl w:ilvl="0" w:tentative="0">
      <w:start w:val="1"/>
      <w:numFmt w:val="bullet"/>
      <w:lvlText w:val=""/>
      <w:lvlJc w:val="left"/>
      <w:pPr>
        <w:ind w:left="420" w:hanging="420"/>
      </w:pPr>
      <w:rPr>
        <w:rFonts w:hint="default" w:ascii="Wingdings" w:hAnsi="Wingdings"/>
      </w:rPr>
    </w:lvl>
  </w:abstractNum>
  <w:abstractNum w:abstractNumId="66">
    <w:nsid w:val="50A73A08"/>
    <w:multiLevelType w:val="singleLevel"/>
    <w:tmpl w:val="50A73A08"/>
    <w:lvl w:ilvl="0" w:tentative="0">
      <w:start w:val="1"/>
      <w:numFmt w:val="decimal"/>
      <w:lvlText w:val="(%1)"/>
      <w:lvlJc w:val="left"/>
      <w:pPr>
        <w:tabs>
          <w:tab w:val="left" w:pos="-420"/>
        </w:tabs>
        <w:ind w:left="5" w:hanging="425"/>
      </w:pPr>
      <w:rPr>
        <w:rFonts w:hint="default"/>
      </w:rPr>
    </w:lvl>
  </w:abstractNum>
  <w:abstractNum w:abstractNumId="67">
    <w:nsid w:val="59F2A35F"/>
    <w:multiLevelType w:val="singleLevel"/>
    <w:tmpl w:val="59F2A35F"/>
    <w:lvl w:ilvl="0" w:tentative="0">
      <w:start w:val="1"/>
      <w:numFmt w:val="bullet"/>
      <w:lvlText w:val=""/>
      <w:lvlJc w:val="left"/>
      <w:pPr>
        <w:ind w:left="0" w:firstLine="0"/>
      </w:pPr>
      <w:rPr>
        <w:rFonts w:hint="default" w:ascii="Wingdings" w:hAnsi="Wingdings"/>
      </w:rPr>
    </w:lvl>
  </w:abstractNum>
  <w:abstractNum w:abstractNumId="68">
    <w:nsid w:val="5B1F64BA"/>
    <w:multiLevelType w:val="singleLevel"/>
    <w:tmpl w:val="5B1F64BA"/>
    <w:lvl w:ilvl="0" w:tentative="0">
      <w:start w:val="1"/>
      <w:numFmt w:val="decimal"/>
      <w:lvlText w:val="(%1)"/>
      <w:lvlJc w:val="left"/>
      <w:pPr>
        <w:tabs>
          <w:tab w:val="left" w:pos="-420"/>
        </w:tabs>
        <w:ind w:left="5" w:hanging="425"/>
      </w:pPr>
      <w:rPr>
        <w:rFonts w:hint="default"/>
      </w:rPr>
    </w:lvl>
  </w:abstractNum>
  <w:abstractNum w:abstractNumId="69">
    <w:nsid w:val="5EE7C637"/>
    <w:multiLevelType w:val="singleLevel"/>
    <w:tmpl w:val="5EE7C637"/>
    <w:lvl w:ilvl="0" w:tentative="0">
      <w:start w:val="1"/>
      <w:numFmt w:val="decimal"/>
      <w:lvlText w:val="(%1)"/>
      <w:lvlJc w:val="left"/>
      <w:pPr>
        <w:tabs>
          <w:tab w:val="left" w:pos="-420"/>
        </w:tabs>
        <w:ind w:left="5" w:hanging="425"/>
      </w:pPr>
      <w:rPr>
        <w:rFonts w:hint="default"/>
      </w:rPr>
    </w:lvl>
  </w:abstractNum>
  <w:abstractNum w:abstractNumId="70">
    <w:nsid w:val="5F5761A1"/>
    <w:multiLevelType w:val="singleLevel"/>
    <w:tmpl w:val="5F5761A1"/>
    <w:lvl w:ilvl="0" w:tentative="0">
      <w:start w:val="1"/>
      <w:numFmt w:val="decimal"/>
      <w:lvlText w:val="(%1)"/>
      <w:lvlJc w:val="left"/>
      <w:pPr>
        <w:ind w:left="425" w:hanging="425"/>
      </w:pPr>
      <w:rPr>
        <w:rFonts w:hint="default"/>
      </w:rPr>
    </w:lvl>
  </w:abstractNum>
  <w:abstractNum w:abstractNumId="71">
    <w:nsid w:val="6B2865F3"/>
    <w:multiLevelType w:val="multilevel"/>
    <w:tmpl w:val="6B2865F3"/>
    <w:lvl w:ilvl="0" w:tentative="0">
      <w:start w:val="1"/>
      <w:numFmt w:val="decimal"/>
      <w:suff w:val="nothing"/>
      <w:lvlText w:val="%1．"/>
      <w:lvlJc w:val="left"/>
      <w:pPr>
        <w:ind w:left="28" w:firstLine="397"/>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2">
    <w:nsid w:val="6DD8B03F"/>
    <w:multiLevelType w:val="singleLevel"/>
    <w:tmpl w:val="6DD8B03F"/>
    <w:lvl w:ilvl="0" w:tentative="0">
      <w:start w:val="1"/>
      <w:numFmt w:val="decimal"/>
      <w:lvlText w:val="(%1)"/>
      <w:lvlJc w:val="left"/>
      <w:pPr>
        <w:tabs>
          <w:tab w:val="left" w:pos="-420"/>
        </w:tabs>
        <w:ind w:left="5" w:hanging="425"/>
      </w:pPr>
      <w:rPr>
        <w:rFonts w:hint="default"/>
      </w:rPr>
    </w:lvl>
  </w:abstractNum>
  <w:abstractNum w:abstractNumId="73">
    <w:nsid w:val="79720912"/>
    <w:multiLevelType w:val="singleLevel"/>
    <w:tmpl w:val="79720912"/>
    <w:lvl w:ilvl="0" w:tentative="0">
      <w:start w:val="1"/>
      <w:numFmt w:val="decimal"/>
      <w:lvlText w:val="(%1)"/>
      <w:lvlJc w:val="left"/>
      <w:pPr>
        <w:tabs>
          <w:tab w:val="left" w:pos="-420"/>
        </w:tabs>
        <w:ind w:left="5" w:hanging="425"/>
      </w:pPr>
      <w:rPr>
        <w:rFonts w:hint="default"/>
      </w:rPr>
    </w:lvl>
  </w:abstractNum>
  <w:num w:numId="1">
    <w:abstractNumId w:val="42"/>
  </w:num>
  <w:num w:numId="2">
    <w:abstractNumId w:val="71"/>
  </w:num>
  <w:num w:numId="3">
    <w:abstractNumId w:val="4"/>
  </w:num>
  <w:num w:numId="4">
    <w:abstractNumId w:val="27"/>
  </w:num>
  <w:num w:numId="5">
    <w:abstractNumId w:val="8"/>
  </w:num>
  <w:num w:numId="6">
    <w:abstractNumId w:val="40"/>
  </w:num>
  <w:num w:numId="7">
    <w:abstractNumId w:val="59"/>
  </w:num>
  <w:num w:numId="8">
    <w:abstractNumId w:val="38"/>
  </w:num>
  <w:num w:numId="9">
    <w:abstractNumId w:val="45"/>
  </w:num>
  <w:num w:numId="10">
    <w:abstractNumId w:val="32"/>
  </w:num>
  <w:num w:numId="11">
    <w:abstractNumId w:val="23"/>
  </w:num>
  <w:num w:numId="12">
    <w:abstractNumId w:val="61"/>
  </w:num>
  <w:num w:numId="13">
    <w:abstractNumId w:val="7"/>
  </w:num>
  <w:num w:numId="14">
    <w:abstractNumId w:val="58"/>
  </w:num>
  <w:num w:numId="15">
    <w:abstractNumId w:val="36"/>
  </w:num>
  <w:num w:numId="16">
    <w:abstractNumId w:val="20"/>
  </w:num>
  <w:num w:numId="17">
    <w:abstractNumId w:val="69"/>
  </w:num>
  <w:num w:numId="18">
    <w:abstractNumId w:val="28"/>
  </w:num>
  <w:num w:numId="19">
    <w:abstractNumId w:val="51"/>
  </w:num>
  <w:num w:numId="20">
    <w:abstractNumId w:val="57"/>
  </w:num>
  <w:num w:numId="21">
    <w:abstractNumId w:val="39"/>
  </w:num>
  <w:num w:numId="22">
    <w:abstractNumId w:val="9"/>
  </w:num>
  <w:num w:numId="23">
    <w:abstractNumId w:val="3"/>
  </w:num>
  <w:num w:numId="24">
    <w:abstractNumId w:val="5"/>
  </w:num>
  <w:num w:numId="25">
    <w:abstractNumId w:val="67"/>
  </w:num>
  <w:num w:numId="26">
    <w:abstractNumId w:val="35"/>
  </w:num>
  <w:num w:numId="27">
    <w:abstractNumId w:val="44"/>
  </w:num>
  <w:num w:numId="28">
    <w:abstractNumId w:val="10"/>
  </w:num>
  <w:num w:numId="29">
    <w:abstractNumId w:val="47"/>
  </w:num>
  <w:num w:numId="30">
    <w:abstractNumId w:val="13"/>
  </w:num>
  <w:num w:numId="31">
    <w:abstractNumId w:val="53"/>
  </w:num>
  <w:num w:numId="32">
    <w:abstractNumId w:val="2"/>
  </w:num>
  <w:num w:numId="33">
    <w:abstractNumId w:val="72"/>
  </w:num>
  <w:num w:numId="34">
    <w:abstractNumId w:val="24"/>
  </w:num>
  <w:num w:numId="35">
    <w:abstractNumId w:val="31"/>
  </w:num>
  <w:num w:numId="36">
    <w:abstractNumId w:val="50"/>
  </w:num>
  <w:num w:numId="37">
    <w:abstractNumId w:val="52"/>
  </w:num>
  <w:num w:numId="38">
    <w:abstractNumId w:val="29"/>
  </w:num>
  <w:num w:numId="39">
    <w:abstractNumId w:val="25"/>
  </w:num>
  <w:num w:numId="40">
    <w:abstractNumId w:val="30"/>
  </w:num>
  <w:num w:numId="41">
    <w:abstractNumId w:val="14"/>
  </w:num>
  <w:num w:numId="42">
    <w:abstractNumId w:val="18"/>
  </w:num>
  <w:num w:numId="43">
    <w:abstractNumId w:val="64"/>
  </w:num>
  <w:num w:numId="44">
    <w:abstractNumId w:val="37"/>
  </w:num>
  <w:num w:numId="45">
    <w:abstractNumId w:val="15"/>
  </w:num>
  <w:num w:numId="46">
    <w:abstractNumId w:val="41"/>
  </w:num>
  <w:num w:numId="47">
    <w:abstractNumId w:val="1"/>
  </w:num>
  <w:num w:numId="48">
    <w:abstractNumId w:val="33"/>
  </w:num>
  <w:num w:numId="49">
    <w:abstractNumId w:val="70"/>
  </w:num>
  <w:num w:numId="50">
    <w:abstractNumId w:val="65"/>
  </w:num>
  <w:num w:numId="51">
    <w:abstractNumId w:val="56"/>
  </w:num>
  <w:num w:numId="52">
    <w:abstractNumId w:val="16"/>
  </w:num>
  <w:num w:numId="53">
    <w:abstractNumId w:val="73"/>
  </w:num>
  <w:num w:numId="54">
    <w:abstractNumId w:val="0"/>
  </w:num>
  <w:num w:numId="55">
    <w:abstractNumId w:val="11"/>
  </w:num>
  <w:num w:numId="56">
    <w:abstractNumId w:val="49"/>
  </w:num>
  <w:num w:numId="57">
    <w:abstractNumId w:val="46"/>
  </w:num>
  <w:num w:numId="58">
    <w:abstractNumId w:val="21"/>
  </w:num>
  <w:num w:numId="59">
    <w:abstractNumId w:val="55"/>
  </w:num>
  <w:num w:numId="60">
    <w:abstractNumId w:val="17"/>
  </w:num>
  <w:num w:numId="61">
    <w:abstractNumId w:val="66"/>
  </w:num>
  <w:num w:numId="62">
    <w:abstractNumId w:val="26"/>
  </w:num>
  <w:num w:numId="63">
    <w:abstractNumId w:val="12"/>
  </w:num>
  <w:num w:numId="64">
    <w:abstractNumId w:val="62"/>
  </w:num>
  <w:num w:numId="65">
    <w:abstractNumId w:val="6"/>
  </w:num>
  <w:num w:numId="66">
    <w:abstractNumId w:val="43"/>
  </w:num>
  <w:num w:numId="67">
    <w:abstractNumId w:val="34"/>
  </w:num>
  <w:num w:numId="68">
    <w:abstractNumId w:val="63"/>
  </w:num>
  <w:num w:numId="69">
    <w:abstractNumId w:val="22"/>
  </w:num>
  <w:num w:numId="70">
    <w:abstractNumId w:val="54"/>
  </w:num>
  <w:num w:numId="71">
    <w:abstractNumId w:val="60"/>
  </w:num>
  <w:num w:numId="72">
    <w:abstractNumId w:val="68"/>
  </w:num>
  <w:num w:numId="73">
    <w:abstractNumId w:val="48"/>
  </w:num>
  <w:num w:numId="7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5ZmMyYWM2MzVhYTA4NjdkYTExOWYzNTRjMTMxNzcifQ=="/>
  </w:docVars>
  <w:rsids>
    <w:rsidRoot w:val="00172A27"/>
    <w:rsid w:val="000000D6"/>
    <w:rsid w:val="0000104E"/>
    <w:rsid w:val="0000311D"/>
    <w:rsid w:val="00003C75"/>
    <w:rsid w:val="00003E7B"/>
    <w:rsid w:val="00004E94"/>
    <w:rsid w:val="0000596D"/>
    <w:rsid w:val="00006474"/>
    <w:rsid w:val="000065F3"/>
    <w:rsid w:val="0000728E"/>
    <w:rsid w:val="0001021D"/>
    <w:rsid w:val="00010B72"/>
    <w:rsid w:val="00011A0A"/>
    <w:rsid w:val="000127B5"/>
    <w:rsid w:val="000128B8"/>
    <w:rsid w:val="000128F2"/>
    <w:rsid w:val="00012A64"/>
    <w:rsid w:val="00012CE5"/>
    <w:rsid w:val="0001323D"/>
    <w:rsid w:val="000143DA"/>
    <w:rsid w:val="0001488F"/>
    <w:rsid w:val="000151C7"/>
    <w:rsid w:val="00017479"/>
    <w:rsid w:val="00017C3F"/>
    <w:rsid w:val="0002089D"/>
    <w:rsid w:val="000235B0"/>
    <w:rsid w:val="00024BA1"/>
    <w:rsid w:val="00024FDB"/>
    <w:rsid w:val="00025AC2"/>
    <w:rsid w:val="000303A9"/>
    <w:rsid w:val="00030B7A"/>
    <w:rsid w:val="00032444"/>
    <w:rsid w:val="00033162"/>
    <w:rsid w:val="000336B1"/>
    <w:rsid w:val="00033AAA"/>
    <w:rsid w:val="000353A2"/>
    <w:rsid w:val="00036825"/>
    <w:rsid w:val="00036DF4"/>
    <w:rsid w:val="00036E2E"/>
    <w:rsid w:val="0004174C"/>
    <w:rsid w:val="00041D52"/>
    <w:rsid w:val="00043139"/>
    <w:rsid w:val="000454EC"/>
    <w:rsid w:val="000519FB"/>
    <w:rsid w:val="00052715"/>
    <w:rsid w:val="00052979"/>
    <w:rsid w:val="00052CFA"/>
    <w:rsid w:val="00053592"/>
    <w:rsid w:val="0005377A"/>
    <w:rsid w:val="00053C0A"/>
    <w:rsid w:val="00055084"/>
    <w:rsid w:val="000562D0"/>
    <w:rsid w:val="0005666A"/>
    <w:rsid w:val="00057029"/>
    <w:rsid w:val="0006441F"/>
    <w:rsid w:val="0006445D"/>
    <w:rsid w:val="0006507D"/>
    <w:rsid w:val="000659CF"/>
    <w:rsid w:val="00067165"/>
    <w:rsid w:val="000673DF"/>
    <w:rsid w:val="00072F72"/>
    <w:rsid w:val="00074016"/>
    <w:rsid w:val="000740D8"/>
    <w:rsid w:val="000742DC"/>
    <w:rsid w:val="00075669"/>
    <w:rsid w:val="00076A10"/>
    <w:rsid w:val="00076CCC"/>
    <w:rsid w:val="0007729D"/>
    <w:rsid w:val="000777EB"/>
    <w:rsid w:val="00080F37"/>
    <w:rsid w:val="00081631"/>
    <w:rsid w:val="000846BA"/>
    <w:rsid w:val="000866C9"/>
    <w:rsid w:val="00086E25"/>
    <w:rsid w:val="00087268"/>
    <w:rsid w:val="00087B9D"/>
    <w:rsid w:val="00090F86"/>
    <w:rsid w:val="00090FD6"/>
    <w:rsid w:val="00091A42"/>
    <w:rsid w:val="00091C6F"/>
    <w:rsid w:val="00092F6D"/>
    <w:rsid w:val="00094578"/>
    <w:rsid w:val="00094954"/>
    <w:rsid w:val="00095FBA"/>
    <w:rsid w:val="000967D6"/>
    <w:rsid w:val="00096D52"/>
    <w:rsid w:val="000A135E"/>
    <w:rsid w:val="000A2291"/>
    <w:rsid w:val="000A2DC7"/>
    <w:rsid w:val="000A4D79"/>
    <w:rsid w:val="000A5AB3"/>
    <w:rsid w:val="000A6862"/>
    <w:rsid w:val="000A7194"/>
    <w:rsid w:val="000A7614"/>
    <w:rsid w:val="000A7C45"/>
    <w:rsid w:val="000B2F94"/>
    <w:rsid w:val="000B341E"/>
    <w:rsid w:val="000B36E0"/>
    <w:rsid w:val="000B44D3"/>
    <w:rsid w:val="000B596E"/>
    <w:rsid w:val="000B7842"/>
    <w:rsid w:val="000C1404"/>
    <w:rsid w:val="000C164F"/>
    <w:rsid w:val="000C2CCE"/>
    <w:rsid w:val="000C3251"/>
    <w:rsid w:val="000C36E5"/>
    <w:rsid w:val="000C3D26"/>
    <w:rsid w:val="000C4831"/>
    <w:rsid w:val="000C4DAF"/>
    <w:rsid w:val="000C51C0"/>
    <w:rsid w:val="000C617E"/>
    <w:rsid w:val="000C7196"/>
    <w:rsid w:val="000D021C"/>
    <w:rsid w:val="000D1534"/>
    <w:rsid w:val="000D26EC"/>
    <w:rsid w:val="000D2D7E"/>
    <w:rsid w:val="000D31C6"/>
    <w:rsid w:val="000D36ED"/>
    <w:rsid w:val="000D380D"/>
    <w:rsid w:val="000D3ADC"/>
    <w:rsid w:val="000D47E7"/>
    <w:rsid w:val="000D52B4"/>
    <w:rsid w:val="000D6C9E"/>
    <w:rsid w:val="000E0490"/>
    <w:rsid w:val="000E0768"/>
    <w:rsid w:val="000E08F8"/>
    <w:rsid w:val="000E1E26"/>
    <w:rsid w:val="000E47E6"/>
    <w:rsid w:val="000E4D00"/>
    <w:rsid w:val="000E4E1E"/>
    <w:rsid w:val="000E5F97"/>
    <w:rsid w:val="000E650F"/>
    <w:rsid w:val="000E68F0"/>
    <w:rsid w:val="000F01C5"/>
    <w:rsid w:val="000F059C"/>
    <w:rsid w:val="000F1F10"/>
    <w:rsid w:val="000F2FB4"/>
    <w:rsid w:val="000F5116"/>
    <w:rsid w:val="000F64F3"/>
    <w:rsid w:val="000F6E10"/>
    <w:rsid w:val="000F7B88"/>
    <w:rsid w:val="000F7C57"/>
    <w:rsid w:val="00101C0B"/>
    <w:rsid w:val="00103D29"/>
    <w:rsid w:val="001043AE"/>
    <w:rsid w:val="00104B54"/>
    <w:rsid w:val="001056DB"/>
    <w:rsid w:val="001057CF"/>
    <w:rsid w:val="0010611A"/>
    <w:rsid w:val="00106CDE"/>
    <w:rsid w:val="0010780C"/>
    <w:rsid w:val="00107A75"/>
    <w:rsid w:val="00110563"/>
    <w:rsid w:val="00110806"/>
    <w:rsid w:val="00111A2C"/>
    <w:rsid w:val="001137E2"/>
    <w:rsid w:val="00113BBE"/>
    <w:rsid w:val="00114A07"/>
    <w:rsid w:val="00114EB9"/>
    <w:rsid w:val="00115046"/>
    <w:rsid w:val="00116E01"/>
    <w:rsid w:val="00117E6F"/>
    <w:rsid w:val="00120490"/>
    <w:rsid w:val="00121C88"/>
    <w:rsid w:val="00122942"/>
    <w:rsid w:val="001229BA"/>
    <w:rsid w:val="00122F1E"/>
    <w:rsid w:val="0012475B"/>
    <w:rsid w:val="001258A9"/>
    <w:rsid w:val="00126541"/>
    <w:rsid w:val="0012739D"/>
    <w:rsid w:val="00127727"/>
    <w:rsid w:val="00130B43"/>
    <w:rsid w:val="001310DB"/>
    <w:rsid w:val="00131CD2"/>
    <w:rsid w:val="00132310"/>
    <w:rsid w:val="0013503F"/>
    <w:rsid w:val="001357C5"/>
    <w:rsid w:val="001366A6"/>
    <w:rsid w:val="001366F6"/>
    <w:rsid w:val="001433CA"/>
    <w:rsid w:val="00143451"/>
    <w:rsid w:val="0014356B"/>
    <w:rsid w:val="001445BD"/>
    <w:rsid w:val="0014695F"/>
    <w:rsid w:val="00147B8A"/>
    <w:rsid w:val="00150433"/>
    <w:rsid w:val="0015063C"/>
    <w:rsid w:val="00150962"/>
    <w:rsid w:val="00150CFC"/>
    <w:rsid w:val="00150F94"/>
    <w:rsid w:val="001525F6"/>
    <w:rsid w:val="00152E1F"/>
    <w:rsid w:val="00154240"/>
    <w:rsid w:val="0015538A"/>
    <w:rsid w:val="001556B9"/>
    <w:rsid w:val="00156466"/>
    <w:rsid w:val="0015691F"/>
    <w:rsid w:val="001570D0"/>
    <w:rsid w:val="001578B5"/>
    <w:rsid w:val="00157CF6"/>
    <w:rsid w:val="001607E4"/>
    <w:rsid w:val="00162FA2"/>
    <w:rsid w:val="00163C7D"/>
    <w:rsid w:val="00163E51"/>
    <w:rsid w:val="00163FAF"/>
    <w:rsid w:val="00165DB5"/>
    <w:rsid w:val="0016670C"/>
    <w:rsid w:val="00166DA2"/>
    <w:rsid w:val="001674B1"/>
    <w:rsid w:val="00167610"/>
    <w:rsid w:val="00170A0C"/>
    <w:rsid w:val="00171051"/>
    <w:rsid w:val="00171407"/>
    <w:rsid w:val="00171CB5"/>
    <w:rsid w:val="0017264D"/>
    <w:rsid w:val="00172FB3"/>
    <w:rsid w:val="001733D7"/>
    <w:rsid w:val="001738C1"/>
    <w:rsid w:val="001743FF"/>
    <w:rsid w:val="00174C39"/>
    <w:rsid w:val="00174DA2"/>
    <w:rsid w:val="00175759"/>
    <w:rsid w:val="00176592"/>
    <w:rsid w:val="00176E58"/>
    <w:rsid w:val="00177A44"/>
    <w:rsid w:val="001806A9"/>
    <w:rsid w:val="00180773"/>
    <w:rsid w:val="00181A7A"/>
    <w:rsid w:val="00182819"/>
    <w:rsid w:val="001828B7"/>
    <w:rsid w:val="00182D47"/>
    <w:rsid w:val="00182DAE"/>
    <w:rsid w:val="00183895"/>
    <w:rsid w:val="0018491A"/>
    <w:rsid w:val="00184D1F"/>
    <w:rsid w:val="00185680"/>
    <w:rsid w:val="00187F7F"/>
    <w:rsid w:val="0019081C"/>
    <w:rsid w:val="001922DC"/>
    <w:rsid w:val="0019290A"/>
    <w:rsid w:val="001933D2"/>
    <w:rsid w:val="001937CB"/>
    <w:rsid w:val="001942B1"/>
    <w:rsid w:val="00194339"/>
    <w:rsid w:val="001949FD"/>
    <w:rsid w:val="00194A57"/>
    <w:rsid w:val="00194B88"/>
    <w:rsid w:val="00195E28"/>
    <w:rsid w:val="0019605B"/>
    <w:rsid w:val="0019617E"/>
    <w:rsid w:val="00197114"/>
    <w:rsid w:val="00197BB2"/>
    <w:rsid w:val="001A0D5B"/>
    <w:rsid w:val="001A15A7"/>
    <w:rsid w:val="001A212F"/>
    <w:rsid w:val="001A2EEC"/>
    <w:rsid w:val="001A5432"/>
    <w:rsid w:val="001A6642"/>
    <w:rsid w:val="001A7B15"/>
    <w:rsid w:val="001B0BED"/>
    <w:rsid w:val="001B304E"/>
    <w:rsid w:val="001B48B0"/>
    <w:rsid w:val="001B4B98"/>
    <w:rsid w:val="001B538B"/>
    <w:rsid w:val="001B6586"/>
    <w:rsid w:val="001B7DB0"/>
    <w:rsid w:val="001C090A"/>
    <w:rsid w:val="001C0A4E"/>
    <w:rsid w:val="001C11D6"/>
    <w:rsid w:val="001C1541"/>
    <w:rsid w:val="001C1E1D"/>
    <w:rsid w:val="001C2671"/>
    <w:rsid w:val="001C2857"/>
    <w:rsid w:val="001C458A"/>
    <w:rsid w:val="001C5B76"/>
    <w:rsid w:val="001C6901"/>
    <w:rsid w:val="001C694E"/>
    <w:rsid w:val="001D0F31"/>
    <w:rsid w:val="001D11CA"/>
    <w:rsid w:val="001D136A"/>
    <w:rsid w:val="001D17E0"/>
    <w:rsid w:val="001D17F8"/>
    <w:rsid w:val="001D1D6C"/>
    <w:rsid w:val="001D2C79"/>
    <w:rsid w:val="001D2E5D"/>
    <w:rsid w:val="001D43F9"/>
    <w:rsid w:val="001D5002"/>
    <w:rsid w:val="001D5AFD"/>
    <w:rsid w:val="001D683A"/>
    <w:rsid w:val="001D7C81"/>
    <w:rsid w:val="001E061F"/>
    <w:rsid w:val="001E180A"/>
    <w:rsid w:val="001E2051"/>
    <w:rsid w:val="001E2ADC"/>
    <w:rsid w:val="001E36D5"/>
    <w:rsid w:val="001E4EEC"/>
    <w:rsid w:val="001E5FB5"/>
    <w:rsid w:val="001E60EF"/>
    <w:rsid w:val="001F1E1A"/>
    <w:rsid w:val="001F231E"/>
    <w:rsid w:val="001F2BCD"/>
    <w:rsid w:val="001F2C4E"/>
    <w:rsid w:val="001F40D1"/>
    <w:rsid w:val="001F4140"/>
    <w:rsid w:val="001F41D1"/>
    <w:rsid w:val="001F556F"/>
    <w:rsid w:val="001F69B4"/>
    <w:rsid w:val="002001B1"/>
    <w:rsid w:val="00200B29"/>
    <w:rsid w:val="0020148F"/>
    <w:rsid w:val="002040FF"/>
    <w:rsid w:val="00205C80"/>
    <w:rsid w:val="00207BC4"/>
    <w:rsid w:val="00210A14"/>
    <w:rsid w:val="00214931"/>
    <w:rsid w:val="002151ED"/>
    <w:rsid w:val="00217308"/>
    <w:rsid w:val="002220AE"/>
    <w:rsid w:val="002243BF"/>
    <w:rsid w:val="0022488B"/>
    <w:rsid w:val="00225A00"/>
    <w:rsid w:val="002265AA"/>
    <w:rsid w:val="00227308"/>
    <w:rsid w:val="002307F5"/>
    <w:rsid w:val="002308A8"/>
    <w:rsid w:val="00231BBE"/>
    <w:rsid w:val="002321D8"/>
    <w:rsid w:val="00232538"/>
    <w:rsid w:val="002327A3"/>
    <w:rsid w:val="00232EC1"/>
    <w:rsid w:val="00233B95"/>
    <w:rsid w:val="00234D43"/>
    <w:rsid w:val="0024006D"/>
    <w:rsid w:val="002418D5"/>
    <w:rsid w:val="002419C4"/>
    <w:rsid w:val="00241CA7"/>
    <w:rsid w:val="002420D6"/>
    <w:rsid w:val="002433B9"/>
    <w:rsid w:val="00243B1D"/>
    <w:rsid w:val="00244BD4"/>
    <w:rsid w:val="002462B9"/>
    <w:rsid w:val="00246521"/>
    <w:rsid w:val="0024672A"/>
    <w:rsid w:val="00246DA4"/>
    <w:rsid w:val="002536A7"/>
    <w:rsid w:val="00253A4D"/>
    <w:rsid w:val="00254B3F"/>
    <w:rsid w:val="00255832"/>
    <w:rsid w:val="00255CE4"/>
    <w:rsid w:val="0025673D"/>
    <w:rsid w:val="002577B4"/>
    <w:rsid w:val="00257AD7"/>
    <w:rsid w:val="002624C9"/>
    <w:rsid w:val="0026262B"/>
    <w:rsid w:val="00263896"/>
    <w:rsid w:val="00264096"/>
    <w:rsid w:val="00264403"/>
    <w:rsid w:val="0026448E"/>
    <w:rsid w:val="00264534"/>
    <w:rsid w:val="0026533C"/>
    <w:rsid w:val="00266C0C"/>
    <w:rsid w:val="00266C8A"/>
    <w:rsid w:val="00267CFC"/>
    <w:rsid w:val="002704F8"/>
    <w:rsid w:val="002705E4"/>
    <w:rsid w:val="00270BE1"/>
    <w:rsid w:val="00272454"/>
    <w:rsid w:val="00273C90"/>
    <w:rsid w:val="00273C97"/>
    <w:rsid w:val="002752B7"/>
    <w:rsid w:val="002754E5"/>
    <w:rsid w:val="002805AE"/>
    <w:rsid w:val="00280AAE"/>
    <w:rsid w:val="002815BB"/>
    <w:rsid w:val="00281E23"/>
    <w:rsid w:val="00282793"/>
    <w:rsid w:val="00282D9D"/>
    <w:rsid w:val="0028463D"/>
    <w:rsid w:val="00285261"/>
    <w:rsid w:val="00286444"/>
    <w:rsid w:val="00286E01"/>
    <w:rsid w:val="00287304"/>
    <w:rsid w:val="00287DFA"/>
    <w:rsid w:val="00287F8E"/>
    <w:rsid w:val="002908F4"/>
    <w:rsid w:val="00290D33"/>
    <w:rsid w:val="00292A6F"/>
    <w:rsid w:val="00295D9D"/>
    <w:rsid w:val="002967CE"/>
    <w:rsid w:val="002A07F1"/>
    <w:rsid w:val="002A0B47"/>
    <w:rsid w:val="002A2897"/>
    <w:rsid w:val="002A4015"/>
    <w:rsid w:val="002A43B8"/>
    <w:rsid w:val="002A51EA"/>
    <w:rsid w:val="002A52AD"/>
    <w:rsid w:val="002A5340"/>
    <w:rsid w:val="002A5FB3"/>
    <w:rsid w:val="002A6563"/>
    <w:rsid w:val="002A6F12"/>
    <w:rsid w:val="002A7335"/>
    <w:rsid w:val="002A737C"/>
    <w:rsid w:val="002A7980"/>
    <w:rsid w:val="002B0C85"/>
    <w:rsid w:val="002B15FB"/>
    <w:rsid w:val="002B19E3"/>
    <w:rsid w:val="002B1B15"/>
    <w:rsid w:val="002B21E4"/>
    <w:rsid w:val="002B3672"/>
    <w:rsid w:val="002B3BA8"/>
    <w:rsid w:val="002B3ED2"/>
    <w:rsid w:val="002B678C"/>
    <w:rsid w:val="002B6F91"/>
    <w:rsid w:val="002B7559"/>
    <w:rsid w:val="002B77A0"/>
    <w:rsid w:val="002C0968"/>
    <w:rsid w:val="002C1A55"/>
    <w:rsid w:val="002C1DF0"/>
    <w:rsid w:val="002C2039"/>
    <w:rsid w:val="002C2257"/>
    <w:rsid w:val="002C232F"/>
    <w:rsid w:val="002C2D42"/>
    <w:rsid w:val="002C303C"/>
    <w:rsid w:val="002C30B7"/>
    <w:rsid w:val="002C349E"/>
    <w:rsid w:val="002C3D18"/>
    <w:rsid w:val="002C4A12"/>
    <w:rsid w:val="002C4ADE"/>
    <w:rsid w:val="002C5FAB"/>
    <w:rsid w:val="002C71D3"/>
    <w:rsid w:val="002C71F4"/>
    <w:rsid w:val="002D04D2"/>
    <w:rsid w:val="002D070C"/>
    <w:rsid w:val="002D0C3B"/>
    <w:rsid w:val="002D1264"/>
    <w:rsid w:val="002D155F"/>
    <w:rsid w:val="002D18DB"/>
    <w:rsid w:val="002D26DF"/>
    <w:rsid w:val="002D35AA"/>
    <w:rsid w:val="002D4166"/>
    <w:rsid w:val="002E091B"/>
    <w:rsid w:val="002E12B6"/>
    <w:rsid w:val="002E254D"/>
    <w:rsid w:val="002E2DC1"/>
    <w:rsid w:val="002E3653"/>
    <w:rsid w:val="002E702A"/>
    <w:rsid w:val="002E7D4B"/>
    <w:rsid w:val="002F1E95"/>
    <w:rsid w:val="002F2D11"/>
    <w:rsid w:val="002F3023"/>
    <w:rsid w:val="002F3AC6"/>
    <w:rsid w:val="002F43CB"/>
    <w:rsid w:val="002F4461"/>
    <w:rsid w:val="002F5124"/>
    <w:rsid w:val="002F51F4"/>
    <w:rsid w:val="002F53E7"/>
    <w:rsid w:val="002F6288"/>
    <w:rsid w:val="002F7499"/>
    <w:rsid w:val="0030019C"/>
    <w:rsid w:val="003001F1"/>
    <w:rsid w:val="00300283"/>
    <w:rsid w:val="00300584"/>
    <w:rsid w:val="00300983"/>
    <w:rsid w:val="00300DBE"/>
    <w:rsid w:val="00301E9B"/>
    <w:rsid w:val="00302152"/>
    <w:rsid w:val="0030239F"/>
    <w:rsid w:val="00302E41"/>
    <w:rsid w:val="00304048"/>
    <w:rsid w:val="003043C1"/>
    <w:rsid w:val="00304622"/>
    <w:rsid w:val="00304DE7"/>
    <w:rsid w:val="00306637"/>
    <w:rsid w:val="0030673B"/>
    <w:rsid w:val="003106CE"/>
    <w:rsid w:val="0031122F"/>
    <w:rsid w:val="0031186F"/>
    <w:rsid w:val="00312E17"/>
    <w:rsid w:val="00313415"/>
    <w:rsid w:val="00314256"/>
    <w:rsid w:val="003146A6"/>
    <w:rsid w:val="00314FEB"/>
    <w:rsid w:val="003151D8"/>
    <w:rsid w:val="003159A9"/>
    <w:rsid w:val="00315A13"/>
    <w:rsid w:val="00316720"/>
    <w:rsid w:val="003174C7"/>
    <w:rsid w:val="00322236"/>
    <w:rsid w:val="0032393E"/>
    <w:rsid w:val="00324F77"/>
    <w:rsid w:val="003252E9"/>
    <w:rsid w:val="003254FD"/>
    <w:rsid w:val="003258A9"/>
    <w:rsid w:val="00325DF7"/>
    <w:rsid w:val="003261A6"/>
    <w:rsid w:val="00326BFC"/>
    <w:rsid w:val="00327199"/>
    <w:rsid w:val="00327201"/>
    <w:rsid w:val="0032794A"/>
    <w:rsid w:val="00327DF5"/>
    <w:rsid w:val="00327E2C"/>
    <w:rsid w:val="00330462"/>
    <w:rsid w:val="0033184B"/>
    <w:rsid w:val="00331D0C"/>
    <w:rsid w:val="00331E0B"/>
    <w:rsid w:val="00332546"/>
    <w:rsid w:val="0033257B"/>
    <w:rsid w:val="00332BEC"/>
    <w:rsid w:val="00333CC7"/>
    <w:rsid w:val="0033574F"/>
    <w:rsid w:val="00335B2F"/>
    <w:rsid w:val="00336368"/>
    <w:rsid w:val="00336E73"/>
    <w:rsid w:val="00337761"/>
    <w:rsid w:val="00337B4D"/>
    <w:rsid w:val="00340340"/>
    <w:rsid w:val="003422B6"/>
    <w:rsid w:val="003423B6"/>
    <w:rsid w:val="00345DC2"/>
    <w:rsid w:val="00345E0E"/>
    <w:rsid w:val="0035355C"/>
    <w:rsid w:val="00353FCE"/>
    <w:rsid w:val="003547ED"/>
    <w:rsid w:val="00355759"/>
    <w:rsid w:val="00356C5C"/>
    <w:rsid w:val="00360261"/>
    <w:rsid w:val="00360FD3"/>
    <w:rsid w:val="00361645"/>
    <w:rsid w:val="00362C3B"/>
    <w:rsid w:val="00362E7E"/>
    <w:rsid w:val="00362EE2"/>
    <w:rsid w:val="00364189"/>
    <w:rsid w:val="003641FA"/>
    <w:rsid w:val="003648AC"/>
    <w:rsid w:val="003650B7"/>
    <w:rsid w:val="00366162"/>
    <w:rsid w:val="0036783E"/>
    <w:rsid w:val="00367C05"/>
    <w:rsid w:val="00370427"/>
    <w:rsid w:val="003704F8"/>
    <w:rsid w:val="00370E18"/>
    <w:rsid w:val="00370E7E"/>
    <w:rsid w:val="00373967"/>
    <w:rsid w:val="003755F7"/>
    <w:rsid w:val="003758C6"/>
    <w:rsid w:val="00380D06"/>
    <w:rsid w:val="00381CE6"/>
    <w:rsid w:val="003822EC"/>
    <w:rsid w:val="0038266C"/>
    <w:rsid w:val="0038344D"/>
    <w:rsid w:val="00383DFF"/>
    <w:rsid w:val="0038423D"/>
    <w:rsid w:val="00384CE9"/>
    <w:rsid w:val="003855CF"/>
    <w:rsid w:val="003879EE"/>
    <w:rsid w:val="003914AF"/>
    <w:rsid w:val="00391814"/>
    <w:rsid w:val="00392A69"/>
    <w:rsid w:val="00392E5A"/>
    <w:rsid w:val="003949DC"/>
    <w:rsid w:val="0039512C"/>
    <w:rsid w:val="00396629"/>
    <w:rsid w:val="00396FF6"/>
    <w:rsid w:val="00397533"/>
    <w:rsid w:val="003979EA"/>
    <w:rsid w:val="00397FAA"/>
    <w:rsid w:val="003A032E"/>
    <w:rsid w:val="003A109B"/>
    <w:rsid w:val="003A1A96"/>
    <w:rsid w:val="003A2C50"/>
    <w:rsid w:val="003A2CC0"/>
    <w:rsid w:val="003A3100"/>
    <w:rsid w:val="003A36F7"/>
    <w:rsid w:val="003A562F"/>
    <w:rsid w:val="003A66D0"/>
    <w:rsid w:val="003A7344"/>
    <w:rsid w:val="003A7947"/>
    <w:rsid w:val="003B059D"/>
    <w:rsid w:val="003B0DDA"/>
    <w:rsid w:val="003B165D"/>
    <w:rsid w:val="003B1FC0"/>
    <w:rsid w:val="003B312E"/>
    <w:rsid w:val="003B3655"/>
    <w:rsid w:val="003B3B56"/>
    <w:rsid w:val="003B6EE5"/>
    <w:rsid w:val="003B6F0B"/>
    <w:rsid w:val="003B77B6"/>
    <w:rsid w:val="003B7F8D"/>
    <w:rsid w:val="003C2393"/>
    <w:rsid w:val="003C37E1"/>
    <w:rsid w:val="003C387B"/>
    <w:rsid w:val="003C3AAD"/>
    <w:rsid w:val="003C4CAA"/>
    <w:rsid w:val="003C535E"/>
    <w:rsid w:val="003C5402"/>
    <w:rsid w:val="003C5444"/>
    <w:rsid w:val="003D0911"/>
    <w:rsid w:val="003D0A7E"/>
    <w:rsid w:val="003D2BBF"/>
    <w:rsid w:val="003D37AF"/>
    <w:rsid w:val="003D39AA"/>
    <w:rsid w:val="003D3A44"/>
    <w:rsid w:val="003D3A49"/>
    <w:rsid w:val="003D50A4"/>
    <w:rsid w:val="003D666E"/>
    <w:rsid w:val="003D67E6"/>
    <w:rsid w:val="003D6BCF"/>
    <w:rsid w:val="003D7CBD"/>
    <w:rsid w:val="003D7F8E"/>
    <w:rsid w:val="003E0E3A"/>
    <w:rsid w:val="003E1C02"/>
    <w:rsid w:val="003E2AB3"/>
    <w:rsid w:val="003E2BA5"/>
    <w:rsid w:val="003E32D5"/>
    <w:rsid w:val="003E3B9A"/>
    <w:rsid w:val="003E40B2"/>
    <w:rsid w:val="003E534E"/>
    <w:rsid w:val="003E6593"/>
    <w:rsid w:val="003F1349"/>
    <w:rsid w:val="003F2DBF"/>
    <w:rsid w:val="003F2E06"/>
    <w:rsid w:val="003F3E35"/>
    <w:rsid w:val="003F5DCD"/>
    <w:rsid w:val="003F6445"/>
    <w:rsid w:val="003F6B9D"/>
    <w:rsid w:val="00400988"/>
    <w:rsid w:val="0040165C"/>
    <w:rsid w:val="00403AE4"/>
    <w:rsid w:val="004040F6"/>
    <w:rsid w:val="004050A3"/>
    <w:rsid w:val="0040581C"/>
    <w:rsid w:val="00406F06"/>
    <w:rsid w:val="00407B9E"/>
    <w:rsid w:val="00410FD1"/>
    <w:rsid w:val="00411C17"/>
    <w:rsid w:val="004120A3"/>
    <w:rsid w:val="004120DF"/>
    <w:rsid w:val="00412EFD"/>
    <w:rsid w:val="00413252"/>
    <w:rsid w:val="00413BFC"/>
    <w:rsid w:val="00413DE7"/>
    <w:rsid w:val="00414463"/>
    <w:rsid w:val="00416B7A"/>
    <w:rsid w:val="00416DCB"/>
    <w:rsid w:val="004170B2"/>
    <w:rsid w:val="00417E0F"/>
    <w:rsid w:val="00421734"/>
    <w:rsid w:val="00422F07"/>
    <w:rsid w:val="00423C42"/>
    <w:rsid w:val="004255F6"/>
    <w:rsid w:val="004277D7"/>
    <w:rsid w:val="0043282B"/>
    <w:rsid w:val="0043486A"/>
    <w:rsid w:val="00435322"/>
    <w:rsid w:val="00437468"/>
    <w:rsid w:val="00437BE6"/>
    <w:rsid w:val="00440F25"/>
    <w:rsid w:val="00442226"/>
    <w:rsid w:val="00442328"/>
    <w:rsid w:val="00442B23"/>
    <w:rsid w:val="00442D30"/>
    <w:rsid w:val="00443245"/>
    <w:rsid w:val="00443380"/>
    <w:rsid w:val="004438D4"/>
    <w:rsid w:val="00443A86"/>
    <w:rsid w:val="004458FB"/>
    <w:rsid w:val="00445D1F"/>
    <w:rsid w:val="00445EBC"/>
    <w:rsid w:val="00446360"/>
    <w:rsid w:val="00446B8B"/>
    <w:rsid w:val="004471A5"/>
    <w:rsid w:val="00447BF9"/>
    <w:rsid w:val="004504D7"/>
    <w:rsid w:val="00450E40"/>
    <w:rsid w:val="004511FB"/>
    <w:rsid w:val="00451375"/>
    <w:rsid w:val="0045173F"/>
    <w:rsid w:val="004522EC"/>
    <w:rsid w:val="00452E04"/>
    <w:rsid w:val="00453A4A"/>
    <w:rsid w:val="00453FA4"/>
    <w:rsid w:val="00454F9C"/>
    <w:rsid w:val="00455350"/>
    <w:rsid w:val="00456103"/>
    <w:rsid w:val="004566ED"/>
    <w:rsid w:val="00456BE0"/>
    <w:rsid w:val="0045736A"/>
    <w:rsid w:val="00457B2D"/>
    <w:rsid w:val="00460F00"/>
    <w:rsid w:val="00463842"/>
    <w:rsid w:val="00463CE3"/>
    <w:rsid w:val="00464998"/>
    <w:rsid w:val="00465447"/>
    <w:rsid w:val="00465E2F"/>
    <w:rsid w:val="00467F2F"/>
    <w:rsid w:val="004703A2"/>
    <w:rsid w:val="004703BD"/>
    <w:rsid w:val="0047050A"/>
    <w:rsid w:val="0047138B"/>
    <w:rsid w:val="0047184E"/>
    <w:rsid w:val="00473193"/>
    <w:rsid w:val="00473331"/>
    <w:rsid w:val="004737D2"/>
    <w:rsid w:val="00473CCA"/>
    <w:rsid w:val="004741F2"/>
    <w:rsid w:val="0047468D"/>
    <w:rsid w:val="00475194"/>
    <w:rsid w:val="004755E5"/>
    <w:rsid w:val="004761FB"/>
    <w:rsid w:val="00477DFC"/>
    <w:rsid w:val="00477E82"/>
    <w:rsid w:val="004810FB"/>
    <w:rsid w:val="0048150B"/>
    <w:rsid w:val="004818D7"/>
    <w:rsid w:val="00484648"/>
    <w:rsid w:val="004866DE"/>
    <w:rsid w:val="0049337D"/>
    <w:rsid w:val="00494570"/>
    <w:rsid w:val="00494D6E"/>
    <w:rsid w:val="004955C9"/>
    <w:rsid w:val="00495DA9"/>
    <w:rsid w:val="00496F9D"/>
    <w:rsid w:val="00497967"/>
    <w:rsid w:val="004A0397"/>
    <w:rsid w:val="004A13B8"/>
    <w:rsid w:val="004A2B6D"/>
    <w:rsid w:val="004A334F"/>
    <w:rsid w:val="004A3C40"/>
    <w:rsid w:val="004A3D9F"/>
    <w:rsid w:val="004A4188"/>
    <w:rsid w:val="004A4A3A"/>
    <w:rsid w:val="004A54CA"/>
    <w:rsid w:val="004A6482"/>
    <w:rsid w:val="004B1C57"/>
    <w:rsid w:val="004B3332"/>
    <w:rsid w:val="004B3932"/>
    <w:rsid w:val="004B45C7"/>
    <w:rsid w:val="004B4C0B"/>
    <w:rsid w:val="004B53C1"/>
    <w:rsid w:val="004B5540"/>
    <w:rsid w:val="004B5F2E"/>
    <w:rsid w:val="004C018D"/>
    <w:rsid w:val="004C0537"/>
    <w:rsid w:val="004C15B0"/>
    <w:rsid w:val="004C26AE"/>
    <w:rsid w:val="004C2AA4"/>
    <w:rsid w:val="004C2F84"/>
    <w:rsid w:val="004C30BF"/>
    <w:rsid w:val="004C49BA"/>
    <w:rsid w:val="004C635D"/>
    <w:rsid w:val="004C6811"/>
    <w:rsid w:val="004C706C"/>
    <w:rsid w:val="004C7FB4"/>
    <w:rsid w:val="004D0244"/>
    <w:rsid w:val="004D0335"/>
    <w:rsid w:val="004D1397"/>
    <w:rsid w:val="004D1C8A"/>
    <w:rsid w:val="004D20EF"/>
    <w:rsid w:val="004D2E83"/>
    <w:rsid w:val="004D30B6"/>
    <w:rsid w:val="004D3EF4"/>
    <w:rsid w:val="004D4599"/>
    <w:rsid w:val="004D4FDF"/>
    <w:rsid w:val="004D539B"/>
    <w:rsid w:val="004D592B"/>
    <w:rsid w:val="004D5A2F"/>
    <w:rsid w:val="004D60B9"/>
    <w:rsid w:val="004D6965"/>
    <w:rsid w:val="004E014A"/>
    <w:rsid w:val="004E1B21"/>
    <w:rsid w:val="004E304C"/>
    <w:rsid w:val="004E398D"/>
    <w:rsid w:val="004E3C23"/>
    <w:rsid w:val="004E5C62"/>
    <w:rsid w:val="004E691A"/>
    <w:rsid w:val="004E6DC4"/>
    <w:rsid w:val="004E774F"/>
    <w:rsid w:val="004F02EA"/>
    <w:rsid w:val="004F2794"/>
    <w:rsid w:val="004F2B3E"/>
    <w:rsid w:val="004F3EC8"/>
    <w:rsid w:val="004F4043"/>
    <w:rsid w:val="004F4B04"/>
    <w:rsid w:val="004F4F20"/>
    <w:rsid w:val="004F566F"/>
    <w:rsid w:val="004F5D00"/>
    <w:rsid w:val="004F5FD1"/>
    <w:rsid w:val="005001DB"/>
    <w:rsid w:val="0050084F"/>
    <w:rsid w:val="00502650"/>
    <w:rsid w:val="005036C6"/>
    <w:rsid w:val="0050614D"/>
    <w:rsid w:val="00506332"/>
    <w:rsid w:val="005064B5"/>
    <w:rsid w:val="00506BF5"/>
    <w:rsid w:val="00507125"/>
    <w:rsid w:val="00507244"/>
    <w:rsid w:val="00507340"/>
    <w:rsid w:val="00510D5A"/>
    <w:rsid w:val="00511079"/>
    <w:rsid w:val="005114EA"/>
    <w:rsid w:val="005125DF"/>
    <w:rsid w:val="00512D71"/>
    <w:rsid w:val="005132F3"/>
    <w:rsid w:val="005136DF"/>
    <w:rsid w:val="00513FE4"/>
    <w:rsid w:val="005143F1"/>
    <w:rsid w:val="005145A3"/>
    <w:rsid w:val="00515666"/>
    <w:rsid w:val="00516687"/>
    <w:rsid w:val="00517DAF"/>
    <w:rsid w:val="00520223"/>
    <w:rsid w:val="00521A3D"/>
    <w:rsid w:val="00522C85"/>
    <w:rsid w:val="0052521E"/>
    <w:rsid w:val="0052656B"/>
    <w:rsid w:val="00530FB7"/>
    <w:rsid w:val="005316A5"/>
    <w:rsid w:val="00532E5E"/>
    <w:rsid w:val="00533059"/>
    <w:rsid w:val="005341C5"/>
    <w:rsid w:val="005356F9"/>
    <w:rsid w:val="005364BD"/>
    <w:rsid w:val="005370E8"/>
    <w:rsid w:val="00537C64"/>
    <w:rsid w:val="00537DC8"/>
    <w:rsid w:val="0054001E"/>
    <w:rsid w:val="00540602"/>
    <w:rsid w:val="00540870"/>
    <w:rsid w:val="00540D45"/>
    <w:rsid w:val="005411E6"/>
    <w:rsid w:val="00542211"/>
    <w:rsid w:val="0054236D"/>
    <w:rsid w:val="0054458B"/>
    <w:rsid w:val="00544B17"/>
    <w:rsid w:val="0054637B"/>
    <w:rsid w:val="005465DF"/>
    <w:rsid w:val="00546E62"/>
    <w:rsid w:val="00547530"/>
    <w:rsid w:val="005477AF"/>
    <w:rsid w:val="00550862"/>
    <w:rsid w:val="00552E1D"/>
    <w:rsid w:val="005535DD"/>
    <w:rsid w:val="005539A5"/>
    <w:rsid w:val="00554274"/>
    <w:rsid w:val="00555890"/>
    <w:rsid w:val="00555991"/>
    <w:rsid w:val="00555E2B"/>
    <w:rsid w:val="005566F3"/>
    <w:rsid w:val="005568D7"/>
    <w:rsid w:val="00556C02"/>
    <w:rsid w:val="00557402"/>
    <w:rsid w:val="00560716"/>
    <w:rsid w:val="00560895"/>
    <w:rsid w:val="005614B8"/>
    <w:rsid w:val="0056219A"/>
    <w:rsid w:val="0056225A"/>
    <w:rsid w:val="005626E0"/>
    <w:rsid w:val="00565E03"/>
    <w:rsid w:val="00565FDA"/>
    <w:rsid w:val="0056758C"/>
    <w:rsid w:val="00570623"/>
    <w:rsid w:val="005710A1"/>
    <w:rsid w:val="00571B34"/>
    <w:rsid w:val="00573E37"/>
    <w:rsid w:val="005753A6"/>
    <w:rsid w:val="00576194"/>
    <w:rsid w:val="005812F3"/>
    <w:rsid w:val="00582A16"/>
    <w:rsid w:val="00584826"/>
    <w:rsid w:val="00584D48"/>
    <w:rsid w:val="00584EB0"/>
    <w:rsid w:val="005870DB"/>
    <w:rsid w:val="00587AFE"/>
    <w:rsid w:val="00592C59"/>
    <w:rsid w:val="005930FF"/>
    <w:rsid w:val="0059358A"/>
    <w:rsid w:val="00594281"/>
    <w:rsid w:val="00594470"/>
    <w:rsid w:val="00594F45"/>
    <w:rsid w:val="00594F98"/>
    <w:rsid w:val="00595CDC"/>
    <w:rsid w:val="005964FA"/>
    <w:rsid w:val="0059656E"/>
    <w:rsid w:val="0059693F"/>
    <w:rsid w:val="00597540"/>
    <w:rsid w:val="005A06D1"/>
    <w:rsid w:val="005A0EFC"/>
    <w:rsid w:val="005A240F"/>
    <w:rsid w:val="005A33DC"/>
    <w:rsid w:val="005A47DD"/>
    <w:rsid w:val="005A649A"/>
    <w:rsid w:val="005B0311"/>
    <w:rsid w:val="005B1BB7"/>
    <w:rsid w:val="005B2155"/>
    <w:rsid w:val="005B63CA"/>
    <w:rsid w:val="005B69A8"/>
    <w:rsid w:val="005B6D99"/>
    <w:rsid w:val="005B780B"/>
    <w:rsid w:val="005C082B"/>
    <w:rsid w:val="005C09B9"/>
    <w:rsid w:val="005C0F74"/>
    <w:rsid w:val="005C3D71"/>
    <w:rsid w:val="005C4DFD"/>
    <w:rsid w:val="005C550C"/>
    <w:rsid w:val="005C7CFE"/>
    <w:rsid w:val="005D03D1"/>
    <w:rsid w:val="005D0C84"/>
    <w:rsid w:val="005D0D6E"/>
    <w:rsid w:val="005D2B5E"/>
    <w:rsid w:val="005D34DE"/>
    <w:rsid w:val="005D3751"/>
    <w:rsid w:val="005D56D6"/>
    <w:rsid w:val="005D5D73"/>
    <w:rsid w:val="005D634A"/>
    <w:rsid w:val="005D6C92"/>
    <w:rsid w:val="005D7140"/>
    <w:rsid w:val="005E0762"/>
    <w:rsid w:val="005E128D"/>
    <w:rsid w:val="005E1484"/>
    <w:rsid w:val="005E1B5E"/>
    <w:rsid w:val="005E1C8C"/>
    <w:rsid w:val="005E22C7"/>
    <w:rsid w:val="005E23FE"/>
    <w:rsid w:val="005E2957"/>
    <w:rsid w:val="005E2ABD"/>
    <w:rsid w:val="005E2E79"/>
    <w:rsid w:val="005E3A91"/>
    <w:rsid w:val="005E3B28"/>
    <w:rsid w:val="005E3DF4"/>
    <w:rsid w:val="005E4C0A"/>
    <w:rsid w:val="005E5AF3"/>
    <w:rsid w:val="005E6E5F"/>
    <w:rsid w:val="005F05B1"/>
    <w:rsid w:val="005F0FAF"/>
    <w:rsid w:val="005F1673"/>
    <w:rsid w:val="005F21D1"/>
    <w:rsid w:val="005F2D01"/>
    <w:rsid w:val="005F5C6A"/>
    <w:rsid w:val="005F5CDF"/>
    <w:rsid w:val="005F5D8B"/>
    <w:rsid w:val="005F6654"/>
    <w:rsid w:val="005F6725"/>
    <w:rsid w:val="00601C06"/>
    <w:rsid w:val="00601C5B"/>
    <w:rsid w:val="00602CE2"/>
    <w:rsid w:val="0060354A"/>
    <w:rsid w:val="00604DDF"/>
    <w:rsid w:val="0060555E"/>
    <w:rsid w:val="006057C5"/>
    <w:rsid w:val="00605C3A"/>
    <w:rsid w:val="00605DD7"/>
    <w:rsid w:val="00605FF0"/>
    <w:rsid w:val="00607F9E"/>
    <w:rsid w:val="00610CB7"/>
    <w:rsid w:val="00610DA4"/>
    <w:rsid w:val="00610F2B"/>
    <w:rsid w:val="00611327"/>
    <w:rsid w:val="0061160B"/>
    <w:rsid w:val="00613964"/>
    <w:rsid w:val="00613DCB"/>
    <w:rsid w:val="00614EF4"/>
    <w:rsid w:val="00615C67"/>
    <w:rsid w:val="0061611F"/>
    <w:rsid w:val="00616FC5"/>
    <w:rsid w:val="006174DE"/>
    <w:rsid w:val="006236AB"/>
    <w:rsid w:val="006236AC"/>
    <w:rsid w:val="00625233"/>
    <w:rsid w:val="00625623"/>
    <w:rsid w:val="00626F40"/>
    <w:rsid w:val="006305CF"/>
    <w:rsid w:val="006317CE"/>
    <w:rsid w:val="00631DEF"/>
    <w:rsid w:val="0063546F"/>
    <w:rsid w:val="00635727"/>
    <w:rsid w:val="0063688C"/>
    <w:rsid w:val="006400AC"/>
    <w:rsid w:val="0064036D"/>
    <w:rsid w:val="00640E0E"/>
    <w:rsid w:val="0064118B"/>
    <w:rsid w:val="0064118E"/>
    <w:rsid w:val="006413CB"/>
    <w:rsid w:val="00641802"/>
    <w:rsid w:val="0064199C"/>
    <w:rsid w:val="00642763"/>
    <w:rsid w:val="00643C6A"/>
    <w:rsid w:val="00645053"/>
    <w:rsid w:val="00646ACA"/>
    <w:rsid w:val="00647A3A"/>
    <w:rsid w:val="00647D4A"/>
    <w:rsid w:val="00647F3B"/>
    <w:rsid w:val="00650A3D"/>
    <w:rsid w:val="00650F3F"/>
    <w:rsid w:val="00652C3E"/>
    <w:rsid w:val="00653D5C"/>
    <w:rsid w:val="00655829"/>
    <w:rsid w:val="00656193"/>
    <w:rsid w:val="006565C6"/>
    <w:rsid w:val="006569B7"/>
    <w:rsid w:val="00656B83"/>
    <w:rsid w:val="00656C18"/>
    <w:rsid w:val="006578CA"/>
    <w:rsid w:val="00657CD8"/>
    <w:rsid w:val="006600D1"/>
    <w:rsid w:val="0066108F"/>
    <w:rsid w:val="0066164C"/>
    <w:rsid w:val="0066167A"/>
    <w:rsid w:val="00662E85"/>
    <w:rsid w:val="00662F97"/>
    <w:rsid w:val="0066301B"/>
    <w:rsid w:val="00663E3D"/>
    <w:rsid w:val="00664D2C"/>
    <w:rsid w:val="00665035"/>
    <w:rsid w:val="00665173"/>
    <w:rsid w:val="00670796"/>
    <w:rsid w:val="00671D81"/>
    <w:rsid w:val="0067201E"/>
    <w:rsid w:val="00672490"/>
    <w:rsid w:val="006725E7"/>
    <w:rsid w:val="00673306"/>
    <w:rsid w:val="0067366F"/>
    <w:rsid w:val="006736B3"/>
    <w:rsid w:val="00674BC8"/>
    <w:rsid w:val="00674CFE"/>
    <w:rsid w:val="00674D0A"/>
    <w:rsid w:val="00674EC3"/>
    <w:rsid w:val="00675CCD"/>
    <w:rsid w:val="0067637B"/>
    <w:rsid w:val="00676F57"/>
    <w:rsid w:val="00677026"/>
    <w:rsid w:val="0067738D"/>
    <w:rsid w:val="00677D3B"/>
    <w:rsid w:val="0068043E"/>
    <w:rsid w:val="00681BEA"/>
    <w:rsid w:val="006831AD"/>
    <w:rsid w:val="00684692"/>
    <w:rsid w:val="006846D1"/>
    <w:rsid w:val="00686751"/>
    <w:rsid w:val="00686C54"/>
    <w:rsid w:val="00687501"/>
    <w:rsid w:val="00687A97"/>
    <w:rsid w:val="00690E22"/>
    <w:rsid w:val="0069101D"/>
    <w:rsid w:val="00691784"/>
    <w:rsid w:val="00693E35"/>
    <w:rsid w:val="006948EF"/>
    <w:rsid w:val="006A0832"/>
    <w:rsid w:val="006A1370"/>
    <w:rsid w:val="006A29A1"/>
    <w:rsid w:val="006A394D"/>
    <w:rsid w:val="006A457D"/>
    <w:rsid w:val="006A4841"/>
    <w:rsid w:val="006A4FEF"/>
    <w:rsid w:val="006A541E"/>
    <w:rsid w:val="006A5B61"/>
    <w:rsid w:val="006A6933"/>
    <w:rsid w:val="006A6DD9"/>
    <w:rsid w:val="006A6E9E"/>
    <w:rsid w:val="006A6FCF"/>
    <w:rsid w:val="006B1010"/>
    <w:rsid w:val="006B209F"/>
    <w:rsid w:val="006B268E"/>
    <w:rsid w:val="006B29C1"/>
    <w:rsid w:val="006B38A4"/>
    <w:rsid w:val="006B485F"/>
    <w:rsid w:val="006B52D6"/>
    <w:rsid w:val="006B5596"/>
    <w:rsid w:val="006B5C20"/>
    <w:rsid w:val="006B6F44"/>
    <w:rsid w:val="006B7CBB"/>
    <w:rsid w:val="006B7E5B"/>
    <w:rsid w:val="006B7EB6"/>
    <w:rsid w:val="006B7EDE"/>
    <w:rsid w:val="006C0D8A"/>
    <w:rsid w:val="006C1B99"/>
    <w:rsid w:val="006C20EB"/>
    <w:rsid w:val="006C294B"/>
    <w:rsid w:val="006C3102"/>
    <w:rsid w:val="006C34BA"/>
    <w:rsid w:val="006C4390"/>
    <w:rsid w:val="006C4517"/>
    <w:rsid w:val="006C4574"/>
    <w:rsid w:val="006C457A"/>
    <w:rsid w:val="006C4C04"/>
    <w:rsid w:val="006C69A2"/>
    <w:rsid w:val="006C7FA0"/>
    <w:rsid w:val="006D0625"/>
    <w:rsid w:val="006D0853"/>
    <w:rsid w:val="006D0CCA"/>
    <w:rsid w:val="006D1AD9"/>
    <w:rsid w:val="006D288E"/>
    <w:rsid w:val="006D3155"/>
    <w:rsid w:val="006D3D0F"/>
    <w:rsid w:val="006D5187"/>
    <w:rsid w:val="006D5AD2"/>
    <w:rsid w:val="006D6F81"/>
    <w:rsid w:val="006D70A4"/>
    <w:rsid w:val="006D7F0F"/>
    <w:rsid w:val="006E0B2D"/>
    <w:rsid w:val="006E10EC"/>
    <w:rsid w:val="006E2FFC"/>
    <w:rsid w:val="006E4D91"/>
    <w:rsid w:val="006E5289"/>
    <w:rsid w:val="006E5EC9"/>
    <w:rsid w:val="006E60A4"/>
    <w:rsid w:val="006E6713"/>
    <w:rsid w:val="006E6994"/>
    <w:rsid w:val="006E7091"/>
    <w:rsid w:val="006E7713"/>
    <w:rsid w:val="006F08E1"/>
    <w:rsid w:val="006F3519"/>
    <w:rsid w:val="006F3EE4"/>
    <w:rsid w:val="006F3FF5"/>
    <w:rsid w:val="006F40F8"/>
    <w:rsid w:val="006F5927"/>
    <w:rsid w:val="006F67D0"/>
    <w:rsid w:val="006F7EDE"/>
    <w:rsid w:val="00702813"/>
    <w:rsid w:val="00705B2D"/>
    <w:rsid w:val="007076A9"/>
    <w:rsid w:val="00710069"/>
    <w:rsid w:val="00710286"/>
    <w:rsid w:val="00711C30"/>
    <w:rsid w:val="0071299B"/>
    <w:rsid w:val="00714E88"/>
    <w:rsid w:val="00715906"/>
    <w:rsid w:val="00716487"/>
    <w:rsid w:val="00720F17"/>
    <w:rsid w:val="00721372"/>
    <w:rsid w:val="00721E87"/>
    <w:rsid w:val="00721F4B"/>
    <w:rsid w:val="0072397F"/>
    <w:rsid w:val="007241F2"/>
    <w:rsid w:val="00724432"/>
    <w:rsid w:val="0072497B"/>
    <w:rsid w:val="007266DC"/>
    <w:rsid w:val="0072728E"/>
    <w:rsid w:val="007277DA"/>
    <w:rsid w:val="00730499"/>
    <w:rsid w:val="007329C7"/>
    <w:rsid w:val="007337D9"/>
    <w:rsid w:val="007357FB"/>
    <w:rsid w:val="00735C28"/>
    <w:rsid w:val="00737954"/>
    <w:rsid w:val="00740CDD"/>
    <w:rsid w:val="007413C2"/>
    <w:rsid w:val="00741ABD"/>
    <w:rsid w:val="00742885"/>
    <w:rsid w:val="00742FA7"/>
    <w:rsid w:val="00744021"/>
    <w:rsid w:val="00744951"/>
    <w:rsid w:val="00745F32"/>
    <w:rsid w:val="0074627E"/>
    <w:rsid w:val="00746992"/>
    <w:rsid w:val="00746A12"/>
    <w:rsid w:val="00747870"/>
    <w:rsid w:val="00750CF9"/>
    <w:rsid w:val="007544AD"/>
    <w:rsid w:val="007557C5"/>
    <w:rsid w:val="007557FE"/>
    <w:rsid w:val="00757547"/>
    <w:rsid w:val="00757852"/>
    <w:rsid w:val="00760993"/>
    <w:rsid w:val="00760DEE"/>
    <w:rsid w:val="00761602"/>
    <w:rsid w:val="0076218B"/>
    <w:rsid w:val="00762EA7"/>
    <w:rsid w:val="0076424A"/>
    <w:rsid w:val="007644F6"/>
    <w:rsid w:val="00765360"/>
    <w:rsid w:val="0076679F"/>
    <w:rsid w:val="00771EF0"/>
    <w:rsid w:val="00772358"/>
    <w:rsid w:val="0077281E"/>
    <w:rsid w:val="007734C2"/>
    <w:rsid w:val="007737C1"/>
    <w:rsid w:val="0077393B"/>
    <w:rsid w:val="007756BA"/>
    <w:rsid w:val="0077600E"/>
    <w:rsid w:val="007770E4"/>
    <w:rsid w:val="00780236"/>
    <w:rsid w:val="00780332"/>
    <w:rsid w:val="00780649"/>
    <w:rsid w:val="00782284"/>
    <w:rsid w:val="0078390C"/>
    <w:rsid w:val="00784AAD"/>
    <w:rsid w:val="0078634F"/>
    <w:rsid w:val="007864EA"/>
    <w:rsid w:val="00786D53"/>
    <w:rsid w:val="00787162"/>
    <w:rsid w:val="0078727B"/>
    <w:rsid w:val="007879D4"/>
    <w:rsid w:val="00790BD9"/>
    <w:rsid w:val="00790F1C"/>
    <w:rsid w:val="00791146"/>
    <w:rsid w:val="00791173"/>
    <w:rsid w:val="00792222"/>
    <w:rsid w:val="00792FE3"/>
    <w:rsid w:val="007932FF"/>
    <w:rsid w:val="0079357A"/>
    <w:rsid w:val="00794904"/>
    <w:rsid w:val="007955E4"/>
    <w:rsid w:val="0079584E"/>
    <w:rsid w:val="00796221"/>
    <w:rsid w:val="00796845"/>
    <w:rsid w:val="00796C28"/>
    <w:rsid w:val="00796F64"/>
    <w:rsid w:val="00797BDF"/>
    <w:rsid w:val="00797FF6"/>
    <w:rsid w:val="007A0A8E"/>
    <w:rsid w:val="007A1543"/>
    <w:rsid w:val="007A20AA"/>
    <w:rsid w:val="007A2858"/>
    <w:rsid w:val="007A2A24"/>
    <w:rsid w:val="007A41C2"/>
    <w:rsid w:val="007A4A15"/>
    <w:rsid w:val="007A5060"/>
    <w:rsid w:val="007A65E8"/>
    <w:rsid w:val="007A6A37"/>
    <w:rsid w:val="007A72C6"/>
    <w:rsid w:val="007B0C68"/>
    <w:rsid w:val="007B1C4D"/>
    <w:rsid w:val="007B2F30"/>
    <w:rsid w:val="007B3184"/>
    <w:rsid w:val="007B3702"/>
    <w:rsid w:val="007B425F"/>
    <w:rsid w:val="007B5C36"/>
    <w:rsid w:val="007B5F68"/>
    <w:rsid w:val="007B6936"/>
    <w:rsid w:val="007B79CE"/>
    <w:rsid w:val="007B7CA0"/>
    <w:rsid w:val="007B7F1B"/>
    <w:rsid w:val="007C0AAC"/>
    <w:rsid w:val="007C1145"/>
    <w:rsid w:val="007C444F"/>
    <w:rsid w:val="007C50A9"/>
    <w:rsid w:val="007C661A"/>
    <w:rsid w:val="007C6D34"/>
    <w:rsid w:val="007C7AE7"/>
    <w:rsid w:val="007D0631"/>
    <w:rsid w:val="007D06C9"/>
    <w:rsid w:val="007D12DC"/>
    <w:rsid w:val="007D12EF"/>
    <w:rsid w:val="007D2103"/>
    <w:rsid w:val="007D2811"/>
    <w:rsid w:val="007D28B2"/>
    <w:rsid w:val="007D3348"/>
    <w:rsid w:val="007D37A9"/>
    <w:rsid w:val="007D3D86"/>
    <w:rsid w:val="007D42D8"/>
    <w:rsid w:val="007D566C"/>
    <w:rsid w:val="007D61CE"/>
    <w:rsid w:val="007D6A6A"/>
    <w:rsid w:val="007D795F"/>
    <w:rsid w:val="007E011D"/>
    <w:rsid w:val="007E0F0F"/>
    <w:rsid w:val="007E1D77"/>
    <w:rsid w:val="007E24CD"/>
    <w:rsid w:val="007E25D6"/>
    <w:rsid w:val="007E34C5"/>
    <w:rsid w:val="007E59F9"/>
    <w:rsid w:val="007E719A"/>
    <w:rsid w:val="007F0CA6"/>
    <w:rsid w:val="007F145B"/>
    <w:rsid w:val="007F2AC9"/>
    <w:rsid w:val="007F2D5A"/>
    <w:rsid w:val="007F2F27"/>
    <w:rsid w:val="007F3C44"/>
    <w:rsid w:val="007F41D8"/>
    <w:rsid w:val="007F47C2"/>
    <w:rsid w:val="007F52BA"/>
    <w:rsid w:val="007F5F0D"/>
    <w:rsid w:val="00800B3A"/>
    <w:rsid w:val="00800D5B"/>
    <w:rsid w:val="00801250"/>
    <w:rsid w:val="00801997"/>
    <w:rsid w:val="00802DDE"/>
    <w:rsid w:val="00804D02"/>
    <w:rsid w:val="00804DE6"/>
    <w:rsid w:val="00805463"/>
    <w:rsid w:val="00805A36"/>
    <w:rsid w:val="008062F8"/>
    <w:rsid w:val="008066C0"/>
    <w:rsid w:val="00806C6A"/>
    <w:rsid w:val="0080730B"/>
    <w:rsid w:val="00810AD4"/>
    <w:rsid w:val="00811312"/>
    <w:rsid w:val="008114DC"/>
    <w:rsid w:val="008117FB"/>
    <w:rsid w:val="00811FCD"/>
    <w:rsid w:val="00812CD9"/>
    <w:rsid w:val="008130EA"/>
    <w:rsid w:val="008132D6"/>
    <w:rsid w:val="00814061"/>
    <w:rsid w:val="008164F1"/>
    <w:rsid w:val="008204A7"/>
    <w:rsid w:val="008207FD"/>
    <w:rsid w:val="00821802"/>
    <w:rsid w:val="008222E1"/>
    <w:rsid w:val="0082359A"/>
    <w:rsid w:val="00823BFA"/>
    <w:rsid w:val="008242B1"/>
    <w:rsid w:val="00824BD6"/>
    <w:rsid w:val="00826390"/>
    <w:rsid w:val="00826A6F"/>
    <w:rsid w:val="00827D1E"/>
    <w:rsid w:val="00827FDB"/>
    <w:rsid w:val="008309B5"/>
    <w:rsid w:val="00831683"/>
    <w:rsid w:val="008319F5"/>
    <w:rsid w:val="00833C0E"/>
    <w:rsid w:val="0083426F"/>
    <w:rsid w:val="00834773"/>
    <w:rsid w:val="008365D0"/>
    <w:rsid w:val="0083718D"/>
    <w:rsid w:val="0084079B"/>
    <w:rsid w:val="00840EBD"/>
    <w:rsid w:val="00842B77"/>
    <w:rsid w:val="00843B17"/>
    <w:rsid w:val="00844225"/>
    <w:rsid w:val="00844536"/>
    <w:rsid w:val="008458FC"/>
    <w:rsid w:val="00847FEA"/>
    <w:rsid w:val="00850213"/>
    <w:rsid w:val="00850A03"/>
    <w:rsid w:val="008525B6"/>
    <w:rsid w:val="008547B3"/>
    <w:rsid w:val="008559C8"/>
    <w:rsid w:val="0085699E"/>
    <w:rsid w:val="008570C4"/>
    <w:rsid w:val="008613F3"/>
    <w:rsid w:val="00861669"/>
    <w:rsid w:val="00861DC2"/>
    <w:rsid w:val="00861EA7"/>
    <w:rsid w:val="008624DF"/>
    <w:rsid w:val="008626AC"/>
    <w:rsid w:val="00863CFE"/>
    <w:rsid w:val="00863FB4"/>
    <w:rsid w:val="00870226"/>
    <w:rsid w:val="00871E71"/>
    <w:rsid w:val="00873028"/>
    <w:rsid w:val="00873AFB"/>
    <w:rsid w:val="00873E65"/>
    <w:rsid w:val="008740A0"/>
    <w:rsid w:val="0087592B"/>
    <w:rsid w:val="00876C0C"/>
    <w:rsid w:val="00877E72"/>
    <w:rsid w:val="0088138E"/>
    <w:rsid w:val="00881EF4"/>
    <w:rsid w:val="008820BD"/>
    <w:rsid w:val="00882AF7"/>
    <w:rsid w:val="00882C32"/>
    <w:rsid w:val="00883F42"/>
    <w:rsid w:val="008841F4"/>
    <w:rsid w:val="008848C8"/>
    <w:rsid w:val="00885C9E"/>
    <w:rsid w:val="00887ADE"/>
    <w:rsid w:val="00887E4C"/>
    <w:rsid w:val="008911FD"/>
    <w:rsid w:val="0089147B"/>
    <w:rsid w:val="00892686"/>
    <w:rsid w:val="008926B3"/>
    <w:rsid w:val="00892EC6"/>
    <w:rsid w:val="00892EDF"/>
    <w:rsid w:val="008940AE"/>
    <w:rsid w:val="008940BF"/>
    <w:rsid w:val="00895622"/>
    <w:rsid w:val="008969F5"/>
    <w:rsid w:val="00896C80"/>
    <w:rsid w:val="0089733B"/>
    <w:rsid w:val="008A0F10"/>
    <w:rsid w:val="008A1FAF"/>
    <w:rsid w:val="008A476E"/>
    <w:rsid w:val="008A48A9"/>
    <w:rsid w:val="008A7C17"/>
    <w:rsid w:val="008A7DA3"/>
    <w:rsid w:val="008B0225"/>
    <w:rsid w:val="008B072A"/>
    <w:rsid w:val="008B3EBD"/>
    <w:rsid w:val="008B4EAA"/>
    <w:rsid w:val="008B5016"/>
    <w:rsid w:val="008B53DC"/>
    <w:rsid w:val="008B6410"/>
    <w:rsid w:val="008B6466"/>
    <w:rsid w:val="008B6590"/>
    <w:rsid w:val="008C165B"/>
    <w:rsid w:val="008C16DB"/>
    <w:rsid w:val="008C2150"/>
    <w:rsid w:val="008C4021"/>
    <w:rsid w:val="008C5709"/>
    <w:rsid w:val="008C57CA"/>
    <w:rsid w:val="008C5913"/>
    <w:rsid w:val="008C6CD4"/>
    <w:rsid w:val="008D03D9"/>
    <w:rsid w:val="008D1214"/>
    <w:rsid w:val="008D19B8"/>
    <w:rsid w:val="008D3D0D"/>
    <w:rsid w:val="008D4D6A"/>
    <w:rsid w:val="008D5609"/>
    <w:rsid w:val="008D56F6"/>
    <w:rsid w:val="008D5FA7"/>
    <w:rsid w:val="008D7ECB"/>
    <w:rsid w:val="008E1FFA"/>
    <w:rsid w:val="008E28E0"/>
    <w:rsid w:val="008E3C07"/>
    <w:rsid w:val="008E3C49"/>
    <w:rsid w:val="008E3DEA"/>
    <w:rsid w:val="008E4382"/>
    <w:rsid w:val="008E546D"/>
    <w:rsid w:val="008E5E80"/>
    <w:rsid w:val="008E6D44"/>
    <w:rsid w:val="008E71D7"/>
    <w:rsid w:val="008E74F8"/>
    <w:rsid w:val="008F0517"/>
    <w:rsid w:val="008F0E0B"/>
    <w:rsid w:val="008F0ED1"/>
    <w:rsid w:val="008F1807"/>
    <w:rsid w:val="008F2D6E"/>
    <w:rsid w:val="008F39B2"/>
    <w:rsid w:val="008F53B0"/>
    <w:rsid w:val="008F55B8"/>
    <w:rsid w:val="008F6124"/>
    <w:rsid w:val="008F7EC6"/>
    <w:rsid w:val="009003BF"/>
    <w:rsid w:val="00900646"/>
    <w:rsid w:val="00901348"/>
    <w:rsid w:val="009020D6"/>
    <w:rsid w:val="009025DF"/>
    <w:rsid w:val="00902EA9"/>
    <w:rsid w:val="0090482C"/>
    <w:rsid w:val="00904DAD"/>
    <w:rsid w:val="009051F8"/>
    <w:rsid w:val="0090542A"/>
    <w:rsid w:val="00905936"/>
    <w:rsid w:val="0090792E"/>
    <w:rsid w:val="00907FE1"/>
    <w:rsid w:val="00911AA8"/>
    <w:rsid w:val="00911DA1"/>
    <w:rsid w:val="0091531D"/>
    <w:rsid w:val="009167E6"/>
    <w:rsid w:val="00917266"/>
    <w:rsid w:val="00917984"/>
    <w:rsid w:val="0092081E"/>
    <w:rsid w:val="0092176E"/>
    <w:rsid w:val="00921F30"/>
    <w:rsid w:val="00925035"/>
    <w:rsid w:val="00926785"/>
    <w:rsid w:val="009268A3"/>
    <w:rsid w:val="009274AC"/>
    <w:rsid w:val="00927773"/>
    <w:rsid w:val="00931872"/>
    <w:rsid w:val="00931FDB"/>
    <w:rsid w:val="009330D3"/>
    <w:rsid w:val="00933A88"/>
    <w:rsid w:val="00933AD1"/>
    <w:rsid w:val="00934875"/>
    <w:rsid w:val="00936A64"/>
    <w:rsid w:val="00936C7A"/>
    <w:rsid w:val="009402A3"/>
    <w:rsid w:val="00942522"/>
    <w:rsid w:val="0094289A"/>
    <w:rsid w:val="00943F2C"/>
    <w:rsid w:val="00944A2C"/>
    <w:rsid w:val="00946DFD"/>
    <w:rsid w:val="00946EF6"/>
    <w:rsid w:val="00946FC9"/>
    <w:rsid w:val="00947550"/>
    <w:rsid w:val="009476E2"/>
    <w:rsid w:val="00947762"/>
    <w:rsid w:val="00947E19"/>
    <w:rsid w:val="00950BF4"/>
    <w:rsid w:val="00953A6E"/>
    <w:rsid w:val="00953E78"/>
    <w:rsid w:val="009565C2"/>
    <w:rsid w:val="00956B47"/>
    <w:rsid w:val="009572EC"/>
    <w:rsid w:val="0096015B"/>
    <w:rsid w:val="00960987"/>
    <w:rsid w:val="00961033"/>
    <w:rsid w:val="00962082"/>
    <w:rsid w:val="009627DC"/>
    <w:rsid w:val="00963207"/>
    <w:rsid w:val="00963730"/>
    <w:rsid w:val="009642D3"/>
    <w:rsid w:val="009643EE"/>
    <w:rsid w:val="009650C3"/>
    <w:rsid w:val="0096545F"/>
    <w:rsid w:val="00965EFD"/>
    <w:rsid w:val="00967590"/>
    <w:rsid w:val="00967A14"/>
    <w:rsid w:val="009703F9"/>
    <w:rsid w:val="00970856"/>
    <w:rsid w:val="00970F21"/>
    <w:rsid w:val="00971BA9"/>
    <w:rsid w:val="009723F7"/>
    <w:rsid w:val="0097332B"/>
    <w:rsid w:val="009738A5"/>
    <w:rsid w:val="00973FD9"/>
    <w:rsid w:val="00974990"/>
    <w:rsid w:val="00974BA6"/>
    <w:rsid w:val="009760AB"/>
    <w:rsid w:val="00976A1F"/>
    <w:rsid w:val="00976E0D"/>
    <w:rsid w:val="00976E8E"/>
    <w:rsid w:val="009774AA"/>
    <w:rsid w:val="00977A5A"/>
    <w:rsid w:val="0098034D"/>
    <w:rsid w:val="00980893"/>
    <w:rsid w:val="00981536"/>
    <w:rsid w:val="0098197C"/>
    <w:rsid w:val="009838EC"/>
    <w:rsid w:val="0098394C"/>
    <w:rsid w:val="009846D7"/>
    <w:rsid w:val="00984961"/>
    <w:rsid w:val="00984DF6"/>
    <w:rsid w:val="00985E74"/>
    <w:rsid w:val="0099159A"/>
    <w:rsid w:val="00993174"/>
    <w:rsid w:val="0099440D"/>
    <w:rsid w:val="00995A5F"/>
    <w:rsid w:val="00996156"/>
    <w:rsid w:val="00996F1B"/>
    <w:rsid w:val="00997711"/>
    <w:rsid w:val="009A145D"/>
    <w:rsid w:val="009A1FE1"/>
    <w:rsid w:val="009A2A5E"/>
    <w:rsid w:val="009A3AEC"/>
    <w:rsid w:val="009A4B00"/>
    <w:rsid w:val="009A4B58"/>
    <w:rsid w:val="009A59F3"/>
    <w:rsid w:val="009A66BA"/>
    <w:rsid w:val="009A72DC"/>
    <w:rsid w:val="009A7488"/>
    <w:rsid w:val="009B0F65"/>
    <w:rsid w:val="009B1592"/>
    <w:rsid w:val="009B24D7"/>
    <w:rsid w:val="009B2848"/>
    <w:rsid w:val="009B3206"/>
    <w:rsid w:val="009B4AE9"/>
    <w:rsid w:val="009B50B6"/>
    <w:rsid w:val="009B5141"/>
    <w:rsid w:val="009B7BFE"/>
    <w:rsid w:val="009C392D"/>
    <w:rsid w:val="009C54A1"/>
    <w:rsid w:val="009C603D"/>
    <w:rsid w:val="009C6AC3"/>
    <w:rsid w:val="009D053A"/>
    <w:rsid w:val="009D300F"/>
    <w:rsid w:val="009D328B"/>
    <w:rsid w:val="009D32CC"/>
    <w:rsid w:val="009D43AF"/>
    <w:rsid w:val="009D5D1B"/>
    <w:rsid w:val="009D622C"/>
    <w:rsid w:val="009D7757"/>
    <w:rsid w:val="009E050A"/>
    <w:rsid w:val="009E13A2"/>
    <w:rsid w:val="009E199B"/>
    <w:rsid w:val="009E2B44"/>
    <w:rsid w:val="009E35CF"/>
    <w:rsid w:val="009E36F9"/>
    <w:rsid w:val="009E3C2C"/>
    <w:rsid w:val="009E3E4F"/>
    <w:rsid w:val="009E469F"/>
    <w:rsid w:val="009E51B6"/>
    <w:rsid w:val="009E6169"/>
    <w:rsid w:val="009E722E"/>
    <w:rsid w:val="009E7721"/>
    <w:rsid w:val="009F04CC"/>
    <w:rsid w:val="009F0CBE"/>
    <w:rsid w:val="009F28AB"/>
    <w:rsid w:val="009F3E0C"/>
    <w:rsid w:val="009F5467"/>
    <w:rsid w:val="009F733E"/>
    <w:rsid w:val="009F7A73"/>
    <w:rsid w:val="00A018DB"/>
    <w:rsid w:val="00A01E70"/>
    <w:rsid w:val="00A02822"/>
    <w:rsid w:val="00A02A18"/>
    <w:rsid w:val="00A02BD2"/>
    <w:rsid w:val="00A03383"/>
    <w:rsid w:val="00A05E07"/>
    <w:rsid w:val="00A06203"/>
    <w:rsid w:val="00A07005"/>
    <w:rsid w:val="00A07692"/>
    <w:rsid w:val="00A10365"/>
    <w:rsid w:val="00A117E9"/>
    <w:rsid w:val="00A129AF"/>
    <w:rsid w:val="00A13D35"/>
    <w:rsid w:val="00A14202"/>
    <w:rsid w:val="00A1486B"/>
    <w:rsid w:val="00A15711"/>
    <w:rsid w:val="00A1673C"/>
    <w:rsid w:val="00A16D42"/>
    <w:rsid w:val="00A16F94"/>
    <w:rsid w:val="00A17E1B"/>
    <w:rsid w:val="00A2374C"/>
    <w:rsid w:val="00A237FD"/>
    <w:rsid w:val="00A23F0F"/>
    <w:rsid w:val="00A24249"/>
    <w:rsid w:val="00A24A0A"/>
    <w:rsid w:val="00A3209E"/>
    <w:rsid w:val="00A320E8"/>
    <w:rsid w:val="00A3217B"/>
    <w:rsid w:val="00A324AB"/>
    <w:rsid w:val="00A347E3"/>
    <w:rsid w:val="00A34FC2"/>
    <w:rsid w:val="00A36B97"/>
    <w:rsid w:val="00A3763A"/>
    <w:rsid w:val="00A37F8D"/>
    <w:rsid w:val="00A40310"/>
    <w:rsid w:val="00A418BF"/>
    <w:rsid w:val="00A42E35"/>
    <w:rsid w:val="00A43001"/>
    <w:rsid w:val="00A44124"/>
    <w:rsid w:val="00A447AB"/>
    <w:rsid w:val="00A45066"/>
    <w:rsid w:val="00A455DE"/>
    <w:rsid w:val="00A46E59"/>
    <w:rsid w:val="00A50004"/>
    <w:rsid w:val="00A5287E"/>
    <w:rsid w:val="00A52AD5"/>
    <w:rsid w:val="00A52E10"/>
    <w:rsid w:val="00A531D8"/>
    <w:rsid w:val="00A5332C"/>
    <w:rsid w:val="00A53FD8"/>
    <w:rsid w:val="00A541A4"/>
    <w:rsid w:val="00A541C0"/>
    <w:rsid w:val="00A54467"/>
    <w:rsid w:val="00A54E77"/>
    <w:rsid w:val="00A55C63"/>
    <w:rsid w:val="00A56191"/>
    <w:rsid w:val="00A57F12"/>
    <w:rsid w:val="00A60A95"/>
    <w:rsid w:val="00A61016"/>
    <w:rsid w:val="00A61427"/>
    <w:rsid w:val="00A6195E"/>
    <w:rsid w:val="00A62AC4"/>
    <w:rsid w:val="00A64FBE"/>
    <w:rsid w:val="00A65EC9"/>
    <w:rsid w:val="00A661B7"/>
    <w:rsid w:val="00A70DD4"/>
    <w:rsid w:val="00A711A6"/>
    <w:rsid w:val="00A71A9F"/>
    <w:rsid w:val="00A72470"/>
    <w:rsid w:val="00A732C9"/>
    <w:rsid w:val="00A7340D"/>
    <w:rsid w:val="00A745E3"/>
    <w:rsid w:val="00A74EE5"/>
    <w:rsid w:val="00A754CD"/>
    <w:rsid w:val="00A776FE"/>
    <w:rsid w:val="00A77D9C"/>
    <w:rsid w:val="00A77DE0"/>
    <w:rsid w:val="00A821BC"/>
    <w:rsid w:val="00A825A4"/>
    <w:rsid w:val="00A83125"/>
    <w:rsid w:val="00A83EC2"/>
    <w:rsid w:val="00A83FC6"/>
    <w:rsid w:val="00A84164"/>
    <w:rsid w:val="00A84182"/>
    <w:rsid w:val="00A84CA0"/>
    <w:rsid w:val="00A85A17"/>
    <w:rsid w:val="00A85FC6"/>
    <w:rsid w:val="00A86097"/>
    <w:rsid w:val="00A86E24"/>
    <w:rsid w:val="00A90599"/>
    <w:rsid w:val="00A9089E"/>
    <w:rsid w:val="00A90B40"/>
    <w:rsid w:val="00A92BD6"/>
    <w:rsid w:val="00A92DBA"/>
    <w:rsid w:val="00A94748"/>
    <w:rsid w:val="00A94B63"/>
    <w:rsid w:val="00A97242"/>
    <w:rsid w:val="00A9784D"/>
    <w:rsid w:val="00AA0341"/>
    <w:rsid w:val="00AA0625"/>
    <w:rsid w:val="00AA0D29"/>
    <w:rsid w:val="00AA1242"/>
    <w:rsid w:val="00AA1A3B"/>
    <w:rsid w:val="00AA2C4C"/>
    <w:rsid w:val="00AA39C0"/>
    <w:rsid w:val="00AA428E"/>
    <w:rsid w:val="00AA42C2"/>
    <w:rsid w:val="00AA482E"/>
    <w:rsid w:val="00AA4E82"/>
    <w:rsid w:val="00AA4FE2"/>
    <w:rsid w:val="00AB0509"/>
    <w:rsid w:val="00AB0763"/>
    <w:rsid w:val="00AB3514"/>
    <w:rsid w:val="00AB3974"/>
    <w:rsid w:val="00AB4080"/>
    <w:rsid w:val="00AB455F"/>
    <w:rsid w:val="00AB5890"/>
    <w:rsid w:val="00AB6269"/>
    <w:rsid w:val="00AB6886"/>
    <w:rsid w:val="00AC0FD5"/>
    <w:rsid w:val="00AC1046"/>
    <w:rsid w:val="00AC151A"/>
    <w:rsid w:val="00AC1D80"/>
    <w:rsid w:val="00AC2DEE"/>
    <w:rsid w:val="00AC3810"/>
    <w:rsid w:val="00AC3A65"/>
    <w:rsid w:val="00AC4C8C"/>
    <w:rsid w:val="00AC5924"/>
    <w:rsid w:val="00AC6D3A"/>
    <w:rsid w:val="00AC7B39"/>
    <w:rsid w:val="00AD07A1"/>
    <w:rsid w:val="00AD16CB"/>
    <w:rsid w:val="00AD37C8"/>
    <w:rsid w:val="00AD4C1E"/>
    <w:rsid w:val="00AD4C77"/>
    <w:rsid w:val="00AD561C"/>
    <w:rsid w:val="00AD5D0F"/>
    <w:rsid w:val="00AD61D4"/>
    <w:rsid w:val="00AD6744"/>
    <w:rsid w:val="00AD7089"/>
    <w:rsid w:val="00AE037F"/>
    <w:rsid w:val="00AE15A0"/>
    <w:rsid w:val="00AE230C"/>
    <w:rsid w:val="00AE2B09"/>
    <w:rsid w:val="00AE41C6"/>
    <w:rsid w:val="00AE498A"/>
    <w:rsid w:val="00AE4A71"/>
    <w:rsid w:val="00AE6F6E"/>
    <w:rsid w:val="00AE73EA"/>
    <w:rsid w:val="00AF173B"/>
    <w:rsid w:val="00AF1E29"/>
    <w:rsid w:val="00AF2C72"/>
    <w:rsid w:val="00AF2D6A"/>
    <w:rsid w:val="00AF4240"/>
    <w:rsid w:val="00AF4914"/>
    <w:rsid w:val="00AF5305"/>
    <w:rsid w:val="00AF5361"/>
    <w:rsid w:val="00AF5FB0"/>
    <w:rsid w:val="00AF73E3"/>
    <w:rsid w:val="00B00589"/>
    <w:rsid w:val="00B00879"/>
    <w:rsid w:val="00B019BD"/>
    <w:rsid w:val="00B019E3"/>
    <w:rsid w:val="00B02A37"/>
    <w:rsid w:val="00B02B09"/>
    <w:rsid w:val="00B0342D"/>
    <w:rsid w:val="00B03F60"/>
    <w:rsid w:val="00B05313"/>
    <w:rsid w:val="00B058DD"/>
    <w:rsid w:val="00B05BA7"/>
    <w:rsid w:val="00B05F76"/>
    <w:rsid w:val="00B0789D"/>
    <w:rsid w:val="00B07C46"/>
    <w:rsid w:val="00B10B3E"/>
    <w:rsid w:val="00B10C72"/>
    <w:rsid w:val="00B12A07"/>
    <w:rsid w:val="00B14D03"/>
    <w:rsid w:val="00B16167"/>
    <w:rsid w:val="00B16AE2"/>
    <w:rsid w:val="00B177A1"/>
    <w:rsid w:val="00B20C66"/>
    <w:rsid w:val="00B21668"/>
    <w:rsid w:val="00B21E40"/>
    <w:rsid w:val="00B21F92"/>
    <w:rsid w:val="00B22763"/>
    <w:rsid w:val="00B2436E"/>
    <w:rsid w:val="00B24798"/>
    <w:rsid w:val="00B24874"/>
    <w:rsid w:val="00B24F46"/>
    <w:rsid w:val="00B25F15"/>
    <w:rsid w:val="00B26CE5"/>
    <w:rsid w:val="00B311D5"/>
    <w:rsid w:val="00B3194F"/>
    <w:rsid w:val="00B324D1"/>
    <w:rsid w:val="00B32676"/>
    <w:rsid w:val="00B327FE"/>
    <w:rsid w:val="00B32FFC"/>
    <w:rsid w:val="00B3340D"/>
    <w:rsid w:val="00B336CF"/>
    <w:rsid w:val="00B33C03"/>
    <w:rsid w:val="00B34C76"/>
    <w:rsid w:val="00B35D6A"/>
    <w:rsid w:val="00B3616E"/>
    <w:rsid w:val="00B368E7"/>
    <w:rsid w:val="00B37F33"/>
    <w:rsid w:val="00B40059"/>
    <w:rsid w:val="00B41AC9"/>
    <w:rsid w:val="00B42DF3"/>
    <w:rsid w:val="00B43A56"/>
    <w:rsid w:val="00B441D2"/>
    <w:rsid w:val="00B4633D"/>
    <w:rsid w:val="00B46E87"/>
    <w:rsid w:val="00B50603"/>
    <w:rsid w:val="00B5060E"/>
    <w:rsid w:val="00B528DF"/>
    <w:rsid w:val="00B53580"/>
    <w:rsid w:val="00B550C7"/>
    <w:rsid w:val="00B55B2D"/>
    <w:rsid w:val="00B55C79"/>
    <w:rsid w:val="00B62357"/>
    <w:rsid w:val="00B62B86"/>
    <w:rsid w:val="00B62F86"/>
    <w:rsid w:val="00B6469A"/>
    <w:rsid w:val="00B66BB2"/>
    <w:rsid w:val="00B72335"/>
    <w:rsid w:val="00B727DB"/>
    <w:rsid w:val="00B7489F"/>
    <w:rsid w:val="00B74F4A"/>
    <w:rsid w:val="00B75009"/>
    <w:rsid w:val="00B753D4"/>
    <w:rsid w:val="00B75C2A"/>
    <w:rsid w:val="00B762C1"/>
    <w:rsid w:val="00B769B7"/>
    <w:rsid w:val="00B77016"/>
    <w:rsid w:val="00B7709E"/>
    <w:rsid w:val="00B7742B"/>
    <w:rsid w:val="00B77747"/>
    <w:rsid w:val="00B77ECC"/>
    <w:rsid w:val="00B8076D"/>
    <w:rsid w:val="00B810BC"/>
    <w:rsid w:val="00B815B2"/>
    <w:rsid w:val="00B81746"/>
    <w:rsid w:val="00B83870"/>
    <w:rsid w:val="00B8433E"/>
    <w:rsid w:val="00B8613D"/>
    <w:rsid w:val="00B86473"/>
    <w:rsid w:val="00B8724E"/>
    <w:rsid w:val="00B87AD5"/>
    <w:rsid w:val="00B902FA"/>
    <w:rsid w:val="00B9038A"/>
    <w:rsid w:val="00B90790"/>
    <w:rsid w:val="00B90938"/>
    <w:rsid w:val="00B90BD0"/>
    <w:rsid w:val="00B91F75"/>
    <w:rsid w:val="00B92507"/>
    <w:rsid w:val="00B93557"/>
    <w:rsid w:val="00B93AEB"/>
    <w:rsid w:val="00B94209"/>
    <w:rsid w:val="00B95565"/>
    <w:rsid w:val="00B96420"/>
    <w:rsid w:val="00B96A02"/>
    <w:rsid w:val="00B96CDD"/>
    <w:rsid w:val="00BA0D18"/>
    <w:rsid w:val="00BA1562"/>
    <w:rsid w:val="00BA1DBA"/>
    <w:rsid w:val="00BA2286"/>
    <w:rsid w:val="00BA41B2"/>
    <w:rsid w:val="00BA558C"/>
    <w:rsid w:val="00BA63E2"/>
    <w:rsid w:val="00BA7271"/>
    <w:rsid w:val="00BA7EBC"/>
    <w:rsid w:val="00BB01C2"/>
    <w:rsid w:val="00BB116A"/>
    <w:rsid w:val="00BB1794"/>
    <w:rsid w:val="00BB1E6E"/>
    <w:rsid w:val="00BB2279"/>
    <w:rsid w:val="00BB2790"/>
    <w:rsid w:val="00BB2841"/>
    <w:rsid w:val="00BB52C0"/>
    <w:rsid w:val="00BB55E6"/>
    <w:rsid w:val="00BB56E3"/>
    <w:rsid w:val="00BB64C8"/>
    <w:rsid w:val="00BB724A"/>
    <w:rsid w:val="00BB72FE"/>
    <w:rsid w:val="00BC1F11"/>
    <w:rsid w:val="00BC2049"/>
    <w:rsid w:val="00BC4737"/>
    <w:rsid w:val="00BC4BD9"/>
    <w:rsid w:val="00BC5E87"/>
    <w:rsid w:val="00BC757B"/>
    <w:rsid w:val="00BC7A21"/>
    <w:rsid w:val="00BD0668"/>
    <w:rsid w:val="00BD2F4B"/>
    <w:rsid w:val="00BD2FAB"/>
    <w:rsid w:val="00BD30E5"/>
    <w:rsid w:val="00BD3C0E"/>
    <w:rsid w:val="00BD423A"/>
    <w:rsid w:val="00BD44A1"/>
    <w:rsid w:val="00BD47C7"/>
    <w:rsid w:val="00BD489C"/>
    <w:rsid w:val="00BD5522"/>
    <w:rsid w:val="00BD61E8"/>
    <w:rsid w:val="00BD653D"/>
    <w:rsid w:val="00BD692D"/>
    <w:rsid w:val="00BD6AD8"/>
    <w:rsid w:val="00BD6E02"/>
    <w:rsid w:val="00BD759C"/>
    <w:rsid w:val="00BD79C1"/>
    <w:rsid w:val="00BD7C5E"/>
    <w:rsid w:val="00BE042B"/>
    <w:rsid w:val="00BE1086"/>
    <w:rsid w:val="00BE1EB9"/>
    <w:rsid w:val="00BE22AE"/>
    <w:rsid w:val="00BE279B"/>
    <w:rsid w:val="00BE3B1D"/>
    <w:rsid w:val="00BE49E1"/>
    <w:rsid w:val="00BE5899"/>
    <w:rsid w:val="00BE7A4D"/>
    <w:rsid w:val="00BF2303"/>
    <w:rsid w:val="00BF32E0"/>
    <w:rsid w:val="00BF3490"/>
    <w:rsid w:val="00BF35E6"/>
    <w:rsid w:val="00BF3C0B"/>
    <w:rsid w:val="00BF454D"/>
    <w:rsid w:val="00BF4DCD"/>
    <w:rsid w:val="00BF50C3"/>
    <w:rsid w:val="00BF57D2"/>
    <w:rsid w:val="00BF59A5"/>
    <w:rsid w:val="00BF5EDB"/>
    <w:rsid w:val="00BF6D5D"/>
    <w:rsid w:val="00BF7A06"/>
    <w:rsid w:val="00C006E7"/>
    <w:rsid w:val="00C00C52"/>
    <w:rsid w:val="00C00DAC"/>
    <w:rsid w:val="00C01483"/>
    <w:rsid w:val="00C03262"/>
    <w:rsid w:val="00C04686"/>
    <w:rsid w:val="00C05036"/>
    <w:rsid w:val="00C05B2E"/>
    <w:rsid w:val="00C0714A"/>
    <w:rsid w:val="00C102EB"/>
    <w:rsid w:val="00C10862"/>
    <w:rsid w:val="00C10F54"/>
    <w:rsid w:val="00C139ED"/>
    <w:rsid w:val="00C13B27"/>
    <w:rsid w:val="00C14E31"/>
    <w:rsid w:val="00C1505F"/>
    <w:rsid w:val="00C166A3"/>
    <w:rsid w:val="00C16741"/>
    <w:rsid w:val="00C17BD9"/>
    <w:rsid w:val="00C20E6C"/>
    <w:rsid w:val="00C227F9"/>
    <w:rsid w:val="00C229F8"/>
    <w:rsid w:val="00C24725"/>
    <w:rsid w:val="00C26354"/>
    <w:rsid w:val="00C26513"/>
    <w:rsid w:val="00C2685E"/>
    <w:rsid w:val="00C26A00"/>
    <w:rsid w:val="00C30E63"/>
    <w:rsid w:val="00C30E89"/>
    <w:rsid w:val="00C3123F"/>
    <w:rsid w:val="00C33DB9"/>
    <w:rsid w:val="00C3589D"/>
    <w:rsid w:val="00C35FB7"/>
    <w:rsid w:val="00C365F4"/>
    <w:rsid w:val="00C37DD4"/>
    <w:rsid w:val="00C41722"/>
    <w:rsid w:val="00C42DA2"/>
    <w:rsid w:val="00C45577"/>
    <w:rsid w:val="00C45F5C"/>
    <w:rsid w:val="00C47F0D"/>
    <w:rsid w:val="00C5014D"/>
    <w:rsid w:val="00C50F1E"/>
    <w:rsid w:val="00C5131D"/>
    <w:rsid w:val="00C5326E"/>
    <w:rsid w:val="00C535D9"/>
    <w:rsid w:val="00C539A3"/>
    <w:rsid w:val="00C53A12"/>
    <w:rsid w:val="00C53B04"/>
    <w:rsid w:val="00C54038"/>
    <w:rsid w:val="00C55251"/>
    <w:rsid w:val="00C55346"/>
    <w:rsid w:val="00C5662E"/>
    <w:rsid w:val="00C56631"/>
    <w:rsid w:val="00C56EA7"/>
    <w:rsid w:val="00C57785"/>
    <w:rsid w:val="00C6037E"/>
    <w:rsid w:val="00C606A5"/>
    <w:rsid w:val="00C609E4"/>
    <w:rsid w:val="00C60BC6"/>
    <w:rsid w:val="00C60CF6"/>
    <w:rsid w:val="00C6140F"/>
    <w:rsid w:val="00C625B4"/>
    <w:rsid w:val="00C65217"/>
    <w:rsid w:val="00C65737"/>
    <w:rsid w:val="00C66F46"/>
    <w:rsid w:val="00C67325"/>
    <w:rsid w:val="00C7110A"/>
    <w:rsid w:val="00C71217"/>
    <w:rsid w:val="00C722F1"/>
    <w:rsid w:val="00C724A4"/>
    <w:rsid w:val="00C7260F"/>
    <w:rsid w:val="00C72CD9"/>
    <w:rsid w:val="00C735C1"/>
    <w:rsid w:val="00C741A3"/>
    <w:rsid w:val="00C76394"/>
    <w:rsid w:val="00C808AF"/>
    <w:rsid w:val="00C817E1"/>
    <w:rsid w:val="00C82D06"/>
    <w:rsid w:val="00C82E13"/>
    <w:rsid w:val="00C83563"/>
    <w:rsid w:val="00C86975"/>
    <w:rsid w:val="00C871E5"/>
    <w:rsid w:val="00C87E95"/>
    <w:rsid w:val="00C91057"/>
    <w:rsid w:val="00C917DF"/>
    <w:rsid w:val="00C92245"/>
    <w:rsid w:val="00C92FCD"/>
    <w:rsid w:val="00C93A1B"/>
    <w:rsid w:val="00C9413E"/>
    <w:rsid w:val="00C942B6"/>
    <w:rsid w:val="00C94C9F"/>
    <w:rsid w:val="00C969CD"/>
    <w:rsid w:val="00CA0154"/>
    <w:rsid w:val="00CA04D5"/>
    <w:rsid w:val="00CA0771"/>
    <w:rsid w:val="00CA122C"/>
    <w:rsid w:val="00CA283B"/>
    <w:rsid w:val="00CA2885"/>
    <w:rsid w:val="00CA2AD6"/>
    <w:rsid w:val="00CA3929"/>
    <w:rsid w:val="00CA4EB0"/>
    <w:rsid w:val="00CA626E"/>
    <w:rsid w:val="00CA631F"/>
    <w:rsid w:val="00CA63A3"/>
    <w:rsid w:val="00CA658E"/>
    <w:rsid w:val="00CA76F2"/>
    <w:rsid w:val="00CA7B69"/>
    <w:rsid w:val="00CB039F"/>
    <w:rsid w:val="00CB2215"/>
    <w:rsid w:val="00CB35DD"/>
    <w:rsid w:val="00CB5C48"/>
    <w:rsid w:val="00CB6A9F"/>
    <w:rsid w:val="00CB7E95"/>
    <w:rsid w:val="00CC000C"/>
    <w:rsid w:val="00CC19C0"/>
    <w:rsid w:val="00CC1BAA"/>
    <w:rsid w:val="00CC1C59"/>
    <w:rsid w:val="00CC1D45"/>
    <w:rsid w:val="00CC1F98"/>
    <w:rsid w:val="00CC3A2F"/>
    <w:rsid w:val="00CC7786"/>
    <w:rsid w:val="00CD013B"/>
    <w:rsid w:val="00CD0CCA"/>
    <w:rsid w:val="00CD0F36"/>
    <w:rsid w:val="00CD1AB5"/>
    <w:rsid w:val="00CD25FC"/>
    <w:rsid w:val="00CD43AD"/>
    <w:rsid w:val="00CD474C"/>
    <w:rsid w:val="00CD4DEE"/>
    <w:rsid w:val="00CD6AAD"/>
    <w:rsid w:val="00CD6C79"/>
    <w:rsid w:val="00CD7E24"/>
    <w:rsid w:val="00CE22E3"/>
    <w:rsid w:val="00CE25FA"/>
    <w:rsid w:val="00CE4F8C"/>
    <w:rsid w:val="00CE5A50"/>
    <w:rsid w:val="00CE5D23"/>
    <w:rsid w:val="00CE6BBE"/>
    <w:rsid w:val="00CE77EA"/>
    <w:rsid w:val="00CE7A8D"/>
    <w:rsid w:val="00CF06E2"/>
    <w:rsid w:val="00CF19E2"/>
    <w:rsid w:val="00CF28F6"/>
    <w:rsid w:val="00CF45C0"/>
    <w:rsid w:val="00CF5236"/>
    <w:rsid w:val="00CF5607"/>
    <w:rsid w:val="00CF7849"/>
    <w:rsid w:val="00D00B2E"/>
    <w:rsid w:val="00D01331"/>
    <w:rsid w:val="00D0161B"/>
    <w:rsid w:val="00D0469C"/>
    <w:rsid w:val="00D05291"/>
    <w:rsid w:val="00D06BAC"/>
    <w:rsid w:val="00D07C48"/>
    <w:rsid w:val="00D07F8F"/>
    <w:rsid w:val="00D1175E"/>
    <w:rsid w:val="00D1358D"/>
    <w:rsid w:val="00D13865"/>
    <w:rsid w:val="00D13C8D"/>
    <w:rsid w:val="00D15B32"/>
    <w:rsid w:val="00D16A44"/>
    <w:rsid w:val="00D17577"/>
    <w:rsid w:val="00D17A16"/>
    <w:rsid w:val="00D17A5C"/>
    <w:rsid w:val="00D202AF"/>
    <w:rsid w:val="00D207C8"/>
    <w:rsid w:val="00D20BDB"/>
    <w:rsid w:val="00D20E58"/>
    <w:rsid w:val="00D2108B"/>
    <w:rsid w:val="00D21646"/>
    <w:rsid w:val="00D2213F"/>
    <w:rsid w:val="00D23368"/>
    <w:rsid w:val="00D24559"/>
    <w:rsid w:val="00D2513F"/>
    <w:rsid w:val="00D25246"/>
    <w:rsid w:val="00D25441"/>
    <w:rsid w:val="00D26935"/>
    <w:rsid w:val="00D272CC"/>
    <w:rsid w:val="00D30492"/>
    <w:rsid w:val="00D3699B"/>
    <w:rsid w:val="00D41ACF"/>
    <w:rsid w:val="00D430BD"/>
    <w:rsid w:val="00D43189"/>
    <w:rsid w:val="00D45326"/>
    <w:rsid w:val="00D45702"/>
    <w:rsid w:val="00D4730D"/>
    <w:rsid w:val="00D515A3"/>
    <w:rsid w:val="00D51809"/>
    <w:rsid w:val="00D51F07"/>
    <w:rsid w:val="00D52542"/>
    <w:rsid w:val="00D528A4"/>
    <w:rsid w:val="00D5332F"/>
    <w:rsid w:val="00D539A9"/>
    <w:rsid w:val="00D53E41"/>
    <w:rsid w:val="00D54880"/>
    <w:rsid w:val="00D558ED"/>
    <w:rsid w:val="00D5708C"/>
    <w:rsid w:val="00D57A33"/>
    <w:rsid w:val="00D57D2E"/>
    <w:rsid w:val="00D60328"/>
    <w:rsid w:val="00D60350"/>
    <w:rsid w:val="00D64F5F"/>
    <w:rsid w:val="00D66CFB"/>
    <w:rsid w:val="00D67458"/>
    <w:rsid w:val="00D70314"/>
    <w:rsid w:val="00D70330"/>
    <w:rsid w:val="00D71016"/>
    <w:rsid w:val="00D7423E"/>
    <w:rsid w:val="00D7456C"/>
    <w:rsid w:val="00D74C35"/>
    <w:rsid w:val="00D74C9E"/>
    <w:rsid w:val="00D75C36"/>
    <w:rsid w:val="00D75F5A"/>
    <w:rsid w:val="00D7662B"/>
    <w:rsid w:val="00D77632"/>
    <w:rsid w:val="00D7763D"/>
    <w:rsid w:val="00D77B87"/>
    <w:rsid w:val="00D8029E"/>
    <w:rsid w:val="00D806B2"/>
    <w:rsid w:val="00D828D7"/>
    <w:rsid w:val="00D83C2F"/>
    <w:rsid w:val="00D840BB"/>
    <w:rsid w:val="00D863C7"/>
    <w:rsid w:val="00D86490"/>
    <w:rsid w:val="00D87327"/>
    <w:rsid w:val="00D9057E"/>
    <w:rsid w:val="00D9058C"/>
    <w:rsid w:val="00D90BA6"/>
    <w:rsid w:val="00D91D40"/>
    <w:rsid w:val="00D9338C"/>
    <w:rsid w:val="00D94CB6"/>
    <w:rsid w:val="00D95A38"/>
    <w:rsid w:val="00D95BCB"/>
    <w:rsid w:val="00D96E3D"/>
    <w:rsid w:val="00D970E1"/>
    <w:rsid w:val="00D977C5"/>
    <w:rsid w:val="00DA02D4"/>
    <w:rsid w:val="00DA08C1"/>
    <w:rsid w:val="00DA1702"/>
    <w:rsid w:val="00DA1A0F"/>
    <w:rsid w:val="00DA2040"/>
    <w:rsid w:val="00DA2A28"/>
    <w:rsid w:val="00DA329C"/>
    <w:rsid w:val="00DA36E1"/>
    <w:rsid w:val="00DA4416"/>
    <w:rsid w:val="00DA47CA"/>
    <w:rsid w:val="00DA60D1"/>
    <w:rsid w:val="00DA7F73"/>
    <w:rsid w:val="00DB19D7"/>
    <w:rsid w:val="00DB3582"/>
    <w:rsid w:val="00DB4C0B"/>
    <w:rsid w:val="00DB561E"/>
    <w:rsid w:val="00DB5986"/>
    <w:rsid w:val="00DB6571"/>
    <w:rsid w:val="00DB66F4"/>
    <w:rsid w:val="00DB6D45"/>
    <w:rsid w:val="00DB6EA6"/>
    <w:rsid w:val="00DC023A"/>
    <w:rsid w:val="00DC1789"/>
    <w:rsid w:val="00DC17B6"/>
    <w:rsid w:val="00DC2473"/>
    <w:rsid w:val="00DC3037"/>
    <w:rsid w:val="00DC323D"/>
    <w:rsid w:val="00DC4011"/>
    <w:rsid w:val="00DC4385"/>
    <w:rsid w:val="00DC4405"/>
    <w:rsid w:val="00DC61BF"/>
    <w:rsid w:val="00DC662F"/>
    <w:rsid w:val="00DC6869"/>
    <w:rsid w:val="00DC6CF8"/>
    <w:rsid w:val="00DC7EEC"/>
    <w:rsid w:val="00DD29B1"/>
    <w:rsid w:val="00DD315A"/>
    <w:rsid w:val="00DD3FE2"/>
    <w:rsid w:val="00DD4E7C"/>
    <w:rsid w:val="00DD528F"/>
    <w:rsid w:val="00DD53CA"/>
    <w:rsid w:val="00DD5604"/>
    <w:rsid w:val="00DD6FE7"/>
    <w:rsid w:val="00DE0014"/>
    <w:rsid w:val="00DE00ED"/>
    <w:rsid w:val="00DE1ABD"/>
    <w:rsid w:val="00DE1B5A"/>
    <w:rsid w:val="00DE2312"/>
    <w:rsid w:val="00DE587E"/>
    <w:rsid w:val="00DF0757"/>
    <w:rsid w:val="00DF0903"/>
    <w:rsid w:val="00DF1E22"/>
    <w:rsid w:val="00DF20FB"/>
    <w:rsid w:val="00DF37B3"/>
    <w:rsid w:val="00DF3B95"/>
    <w:rsid w:val="00DF4080"/>
    <w:rsid w:val="00DF5E6B"/>
    <w:rsid w:val="00DF6A27"/>
    <w:rsid w:val="00DF6C44"/>
    <w:rsid w:val="00DF6C91"/>
    <w:rsid w:val="00DF707E"/>
    <w:rsid w:val="00DF76A1"/>
    <w:rsid w:val="00E01EAC"/>
    <w:rsid w:val="00E023AA"/>
    <w:rsid w:val="00E02D16"/>
    <w:rsid w:val="00E03424"/>
    <w:rsid w:val="00E0451F"/>
    <w:rsid w:val="00E06C7D"/>
    <w:rsid w:val="00E074FD"/>
    <w:rsid w:val="00E103C4"/>
    <w:rsid w:val="00E11A36"/>
    <w:rsid w:val="00E1257E"/>
    <w:rsid w:val="00E126BD"/>
    <w:rsid w:val="00E1277C"/>
    <w:rsid w:val="00E12A40"/>
    <w:rsid w:val="00E12AAC"/>
    <w:rsid w:val="00E12D87"/>
    <w:rsid w:val="00E13246"/>
    <w:rsid w:val="00E1391F"/>
    <w:rsid w:val="00E14306"/>
    <w:rsid w:val="00E16960"/>
    <w:rsid w:val="00E17BB3"/>
    <w:rsid w:val="00E22C34"/>
    <w:rsid w:val="00E23305"/>
    <w:rsid w:val="00E23C1A"/>
    <w:rsid w:val="00E23CEA"/>
    <w:rsid w:val="00E2676A"/>
    <w:rsid w:val="00E2738F"/>
    <w:rsid w:val="00E279DA"/>
    <w:rsid w:val="00E27FEA"/>
    <w:rsid w:val="00E328B6"/>
    <w:rsid w:val="00E33455"/>
    <w:rsid w:val="00E337DF"/>
    <w:rsid w:val="00E33D28"/>
    <w:rsid w:val="00E34BC4"/>
    <w:rsid w:val="00E350B9"/>
    <w:rsid w:val="00E35FD3"/>
    <w:rsid w:val="00E36003"/>
    <w:rsid w:val="00E36EC8"/>
    <w:rsid w:val="00E37666"/>
    <w:rsid w:val="00E37BB8"/>
    <w:rsid w:val="00E4039E"/>
    <w:rsid w:val="00E408CB"/>
    <w:rsid w:val="00E41851"/>
    <w:rsid w:val="00E421CD"/>
    <w:rsid w:val="00E42292"/>
    <w:rsid w:val="00E4339E"/>
    <w:rsid w:val="00E43935"/>
    <w:rsid w:val="00E43DB4"/>
    <w:rsid w:val="00E43E39"/>
    <w:rsid w:val="00E43F43"/>
    <w:rsid w:val="00E45384"/>
    <w:rsid w:val="00E4677D"/>
    <w:rsid w:val="00E4697D"/>
    <w:rsid w:val="00E473BC"/>
    <w:rsid w:val="00E50357"/>
    <w:rsid w:val="00E50F63"/>
    <w:rsid w:val="00E514A5"/>
    <w:rsid w:val="00E519EA"/>
    <w:rsid w:val="00E52027"/>
    <w:rsid w:val="00E520EF"/>
    <w:rsid w:val="00E52523"/>
    <w:rsid w:val="00E542AB"/>
    <w:rsid w:val="00E549BC"/>
    <w:rsid w:val="00E55BB2"/>
    <w:rsid w:val="00E60869"/>
    <w:rsid w:val="00E60B24"/>
    <w:rsid w:val="00E60BDD"/>
    <w:rsid w:val="00E61ACD"/>
    <w:rsid w:val="00E62C90"/>
    <w:rsid w:val="00E634B3"/>
    <w:rsid w:val="00E650E8"/>
    <w:rsid w:val="00E657CE"/>
    <w:rsid w:val="00E70512"/>
    <w:rsid w:val="00E72E00"/>
    <w:rsid w:val="00E735CF"/>
    <w:rsid w:val="00E74484"/>
    <w:rsid w:val="00E76931"/>
    <w:rsid w:val="00E76D4C"/>
    <w:rsid w:val="00E76E60"/>
    <w:rsid w:val="00E76FAD"/>
    <w:rsid w:val="00E77DC5"/>
    <w:rsid w:val="00E80197"/>
    <w:rsid w:val="00E80927"/>
    <w:rsid w:val="00E84170"/>
    <w:rsid w:val="00E84846"/>
    <w:rsid w:val="00E85161"/>
    <w:rsid w:val="00E85D80"/>
    <w:rsid w:val="00E87480"/>
    <w:rsid w:val="00E87BE9"/>
    <w:rsid w:val="00E9019C"/>
    <w:rsid w:val="00E909AA"/>
    <w:rsid w:val="00E9296D"/>
    <w:rsid w:val="00E92B53"/>
    <w:rsid w:val="00E9509A"/>
    <w:rsid w:val="00E967F2"/>
    <w:rsid w:val="00E96E16"/>
    <w:rsid w:val="00E978A8"/>
    <w:rsid w:val="00EA018A"/>
    <w:rsid w:val="00EA062C"/>
    <w:rsid w:val="00EA0DC4"/>
    <w:rsid w:val="00EA0DD8"/>
    <w:rsid w:val="00EA147F"/>
    <w:rsid w:val="00EA148D"/>
    <w:rsid w:val="00EA1579"/>
    <w:rsid w:val="00EA2062"/>
    <w:rsid w:val="00EA2FA5"/>
    <w:rsid w:val="00EA33A7"/>
    <w:rsid w:val="00EA78AE"/>
    <w:rsid w:val="00EB1E31"/>
    <w:rsid w:val="00EB1E69"/>
    <w:rsid w:val="00EB275B"/>
    <w:rsid w:val="00EB28F0"/>
    <w:rsid w:val="00EB2A44"/>
    <w:rsid w:val="00EB4D5F"/>
    <w:rsid w:val="00EB583D"/>
    <w:rsid w:val="00EB6C58"/>
    <w:rsid w:val="00EC0994"/>
    <w:rsid w:val="00EC1159"/>
    <w:rsid w:val="00EC11CB"/>
    <w:rsid w:val="00EC220A"/>
    <w:rsid w:val="00EC2697"/>
    <w:rsid w:val="00EC4D28"/>
    <w:rsid w:val="00EC5CF8"/>
    <w:rsid w:val="00EC61A3"/>
    <w:rsid w:val="00EC645D"/>
    <w:rsid w:val="00EC6B23"/>
    <w:rsid w:val="00EC6FD9"/>
    <w:rsid w:val="00ED02FC"/>
    <w:rsid w:val="00ED4F85"/>
    <w:rsid w:val="00ED501D"/>
    <w:rsid w:val="00ED6E3F"/>
    <w:rsid w:val="00ED6FE7"/>
    <w:rsid w:val="00ED7D48"/>
    <w:rsid w:val="00EE034B"/>
    <w:rsid w:val="00EE0671"/>
    <w:rsid w:val="00EE0ACB"/>
    <w:rsid w:val="00EE0DB2"/>
    <w:rsid w:val="00EE1C4F"/>
    <w:rsid w:val="00EE278E"/>
    <w:rsid w:val="00EE2A43"/>
    <w:rsid w:val="00EE3F91"/>
    <w:rsid w:val="00EE4D6C"/>
    <w:rsid w:val="00EE687A"/>
    <w:rsid w:val="00EE7C26"/>
    <w:rsid w:val="00EF044C"/>
    <w:rsid w:val="00EF0838"/>
    <w:rsid w:val="00EF26D2"/>
    <w:rsid w:val="00EF271B"/>
    <w:rsid w:val="00EF29BF"/>
    <w:rsid w:val="00EF363A"/>
    <w:rsid w:val="00EF3C6F"/>
    <w:rsid w:val="00EF5265"/>
    <w:rsid w:val="00EF6C5B"/>
    <w:rsid w:val="00EF7CD4"/>
    <w:rsid w:val="00F0110F"/>
    <w:rsid w:val="00F02607"/>
    <w:rsid w:val="00F02737"/>
    <w:rsid w:val="00F04341"/>
    <w:rsid w:val="00F04401"/>
    <w:rsid w:val="00F04FE1"/>
    <w:rsid w:val="00F0513E"/>
    <w:rsid w:val="00F05BAE"/>
    <w:rsid w:val="00F06381"/>
    <w:rsid w:val="00F06F12"/>
    <w:rsid w:val="00F07766"/>
    <w:rsid w:val="00F12575"/>
    <w:rsid w:val="00F133C0"/>
    <w:rsid w:val="00F137F0"/>
    <w:rsid w:val="00F1471A"/>
    <w:rsid w:val="00F14756"/>
    <w:rsid w:val="00F16121"/>
    <w:rsid w:val="00F174F8"/>
    <w:rsid w:val="00F2103F"/>
    <w:rsid w:val="00F21926"/>
    <w:rsid w:val="00F21B11"/>
    <w:rsid w:val="00F21FE4"/>
    <w:rsid w:val="00F22A6B"/>
    <w:rsid w:val="00F240EA"/>
    <w:rsid w:val="00F27E88"/>
    <w:rsid w:val="00F300FD"/>
    <w:rsid w:val="00F3234F"/>
    <w:rsid w:val="00F339A1"/>
    <w:rsid w:val="00F33CB4"/>
    <w:rsid w:val="00F33E37"/>
    <w:rsid w:val="00F33FB1"/>
    <w:rsid w:val="00F350EC"/>
    <w:rsid w:val="00F365ED"/>
    <w:rsid w:val="00F36DA7"/>
    <w:rsid w:val="00F3780E"/>
    <w:rsid w:val="00F37A62"/>
    <w:rsid w:val="00F37C30"/>
    <w:rsid w:val="00F40AA6"/>
    <w:rsid w:val="00F425F0"/>
    <w:rsid w:val="00F43817"/>
    <w:rsid w:val="00F43AFA"/>
    <w:rsid w:val="00F4492A"/>
    <w:rsid w:val="00F44F65"/>
    <w:rsid w:val="00F45435"/>
    <w:rsid w:val="00F459DE"/>
    <w:rsid w:val="00F45C00"/>
    <w:rsid w:val="00F47F4D"/>
    <w:rsid w:val="00F50C0E"/>
    <w:rsid w:val="00F535E6"/>
    <w:rsid w:val="00F56217"/>
    <w:rsid w:val="00F56886"/>
    <w:rsid w:val="00F60063"/>
    <w:rsid w:val="00F6067E"/>
    <w:rsid w:val="00F62126"/>
    <w:rsid w:val="00F62E24"/>
    <w:rsid w:val="00F66EAD"/>
    <w:rsid w:val="00F67DEB"/>
    <w:rsid w:val="00F70FE7"/>
    <w:rsid w:val="00F710B4"/>
    <w:rsid w:val="00F712E9"/>
    <w:rsid w:val="00F71323"/>
    <w:rsid w:val="00F71B42"/>
    <w:rsid w:val="00F74DDD"/>
    <w:rsid w:val="00F75457"/>
    <w:rsid w:val="00F758C4"/>
    <w:rsid w:val="00F76AC0"/>
    <w:rsid w:val="00F77110"/>
    <w:rsid w:val="00F77A64"/>
    <w:rsid w:val="00F806A2"/>
    <w:rsid w:val="00F814EC"/>
    <w:rsid w:val="00F817E2"/>
    <w:rsid w:val="00F82570"/>
    <w:rsid w:val="00F834BC"/>
    <w:rsid w:val="00F835E3"/>
    <w:rsid w:val="00F838A0"/>
    <w:rsid w:val="00F838DD"/>
    <w:rsid w:val="00F83FA3"/>
    <w:rsid w:val="00F84734"/>
    <w:rsid w:val="00F8611F"/>
    <w:rsid w:val="00F86620"/>
    <w:rsid w:val="00F87A80"/>
    <w:rsid w:val="00F90362"/>
    <w:rsid w:val="00F90900"/>
    <w:rsid w:val="00F90BE3"/>
    <w:rsid w:val="00F91ACE"/>
    <w:rsid w:val="00F92AA6"/>
    <w:rsid w:val="00F9483E"/>
    <w:rsid w:val="00F94C6D"/>
    <w:rsid w:val="00F95F97"/>
    <w:rsid w:val="00F966C7"/>
    <w:rsid w:val="00F96C28"/>
    <w:rsid w:val="00F97B72"/>
    <w:rsid w:val="00FA0ED8"/>
    <w:rsid w:val="00FA2C63"/>
    <w:rsid w:val="00FA2D9F"/>
    <w:rsid w:val="00FA2ED6"/>
    <w:rsid w:val="00FA3006"/>
    <w:rsid w:val="00FA518D"/>
    <w:rsid w:val="00FA59E1"/>
    <w:rsid w:val="00FA63B3"/>
    <w:rsid w:val="00FA6675"/>
    <w:rsid w:val="00FA7152"/>
    <w:rsid w:val="00FB01DE"/>
    <w:rsid w:val="00FB0FCA"/>
    <w:rsid w:val="00FB1371"/>
    <w:rsid w:val="00FB23EA"/>
    <w:rsid w:val="00FB2471"/>
    <w:rsid w:val="00FB299E"/>
    <w:rsid w:val="00FB29CD"/>
    <w:rsid w:val="00FB2F01"/>
    <w:rsid w:val="00FB34EB"/>
    <w:rsid w:val="00FB3B37"/>
    <w:rsid w:val="00FB433E"/>
    <w:rsid w:val="00FB6301"/>
    <w:rsid w:val="00FC1A97"/>
    <w:rsid w:val="00FC3432"/>
    <w:rsid w:val="00FC6A16"/>
    <w:rsid w:val="00FC6C34"/>
    <w:rsid w:val="00FC6D69"/>
    <w:rsid w:val="00FD2F92"/>
    <w:rsid w:val="00FD7388"/>
    <w:rsid w:val="00FD7A0C"/>
    <w:rsid w:val="00FD7F9E"/>
    <w:rsid w:val="00FE0173"/>
    <w:rsid w:val="00FE01A8"/>
    <w:rsid w:val="00FE04B5"/>
    <w:rsid w:val="00FE0AF2"/>
    <w:rsid w:val="00FE1F90"/>
    <w:rsid w:val="00FE3408"/>
    <w:rsid w:val="00FE46AD"/>
    <w:rsid w:val="00FE4719"/>
    <w:rsid w:val="00FE4A44"/>
    <w:rsid w:val="00FE5696"/>
    <w:rsid w:val="00FE6AEA"/>
    <w:rsid w:val="00FE7B94"/>
    <w:rsid w:val="00FE7F1E"/>
    <w:rsid w:val="00FF1035"/>
    <w:rsid w:val="00FF2BFB"/>
    <w:rsid w:val="00FF2C04"/>
    <w:rsid w:val="00FF30BC"/>
    <w:rsid w:val="00FF3D6F"/>
    <w:rsid w:val="00FF4672"/>
    <w:rsid w:val="00FF4836"/>
    <w:rsid w:val="00FF584C"/>
    <w:rsid w:val="00FF6170"/>
    <w:rsid w:val="00FF7086"/>
    <w:rsid w:val="01205D5C"/>
    <w:rsid w:val="012D44B0"/>
    <w:rsid w:val="0130595A"/>
    <w:rsid w:val="01505550"/>
    <w:rsid w:val="01525F9E"/>
    <w:rsid w:val="0156308C"/>
    <w:rsid w:val="018362EB"/>
    <w:rsid w:val="018B1C01"/>
    <w:rsid w:val="019726A7"/>
    <w:rsid w:val="01CC50FF"/>
    <w:rsid w:val="01CF7782"/>
    <w:rsid w:val="01D45D8F"/>
    <w:rsid w:val="01FA01CD"/>
    <w:rsid w:val="02241011"/>
    <w:rsid w:val="02C45698"/>
    <w:rsid w:val="02DC6FD5"/>
    <w:rsid w:val="02F6716B"/>
    <w:rsid w:val="030F0E24"/>
    <w:rsid w:val="03243133"/>
    <w:rsid w:val="032F05C3"/>
    <w:rsid w:val="03323B24"/>
    <w:rsid w:val="033C0E47"/>
    <w:rsid w:val="035467D9"/>
    <w:rsid w:val="035B12CD"/>
    <w:rsid w:val="03962305"/>
    <w:rsid w:val="03C4295A"/>
    <w:rsid w:val="03E47CA3"/>
    <w:rsid w:val="03FD0897"/>
    <w:rsid w:val="04420DE4"/>
    <w:rsid w:val="046A4BC7"/>
    <w:rsid w:val="04BA4312"/>
    <w:rsid w:val="04BF0955"/>
    <w:rsid w:val="04E470A0"/>
    <w:rsid w:val="04E951E7"/>
    <w:rsid w:val="04EE6F39"/>
    <w:rsid w:val="05084198"/>
    <w:rsid w:val="05177476"/>
    <w:rsid w:val="05677E69"/>
    <w:rsid w:val="05771B25"/>
    <w:rsid w:val="05823F16"/>
    <w:rsid w:val="058704B0"/>
    <w:rsid w:val="05A26E94"/>
    <w:rsid w:val="05B01562"/>
    <w:rsid w:val="05BA4024"/>
    <w:rsid w:val="05CF1AFF"/>
    <w:rsid w:val="05D520CE"/>
    <w:rsid w:val="05F15F19"/>
    <w:rsid w:val="05F31D1A"/>
    <w:rsid w:val="061C410F"/>
    <w:rsid w:val="065C34EC"/>
    <w:rsid w:val="06646A88"/>
    <w:rsid w:val="066D7B6C"/>
    <w:rsid w:val="06900B3E"/>
    <w:rsid w:val="06921D2E"/>
    <w:rsid w:val="070A616A"/>
    <w:rsid w:val="07182AFC"/>
    <w:rsid w:val="07441960"/>
    <w:rsid w:val="07697D31"/>
    <w:rsid w:val="078D7874"/>
    <w:rsid w:val="07AF50B9"/>
    <w:rsid w:val="07D00CB7"/>
    <w:rsid w:val="07D94090"/>
    <w:rsid w:val="08452820"/>
    <w:rsid w:val="084738DF"/>
    <w:rsid w:val="084C5688"/>
    <w:rsid w:val="085409E1"/>
    <w:rsid w:val="086F3665"/>
    <w:rsid w:val="087566B7"/>
    <w:rsid w:val="08A92ADB"/>
    <w:rsid w:val="08C47915"/>
    <w:rsid w:val="08E9552D"/>
    <w:rsid w:val="08F227C7"/>
    <w:rsid w:val="09207C05"/>
    <w:rsid w:val="097F55EA"/>
    <w:rsid w:val="09816A7D"/>
    <w:rsid w:val="098970D2"/>
    <w:rsid w:val="09A61163"/>
    <w:rsid w:val="09AB2883"/>
    <w:rsid w:val="09E05B1B"/>
    <w:rsid w:val="09F23DE4"/>
    <w:rsid w:val="0A0073E9"/>
    <w:rsid w:val="0A010578"/>
    <w:rsid w:val="0A054A20"/>
    <w:rsid w:val="0A2D72B4"/>
    <w:rsid w:val="0A2E2B51"/>
    <w:rsid w:val="0A3B4CF8"/>
    <w:rsid w:val="0A421BEA"/>
    <w:rsid w:val="0A5F1495"/>
    <w:rsid w:val="0A7C3745"/>
    <w:rsid w:val="0AAC6AA7"/>
    <w:rsid w:val="0AB17097"/>
    <w:rsid w:val="0AB66548"/>
    <w:rsid w:val="0AC74ABE"/>
    <w:rsid w:val="0ACE4A7B"/>
    <w:rsid w:val="0ACF3C35"/>
    <w:rsid w:val="0AD21E61"/>
    <w:rsid w:val="0AEE0C79"/>
    <w:rsid w:val="0AFE7B1F"/>
    <w:rsid w:val="0B443CAE"/>
    <w:rsid w:val="0B7713DE"/>
    <w:rsid w:val="0B8E2E31"/>
    <w:rsid w:val="0B974E6D"/>
    <w:rsid w:val="0B995A3F"/>
    <w:rsid w:val="0BBA62E2"/>
    <w:rsid w:val="0BEA2FAF"/>
    <w:rsid w:val="0BF1626A"/>
    <w:rsid w:val="0C1E3E30"/>
    <w:rsid w:val="0C1F2AF1"/>
    <w:rsid w:val="0C853B1A"/>
    <w:rsid w:val="0CAC39D9"/>
    <w:rsid w:val="0CB657C6"/>
    <w:rsid w:val="0CC46135"/>
    <w:rsid w:val="0CC52DB8"/>
    <w:rsid w:val="0CCC76D6"/>
    <w:rsid w:val="0CE81282"/>
    <w:rsid w:val="0CEB6D41"/>
    <w:rsid w:val="0CED751E"/>
    <w:rsid w:val="0CF31BCF"/>
    <w:rsid w:val="0D112137"/>
    <w:rsid w:val="0D280DA5"/>
    <w:rsid w:val="0D4252AC"/>
    <w:rsid w:val="0D4E1EA3"/>
    <w:rsid w:val="0D5A2878"/>
    <w:rsid w:val="0D7A3F61"/>
    <w:rsid w:val="0D7B1531"/>
    <w:rsid w:val="0D7D42DE"/>
    <w:rsid w:val="0D864E4B"/>
    <w:rsid w:val="0D9A6FA7"/>
    <w:rsid w:val="0DA675E9"/>
    <w:rsid w:val="0DBC0BBA"/>
    <w:rsid w:val="0DDE102D"/>
    <w:rsid w:val="0DDF2AD2"/>
    <w:rsid w:val="0DE8383A"/>
    <w:rsid w:val="0DF0197D"/>
    <w:rsid w:val="0E027BF6"/>
    <w:rsid w:val="0E124C8A"/>
    <w:rsid w:val="0E1B17A7"/>
    <w:rsid w:val="0E2C514F"/>
    <w:rsid w:val="0E3C7F4D"/>
    <w:rsid w:val="0E405FEE"/>
    <w:rsid w:val="0E464928"/>
    <w:rsid w:val="0E625C06"/>
    <w:rsid w:val="0E8F62CF"/>
    <w:rsid w:val="0E8F73F2"/>
    <w:rsid w:val="0EA13ADC"/>
    <w:rsid w:val="0EA3609A"/>
    <w:rsid w:val="0ECC7523"/>
    <w:rsid w:val="0ECE5153"/>
    <w:rsid w:val="0EDB0A21"/>
    <w:rsid w:val="0EF26165"/>
    <w:rsid w:val="0F075DB7"/>
    <w:rsid w:val="0F264FE7"/>
    <w:rsid w:val="0F34123F"/>
    <w:rsid w:val="0F4C10E1"/>
    <w:rsid w:val="0F4C137F"/>
    <w:rsid w:val="0F4D0AAA"/>
    <w:rsid w:val="0F840C04"/>
    <w:rsid w:val="0F9C62AB"/>
    <w:rsid w:val="0FAB3042"/>
    <w:rsid w:val="0FEE6FAE"/>
    <w:rsid w:val="0FF81177"/>
    <w:rsid w:val="10093E3B"/>
    <w:rsid w:val="101271B8"/>
    <w:rsid w:val="10314AE4"/>
    <w:rsid w:val="10545A59"/>
    <w:rsid w:val="10666866"/>
    <w:rsid w:val="10737C5D"/>
    <w:rsid w:val="107E65FB"/>
    <w:rsid w:val="1091064D"/>
    <w:rsid w:val="10A50CDB"/>
    <w:rsid w:val="10A766B7"/>
    <w:rsid w:val="10C12163"/>
    <w:rsid w:val="10C41590"/>
    <w:rsid w:val="10E2302E"/>
    <w:rsid w:val="10EB2E6F"/>
    <w:rsid w:val="10FE58C3"/>
    <w:rsid w:val="11270C2F"/>
    <w:rsid w:val="11274EE5"/>
    <w:rsid w:val="114B0570"/>
    <w:rsid w:val="11586695"/>
    <w:rsid w:val="117748B7"/>
    <w:rsid w:val="1181566E"/>
    <w:rsid w:val="119C37F2"/>
    <w:rsid w:val="11A74070"/>
    <w:rsid w:val="11AC7198"/>
    <w:rsid w:val="11CB3AC2"/>
    <w:rsid w:val="11E0543B"/>
    <w:rsid w:val="11EE1F77"/>
    <w:rsid w:val="12051461"/>
    <w:rsid w:val="12225658"/>
    <w:rsid w:val="12323B41"/>
    <w:rsid w:val="12371157"/>
    <w:rsid w:val="12445976"/>
    <w:rsid w:val="124D173D"/>
    <w:rsid w:val="125D0492"/>
    <w:rsid w:val="126C3BC6"/>
    <w:rsid w:val="127F1866"/>
    <w:rsid w:val="128F1B00"/>
    <w:rsid w:val="12C15B53"/>
    <w:rsid w:val="12EE7EF0"/>
    <w:rsid w:val="12F62DC0"/>
    <w:rsid w:val="13113756"/>
    <w:rsid w:val="131B3294"/>
    <w:rsid w:val="137E4314"/>
    <w:rsid w:val="138B36A2"/>
    <w:rsid w:val="13B51CBF"/>
    <w:rsid w:val="13B66D8F"/>
    <w:rsid w:val="13D61E18"/>
    <w:rsid w:val="13DD17A2"/>
    <w:rsid w:val="13FB7F63"/>
    <w:rsid w:val="14156107"/>
    <w:rsid w:val="141A2ADF"/>
    <w:rsid w:val="14736D2C"/>
    <w:rsid w:val="147F2243"/>
    <w:rsid w:val="14A16D5C"/>
    <w:rsid w:val="14AB08FF"/>
    <w:rsid w:val="14C84210"/>
    <w:rsid w:val="14D103C6"/>
    <w:rsid w:val="14FB56DC"/>
    <w:rsid w:val="14FC5C2B"/>
    <w:rsid w:val="150317C5"/>
    <w:rsid w:val="15054F9B"/>
    <w:rsid w:val="151326FF"/>
    <w:rsid w:val="151D05C9"/>
    <w:rsid w:val="151D416F"/>
    <w:rsid w:val="15254CD2"/>
    <w:rsid w:val="15454E2A"/>
    <w:rsid w:val="1567082B"/>
    <w:rsid w:val="158043D2"/>
    <w:rsid w:val="15854B04"/>
    <w:rsid w:val="15B825AF"/>
    <w:rsid w:val="15B900D5"/>
    <w:rsid w:val="16077093"/>
    <w:rsid w:val="161552E4"/>
    <w:rsid w:val="16321C77"/>
    <w:rsid w:val="1651030E"/>
    <w:rsid w:val="169A3A63"/>
    <w:rsid w:val="16CB7FB9"/>
    <w:rsid w:val="16D93858"/>
    <w:rsid w:val="16F00DC3"/>
    <w:rsid w:val="17213C82"/>
    <w:rsid w:val="17686429"/>
    <w:rsid w:val="176E16B2"/>
    <w:rsid w:val="17712A16"/>
    <w:rsid w:val="179C4A59"/>
    <w:rsid w:val="17A504D4"/>
    <w:rsid w:val="17A776A1"/>
    <w:rsid w:val="17DA6626"/>
    <w:rsid w:val="17E54B40"/>
    <w:rsid w:val="17FB2C27"/>
    <w:rsid w:val="18103DDD"/>
    <w:rsid w:val="183E47C2"/>
    <w:rsid w:val="188035EF"/>
    <w:rsid w:val="18AA4B37"/>
    <w:rsid w:val="18AC1086"/>
    <w:rsid w:val="18C876D8"/>
    <w:rsid w:val="18FA2EDF"/>
    <w:rsid w:val="190F5864"/>
    <w:rsid w:val="19361B10"/>
    <w:rsid w:val="193A6E25"/>
    <w:rsid w:val="199E575A"/>
    <w:rsid w:val="19AF6752"/>
    <w:rsid w:val="19C21571"/>
    <w:rsid w:val="19C82BCF"/>
    <w:rsid w:val="19F3005A"/>
    <w:rsid w:val="1A101FD2"/>
    <w:rsid w:val="1A135155"/>
    <w:rsid w:val="1A406F1E"/>
    <w:rsid w:val="1A5959E3"/>
    <w:rsid w:val="1A7A745E"/>
    <w:rsid w:val="1AC13E2C"/>
    <w:rsid w:val="1ADD528F"/>
    <w:rsid w:val="1AF26BB7"/>
    <w:rsid w:val="1B3501FE"/>
    <w:rsid w:val="1B3A3A66"/>
    <w:rsid w:val="1B4A1BCF"/>
    <w:rsid w:val="1BA333BA"/>
    <w:rsid w:val="1BB01F05"/>
    <w:rsid w:val="1C1F5136"/>
    <w:rsid w:val="1C2269D4"/>
    <w:rsid w:val="1C5B1EE6"/>
    <w:rsid w:val="1C6E0D91"/>
    <w:rsid w:val="1CAD0994"/>
    <w:rsid w:val="1CC4496B"/>
    <w:rsid w:val="1CC950A2"/>
    <w:rsid w:val="1CD51981"/>
    <w:rsid w:val="1CF245F9"/>
    <w:rsid w:val="1D0D2A5A"/>
    <w:rsid w:val="1D0F6ED7"/>
    <w:rsid w:val="1D1502E7"/>
    <w:rsid w:val="1D196228"/>
    <w:rsid w:val="1D3B1205"/>
    <w:rsid w:val="1D484C98"/>
    <w:rsid w:val="1D64056B"/>
    <w:rsid w:val="1D70551D"/>
    <w:rsid w:val="1D755783"/>
    <w:rsid w:val="1D7E40DE"/>
    <w:rsid w:val="1DA121C5"/>
    <w:rsid w:val="1DA90A2F"/>
    <w:rsid w:val="1DB07F3E"/>
    <w:rsid w:val="1DD27A05"/>
    <w:rsid w:val="1DD91315"/>
    <w:rsid w:val="1DE06B47"/>
    <w:rsid w:val="1DFB2B17"/>
    <w:rsid w:val="1E20791F"/>
    <w:rsid w:val="1E3B3E5F"/>
    <w:rsid w:val="1E3E64A9"/>
    <w:rsid w:val="1E470974"/>
    <w:rsid w:val="1E49105A"/>
    <w:rsid w:val="1E4B611D"/>
    <w:rsid w:val="1E6F24FC"/>
    <w:rsid w:val="1E77270B"/>
    <w:rsid w:val="1EAE0924"/>
    <w:rsid w:val="1ED32208"/>
    <w:rsid w:val="1ED55723"/>
    <w:rsid w:val="1EE43350"/>
    <w:rsid w:val="1EF903E6"/>
    <w:rsid w:val="1F0B44AF"/>
    <w:rsid w:val="1F465A38"/>
    <w:rsid w:val="1F4B0BE5"/>
    <w:rsid w:val="1F5D7D23"/>
    <w:rsid w:val="1F5F584A"/>
    <w:rsid w:val="1F751C83"/>
    <w:rsid w:val="1F8E7931"/>
    <w:rsid w:val="1FA00D13"/>
    <w:rsid w:val="1FAE0C8A"/>
    <w:rsid w:val="1FF73CFB"/>
    <w:rsid w:val="1FFB5506"/>
    <w:rsid w:val="2009504A"/>
    <w:rsid w:val="200A3A07"/>
    <w:rsid w:val="203D63DC"/>
    <w:rsid w:val="20551830"/>
    <w:rsid w:val="20B04BEA"/>
    <w:rsid w:val="20C27BBB"/>
    <w:rsid w:val="20D858B3"/>
    <w:rsid w:val="20FF5536"/>
    <w:rsid w:val="211C5B3D"/>
    <w:rsid w:val="21221225"/>
    <w:rsid w:val="21384F0D"/>
    <w:rsid w:val="215B4741"/>
    <w:rsid w:val="218D283A"/>
    <w:rsid w:val="21B32CE8"/>
    <w:rsid w:val="21BC76E5"/>
    <w:rsid w:val="21D5280D"/>
    <w:rsid w:val="21DB4634"/>
    <w:rsid w:val="21DC02F4"/>
    <w:rsid w:val="21F726B1"/>
    <w:rsid w:val="220C3FEC"/>
    <w:rsid w:val="221263A9"/>
    <w:rsid w:val="221727FE"/>
    <w:rsid w:val="22323032"/>
    <w:rsid w:val="224C47AB"/>
    <w:rsid w:val="229A37FF"/>
    <w:rsid w:val="229F48D0"/>
    <w:rsid w:val="22BA2C18"/>
    <w:rsid w:val="22BD2D98"/>
    <w:rsid w:val="22BF5387"/>
    <w:rsid w:val="22C42B24"/>
    <w:rsid w:val="22D1390C"/>
    <w:rsid w:val="22D14749"/>
    <w:rsid w:val="22DD39C3"/>
    <w:rsid w:val="23001C92"/>
    <w:rsid w:val="23025427"/>
    <w:rsid w:val="231A0926"/>
    <w:rsid w:val="232C703B"/>
    <w:rsid w:val="234A3673"/>
    <w:rsid w:val="23726407"/>
    <w:rsid w:val="23931FBE"/>
    <w:rsid w:val="23A01298"/>
    <w:rsid w:val="23A37585"/>
    <w:rsid w:val="23BE1088"/>
    <w:rsid w:val="23C860B3"/>
    <w:rsid w:val="242135F1"/>
    <w:rsid w:val="247726AF"/>
    <w:rsid w:val="24B20DC7"/>
    <w:rsid w:val="24B33F2E"/>
    <w:rsid w:val="24B8735D"/>
    <w:rsid w:val="24D532CA"/>
    <w:rsid w:val="24D722C9"/>
    <w:rsid w:val="25055DB0"/>
    <w:rsid w:val="250B447E"/>
    <w:rsid w:val="25300B7A"/>
    <w:rsid w:val="2537315C"/>
    <w:rsid w:val="256E2074"/>
    <w:rsid w:val="25733DFD"/>
    <w:rsid w:val="25761B3F"/>
    <w:rsid w:val="25873D4C"/>
    <w:rsid w:val="258963CA"/>
    <w:rsid w:val="2592441B"/>
    <w:rsid w:val="259E3EC8"/>
    <w:rsid w:val="25A61FBB"/>
    <w:rsid w:val="25AB575C"/>
    <w:rsid w:val="25B80843"/>
    <w:rsid w:val="25CD79B1"/>
    <w:rsid w:val="25D53C59"/>
    <w:rsid w:val="25D6268F"/>
    <w:rsid w:val="25EA1D06"/>
    <w:rsid w:val="25F16218"/>
    <w:rsid w:val="26415CA9"/>
    <w:rsid w:val="265956E8"/>
    <w:rsid w:val="266C3569"/>
    <w:rsid w:val="268611D2"/>
    <w:rsid w:val="26BB5A5B"/>
    <w:rsid w:val="26C22FC5"/>
    <w:rsid w:val="27136396"/>
    <w:rsid w:val="27196C26"/>
    <w:rsid w:val="2727679D"/>
    <w:rsid w:val="276E2ACE"/>
    <w:rsid w:val="27703526"/>
    <w:rsid w:val="277976C4"/>
    <w:rsid w:val="2787630A"/>
    <w:rsid w:val="27AB3FDB"/>
    <w:rsid w:val="27AC7A9A"/>
    <w:rsid w:val="27B2672B"/>
    <w:rsid w:val="27B550EE"/>
    <w:rsid w:val="27CA1ED3"/>
    <w:rsid w:val="27E54353"/>
    <w:rsid w:val="285900EF"/>
    <w:rsid w:val="28C9076D"/>
    <w:rsid w:val="28E1568B"/>
    <w:rsid w:val="28F04151"/>
    <w:rsid w:val="28F84B43"/>
    <w:rsid w:val="28F951A2"/>
    <w:rsid w:val="29037B8D"/>
    <w:rsid w:val="29051210"/>
    <w:rsid w:val="29197A0D"/>
    <w:rsid w:val="29323FCF"/>
    <w:rsid w:val="29466370"/>
    <w:rsid w:val="29583A35"/>
    <w:rsid w:val="298A059D"/>
    <w:rsid w:val="29A65F61"/>
    <w:rsid w:val="29BA4D1C"/>
    <w:rsid w:val="29DA14FE"/>
    <w:rsid w:val="29EA31D2"/>
    <w:rsid w:val="29F42719"/>
    <w:rsid w:val="29F902AE"/>
    <w:rsid w:val="2A075F6A"/>
    <w:rsid w:val="2A263B34"/>
    <w:rsid w:val="2A6D0C7E"/>
    <w:rsid w:val="2A7228D5"/>
    <w:rsid w:val="2A725844"/>
    <w:rsid w:val="2AB76AEC"/>
    <w:rsid w:val="2AE65065"/>
    <w:rsid w:val="2AF73972"/>
    <w:rsid w:val="2B05199B"/>
    <w:rsid w:val="2B2007AA"/>
    <w:rsid w:val="2B2D0EF2"/>
    <w:rsid w:val="2B3A6999"/>
    <w:rsid w:val="2B5B7BB1"/>
    <w:rsid w:val="2BA50D33"/>
    <w:rsid w:val="2BC17995"/>
    <w:rsid w:val="2BF51A0F"/>
    <w:rsid w:val="2C14155E"/>
    <w:rsid w:val="2C187F64"/>
    <w:rsid w:val="2C1A3224"/>
    <w:rsid w:val="2C5867CF"/>
    <w:rsid w:val="2C5C51D5"/>
    <w:rsid w:val="2C5F3D95"/>
    <w:rsid w:val="2C630247"/>
    <w:rsid w:val="2C752C0F"/>
    <w:rsid w:val="2C913981"/>
    <w:rsid w:val="2C99503A"/>
    <w:rsid w:val="2CA71DD1"/>
    <w:rsid w:val="2CB5119F"/>
    <w:rsid w:val="2CE341B5"/>
    <w:rsid w:val="2CE55400"/>
    <w:rsid w:val="2D4457CA"/>
    <w:rsid w:val="2D4C7726"/>
    <w:rsid w:val="2D593DF3"/>
    <w:rsid w:val="2D614E83"/>
    <w:rsid w:val="2D8072DE"/>
    <w:rsid w:val="2DB63D09"/>
    <w:rsid w:val="2DCC2658"/>
    <w:rsid w:val="2DEC2371"/>
    <w:rsid w:val="2DEC744F"/>
    <w:rsid w:val="2DF80479"/>
    <w:rsid w:val="2DF94210"/>
    <w:rsid w:val="2E2F2B52"/>
    <w:rsid w:val="2E4F2CA8"/>
    <w:rsid w:val="2E5C5D76"/>
    <w:rsid w:val="2EA42B11"/>
    <w:rsid w:val="2EA72D69"/>
    <w:rsid w:val="2EC15470"/>
    <w:rsid w:val="2ECC182D"/>
    <w:rsid w:val="2ED3590C"/>
    <w:rsid w:val="2EDF0755"/>
    <w:rsid w:val="2EDF6EFF"/>
    <w:rsid w:val="2EE27DB8"/>
    <w:rsid w:val="2F21594E"/>
    <w:rsid w:val="2F270FB3"/>
    <w:rsid w:val="2F4278F8"/>
    <w:rsid w:val="2F7C5EDB"/>
    <w:rsid w:val="2FC2246A"/>
    <w:rsid w:val="2FCF4325"/>
    <w:rsid w:val="2FD2435B"/>
    <w:rsid w:val="2FDB3777"/>
    <w:rsid w:val="2FDC028B"/>
    <w:rsid w:val="2FEA6BBC"/>
    <w:rsid w:val="2FF0068C"/>
    <w:rsid w:val="2FFA3A98"/>
    <w:rsid w:val="30212AD1"/>
    <w:rsid w:val="30560C77"/>
    <w:rsid w:val="305A18DA"/>
    <w:rsid w:val="305A4537"/>
    <w:rsid w:val="3072158B"/>
    <w:rsid w:val="307E369B"/>
    <w:rsid w:val="308458F2"/>
    <w:rsid w:val="30913CD1"/>
    <w:rsid w:val="30933641"/>
    <w:rsid w:val="3094732F"/>
    <w:rsid w:val="309C64CF"/>
    <w:rsid w:val="30A45AD9"/>
    <w:rsid w:val="30A50819"/>
    <w:rsid w:val="30B8257C"/>
    <w:rsid w:val="30BB5D32"/>
    <w:rsid w:val="30C43E10"/>
    <w:rsid w:val="30D41EAC"/>
    <w:rsid w:val="30ED387E"/>
    <w:rsid w:val="31132938"/>
    <w:rsid w:val="31172428"/>
    <w:rsid w:val="31297A24"/>
    <w:rsid w:val="31322DBE"/>
    <w:rsid w:val="313A6116"/>
    <w:rsid w:val="318D447B"/>
    <w:rsid w:val="319566E7"/>
    <w:rsid w:val="31A46D01"/>
    <w:rsid w:val="31B47C77"/>
    <w:rsid w:val="31BD1E29"/>
    <w:rsid w:val="31E96171"/>
    <w:rsid w:val="31EC1267"/>
    <w:rsid w:val="31FE2893"/>
    <w:rsid w:val="3207565A"/>
    <w:rsid w:val="321B7C44"/>
    <w:rsid w:val="322B1E4F"/>
    <w:rsid w:val="32387F88"/>
    <w:rsid w:val="3266560F"/>
    <w:rsid w:val="327767FA"/>
    <w:rsid w:val="32951856"/>
    <w:rsid w:val="32DF6F75"/>
    <w:rsid w:val="32E24630"/>
    <w:rsid w:val="33346287"/>
    <w:rsid w:val="335525CC"/>
    <w:rsid w:val="3374146C"/>
    <w:rsid w:val="337820D6"/>
    <w:rsid w:val="33784A33"/>
    <w:rsid w:val="33833DA5"/>
    <w:rsid w:val="339A3939"/>
    <w:rsid w:val="33CE1376"/>
    <w:rsid w:val="33DC3D5F"/>
    <w:rsid w:val="33E8508E"/>
    <w:rsid w:val="33FF585B"/>
    <w:rsid w:val="34302A6E"/>
    <w:rsid w:val="347F56D3"/>
    <w:rsid w:val="347F7212"/>
    <w:rsid w:val="34A17602"/>
    <w:rsid w:val="34A43FD3"/>
    <w:rsid w:val="34A86EA3"/>
    <w:rsid w:val="34AF1417"/>
    <w:rsid w:val="34D81ECE"/>
    <w:rsid w:val="34F36D08"/>
    <w:rsid w:val="34F46BA3"/>
    <w:rsid w:val="34F71F24"/>
    <w:rsid w:val="353678DB"/>
    <w:rsid w:val="35487054"/>
    <w:rsid w:val="356A0331"/>
    <w:rsid w:val="357566C2"/>
    <w:rsid w:val="357B2A8C"/>
    <w:rsid w:val="359F47BB"/>
    <w:rsid w:val="35E87898"/>
    <w:rsid w:val="35F237A7"/>
    <w:rsid w:val="36064819"/>
    <w:rsid w:val="360B0D3E"/>
    <w:rsid w:val="360B4637"/>
    <w:rsid w:val="36103990"/>
    <w:rsid w:val="36130DED"/>
    <w:rsid w:val="36315D3A"/>
    <w:rsid w:val="364D41F6"/>
    <w:rsid w:val="36750989"/>
    <w:rsid w:val="36940D18"/>
    <w:rsid w:val="36AA0CBD"/>
    <w:rsid w:val="36BA5D2F"/>
    <w:rsid w:val="36BE6A38"/>
    <w:rsid w:val="36C158C1"/>
    <w:rsid w:val="36E903C3"/>
    <w:rsid w:val="36EF0057"/>
    <w:rsid w:val="36F13630"/>
    <w:rsid w:val="36FC190B"/>
    <w:rsid w:val="370451FC"/>
    <w:rsid w:val="37057ACC"/>
    <w:rsid w:val="370A4208"/>
    <w:rsid w:val="371C1D5E"/>
    <w:rsid w:val="37285166"/>
    <w:rsid w:val="3731758E"/>
    <w:rsid w:val="374B4187"/>
    <w:rsid w:val="3766771A"/>
    <w:rsid w:val="37691683"/>
    <w:rsid w:val="3788445F"/>
    <w:rsid w:val="378C7057"/>
    <w:rsid w:val="378E2D18"/>
    <w:rsid w:val="37A421DA"/>
    <w:rsid w:val="37AD5068"/>
    <w:rsid w:val="37B22EAA"/>
    <w:rsid w:val="37D64BA7"/>
    <w:rsid w:val="37E312B6"/>
    <w:rsid w:val="37EE502E"/>
    <w:rsid w:val="37FB7365"/>
    <w:rsid w:val="380F382E"/>
    <w:rsid w:val="38222A63"/>
    <w:rsid w:val="383252C1"/>
    <w:rsid w:val="38674496"/>
    <w:rsid w:val="387A0F38"/>
    <w:rsid w:val="38E54D64"/>
    <w:rsid w:val="38EC0936"/>
    <w:rsid w:val="391344C7"/>
    <w:rsid w:val="391361DB"/>
    <w:rsid w:val="39400042"/>
    <w:rsid w:val="39423DBA"/>
    <w:rsid w:val="39472C9A"/>
    <w:rsid w:val="397101CC"/>
    <w:rsid w:val="39783C80"/>
    <w:rsid w:val="39B527DE"/>
    <w:rsid w:val="39DF005F"/>
    <w:rsid w:val="39E9692C"/>
    <w:rsid w:val="3A18791E"/>
    <w:rsid w:val="3A26548A"/>
    <w:rsid w:val="3A342A69"/>
    <w:rsid w:val="3A442E33"/>
    <w:rsid w:val="3A4F194D"/>
    <w:rsid w:val="3A6D708D"/>
    <w:rsid w:val="3A746A19"/>
    <w:rsid w:val="3A844811"/>
    <w:rsid w:val="3A8A5A19"/>
    <w:rsid w:val="3A960861"/>
    <w:rsid w:val="3A9B69B4"/>
    <w:rsid w:val="3AAF5655"/>
    <w:rsid w:val="3AB956F7"/>
    <w:rsid w:val="3AD153F6"/>
    <w:rsid w:val="3AD26B0E"/>
    <w:rsid w:val="3AE46EDC"/>
    <w:rsid w:val="3AFB7CD2"/>
    <w:rsid w:val="3AFF7434"/>
    <w:rsid w:val="3B0829DB"/>
    <w:rsid w:val="3B0C643A"/>
    <w:rsid w:val="3B160C82"/>
    <w:rsid w:val="3B181184"/>
    <w:rsid w:val="3B1E118C"/>
    <w:rsid w:val="3B212283"/>
    <w:rsid w:val="3B270426"/>
    <w:rsid w:val="3B3A5901"/>
    <w:rsid w:val="3B7D557D"/>
    <w:rsid w:val="3B8E4CC3"/>
    <w:rsid w:val="3B910B4A"/>
    <w:rsid w:val="3BB219FF"/>
    <w:rsid w:val="3BBA5E42"/>
    <w:rsid w:val="3C264FCA"/>
    <w:rsid w:val="3C2D1349"/>
    <w:rsid w:val="3C7747BE"/>
    <w:rsid w:val="3C7F4E58"/>
    <w:rsid w:val="3C8777D0"/>
    <w:rsid w:val="3CA85199"/>
    <w:rsid w:val="3CC13DBB"/>
    <w:rsid w:val="3CE42581"/>
    <w:rsid w:val="3D023F8C"/>
    <w:rsid w:val="3D0422A6"/>
    <w:rsid w:val="3D22095C"/>
    <w:rsid w:val="3D2C346A"/>
    <w:rsid w:val="3D3638C7"/>
    <w:rsid w:val="3D3879AE"/>
    <w:rsid w:val="3D3C66AD"/>
    <w:rsid w:val="3D402D06"/>
    <w:rsid w:val="3D442F5B"/>
    <w:rsid w:val="3D4F2F4A"/>
    <w:rsid w:val="3D6064AE"/>
    <w:rsid w:val="3D6400B3"/>
    <w:rsid w:val="3D7B3D3F"/>
    <w:rsid w:val="3D7D1EB5"/>
    <w:rsid w:val="3D837080"/>
    <w:rsid w:val="3D8418FA"/>
    <w:rsid w:val="3D95265F"/>
    <w:rsid w:val="3DB86D2C"/>
    <w:rsid w:val="3DE6337D"/>
    <w:rsid w:val="3DED132A"/>
    <w:rsid w:val="3E2B338D"/>
    <w:rsid w:val="3E640B6F"/>
    <w:rsid w:val="3E666CAA"/>
    <w:rsid w:val="3EA8143A"/>
    <w:rsid w:val="3EC55CD7"/>
    <w:rsid w:val="3EE5023D"/>
    <w:rsid w:val="3F4D28F3"/>
    <w:rsid w:val="3F6C3895"/>
    <w:rsid w:val="3F7F7B16"/>
    <w:rsid w:val="3F8A492A"/>
    <w:rsid w:val="3F8C7E7E"/>
    <w:rsid w:val="3F8E4F3A"/>
    <w:rsid w:val="3FA94B93"/>
    <w:rsid w:val="3FEB2F5F"/>
    <w:rsid w:val="401E7040"/>
    <w:rsid w:val="4041301D"/>
    <w:rsid w:val="407767A8"/>
    <w:rsid w:val="407F391E"/>
    <w:rsid w:val="408D0C45"/>
    <w:rsid w:val="409138B1"/>
    <w:rsid w:val="409F7D44"/>
    <w:rsid w:val="40C5296E"/>
    <w:rsid w:val="40C61775"/>
    <w:rsid w:val="40D3586A"/>
    <w:rsid w:val="40D4198A"/>
    <w:rsid w:val="40D5502B"/>
    <w:rsid w:val="40D667EF"/>
    <w:rsid w:val="40FA362D"/>
    <w:rsid w:val="41140243"/>
    <w:rsid w:val="4124436F"/>
    <w:rsid w:val="412E2FE8"/>
    <w:rsid w:val="41344F72"/>
    <w:rsid w:val="4138778D"/>
    <w:rsid w:val="414C43D2"/>
    <w:rsid w:val="416C7B8A"/>
    <w:rsid w:val="4178476C"/>
    <w:rsid w:val="417B255F"/>
    <w:rsid w:val="41865425"/>
    <w:rsid w:val="41911E57"/>
    <w:rsid w:val="41A86FE5"/>
    <w:rsid w:val="41C44DF2"/>
    <w:rsid w:val="41D63C39"/>
    <w:rsid w:val="41EA2E34"/>
    <w:rsid w:val="41F37441"/>
    <w:rsid w:val="420672CE"/>
    <w:rsid w:val="42224789"/>
    <w:rsid w:val="4223340C"/>
    <w:rsid w:val="42256110"/>
    <w:rsid w:val="422E1F02"/>
    <w:rsid w:val="42F86A0F"/>
    <w:rsid w:val="42FA0E54"/>
    <w:rsid w:val="42FE5622"/>
    <w:rsid w:val="42FF38D2"/>
    <w:rsid w:val="43056A83"/>
    <w:rsid w:val="430C7A94"/>
    <w:rsid w:val="432950D5"/>
    <w:rsid w:val="433D6B67"/>
    <w:rsid w:val="435C5DA6"/>
    <w:rsid w:val="43630778"/>
    <w:rsid w:val="437A2964"/>
    <w:rsid w:val="439E7EFB"/>
    <w:rsid w:val="43A22848"/>
    <w:rsid w:val="43B96B59"/>
    <w:rsid w:val="441049B7"/>
    <w:rsid w:val="44142270"/>
    <w:rsid w:val="4428203B"/>
    <w:rsid w:val="44380293"/>
    <w:rsid w:val="44493A3D"/>
    <w:rsid w:val="44703AD7"/>
    <w:rsid w:val="447E358A"/>
    <w:rsid w:val="44981418"/>
    <w:rsid w:val="44F1532A"/>
    <w:rsid w:val="45036AF3"/>
    <w:rsid w:val="45243A83"/>
    <w:rsid w:val="4524487F"/>
    <w:rsid w:val="45374671"/>
    <w:rsid w:val="454C693D"/>
    <w:rsid w:val="45741957"/>
    <w:rsid w:val="458113CC"/>
    <w:rsid w:val="458C33EA"/>
    <w:rsid w:val="45E958C2"/>
    <w:rsid w:val="4622744D"/>
    <w:rsid w:val="46240CD1"/>
    <w:rsid w:val="46242373"/>
    <w:rsid w:val="463D632B"/>
    <w:rsid w:val="46534F71"/>
    <w:rsid w:val="466E2692"/>
    <w:rsid w:val="46710C9E"/>
    <w:rsid w:val="46713F31"/>
    <w:rsid w:val="46862D23"/>
    <w:rsid w:val="468C72C9"/>
    <w:rsid w:val="46916FD5"/>
    <w:rsid w:val="46BC111E"/>
    <w:rsid w:val="46C042A0"/>
    <w:rsid w:val="46F37F73"/>
    <w:rsid w:val="46F52079"/>
    <w:rsid w:val="4708179D"/>
    <w:rsid w:val="472C4FB8"/>
    <w:rsid w:val="472D4FA9"/>
    <w:rsid w:val="475A4035"/>
    <w:rsid w:val="47767A51"/>
    <w:rsid w:val="47876268"/>
    <w:rsid w:val="479741E7"/>
    <w:rsid w:val="47AA14A8"/>
    <w:rsid w:val="47C905BA"/>
    <w:rsid w:val="47CB5376"/>
    <w:rsid w:val="47EA7812"/>
    <w:rsid w:val="47FB07A5"/>
    <w:rsid w:val="48154BD2"/>
    <w:rsid w:val="482A20E8"/>
    <w:rsid w:val="48382C99"/>
    <w:rsid w:val="486407A1"/>
    <w:rsid w:val="48671140"/>
    <w:rsid w:val="4873736F"/>
    <w:rsid w:val="487600EF"/>
    <w:rsid w:val="48957147"/>
    <w:rsid w:val="48C14F8A"/>
    <w:rsid w:val="48C45C6F"/>
    <w:rsid w:val="48C7608A"/>
    <w:rsid w:val="48D93D7E"/>
    <w:rsid w:val="48F43F60"/>
    <w:rsid w:val="49506E33"/>
    <w:rsid w:val="495D6E3A"/>
    <w:rsid w:val="496B2CA4"/>
    <w:rsid w:val="49766F35"/>
    <w:rsid w:val="49803E24"/>
    <w:rsid w:val="499A49CE"/>
    <w:rsid w:val="49A412CB"/>
    <w:rsid w:val="49E51C22"/>
    <w:rsid w:val="4A18309E"/>
    <w:rsid w:val="4A384C6F"/>
    <w:rsid w:val="4A5751EC"/>
    <w:rsid w:val="4A593C9A"/>
    <w:rsid w:val="4A610193"/>
    <w:rsid w:val="4A8A67D7"/>
    <w:rsid w:val="4AA93C99"/>
    <w:rsid w:val="4ADB7BCB"/>
    <w:rsid w:val="4ADD1B62"/>
    <w:rsid w:val="4AF61407"/>
    <w:rsid w:val="4B182C41"/>
    <w:rsid w:val="4B1B7597"/>
    <w:rsid w:val="4B3E507F"/>
    <w:rsid w:val="4B6403A0"/>
    <w:rsid w:val="4B652D40"/>
    <w:rsid w:val="4B7A7462"/>
    <w:rsid w:val="4B913E46"/>
    <w:rsid w:val="4B9517FA"/>
    <w:rsid w:val="4BAF1BAE"/>
    <w:rsid w:val="4BC84FE3"/>
    <w:rsid w:val="4BE331DB"/>
    <w:rsid w:val="4BE64DDA"/>
    <w:rsid w:val="4C0A34CE"/>
    <w:rsid w:val="4C0E41C0"/>
    <w:rsid w:val="4C386897"/>
    <w:rsid w:val="4C496D91"/>
    <w:rsid w:val="4C6870EB"/>
    <w:rsid w:val="4C747CA3"/>
    <w:rsid w:val="4C7523FA"/>
    <w:rsid w:val="4C787DC7"/>
    <w:rsid w:val="4C821C35"/>
    <w:rsid w:val="4C8301EE"/>
    <w:rsid w:val="4C860F16"/>
    <w:rsid w:val="4C9978BA"/>
    <w:rsid w:val="4CD01F92"/>
    <w:rsid w:val="4D386C53"/>
    <w:rsid w:val="4D5A6673"/>
    <w:rsid w:val="4D787F5F"/>
    <w:rsid w:val="4D854491"/>
    <w:rsid w:val="4DAD3AA0"/>
    <w:rsid w:val="4DAF2FC4"/>
    <w:rsid w:val="4E0D7D85"/>
    <w:rsid w:val="4E102281"/>
    <w:rsid w:val="4E481A1B"/>
    <w:rsid w:val="4E6B77B5"/>
    <w:rsid w:val="4E946A0E"/>
    <w:rsid w:val="4EAA6826"/>
    <w:rsid w:val="4ECD6554"/>
    <w:rsid w:val="4EFB4494"/>
    <w:rsid w:val="4F5145AF"/>
    <w:rsid w:val="4F5B752C"/>
    <w:rsid w:val="4F701229"/>
    <w:rsid w:val="4F763D0A"/>
    <w:rsid w:val="4F912F4E"/>
    <w:rsid w:val="4FB079C7"/>
    <w:rsid w:val="4FCF2ACA"/>
    <w:rsid w:val="4FEC1711"/>
    <w:rsid w:val="500100D3"/>
    <w:rsid w:val="50243B8D"/>
    <w:rsid w:val="50354221"/>
    <w:rsid w:val="503E7B7C"/>
    <w:rsid w:val="504A7519"/>
    <w:rsid w:val="50712488"/>
    <w:rsid w:val="5084156F"/>
    <w:rsid w:val="50CE3E90"/>
    <w:rsid w:val="50F52AC8"/>
    <w:rsid w:val="51276734"/>
    <w:rsid w:val="513F10B2"/>
    <w:rsid w:val="5140185C"/>
    <w:rsid w:val="514209A3"/>
    <w:rsid w:val="5147420C"/>
    <w:rsid w:val="51552391"/>
    <w:rsid w:val="515D57DD"/>
    <w:rsid w:val="517962E1"/>
    <w:rsid w:val="518C0657"/>
    <w:rsid w:val="51A74A04"/>
    <w:rsid w:val="51D82CD4"/>
    <w:rsid w:val="51E15477"/>
    <w:rsid w:val="520B071F"/>
    <w:rsid w:val="52316BE6"/>
    <w:rsid w:val="524E4E4A"/>
    <w:rsid w:val="52556D61"/>
    <w:rsid w:val="525E180D"/>
    <w:rsid w:val="528021E8"/>
    <w:rsid w:val="52B75E13"/>
    <w:rsid w:val="52DD2AFC"/>
    <w:rsid w:val="52EF249C"/>
    <w:rsid w:val="531E7147"/>
    <w:rsid w:val="5336700A"/>
    <w:rsid w:val="534014E5"/>
    <w:rsid w:val="534D72F9"/>
    <w:rsid w:val="53577F4E"/>
    <w:rsid w:val="53782B49"/>
    <w:rsid w:val="53A44BEF"/>
    <w:rsid w:val="53BF62DB"/>
    <w:rsid w:val="53EB70D0"/>
    <w:rsid w:val="53FD0BB2"/>
    <w:rsid w:val="5411167A"/>
    <w:rsid w:val="54153EF4"/>
    <w:rsid w:val="54992FD0"/>
    <w:rsid w:val="54B91E72"/>
    <w:rsid w:val="54DB1A63"/>
    <w:rsid w:val="54FB1DD1"/>
    <w:rsid w:val="550E3B1C"/>
    <w:rsid w:val="55436ACC"/>
    <w:rsid w:val="55552C0B"/>
    <w:rsid w:val="557A1F32"/>
    <w:rsid w:val="55842E64"/>
    <w:rsid w:val="55E759FD"/>
    <w:rsid w:val="56233F5F"/>
    <w:rsid w:val="564B3E56"/>
    <w:rsid w:val="564E66A6"/>
    <w:rsid w:val="56527FA6"/>
    <w:rsid w:val="566D1B1B"/>
    <w:rsid w:val="56705FB3"/>
    <w:rsid w:val="56861332"/>
    <w:rsid w:val="56910F23"/>
    <w:rsid w:val="56C016EB"/>
    <w:rsid w:val="56D63CED"/>
    <w:rsid w:val="56FE2FC7"/>
    <w:rsid w:val="56FF52A9"/>
    <w:rsid w:val="57020991"/>
    <w:rsid w:val="57060A6B"/>
    <w:rsid w:val="570D35E1"/>
    <w:rsid w:val="57203535"/>
    <w:rsid w:val="5726041F"/>
    <w:rsid w:val="57295D0E"/>
    <w:rsid w:val="572C25BD"/>
    <w:rsid w:val="57812D77"/>
    <w:rsid w:val="5796443F"/>
    <w:rsid w:val="579669B2"/>
    <w:rsid w:val="57E427B4"/>
    <w:rsid w:val="57F02CE4"/>
    <w:rsid w:val="57FD15A4"/>
    <w:rsid w:val="5819474C"/>
    <w:rsid w:val="581E29E8"/>
    <w:rsid w:val="584B64EC"/>
    <w:rsid w:val="58564D34"/>
    <w:rsid w:val="58786725"/>
    <w:rsid w:val="58BD1CA3"/>
    <w:rsid w:val="58BF28C3"/>
    <w:rsid w:val="58F20481"/>
    <w:rsid w:val="58F46A27"/>
    <w:rsid w:val="5901327B"/>
    <w:rsid w:val="5927777C"/>
    <w:rsid w:val="5947021A"/>
    <w:rsid w:val="594711EF"/>
    <w:rsid w:val="597A67CB"/>
    <w:rsid w:val="599E7BCE"/>
    <w:rsid w:val="59A72F25"/>
    <w:rsid w:val="59AE3C44"/>
    <w:rsid w:val="59B92E3F"/>
    <w:rsid w:val="59C6657B"/>
    <w:rsid w:val="59D87B34"/>
    <w:rsid w:val="59D9225A"/>
    <w:rsid w:val="59D96863"/>
    <w:rsid w:val="5A276988"/>
    <w:rsid w:val="5A4B6B1B"/>
    <w:rsid w:val="5A5D18D6"/>
    <w:rsid w:val="5A6574B1"/>
    <w:rsid w:val="5A7122F9"/>
    <w:rsid w:val="5A780E6A"/>
    <w:rsid w:val="5A82030A"/>
    <w:rsid w:val="5A8262B5"/>
    <w:rsid w:val="5A84612E"/>
    <w:rsid w:val="5A9E28C7"/>
    <w:rsid w:val="5ABD72ED"/>
    <w:rsid w:val="5AE23BA6"/>
    <w:rsid w:val="5AEB44B6"/>
    <w:rsid w:val="5B013203"/>
    <w:rsid w:val="5B286E5C"/>
    <w:rsid w:val="5B2916BE"/>
    <w:rsid w:val="5BCE57BB"/>
    <w:rsid w:val="5BFC7F80"/>
    <w:rsid w:val="5C2313D1"/>
    <w:rsid w:val="5C4A309B"/>
    <w:rsid w:val="5C4B5585"/>
    <w:rsid w:val="5C4E40FD"/>
    <w:rsid w:val="5C566F61"/>
    <w:rsid w:val="5C5E0AD5"/>
    <w:rsid w:val="5C835BEE"/>
    <w:rsid w:val="5CD652DB"/>
    <w:rsid w:val="5CE768A3"/>
    <w:rsid w:val="5CED25DB"/>
    <w:rsid w:val="5CF05758"/>
    <w:rsid w:val="5D0E453B"/>
    <w:rsid w:val="5D1309C3"/>
    <w:rsid w:val="5D3A2E77"/>
    <w:rsid w:val="5D60648B"/>
    <w:rsid w:val="5D6B6200"/>
    <w:rsid w:val="5DA2083C"/>
    <w:rsid w:val="5DBA0DD1"/>
    <w:rsid w:val="5DDE0F2D"/>
    <w:rsid w:val="5E5744F7"/>
    <w:rsid w:val="5E586F5D"/>
    <w:rsid w:val="5E59087A"/>
    <w:rsid w:val="5E8608E9"/>
    <w:rsid w:val="5ECC3FA2"/>
    <w:rsid w:val="5ED52E57"/>
    <w:rsid w:val="5EDD34B2"/>
    <w:rsid w:val="5EFB7F71"/>
    <w:rsid w:val="5F0E76A2"/>
    <w:rsid w:val="5F4C6624"/>
    <w:rsid w:val="5F772160"/>
    <w:rsid w:val="5F8328B3"/>
    <w:rsid w:val="5F893C41"/>
    <w:rsid w:val="5F8B6A4E"/>
    <w:rsid w:val="5F8C454F"/>
    <w:rsid w:val="5FAA0945"/>
    <w:rsid w:val="5FB624BB"/>
    <w:rsid w:val="5FC86933"/>
    <w:rsid w:val="5FD650D9"/>
    <w:rsid w:val="5FE13A7D"/>
    <w:rsid w:val="5FF852DD"/>
    <w:rsid w:val="60167FA3"/>
    <w:rsid w:val="60172C77"/>
    <w:rsid w:val="60266CCC"/>
    <w:rsid w:val="60395667"/>
    <w:rsid w:val="604272DE"/>
    <w:rsid w:val="605A3CA3"/>
    <w:rsid w:val="60624BBE"/>
    <w:rsid w:val="60636775"/>
    <w:rsid w:val="606E2944"/>
    <w:rsid w:val="60733548"/>
    <w:rsid w:val="60762418"/>
    <w:rsid w:val="60894EB2"/>
    <w:rsid w:val="608D2202"/>
    <w:rsid w:val="60A725D1"/>
    <w:rsid w:val="60AA20C1"/>
    <w:rsid w:val="60AB7A13"/>
    <w:rsid w:val="60BC5683"/>
    <w:rsid w:val="60BF3DBF"/>
    <w:rsid w:val="60CC0B50"/>
    <w:rsid w:val="60CF4A66"/>
    <w:rsid w:val="60D60F7E"/>
    <w:rsid w:val="60DC2CC3"/>
    <w:rsid w:val="60DF3EFC"/>
    <w:rsid w:val="612C5F0B"/>
    <w:rsid w:val="613566BF"/>
    <w:rsid w:val="61377E0E"/>
    <w:rsid w:val="614C3178"/>
    <w:rsid w:val="616E53E5"/>
    <w:rsid w:val="61A4713D"/>
    <w:rsid w:val="62090567"/>
    <w:rsid w:val="620F2070"/>
    <w:rsid w:val="62511574"/>
    <w:rsid w:val="628E28E5"/>
    <w:rsid w:val="62CD4901"/>
    <w:rsid w:val="62D72BDE"/>
    <w:rsid w:val="633019B6"/>
    <w:rsid w:val="636E1F8D"/>
    <w:rsid w:val="637855D9"/>
    <w:rsid w:val="63A55718"/>
    <w:rsid w:val="63BE65AF"/>
    <w:rsid w:val="63DC0F23"/>
    <w:rsid w:val="63DD1366"/>
    <w:rsid w:val="63DE2E00"/>
    <w:rsid w:val="63E8229F"/>
    <w:rsid w:val="63EB0A27"/>
    <w:rsid w:val="63FC70D8"/>
    <w:rsid w:val="63FE5754"/>
    <w:rsid w:val="642826DF"/>
    <w:rsid w:val="644D709C"/>
    <w:rsid w:val="645A4B51"/>
    <w:rsid w:val="64671697"/>
    <w:rsid w:val="64A22188"/>
    <w:rsid w:val="64BC5151"/>
    <w:rsid w:val="64BD6456"/>
    <w:rsid w:val="64C77C67"/>
    <w:rsid w:val="64D434B0"/>
    <w:rsid w:val="64E53367"/>
    <w:rsid w:val="64E9279D"/>
    <w:rsid w:val="64F426B5"/>
    <w:rsid w:val="65177DE9"/>
    <w:rsid w:val="65351598"/>
    <w:rsid w:val="6538012E"/>
    <w:rsid w:val="657171FE"/>
    <w:rsid w:val="657333CA"/>
    <w:rsid w:val="658E0D2D"/>
    <w:rsid w:val="65A6554D"/>
    <w:rsid w:val="65B06880"/>
    <w:rsid w:val="65B243E4"/>
    <w:rsid w:val="65D42595"/>
    <w:rsid w:val="66575D03"/>
    <w:rsid w:val="66613293"/>
    <w:rsid w:val="66763171"/>
    <w:rsid w:val="66770C98"/>
    <w:rsid w:val="667E0635"/>
    <w:rsid w:val="668A4527"/>
    <w:rsid w:val="66A15716"/>
    <w:rsid w:val="66B613D6"/>
    <w:rsid w:val="66D563BE"/>
    <w:rsid w:val="66E225B5"/>
    <w:rsid w:val="67334445"/>
    <w:rsid w:val="67531912"/>
    <w:rsid w:val="676905E0"/>
    <w:rsid w:val="677E09E3"/>
    <w:rsid w:val="678A3FEA"/>
    <w:rsid w:val="67BB003D"/>
    <w:rsid w:val="67E837C9"/>
    <w:rsid w:val="67FC1454"/>
    <w:rsid w:val="6846639C"/>
    <w:rsid w:val="686C7E60"/>
    <w:rsid w:val="68787A32"/>
    <w:rsid w:val="687C2595"/>
    <w:rsid w:val="68891823"/>
    <w:rsid w:val="68916D9B"/>
    <w:rsid w:val="68945B31"/>
    <w:rsid w:val="68B65AA7"/>
    <w:rsid w:val="68ED6FEF"/>
    <w:rsid w:val="68EF720B"/>
    <w:rsid w:val="68F62348"/>
    <w:rsid w:val="69134DF3"/>
    <w:rsid w:val="691E2878"/>
    <w:rsid w:val="692F5310"/>
    <w:rsid w:val="69446257"/>
    <w:rsid w:val="694C3FC0"/>
    <w:rsid w:val="695D51EA"/>
    <w:rsid w:val="696E178E"/>
    <w:rsid w:val="6973738E"/>
    <w:rsid w:val="698279A8"/>
    <w:rsid w:val="699B4C9D"/>
    <w:rsid w:val="699C0552"/>
    <w:rsid w:val="69A50E62"/>
    <w:rsid w:val="69A6630B"/>
    <w:rsid w:val="69AB1384"/>
    <w:rsid w:val="69AF24F6"/>
    <w:rsid w:val="69C00644"/>
    <w:rsid w:val="69C24AB1"/>
    <w:rsid w:val="69CD7DD0"/>
    <w:rsid w:val="69DD52B6"/>
    <w:rsid w:val="6A422FFE"/>
    <w:rsid w:val="6A4E4251"/>
    <w:rsid w:val="6A7711BA"/>
    <w:rsid w:val="6A7B729C"/>
    <w:rsid w:val="6A8623BE"/>
    <w:rsid w:val="6AC16931"/>
    <w:rsid w:val="6AC769BB"/>
    <w:rsid w:val="6AE5448A"/>
    <w:rsid w:val="6AE6019A"/>
    <w:rsid w:val="6B395740"/>
    <w:rsid w:val="6B483A91"/>
    <w:rsid w:val="6B601CFA"/>
    <w:rsid w:val="6BDA5803"/>
    <w:rsid w:val="6BE62696"/>
    <w:rsid w:val="6BF244BD"/>
    <w:rsid w:val="6C077347"/>
    <w:rsid w:val="6C536006"/>
    <w:rsid w:val="6C5B3A14"/>
    <w:rsid w:val="6C5B554B"/>
    <w:rsid w:val="6C6043C5"/>
    <w:rsid w:val="6C8934D3"/>
    <w:rsid w:val="6C956BEE"/>
    <w:rsid w:val="6CA16A6E"/>
    <w:rsid w:val="6CD04811"/>
    <w:rsid w:val="6CD13316"/>
    <w:rsid w:val="6CDE5BFD"/>
    <w:rsid w:val="6CEE3336"/>
    <w:rsid w:val="6CFB084B"/>
    <w:rsid w:val="6D323B6A"/>
    <w:rsid w:val="6D4B7C47"/>
    <w:rsid w:val="6D652B07"/>
    <w:rsid w:val="6D6F6B85"/>
    <w:rsid w:val="6D7731F0"/>
    <w:rsid w:val="6D935BD4"/>
    <w:rsid w:val="6D942381"/>
    <w:rsid w:val="6D9C0FE4"/>
    <w:rsid w:val="6DA2484C"/>
    <w:rsid w:val="6DDB5FC9"/>
    <w:rsid w:val="6DEC5AC7"/>
    <w:rsid w:val="6DF56B72"/>
    <w:rsid w:val="6E1F40EF"/>
    <w:rsid w:val="6E2D281B"/>
    <w:rsid w:val="6E2F5A53"/>
    <w:rsid w:val="6E337B9A"/>
    <w:rsid w:val="6E6B2034"/>
    <w:rsid w:val="6E7D3DD0"/>
    <w:rsid w:val="6E8E2A90"/>
    <w:rsid w:val="6EBE403D"/>
    <w:rsid w:val="6EC6456A"/>
    <w:rsid w:val="6EFA6420"/>
    <w:rsid w:val="6F0A66BA"/>
    <w:rsid w:val="6F0C7DA2"/>
    <w:rsid w:val="6F191059"/>
    <w:rsid w:val="6F191ACB"/>
    <w:rsid w:val="6F196D90"/>
    <w:rsid w:val="6F5271D7"/>
    <w:rsid w:val="6F72024E"/>
    <w:rsid w:val="6FDE58E3"/>
    <w:rsid w:val="6FE16B76"/>
    <w:rsid w:val="701E6D0A"/>
    <w:rsid w:val="702E23C7"/>
    <w:rsid w:val="70531ED5"/>
    <w:rsid w:val="7055137D"/>
    <w:rsid w:val="7055204A"/>
    <w:rsid w:val="70567B70"/>
    <w:rsid w:val="7058635C"/>
    <w:rsid w:val="705C4D63"/>
    <w:rsid w:val="705D69A0"/>
    <w:rsid w:val="70602BE9"/>
    <w:rsid w:val="706A53C9"/>
    <w:rsid w:val="706F0977"/>
    <w:rsid w:val="70757FF6"/>
    <w:rsid w:val="7092523D"/>
    <w:rsid w:val="709D07C6"/>
    <w:rsid w:val="70AE175A"/>
    <w:rsid w:val="70C62214"/>
    <w:rsid w:val="70C978F8"/>
    <w:rsid w:val="70D16026"/>
    <w:rsid w:val="70D93433"/>
    <w:rsid w:val="70DB24D9"/>
    <w:rsid w:val="70FD0CB3"/>
    <w:rsid w:val="712A20A1"/>
    <w:rsid w:val="7135428F"/>
    <w:rsid w:val="71692D0A"/>
    <w:rsid w:val="71791D68"/>
    <w:rsid w:val="71A3547D"/>
    <w:rsid w:val="71C01D26"/>
    <w:rsid w:val="71F52906"/>
    <w:rsid w:val="72062ED0"/>
    <w:rsid w:val="72171289"/>
    <w:rsid w:val="72532286"/>
    <w:rsid w:val="726522EC"/>
    <w:rsid w:val="728A58AF"/>
    <w:rsid w:val="729F135A"/>
    <w:rsid w:val="72AC65F9"/>
    <w:rsid w:val="72AD20B4"/>
    <w:rsid w:val="72E44AFA"/>
    <w:rsid w:val="72FF4739"/>
    <w:rsid w:val="730E5596"/>
    <w:rsid w:val="734E1D53"/>
    <w:rsid w:val="73746DF9"/>
    <w:rsid w:val="73A02941"/>
    <w:rsid w:val="73E26C2E"/>
    <w:rsid w:val="73F12089"/>
    <w:rsid w:val="74335733"/>
    <w:rsid w:val="7434785E"/>
    <w:rsid w:val="743D497B"/>
    <w:rsid w:val="744F484E"/>
    <w:rsid w:val="744F7EFC"/>
    <w:rsid w:val="74AB0875"/>
    <w:rsid w:val="74B62489"/>
    <w:rsid w:val="74B64688"/>
    <w:rsid w:val="74F904A9"/>
    <w:rsid w:val="75295853"/>
    <w:rsid w:val="75371C6F"/>
    <w:rsid w:val="754814E8"/>
    <w:rsid w:val="75542870"/>
    <w:rsid w:val="7566482B"/>
    <w:rsid w:val="7582354A"/>
    <w:rsid w:val="758D6633"/>
    <w:rsid w:val="759058D2"/>
    <w:rsid w:val="75B84A72"/>
    <w:rsid w:val="75D457BF"/>
    <w:rsid w:val="75EA45E3"/>
    <w:rsid w:val="760840FE"/>
    <w:rsid w:val="76203C5A"/>
    <w:rsid w:val="7662726E"/>
    <w:rsid w:val="76650B0D"/>
    <w:rsid w:val="766C28F8"/>
    <w:rsid w:val="766D79C1"/>
    <w:rsid w:val="76765CF4"/>
    <w:rsid w:val="76926517"/>
    <w:rsid w:val="769907B6"/>
    <w:rsid w:val="76A553B5"/>
    <w:rsid w:val="76AD3861"/>
    <w:rsid w:val="76BC3AAB"/>
    <w:rsid w:val="76BD4DDD"/>
    <w:rsid w:val="76C656EC"/>
    <w:rsid w:val="76ED7B2A"/>
    <w:rsid w:val="76FA4FEC"/>
    <w:rsid w:val="76FD7DC5"/>
    <w:rsid w:val="77327FF1"/>
    <w:rsid w:val="77367A6F"/>
    <w:rsid w:val="776719F2"/>
    <w:rsid w:val="77912837"/>
    <w:rsid w:val="779F1DB0"/>
    <w:rsid w:val="77FC0FFD"/>
    <w:rsid w:val="780B2500"/>
    <w:rsid w:val="7814390B"/>
    <w:rsid w:val="78333AF2"/>
    <w:rsid w:val="78512C75"/>
    <w:rsid w:val="787D213D"/>
    <w:rsid w:val="78881C06"/>
    <w:rsid w:val="78B64B97"/>
    <w:rsid w:val="78D802CB"/>
    <w:rsid w:val="78E33F6B"/>
    <w:rsid w:val="78E57C65"/>
    <w:rsid w:val="78FC788A"/>
    <w:rsid w:val="790E4DA2"/>
    <w:rsid w:val="79206F6D"/>
    <w:rsid w:val="7959575E"/>
    <w:rsid w:val="795F53B0"/>
    <w:rsid w:val="7973709D"/>
    <w:rsid w:val="79753627"/>
    <w:rsid w:val="79C27653"/>
    <w:rsid w:val="79DD62BB"/>
    <w:rsid w:val="79EB30D7"/>
    <w:rsid w:val="7A2F6982"/>
    <w:rsid w:val="7A493816"/>
    <w:rsid w:val="7A4F4CB9"/>
    <w:rsid w:val="7A5A025C"/>
    <w:rsid w:val="7A664E53"/>
    <w:rsid w:val="7A694EFB"/>
    <w:rsid w:val="7A6A1293"/>
    <w:rsid w:val="7A6F3ED0"/>
    <w:rsid w:val="7A995229"/>
    <w:rsid w:val="7A9F24BA"/>
    <w:rsid w:val="7AA037BE"/>
    <w:rsid w:val="7AAE6DEF"/>
    <w:rsid w:val="7AB62CF8"/>
    <w:rsid w:val="7AC2652D"/>
    <w:rsid w:val="7AC810FF"/>
    <w:rsid w:val="7AE6094A"/>
    <w:rsid w:val="7AEE7323"/>
    <w:rsid w:val="7B26393D"/>
    <w:rsid w:val="7B2B1D58"/>
    <w:rsid w:val="7B3152AC"/>
    <w:rsid w:val="7B962901"/>
    <w:rsid w:val="7BA47E64"/>
    <w:rsid w:val="7BC012F2"/>
    <w:rsid w:val="7BCF1ECC"/>
    <w:rsid w:val="7BD37033"/>
    <w:rsid w:val="7C0829B8"/>
    <w:rsid w:val="7C0861C2"/>
    <w:rsid w:val="7C11491A"/>
    <w:rsid w:val="7C364B59"/>
    <w:rsid w:val="7C4C347A"/>
    <w:rsid w:val="7C865339"/>
    <w:rsid w:val="7CA015C6"/>
    <w:rsid w:val="7CAD4798"/>
    <w:rsid w:val="7CD267D0"/>
    <w:rsid w:val="7CDD764F"/>
    <w:rsid w:val="7D0F17D2"/>
    <w:rsid w:val="7D106A3B"/>
    <w:rsid w:val="7D1B064F"/>
    <w:rsid w:val="7D1F7C67"/>
    <w:rsid w:val="7D2516AF"/>
    <w:rsid w:val="7D4A29BA"/>
    <w:rsid w:val="7D4D68A0"/>
    <w:rsid w:val="7D782ED3"/>
    <w:rsid w:val="7D7F4C76"/>
    <w:rsid w:val="7D920127"/>
    <w:rsid w:val="7D935B5C"/>
    <w:rsid w:val="7DAE2543"/>
    <w:rsid w:val="7DCE51E9"/>
    <w:rsid w:val="7DEE7639"/>
    <w:rsid w:val="7E096190"/>
    <w:rsid w:val="7E1C5EBC"/>
    <w:rsid w:val="7E2D569D"/>
    <w:rsid w:val="7E52614D"/>
    <w:rsid w:val="7E5A0FDB"/>
    <w:rsid w:val="7E621509"/>
    <w:rsid w:val="7EB54B6D"/>
    <w:rsid w:val="7F291B53"/>
    <w:rsid w:val="7F2E4A1D"/>
    <w:rsid w:val="7F315892"/>
    <w:rsid w:val="7F3776C5"/>
    <w:rsid w:val="7F530B2B"/>
    <w:rsid w:val="7F567EC8"/>
    <w:rsid w:val="7F5A30FD"/>
    <w:rsid w:val="7F612A25"/>
    <w:rsid w:val="7F6A428A"/>
    <w:rsid w:val="7F9F1504"/>
    <w:rsid w:val="7FCB79CD"/>
    <w:rsid w:val="7FF3587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560" w:firstLineChars="200"/>
      <w:jc w:val="both"/>
    </w:pPr>
    <w:rPr>
      <w:rFonts w:ascii="Times New Roman" w:hAnsi="Times New Roman" w:eastAsia="华文仿宋" w:cs="Times New Roman"/>
      <w:kern w:val="2"/>
      <w:sz w:val="28"/>
      <w:szCs w:val="24"/>
      <w:lang w:val="en-US" w:eastAsia="zh-CN" w:bidi="ar-SA"/>
    </w:rPr>
  </w:style>
  <w:style w:type="paragraph" w:styleId="2">
    <w:name w:val="heading 1"/>
    <w:basedOn w:val="1"/>
    <w:next w:val="1"/>
    <w:link w:val="87"/>
    <w:autoRedefine/>
    <w:qFormat/>
    <w:uiPriority w:val="9"/>
    <w:pPr>
      <w:keepNext/>
      <w:adjustRightInd w:val="0"/>
      <w:spacing w:line="300" w:lineRule="auto"/>
      <w:ind w:left="3838" w:firstLine="0" w:firstLineChars="0"/>
      <w:textAlignment w:val="baseline"/>
      <w:outlineLvl w:val="0"/>
    </w:pPr>
    <w:rPr>
      <w:rFonts w:ascii="黑体" w:hAnsi="黑体"/>
      <w:b/>
      <w:kern w:val="0"/>
      <w:sz w:val="32"/>
      <w:szCs w:val="30"/>
    </w:rPr>
  </w:style>
  <w:style w:type="paragraph" w:styleId="3">
    <w:name w:val="heading 2"/>
    <w:basedOn w:val="1"/>
    <w:next w:val="1"/>
    <w:link w:val="84"/>
    <w:autoRedefine/>
    <w:qFormat/>
    <w:uiPriority w:val="9"/>
    <w:pPr>
      <w:keepNext/>
      <w:keepLines/>
      <w:widowControl/>
      <w:spacing w:before="120" w:after="60"/>
      <w:ind w:firstLine="200"/>
      <w:outlineLvl w:val="1"/>
    </w:pPr>
    <w:rPr>
      <w:b/>
      <w:smallCaps/>
      <w:kern w:val="0"/>
      <w:sz w:val="30"/>
      <w:szCs w:val="20"/>
    </w:rPr>
  </w:style>
  <w:style w:type="paragraph" w:styleId="4">
    <w:name w:val="heading 3"/>
    <w:basedOn w:val="1"/>
    <w:next w:val="1"/>
    <w:link w:val="92"/>
    <w:autoRedefine/>
    <w:qFormat/>
    <w:uiPriority w:val="9"/>
    <w:pPr>
      <w:keepNext/>
      <w:keepLines/>
      <w:jc w:val="left"/>
      <w:outlineLvl w:val="2"/>
    </w:pPr>
    <w:rPr>
      <w:rFonts w:ascii="宋体" w:hAnsi="宋体"/>
      <w:b/>
      <w:szCs w:val="21"/>
    </w:rPr>
  </w:style>
  <w:style w:type="paragraph" w:styleId="5">
    <w:name w:val="heading 4"/>
    <w:basedOn w:val="1"/>
    <w:next w:val="1"/>
    <w:link w:val="74"/>
    <w:autoRedefine/>
    <w:qFormat/>
    <w:uiPriority w:val="0"/>
    <w:pPr>
      <w:keepNext/>
      <w:keepLines/>
      <w:spacing w:before="280" w:after="290" w:line="376" w:lineRule="auto"/>
      <w:outlineLvl w:val="3"/>
    </w:pPr>
    <w:rPr>
      <w:rFonts w:ascii="Arial" w:hAnsi="Arial" w:eastAsia="黑体"/>
      <w:b/>
      <w:bCs/>
      <w:szCs w:val="28"/>
    </w:rPr>
  </w:style>
  <w:style w:type="paragraph" w:styleId="6">
    <w:name w:val="heading 5"/>
    <w:basedOn w:val="1"/>
    <w:next w:val="1"/>
    <w:link w:val="83"/>
    <w:autoRedefine/>
    <w:qFormat/>
    <w:uiPriority w:val="9"/>
    <w:pPr>
      <w:keepNext/>
      <w:keepLines/>
      <w:widowControl/>
      <w:tabs>
        <w:tab w:val="left" w:pos="432"/>
        <w:tab w:val="left" w:pos="1008"/>
      </w:tabs>
      <w:spacing w:before="280" w:after="290" w:line="376" w:lineRule="auto"/>
      <w:ind w:left="1008" w:hanging="1008" w:firstLineChars="0"/>
      <w:jc w:val="left"/>
      <w:outlineLvl w:val="4"/>
    </w:pPr>
    <w:rPr>
      <w:rFonts w:eastAsia="宋体"/>
      <w:b/>
      <w:bCs/>
      <w:kern w:val="0"/>
      <w:szCs w:val="28"/>
    </w:rPr>
  </w:style>
  <w:style w:type="paragraph" w:styleId="7">
    <w:name w:val="heading 6"/>
    <w:basedOn w:val="1"/>
    <w:next w:val="1"/>
    <w:link w:val="90"/>
    <w:autoRedefine/>
    <w:qFormat/>
    <w:uiPriority w:val="0"/>
    <w:pPr>
      <w:keepNext/>
      <w:keepLines/>
      <w:widowControl/>
      <w:tabs>
        <w:tab w:val="left" w:pos="432"/>
        <w:tab w:val="left" w:pos="1152"/>
      </w:tabs>
      <w:spacing w:before="240" w:after="64" w:line="320" w:lineRule="auto"/>
      <w:ind w:left="1152" w:hanging="1152" w:firstLineChars="0"/>
      <w:jc w:val="left"/>
      <w:outlineLvl w:val="5"/>
    </w:pPr>
    <w:rPr>
      <w:rFonts w:ascii="Arial" w:hAnsi="Arial" w:eastAsia="黑体"/>
      <w:b/>
      <w:bCs/>
      <w:kern w:val="0"/>
      <w:sz w:val="24"/>
    </w:rPr>
  </w:style>
  <w:style w:type="paragraph" w:styleId="8">
    <w:name w:val="heading 7"/>
    <w:basedOn w:val="1"/>
    <w:next w:val="1"/>
    <w:link w:val="69"/>
    <w:autoRedefine/>
    <w:qFormat/>
    <w:uiPriority w:val="0"/>
    <w:pPr>
      <w:keepNext/>
      <w:keepLines/>
      <w:widowControl/>
      <w:tabs>
        <w:tab w:val="left" w:pos="432"/>
        <w:tab w:val="left" w:pos="1296"/>
      </w:tabs>
      <w:spacing w:before="240" w:after="64" w:line="320" w:lineRule="auto"/>
      <w:ind w:left="1296" w:hanging="1296" w:firstLineChars="0"/>
      <w:jc w:val="left"/>
      <w:outlineLvl w:val="6"/>
    </w:pPr>
    <w:rPr>
      <w:rFonts w:eastAsia="宋体"/>
      <w:b/>
      <w:bCs/>
      <w:kern w:val="0"/>
      <w:sz w:val="24"/>
    </w:rPr>
  </w:style>
  <w:style w:type="paragraph" w:styleId="9">
    <w:name w:val="heading 8"/>
    <w:basedOn w:val="1"/>
    <w:next w:val="1"/>
    <w:link w:val="85"/>
    <w:autoRedefine/>
    <w:qFormat/>
    <w:uiPriority w:val="0"/>
    <w:pPr>
      <w:keepNext/>
      <w:keepLines/>
      <w:widowControl/>
      <w:tabs>
        <w:tab w:val="left" w:pos="432"/>
        <w:tab w:val="left" w:pos="1440"/>
      </w:tabs>
      <w:spacing w:before="240" w:after="64" w:line="320" w:lineRule="auto"/>
      <w:ind w:left="1440" w:hanging="1440" w:firstLineChars="0"/>
      <w:jc w:val="left"/>
      <w:outlineLvl w:val="7"/>
    </w:pPr>
    <w:rPr>
      <w:rFonts w:ascii="Arial" w:hAnsi="Arial" w:eastAsia="黑体"/>
      <w:kern w:val="0"/>
      <w:sz w:val="24"/>
    </w:rPr>
  </w:style>
  <w:style w:type="paragraph" w:styleId="10">
    <w:name w:val="heading 9"/>
    <w:basedOn w:val="1"/>
    <w:next w:val="1"/>
    <w:link w:val="63"/>
    <w:autoRedefine/>
    <w:qFormat/>
    <w:uiPriority w:val="0"/>
    <w:pPr>
      <w:keepNext/>
      <w:keepLines/>
      <w:widowControl/>
      <w:tabs>
        <w:tab w:val="left" w:pos="432"/>
        <w:tab w:val="left" w:pos="1584"/>
      </w:tabs>
      <w:spacing w:before="240" w:after="64" w:line="320" w:lineRule="auto"/>
      <w:ind w:left="1584" w:hanging="1584" w:firstLineChars="0"/>
      <w:jc w:val="left"/>
      <w:outlineLvl w:val="8"/>
    </w:pPr>
    <w:rPr>
      <w:rFonts w:ascii="Arial" w:hAnsi="Arial" w:eastAsia="黑体"/>
      <w:kern w:val="0"/>
      <w:sz w:val="21"/>
      <w:szCs w:val="21"/>
    </w:rPr>
  </w:style>
  <w:style w:type="character" w:default="1" w:styleId="55">
    <w:name w:val="Default Paragraph Font"/>
    <w:autoRedefine/>
    <w:semiHidden/>
    <w:unhideWhenUsed/>
    <w:qFormat/>
    <w:uiPriority w:val="1"/>
  </w:style>
  <w:style w:type="table" w:default="1" w:styleId="53">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
    <w:autoRedefine/>
    <w:qFormat/>
    <w:uiPriority w:val="0"/>
    <w:pPr>
      <w:widowControl/>
      <w:ind w:left="100" w:leftChars="400" w:hanging="200" w:hangingChars="200"/>
    </w:pPr>
    <w:rPr>
      <w:rFonts w:eastAsia="宋体"/>
      <w:sz w:val="21"/>
    </w:rPr>
  </w:style>
  <w:style w:type="paragraph" w:styleId="12">
    <w:name w:val="toc 7"/>
    <w:basedOn w:val="1"/>
    <w:next w:val="1"/>
    <w:autoRedefine/>
    <w:unhideWhenUsed/>
    <w:qFormat/>
    <w:uiPriority w:val="39"/>
    <w:pPr>
      <w:spacing w:line="240" w:lineRule="auto"/>
      <w:ind w:left="2520" w:leftChars="1200" w:firstLine="0" w:firstLineChars="0"/>
    </w:pPr>
    <w:rPr>
      <w:rFonts w:ascii="等线" w:hAnsi="等线" w:eastAsia="等线"/>
      <w:sz w:val="21"/>
      <w:szCs w:val="22"/>
    </w:rPr>
  </w:style>
  <w:style w:type="paragraph" w:styleId="13">
    <w:name w:val="Normal Indent"/>
    <w:basedOn w:val="1"/>
    <w:link w:val="81"/>
    <w:autoRedefine/>
    <w:qFormat/>
    <w:uiPriority w:val="0"/>
    <w:pPr>
      <w:adjustRightInd w:val="0"/>
      <w:spacing w:line="312" w:lineRule="atLeast"/>
      <w:ind w:firstLine="420"/>
      <w:textAlignment w:val="baseline"/>
    </w:pPr>
    <w:rPr>
      <w:kern w:val="0"/>
      <w:sz w:val="32"/>
      <w:szCs w:val="20"/>
    </w:rPr>
  </w:style>
  <w:style w:type="paragraph" w:styleId="14">
    <w:name w:val="caption"/>
    <w:basedOn w:val="1"/>
    <w:next w:val="1"/>
    <w:autoRedefine/>
    <w:qFormat/>
    <w:uiPriority w:val="0"/>
    <w:pPr>
      <w:widowControl/>
      <w:ind w:firstLine="200"/>
    </w:pPr>
    <w:rPr>
      <w:rFonts w:ascii="Arial" w:hAnsi="Arial" w:eastAsia="黑体" w:cs="Arial"/>
      <w:sz w:val="20"/>
      <w:szCs w:val="20"/>
    </w:rPr>
  </w:style>
  <w:style w:type="paragraph" w:styleId="15">
    <w:name w:val="Document Map"/>
    <w:basedOn w:val="1"/>
    <w:link w:val="82"/>
    <w:autoRedefine/>
    <w:qFormat/>
    <w:uiPriority w:val="99"/>
    <w:pPr>
      <w:shd w:val="clear" w:color="auto" w:fill="000080"/>
    </w:pPr>
  </w:style>
  <w:style w:type="paragraph" w:styleId="16">
    <w:name w:val="toa heading"/>
    <w:basedOn w:val="1"/>
    <w:next w:val="1"/>
    <w:autoRedefine/>
    <w:qFormat/>
    <w:uiPriority w:val="0"/>
    <w:pPr>
      <w:widowControl/>
      <w:spacing w:before="120"/>
      <w:ind w:firstLine="200"/>
    </w:pPr>
    <w:rPr>
      <w:rFonts w:ascii="Arial" w:hAnsi="Arial" w:eastAsia="宋体"/>
      <w:b/>
      <w:bCs/>
      <w:sz w:val="21"/>
    </w:rPr>
  </w:style>
  <w:style w:type="paragraph" w:styleId="17">
    <w:name w:val="annotation text"/>
    <w:basedOn w:val="1"/>
    <w:link w:val="79"/>
    <w:autoRedefine/>
    <w:unhideWhenUsed/>
    <w:qFormat/>
    <w:uiPriority w:val="99"/>
    <w:pPr>
      <w:spacing w:line="240" w:lineRule="auto"/>
      <w:ind w:firstLine="0" w:firstLineChars="0"/>
      <w:jc w:val="left"/>
    </w:pPr>
    <w:rPr>
      <w:rFonts w:eastAsia="宋体"/>
      <w:sz w:val="21"/>
    </w:rPr>
  </w:style>
  <w:style w:type="paragraph" w:styleId="18">
    <w:name w:val="Body Text 3"/>
    <w:basedOn w:val="1"/>
    <w:link w:val="93"/>
    <w:autoRedefine/>
    <w:unhideWhenUsed/>
    <w:qFormat/>
    <w:uiPriority w:val="0"/>
    <w:pPr>
      <w:spacing w:line="240" w:lineRule="auto"/>
      <w:ind w:firstLine="0" w:firstLineChars="0"/>
    </w:pPr>
    <w:rPr>
      <w:rFonts w:ascii="宋体" w:hAnsi="Calibri" w:eastAsia="宋体"/>
      <w:sz w:val="24"/>
      <w:szCs w:val="20"/>
    </w:rPr>
  </w:style>
  <w:style w:type="paragraph" w:styleId="19">
    <w:name w:val="Body Text"/>
    <w:basedOn w:val="1"/>
    <w:next w:val="20"/>
    <w:link w:val="76"/>
    <w:autoRedefine/>
    <w:qFormat/>
    <w:uiPriority w:val="1"/>
    <w:pPr>
      <w:spacing w:after="120"/>
    </w:pPr>
  </w:style>
  <w:style w:type="paragraph" w:styleId="20">
    <w:name w:val="Body Text First Indent"/>
    <w:basedOn w:val="19"/>
    <w:link w:val="167"/>
    <w:autoRedefine/>
    <w:qFormat/>
    <w:uiPriority w:val="0"/>
    <w:pPr>
      <w:widowControl/>
      <w:ind w:firstLine="420" w:firstLineChars="100"/>
    </w:pPr>
    <w:rPr>
      <w:rFonts w:eastAsia="宋体"/>
      <w:sz w:val="21"/>
    </w:rPr>
  </w:style>
  <w:style w:type="paragraph" w:styleId="21">
    <w:name w:val="Body Text Indent"/>
    <w:basedOn w:val="1"/>
    <w:link w:val="67"/>
    <w:autoRedefine/>
    <w:qFormat/>
    <w:uiPriority w:val="0"/>
    <w:pPr>
      <w:ind w:firstLine="420"/>
    </w:pPr>
  </w:style>
  <w:style w:type="paragraph" w:styleId="22">
    <w:name w:val="List 2"/>
    <w:basedOn w:val="1"/>
    <w:autoRedefine/>
    <w:qFormat/>
    <w:uiPriority w:val="0"/>
    <w:pPr>
      <w:widowControl/>
      <w:ind w:left="100" w:leftChars="200" w:hanging="200" w:hangingChars="200"/>
    </w:pPr>
    <w:rPr>
      <w:rFonts w:eastAsia="宋体"/>
      <w:sz w:val="21"/>
    </w:rPr>
  </w:style>
  <w:style w:type="paragraph" w:styleId="23">
    <w:name w:val="List Bullet 2"/>
    <w:basedOn w:val="1"/>
    <w:autoRedefine/>
    <w:qFormat/>
    <w:uiPriority w:val="0"/>
    <w:pPr>
      <w:widowControl/>
      <w:tabs>
        <w:tab w:val="left" w:pos="780"/>
      </w:tabs>
      <w:ind w:left="840" w:hanging="420"/>
    </w:pPr>
    <w:rPr>
      <w:rFonts w:eastAsia="宋体"/>
      <w:sz w:val="21"/>
    </w:rPr>
  </w:style>
  <w:style w:type="paragraph" w:styleId="24">
    <w:name w:val="toc 5"/>
    <w:basedOn w:val="1"/>
    <w:next w:val="1"/>
    <w:autoRedefine/>
    <w:unhideWhenUsed/>
    <w:qFormat/>
    <w:uiPriority w:val="39"/>
    <w:pPr>
      <w:spacing w:line="240" w:lineRule="auto"/>
      <w:ind w:left="1680" w:leftChars="800" w:firstLine="0" w:firstLineChars="0"/>
    </w:pPr>
    <w:rPr>
      <w:rFonts w:ascii="等线" w:hAnsi="等线" w:eastAsia="等线"/>
      <w:sz w:val="21"/>
      <w:szCs w:val="22"/>
    </w:rPr>
  </w:style>
  <w:style w:type="paragraph" w:styleId="25">
    <w:name w:val="toc 3"/>
    <w:basedOn w:val="1"/>
    <w:next w:val="1"/>
    <w:autoRedefine/>
    <w:qFormat/>
    <w:uiPriority w:val="39"/>
    <w:pPr>
      <w:ind w:left="840" w:leftChars="400"/>
    </w:pPr>
  </w:style>
  <w:style w:type="paragraph" w:styleId="26">
    <w:name w:val="Plain Text"/>
    <w:basedOn w:val="1"/>
    <w:link w:val="89"/>
    <w:autoRedefine/>
    <w:qFormat/>
    <w:uiPriority w:val="0"/>
    <w:rPr>
      <w:rFonts w:ascii="宋体" w:hAnsi="Courier New" w:eastAsia="宋体"/>
      <w:kern w:val="10"/>
      <w:sz w:val="21"/>
      <w:szCs w:val="20"/>
    </w:rPr>
  </w:style>
  <w:style w:type="paragraph" w:styleId="27">
    <w:name w:val="toc 8"/>
    <w:basedOn w:val="1"/>
    <w:next w:val="1"/>
    <w:autoRedefine/>
    <w:unhideWhenUsed/>
    <w:qFormat/>
    <w:uiPriority w:val="39"/>
    <w:pPr>
      <w:spacing w:line="240" w:lineRule="auto"/>
      <w:ind w:left="2940" w:leftChars="1400" w:firstLine="0" w:firstLineChars="0"/>
    </w:pPr>
    <w:rPr>
      <w:rFonts w:ascii="等线" w:hAnsi="等线" w:eastAsia="等线"/>
      <w:sz w:val="21"/>
      <w:szCs w:val="22"/>
    </w:rPr>
  </w:style>
  <w:style w:type="paragraph" w:styleId="28">
    <w:name w:val="Date"/>
    <w:basedOn w:val="1"/>
    <w:next w:val="1"/>
    <w:link w:val="180"/>
    <w:autoRedefine/>
    <w:qFormat/>
    <w:uiPriority w:val="99"/>
    <w:pPr>
      <w:ind w:left="100" w:leftChars="2500"/>
    </w:pPr>
    <w:rPr>
      <w:rFonts w:ascii="楷体_GB2312" w:eastAsia="楷体_GB2312"/>
    </w:rPr>
  </w:style>
  <w:style w:type="paragraph" w:styleId="29">
    <w:name w:val="Body Text Indent 2"/>
    <w:basedOn w:val="1"/>
    <w:link w:val="68"/>
    <w:autoRedefine/>
    <w:qFormat/>
    <w:uiPriority w:val="0"/>
    <w:pPr>
      <w:spacing w:after="120" w:line="480" w:lineRule="auto"/>
      <w:ind w:left="420" w:leftChars="200"/>
    </w:pPr>
  </w:style>
  <w:style w:type="paragraph" w:styleId="30">
    <w:name w:val="endnote text"/>
    <w:basedOn w:val="1"/>
    <w:link w:val="172"/>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31">
    <w:name w:val="Balloon Text"/>
    <w:basedOn w:val="1"/>
    <w:link w:val="80"/>
    <w:autoRedefine/>
    <w:qFormat/>
    <w:uiPriority w:val="99"/>
    <w:rPr>
      <w:sz w:val="18"/>
      <w:szCs w:val="18"/>
    </w:rPr>
  </w:style>
  <w:style w:type="paragraph" w:styleId="32">
    <w:name w:val="footer"/>
    <w:basedOn w:val="1"/>
    <w:link w:val="77"/>
    <w:autoRedefine/>
    <w:qFormat/>
    <w:uiPriority w:val="99"/>
    <w:pPr>
      <w:tabs>
        <w:tab w:val="center" w:pos="4153"/>
        <w:tab w:val="right" w:pos="8306"/>
      </w:tabs>
      <w:snapToGrid w:val="0"/>
      <w:jc w:val="left"/>
    </w:pPr>
    <w:rPr>
      <w:rFonts w:eastAsia="宋体"/>
      <w:sz w:val="18"/>
      <w:szCs w:val="18"/>
    </w:rPr>
  </w:style>
  <w:style w:type="paragraph" w:styleId="33">
    <w:name w:val="header"/>
    <w:basedOn w:val="1"/>
    <w:link w:val="94"/>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style>
  <w:style w:type="paragraph" w:styleId="35">
    <w:name w:val="toc 4"/>
    <w:basedOn w:val="1"/>
    <w:next w:val="1"/>
    <w:autoRedefine/>
    <w:unhideWhenUsed/>
    <w:qFormat/>
    <w:uiPriority w:val="39"/>
    <w:pPr>
      <w:spacing w:line="240" w:lineRule="auto"/>
      <w:ind w:left="1260" w:leftChars="600" w:firstLine="0" w:firstLineChars="0"/>
    </w:pPr>
    <w:rPr>
      <w:rFonts w:ascii="等线" w:hAnsi="等线" w:eastAsia="等线"/>
      <w:sz w:val="21"/>
      <w:szCs w:val="22"/>
    </w:rPr>
  </w:style>
  <w:style w:type="paragraph" w:styleId="36">
    <w:name w:val="index heading"/>
    <w:basedOn w:val="1"/>
    <w:next w:val="37"/>
    <w:autoRedefine/>
    <w:qFormat/>
    <w:uiPriority w:val="0"/>
    <w:pPr>
      <w:widowControl/>
      <w:spacing w:before="120" w:after="120"/>
      <w:ind w:firstLine="200"/>
      <w:jc w:val="left"/>
    </w:pPr>
    <w:rPr>
      <w:rFonts w:eastAsia="宋体"/>
      <w:b/>
      <w:bCs/>
      <w:i/>
      <w:iCs/>
      <w:sz w:val="20"/>
      <w:szCs w:val="20"/>
    </w:rPr>
  </w:style>
  <w:style w:type="paragraph" w:styleId="37">
    <w:name w:val="index 1"/>
    <w:basedOn w:val="1"/>
    <w:next w:val="1"/>
    <w:autoRedefine/>
    <w:qFormat/>
    <w:uiPriority w:val="0"/>
    <w:pPr>
      <w:widowControl/>
      <w:spacing w:line="220" w:lineRule="exact"/>
      <w:ind w:firstLine="200"/>
      <w:jc w:val="center"/>
    </w:pPr>
    <w:rPr>
      <w:rFonts w:ascii="仿宋_GB2312" w:eastAsia="仿宋_GB2312"/>
      <w:sz w:val="21"/>
      <w:szCs w:val="21"/>
    </w:rPr>
  </w:style>
  <w:style w:type="paragraph" w:styleId="38">
    <w:name w:val="Subtitle"/>
    <w:basedOn w:val="1"/>
    <w:next w:val="1"/>
    <w:autoRedefine/>
    <w:qFormat/>
    <w:uiPriority w:val="0"/>
    <w:pPr>
      <w:spacing w:line="360" w:lineRule="auto"/>
      <w:jc w:val="left"/>
      <w:outlineLvl w:val="1"/>
    </w:pPr>
    <w:rPr>
      <w:rFonts w:ascii="等线 Light" w:hAnsi="等线 Light" w:cs="Times New Roman"/>
      <w:b/>
      <w:bCs/>
      <w:kern w:val="28"/>
      <w:sz w:val="24"/>
      <w:szCs w:val="32"/>
    </w:rPr>
  </w:style>
  <w:style w:type="paragraph" w:styleId="39">
    <w:name w:val="List"/>
    <w:basedOn w:val="1"/>
    <w:autoRedefine/>
    <w:qFormat/>
    <w:uiPriority w:val="0"/>
    <w:pPr>
      <w:widowControl/>
      <w:ind w:left="200" w:hanging="200" w:hangingChars="200"/>
    </w:pPr>
    <w:rPr>
      <w:rFonts w:eastAsia="宋体"/>
      <w:sz w:val="21"/>
    </w:rPr>
  </w:style>
  <w:style w:type="paragraph" w:styleId="40">
    <w:name w:val="footnote text"/>
    <w:basedOn w:val="1"/>
    <w:link w:val="149"/>
    <w:autoRedefine/>
    <w:qFormat/>
    <w:uiPriority w:val="0"/>
    <w:pPr>
      <w:widowControl/>
      <w:ind w:firstLine="200"/>
      <w:jc w:val="left"/>
    </w:pPr>
    <w:rPr>
      <w:rFonts w:ascii="Courier" w:hAnsi="Courier" w:eastAsia="PMingLiU"/>
      <w:snapToGrid w:val="0"/>
      <w:kern w:val="0"/>
      <w:sz w:val="24"/>
      <w:szCs w:val="20"/>
      <w:lang w:val="en-AU" w:eastAsia="en-US"/>
    </w:rPr>
  </w:style>
  <w:style w:type="paragraph" w:styleId="41">
    <w:name w:val="toc 6"/>
    <w:basedOn w:val="1"/>
    <w:next w:val="1"/>
    <w:autoRedefine/>
    <w:unhideWhenUsed/>
    <w:qFormat/>
    <w:uiPriority w:val="39"/>
    <w:pPr>
      <w:spacing w:line="240" w:lineRule="auto"/>
      <w:ind w:left="2100" w:leftChars="1000" w:firstLine="0" w:firstLineChars="0"/>
    </w:pPr>
    <w:rPr>
      <w:rFonts w:ascii="等线" w:hAnsi="等线" w:eastAsia="等线"/>
      <w:sz w:val="21"/>
      <w:szCs w:val="22"/>
    </w:rPr>
  </w:style>
  <w:style w:type="paragraph" w:styleId="42">
    <w:name w:val="List 5"/>
    <w:basedOn w:val="1"/>
    <w:autoRedefine/>
    <w:qFormat/>
    <w:uiPriority w:val="0"/>
    <w:pPr>
      <w:widowControl/>
      <w:ind w:left="100" w:leftChars="800" w:hanging="200" w:hangingChars="200"/>
    </w:pPr>
    <w:rPr>
      <w:rFonts w:eastAsia="宋体"/>
      <w:sz w:val="21"/>
    </w:rPr>
  </w:style>
  <w:style w:type="paragraph" w:styleId="43">
    <w:name w:val="Body Text Indent 3"/>
    <w:basedOn w:val="1"/>
    <w:link w:val="143"/>
    <w:autoRedefine/>
    <w:qFormat/>
    <w:uiPriority w:val="0"/>
    <w:pPr>
      <w:widowControl/>
      <w:spacing w:after="120"/>
      <w:ind w:left="420" w:leftChars="200" w:firstLine="200"/>
    </w:pPr>
    <w:rPr>
      <w:rFonts w:eastAsia="宋体"/>
      <w:sz w:val="16"/>
      <w:szCs w:val="16"/>
    </w:rPr>
  </w:style>
  <w:style w:type="paragraph" w:styleId="44">
    <w:name w:val="toc 2"/>
    <w:basedOn w:val="1"/>
    <w:next w:val="1"/>
    <w:autoRedefine/>
    <w:qFormat/>
    <w:uiPriority w:val="39"/>
    <w:pPr>
      <w:ind w:left="420" w:leftChars="200"/>
    </w:pPr>
  </w:style>
  <w:style w:type="paragraph" w:styleId="45">
    <w:name w:val="toc 9"/>
    <w:basedOn w:val="1"/>
    <w:next w:val="1"/>
    <w:autoRedefine/>
    <w:unhideWhenUsed/>
    <w:qFormat/>
    <w:uiPriority w:val="39"/>
    <w:pPr>
      <w:spacing w:line="240" w:lineRule="auto"/>
      <w:ind w:left="3360" w:leftChars="1600" w:firstLine="0" w:firstLineChars="0"/>
    </w:pPr>
    <w:rPr>
      <w:rFonts w:ascii="等线" w:hAnsi="等线" w:eastAsia="等线"/>
      <w:sz w:val="21"/>
      <w:szCs w:val="22"/>
    </w:rPr>
  </w:style>
  <w:style w:type="paragraph" w:styleId="46">
    <w:name w:val="Body Text 2"/>
    <w:basedOn w:val="1"/>
    <w:link w:val="70"/>
    <w:autoRedefine/>
    <w:unhideWhenUsed/>
    <w:qFormat/>
    <w:uiPriority w:val="0"/>
    <w:pPr>
      <w:spacing w:after="120" w:line="480" w:lineRule="auto"/>
    </w:pPr>
    <w:rPr>
      <w:rFonts w:eastAsia="宋体"/>
      <w:sz w:val="21"/>
      <w:szCs w:val="20"/>
    </w:rPr>
  </w:style>
  <w:style w:type="paragraph" w:styleId="47">
    <w:name w:val="List 4"/>
    <w:basedOn w:val="1"/>
    <w:autoRedefine/>
    <w:qFormat/>
    <w:uiPriority w:val="0"/>
    <w:pPr>
      <w:widowControl/>
      <w:ind w:left="100" w:leftChars="600" w:hanging="200" w:hangingChars="200"/>
    </w:pPr>
    <w:rPr>
      <w:rFonts w:eastAsia="宋体"/>
      <w:sz w:val="21"/>
    </w:rPr>
  </w:style>
  <w:style w:type="paragraph" w:styleId="48">
    <w:name w:val="HTML Preformatted"/>
    <w:basedOn w:val="1"/>
    <w:link w:val="65"/>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宋体" w:hAnsi="宋体" w:eastAsia="宋体"/>
      <w:kern w:val="0"/>
      <w:sz w:val="24"/>
    </w:rPr>
  </w:style>
  <w:style w:type="paragraph" w:styleId="49">
    <w:name w:val="Normal (Web)"/>
    <w:basedOn w:val="1"/>
    <w:autoRedefine/>
    <w:qFormat/>
    <w:uiPriority w:val="99"/>
    <w:rPr>
      <w:sz w:val="24"/>
    </w:rPr>
  </w:style>
  <w:style w:type="paragraph" w:styleId="50">
    <w:name w:val="Title"/>
    <w:basedOn w:val="1"/>
    <w:next w:val="1"/>
    <w:link w:val="185"/>
    <w:autoRedefine/>
    <w:qFormat/>
    <w:uiPriority w:val="0"/>
    <w:pPr>
      <w:widowControl/>
      <w:adjustRightInd w:val="0"/>
      <w:spacing w:before="240" w:after="60" w:line="420" w:lineRule="atLeast"/>
      <w:ind w:firstLine="200"/>
      <w:jc w:val="center"/>
      <w:textAlignment w:val="baseline"/>
      <w:outlineLvl w:val="0"/>
    </w:pPr>
    <w:rPr>
      <w:rFonts w:ascii="Arial" w:hAnsi="Arial" w:eastAsia="宋体"/>
      <w:b/>
      <w:kern w:val="0"/>
      <w:sz w:val="32"/>
      <w:szCs w:val="20"/>
    </w:rPr>
  </w:style>
  <w:style w:type="paragraph" w:styleId="51">
    <w:name w:val="annotation subject"/>
    <w:basedOn w:val="17"/>
    <w:next w:val="17"/>
    <w:link w:val="78"/>
    <w:autoRedefine/>
    <w:unhideWhenUsed/>
    <w:qFormat/>
    <w:uiPriority w:val="99"/>
    <w:rPr>
      <w:b/>
      <w:bCs/>
    </w:rPr>
  </w:style>
  <w:style w:type="paragraph" w:styleId="52">
    <w:name w:val="Body Text First Indent 2"/>
    <w:basedOn w:val="21"/>
    <w:link w:val="225"/>
    <w:autoRedefine/>
    <w:qFormat/>
    <w:uiPriority w:val="0"/>
    <w:pPr>
      <w:widowControl/>
      <w:adjustRightInd w:val="0"/>
      <w:spacing w:after="120" w:line="312" w:lineRule="atLeast"/>
      <w:ind w:left="420" w:leftChars="200"/>
      <w:textAlignment w:val="baseline"/>
    </w:pPr>
    <w:rPr>
      <w:rFonts w:eastAsia="宋体"/>
      <w:sz w:val="21"/>
    </w:rPr>
  </w:style>
  <w:style w:type="table" w:styleId="54">
    <w:name w:val="Table Grid"/>
    <w:basedOn w:val="5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autoRedefine/>
    <w:qFormat/>
    <w:uiPriority w:val="22"/>
    <w:rPr>
      <w:b/>
      <w:bCs/>
    </w:rPr>
  </w:style>
  <w:style w:type="character" w:styleId="57">
    <w:name w:val="page number"/>
    <w:basedOn w:val="55"/>
    <w:autoRedefine/>
    <w:qFormat/>
    <w:uiPriority w:val="0"/>
  </w:style>
  <w:style w:type="character" w:styleId="58">
    <w:name w:val="FollowedHyperlink"/>
    <w:autoRedefine/>
    <w:unhideWhenUsed/>
    <w:qFormat/>
    <w:uiPriority w:val="99"/>
    <w:rPr>
      <w:color w:val="800080"/>
      <w:u w:val="single"/>
    </w:rPr>
  </w:style>
  <w:style w:type="character" w:styleId="59">
    <w:name w:val="Emphasis"/>
    <w:autoRedefine/>
    <w:qFormat/>
    <w:uiPriority w:val="20"/>
    <w:rPr>
      <w:color w:val="CC0000"/>
    </w:rPr>
  </w:style>
  <w:style w:type="character" w:styleId="60">
    <w:name w:val="Hyperlink"/>
    <w:basedOn w:val="55"/>
    <w:autoRedefine/>
    <w:qFormat/>
    <w:uiPriority w:val="99"/>
    <w:rPr>
      <w:color w:val="0000FF"/>
      <w:u w:val="single"/>
    </w:rPr>
  </w:style>
  <w:style w:type="character" w:styleId="61">
    <w:name w:val="annotation reference"/>
    <w:autoRedefine/>
    <w:qFormat/>
    <w:uiPriority w:val="99"/>
    <w:rPr>
      <w:sz w:val="21"/>
      <w:szCs w:val="21"/>
    </w:rPr>
  </w:style>
  <w:style w:type="paragraph" w:customStyle="1" w:styleId="62">
    <w:name w:val="Default"/>
    <w:autoRedefine/>
    <w:qFormat/>
    <w:uiPriority w:val="0"/>
    <w:pPr>
      <w:widowControl w:val="0"/>
      <w:autoSpaceDE w:val="0"/>
      <w:autoSpaceDN w:val="0"/>
      <w:adjustRightInd w:val="0"/>
      <w:spacing w:line="360" w:lineRule="auto"/>
      <w:ind w:firstLine="420"/>
      <w:jc w:val="both"/>
    </w:pPr>
    <w:rPr>
      <w:rFonts w:ascii="Times New Roman" w:hAnsi="Times New Roman" w:eastAsia="宋体" w:cs="Times New Roman"/>
      <w:color w:val="000000"/>
      <w:sz w:val="24"/>
      <w:szCs w:val="24"/>
      <w:lang w:val="en-US" w:eastAsia="zh-CN" w:bidi="ar-SA"/>
    </w:rPr>
  </w:style>
  <w:style w:type="character" w:customStyle="1" w:styleId="63">
    <w:name w:val="标题 9 Char"/>
    <w:link w:val="10"/>
    <w:autoRedefine/>
    <w:qFormat/>
    <w:uiPriority w:val="0"/>
    <w:rPr>
      <w:rFonts w:ascii="Arial" w:hAnsi="Arial" w:eastAsia="黑体"/>
      <w:sz w:val="21"/>
      <w:szCs w:val="21"/>
    </w:rPr>
  </w:style>
  <w:style w:type="character" w:customStyle="1" w:styleId="64">
    <w:name w:val="批注文字 Char1"/>
    <w:autoRedefine/>
    <w:qFormat/>
    <w:uiPriority w:val="0"/>
    <w:rPr>
      <w:rFonts w:eastAsia="华文仿宋"/>
      <w:kern w:val="2"/>
      <w:sz w:val="28"/>
      <w:szCs w:val="24"/>
    </w:rPr>
  </w:style>
  <w:style w:type="character" w:customStyle="1" w:styleId="65">
    <w:name w:val="HTML 预设格式 Char"/>
    <w:link w:val="48"/>
    <w:autoRedefine/>
    <w:qFormat/>
    <w:uiPriority w:val="99"/>
    <w:rPr>
      <w:rFonts w:ascii="宋体" w:hAnsi="宋体" w:cs="宋体"/>
      <w:sz w:val="24"/>
      <w:szCs w:val="24"/>
    </w:rPr>
  </w:style>
  <w:style w:type="character" w:customStyle="1" w:styleId="66">
    <w:name w:val="纯文本 Char1"/>
    <w:autoRedefine/>
    <w:qFormat/>
    <w:uiPriority w:val="99"/>
    <w:rPr>
      <w:rFonts w:ascii="宋体" w:hAnsi="Courier New" w:cs="Courier New"/>
      <w:kern w:val="2"/>
      <w:sz w:val="21"/>
      <w:szCs w:val="21"/>
    </w:rPr>
  </w:style>
  <w:style w:type="character" w:customStyle="1" w:styleId="67">
    <w:name w:val="正文文本缩进 Char"/>
    <w:link w:val="21"/>
    <w:autoRedefine/>
    <w:qFormat/>
    <w:uiPriority w:val="0"/>
    <w:rPr>
      <w:rFonts w:eastAsia="华文仿宋"/>
      <w:kern w:val="2"/>
      <w:sz w:val="28"/>
      <w:szCs w:val="24"/>
    </w:rPr>
  </w:style>
  <w:style w:type="character" w:customStyle="1" w:styleId="68">
    <w:name w:val="正文文本缩进 2 Char"/>
    <w:link w:val="29"/>
    <w:autoRedefine/>
    <w:qFormat/>
    <w:uiPriority w:val="0"/>
    <w:rPr>
      <w:rFonts w:eastAsia="华文仿宋"/>
      <w:kern w:val="2"/>
      <w:sz w:val="28"/>
      <w:szCs w:val="24"/>
    </w:rPr>
  </w:style>
  <w:style w:type="character" w:customStyle="1" w:styleId="69">
    <w:name w:val="标题 7 Char"/>
    <w:link w:val="8"/>
    <w:autoRedefine/>
    <w:qFormat/>
    <w:uiPriority w:val="0"/>
    <w:rPr>
      <w:b/>
      <w:bCs/>
      <w:sz w:val="24"/>
      <w:szCs w:val="24"/>
    </w:rPr>
  </w:style>
  <w:style w:type="character" w:customStyle="1" w:styleId="70">
    <w:name w:val="正文文本 2 Char"/>
    <w:link w:val="46"/>
    <w:autoRedefine/>
    <w:qFormat/>
    <w:uiPriority w:val="0"/>
    <w:rPr>
      <w:kern w:val="2"/>
      <w:sz w:val="21"/>
    </w:rPr>
  </w:style>
  <w:style w:type="character" w:customStyle="1" w:styleId="71">
    <w:name w:val="apple-converted-space"/>
    <w:basedOn w:val="55"/>
    <w:autoRedefine/>
    <w:qFormat/>
    <w:uiPriority w:val="0"/>
  </w:style>
  <w:style w:type="character" w:customStyle="1" w:styleId="72">
    <w:name w:val="普通文字1 Char"/>
    <w:autoRedefine/>
    <w:qFormat/>
    <w:uiPriority w:val="0"/>
    <w:rPr>
      <w:rFonts w:ascii="宋体" w:hAnsi="Courier New" w:eastAsia="宋体"/>
      <w:kern w:val="10"/>
      <w:sz w:val="21"/>
      <w:lang w:val="en-US" w:eastAsia="zh-CN" w:bidi="ar-SA"/>
    </w:rPr>
  </w:style>
  <w:style w:type="character" w:customStyle="1" w:styleId="73">
    <w:name w:val="font71"/>
    <w:autoRedefine/>
    <w:qFormat/>
    <w:uiPriority w:val="0"/>
    <w:rPr>
      <w:rFonts w:hint="eastAsia" w:ascii="宋体" w:hAnsi="宋体" w:eastAsia="宋体" w:cs="宋体"/>
      <w:color w:val="000000"/>
      <w:sz w:val="20"/>
      <w:szCs w:val="20"/>
      <w:u w:val="none"/>
    </w:rPr>
  </w:style>
  <w:style w:type="character" w:customStyle="1" w:styleId="74">
    <w:name w:val="标题 4 Char"/>
    <w:link w:val="5"/>
    <w:autoRedefine/>
    <w:qFormat/>
    <w:uiPriority w:val="0"/>
    <w:rPr>
      <w:rFonts w:ascii="Arial" w:hAnsi="Arial" w:eastAsia="黑体"/>
      <w:b/>
      <w:bCs/>
      <w:kern w:val="2"/>
      <w:sz w:val="28"/>
      <w:szCs w:val="28"/>
    </w:rPr>
  </w:style>
  <w:style w:type="character" w:customStyle="1" w:styleId="75">
    <w:name w:val="font11"/>
    <w:autoRedefine/>
    <w:qFormat/>
    <w:uiPriority w:val="0"/>
    <w:rPr>
      <w:rFonts w:hint="eastAsia" w:ascii="宋体" w:hAnsi="宋体" w:eastAsia="宋体" w:cs="宋体"/>
      <w:color w:val="000000"/>
      <w:sz w:val="20"/>
      <w:szCs w:val="20"/>
      <w:u w:val="none"/>
    </w:rPr>
  </w:style>
  <w:style w:type="character" w:customStyle="1" w:styleId="76">
    <w:name w:val="正文文本 Char"/>
    <w:link w:val="19"/>
    <w:autoRedefine/>
    <w:qFormat/>
    <w:uiPriority w:val="1"/>
    <w:rPr>
      <w:rFonts w:eastAsia="华文仿宋"/>
      <w:kern w:val="2"/>
      <w:sz w:val="28"/>
      <w:szCs w:val="24"/>
    </w:rPr>
  </w:style>
  <w:style w:type="character" w:customStyle="1" w:styleId="77">
    <w:name w:val="页脚 Char"/>
    <w:link w:val="32"/>
    <w:autoRedefine/>
    <w:qFormat/>
    <w:uiPriority w:val="99"/>
    <w:rPr>
      <w:rFonts w:eastAsia="宋体"/>
      <w:kern w:val="2"/>
      <w:sz w:val="18"/>
      <w:szCs w:val="18"/>
      <w:lang w:val="en-US" w:eastAsia="zh-CN" w:bidi="ar-SA"/>
    </w:rPr>
  </w:style>
  <w:style w:type="character" w:customStyle="1" w:styleId="78">
    <w:name w:val="批注主题 Char"/>
    <w:link w:val="51"/>
    <w:autoRedefine/>
    <w:qFormat/>
    <w:uiPriority w:val="99"/>
    <w:rPr>
      <w:b/>
      <w:bCs/>
      <w:kern w:val="2"/>
      <w:sz w:val="21"/>
      <w:szCs w:val="24"/>
    </w:rPr>
  </w:style>
  <w:style w:type="character" w:customStyle="1" w:styleId="79">
    <w:name w:val="批注文字 Char"/>
    <w:link w:val="17"/>
    <w:autoRedefine/>
    <w:qFormat/>
    <w:uiPriority w:val="99"/>
    <w:rPr>
      <w:kern w:val="2"/>
      <w:sz w:val="21"/>
      <w:szCs w:val="24"/>
    </w:rPr>
  </w:style>
  <w:style w:type="character" w:customStyle="1" w:styleId="80">
    <w:name w:val="批注框文本 Char"/>
    <w:link w:val="31"/>
    <w:autoRedefine/>
    <w:qFormat/>
    <w:uiPriority w:val="99"/>
    <w:rPr>
      <w:rFonts w:eastAsia="华文仿宋"/>
      <w:kern w:val="2"/>
      <w:sz w:val="18"/>
      <w:szCs w:val="18"/>
    </w:rPr>
  </w:style>
  <w:style w:type="character" w:customStyle="1" w:styleId="81">
    <w:name w:val="正文缩进 Char"/>
    <w:link w:val="13"/>
    <w:autoRedefine/>
    <w:qFormat/>
    <w:uiPriority w:val="0"/>
    <w:rPr>
      <w:rFonts w:eastAsia="华文仿宋"/>
      <w:sz w:val="32"/>
    </w:rPr>
  </w:style>
  <w:style w:type="character" w:customStyle="1" w:styleId="82">
    <w:name w:val="文档结构图 Char"/>
    <w:link w:val="15"/>
    <w:autoRedefine/>
    <w:qFormat/>
    <w:uiPriority w:val="99"/>
    <w:rPr>
      <w:rFonts w:eastAsia="华文仿宋"/>
      <w:kern w:val="2"/>
      <w:sz w:val="28"/>
      <w:szCs w:val="24"/>
      <w:shd w:val="clear" w:color="auto" w:fill="000080"/>
    </w:rPr>
  </w:style>
  <w:style w:type="character" w:customStyle="1" w:styleId="83">
    <w:name w:val="标题 5 Char"/>
    <w:link w:val="6"/>
    <w:autoRedefine/>
    <w:qFormat/>
    <w:uiPriority w:val="9"/>
    <w:rPr>
      <w:b/>
      <w:bCs/>
      <w:sz w:val="28"/>
      <w:szCs w:val="28"/>
    </w:rPr>
  </w:style>
  <w:style w:type="character" w:customStyle="1" w:styleId="84">
    <w:name w:val="标题 2 Char"/>
    <w:link w:val="3"/>
    <w:autoRedefine/>
    <w:qFormat/>
    <w:uiPriority w:val="9"/>
    <w:rPr>
      <w:rFonts w:eastAsia="华文仿宋"/>
      <w:b/>
      <w:smallCaps/>
      <w:sz w:val="30"/>
    </w:rPr>
  </w:style>
  <w:style w:type="character" w:customStyle="1" w:styleId="85">
    <w:name w:val="标题 8 Char"/>
    <w:link w:val="9"/>
    <w:autoRedefine/>
    <w:qFormat/>
    <w:uiPriority w:val="0"/>
    <w:rPr>
      <w:rFonts w:ascii="Arial" w:hAnsi="Arial" w:eastAsia="黑体"/>
      <w:sz w:val="24"/>
      <w:szCs w:val="24"/>
    </w:rPr>
  </w:style>
  <w:style w:type="character" w:customStyle="1" w:styleId="86">
    <w:name w:val="标题1"/>
    <w:basedOn w:val="55"/>
    <w:autoRedefine/>
    <w:qFormat/>
    <w:uiPriority w:val="0"/>
  </w:style>
  <w:style w:type="character" w:customStyle="1" w:styleId="87">
    <w:name w:val="标题 1 Char"/>
    <w:link w:val="2"/>
    <w:autoRedefine/>
    <w:qFormat/>
    <w:uiPriority w:val="9"/>
    <w:rPr>
      <w:rFonts w:ascii="黑体" w:hAnsi="黑体" w:eastAsia="华文仿宋"/>
      <w:b/>
      <w:sz w:val="32"/>
      <w:szCs w:val="30"/>
    </w:rPr>
  </w:style>
  <w:style w:type="character" w:customStyle="1" w:styleId="88">
    <w:name w:val="普通文字 Char Char"/>
    <w:autoRedefine/>
    <w:qFormat/>
    <w:uiPriority w:val="0"/>
    <w:rPr>
      <w:rFonts w:ascii="宋体" w:hAnsi="Courier New" w:eastAsia="宋体" w:cs="Courier New"/>
      <w:kern w:val="2"/>
      <w:sz w:val="21"/>
      <w:szCs w:val="21"/>
      <w:lang w:val="en-US" w:eastAsia="zh-CN" w:bidi="ar-SA"/>
    </w:rPr>
  </w:style>
  <w:style w:type="character" w:customStyle="1" w:styleId="89">
    <w:name w:val="纯文本 Char"/>
    <w:link w:val="26"/>
    <w:autoRedefine/>
    <w:qFormat/>
    <w:uiPriority w:val="0"/>
    <w:rPr>
      <w:rFonts w:ascii="宋体" w:hAnsi="Courier New" w:eastAsia="宋体"/>
      <w:kern w:val="10"/>
      <w:sz w:val="21"/>
      <w:lang w:val="en-US" w:eastAsia="zh-CN" w:bidi="ar-SA"/>
    </w:rPr>
  </w:style>
  <w:style w:type="character" w:customStyle="1" w:styleId="90">
    <w:name w:val="标题 6 Char"/>
    <w:link w:val="7"/>
    <w:autoRedefine/>
    <w:qFormat/>
    <w:uiPriority w:val="0"/>
    <w:rPr>
      <w:rFonts w:ascii="Arial" w:hAnsi="Arial" w:eastAsia="黑体"/>
      <w:b/>
      <w:bCs/>
      <w:sz w:val="24"/>
      <w:szCs w:val="24"/>
    </w:rPr>
  </w:style>
  <w:style w:type="character" w:customStyle="1" w:styleId="91">
    <w:name w:val="批注主题 Char1"/>
    <w:autoRedefine/>
    <w:qFormat/>
    <w:uiPriority w:val="99"/>
    <w:rPr>
      <w:rFonts w:eastAsia="华文仿宋"/>
      <w:b/>
      <w:bCs/>
      <w:kern w:val="2"/>
      <w:sz w:val="28"/>
      <w:szCs w:val="24"/>
    </w:rPr>
  </w:style>
  <w:style w:type="character" w:customStyle="1" w:styleId="92">
    <w:name w:val="标题 3 Char"/>
    <w:link w:val="4"/>
    <w:autoRedefine/>
    <w:qFormat/>
    <w:uiPriority w:val="9"/>
    <w:rPr>
      <w:rFonts w:ascii="宋体" w:hAnsi="宋体" w:eastAsia="华文仿宋"/>
      <w:b/>
      <w:kern w:val="2"/>
      <w:sz w:val="28"/>
      <w:szCs w:val="21"/>
    </w:rPr>
  </w:style>
  <w:style w:type="character" w:customStyle="1" w:styleId="93">
    <w:name w:val="正文文本 3 Char"/>
    <w:link w:val="18"/>
    <w:autoRedefine/>
    <w:qFormat/>
    <w:uiPriority w:val="0"/>
    <w:rPr>
      <w:rFonts w:ascii="宋体" w:hAnsi="Calibri"/>
      <w:kern w:val="2"/>
      <w:sz w:val="24"/>
    </w:rPr>
  </w:style>
  <w:style w:type="character" w:customStyle="1" w:styleId="94">
    <w:name w:val="页眉 Char"/>
    <w:link w:val="33"/>
    <w:autoRedefine/>
    <w:qFormat/>
    <w:uiPriority w:val="99"/>
    <w:rPr>
      <w:rFonts w:eastAsia="华文仿宋"/>
      <w:kern w:val="2"/>
      <w:sz w:val="18"/>
      <w:szCs w:val="18"/>
    </w:rPr>
  </w:style>
  <w:style w:type="character" w:customStyle="1" w:styleId="95">
    <w:name w:val="z-窗体顶端 Char"/>
    <w:link w:val="96"/>
    <w:autoRedefine/>
    <w:qFormat/>
    <w:uiPriority w:val="0"/>
    <w:rPr>
      <w:rFonts w:ascii="Calibri" w:hAnsi="Calibri"/>
      <w:kern w:val="2"/>
      <w:sz w:val="21"/>
      <w:szCs w:val="22"/>
    </w:rPr>
  </w:style>
  <w:style w:type="paragraph" w:customStyle="1" w:styleId="96">
    <w:name w:val="z-窗体顶端1"/>
    <w:basedOn w:val="1"/>
    <w:link w:val="95"/>
    <w:autoRedefine/>
    <w:qFormat/>
    <w:uiPriority w:val="0"/>
    <w:pPr>
      <w:spacing w:line="240" w:lineRule="auto"/>
      <w:ind w:firstLine="420"/>
    </w:pPr>
    <w:rPr>
      <w:rFonts w:ascii="Calibri" w:hAnsi="Calibri" w:eastAsia="宋体"/>
      <w:sz w:val="21"/>
      <w:szCs w:val="22"/>
    </w:rPr>
  </w:style>
  <w:style w:type="paragraph" w:customStyle="1" w:styleId="97">
    <w:name w:val="p0"/>
    <w:basedOn w:val="1"/>
    <w:autoRedefine/>
    <w:qFormat/>
    <w:uiPriority w:val="0"/>
    <w:pPr>
      <w:widowControl/>
      <w:spacing w:after="200" w:line="273" w:lineRule="auto"/>
      <w:ind w:firstLine="0" w:firstLineChars="0"/>
      <w:jc w:val="left"/>
    </w:pPr>
    <w:rPr>
      <w:rFonts w:ascii="Cambria" w:hAnsi="Cambria" w:eastAsia="宋体" w:cs="宋体"/>
      <w:kern w:val="0"/>
      <w:sz w:val="22"/>
      <w:szCs w:val="22"/>
    </w:rPr>
  </w:style>
  <w:style w:type="paragraph" w:customStyle="1" w:styleId="98">
    <w:name w:val="Char Char Char Char Char Char Char Char Char Char Char Char2 Char"/>
    <w:basedOn w:val="1"/>
    <w:autoRedefine/>
    <w:qFormat/>
    <w:uiPriority w:val="0"/>
    <w:pPr>
      <w:widowControl/>
      <w:spacing w:after="160" w:line="240" w:lineRule="exact"/>
      <w:ind w:firstLine="0" w:firstLineChars="0"/>
      <w:jc w:val="left"/>
    </w:pPr>
    <w:rPr>
      <w:rFonts w:ascii="Verdana" w:hAnsi="Verdana" w:eastAsia="宋体"/>
      <w:kern w:val="0"/>
      <w:sz w:val="20"/>
      <w:szCs w:val="20"/>
      <w:lang w:eastAsia="en-US"/>
    </w:rPr>
  </w:style>
  <w:style w:type="paragraph" w:customStyle="1" w:styleId="99">
    <w:name w:val="样式 标题 3 + (中文) 黑体 小四 非加粗 段前: 7.8 磅 段后: 0 磅 行距: 固定值 20 磅"/>
    <w:basedOn w:val="4"/>
    <w:autoRedefine/>
    <w:qFormat/>
    <w:uiPriority w:val="0"/>
    <w:pPr>
      <w:spacing w:line="400" w:lineRule="exact"/>
      <w:ind w:firstLine="0" w:firstLineChars="0"/>
      <w:jc w:val="both"/>
    </w:pPr>
    <w:rPr>
      <w:rFonts w:ascii="Calibri" w:hAnsi="Calibri" w:eastAsia="黑体" w:cs="宋体"/>
      <w:b w:val="0"/>
      <w:sz w:val="24"/>
      <w:szCs w:val="20"/>
    </w:rPr>
  </w:style>
  <w:style w:type="paragraph" w:customStyle="1" w:styleId="100">
    <w:name w:val="样式5"/>
    <w:basedOn w:val="1"/>
    <w:autoRedefine/>
    <w:qFormat/>
    <w:uiPriority w:val="0"/>
    <w:pPr>
      <w:spacing w:line="240" w:lineRule="auto"/>
      <w:ind w:firstLine="0" w:firstLineChars="0"/>
    </w:pPr>
    <w:rPr>
      <w:rFonts w:ascii="宋体" w:eastAsia="宋体"/>
      <w:sz w:val="24"/>
      <w:szCs w:val="20"/>
    </w:rPr>
  </w:style>
  <w:style w:type="paragraph" w:customStyle="1" w:styleId="101">
    <w:name w:val="Date1"/>
    <w:basedOn w:val="1"/>
    <w:next w:val="1"/>
    <w:autoRedefine/>
    <w:qFormat/>
    <w:uiPriority w:val="0"/>
    <w:pPr>
      <w:adjustRightInd w:val="0"/>
    </w:pPr>
    <w:rPr>
      <w:rFonts w:ascii="宋体"/>
      <w:spacing w:val="16"/>
      <w:szCs w:val="20"/>
    </w:rPr>
  </w:style>
  <w:style w:type="paragraph" w:customStyle="1" w:styleId="102">
    <w:name w:val="样式 首行缩进:  2 字符"/>
    <w:basedOn w:val="1"/>
    <w:autoRedefine/>
    <w:qFormat/>
    <w:uiPriority w:val="0"/>
    <w:pPr>
      <w:ind w:firstLine="200"/>
    </w:pPr>
    <w:rPr>
      <w:szCs w:val="20"/>
    </w:rPr>
  </w:style>
  <w:style w:type="paragraph" w:customStyle="1" w:styleId="103">
    <w:name w:val="样式 标题 2 + Times New Roman 四号 非加粗 段前: 5 磅 段后: 0 磅 行距: 固定值 20..."/>
    <w:basedOn w:val="3"/>
    <w:autoRedefine/>
    <w:qFormat/>
    <w:uiPriority w:val="0"/>
    <w:pPr>
      <w:widowControl w:val="0"/>
      <w:adjustRightInd w:val="0"/>
      <w:spacing w:before="100" w:after="0" w:line="400" w:lineRule="exact"/>
      <w:ind w:firstLine="0" w:firstLineChars="0"/>
      <w:jc w:val="center"/>
      <w:textAlignment w:val="baseline"/>
    </w:pPr>
    <w:rPr>
      <w:rFonts w:eastAsia="宋体" w:cs="宋体"/>
      <w:b w:val="0"/>
      <w:smallCaps w:val="0"/>
      <w:sz w:val="28"/>
    </w:rPr>
  </w:style>
  <w:style w:type="paragraph" w:customStyle="1" w:styleId="104">
    <w:name w:val="xl39"/>
    <w:basedOn w:val="1"/>
    <w:autoRedefine/>
    <w:qFormat/>
    <w:uiPriority w:val="0"/>
    <w:pPr>
      <w:widowControl/>
      <w:pBdr>
        <w:bottom w:val="single" w:color="auto" w:sz="4" w:space="0"/>
      </w:pBdr>
      <w:spacing w:before="100" w:beforeAutospacing="1" w:after="100" w:afterAutospacing="1"/>
      <w:jc w:val="center"/>
      <w:textAlignment w:val="center"/>
    </w:pPr>
    <w:rPr>
      <w:rFonts w:ascii="宋体" w:hAnsi="宋体"/>
      <w:b/>
      <w:bCs/>
      <w:kern w:val="0"/>
      <w:sz w:val="32"/>
      <w:szCs w:val="32"/>
    </w:rPr>
  </w:style>
  <w:style w:type="paragraph" w:customStyle="1" w:styleId="105">
    <w:name w:val="Blockquote"/>
    <w:basedOn w:val="1"/>
    <w:autoRedefine/>
    <w:qFormat/>
    <w:uiPriority w:val="0"/>
    <w:pPr>
      <w:autoSpaceDE w:val="0"/>
      <w:autoSpaceDN w:val="0"/>
      <w:adjustRightInd w:val="0"/>
      <w:spacing w:before="100" w:after="100" w:line="240" w:lineRule="auto"/>
      <w:ind w:left="360" w:right="360" w:firstLine="0" w:firstLineChars="0"/>
      <w:jc w:val="left"/>
    </w:pPr>
    <w:rPr>
      <w:rFonts w:ascii="Calibri" w:hAnsi="Calibri" w:eastAsia="宋体"/>
      <w:kern w:val="0"/>
      <w:sz w:val="24"/>
      <w:szCs w:val="20"/>
    </w:rPr>
  </w:style>
  <w:style w:type="paragraph" w:styleId="106">
    <w:name w:val="List Paragraph"/>
    <w:basedOn w:val="1"/>
    <w:autoRedefine/>
    <w:qFormat/>
    <w:uiPriority w:val="34"/>
    <w:pPr>
      <w:ind w:firstLine="420"/>
    </w:pPr>
    <w:rPr>
      <w:rFonts w:ascii="Calibri" w:hAnsi="Calibri"/>
      <w:szCs w:val="22"/>
    </w:rPr>
  </w:style>
  <w:style w:type="paragraph" w:customStyle="1" w:styleId="107">
    <w:name w:val="列出段落2"/>
    <w:basedOn w:val="1"/>
    <w:link w:val="189"/>
    <w:autoRedefine/>
    <w:qFormat/>
    <w:uiPriority w:val="0"/>
    <w:pPr>
      <w:spacing w:line="240" w:lineRule="auto"/>
      <w:ind w:firstLine="420"/>
    </w:pPr>
    <w:rPr>
      <w:rFonts w:ascii="Calibri" w:hAnsi="Calibri" w:eastAsia="宋体"/>
      <w:sz w:val="21"/>
    </w:rPr>
  </w:style>
  <w:style w:type="paragraph" w:customStyle="1" w:styleId="108">
    <w:name w:val="font10"/>
    <w:basedOn w:val="1"/>
    <w:autoRedefine/>
    <w:qFormat/>
    <w:uiPriority w:val="0"/>
    <w:pPr>
      <w:widowControl/>
      <w:spacing w:before="100" w:beforeAutospacing="1" w:after="100" w:afterAutospacing="1" w:line="240" w:lineRule="auto"/>
      <w:ind w:firstLine="0" w:firstLineChars="0"/>
      <w:jc w:val="left"/>
    </w:pPr>
    <w:rPr>
      <w:rFonts w:ascii="Calibri" w:hAnsi="Calibri" w:eastAsia="宋体"/>
      <w:kern w:val="0"/>
      <w:sz w:val="20"/>
      <w:szCs w:val="20"/>
    </w:rPr>
  </w:style>
  <w:style w:type="paragraph" w:customStyle="1" w:styleId="109">
    <w:name w:val="标题2"/>
    <w:basedOn w:val="2"/>
    <w:autoRedefine/>
    <w:qFormat/>
    <w:uiPriority w:val="0"/>
    <w:pPr>
      <w:keepLines/>
      <w:tabs>
        <w:tab w:val="left" w:pos="3840"/>
      </w:tabs>
      <w:adjustRightInd/>
      <w:spacing w:line="312" w:lineRule="auto"/>
      <w:ind w:left="0"/>
      <w:jc w:val="center"/>
      <w:textAlignment w:val="auto"/>
    </w:pPr>
    <w:rPr>
      <w:rFonts w:ascii="宋体" w:eastAsia="宋体"/>
      <w:kern w:val="44"/>
      <w:szCs w:val="20"/>
    </w:rPr>
  </w:style>
  <w:style w:type="paragraph" w:customStyle="1" w:styleId="110">
    <w:name w:val="TOC 标题1"/>
    <w:basedOn w:val="2"/>
    <w:next w:val="1"/>
    <w:autoRedefine/>
    <w:qFormat/>
    <w:uiPriority w:val="39"/>
    <w:pPr>
      <w:keepLines/>
      <w:adjustRightInd/>
      <w:spacing w:before="340" w:after="330" w:line="578" w:lineRule="auto"/>
      <w:ind w:left="0"/>
      <w:textAlignment w:val="auto"/>
      <w:outlineLvl w:val="9"/>
    </w:pPr>
    <w:rPr>
      <w:rFonts w:ascii="Calibri" w:hAnsi="Calibri" w:eastAsia="宋体"/>
      <w:kern w:val="44"/>
      <w:sz w:val="44"/>
      <w:szCs w:val="24"/>
    </w:rPr>
  </w:style>
  <w:style w:type="paragraph" w:customStyle="1" w:styleId="111">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2">
    <w:name w:val="Char Char Char Char Char Char1 Char1"/>
    <w:basedOn w:val="1"/>
    <w:autoRedefine/>
    <w:qFormat/>
    <w:uiPriority w:val="0"/>
    <w:pPr>
      <w:widowControl/>
      <w:spacing w:after="160" w:line="240" w:lineRule="exact"/>
      <w:jc w:val="left"/>
    </w:pPr>
    <w:rPr>
      <w:rFonts w:ascii="Verdana" w:hAnsi="Verdana"/>
      <w:kern w:val="0"/>
      <w:szCs w:val="20"/>
      <w:lang w:eastAsia="en-US"/>
    </w:rPr>
  </w:style>
  <w:style w:type="paragraph" w:customStyle="1" w:styleId="113">
    <w:name w:val="TOC 标题2"/>
    <w:basedOn w:val="2"/>
    <w:next w:val="1"/>
    <w:autoRedefine/>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114">
    <w:name w:val="_Style 6"/>
    <w:basedOn w:val="1"/>
    <w:autoRedefine/>
    <w:qFormat/>
    <w:uiPriority w:val="34"/>
    <w:pPr>
      <w:ind w:firstLine="420"/>
    </w:pPr>
  </w:style>
  <w:style w:type="paragraph" w:customStyle="1" w:styleId="115">
    <w:name w:val="02_Text"/>
    <w:autoRedefine/>
    <w:qFormat/>
    <w:uiPriority w:val="0"/>
    <w:pPr>
      <w:spacing w:after="300" w:line="300" w:lineRule="exact"/>
    </w:pPr>
    <w:rPr>
      <w:rFonts w:ascii="Arial" w:hAnsi="Arial" w:eastAsia="宋体" w:cs="Arial"/>
      <w:sz w:val="22"/>
      <w:szCs w:val="22"/>
      <w:lang w:val="en-CA" w:eastAsia="en-US" w:bidi="ar-SA"/>
    </w:rPr>
  </w:style>
  <w:style w:type="paragraph" w:customStyle="1" w:styleId="116">
    <w:name w:val="_Style 2"/>
    <w:basedOn w:val="1"/>
    <w:autoRedefine/>
    <w:qFormat/>
    <w:uiPriority w:val="34"/>
    <w:pPr>
      <w:spacing w:line="240" w:lineRule="auto"/>
      <w:ind w:firstLine="420"/>
    </w:pPr>
    <w:rPr>
      <w:rFonts w:ascii="Calibri" w:hAnsi="Calibri" w:eastAsia="宋体"/>
      <w:sz w:val="21"/>
      <w:szCs w:val="22"/>
    </w:rPr>
  </w:style>
  <w:style w:type="paragraph" w:customStyle="1" w:styleId="117">
    <w:name w:val="Char"/>
    <w:basedOn w:val="1"/>
    <w:autoRedefine/>
    <w:qFormat/>
    <w:uiPriority w:val="0"/>
    <w:rPr>
      <w:szCs w:val="20"/>
    </w:rPr>
  </w:style>
  <w:style w:type="character" w:customStyle="1" w:styleId="118">
    <w:name w:val="10"/>
    <w:autoRedefine/>
    <w:qFormat/>
    <w:uiPriority w:val="0"/>
    <w:rPr>
      <w:rFonts w:hint="default" w:ascii="Calibri" w:hAnsi="Calibri" w:cs="Calibri"/>
    </w:rPr>
  </w:style>
  <w:style w:type="character" w:customStyle="1" w:styleId="119">
    <w:name w:val="15"/>
    <w:autoRedefine/>
    <w:qFormat/>
    <w:uiPriority w:val="0"/>
    <w:rPr>
      <w:rFonts w:hint="default" w:ascii="Calibri" w:hAnsi="Calibri" w:cs="Calibri"/>
    </w:rPr>
  </w:style>
  <w:style w:type="paragraph" w:customStyle="1" w:styleId="120">
    <w:name w:val="_Style 7"/>
    <w:basedOn w:val="121"/>
    <w:next w:val="1"/>
    <w:autoRedefine/>
    <w:qFormat/>
    <w:uiPriority w:val="34"/>
    <w:pPr>
      <w:spacing w:line="240" w:lineRule="auto"/>
      <w:ind w:firstLine="420"/>
    </w:pPr>
    <w:rPr>
      <w:rFonts w:eastAsia="宋体"/>
      <w:sz w:val="21"/>
      <w:szCs w:val="20"/>
    </w:rPr>
  </w:style>
  <w:style w:type="paragraph" w:customStyle="1" w:styleId="121">
    <w:name w:val="Heading 1_1"/>
    <w:basedOn w:val="122"/>
    <w:next w:val="122"/>
    <w:autoRedefine/>
    <w:qFormat/>
    <w:uiPriority w:val="0"/>
    <w:pPr>
      <w:jc w:val="center"/>
      <w:outlineLvl w:val="0"/>
    </w:pPr>
    <w:rPr>
      <w:b/>
      <w:kern w:val="0"/>
      <w:sz w:val="32"/>
    </w:rPr>
  </w:style>
  <w:style w:type="paragraph" w:customStyle="1" w:styleId="122">
    <w:name w:val="Normal_2"/>
    <w:next w:val="12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3">
    <w:name w:val="Normal Indent_1"/>
    <w:basedOn w:val="122"/>
    <w:autoRedefine/>
    <w:qFormat/>
    <w:uiPriority w:val="0"/>
    <w:pPr>
      <w:tabs>
        <w:tab w:val="left" w:pos="4680"/>
      </w:tabs>
      <w:adjustRightInd w:val="0"/>
      <w:snapToGrid w:val="0"/>
      <w:spacing w:beforeLines="50" w:afterLines="50" w:line="300" w:lineRule="auto"/>
      <w:ind w:firstLine="420"/>
      <w:jc w:val="left"/>
    </w:pPr>
    <w:rPr>
      <w:bCs/>
      <w:sz w:val="24"/>
      <w:szCs w:val="21"/>
    </w:rPr>
  </w:style>
  <w:style w:type="paragraph" w:customStyle="1" w:styleId="124">
    <w:name w:val="正文_3"/>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25">
    <w:name w:val="标题 21"/>
    <w:basedOn w:val="124"/>
    <w:next w:val="124"/>
    <w:autoRedefine/>
    <w:qFormat/>
    <w:uiPriority w:val="1"/>
    <w:pPr>
      <w:spacing w:before="240" w:after="240" w:line="480" w:lineRule="auto"/>
      <w:jc w:val="center"/>
      <w:outlineLvl w:val="1"/>
    </w:pPr>
    <w:rPr>
      <w:rFonts w:asciiTheme="majorHAnsi" w:hAnsiTheme="majorHAnsi" w:eastAsiaTheme="majorEastAsia" w:cstheme="majorBidi"/>
      <w:b/>
      <w:bCs/>
      <w:sz w:val="32"/>
      <w:szCs w:val="32"/>
    </w:rPr>
  </w:style>
  <w:style w:type="character" w:customStyle="1" w:styleId="126">
    <w:name w:val="明显参考1"/>
    <w:autoRedefine/>
    <w:qFormat/>
    <w:uiPriority w:val="32"/>
    <w:rPr>
      <w:b/>
      <w:bCs/>
      <w:smallCaps/>
      <w:color w:val="C0504D"/>
      <w:spacing w:val="5"/>
      <w:u w:val="single"/>
    </w:rPr>
  </w:style>
  <w:style w:type="character" w:customStyle="1" w:styleId="127">
    <w:name w:val="正文文本 Char1"/>
    <w:autoRedefine/>
    <w:semiHidden/>
    <w:qFormat/>
    <w:uiPriority w:val="99"/>
    <w:rPr>
      <w:rFonts w:ascii="Times New Roman" w:hAnsi="Times New Roman" w:eastAsia="宋体" w:cs="Times New Roman"/>
      <w:kern w:val="0"/>
      <w:szCs w:val="20"/>
    </w:rPr>
  </w:style>
  <w:style w:type="character" w:customStyle="1" w:styleId="128">
    <w:name w:val="Char Char1"/>
    <w:autoRedefine/>
    <w:qFormat/>
    <w:uiPriority w:val="0"/>
    <w:rPr>
      <w:rFonts w:eastAsia="宋体"/>
      <w:szCs w:val="24"/>
      <w:lang w:bidi="ar-SA"/>
    </w:rPr>
  </w:style>
  <w:style w:type="character" w:customStyle="1" w:styleId="129">
    <w:name w:val="正文首行缩进 2 Char1"/>
    <w:autoRedefine/>
    <w:semiHidden/>
    <w:qFormat/>
    <w:uiPriority w:val="99"/>
    <w:rPr>
      <w:kern w:val="2"/>
      <w:sz w:val="21"/>
      <w:szCs w:val="24"/>
    </w:rPr>
  </w:style>
  <w:style w:type="character" w:customStyle="1" w:styleId="130">
    <w:name w:val="Char Char9"/>
    <w:autoRedefine/>
    <w:qFormat/>
    <w:uiPriority w:val="0"/>
    <w:rPr>
      <w:rFonts w:ascii="宋体" w:hAnsi="宋体" w:eastAsia="宋体"/>
      <w:kern w:val="2"/>
      <w:sz w:val="24"/>
      <w:lang w:val="en-US" w:eastAsia="zh-CN" w:bidi="ar-SA"/>
    </w:rPr>
  </w:style>
  <w:style w:type="character" w:customStyle="1" w:styleId="131">
    <w:name w:val="樣式 標題 3 + (中文) MS Gothic 10.5 點 Char Char Char Char Char Char Char Char Char Char Char Char"/>
    <w:autoRedefine/>
    <w:qFormat/>
    <w:uiPriority w:val="0"/>
    <w:rPr>
      <w:rFonts w:hAnsi="PMingLiU" w:eastAsia="MS Gothic"/>
      <w:bCs/>
      <w:snapToGrid w:val="0"/>
      <w:kern w:val="2"/>
      <w:sz w:val="24"/>
      <w:szCs w:val="24"/>
      <w:lang w:val="en-AU" w:eastAsia="zh-TW" w:bidi="ar-SA"/>
    </w:rPr>
  </w:style>
  <w:style w:type="character" w:customStyle="1" w:styleId="132">
    <w:name w:val="Char Char19"/>
    <w:autoRedefine/>
    <w:qFormat/>
    <w:uiPriority w:val="0"/>
    <w:rPr>
      <w:rFonts w:ascii="华文细黑" w:hAnsi="Arial" w:eastAsia="华文细黑"/>
      <w:b/>
      <w:bCs/>
      <w:sz w:val="44"/>
      <w:szCs w:val="32"/>
      <w:lang w:val="en-US" w:eastAsia="zh-CN" w:bidi="ar-SA"/>
    </w:rPr>
  </w:style>
  <w:style w:type="character" w:customStyle="1" w:styleId="133">
    <w:name w:val="文档结构图 Char1"/>
    <w:autoRedefine/>
    <w:semiHidden/>
    <w:qFormat/>
    <w:uiPriority w:val="99"/>
    <w:rPr>
      <w:rFonts w:ascii="宋体" w:hAnsi="Times New Roman" w:eastAsia="宋体" w:cs="Times New Roman"/>
      <w:kern w:val="0"/>
      <w:sz w:val="18"/>
      <w:szCs w:val="18"/>
    </w:rPr>
  </w:style>
  <w:style w:type="character" w:customStyle="1" w:styleId="134">
    <w:name w:val="标题 Char1"/>
    <w:autoRedefine/>
    <w:qFormat/>
    <w:uiPriority w:val="10"/>
    <w:rPr>
      <w:rFonts w:ascii="Cambria" w:hAnsi="Cambria" w:eastAsia="宋体" w:cs="Times New Roman"/>
      <w:b/>
      <w:bCs/>
      <w:kern w:val="0"/>
      <w:sz w:val="32"/>
      <w:szCs w:val="32"/>
    </w:rPr>
  </w:style>
  <w:style w:type="character" w:customStyle="1" w:styleId="135">
    <w:name w:val="批注文字 Char2"/>
    <w:autoRedefine/>
    <w:qFormat/>
    <w:uiPriority w:val="0"/>
    <w:rPr>
      <w:kern w:val="2"/>
      <w:sz w:val="21"/>
      <w:szCs w:val="24"/>
    </w:rPr>
  </w:style>
  <w:style w:type="character" w:customStyle="1" w:styleId="136">
    <w:name w:val="Char Char7"/>
    <w:autoRedefine/>
    <w:qFormat/>
    <w:uiPriority w:val="0"/>
    <w:rPr>
      <w:rFonts w:eastAsia="宋体"/>
      <w:kern w:val="2"/>
      <w:sz w:val="18"/>
      <w:szCs w:val="18"/>
      <w:lang w:val="en-US" w:eastAsia="zh-CN" w:bidi="ar-SA"/>
    </w:rPr>
  </w:style>
  <w:style w:type="character" w:customStyle="1" w:styleId="137">
    <w:name w:val="正文首行缩进 Char"/>
    <w:link w:val="138"/>
    <w:autoRedefine/>
    <w:qFormat/>
    <w:uiPriority w:val="0"/>
    <w:rPr>
      <w:kern w:val="2"/>
      <w:sz w:val="21"/>
      <w:szCs w:val="24"/>
    </w:rPr>
  </w:style>
  <w:style w:type="paragraph" w:customStyle="1" w:styleId="138">
    <w:name w:val="正文首行缩进1"/>
    <w:basedOn w:val="19"/>
    <w:link w:val="137"/>
    <w:autoRedefine/>
    <w:qFormat/>
    <w:uiPriority w:val="0"/>
    <w:pPr>
      <w:widowControl/>
      <w:ind w:firstLine="100" w:firstLineChars="100"/>
    </w:pPr>
    <w:rPr>
      <w:rFonts w:eastAsia="宋体"/>
      <w:sz w:val="21"/>
    </w:rPr>
  </w:style>
  <w:style w:type="character" w:customStyle="1" w:styleId="139">
    <w:name w:val="Char Char20"/>
    <w:autoRedefine/>
    <w:qFormat/>
    <w:uiPriority w:val="0"/>
    <w:rPr>
      <w:rFonts w:ascii="华文细黑" w:eastAsia="华文细黑"/>
      <w:b/>
      <w:bCs/>
      <w:snapToGrid w:val="0"/>
      <w:sz w:val="52"/>
      <w:szCs w:val="44"/>
      <w:lang w:val="en-US" w:eastAsia="zh-CN" w:bidi="ar-SA"/>
    </w:rPr>
  </w:style>
  <w:style w:type="character" w:customStyle="1" w:styleId="140">
    <w:name w:val="标题 3 字符"/>
    <w:autoRedefine/>
    <w:qFormat/>
    <w:uiPriority w:val="0"/>
    <w:rPr>
      <w:rFonts w:ascii="Times New Roman" w:hAnsi="Times New Roman" w:eastAsia="宋体" w:cs="Times New Roman"/>
      <w:b/>
      <w:bCs/>
      <w:sz w:val="32"/>
      <w:szCs w:val="32"/>
    </w:rPr>
  </w:style>
  <w:style w:type="character" w:customStyle="1" w:styleId="141">
    <w:name w:val="Char Char17"/>
    <w:autoRedefine/>
    <w:qFormat/>
    <w:uiPriority w:val="0"/>
    <w:rPr>
      <w:rFonts w:ascii="Arial" w:hAnsi="Arial" w:eastAsia="黑体"/>
      <w:b/>
      <w:bCs/>
      <w:sz w:val="28"/>
      <w:szCs w:val="28"/>
      <w:lang w:val="en-US" w:eastAsia="zh-CN" w:bidi="ar-SA"/>
    </w:rPr>
  </w:style>
  <w:style w:type="character" w:customStyle="1" w:styleId="142">
    <w:name w:val="Char Char8"/>
    <w:autoRedefine/>
    <w:qFormat/>
    <w:uiPriority w:val="0"/>
    <w:rPr>
      <w:rFonts w:ascii="宋体" w:hAnsi="宋体" w:eastAsia="宋体"/>
      <w:kern w:val="2"/>
      <w:sz w:val="21"/>
      <w:szCs w:val="24"/>
      <w:lang w:val="en-US" w:eastAsia="zh-CN" w:bidi="ar-SA"/>
    </w:rPr>
  </w:style>
  <w:style w:type="character" w:customStyle="1" w:styleId="143">
    <w:name w:val="正文文本缩进 3 Char"/>
    <w:link w:val="43"/>
    <w:autoRedefine/>
    <w:qFormat/>
    <w:uiPriority w:val="0"/>
    <w:rPr>
      <w:kern w:val="2"/>
      <w:sz w:val="16"/>
      <w:szCs w:val="16"/>
    </w:rPr>
  </w:style>
  <w:style w:type="character" w:customStyle="1" w:styleId="144">
    <w:name w:val="应答文本 Char Char"/>
    <w:link w:val="145"/>
    <w:autoRedefine/>
    <w:qFormat/>
    <w:uiPriority w:val="0"/>
    <w:rPr>
      <w:sz w:val="21"/>
      <w:szCs w:val="21"/>
    </w:rPr>
  </w:style>
  <w:style w:type="paragraph" w:customStyle="1" w:styleId="145">
    <w:name w:val="应答文本"/>
    <w:basedOn w:val="1"/>
    <w:link w:val="144"/>
    <w:autoRedefine/>
    <w:qFormat/>
    <w:uiPriority w:val="0"/>
    <w:pPr>
      <w:widowControl/>
      <w:adjustRightInd w:val="0"/>
      <w:snapToGrid w:val="0"/>
      <w:spacing w:afterLines="50"/>
      <w:ind w:left="200" w:leftChars="200" w:firstLine="200"/>
    </w:pPr>
    <w:rPr>
      <w:rFonts w:eastAsia="宋体"/>
      <w:kern w:val="0"/>
      <w:sz w:val="21"/>
      <w:szCs w:val="21"/>
    </w:rPr>
  </w:style>
  <w:style w:type="character" w:customStyle="1" w:styleId="146">
    <w:name w:val="Char Char13"/>
    <w:autoRedefine/>
    <w:qFormat/>
    <w:uiPriority w:val="0"/>
    <w:rPr>
      <w:rFonts w:ascii="Arial" w:hAnsi="Arial" w:eastAsia="黑体"/>
      <w:sz w:val="24"/>
      <w:szCs w:val="24"/>
      <w:lang w:val="en-US" w:eastAsia="zh-CN" w:bidi="ar-SA"/>
    </w:rPr>
  </w:style>
  <w:style w:type="character" w:customStyle="1" w:styleId="147">
    <w:name w:val="标题 4 + 宋体 小四 Char Char Char Char Char Char Char Char Char Char Char Char Char1 Char Char Char Char"/>
    <w:autoRedefine/>
    <w:qFormat/>
    <w:uiPriority w:val="0"/>
    <w:rPr>
      <w:rFonts w:ascii="宋体" w:hAnsi="宋体" w:eastAsia="宋体"/>
      <w:b/>
      <w:bCs/>
      <w:spacing w:val="4"/>
      <w:kern w:val="2"/>
      <w:sz w:val="24"/>
      <w:szCs w:val="32"/>
      <w:lang w:val="en-US" w:eastAsia="zh-CN" w:bidi="ar-SA"/>
    </w:rPr>
  </w:style>
  <w:style w:type="character" w:customStyle="1" w:styleId="148">
    <w:name w:val="font161"/>
    <w:autoRedefine/>
    <w:qFormat/>
    <w:uiPriority w:val="0"/>
    <w:rPr>
      <w:b/>
      <w:bCs/>
      <w:sz w:val="32"/>
      <w:szCs w:val="32"/>
    </w:rPr>
  </w:style>
  <w:style w:type="character" w:customStyle="1" w:styleId="149">
    <w:name w:val="脚注文本 Char"/>
    <w:link w:val="40"/>
    <w:autoRedefine/>
    <w:qFormat/>
    <w:uiPriority w:val="0"/>
    <w:rPr>
      <w:rFonts w:ascii="Courier" w:hAnsi="Courier" w:eastAsia="PMingLiU"/>
      <w:snapToGrid w:val="0"/>
      <w:sz w:val="24"/>
      <w:lang w:val="en-AU" w:eastAsia="en-US"/>
    </w:rPr>
  </w:style>
  <w:style w:type="character" w:customStyle="1" w:styleId="150">
    <w:name w:val="日期 Char1"/>
    <w:autoRedefine/>
    <w:semiHidden/>
    <w:qFormat/>
    <w:uiPriority w:val="99"/>
    <w:rPr>
      <w:rFonts w:ascii="Times New Roman" w:hAnsi="Times New Roman" w:eastAsia="宋体" w:cs="Times New Roman"/>
      <w:kern w:val="0"/>
      <w:szCs w:val="20"/>
    </w:rPr>
  </w:style>
  <w:style w:type="character" w:customStyle="1" w:styleId="151">
    <w:name w:val="正文文本 2 Char1"/>
    <w:autoRedefine/>
    <w:semiHidden/>
    <w:qFormat/>
    <w:uiPriority w:val="99"/>
    <w:rPr>
      <w:rFonts w:ascii="Times New Roman" w:hAnsi="Times New Roman" w:eastAsia="宋体" w:cs="Times New Roman"/>
      <w:kern w:val="0"/>
      <w:szCs w:val="20"/>
    </w:rPr>
  </w:style>
  <w:style w:type="character" w:customStyle="1" w:styleId="152">
    <w:name w:val="无编号正文 Char"/>
    <w:link w:val="153"/>
    <w:autoRedefine/>
    <w:qFormat/>
    <w:uiPriority w:val="0"/>
    <w:rPr>
      <w:rFonts w:ascii="宋体" w:hAnsi="宋体"/>
      <w:sz w:val="24"/>
      <w:szCs w:val="24"/>
    </w:rPr>
  </w:style>
  <w:style w:type="paragraph" w:customStyle="1" w:styleId="153">
    <w:name w:val="无编号正文"/>
    <w:basedOn w:val="19"/>
    <w:next w:val="1"/>
    <w:link w:val="152"/>
    <w:autoRedefine/>
    <w:qFormat/>
    <w:uiPriority w:val="0"/>
    <w:pPr>
      <w:widowControl/>
      <w:spacing w:after="0"/>
      <w:ind w:left="200" w:leftChars="200" w:firstLine="200"/>
    </w:pPr>
    <w:rPr>
      <w:rFonts w:ascii="宋体" w:hAnsi="宋体" w:eastAsia="宋体"/>
      <w:kern w:val="0"/>
      <w:sz w:val="24"/>
    </w:rPr>
  </w:style>
  <w:style w:type="character" w:customStyle="1" w:styleId="154">
    <w:name w:val="样式4 Char"/>
    <w:link w:val="155"/>
    <w:autoRedefine/>
    <w:qFormat/>
    <w:uiPriority w:val="0"/>
    <w:rPr>
      <w:rFonts w:ascii="宋体"/>
      <w:kern w:val="2"/>
      <w:sz w:val="18"/>
      <w:szCs w:val="18"/>
    </w:rPr>
  </w:style>
  <w:style w:type="paragraph" w:customStyle="1" w:styleId="155">
    <w:name w:val="样式4"/>
    <w:basedOn w:val="33"/>
    <w:link w:val="154"/>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rPr>
  </w:style>
  <w:style w:type="character" w:customStyle="1" w:styleId="156">
    <w:name w:val="Char Char11"/>
    <w:autoRedefine/>
    <w:qFormat/>
    <w:uiPriority w:val="0"/>
    <w:rPr>
      <w:rFonts w:eastAsia="宋体"/>
      <w:b/>
      <w:bCs/>
      <w:kern w:val="2"/>
      <w:sz w:val="21"/>
      <w:szCs w:val="24"/>
      <w:lang w:val="en-US" w:eastAsia="zh-CN" w:bidi="ar-SA"/>
    </w:rPr>
  </w:style>
  <w:style w:type="character" w:customStyle="1" w:styleId="157">
    <w:name w:val="样式 标题 3 + 黑色 Char"/>
    <w:link w:val="158"/>
    <w:autoRedefine/>
    <w:qFormat/>
    <w:uiPriority w:val="0"/>
    <w:rPr>
      <w:color w:val="FF0000"/>
      <w:kern w:val="2"/>
      <w:sz w:val="24"/>
    </w:rPr>
  </w:style>
  <w:style w:type="paragraph" w:customStyle="1" w:styleId="158">
    <w:name w:val="样式 标题 3 + 黑色"/>
    <w:basedOn w:val="4"/>
    <w:link w:val="157"/>
    <w:autoRedefine/>
    <w:qFormat/>
    <w:uiPriority w:val="0"/>
    <w:pPr>
      <w:keepNext w:val="0"/>
      <w:keepLines w:val="0"/>
      <w:widowControl/>
      <w:tabs>
        <w:tab w:val="left" w:pos="1200"/>
        <w:tab w:val="left" w:pos="1260"/>
      </w:tabs>
      <w:ind w:left="1200" w:hanging="1200" w:hangingChars="500"/>
      <w:jc w:val="both"/>
    </w:pPr>
    <w:rPr>
      <w:rFonts w:ascii="Times New Roman" w:hAnsi="Times New Roman" w:eastAsia="宋体"/>
      <w:b w:val="0"/>
      <w:color w:val="FF0000"/>
      <w:sz w:val="24"/>
      <w:szCs w:val="20"/>
    </w:rPr>
  </w:style>
  <w:style w:type="character" w:customStyle="1" w:styleId="159">
    <w:name w:val="正文缩进 Char1"/>
    <w:autoRedefine/>
    <w:qFormat/>
    <w:uiPriority w:val="0"/>
    <w:rPr>
      <w:kern w:val="2"/>
      <w:sz w:val="21"/>
    </w:rPr>
  </w:style>
  <w:style w:type="character" w:customStyle="1" w:styleId="160">
    <w:name w:val="正文文本 3 Char1"/>
    <w:autoRedefine/>
    <w:semiHidden/>
    <w:qFormat/>
    <w:uiPriority w:val="99"/>
    <w:rPr>
      <w:rFonts w:ascii="Times New Roman" w:hAnsi="Times New Roman" w:eastAsia="宋体" w:cs="Times New Roman"/>
      <w:kern w:val="0"/>
      <w:sz w:val="16"/>
      <w:szCs w:val="16"/>
    </w:rPr>
  </w:style>
  <w:style w:type="character" w:customStyle="1" w:styleId="161">
    <w:name w:val="正文文本缩进 3 Char1"/>
    <w:autoRedefine/>
    <w:semiHidden/>
    <w:qFormat/>
    <w:uiPriority w:val="99"/>
    <w:rPr>
      <w:rFonts w:ascii="Times New Roman" w:hAnsi="Times New Roman" w:eastAsia="宋体" w:cs="Times New Roman"/>
      <w:kern w:val="0"/>
      <w:sz w:val="16"/>
      <w:szCs w:val="16"/>
    </w:rPr>
  </w:style>
  <w:style w:type="character" w:customStyle="1" w:styleId="162">
    <w:name w:val="三级标题康"/>
    <w:autoRedefine/>
    <w:qFormat/>
    <w:uiPriority w:val="0"/>
    <w:rPr>
      <w:rFonts w:ascii="Arial" w:hAnsi="Arial" w:eastAsia="宋体" w:cs="Times New Roman"/>
      <w:b/>
      <w:bCs/>
      <w:sz w:val="21"/>
      <w:szCs w:val="32"/>
    </w:rPr>
  </w:style>
  <w:style w:type="character" w:customStyle="1" w:styleId="163">
    <w:name w:val="Char Char10"/>
    <w:autoRedefine/>
    <w:qFormat/>
    <w:uiPriority w:val="0"/>
    <w:rPr>
      <w:rFonts w:eastAsia="仿宋_GB2312"/>
      <w:kern w:val="2"/>
      <w:sz w:val="32"/>
      <w:szCs w:val="24"/>
      <w:lang w:val="en-US" w:eastAsia="zh-CN" w:bidi="ar-SA"/>
    </w:rPr>
  </w:style>
  <w:style w:type="character" w:customStyle="1" w:styleId="164">
    <w:name w:val="Char Char18"/>
    <w:autoRedefine/>
    <w:qFormat/>
    <w:uiPriority w:val="0"/>
    <w:rPr>
      <w:rFonts w:eastAsia="华文细黑"/>
      <w:bCs/>
      <w:sz w:val="36"/>
      <w:szCs w:val="32"/>
      <w:lang w:val="en-US" w:eastAsia="zh-CN" w:bidi="ar-SA"/>
    </w:rPr>
  </w:style>
  <w:style w:type="character" w:customStyle="1" w:styleId="165">
    <w:name w:val="批注框文本 Char1"/>
    <w:autoRedefine/>
    <w:semiHidden/>
    <w:qFormat/>
    <w:uiPriority w:val="99"/>
    <w:rPr>
      <w:rFonts w:ascii="Times New Roman" w:hAnsi="Times New Roman" w:eastAsia="宋体" w:cs="Times New Roman"/>
      <w:kern w:val="0"/>
      <w:sz w:val="18"/>
      <w:szCs w:val="18"/>
    </w:rPr>
  </w:style>
  <w:style w:type="character" w:customStyle="1" w:styleId="166">
    <w:name w:val="正文文本缩进 Char1"/>
    <w:autoRedefine/>
    <w:semiHidden/>
    <w:qFormat/>
    <w:uiPriority w:val="99"/>
    <w:rPr>
      <w:rFonts w:ascii="Times New Roman" w:hAnsi="Times New Roman" w:eastAsia="宋体" w:cs="Times New Roman"/>
      <w:kern w:val="0"/>
      <w:szCs w:val="20"/>
    </w:rPr>
  </w:style>
  <w:style w:type="character" w:customStyle="1" w:styleId="167">
    <w:name w:val="正文首行缩进 Char2"/>
    <w:basedOn w:val="76"/>
    <w:link w:val="20"/>
    <w:autoRedefine/>
    <w:qFormat/>
    <w:uiPriority w:val="0"/>
    <w:rPr>
      <w:rFonts w:eastAsia="华文仿宋"/>
      <w:kern w:val="2"/>
      <w:sz w:val="21"/>
      <w:szCs w:val="24"/>
    </w:rPr>
  </w:style>
  <w:style w:type="character" w:customStyle="1" w:styleId="168">
    <w:name w:val="正文文字 Char"/>
    <w:autoRedefine/>
    <w:qFormat/>
    <w:uiPriority w:val="0"/>
    <w:rPr>
      <w:rFonts w:ascii="宋体" w:eastAsia="宋体"/>
      <w:snapToGrid w:val="0"/>
      <w:color w:val="000000"/>
      <w:sz w:val="28"/>
      <w:lang w:val="en-US" w:eastAsia="zh-CN" w:bidi="ar-SA"/>
    </w:rPr>
  </w:style>
  <w:style w:type="character" w:customStyle="1" w:styleId="169">
    <w:name w:val="图形布置 Char"/>
    <w:link w:val="170"/>
    <w:autoRedefine/>
    <w:qFormat/>
    <w:uiPriority w:val="0"/>
    <w:rPr>
      <w:rFonts w:ascii="Arial" w:hAnsi="Arial" w:cs="Arial"/>
      <w:sz w:val="21"/>
    </w:rPr>
  </w:style>
  <w:style w:type="paragraph" w:customStyle="1" w:styleId="170">
    <w:name w:val="图形布置"/>
    <w:basedOn w:val="171"/>
    <w:link w:val="169"/>
    <w:autoRedefine/>
    <w:qFormat/>
    <w:uiPriority w:val="0"/>
  </w:style>
  <w:style w:type="paragraph" w:customStyle="1" w:styleId="171">
    <w:name w:val="图形题注"/>
    <w:basedOn w:val="14"/>
    <w:link w:val="201"/>
    <w:autoRedefine/>
    <w:qFormat/>
    <w:uiPriority w:val="0"/>
    <w:pPr>
      <w:adjustRightInd w:val="0"/>
      <w:snapToGrid w:val="0"/>
      <w:spacing w:afterLines="50"/>
      <w:jc w:val="center"/>
    </w:pPr>
    <w:rPr>
      <w:rFonts w:eastAsia="宋体"/>
      <w:kern w:val="0"/>
      <w:sz w:val="21"/>
    </w:rPr>
  </w:style>
  <w:style w:type="character" w:customStyle="1" w:styleId="172">
    <w:name w:val="尾注文本 Char"/>
    <w:link w:val="30"/>
    <w:autoRedefine/>
    <w:qFormat/>
    <w:uiPriority w:val="0"/>
    <w:rPr>
      <w:rFonts w:ascii="Courier" w:hAnsi="Courier" w:eastAsia="PMingLiU"/>
      <w:snapToGrid w:val="0"/>
      <w:sz w:val="24"/>
      <w:lang w:val="en-AU" w:eastAsia="en-US"/>
    </w:rPr>
  </w:style>
  <w:style w:type="character" w:customStyle="1" w:styleId="173">
    <w:name w:val="样式 表内文字"/>
    <w:autoRedefine/>
    <w:qFormat/>
    <w:uiPriority w:val="0"/>
    <w:rPr>
      <w:rFonts w:eastAsia="宋体"/>
      <w:snapToGrid/>
      <w:color w:val="000000"/>
      <w:spacing w:val="0"/>
      <w:kern w:val="0"/>
      <w:position w:val="0"/>
      <w:sz w:val="20"/>
      <w:szCs w:val="20"/>
      <w:u w:val="none"/>
    </w:rPr>
  </w:style>
  <w:style w:type="character" w:customStyle="1" w:styleId="174">
    <w:name w:val="未处理的提及"/>
    <w:autoRedefine/>
    <w:unhideWhenUsed/>
    <w:qFormat/>
    <w:uiPriority w:val="99"/>
    <w:rPr>
      <w:color w:val="605E5C"/>
      <w:shd w:val="clear" w:color="auto" w:fill="E1DFDD"/>
    </w:rPr>
  </w:style>
  <w:style w:type="character" w:customStyle="1" w:styleId="175">
    <w:name w:val="Char Char15"/>
    <w:autoRedefine/>
    <w:qFormat/>
    <w:uiPriority w:val="0"/>
    <w:rPr>
      <w:rFonts w:ascii="Arial" w:hAnsi="Arial" w:eastAsia="黑体"/>
      <w:b/>
      <w:bCs/>
      <w:sz w:val="24"/>
      <w:szCs w:val="24"/>
      <w:lang w:val="en-US" w:eastAsia="zh-CN" w:bidi="ar-SA"/>
    </w:rPr>
  </w:style>
  <w:style w:type="character" w:customStyle="1" w:styleId="176">
    <w:name w:val="列表段落 字符"/>
    <w:link w:val="177"/>
    <w:autoRedefine/>
    <w:qFormat/>
    <w:uiPriority w:val="0"/>
    <w:rPr>
      <w:rFonts w:eastAsia="仿宋_GB2312"/>
      <w:kern w:val="2"/>
      <w:sz w:val="24"/>
      <w:szCs w:val="24"/>
    </w:rPr>
  </w:style>
  <w:style w:type="paragraph" w:customStyle="1" w:styleId="177">
    <w:name w:val="列出段落1"/>
    <w:basedOn w:val="1"/>
    <w:link w:val="176"/>
    <w:autoRedefine/>
    <w:qFormat/>
    <w:uiPriority w:val="0"/>
    <w:pPr>
      <w:widowControl/>
      <w:spacing w:beforeLines="50" w:after="156" w:line="240" w:lineRule="atLeast"/>
      <w:ind w:left="425" w:firstLine="200"/>
    </w:pPr>
    <w:rPr>
      <w:rFonts w:eastAsia="仿宋_GB2312"/>
      <w:sz w:val="24"/>
    </w:rPr>
  </w:style>
  <w:style w:type="character" w:customStyle="1" w:styleId="178">
    <w:name w:val="表格 Char Char"/>
    <w:link w:val="179"/>
    <w:autoRedefine/>
    <w:qFormat/>
    <w:uiPriority w:val="0"/>
    <w:rPr>
      <w:rFonts w:ascii="宋体" w:hAnsi="宋体"/>
      <w:kern w:val="2"/>
      <w:sz w:val="21"/>
      <w:szCs w:val="28"/>
    </w:rPr>
  </w:style>
  <w:style w:type="paragraph" w:customStyle="1" w:styleId="179">
    <w:name w:val="表格 Char"/>
    <w:basedOn w:val="1"/>
    <w:link w:val="178"/>
    <w:autoRedefine/>
    <w:qFormat/>
    <w:uiPriority w:val="0"/>
    <w:pPr>
      <w:widowControl/>
      <w:spacing w:before="100" w:beforeAutospacing="1" w:after="100" w:afterAutospacing="1"/>
      <w:ind w:firstLine="200"/>
      <w:jc w:val="center"/>
    </w:pPr>
    <w:rPr>
      <w:rFonts w:ascii="宋体" w:hAnsi="宋体" w:eastAsia="宋体"/>
      <w:sz w:val="21"/>
      <w:szCs w:val="28"/>
    </w:rPr>
  </w:style>
  <w:style w:type="character" w:customStyle="1" w:styleId="180">
    <w:name w:val="日期 Char"/>
    <w:link w:val="28"/>
    <w:autoRedefine/>
    <w:qFormat/>
    <w:uiPriority w:val="99"/>
    <w:rPr>
      <w:rFonts w:ascii="楷体_GB2312" w:eastAsia="楷体_GB2312"/>
      <w:kern w:val="2"/>
      <w:sz w:val="28"/>
      <w:szCs w:val="24"/>
    </w:rPr>
  </w:style>
  <w:style w:type="character" w:customStyle="1" w:styleId="181">
    <w:name w:val="标题 1 字符"/>
    <w:autoRedefine/>
    <w:qFormat/>
    <w:uiPriority w:val="0"/>
    <w:rPr>
      <w:rFonts w:ascii="Times New Roman" w:hAnsi="Times New Roman" w:eastAsia="宋体" w:cs="Times New Roman"/>
      <w:b/>
      <w:bCs/>
      <w:kern w:val="44"/>
      <w:sz w:val="44"/>
      <w:szCs w:val="44"/>
    </w:rPr>
  </w:style>
  <w:style w:type="character" w:customStyle="1" w:styleId="182">
    <w:name w:val="Char Char Char Char1"/>
    <w:link w:val="183"/>
    <w:autoRedefine/>
    <w:qFormat/>
    <w:uiPriority w:val="0"/>
    <w:rPr>
      <w:rFonts w:ascii="仿宋_GB2312" w:eastAsia="仿宋_GB2312"/>
      <w:b/>
      <w:kern w:val="2"/>
      <w:sz w:val="32"/>
      <w:szCs w:val="32"/>
    </w:rPr>
  </w:style>
  <w:style w:type="paragraph" w:customStyle="1" w:styleId="183">
    <w:name w:val="Char Char Char1"/>
    <w:basedOn w:val="1"/>
    <w:link w:val="182"/>
    <w:autoRedefine/>
    <w:qFormat/>
    <w:uiPriority w:val="0"/>
    <w:pPr>
      <w:widowControl/>
      <w:ind w:firstLine="200"/>
    </w:pPr>
    <w:rPr>
      <w:rFonts w:ascii="仿宋_GB2312" w:eastAsia="仿宋_GB2312"/>
      <w:b/>
      <w:sz w:val="32"/>
      <w:szCs w:val="32"/>
    </w:rPr>
  </w:style>
  <w:style w:type="character" w:customStyle="1" w:styleId="184">
    <w:name w:val="页脚 Char1"/>
    <w:autoRedefine/>
    <w:semiHidden/>
    <w:qFormat/>
    <w:uiPriority w:val="99"/>
    <w:rPr>
      <w:rFonts w:ascii="Times New Roman" w:hAnsi="Times New Roman" w:eastAsia="宋体" w:cs="Times New Roman"/>
      <w:kern w:val="0"/>
      <w:sz w:val="18"/>
      <w:szCs w:val="18"/>
    </w:rPr>
  </w:style>
  <w:style w:type="character" w:customStyle="1" w:styleId="185">
    <w:name w:val="标题 Char"/>
    <w:link w:val="50"/>
    <w:autoRedefine/>
    <w:qFormat/>
    <w:uiPriority w:val="0"/>
    <w:rPr>
      <w:rFonts w:ascii="Arial" w:hAnsi="Arial"/>
      <w:b/>
      <w:sz w:val="32"/>
    </w:rPr>
  </w:style>
  <w:style w:type="character" w:customStyle="1" w:styleId="186">
    <w:name w:val="text"/>
    <w:autoRedefine/>
    <w:qFormat/>
    <w:uiPriority w:val="0"/>
    <w:rPr>
      <w:rFonts w:ascii="仿宋_GB2312" w:eastAsia="仿宋_GB2312"/>
      <w:b/>
      <w:kern w:val="2"/>
      <w:sz w:val="32"/>
      <w:szCs w:val="32"/>
      <w:lang w:val="en-US" w:eastAsia="zh-CN" w:bidi="ar-SA"/>
    </w:rPr>
  </w:style>
  <w:style w:type="character" w:customStyle="1" w:styleId="187">
    <w:name w:val="纯文本 Char2"/>
    <w:autoRedefine/>
    <w:qFormat/>
    <w:uiPriority w:val="0"/>
    <w:rPr>
      <w:rFonts w:ascii="宋体" w:hAnsi="Courier New" w:eastAsia="宋体"/>
      <w:kern w:val="2"/>
      <w:sz w:val="21"/>
      <w:lang w:val="en-US" w:eastAsia="zh-CN"/>
    </w:rPr>
  </w:style>
  <w:style w:type="character" w:customStyle="1" w:styleId="188">
    <w:name w:val="正文文本缩进 Char2"/>
    <w:autoRedefine/>
    <w:semiHidden/>
    <w:qFormat/>
    <w:uiPriority w:val="99"/>
    <w:rPr>
      <w:rFonts w:ascii="Times New Roman" w:hAnsi="Times New Roman" w:eastAsia="宋体" w:cs="Times New Roman"/>
      <w:szCs w:val="24"/>
    </w:rPr>
  </w:style>
  <w:style w:type="character" w:customStyle="1" w:styleId="189">
    <w:name w:val="列出段落 Char"/>
    <w:link w:val="107"/>
    <w:autoRedefine/>
    <w:qFormat/>
    <w:uiPriority w:val="0"/>
    <w:rPr>
      <w:rFonts w:ascii="Calibri" w:hAnsi="Calibri"/>
      <w:kern w:val="2"/>
      <w:sz w:val="21"/>
      <w:szCs w:val="24"/>
    </w:rPr>
  </w:style>
  <w:style w:type="character" w:customStyle="1" w:styleId="190">
    <w:name w:val="正文文本缩进 2 Char1"/>
    <w:autoRedefine/>
    <w:semiHidden/>
    <w:qFormat/>
    <w:uiPriority w:val="99"/>
    <w:rPr>
      <w:rFonts w:ascii="Times New Roman" w:hAnsi="Times New Roman" w:eastAsia="宋体" w:cs="Times New Roman"/>
      <w:kern w:val="0"/>
      <w:szCs w:val="20"/>
    </w:rPr>
  </w:style>
  <w:style w:type="character" w:customStyle="1" w:styleId="191">
    <w:name w:val="已访问的超链接1"/>
    <w:autoRedefine/>
    <w:qFormat/>
    <w:uiPriority w:val="99"/>
    <w:rPr>
      <w:color w:val="800080"/>
      <w:u w:val="single"/>
    </w:rPr>
  </w:style>
  <w:style w:type="character" w:customStyle="1" w:styleId="192">
    <w:name w:val="Report Text Char"/>
    <w:link w:val="193"/>
    <w:autoRedefine/>
    <w:qFormat/>
    <w:uiPriority w:val="0"/>
    <w:rPr>
      <w:rFonts w:ascii="Arial" w:hAnsi="Arial"/>
      <w:kern w:val="28"/>
      <w:sz w:val="22"/>
    </w:rPr>
  </w:style>
  <w:style w:type="paragraph" w:customStyle="1" w:styleId="193">
    <w:name w:val="Report Text"/>
    <w:basedOn w:val="1"/>
    <w:link w:val="192"/>
    <w:autoRedefine/>
    <w:qFormat/>
    <w:uiPriority w:val="0"/>
    <w:pPr>
      <w:widowControl/>
      <w:spacing w:before="240" w:after="120"/>
      <w:ind w:left="1080" w:firstLine="200"/>
    </w:pPr>
    <w:rPr>
      <w:rFonts w:ascii="Arial" w:hAnsi="Arial" w:eastAsia="宋体"/>
      <w:kern w:val="28"/>
      <w:sz w:val="22"/>
      <w:szCs w:val="20"/>
    </w:rPr>
  </w:style>
  <w:style w:type="character" w:customStyle="1" w:styleId="194">
    <w:name w:val="Char Char14"/>
    <w:autoRedefine/>
    <w:qFormat/>
    <w:uiPriority w:val="0"/>
    <w:rPr>
      <w:rFonts w:eastAsia="宋体"/>
      <w:b/>
      <w:bCs/>
      <w:sz w:val="24"/>
      <w:szCs w:val="24"/>
      <w:lang w:val="en-US" w:eastAsia="zh-CN" w:bidi="ar-SA"/>
    </w:rPr>
  </w:style>
  <w:style w:type="character" w:customStyle="1" w:styleId="195">
    <w:name w:val="正文首行缩进 2 Char"/>
    <w:link w:val="196"/>
    <w:autoRedefine/>
    <w:qFormat/>
    <w:uiPriority w:val="0"/>
    <w:rPr>
      <w:kern w:val="2"/>
      <w:sz w:val="21"/>
      <w:szCs w:val="24"/>
    </w:rPr>
  </w:style>
  <w:style w:type="paragraph" w:customStyle="1" w:styleId="196">
    <w:name w:val="正文首行缩进 21"/>
    <w:basedOn w:val="21"/>
    <w:link w:val="195"/>
    <w:autoRedefine/>
    <w:qFormat/>
    <w:uiPriority w:val="0"/>
    <w:pPr>
      <w:widowControl/>
      <w:adjustRightInd w:val="0"/>
      <w:spacing w:after="120" w:line="312" w:lineRule="atLeast"/>
      <w:ind w:left="420" w:leftChars="200" w:firstLine="200"/>
      <w:textAlignment w:val="baseline"/>
    </w:pPr>
    <w:rPr>
      <w:rFonts w:eastAsia="宋体"/>
      <w:sz w:val="21"/>
    </w:rPr>
  </w:style>
  <w:style w:type="character" w:customStyle="1" w:styleId="197">
    <w:name w:val="Char Char12"/>
    <w:autoRedefine/>
    <w:qFormat/>
    <w:uiPriority w:val="0"/>
    <w:rPr>
      <w:rFonts w:ascii="Arial" w:hAnsi="Arial" w:eastAsia="黑体"/>
      <w:sz w:val="21"/>
      <w:szCs w:val="21"/>
      <w:lang w:val="en-US" w:eastAsia="zh-CN" w:bidi="ar-SA"/>
    </w:rPr>
  </w:style>
  <w:style w:type="character" w:customStyle="1" w:styleId="198">
    <w:name w:val="Char Char6"/>
    <w:autoRedefine/>
    <w:qFormat/>
    <w:uiPriority w:val="0"/>
    <w:rPr>
      <w:rFonts w:eastAsia="宋体"/>
      <w:sz w:val="18"/>
      <w:szCs w:val="18"/>
      <w:lang w:bidi="ar-SA"/>
    </w:rPr>
  </w:style>
  <w:style w:type="character" w:customStyle="1" w:styleId="199">
    <w:name w:val="正文首行缩进 Char1"/>
    <w:autoRedefine/>
    <w:semiHidden/>
    <w:qFormat/>
    <w:uiPriority w:val="99"/>
    <w:rPr>
      <w:rFonts w:ascii="Times New Roman" w:hAnsi="Times New Roman" w:eastAsia="宋体" w:cs="Times New Roman"/>
      <w:kern w:val="0"/>
      <w:szCs w:val="20"/>
    </w:rPr>
  </w:style>
  <w:style w:type="character" w:customStyle="1" w:styleId="200">
    <w:name w:val="样式 超链接 + 仿宋_GB2312 小四 加粗"/>
    <w:autoRedefine/>
    <w:qFormat/>
    <w:uiPriority w:val="0"/>
    <w:rPr>
      <w:rFonts w:ascii="仿宋_GB2312" w:hAnsi="仿宋_GB2312" w:eastAsia="黑体"/>
      <w:b/>
      <w:bCs/>
      <w:color w:val="auto"/>
      <w:sz w:val="24"/>
      <w:u w:val="none"/>
    </w:rPr>
  </w:style>
  <w:style w:type="character" w:customStyle="1" w:styleId="201">
    <w:name w:val="图形题注 Char"/>
    <w:link w:val="171"/>
    <w:autoRedefine/>
    <w:qFormat/>
    <w:uiPriority w:val="0"/>
    <w:rPr>
      <w:rFonts w:ascii="Arial" w:hAnsi="Arial" w:cs="Arial"/>
      <w:sz w:val="21"/>
    </w:rPr>
  </w:style>
  <w:style w:type="character" w:customStyle="1" w:styleId="202">
    <w:name w:val="脚注文本 Char1"/>
    <w:autoRedefine/>
    <w:semiHidden/>
    <w:qFormat/>
    <w:uiPriority w:val="99"/>
    <w:rPr>
      <w:kern w:val="2"/>
      <w:sz w:val="18"/>
      <w:szCs w:val="18"/>
    </w:rPr>
  </w:style>
  <w:style w:type="character" w:customStyle="1" w:styleId="203">
    <w:name w:val="Char Char2"/>
    <w:autoRedefine/>
    <w:qFormat/>
    <w:uiPriority w:val="0"/>
    <w:rPr>
      <w:rFonts w:ascii="楷体_GB2312" w:hAnsi="宋体" w:eastAsia="楷体_GB2312"/>
      <w:color w:val="000000"/>
      <w:sz w:val="21"/>
      <w:szCs w:val="21"/>
      <w:lang w:val="en-US" w:eastAsia="zh-CN" w:bidi="ar-SA"/>
    </w:rPr>
  </w:style>
  <w:style w:type="character" w:customStyle="1" w:styleId="204">
    <w:name w:val="未处理的提及1"/>
    <w:autoRedefine/>
    <w:unhideWhenUsed/>
    <w:qFormat/>
    <w:uiPriority w:val="99"/>
    <w:rPr>
      <w:color w:val="605E5C"/>
      <w:shd w:val="clear" w:color="auto" w:fill="E1DFDD"/>
    </w:rPr>
  </w:style>
  <w:style w:type="character" w:customStyle="1" w:styleId="205">
    <w:name w:val="列表框2 Char"/>
    <w:link w:val="206"/>
    <w:autoRedefine/>
    <w:qFormat/>
    <w:uiPriority w:val="0"/>
    <w:rPr>
      <w:rFonts w:ascii="宋体" w:hAnsi="宋体"/>
      <w:sz w:val="21"/>
      <w:szCs w:val="24"/>
    </w:rPr>
  </w:style>
  <w:style w:type="paragraph" w:customStyle="1" w:styleId="206">
    <w:name w:val="列表框2"/>
    <w:basedOn w:val="207"/>
    <w:link w:val="205"/>
    <w:autoRedefine/>
    <w:qFormat/>
    <w:uiPriority w:val="0"/>
    <w:pPr>
      <w:tabs>
        <w:tab w:val="left" w:pos="1682"/>
        <w:tab w:val="left" w:pos="2084"/>
      </w:tabs>
      <w:ind w:left="2118" w:leftChars="808" w:hanging="420"/>
    </w:pPr>
    <w:rPr>
      <w:szCs w:val="24"/>
    </w:rPr>
  </w:style>
  <w:style w:type="paragraph" w:customStyle="1" w:styleId="207">
    <w:name w:val="列表框1"/>
    <w:basedOn w:val="1"/>
    <w:link w:val="208"/>
    <w:autoRedefine/>
    <w:qFormat/>
    <w:uiPriority w:val="0"/>
    <w:pPr>
      <w:widowControl/>
      <w:tabs>
        <w:tab w:val="left" w:pos="1682"/>
      </w:tabs>
      <w:adjustRightInd w:val="0"/>
      <w:snapToGrid w:val="0"/>
      <w:ind w:left="1748" w:hanging="434"/>
    </w:pPr>
    <w:rPr>
      <w:rFonts w:ascii="宋体" w:hAnsi="宋体" w:eastAsia="宋体"/>
      <w:kern w:val="0"/>
      <w:sz w:val="21"/>
      <w:szCs w:val="21"/>
    </w:rPr>
  </w:style>
  <w:style w:type="character" w:customStyle="1" w:styleId="208">
    <w:name w:val="列表框1 Char Char"/>
    <w:link w:val="207"/>
    <w:autoRedefine/>
    <w:qFormat/>
    <w:uiPriority w:val="0"/>
    <w:rPr>
      <w:rFonts w:ascii="宋体" w:hAnsi="宋体"/>
      <w:sz w:val="21"/>
      <w:szCs w:val="21"/>
    </w:rPr>
  </w:style>
  <w:style w:type="character" w:customStyle="1" w:styleId="209">
    <w:name w:val="Char Char16"/>
    <w:autoRedefine/>
    <w:qFormat/>
    <w:uiPriority w:val="0"/>
    <w:rPr>
      <w:rFonts w:eastAsia="宋体"/>
      <w:b/>
      <w:bCs/>
      <w:sz w:val="28"/>
      <w:szCs w:val="28"/>
      <w:lang w:val="en-US" w:eastAsia="zh-CN" w:bidi="ar-SA"/>
    </w:rPr>
  </w:style>
  <w:style w:type="character" w:customStyle="1" w:styleId="210">
    <w:name w:val="标题 3 Char1"/>
    <w:autoRedefine/>
    <w:qFormat/>
    <w:uiPriority w:val="0"/>
    <w:rPr>
      <w:b/>
      <w:bCs/>
      <w:sz w:val="32"/>
      <w:szCs w:val="32"/>
    </w:rPr>
  </w:style>
  <w:style w:type="character" w:customStyle="1" w:styleId="211">
    <w:name w:val="尾注文本 Char1"/>
    <w:autoRedefine/>
    <w:semiHidden/>
    <w:qFormat/>
    <w:uiPriority w:val="99"/>
    <w:rPr>
      <w:kern w:val="2"/>
      <w:sz w:val="21"/>
      <w:szCs w:val="24"/>
    </w:rPr>
  </w:style>
  <w:style w:type="character" w:customStyle="1" w:styleId="212">
    <w:name w:val="页眉 Char1"/>
    <w:autoRedefine/>
    <w:semiHidden/>
    <w:qFormat/>
    <w:uiPriority w:val="99"/>
    <w:rPr>
      <w:rFonts w:ascii="Times New Roman" w:hAnsi="Times New Roman" w:eastAsia="宋体" w:cs="Times New Roman"/>
      <w:kern w:val="0"/>
      <w:sz w:val="18"/>
      <w:szCs w:val="18"/>
    </w:rPr>
  </w:style>
  <w:style w:type="character" w:customStyle="1" w:styleId="213">
    <w:name w:val="正文文本 Char2"/>
    <w:basedOn w:val="55"/>
    <w:autoRedefine/>
    <w:semiHidden/>
    <w:qFormat/>
    <w:uiPriority w:val="99"/>
    <w:rPr>
      <w:kern w:val="2"/>
      <w:sz w:val="21"/>
      <w:szCs w:val="24"/>
    </w:rPr>
  </w:style>
  <w:style w:type="character" w:customStyle="1" w:styleId="214">
    <w:name w:val="脚注文本 Char2"/>
    <w:basedOn w:val="55"/>
    <w:autoRedefine/>
    <w:qFormat/>
    <w:uiPriority w:val="99"/>
    <w:rPr>
      <w:rFonts w:eastAsia="华文仿宋"/>
      <w:kern w:val="2"/>
      <w:sz w:val="18"/>
      <w:szCs w:val="18"/>
    </w:rPr>
  </w:style>
  <w:style w:type="character" w:customStyle="1" w:styleId="215">
    <w:name w:val="页眉 Char2"/>
    <w:basedOn w:val="55"/>
    <w:autoRedefine/>
    <w:semiHidden/>
    <w:qFormat/>
    <w:uiPriority w:val="99"/>
    <w:rPr>
      <w:kern w:val="2"/>
      <w:sz w:val="18"/>
      <w:szCs w:val="18"/>
    </w:rPr>
  </w:style>
  <w:style w:type="character" w:customStyle="1" w:styleId="216">
    <w:name w:val="尾注文本 Char2"/>
    <w:basedOn w:val="55"/>
    <w:autoRedefine/>
    <w:qFormat/>
    <w:uiPriority w:val="99"/>
    <w:rPr>
      <w:rFonts w:eastAsia="华文仿宋"/>
      <w:kern w:val="2"/>
      <w:sz w:val="28"/>
      <w:szCs w:val="24"/>
    </w:rPr>
  </w:style>
  <w:style w:type="character" w:customStyle="1" w:styleId="217">
    <w:name w:val="正文文本缩进 Char3"/>
    <w:basedOn w:val="55"/>
    <w:autoRedefine/>
    <w:semiHidden/>
    <w:qFormat/>
    <w:uiPriority w:val="99"/>
    <w:rPr>
      <w:kern w:val="2"/>
      <w:sz w:val="21"/>
      <w:szCs w:val="24"/>
    </w:rPr>
  </w:style>
  <w:style w:type="character" w:customStyle="1" w:styleId="218">
    <w:name w:val="批注文字 Char3"/>
    <w:basedOn w:val="55"/>
    <w:autoRedefine/>
    <w:semiHidden/>
    <w:qFormat/>
    <w:uiPriority w:val="99"/>
    <w:rPr>
      <w:kern w:val="2"/>
      <w:sz w:val="21"/>
      <w:szCs w:val="24"/>
    </w:rPr>
  </w:style>
  <w:style w:type="character" w:customStyle="1" w:styleId="219">
    <w:name w:val="批注主题 Char2"/>
    <w:basedOn w:val="218"/>
    <w:autoRedefine/>
    <w:semiHidden/>
    <w:qFormat/>
    <w:uiPriority w:val="99"/>
    <w:rPr>
      <w:b/>
      <w:bCs/>
      <w:kern w:val="2"/>
      <w:sz w:val="21"/>
      <w:szCs w:val="24"/>
    </w:rPr>
  </w:style>
  <w:style w:type="character" w:customStyle="1" w:styleId="220">
    <w:name w:val="正文文本缩进 2 Char2"/>
    <w:basedOn w:val="55"/>
    <w:autoRedefine/>
    <w:semiHidden/>
    <w:qFormat/>
    <w:uiPriority w:val="99"/>
    <w:rPr>
      <w:kern w:val="2"/>
      <w:sz w:val="21"/>
      <w:szCs w:val="24"/>
    </w:rPr>
  </w:style>
  <w:style w:type="character" w:customStyle="1" w:styleId="221">
    <w:name w:val="正文首行缩进 Char3"/>
    <w:basedOn w:val="76"/>
    <w:autoRedefine/>
    <w:qFormat/>
    <w:uiPriority w:val="99"/>
    <w:rPr>
      <w:rFonts w:eastAsia="华文仿宋"/>
      <w:kern w:val="2"/>
      <w:sz w:val="28"/>
      <w:szCs w:val="24"/>
    </w:rPr>
  </w:style>
  <w:style w:type="character" w:customStyle="1" w:styleId="222">
    <w:name w:val="正文文本缩进 3 Char2"/>
    <w:basedOn w:val="55"/>
    <w:autoRedefine/>
    <w:qFormat/>
    <w:uiPriority w:val="99"/>
    <w:rPr>
      <w:rFonts w:eastAsia="华文仿宋"/>
      <w:kern w:val="2"/>
      <w:sz w:val="16"/>
      <w:szCs w:val="16"/>
    </w:rPr>
  </w:style>
  <w:style w:type="character" w:customStyle="1" w:styleId="223">
    <w:name w:val="批注框文本 Char2"/>
    <w:basedOn w:val="55"/>
    <w:autoRedefine/>
    <w:semiHidden/>
    <w:qFormat/>
    <w:uiPriority w:val="99"/>
    <w:rPr>
      <w:kern w:val="2"/>
      <w:sz w:val="18"/>
      <w:szCs w:val="18"/>
    </w:rPr>
  </w:style>
  <w:style w:type="character" w:customStyle="1" w:styleId="224">
    <w:name w:val="正文文本 2 Char2"/>
    <w:basedOn w:val="55"/>
    <w:autoRedefine/>
    <w:semiHidden/>
    <w:qFormat/>
    <w:uiPriority w:val="99"/>
    <w:rPr>
      <w:kern w:val="2"/>
      <w:sz w:val="21"/>
      <w:szCs w:val="24"/>
    </w:rPr>
  </w:style>
  <w:style w:type="character" w:customStyle="1" w:styleId="225">
    <w:name w:val="正文首行缩进 2 Char2"/>
    <w:basedOn w:val="67"/>
    <w:link w:val="52"/>
    <w:autoRedefine/>
    <w:qFormat/>
    <w:uiPriority w:val="0"/>
    <w:rPr>
      <w:rFonts w:eastAsia="华文仿宋"/>
      <w:kern w:val="2"/>
      <w:sz w:val="21"/>
      <w:szCs w:val="24"/>
    </w:rPr>
  </w:style>
  <w:style w:type="character" w:customStyle="1" w:styleId="226">
    <w:name w:val="文档结构图 Char2"/>
    <w:basedOn w:val="55"/>
    <w:autoRedefine/>
    <w:semiHidden/>
    <w:qFormat/>
    <w:uiPriority w:val="99"/>
    <w:rPr>
      <w:rFonts w:ascii="宋体"/>
      <w:kern w:val="2"/>
      <w:sz w:val="18"/>
      <w:szCs w:val="18"/>
    </w:rPr>
  </w:style>
  <w:style w:type="character" w:customStyle="1" w:styleId="227">
    <w:name w:val="正文文本 3 Char2"/>
    <w:basedOn w:val="55"/>
    <w:autoRedefine/>
    <w:semiHidden/>
    <w:qFormat/>
    <w:uiPriority w:val="99"/>
    <w:rPr>
      <w:kern w:val="2"/>
      <w:sz w:val="16"/>
      <w:szCs w:val="16"/>
    </w:rPr>
  </w:style>
  <w:style w:type="character" w:customStyle="1" w:styleId="228">
    <w:name w:val="页脚 Char2"/>
    <w:basedOn w:val="55"/>
    <w:autoRedefine/>
    <w:semiHidden/>
    <w:qFormat/>
    <w:uiPriority w:val="99"/>
    <w:rPr>
      <w:kern w:val="2"/>
      <w:sz w:val="18"/>
      <w:szCs w:val="18"/>
    </w:rPr>
  </w:style>
  <w:style w:type="character" w:customStyle="1" w:styleId="229">
    <w:name w:val="标题 Char2"/>
    <w:basedOn w:val="55"/>
    <w:autoRedefine/>
    <w:qFormat/>
    <w:uiPriority w:val="10"/>
    <w:rPr>
      <w:rFonts w:asciiTheme="majorHAnsi" w:hAnsiTheme="majorHAnsi" w:cstheme="majorBidi"/>
      <w:b/>
      <w:bCs/>
      <w:kern w:val="2"/>
      <w:sz w:val="32"/>
      <w:szCs w:val="32"/>
    </w:rPr>
  </w:style>
  <w:style w:type="character" w:customStyle="1" w:styleId="230">
    <w:name w:val="日期 Char2"/>
    <w:basedOn w:val="55"/>
    <w:autoRedefine/>
    <w:semiHidden/>
    <w:qFormat/>
    <w:uiPriority w:val="99"/>
    <w:rPr>
      <w:kern w:val="2"/>
      <w:sz w:val="21"/>
      <w:szCs w:val="24"/>
    </w:rPr>
  </w:style>
  <w:style w:type="character" w:customStyle="1" w:styleId="231">
    <w:name w:val="纯文本 Char3"/>
    <w:basedOn w:val="55"/>
    <w:autoRedefine/>
    <w:semiHidden/>
    <w:qFormat/>
    <w:uiPriority w:val="99"/>
    <w:rPr>
      <w:rFonts w:ascii="宋体" w:hAnsi="Courier New" w:cs="Courier New"/>
      <w:kern w:val="2"/>
      <w:sz w:val="21"/>
      <w:szCs w:val="21"/>
    </w:rPr>
  </w:style>
  <w:style w:type="paragraph" w:customStyle="1" w:styleId="232">
    <w:name w:val="xl59"/>
    <w:basedOn w:val="1"/>
    <w:autoRedefine/>
    <w:qFormat/>
    <w:uiPriority w:val="0"/>
    <w:pPr>
      <w:widowControl/>
      <w:pBdr>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233">
    <w:name w:val="xl6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234">
    <w:name w:val="条文 4"/>
    <w:next w:val="1"/>
    <w:autoRedefine/>
    <w:qFormat/>
    <w:uiPriority w:val="0"/>
    <w:pPr>
      <w:spacing w:line="310" w:lineRule="exact"/>
      <w:ind w:left="2520" w:hanging="420"/>
      <w:jc w:val="both"/>
    </w:pPr>
    <w:rPr>
      <w:rFonts w:ascii="Times New Roman" w:hAnsi="Times New Roman" w:eastAsia="黑体" w:cs="Times New Roman"/>
      <w:sz w:val="21"/>
      <w:lang w:val="en-US" w:eastAsia="zh-CN" w:bidi="ar-SA"/>
    </w:rPr>
  </w:style>
  <w:style w:type="paragraph" w:customStyle="1" w:styleId="235">
    <w:name w:val="xl41"/>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6">
    <w:name w:val="目录 71"/>
    <w:basedOn w:val="1"/>
    <w:next w:val="1"/>
    <w:autoRedefine/>
    <w:qFormat/>
    <w:uiPriority w:val="39"/>
    <w:pPr>
      <w:widowControl/>
      <w:ind w:left="2520" w:leftChars="1200" w:firstLine="200"/>
    </w:pPr>
    <w:rPr>
      <w:rFonts w:ascii="Calibri" w:hAnsi="Calibri" w:eastAsia="宋体"/>
      <w:sz w:val="21"/>
      <w:szCs w:val="22"/>
    </w:rPr>
  </w:style>
  <w:style w:type="paragraph" w:customStyle="1" w:styleId="237">
    <w:name w:val="xl43"/>
    <w:basedOn w:val="1"/>
    <w:autoRedefine/>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38">
    <w:name w:val="Char Char Char Char11"/>
    <w:basedOn w:val="1"/>
    <w:autoRedefine/>
    <w:qFormat/>
    <w:uiPriority w:val="0"/>
    <w:pPr>
      <w:widowControl/>
      <w:shd w:val="clear" w:color="auto" w:fill="000080"/>
      <w:adjustRightInd w:val="0"/>
      <w:spacing w:line="436" w:lineRule="exact"/>
      <w:ind w:left="357" w:firstLine="200"/>
      <w:jc w:val="left"/>
      <w:outlineLvl w:val="3"/>
    </w:pPr>
    <w:rPr>
      <w:rFonts w:ascii="Tahoma" w:hAnsi="Tahoma" w:eastAsia="宋体"/>
      <w:b/>
      <w:sz w:val="24"/>
      <w:szCs w:val="28"/>
      <w:shd w:val="clear" w:color="auto" w:fill="000080"/>
    </w:rPr>
  </w:style>
  <w:style w:type="paragraph" w:customStyle="1" w:styleId="239">
    <w:name w:val="USE 1"/>
    <w:basedOn w:val="1"/>
    <w:autoRedefine/>
    <w:qFormat/>
    <w:uiPriority w:val="0"/>
    <w:pPr>
      <w:widowControl/>
      <w:spacing w:line="200" w:lineRule="atLeast"/>
      <w:ind w:firstLine="200"/>
      <w:jc w:val="left"/>
    </w:pPr>
    <w:rPr>
      <w:rFonts w:ascii="宋体" w:hAnsi="宋体" w:eastAsia="宋体"/>
      <w:b/>
      <w:sz w:val="24"/>
      <w:szCs w:val="28"/>
    </w:rPr>
  </w:style>
  <w:style w:type="paragraph" w:customStyle="1" w:styleId="240">
    <w:name w:val="xl8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41">
    <w:name w:val="条文 3"/>
    <w:next w:val="1"/>
    <w:autoRedefine/>
    <w:qFormat/>
    <w:uiPriority w:val="0"/>
    <w:pPr>
      <w:spacing w:line="310" w:lineRule="exact"/>
      <w:ind w:left="1680" w:hanging="420"/>
      <w:jc w:val="both"/>
    </w:pPr>
    <w:rPr>
      <w:rFonts w:ascii="Times New Roman" w:hAnsi="Times New Roman" w:eastAsia="黑体" w:cs="Times New Roman"/>
      <w:sz w:val="21"/>
      <w:lang w:val="en-US" w:eastAsia="zh-CN" w:bidi="ar-SA"/>
    </w:rPr>
  </w:style>
  <w:style w:type="paragraph" w:customStyle="1" w:styleId="242">
    <w:name w:val="字元 字元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43">
    <w:name w:val="1."/>
    <w:basedOn w:val="1"/>
    <w:autoRedefine/>
    <w:qFormat/>
    <w:uiPriority w:val="0"/>
    <w:pPr>
      <w:widowControl/>
      <w:tabs>
        <w:tab w:val="left" w:pos="425"/>
      </w:tabs>
      <w:ind w:firstLine="482"/>
    </w:pPr>
    <w:rPr>
      <w:rFonts w:eastAsia="宋体"/>
      <w:szCs w:val="20"/>
    </w:rPr>
  </w:style>
  <w:style w:type="paragraph" w:customStyle="1" w:styleId="244">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45">
    <w:name w:val="font6"/>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46">
    <w:name w:val="Char Char Char"/>
    <w:basedOn w:val="1"/>
    <w:autoRedefine/>
    <w:qFormat/>
    <w:uiPriority w:val="0"/>
    <w:pPr>
      <w:widowControl/>
      <w:ind w:firstLine="200"/>
    </w:pPr>
    <w:rPr>
      <w:rFonts w:ascii="仿宋_GB2312" w:eastAsia="仿宋_GB2312"/>
      <w:b/>
      <w:sz w:val="32"/>
      <w:szCs w:val="32"/>
    </w:rPr>
  </w:style>
  <w:style w:type="paragraph" w:customStyle="1" w:styleId="247">
    <w:name w:val="青岛标题4"/>
    <w:basedOn w:val="5"/>
    <w:autoRedefine/>
    <w:qFormat/>
    <w:uiPriority w:val="0"/>
    <w:pPr>
      <w:widowControl/>
      <w:spacing w:line="500" w:lineRule="atLeast"/>
      <w:ind w:firstLine="200"/>
      <w:jc w:val="left"/>
      <w:outlineLvl w:val="2"/>
    </w:pPr>
    <w:rPr>
      <w:rFonts w:eastAsia="宋体"/>
      <w:sz w:val="30"/>
      <w:lang w:val="zh-CN" w:eastAsia="zh-CN"/>
    </w:rPr>
  </w:style>
  <w:style w:type="paragraph" w:customStyle="1" w:styleId="248">
    <w:name w:val="font12"/>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6"/>
      <w:szCs w:val="16"/>
    </w:rPr>
  </w:style>
  <w:style w:type="paragraph" w:customStyle="1" w:styleId="249">
    <w:name w:val="xl53"/>
    <w:basedOn w:val="1"/>
    <w:autoRedefine/>
    <w:qFormat/>
    <w:uiPriority w:val="0"/>
    <w:pPr>
      <w:widowControl/>
      <w:spacing w:before="100" w:beforeAutospacing="1" w:after="100" w:afterAutospacing="1"/>
      <w:ind w:firstLine="200"/>
      <w:jc w:val="left"/>
    </w:pPr>
    <w:rPr>
      <w:rFonts w:hint="eastAsia" w:ascii="黑体" w:hAnsi="宋体" w:eastAsia="黑体"/>
      <w:kern w:val="0"/>
      <w:sz w:val="24"/>
    </w:rPr>
  </w:style>
  <w:style w:type="paragraph" w:customStyle="1" w:styleId="25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51">
    <w:name w:val="xl66"/>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52">
    <w:name w:val="列表段落1"/>
    <w:basedOn w:val="1"/>
    <w:autoRedefine/>
    <w:qFormat/>
    <w:uiPriority w:val="0"/>
    <w:pPr>
      <w:widowControl/>
      <w:ind w:firstLine="200"/>
    </w:pPr>
    <w:rPr>
      <w:rFonts w:eastAsia="宋体"/>
      <w:sz w:val="21"/>
    </w:rPr>
  </w:style>
  <w:style w:type="paragraph" w:customStyle="1" w:styleId="253">
    <w:name w:val="小标题"/>
    <w:basedOn w:val="1"/>
    <w:autoRedefine/>
    <w:qFormat/>
    <w:uiPriority w:val="0"/>
    <w:pPr>
      <w:widowControl/>
      <w:spacing w:line="440" w:lineRule="exact"/>
      <w:ind w:left="420" w:hanging="420"/>
    </w:pPr>
    <w:rPr>
      <w:rFonts w:eastAsia="宋体"/>
      <w:sz w:val="24"/>
    </w:rPr>
  </w:style>
  <w:style w:type="paragraph" w:customStyle="1" w:styleId="254">
    <w:name w:val="目录 41"/>
    <w:basedOn w:val="1"/>
    <w:next w:val="1"/>
    <w:autoRedefine/>
    <w:qFormat/>
    <w:uiPriority w:val="39"/>
    <w:pPr>
      <w:widowControl/>
      <w:ind w:left="1260" w:leftChars="600" w:firstLine="200"/>
    </w:pPr>
    <w:rPr>
      <w:rFonts w:ascii="Calibri" w:hAnsi="Calibri" w:eastAsia="宋体"/>
      <w:sz w:val="21"/>
      <w:szCs w:val="22"/>
    </w:rPr>
  </w:style>
  <w:style w:type="paragraph" w:customStyle="1" w:styleId="255">
    <w:name w:val="font5"/>
    <w:basedOn w:val="1"/>
    <w:autoRedefine/>
    <w:qFormat/>
    <w:uiPriority w:val="0"/>
    <w:pPr>
      <w:widowControl/>
      <w:spacing w:before="100" w:beforeAutospacing="1" w:after="100" w:afterAutospacing="1"/>
      <w:ind w:firstLine="200"/>
      <w:jc w:val="left"/>
    </w:pPr>
    <w:rPr>
      <w:rFonts w:ascii="宋体" w:hAnsi="宋体" w:eastAsia="宋体" w:cs="宋体"/>
      <w:kern w:val="0"/>
      <w:sz w:val="18"/>
      <w:szCs w:val="18"/>
    </w:rPr>
  </w:style>
  <w:style w:type="paragraph" w:customStyle="1" w:styleId="256">
    <w:name w:val="retrait3"/>
    <w:basedOn w:val="1"/>
    <w:autoRedefine/>
    <w:qFormat/>
    <w:uiPriority w:val="0"/>
    <w:pPr>
      <w:widowControl/>
      <w:spacing w:before="20" w:after="20"/>
      <w:ind w:left="851" w:firstLine="200"/>
      <w:jc w:val="left"/>
    </w:pPr>
    <w:rPr>
      <w:rFonts w:ascii="Arial" w:hAnsi="Arial" w:eastAsia="宋体"/>
      <w:kern w:val="0"/>
      <w:sz w:val="24"/>
      <w:szCs w:val="20"/>
      <w:lang w:val="en-GB"/>
    </w:rPr>
  </w:style>
  <w:style w:type="paragraph" w:customStyle="1" w:styleId="257">
    <w:name w:val="wuff32"/>
    <w:basedOn w:val="26"/>
    <w:autoRedefine/>
    <w:qFormat/>
    <w:uiPriority w:val="0"/>
    <w:pPr>
      <w:widowControl/>
      <w:ind w:firstLine="200"/>
      <w:jc w:val="center"/>
    </w:pPr>
    <w:rPr>
      <w:rFonts w:ascii="黑体" w:eastAsia="黑体" w:cs="Courier New"/>
      <w:kern w:val="2"/>
      <w:sz w:val="24"/>
    </w:rPr>
  </w:style>
  <w:style w:type="paragraph" w:customStyle="1" w:styleId="258">
    <w:name w:val="USE 5"/>
    <w:basedOn w:val="1"/>
    <w:autoRedefine/>
    <w:qFormat/>
    <w:uiPriority w:val="0"/>
    <w:pPr>
      <w:widowControl/>
      <w:ind w:left="217" w:hanging="340"/>
      <w:jc w:val="left"/>
    </w:pPr>
    <w:rPr>
      <w:rFonts w:ascii="宋体" w:hAnsi="宋体" w:eastAsia="宋体"/>
      <w:sz w:val="24"/>
    </w:rPr>
  </w:style>
  <w:style w:type="paragraph" w:customStyle="1" w:styleId="259">
    <w:name w:val="xl97"/>
    <w:basedOn w:val="1"/>
    <w:autoRedefine/>
    <w:qFormat/>
    <w:uiPriority w:val="0"/>
    <w:pPr>
      <w:widowControl/>
      <w:pBdr>
        <w:top w:val="single" w:color="auto" w:sz="4" w:space="0"/>
        <w:bottom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60">
    <w:name w:val="Char Char Char Char Char Char Char Char Char Char Char Char Char Char Char Char Char Char Char Char Char Char Char Char2 Char"/>
    <w:basedOn w:val="1"/>
    <w:autoRedefine/>
    <w:qFormat/>
    <w:uiPriority w:val="0"/>
    <w:pPr>
      <w:widowControl/>
      <w:spacing w:after="160" w:line="240" w:lineRule="exact"/>
      <w:ind w:firstLine="200"/>
      <w:jc w:val="center"/>
    </w:pPr>
    <w:rPr>
      <w:rFonts w:ascii="黑体" w:hAnsi="Verdana" w:eastAsia="黑体"/>
      <w:kern w:val="0"/>
      <w:sz w:val="32"/>
      <w:szCs w:val="32"/>
      <w:lang w:eastAsia="en-US"/>
    </w:rPr>
  </w:style>
  <w:style w:type="paragraph" w:customStyle="1" w:styleId="261">
    <w:name w:val="Char Char Char Char Char1 Char"/>
    <w:basedOn w:val="1"/>
    <w:autoRedefine/>
    <w:qFormat/>
    <w:uiPriority w:val="0"/>
    <w:pPr>
      <w:widowControl/>
      <w:adjustRightInd w:val="0"/>
      <w:ind w:firstLine="200"/>
    </w:pPr>
    <w:rPr>
      <w:rFonts w:eastAsia="黑体"/>
      <w:spacing w:val="20"/>
      <w:sz w:val="32"/>
      <w:szCs w:val="32"/>
    </w:rPr>
  </w:style>
  <w:style w:type="paragraph" w:customStyle="1" w:styleId="262">
    <w:name w:val="二级标题"/>
    <w:basedOn w:val="1"/>
    <w:autoRedefine/>
    <w:qFormat/>
    <w:uiPriority w:val="0"/>
    <w:pPr>
      <w:widowControl/>
      <w:tabs>
        <w:tab w:val="left" w:pos="-1341"/>
      </w:tabs>
      <w:ind w:left="2686" w:hanging="420"/>
      <w:outlineLvl w:val="1"/>
    </w:pPr>
    <w:rPr>
      <w:rFonts w:ascii="宋体" w:hAnsi="宋体" w:eastAsia="宋体"/>
      <w:sz w:val="24"/>
      <w:szCs w:val="20"/>
    </w:rPr>
  </w:style>
  <w:style w:type="paragraph" w:customStyle="1" w:styleId="263">
    <w:name w:val="条文 5"/>
    <w:next w:val="1"/>
    <w:autoRedefine/>
    <w:qFormat/>
    <w:uiPriority w:val="0"/>
    <w:pPr>
      <w:spacing w:line="310" w:lineRule="exact"/>
      <w:ind w:left="2940" w:hanging="420"/>
      <w:jc w:val="both"/>
    </w:pPr>
    <w:rPr>
      <w:rFonts w:ascii="Times New Roman" w:hAnsi="Times New Roman" w:eastAsia="黑体" w:cs="Times New Roman"/>
      <w:sz w:val="21"/>
      <w:lang w:val="en-US" w:eastAsia="zh-CN" w:bidi="ar-SA"/>
    </w:rPr>
  </w:style>
  <w:style w:type="paragraph" w:customStyle="1" w:styleId="264">
    <w:name w:val="CM226"/>
    <w:basedOn w:val="1"/>
    <w:next w:val="1"/>
    <w:autoRedefine/>
    <w:qFormat/>
    <w:uiPriority w:val="0"/>
    <w:pPr>
      <w:widowControl/>
      <w:autoSpaceDE w:val="0"/>
      <w:autoSpaceDN w:val="0"/>
      <w:adjustRightInd w:val="0"/>
      <w:spacing w:after="2445"/>
      <w:ind w:firstLine="200"/>
      <w:jc w:val="left"/>
    </w:pPr>
    <w:rPr>
      <w:rFonts w:ascii="宋体" w:eastAsia="宋体"/>
      <w:kern w:val="0"/>
      <w:sz w:val="24"/>
    </w:rPr>
  </w:style>
  <w:style w:type="paragraph" w:customStyle="1" w:styleId="265">
    <w:name w:val="Char Char Char Char Char Char Char"/>
    <w:basedOn w:val="1"/>
    <w:autoRedefine/>
    <w:qFormat/>
    <w:uiPriority w:val="0"/>
    <w:pPr>
      <w:widowControl/>
      <w:ind w:firstLine="200"/>
    </w:pPr>
    <w:rPr>
      <w:rFonts w:ascii="仿宋_GB2312" w:eastAsia="仿宋_GB2312"/>
      <w:b/>
      <w:sz w:val="32"/>
      <w:szCs w:val="32"/>
    </w:rPr>
  </w:style>
  <w:style w:type="paragraph" w:customStyle="1" w:styleId="266">
    <w:name w:val="表格文字图表文字"/>
    <w:basedOn w:val="1"/>
    <w:autoRedefine/>
    <w:qFormat/>
    <w:uiPriority w:val="0"/>
    <w:pPr>
      <w:widowControl/>
      <w:snapToGrid w:val="0"/>
      <w:ind w:firstLine="200"/>
      <w:jc w:val="center"/>
    </w:pPr>
    <w:rPr>
      <w:rFonts w:eastAsia="宋体" w:cs="宋体"/>
      <w:sz w:val="21"/>
      <w:szCs w:val="20"/>
    </w:rPr>
  </w:style>
  <w:style w:type="paragraph" w:customStyle="1" w:styleId="267">
    <w:name w:val="备注"/>
    <w:basedOn w:val="1"/>
    <w:autoRedefine/>
    <w:qFormat/>
    <w:uiPriority w:val="0"/>
    <w:pPr>
      <w:widowControl/>
      <w:tabs>
        <w:tab w:val="left" w:pos="547"/>
        <w:tab w:val="left" w:pos="990"/>
        <w:tab w:val="left" w:pos="1350"/>
      </w:tabs>
      <w:spacing w:line="400" w:lineRule="atLeast"/>
      <w:ind w:firstLine="200"/>
    </w:pPr>
    <w:rPr>
      <w:rFonts w:eastAsia="宋体"/>
      <w:sz w:val="21"/>
      <w:szCs w:val="21"/>
    </w:rPr>
  </w:style>
  <w:style w:type="paragraph" w:customStyle="1" w:styleId="268">
    <w:name w:val="样式 标题 3 + 仿宋_GB2312 小四 段前: 0 磅 段后: 0 磅"/>
    <w:basedOn w:val="4"/>
    <w:autoRedefine/>
    <w:qFormat/>
    <w:uiPriority w:val="0"/>
    <w:pPr>
      <w:widowControl/>
      <w:spacing w:before="120" w:beforeLines="50" w:line="413" w:lineRule="auto"/>
      <w:ind w:firstLine="200"/>
      <w:jc w:val="center"/>
    </w:pPr>
    <w:rPr>
      <w:rFonts w:ascii="仿宋_GB2312" w:hAnsi="Times New Roman" w:eastAsia="仿宋_GB2312" w:cs="宋体"/>
      <w:bCs/>
      <w:kern w:val="0"/>
      <w:sz w:val="24"/>
      <w:szCs w:val="20"/>
      <w:lang w:val="zh-CN" w:eastAsia="zh-CN"/>
    </w:rPr>
  </w:style>
  <w:style w:type="paragraph" w:customStyle="1" w:styleId="269">
    <w:name w:val="_Style 67"/>
    <w:basedOn w:val="1"/>
    <w:autoRedefine/>
    <w:qFormat/>
    <w:uiPriority w:val="0"/>
    <w:pPr>
      <w:widowControl/>
      <w:spacing w:after="160" w:line="240" w:lineRule="exact"/>
      <w:ind w:firstLine="200"/>
      <w:jc w:val="left"/>
    </w:pPr>
    <w:rPr>
      <w:rFonts w:ascii="楷体_GB2312" w:hAnsi="楷体_GB2312" w:eastAsia="仿宋_GB2312" w:cs="楷体_GB2312"/>
      <w:sz w:val="21"/>
      <w:szCs w:val="20"/>
    </w:rPr>
  </w:style>
  <w:style w:type="paragraph" w:customStyle="1" w:styleId="270">
    <w:name w:val="Report Level 2"/>
    <w:basedOn w:val="271"/>
    <w:next w:val="193"/>
    <w:autoRedefine/>
    <w:qFormat/>
    <w:uiPriority w:val="0"/>
    <w:pPr>
      <w:tabs>
        <w:tab w:val="left" w:pos="1080"/>
      </w:tabs>
      <w:ind w:left="0" w:firstLine="0"/>
      <w:outlineLvl w:val="1"/>
    </w:pPr>
    <w:rPr>
      <w:caps w:val="0"/>
    </w:rPr>
  </w:style>
  <w:style w:type="paragraph" w:customStyle="1" w:styleId="271">
    <w:name w:val="Report Level 1"/>
    <w:basedOn w:val="1"/>
    <w:next w:val="193"/>
    <w:autoRedefine/>
    <w:qFormat/>
    <w:uiPriority w:val="0"/>
    <w:pPr>
      <w:keepNext/>
      <w:widowControl/>
      <w:tabs>
        <w:tab w:val="left" w:pos="1080"/>
      </w:tabs>
      <w:spacing w:beforeLines="50"/>
      <w:ind w:left="1077" w:hanging="1077"/>
      <w:jc w:val="left"/>
      <w:outlineLvl w:val="0"/>
    </w:pPr>
    <w:rPr>
      <w:rFonts w:ascii="宋体" w:hAnsi="宋体" w:eastAsia="宋体"/>
      <w:b/>
      <w:caps/>
      <w:kern w:val="0"/>
      <w:sz w:val="21"/>
      <w:szCs w:val="21"/>
      <w:lang w:val="en-GB"/>
    </w:rPr>
  </w:style>
  <w:style w:type="paragraph" w:customStyle="1" w:styleId="272">
    <w:name w:val="xl51"/>
    <w:basedOn w:val="1"/>
    <w:autoRedefine/>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273">
    <w:name w:val="正文文本1"/>
    <w:autoRedefine/>
    <w:qFormat/>
    <w:uiPriority w:val="0"/>
    <w:pPr>
      <w:widowControl w:val="0"/>
      <w:autoSpaceDE w:val="0"/>
      <w:autoSpaceDN w:val="0"/>
      <w:adjustRightInd w:val="0"/>
      <w:spacing w:before="170" w:line="300" w:lineRule="atLeast"/>
      <w:ind w:left="1134" w:firstLine="420"/>
      <w:jc w:val="both"/>
    </w:pPr>
    <w:rPr>
      <w:rFonts w:ascii="Times New Roman" w:hAnsi="Times New Roman" w:eastAsia="宋体" w:cs="Times New Roman"/>
      <w:color w:val="000000"/>
      <w:sz w:val="24"/>
      <w:lang w:val="en-US" w:eastAsia="zh-CN" w:bidi="ar-SA"/>
    </w:rPr>
  </w:style>
  <w:style w:type="paragraph" w:customStyle="1" w:styleId="274">
    <w:name w:val="xl91"/>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75">
    <w:name w:val="Char1"/>
    <w:basedOn w:val="1"/>
    <w:autoRedefine/>
    <w:qFormat/>
    <w:uiPriority w:val="0"/>
    <w:pPr>
      <w:widowControl/>
      <w:ind w:firstLine="200"/>
    </w:pPr>
    <w:rPr>
      <w:rFonts w:ascii="仿宋_GB2312" w:eastAsia="仿宋_GB2312"/>
      <w:b/>
      <w:sz w:val="32"/>
      <w:szCs w:val="32"/>
    </w:rPr>
  </w:style>
  <w:style w:type="paragraph" w:customStyle="1" w:styleId="276">
    <w:name w:val="目录 31"/>
    <w:basedOn w:val="1"/>
    <w:next w:val="1"/>
    <w:autoRedefine/>
    <w:qFormat/>
    <w:uiPriority w:val="39"/>
    <w:pPr>
      <w:widowControl/>
      <w:ind w:left="840" w:leftChars="400" w:firstLine="200"/>
    </w:pPr>
    <w:rPr>
      <w:rFonts w:eastAsia="宋体"/>
      <w:sz w:val="21"/>
    </w:rPr>
  </w:style>
  <w:style w:type="paragraph" w:customStyle="1" w:styleId="277">
    <w:name w:val="_Style 10"/>
    <w:basedOn w:val="1"/>
    <w:next w:val="1"/>
    <w:autoRedefine/>
    <w:qFormat/>
    <w:uiPriority w:val="0"/>
    <w:pPr>
      <w:widowControl/>
      <w:ind w:firstLine="200"/>
    </w:pPr>
    <w:rPr>
      <w:rFonts w:eastAsia="宋体"/>
      <w:sz w:val="21"/>
    </w:rPr>
  </w:style>
  <w:style w:type="paragraph" w:customStyle="1" w:styleId="278">
    <w:name w:val="Char Char Char Char Char Char Char1"/>
    <w:basedOn w:val="1"/>
    <w:autoRedefine/>
    <w:qFormat/>
    <w:uiPriority w:val="0"/>
    <w:pPr>
      <w:widowControl/>
      <w:spacing w:after="160" w:line="240" w:lineRule="exact"/>
      <w:ind w:firstLine="200"/>
      <w:jc w:val="left"/>
    </w:pPr>
    <w:rPr>
      <w:rFonts w:ascii="Arial" w:hAnsi="Arial" w:eastAsia="Times New Roman" w:cs="Verdana"/>
      <w:b/>
      <w:kern w:val="0"/>
      <w:sz w:val="24"/>
      <w:lang w:eastAsia="en-US"/>
    </w:rPr>
  </w:style>
  <w:style w:type="paragraph" w:customStyle="1" w:styleId="279">
    <w:name w:val="Char Char Char Char Char Char Char Char Char Char Char Char Char1"/>
    <w:basedOn w:val="1"/>
    <w:autoRedefine/>
    <w:qFormat/>
    <w:uiPriority w:val="0"/>
    <w:pPr>
      <w:widowControl/>
      <w:ind w:firstLine="200"/>
    </w:pPr>
    <w:rPr>
      <w:rFonts w:ascii="仿宋_GB2312" w:eastAsia="仿宋_GB2312"/>
      <w:b/>
      <w:sz w:val="32"/>
      <w:szCs w:val="32"/>
    </w:rPr>
  </w:style>
  <w:style w:type="paragraph" w:customStyle="1" w:styleId="280">
    <w:name w:val="目录 51"/>
    <w:basedOn w:val="1"/>
    <w:next w:val="1"/>
    <w:autoRedefine/>
    <w:qFormat/>
    <w:uiPriority w:val="39"/>
    <w:pPr>
      <w:widowControl/>
      <w:ind w:left="1680" w:leftChars="800" w:firstLine="200"/>
    </w:pPr>
    <w:rPr>
      <w:rFonts w:ascii="Calibri" w:hAnsi="Calibri" w:eastAsia="宋体"/>
      <w:sz w:val="21"/>
      <w:szCs w:val="22"/>
    </w:rPr>
  </w:style>
  <w:style w:type="paragraph" w:customStyle="1" w:styleId="281">
    <w:name w:val="xl80"/>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textAlignment w:val="center"/>
    </w:pPr>
    <w:rPr>
      <w:rFonts w:ascii="宋体" w:hAnsi="宋体" w:eastAsia="宋体" w:cs="宋体"/>
      <w:kern w:val="0"/>
      <w:sz w:val="21"/>
      <w:szCs w:val="21"/>
    </w:rPr>
  </w:style>
  <w:style w:type="paragraph" w:customStyle="1" w:styleId="282">
    <w:name w:val="Style 樣式 標題 3 + (中文) MS Gothic 10.5 點 + (Latin) Times New Roman (A..."/>
    <w:basedOn w:val="1"/>
    <w:autoRedefine/>
    <w:qFormat/>
    <w:uiPriority w:val="0"/>
    <w:pPr>
      <w:keepNext/>
      <w:widowControl/>
      <w:tabs>
        <w:tab w:val="left" w:pos="2098"/>
      </w:tabs>
      <w:ind w:left="1503" w:hanging="142"/>
      <w:outlineLvl w:val="2"/>
    </w:pPr>
    <w:rPr>
      <w:rFonts w:eastAsia="PMingLiU"/>
      <w:snapToGrid w:val="0"/>
      <w:sz w:val="24"/>
      <w:lang w:val="en-AU" w:eastAsia="zh-TW"/>
    </w:rPr>
  </w:style>
  <w:style w:type="paragraph" w:customStyle="1" w:styleId="283">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284">
    <w:name w:val="重点"/>
    <w:basedOn w:val="1"/>
    <w:autoRedefine/>
    <w:qFormat/>
    <w:uiPriority w:val="0"/>
    <w:pPr>
      <w:widowControl/>
      <w:tabs>
        <w:tab w:val="left" w:pos="0"/>
        <w:tab w:val="left" w:pos="420"/>
      </w:tabs>
      <w:adjustRightInd w:val="0"/>
      <w:snapToGrid w:val="0"/>
      <w:spacing w:line="560" w:lineRule="atLeast"/>
      <w:ind w:left="420" w:hanging="420"/>
    </w:pPr>
    <w:rPr>
      <w:rFonts w:eastAsia="宋体"/>
      <w:kern w:val="24"/>
      <w:sz w:val="30"/>
      <w:szCs w:val="20"/>
    </w:rPr>
  </w:style>
  <w:style w:type="paragraph" w:customStyle="1" w:styleId="285">
    <w:name w:val="批注主题 Char Char"/>
    <w:basedOn w:val="17"/>
    <w:next w:val="17"/>
    <w:autoRedefine/>
    <w:qFormat/>
    <w:uiPriority w:val="0"/>
    <w:pPr>
      <w:widowControl/>
      <w:spacing w:line="360" w:lineRule="auto"/>
      <w:ind w:firstLine="200" w:firstLineChars="200"/>
    </w:pPr>
    <w:rPr>
      <w:b/>
      <w:szCs w:val="20"/>
    </w:rPr>
  </w:style>
  <w:style w:type="paragraph" w:customStyle="1" w:styleId="286">
    <w:name w:val="Revision"/>
    <w:autoRedefine/>
    <w:semiHidden/>
    <w:qFormat/>
    <w:uiPriority w:val="99"/>
    <w:rPr>
      <w:rFonts w:ascii="Times New Roman" w:hAnsi="Times New Roman" w:eastAsia="宋体" w:cs="Times New Roman"/>
      <w:kern w:val="2"/>
      <w:sz w:val="21"/>
      <w:szCs w:val="24"/>
      <w:lang w:val="en-US" w:eastAsia="zh-CN" w:bidi="ar-SA"/>
    </w:rPr>
  </w:style>
  <w:style w:type="paragraph" w:customStyle="1" w:styleId="287">
    <w:name w:val="retrait1"/>
    <w:basedOn w:val="1"/>
    <w:autoRedefine/>
    <w:qFormat/>
    <w:uiPriority w:val="0"/>
    <w:pPr>
      <w:widowControl/>
      <w:spacing w:before="20" w:after="20"/>
      <w:ind w:left="284" w:firstLine="200"/>
      <w:jc w:val="left"/>
    </w:pPr>
    <w:rPr>
      <w:rFonts w:ascii="Arial" w:hAnsi="Arial" w:eastAsia="宋体"/>
      <w:kern w:val="0"/>
      <w:sz w:val="24"/>
      <w:szCs w:val="20"/>
      <w:lang w:val="en-GB"/>
    </w:rPr>
  </w:style>
  <w:style w:type="paragraph" w:customStyle="1" w:styleId="288">
    <w:name w:val="Char Char Char Char Char Char Char Char Char Char"/>
    <w:basedOn w:val="1"/>
    <w:autoRedefine/>
    <w:qFormat/>
    <w:uiPriority w:val="0"/>
    <w:pPr>
      <w:widowControl/>
      <w:ind w:firstLine="200"/>
    </w:pPr>
    <w:rPr>
      <w:rFonts w:ascii="Tahoma" w:hAnsi="Tahoma" w:eastAsia="宋体" w:cs="仿宋_GB2312"/>
      <w:sz w:val="24"/>
      <w:szCs w:val="20"/>
    </w:rPr>
  </w:style>
  <w:style w:type="paragraph" w:customStyle="1" w:styleId="289">
    <w:name w:val="目录 21"/>
    <w:basedOn w:val="1"/>
    <w:next w:val="1"/>
    <w:autoRedefine/>
    <w:qFormat/>
    <w:uiPriority w:val="39"/>
    <w:pPr>
      <w:widowControl/>
      <w:tabs>
        <w:tab w:val="right" w:leader="dot" w:pos="8295"/>
      </w:tabs>
      <w:ind w:left="205" w:leftChars="205" w:firstLine="200"/>
    </w:pPr>
    <w:rPr>
      <w:rFonts w:eastAsia="宋体"/>
      <w:sz w:val="21"/>
    </w:rPr>
  </w:style>
  <w:style w:type="paragraph" w:customStyle="1" w:styleId="290">
    <w:name w:val="表格文字"/>
    <w:basedOn w:val="1"/>
    <w:autoRedefine/>
    <w:qFormat/>
    <w:uiPriority w:val="0"/>
    <w:pPr>
      <w:widowControl/>
      <w:adjustRightInd w:val="0"/>
      <w:spacing w:line="420" w:lineRule="atLeast"/>
      <w:ind w:firstLine="200"/>
      <w:jc w:val="left"/>
      <w:textAlignment w:val="baseline"/>
    </w:pPr>
    <w:rPr>
      <w:rFonts w:eastAsia="宋体"/>
      <w:kern w:val="0"/>
      <w:sz w:val="21"/>
      <w:szCs w:val="20"/>
    </w:rPr>
  </w:style>
  <w:style w:type="paragraph" w:customStyle="1" w:styleId="291">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292">
    <w:name w:val="xl49"/>
    <w:basedOn w:val="1"/>
    <w:autoRedefine/>
    <w:qFormat/>
    <w:uiPriority w:val="0"/>
    <w:pPr>
      <w:widowControl/>
      <w:pBdr>
        <w:top w:val="single" w:color="auto" w:sz="4"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293">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294">
    <w:name w:val="Char Char Char Char Char Char Char Char Char Char Char Char Char"/>
    <w:basedOn w:val="1"/>
    <w:autoRedefine/>
    <w:qFormat/>
    <w:uiPriority w:val="0"/>
    <w:pPr>
      <w:widowControl/>
      <w:ind w:firstLine="200"/>
    </w:pPr>
    <w:rPr>
      <w:rFonts w:ascii="仿宋_GB2312" w:eastAsia="仿宋_GB2312"/>
      <w:b/>
      <w:sz w:val="32"/>
      <w:szCs w:val="32"/>
    </w:rPr>
  </w:style>
  <w:style w:type="paragraph" w:customStyle="1" w:styleId="295">
    <w:name w:val="样式 标题 2 + (西文) Times New Roman (中文) 仿宋_GB2312 居中 段前: 6 磅 段后:..."/>
    <w:basedOn w:val="3"/>
    <w:autoRedefine/>
    <w:qFormat/>
    <w:uiPriority w:val="0"/>
    <w:pPr>
      <w:spacing w:after="120"/>
      <w:jc w:val="left"/>
    </w:pPr>
    <w:rPr>
      <w:rFonts w:eastAsia="仿宋_GB2312" w:cs="宋体"/>
      <w:bCs/>
      <w:smallCaps w:val="0"/>
      <w:kern w:val="2"/>
      <w:sz w:val="32"/>
      <w:lang w:val="zh-CN" w:eastAsia="zh-CN"/>
    </w:rPr>
  </w:style>
  <w:style w:type="paragraph" w:customStyle="1" w:styleId="296">
    <w:name w:val="xl22"/>
    <w:basedOn w:val="1"/>
    <w:autoRedefine/>
    <w:qFormat/>
    <w:uiPriority w:val="0"/>
    <w:pPr>
      <w:widowControl/>
      <w:spacing w:before="100" w:beforeAutospacing="1" w:after="100" w:afterAutospacing="1"/>
      <w:ind w:firstLine="200"/>
      <w:jc w:val="right"/>
      <w:textAlignment w:val="center"/>
    </w:pPr>
    <w:rPr>
      <w:rFonts w:ascii="宋体" w:hAnsi="宋体" w:eastAsia="宋体" w:cs="宋体"/>
      <w:color w:val="000000"/>
      <w:kern w:val="0"/>
      <w:sz w:val="24"/>
    </w:rPr>
  </w:style>
  <w:style w:type="paragraph" w:customStyle="1" w:styleId="297">
    <w:name w:val="标题 31"/>
    <w:basedOn w:val="1"/>
    <w:autoRedefine/>
    <w:qFormat/>
    <w:uiPriority w:val="1"/>
    <w:pPr>
      <w:widowControl/>
      <w:ind w:left="237" w:firstLine="200"/>
      <w:jc w:val="left"/>
      <w:outlineLvl w:val="3"/>
    </w:pPr>
    <w:rPr>
      <w:rFonts w:ascii="宋体" w:hAnsi="宋体" w:eastAsia="宋体"/>
      <w:kern w:val="0"/>
      <w:szCs w:val="28"/>
      <w:lang w:eastAsia="en-US"/>
    </w:rPr>
  </w:style>
  <w:style w:type="paragraph" w:customStyle="1" w:styleId="298">
    <w:name w:val="目录 91"/>
    <w:basedOn w:val="1"/>
    <w:next w:val="1"/>
    <w:autoRedefine/>
    <w:qFormat/>
    <w:uiPriority w:val="39"/>
    <w:pPr>
      <w:widowControl/>
      <w:ind w:left="3360" w:leftChars="1600" w:firstLine="200"/>
    </w:pPr>
    <w:rPr>
      <w:rFonts w:ascii="Calibri" w:hAnsi="Calibri" w:eastAsia="宋体"/>
      <w:sz w:val="21"/>
      <w:szCs w:val="22"/>
    </w:rPr>
  </w:style>
  <w:style w:type="paragraph" w:customStyle="1" w:styleId="299">
    <w:name w:val="xl8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0">
    <w:name w:val="标题333"/>
    <w:basedOn w:val="1"/>
    <w:autoRedefine/>
    <w:qFormat/>
    <w:uiPriority w:val="0"/>
    <w:pPr>
      <w:widowControl/>
      <w:ind w:firstLine="200"/>
    </w:pPr>
    <w:rPr>
      <w:rFonts w:ascii="宋体" w:hAnsi="宋体" w:eastAsia="宋体" w:cs="宋体"/>
      <w:b/>
      <w:bCs/>
      <w:sz w:val="24"/>
      <w:szCs w:val="20"/>
    </w:rPr>
  </w:style>
  <w:style w:type="paragraph" w:customStyle="1" w:styleId="301">
    <w:name w:val="xl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24"/>
    </w:rPr>
  </w:style>
  <w:style w:type="paragraph" w:customStyle="1" w:styleId="302">
    <w:name w:val="xl48"/>
    <w:basedOn w:val="1"/>
    <w:autoRedefine/>
    <w:qFormat/>
    <w:uiPriority w:val="0"/>
    <w:pPr>
      <w:widowControl/>
      <w:pBdr>
        <w:top w:val="single" w:color="auto" w:sz="4" w:space="0"/>
        <w:left w:val="single" w:color="auto" w:sz="8" w:space="0"/>
        <w:right w:val="single" w:color="auto" w:sz="4"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03">
    <w:name w:val="xl101"/>
    <w:basedOn w:val="1"/>
    <w:autoRedefine/>
    <w:qFormat/>
    <w:uiPriority w:val="0"/>
    <w:pPr>
      <w:widowControl/>
      <w:pBdr>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04">
    <w:name w:val="tableau"/>
    <w:basedOn w:val="1"/>
    <w:autoRedefine/>
    <w:qFormat/>
    <w:uiPriority w:val="0"/>
    <w:pPr>
      <w:widowControl/>
      <w:spacing w:before="20" w:after="20"/>
      <w:ind w:firstLine="200"/>
      <w:jc w:val="center"/>
    </w:pPr>
    <w:rPr>
      <w:rFonts w:ascii="Arial" w:hAnsi="Arial" w:eastAsia="宋体"/>
      <w:kern w:val="0"/>
      <w:sz w:val="16"/>
      <w:szCs w:val="20"/>
      <w:lang w:val="en-GB"/>
    </w:rPr>
  </w:style>
  <w:style w:type="paragraph" w:customStyle="1" w:styleId="305">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06">
    <w:name w:val="cucd-TB"/>
    <w:autoRedefine/>
    <w:qFormat/>
    <w:uiPriority w:val="0"/>
    <w:pPr>
      <w:spacing w:line="360" w:lineRule="auto"/>
      <w:ind w:firstLine="420"/>
      <w:jc w:val="center"/>
    </w:pPr>
    <w:rPr>
      <w:rFonts w:ascii="Times New Roman" w:hAnsi="Times New Roman" w:eastAsia="宋体" w:cs="Times New Roman"/>
      <w:kern w:val="2"/>
      <w:sz w:val="21"/>
      <w:szCs w:val="24"/>
      <w:lang w:val="en-US" w:eastAsia="zh-CN" w:bidi="ar-SA"/>
    </w:rPr>
  </w:style>
  <w:style w:type="paragraph" w:customStyle="1" w:styleId="307">
    <w:name w:val="目录 61"/>
    <w:basedOn w:val="1"/>
    <w:next w:val="1"/>
    <w:autoRedefine/>
    <w:qFormat/>
    <w:uiPriority w:val="39"/>
    <w:pPr>
      <w:widowControl/>
      <w:ind w:left="2100" w:leftChars="1000" w:firstLine="200"/>
    </w:pPr>
    <w:rPr>
      <w:rFonts w:ascii="Calibri" w:hAnsi="Calibri" w:eastAsia="宋体"/>
      <w:sz w:val="21"/>
      <w:szCs w:val="22"/>
    </w:rPr>
  </w:style>
  <w:style w:type="paragraph" w:customStyle="1" w:styleId="308">
    <w:name w:val="USE 2"/>
    <w:basedOn w:val="1"/>
    <w:autoRedefine/>
    <w:qFormat/>
    <w:uiPriority w:val="0"/>
    <w:pPr>
      <w:widowControl/>
      <w:ind w:left="4556" w:hanging="3836"/>
      <w:jc w:val="left"/>
    </w:pPr>
    <w:rPr>
      <w:rFonts w:ascii="宋体" w:hAnsi="宋体" w:eastAsia="宋体"/>
      <w:sz w:val="24"/>
      <w:szCs w:val="20"/>
    </w:rPr>
  </w:style>
  <w:style w:type="paragraph" w:customStyle="1" w:styleId="309">
    <w:name w:val="1.1.1.1"/>
    <w:basedOn w:val="1"/>
    <w:autoRedefine/>
    <w:qFormat/>
    <w:uiPriority w:val="0"/>
    <w:pPr>
      <w:widowControl/>
      <w:tabs>
        <w:tab w:val="left" w:pos="900"/>
        <w:tab w:val="left" w:pos="1134"/>
      </w:tabs>
      <w:adjustRightInd w:val="0"/>
      <w:snapToGrid w:val="0"/>
      <w:spacing w:beforeLines="50" w:afterLines="50" w:line="400" w:lineRule="atLeast"/>
      <w:ind w:left="869" w:leftChars="50" w:right="200" w:rightChars="200" w:firstLine="200"/>
      <w:textAlignment w:val="baseline"/>
    </w:pPr>
    <w:rPr>
      <w:rFonts w:ascii="Arial" w:hAnsi="Arial" w:eastAsia="宋体"/>
      <w:kern w:val="0"/>
      <w:sz w:val="24"/>
      <w:szCs w:val="20"/>
    </w:rPr>
  </w:style>
  <w:style w:type="paragraph" w:customStyle="1" w:styleId="310">
    <w:name w:val="xl31"/>
    <w:basedOn w:val="1"/>
    <w:autoRedefine/>
    <w:qFormat/>
    <w:uiPriority w:val="0"/>
    <w:pPr>
      <w:widowControl/>
      <w:spacing w:before="100" w:beforeAutospacing="1" w:after="100" w:afterAutospacing="1"/>
      <w:ind w:firstLine="200"/>
      <w:jc w:val="center"/>
      <w:textAlignment w:val="center"/>
    </w:pPr>
    <w:rPr>
      <w:rFonts w:ascii="宋体" w:hAnsi="宋体" w:eastAsia="宋体" w:cs="宋体"/>
      <w:b/>
      <w:bCs/>
      <w:color w:val="000000"/>
      <w:kern w:val="0"/>
      <w:sz w:val="32"/>
      <w:szCs w:val="32"/>
    </w:rPr>
  </w:style>
  <w:style w:type="paragraph" w:customStyle="1" w:styleId="311">
    <w:name w:val="xl58"/>
    <w:basedOn w:val="1"/>
    <w:autoRedefine/>
    <w:qFormat/>
    <w:uiPriority w:val="0"/>
    <w:pPr>
      <w:widowControl/>
      <w:pBdr>
        <w:left w:val="single" w:color="auto" w:sz="4" w:space="0"/>
        <w:bottom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12">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13">
    <w:name w:val="Char2 Char Char Char"/>
    <w:basedOn w:val="1"/>
    <w:autoRedefine/>
    <w:qFormat/>
    <w:uiPriority w:val="0"/>
    <w:pPr>
      <w:widowControl/>
      <w:spacing w:after="160" w:line="240" w:lineRule="exact"/>
      <w:ind w:firstLine="200"/>
      <w:jc w:val="left"/>
    </w:pPr>
    <w:rPr>
      <w:rFonts w:ascii="Verdana" w:hAnsi="Verdana" w:eastAsia="仿宋_GB2312"/>
      <w:kern w:val="0"/>
      <w:sz w:val="24"/>
      <w:szCs w:val="20"/>
      <w:lang w:eastAsia="en-US"/>
    </w:rPr>
  </w:style>
  <w:style w:type="paragraph" w:customStyle="1" w:styleId="314">
    <w:name w:val="附件"/>
    <w:basedOn w:val="1"/>
    <w:autoRedefine/>
    <w:qFormat/>
    <w:uiPriority w:val="0"/>
    <w:pPr>
      <w:widowControl/>
      <w:spacing w:line="480" w:lineRule="auto"/>
      <w:ind w:firstLine="200"/>
    </w:pPr>
    <w:rPr>
      <w:rFonts w:ascii="黑体" w:eastAsia="黑体"/>
      <w:b/>
      <w:sz w:val="36"/>
      <w:szCs w:val="20"/>
    </w:rPr>
  </w:style>
  <w:style w:type="paragraph" w:customStyle="1" w:styleId="315">
    <w:name w:val="样式 宋体 小四 黑色 左 行距: 1.5 倍行距"/>
    <w:basedOn w:val="1"/>
    <w:autoRedefine/>
    <w:qFormat/>
    <w:uiPriority w:val="0"/>
    <w:pPr>
      <w:widowControl/>
      <w:ind w:firstLine="200"/>
      <w:jc w:val="left"/>
    </w:pPr>
    <w:rPr>
      <w:rFonts w:ascii="宋体" w:hAnsi="宋体" w:eastAsia="宋体" w:cs="宋体"/>
      <w:color w:val="000000"/>
      <w:sz w:val="24"/>
      <w:szCs w:val="20"/>
    </w:rPr>
  </w:style>
  <w:style w:type="paragraph" w:customStyle="1" w:styleId="316">
    <w:name w:val="样式 样式 标题 3 + 仿宋_GB2312 小四 段前: 0 磅 段后: 0 磅 + 段前: 0.5 行"/>
    <w:basedOn w:val="268"/>
    <w:autoRedefine/>
    <w:qFormat/>
    <w:uiPriority w:val="0"/>
    <w:pPr>
      <w:spacing w:afterLines="50"/>
      <w:jc w:val="both"/>
    </w:pPr>
    <w:rPr>
      <w:rFonts w:ascii="宋体" w:eastAsia="宋体"/>
      <w:b w:val="0"/>
    </w:rPr>
  </w:style>
  <w:style w:type="paragraph" w:customStyle="1" w:styleId="317">
    <w:name w:val="样式 宋体 小四 段前: 5 磅 段后: 5 磅"/>
    <w:basedOn w:val="1"/>
    <w:autoRedefine/>
    <w:qFormat/>
    <w:uiPriority w:val="0"/>
    <w:pPr>
      <w:widowControl/>
      <w:spacing w:before="100" w:after="100"/>
      <w:ind w:left="2266" w:leftChars="200" w:firstLine="200"/>
    </w:pPr>
    <w:rPr>
      <w:rFonts w:ascii="宋体" w:eastAsia="宋体" w:cs="宋体"/>
      <w:sz w:val="24"/>
      <w:szCs w:val="20"/>
    </w:rPr>
  </w:style>
  <w:style w:type="paragraph" w:customStyle="1" w:styleId="318">
    <w:name w:val="Report Level 3"/>
    <w:basedOn w:val="271"/>
    <w:next w:val="193"/>
    <w:autoRedefine/>
    <w:qFormat/>
    <w:uiPriority w:val="0"/>
    <w:pPr>
      <w:tabs>
        <w:tab w:val="clear" w:pos="1080"/>
      </w:tabs>
      <w:ind w:left="0" w:firstLine="0"/>
      <w:jc w:val="both"/>
      <w:outlineLvl w:val="2"/>
    </w:pPr>
    <w:rPr>
      <w:b w:val="0"/>
      <w:caps w:val="0"/>
      <w:sz w:val="22"/>
    </w:rPr>
  </w:style>
  <w:style w:type="paragraph" w:customStyle="1" w:styleId="319">
    <w:name w:val="样式 (西文) 宋体 行距: 1.5 倍行距"/>
    <w:basedOn w:val="1"/>
    <w:autoRedefine/>
    <w:qFormat/>
    <w:uiPriority w:val="0"/>
    <w:pPr>
      <w:widowControl/>
      <w:ind w:firstLine="200"/>
    </w:pPr>
    <w:rPr>
      <w:rFonts w:ascii="宋体" w:hAnsi="宋体" w:eastAsia="宋体" w:cs="宋体"/>
      <w:sz w:val="21"/>
      <w:szCs w:val="20"/>
    </w:rPr>
  </w:style>
  <w:style w:type="paragraph" w:customStyle="1" w:styleId="320">
    <w:name w:val="xl7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21">
    <w:name w:val="1.1"/>
    <w:basedOn w:val="3"/>
    <w:autoRedefine/>
    <w:qFormat/>
    <w:uiPriority w:val="0"/>
    <w:pPr>
      <w:keepNext w:val="0"/>
      <w:keepLines w:val="0"/>
      <w:autoSpaceDE w:val="0"/>
      <w:autoSpaceDN w:val="0"/>
      <w:adjustRightInd w:val="0"/>
      <w:spacing w:before="0" w:after="0"/>
      <w:jc w:val="left"/>
      <w:outlineLvl w:val="2"/>
    </w:pPr>
    <w:rPr>
      <w:rFonts w:ascii="宋体" w:hAnsi="宋体" w:eastAsia="宋体"/>
      <w:b w:val="0"/>
      <w:smallCaps w:val="0"/>
      <w:sz w:val="21"/>
      <w:lang w:val="zh-CN" w:eastAsia="zh-CN"/>
    </w:rPr>
  </w:style>
  <w:style w:type="paragraph" w:customStyle="1" w:styleId="322">
    <w:name w:val="样式 标题 1 + 黑体 三号 非加粗 居中 段前: 6 磅 段后: 6 磅 行距: 固定值 20 磅"/>
    <w:basedOn w:val="2"/>
    <w:autoRedefine/>
    <w:qFormat/>
    <w:uiPriority w:val="0"/>
    <w:pPr>
      <w:keepLines/>
      <w:widowControl/>
      <w:adjustRightInd/>
      <w:spacing w:before="120" w:after="120" w:line="400" w:lineRule="exact"/>
      <w:ind w:left="0" w:firstLine="200" w:firstLineChars="200"/>
      <w:jc w:val="center"/>
      <w:textAlignment w:val="auto"/>
    </w:pPr>
    <w:rPr>
      <w:rFonts w:eastAsia="黑体" w:cs="宋体"/>
      <w:b w:val="0"/>
      <w:kern w:val="44"/>
      <w:szCs w:val="20"/>
      <w:lang w:val="zh-CN" w:eastAsia="zh-CN"/>
    </w:rPr>
  </w:style>
  <w:style w:type="paragraph" w:customStyle="1" w:styleId="323">
    <w:name w:val="需求书用目录1"/>
    <w:basedOn w:val="1"/>
    <w:autoRedefine/>
    <w:qFormat/>
    <w:uiPriority w:val="0"/>
    <w:pPr>
      <w:widowControl/>
      <w:spacing w:before="360" w:after="40" w:line="500" w:lineRule="exact"/>
      <w:ind w:left="538" w:leftChars="256" w:firstLine="2803" w:firstLineChars="1000"/>
    </w:pPr>
    <w:rPr>
      <w:rFonts w:ascii="宋体" w:eastAsia="宋体"/>
      <w:b/>
      <w:szCs w:val="20"/>
    </w:rPr>
  </w:style>
  <w:style w:type="paragraph" w:customStyle="1" w:styleId="324">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25">
    <w:name w:val="样式 表格 + 加粗"/>
    <w:basedOn w:val="179"/>
    <w:autoRedefine/>
    <w:qFormat/>
    <w:uiPriority w:val="0"/>
    <w:rPr>
      <w:b/>
      <w:bCs/>
    </w:rPr>
  </w:style>
  <w:style w:type="paragraph" w:customStyle="1" w:styleId="326">
    <w:name w:val="xl52"/>
    <w:basedOn w:val="1"/>
    <w:autoRedefine/>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327">
    <w:name w:val="文件正文"/>
    <w:basedOn w:val="1"/>
    <w:qFormat/>
    <w:uiPriority w:val="0"/>
    <w:pPr>
      <w:widowControl/>
      <w:ind w:firstLine="480"/>
    </w:pPr>
    <w:rPr>
      <w:rFonts w:eastAsia="仿宋_GB2312"/>
      <w:sz w:val="24"/>
      <w:szCs w:val="20"/>
    </w:rPr>
  </w:style>
  <w:style w:type="paragraph" w:customStyle="1" w:styleId="328">
    <w:name w:val="xl47"/>
    <w:basedOn w:val="1"/>
    <w:autoRedefine/>
    <w:qFormat/>
    <w:uiPriority w:val="0"/>
    <w:pPr>
      <w:widowControl/>
      <w:pBdr>
        <w:bottom w:val="single" w:color="auto" w:sz="8" w:space="0"/>
      </w:pBdr>
      <w:spacing w:before="100" w:beforeAutospacing="1" w:after="100" w:afterAutospacing="1"/>
      <w:ind w:firstLine="200"/>
      <w:jc w:val="center"/>
      <w:textAlignment w:val="center"/>
    </w:pPr>
    <w:rPr>
      <w:rFonts w:hint="eastAsia" w:ascii="隶书" w:hAnsi="宋体" w:eastAsia="隶书"/>
      <w:kern w:val="0"/>
      <w:sz w:val="44"/>
      <w:szCs w:val="44"/>
    </w:rPr>
  </w:style>
  <w:style w:type="paragraph" w:customStyle="1" w:styleId="329">
    <w:name w:val="招标文件1.1.1.1"/>
    <w:basedOn w:val="1"/>
    <w:autoRedefine/>
    <w:qFormat/>
    <w:uiPriority w:val="0"/>
    <w:pPr>
      <w:widowControl/>
      <w:spacing w:before="120" w:after="120" w:line="480" w:lineRule="exact"/>
      <w:ind w:left="284" w:firstLine="200"/>
      <w:jc w:val="left"/>
      <w:outlineLvl w:val="4"/>
    </w:pPr>
    <w:rPr>
      <w:rFonts w:ascii="宋体" w:eastAsia="宋体"/>
      <w:b/>
      <w:spacing w:val="10"/>
      <w:w w:val="95"/>
      <w:sz w:val="24"/>
      <w:szCs w:val="21"/>
    </w:rPr>
  </w:style>
  <w:style w:type="paragraph" w:customStyle="1" w:styleId="330">
    <w:name w:val="2册标题4"/>
    <w:basedOn w:val="1"/>
    <w:next w:val="1"/>
    <w:autoRedefine/>
    <w:qFormat/>
    <w:uiPriority w:val="0"/>
    <w:pPr>
      <w:widowControl/>
      <w:spacing w:beforeLines="50" w:afterLines="50" w:line="300" w:lineRule="auto"/>
      <w:ind w:left="420" w:leftChars="200" w:firstLine="200"/>
      <w:outlineLvl w:val="3"/>
    </w:pPr>
    <w:rPr>
      <w:rFonts w:ascii="Arial" w:hAnsi="Arial" w:eastAsia="幼圆" w:cs="Arial"/>
      <w:b/>
      <w:sz w:val="24"/>
    </w:rPr>
  </w:style>
  <w:style w:type="paragraph" w:customStyle="1" w:styleId="331">
    <w:name w:val="font7"/>
    <w:basedOn w:val="1"/>
    <w:autoRedefine/>
    <w:qFormat/>
    <w:uiPriority w:val="0"/>
    <w:pPr>
      <w:widowControl/>
      <w:spacing w:before="100" w:beforeAutospacing="1" w:after="100" w:afterAutospacing="1"/>
      <w:ind w:firstLine="200"/>
      <w:jc w:val="left"/>
    </w:pPr>
    <w:rPr>
      <w:rFonts w:eastAsia="宋体"/>
      <w:kern w:val="0"/>
      <w:sz w:val="20"/>
      <w:szCs w:val="20"/>
    </w:rPr>
  </w:style>
  <w:style w:type="paragraph" w:customStyle="1" w:styleId="332">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33">
    <w:name w:val="xl4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34">
    <w:name w:val="Char4"/>
    <w:basedOn w:val="1"/>
    <w:autoRedefine/>
    <w:qFormat/>
    <w:uiPriority w:val="0"/>
    <w:pPr>
      <w:widowControl/>
      <w:ind w:firstLine="200"/>
    </w:pPr>
    <w:rPr>
      <w:rFonts w:eastAsia="宋体"/>
      <w:sz w:val="21"/>
    </w:rPr>
  </w:style>
  <w:style w:type="paragraph" w:customStyle="1" w:styleId="335">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336">
    <w:name w:val="Char Char Char Char Char Char Char Char Char Char Char Char1 Char"/>
    <w:basedOn w:val="15"/>
    <w:autoRedefine/>
    <w:qFormat/>
    <w:uiPriority w:val="0"/>
    <w:pPr>
      <w:widowControl/>
      <w:ind w:firstLine="200"/>
    </w:pPr>
    <w:rPr>
      <w:rFonts w:eastAsia="宋体"/>
      <w:sz w:val="21"/>
      <w:szCs w:val="20"/>
    </w:rPr>
  </w:style>
  <w:style w:type="paragraph" w:customStyle="1" w:styleId="337">
    <w:name w:val="修订1"/>
    <w:autoRedefine/>
    <w:qFormat/>
    <w:uiPriority w:val="99"/>
    <w:pPr>
      <w:spacing w:line="360" w:lineRule="auto"/>
      <w:ind w:firstLine="420"/>
      <w:jc w:val="both"/>
    </w:pPr>
    <w:rPr>
      <w:rFonts w:ascii="Times New Roman" w:hAnsi="Times New Roman" w:eastAsia="宋体" w:cs="Times New Roman"/>
      <w:kern w:val="2"/>
      <w:sz w:val="21"/>
      <w:szCs w:val="24"/>
      <w:lang w:val="en-US" w:eastAsia="zh-CN" w:bidi="ar-SA"/>
    </w:rPr>
  </w:style>
  <w:style w:type="paragraph" w:customStyle="1" w:styleId="338">
    <w:name w:val="标题3"/>
    <w:basedOn w:val="2"/>
    <w:autoRedefine/>
    <w:qFormat/>
    <w:uiPriority w:val="0"/>
    <w:pPr>
      <w:keepLines/>
      <w:widowControl/>
      <w:adjustRightInd/>
      <w:spacing w:before="340" w:beforeLines="50" w:line="312" w:lineRule="auto"/>
      <w:ind w:left="0" w:firstLine="200" w:firstLineChars="200"/>
      <w:jc w:val="center"/>
      <w:textAlignment w:val="auto"/>
    </w:pPr>
    <w:rPr>
      <w:rFonts w:ascii="宋体" w:hAnsi="Times New Roman" w:eastAsia="宋体"/>
      <w:kern w:val="44"/>
      <w:sz w:val="24"/>
      <w:szCs w:val="20"/>
      <w:lang w:val="zh-CN" w:eastAsia="zh-CN"/>
    </w:rPr>
  </w:style>
  <w:style w:type="paragraph" w:customStyle="1" w:styleId="339">
    <w:name w:val="我的目录"/>
    <w:basedOn w:val="340"/>
    <w:autoRedefine/>
    <w:qFormat/>
    <w:uiPriority w:val="0"/>
    <w:pPr>
      <w:tabs>
        <w:tab w:val="right" w:leader="dot" w:pos="8296"/>
        <w:tab w:val="right" w:leader="dot" w:pos="8820"/>
      </w:tabs>
      <w:spacing w:before="120" w:after="120" w:line="240" w:lineRule="auto"/>
      <w:ind w:left="0" w:leftChars="0" w:firstLine="0" w:firstLineChars="0"/>
      <w:jc w:val="left"/>
    </w:pPr>
    <w:rPr>
      <w:b/>
      <w:caps/>
      <w:sz w:val="20"/>
      <w:szCs w:val="20"/>
    </w:rPr>
  </w:style>
  <w:style w:type="paragraph" w:customStyle="1" w:styleId="340">
    <w:name w:val="目录 11"/>
    <w:basedOn w:val="1"/>
    <w:next w:val="1"/>
    <w:autoRedefine/>
    <w:qFormat/>
    <w:uiPriority w:val="39"/>
    <w:pPr>
      <w:widowControl/>
      <w:tabs>
        <w:tab w:val="right" w:leader="dot" w:pos="8296"/>
      </w:tabs>
      <w:ind w:left="850" w:leftChars="1" w:hanging="848" w:hangingChars="404"/>
      <w:jc w:val="center"/>
    </w:pPr>
    <w:rPr>
      <w:rFonts w:eastAsia="宋体"/>
      <w:sz w:val="21"/>
    </w:rPr>
  </w:style>
  <w:style w:type="paragraph" w:customStyle="1" w:styleId="341">
    <w:name w:val="p8"/>
    <w:basedOn w:val="1"/>
    <w:autoRedefine/>
    <w:qFormat/>
    <w:uiPriority w:val="0"/>
    <w:pPr>
      <w:widowControl/>
      <w:spacing w:line="30" w:lineRule="atLeast"/>
      <w:ind w:firstLine="200"/>
      <w:jc w:val="left"/>
    </w:pPr>
    <w:rPr>
      <w:rFonts w:hint="eastAsia" w:ascii="宋体" w:hAnsi="宋体" w:eastAsia="宋体" w:cs="宋体"/>
      <w:kern w:val="0"/>
      <w:sz w:val="21"/>
      <w:szCs w:val="21"/>
    </w:rPr>
  </w:style>
  <w:style w:type="paragraph" w:customStyle="1" w:styleId="342">
    <w:name w:val="青岛正文"/>
    <w:basedOn w:val="1"/>
    <w:autoRedefine/>
    <w:qFormat/>
    <w:uiPriority w:val="0"/>
    <w:pPr>
      <w:widowControl/>
      <w:ind w:firstLine="200"/>
    </w:pPr>
    <w:rPr>
      <w:rFonts w:eastAsia="宋体"/>
    </w:rPr>
  </w:style>
  <w:style w:type="paragraph" w:customStyle="1" w:styleId="343">
    <w:name w:val="font13"/>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000000"/>
      <w:kern w:val="0"/>
      <w:sz w:val="18"/>
      <w:szCs w:val="18"/>
    </w:rPr>
  </w:style>
  <w:style w:type="paragraph" w:customStyle="1" w:styleId="344">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5">
    <w:name w:val="xl95"/>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46">
    <w:name w:val="USE 3"/>
    <w:basedOn w:val="1"/>
    <w:autoRedefine/>
    <w:qFormat/>
    <w:uiPriority w:val="0"/>
    <w:pPr>
      <w:widowControl/>
      <w:ind w:left="710" w:hanging="170"/>
      <w:jc w:val="left"/>
    </w:pPr>
    <w:rPr>
      <w:rFonts w:ascii="宋体" w:hAnsi="宋体" w:eastAsia="宋体"/>
      <w:sz w:val="24"/>
      <w:szCs w:val="20"/>
    </w:rPr>
  </w:style>
  <w:style w:type="paragraph" w:customStyle="1" w:styleId="347">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48">
    <w:name w:val="xl60"/>
    <w:basedOn w:val="1"/>
    <w:autoRedefine/>
    <w:qFormat/>
    <w:uiPriority w:val="0"/>
    <w:pPr>
      <w:widowControl/>
      <w:pBdr>
        <w:top w:val="single" w:color="auto" w:sz="4" w:space="0"/>
        <w:left w:val="single" w:color="auto" w:sz="4" w:space="0"/>
        <w:bottom w:val="single" w:color="auto" w:sz="4" w:space="0"/>
      </w:pBdr>
      <w:spacing w:before="100" w:after="100"/>
      <w:ind w:firstLine="200"/>
      <w:jc w:val="center"/>
      <w:textAlignment w:val="center"/>
    </w:pPr>
    <w:rPr>
      <w:rFonts w:eastAsia="Arial Unicode MS"/>
      <w:kern w:val="0"/>
      <w:sz w:val="21"/>
      <w:szCs w:val="20"/>
    </w:rPr>
  </w:style>
  <w:style w:type="paragraph" w:customStyle="1" w:styleId="349">
    <w:name w:val="标题 41"/>
    <w:basedOn w:val="1"/>
    <w:autoRedefine/>
    <w:qFormat/>
    <w:uiPriority w:val="1"/>
    <w:pPr>
      <w:widowControl/>
      <w:ind w:left="522" w:firstLine="200"/>
      <w:jc w:val="left"/>
      <w:outlineLvl w:val="4"/>
    </w:pPr>
    <w:rPr>
      <w:rFonts w:eastAsia="Times New Roman"/>
      <w:b/>
      <w:bCs/>
      <w:kern w:val="0"/>
      <w:sz w:val="21"/>
      <w:szCs w:val="21"/>
      <w:lang w:eastAsia="en-US"/>
    </w:rPr>
  </w:style>
  <w:style w:type="paragraph" w:customStyle="1" w:styleId="350">
    <w:name w:val="zhengwen"/>
    <w:basedOn w:val="1"/>
    <w:autoRedefine/>
    <w:qFormat/>
    <w:uiPriority w:val="0"/>
    <w:pPr>
      <w:widowControl/>
      <w:tabs>
        <w:tab w:val="left" w:pos="1145"/>
      </w:tabs>
      <w:adjustRightInd w:val="0"/>
      <w:snapToGrid w:val="0"/>
      <w:spacing w:line="520" w:lineRule="exact"/>
      <w:ind w:left="1145" w:hanging="720"/>
    </w:pPr>
    <w:rPr>
      <w:rFonts w:eastAsia="宋体"/>
      <w:bCs/>
    </w:rPr>
  </w:style>
  <w:style w:type="paragraph" w:customStyle="1" w:styleId="351">
    <w:name w:val="font8"/>
    <w:basedOn w:val="1"/>
    <w:autoRedefine/>
    <w:qFormat/>
    <w:uiPriority w:val="0"/>
    <w:pPr>
      <w:widowControl/>
      <w:spacing w:before="100" w:beforeAutospacing="1" w:after="100" w:afterAutospacing="1"/>
      <w:ind w:firstLine="200"/>
      <w:jc w:val="left"/>
    </w:pPr>
    <w:rPr>
      <w:rFonts w:hint="eastAsia" w:ascii="楷体_GB2312" w:hAnsi="宋体" w:eastAsia="楷体_GB2312"/>
      <w:kern w:val="0"/>
      <w:sz w:val="20"/>
      <w:szCs w:val="20"/>
    </w:rPr>
  </w:style>
  <w:style w:type="paragraph" w:customStyle="1" w:styleId="352">
    <w:name w:val="1册标题1"/>
    <w:basedOn w:val="1"/>
    <w:next w:val="1"/>
    <w:autoRedefine/>
    <w:qFormat/>
    <w:uiPriority w:val="0"/>
    <w:pPr>
      <w:widowControl/>
      <w:spacing w:beforeLines="50" w:afterLines="50" w:line="300" w:lineRule="auto"/>
      <w:ind w:firstLine="200"/>
      <w:jc w:val="center"/>
      <w:outlineLvl w:val="0"/>
    </w:pPr>
    <w:rPr>
      <w:rFonts w:ascii="Arial" w:hAnsi="Arial" w:eastAsia="黑体"/>
      <w:b/>
      <w:bCs/>
      <w:sz w:val="48"/>
      <w:szCs w:val="20"/>
    </w:rPr>
  </w:style>
  <w:style w:type="paragraph" w:customStyle="1" w:styleId="353">
    <w:name w:val="青岛标题3"/>
    <w:basedOn w:val="4"/>
    <w:autoRedefine/>
    <w:qFormat/>
    <w:uiPriority w:val="0"/>
    <w:pPr>
      <w:widowControl/>
      <w:spacing w:before="120" w:after="120" w:line="500" w:lineRule="exact"/>
      <w:ind w:firstLine="200"/>
      <w:outlineLvl w:val="1"/>
    </w:pPr>
    <w:rPr>
      <w:rFonts w:ascii="Times New Roman" w:hAnsi="Times New Roman" w:eastAsia="宋体"/>
      <w:bCs/>
      <w:sz w:val="24"/>
      <w:szCs w:val="32"/>
      <w:lang w:val="zh-CN" w:eastAsia="zh-CN"/>
    </w:rPr>
  </w:style>
  <w:style w:type="paragraph" w:customStyle="1" w:styleId="354">
    <w:name w:val="条文 表"/>
    <w:next w:val="1"/>
    <w:autoRedefine/>
    <w:qFormat/>
    <w:uiPriority w:val="0"/>
    <w:pPr>
      <w:spacing w:line="360" w:lineRule="auto"/>
      <w:ind w:left="3360" w:hanging="420"/>
      <w:jc w:val="center"/>
    </w:pPr>
    <w:rPr>
      <w:rFonts w:ascii="Times New Roman" w:hAnsi="Times New Roman" w:eastAsia="黑体" w:cs="Times New Roman"/>
      <w:sz w:val="21"/>
      <w:lang w:val="en-US" w:eastAsia="zh-CN" w:bidi="ar-SA"/>
    </w:rPr>
  </w:style>
  <w:style w:type="paragraph" w:customStyle="1" w:styleId="355">
    <w:name w:val="xl94"/>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356">
    <w:name w:val="font9"/>
    <w:basedOn w:val="1"/>
    <w:autoRedefine/>
    <w:qFormat/>
    <w:uiPriority w:val="0"/>
    <w:pPr>
      <w:widowControl/>
      <w:spacing w:before="100" w:beforeAutospacing="1" w:after="100" w:afterAutospacing="1"/>
      <w:ind w:firstLine="200"/>
      <w:jc w:val="left"/>
    </w:pPr>
    <w:rPr>
      <w:rFonts w:hint="eastAsia" w:ascii="宋体" w:hAnsi="宋体" w:eastAsia="宋体" w:cs="Arial Unicode MS"/>
      <w:color w:val="FF0000"/>
      <w:kern w:val="0"/>
      <w:sz w:val="20"/>
      <w:szCs w:val="20"/>
    </w:rPr>
  </w:style>
  <w:style w:type="paragraph" w:customStyle="1" w:styleId="357">
    <w:name w:val="font0"/>
    <w:basedOn w:val="1"/>
    <w:autoRedefine/>
    <w:qFormat/>
    <w:uiPriority w:val="0"/>
    <w:pPr>
      <w:widowControl/>
      <w:spacing w:before="100" w:beforeAutospacing="1" w:after="100" w:afterAutospacing="1"/>
      <w:ind w:firstLine="200"/>
      <w:jc w:val="left"/>
    </w:pPr>
    <w:rPr>
      <w:rFonts w:hint="eastAsia" w:ascii="宋体" w:hAnsi="宋体" w:eastAsia="宋体"/>
      <w:kern w:val="0"/>
      <w:sz w:val="24"/>
    </w:rPr>
  </w:style>
  <w:style w:type="paragraph" w:customStyle="1" w:styleId="358">
    <w:name w:val="孙（1）"/>
    <w:autoRedefine/>
    <w:qFormat/>
    <w:uiPriority w:val="0"/>
    <w:pPr>
      <w:spacing w:before="100" w:after="100" w:line="360" w:lineRule="auto"/>
      <w:ind w:firstLine="420"/>
      <w:jc w:val="both"/>
      <w:outlineLvl w:val="1"/>
    </w:pPr>
    <w:rPr>
      <w:rFonts w:ascii="Times New Roman" w:hAnsi="Times New Roman" w:eastAsia="宋体" w:cs="Times New Roman"/>
      <w:b/>
      <w:sz w:val="24"/>
      <w:szCs w:val="24"/>
      <w:lang w:val="en-US" w:eastAsia="zh-CN" w:bidi="ar-SA"/>
    </w:rPr>
  </w:style>
  <w:style w:type="paragraph" w:customStyle="1" w:styleId="359">
    <w:name w:val="条文 0"/>
    <w:next w:val="1"/>
    <w:autoRedefine/>
    <w:qFormat/>
    <w:uiPriority w:val="0"/>
    <w:pPr>
      <w:spacing w:before="240" w:after="240" w:line="360" w:lineRule="auto"/>
      <w:ind w:left="420" w:hanging="420"/>
      <w:jc w:val="both"/>
    </w:pPr>
    <w:rPr>
      <w:rFonts w:ascii="Times New Roman" w:hAnsi="Times New Roman" w:eastAsia="黑体" w:cs="Times New Roman"/>
      <w:sz w:val="21"/>
      <w:lang w:val="en-US" w:eastAsia="zh-CN" w:bidi="ar-SA"/>
    </w:rPr>
  </w:style>
  <w:style w:type="paragraph" w:customStyle="1" w:styleId="360">
    <w:name w:val="xl8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1">
    <w:name w:val="样式3"/>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2">
    <w:name w:val="xl96"/>
    <w:basedOn w:val="1"/>
    <w:autoRedefine/>
    <w:qFormat/>
    <w:uiPriority w:val="0"/>
    <w:pPr>
      <w:widowControl/>
      <w:spacing w:before="100" w:beforeAutospacing="1" w:after="100" w:afterAutospacing="1"/>
      <w:ind w:firstLine="200"/>
      <w:jc w:val="left"/>
      <w:textAlignment w:val="center"/>
    </w:pPr>
    <w:rPr>
      <w:rFonts w:ascii="宋体" w:hAnsi="宋体" w:eastAsia="宋体" w:cs="宋体"/>
      <w:kern w:val="0"/>
      <w:sz w:val="24"/>
    </w:rPr>
  </w:style>
  <w:style w:type="paragraph" w:customStyle="1" w:styleId="363">
    <w:name w:val="样式1"/>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64">
    <w:name w:val="样式 样式 首行缩进:  2 字符 段前: 4.65 磅 + 首行缩进:  2 字符"/>
    <w:basedOn w:val="1"/>
    <w:autoRedefine/>
    <w:qFormat/>
    <w:uiPriority w:val="0"/>
    <w:pPr>
      <w:widowControl/>
      <w:topLinePunct/>
      <w:spacing w:before="93"/>
      <w:ind w:firstLine="480"/>
    </w:pPr>
    <w:rPr>
      <w:rFonts w:eastAsia="宋体" w:cs="宋体"/>
      <w:sz w:val="24"/>
      <w:szCs w:val="20"/>
    </w:rPr>
  </w:style>
  <w:style w:type="paragraph" w:customStyle="1" w:styleId="36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eastAsia="宋体"/>
      <w:kern w:val="0"/>
      <w:sz w:val="20"/>
      <w:szCs w:val="20"/>
    </w:rPr>
  </w:style>
  <w:style w:type="paragraph" w:customStyle="1" w:styleId="366">
    <w:name w:val="xl4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67">
    <w:name w:val="纯文本1"/>
    <w:basedOn w:val="1"/>
    <w:autoRedefine/>
    <w:qFormat/>
    <w:uiPriority w:val="0"/>
    <w:pPr>
      <w:widowControl/>
      <w:ind w:firstLine="200"/>
    </w:pPr>
    <w:rPr>
      <w:rFonts w:ascii="宋体" w:hAnsi="Courier New" w:eastAsia="宋体" w:cs="Courier New"/>
      <w:sz w:val="21"/>
      <w:szCs w:val="21"/>
    </w:rPr>
  </w:style>
  <w:style w:type="paragraph" w:customStyle="1" w:styleId="368">
    <w:name w:val="xl99"/>
    <w:basedOn w:val="1"/>
    <w:autoRedefine/>
    <w:qFormat/>
    <w:uiPriority w:val="0"/>
    <w:pPr>
      <w:widowControl/>
      <w:pBdr>
        <w:left w:val="single" w:color="auto"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69">
    <w:name w:val="xl61"/>
    <w:basedOn w:val="1"/>
    <w:autoRedefine/>
    <w:qFormat/>
    <w:uiPriority w:val="0"/>
    <w:pPr>
      <w:widowControl/>
      <w:pBdr>
        <w:left w:val="single" w:color="auto" w:sz="4" w:space="0"/>
        <w:right w:val="single" w:color="auto" w:sz="4" w:space="0"/>
      </w:pBdr>
      <w:spacing w:before="100" w:beforeAutospacing="1" w:after="100" w:afterAutospacing="1"/>
      <w:ind w:firstLine="200"/>
      <w:jc w:val="center"/>
    </w:pPr>
    <w:rPr>
      <w:rFonts w:ascii="宋体" w:hAnsi="宋体" w:eastAsia="宋体"/>
      <w:kern w:val="0"/>
      <w:sz w:val="18"/>
      <w:szCs w:val="18"/>
    </w:rPr>
  </w:style>
  <w:style w:type="paragraph" w:customStyle="1" w:styleId="370">
    <w:name w:val="Retrait 1"/>
    <w:basedOn w:val="13"/>
    <w:autoRedefine/>
    <w:qFormat/>
    <w:uiPriority w:val="0"/>
    <w:pPr>
      <w:widowControl/>
      <w:adjustRightInd/>
      <w:spacing w:after="240" w:line="360" w:lineRule="auto"/>
      <w:ind w:left="1134" w:firstLine="0" w:firstLineChars="0"/>
      <w:jc w:val="left"/>
      <w:textAlignment w:val="auto"/>
    </w:pPr>
    <w:rPr>
      <w:rFonts w:ascii="Palatino" w:hAnsi="Palatino" w:eastAsia="宋体"/>
      <w:sz w:val="24"/>
      <w:lang w:val="en-GB"/>
    </w:rPr>
  </w:style>
  <w:style w:type="paragraph" w:customStyle="1" w:styleId="371">
    <w:name w:val="需求书2"/>
    <w:basedOn w:val="1"/>
    <w:autoRedefine/>
    <w:qFormat/>
    <w:uiPriority w:val="0"/>
    <w:pPr>
      <w:widowControl/>
      <w:spacing w:line="500" w:lineRule="exact"/>
      <w:ind w:left="735" w:hanging="735"/>
    </w:pPr>
    <w:rPr>
      <w:rFonts w:ascii="黑体" w:eastAsia="黑体"/>
      <w:sz w:val="21"/>
      <w:szCs w:val="20"/>
    </w:rPr>
  </w:style>
  <w:style w:type="paragraph" w:customStyle="1" w:styleId="372">
    <w:name w:val="样式 宋体 小四 黑色 左 行距: 1.5 倍行距1"/>
    <w:basedOn w:val="1"/>
    <w:autoRedefine/>
    <w:qFormat/>
    <w:uiPriority w:val="0"/>
    <w:pPr>
      <w:widowControl/>
      <w:ind w:firstLine="200"/>
      <w:jc w:val="left"/>
    </w:pPr>
    <w:rPr>
      <w:rFonts w:ascii="宋体" w:hAnsi="宋体" w:eastAsia="宋体" w:cs="宋体"/>
      <w:color w:val="000000"/>
      <w:sz w:val="24"/>
      <w:szCs w:val="20"/>
    </w:rPr>
  </w:style>
  <w:style w:type="paragraph" w:customStyle="1" w:styleId="373">
    <w:name w:val="Char Char Char Char2"/>
    <w:basedOn w:val="1"/>
    <w:autoRedefine/>
    <w:qFormat/>
    <w:uiPriority w:val="0"/>
    <w:pPr>
      <w:widowControl/>
      <w:tabs>
        <w:tab w:val="left" w:pos="1080"/>
      </w:tabs>
      <w:ind w:left="1078" w:leftChars="343" w:right="210" w:rightChars="100" w:hanging="358" w:hangingChars="149"/>
    </w:pPr>
    <w:rPr>
      <w:rFonts w:eastAsia="宋体"/>
      <w:sz w:val="24"/>
      <w:szCs w:val="20"/>
    </w:rPr>
  </w:style>
  <w:style w:type="paragraph" w:customStyle="1" w:styleId="374">
    <w:name w:val="xl46"/>
    <w:basedOn w:val="1"/>
    <w:autoRedefine/>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黑体" w:hAnsi="宋体" w:eastAsia="黑体"/>
      <w:kern w:val="0"/>
      <w:sz w:val="24"/>
    </w:rPr>
  </w:style>
  <w:style w:type="paragraph" w:customStyle="1" w:styleId="375">
    <w:name w:val="标题 11"/>
    <w:basedOn w:val="1"/>
    <w:autoRedefine/>
    <w:qFormat/>
    <w:uiPriority w:val="1"/>
    <w:pPr>
      <w:widowControl/>
      <w:ind w:left="3" w:firstLine="200"/>
      <w:jc w:val="left"/>
      <w:outlineLvl w:val="1"/>
    </w:pPr>
    <w:rPr>
      <w:rFonts w:ascii="Microsoft JhengHei" w:hAnsi="Microsoft JhengHei" w:eastAsia="Microsoft JhengHei"/>
      <w:b/>
      <w:bCs/>
      <w:kern w:val="0"/>
      <w:sz w:val="44"/>
      <w:szCs w:val="44"/>
      <w:lang w:eastAsia="en-US"/>
    </w:rPr>
  </w:style>
  <w:style w:type="paragraph" w:customStyle="1" w:styleId="376">
    <w:name w:val="样式 USE 1 + 行距: 单倍行距"/>
    <w:basedOn w:val="1"/>
    <w:autoRedefine/>
    <w:qFormat/>
    <w:uiPriority w:val="0"/>
    <w:pPr>
      <w:widowControl/>
      <w:spacing w:line="180" w:lineRule="atLeast"/>
      <w:ind w:firstLine="200"/>
      <w:jc w:val="left"/>
    </w:pPr>
    <w:rPr>
      <w:rFonts w:ascii="宋体" w:hAnsi="宋体" w:eastAsia="宋体" w:cs="宋体"/>
      <w:b/>
      <w:bCs/>
      <w:sz w:val="24"/>
      <w:szCs w:val="20"/>
    </w:rPr>
  </w:style>
  <w:style w:type="paragraph" w:customStyle="1" w:styleId="377">
    <w:name w:val="xl55"/>
    <w:basedOn w:val="1"/>
    <w:autoRedefine/>
    <w:qFormat/>
    <w:uiPriority w:val="0"/>
    <w:pPr>
      <w:widowControl/>
      <w:pBdr>
        <w:top w:val="single" w:color="auto" w:sz="8"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78">
    <w:name w:val="Body text 1"/>
    <w:basedOn w:val="273"/>
    <w:autoRedefine/>
    <w:qFormat/>
    <w:uiPriority w:val="0"/>
    <w:pPr>
      <w:tabs>
        <w:tab w:val="left" w:pos="1134"/>
      </w:tabs>
      <w:ind w:hanging="1134"/>
    </w:pPr>
  </w:style>
  <w:style w:type="paragraph" w:customStyle="1" w:styleId="379">
    <w:name w:val="xl100"/>
    <w:basedOn w:val="1"/>
    <w:autoRedefine/>
    <w:qFormat/>
    <w:uiPriority w:val="0"/>
    <w:pPr>
      <w:widowControl/>
      <w:pBdr>
        <w:top w:val="single" w:color="auto" w:sz="4" w:space="0"/>
        <w:left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80">
    <w:name w:val="表格"/>
    <w:basedOn w:val="1"/>
    <w:autoRedefine/>
    <w:qFormat/>
    <w:uiPriority w:val="0"/>
    <w:pPr>
      <w:widowControl/>
      <w:ind w:firstLine="200"/>
      <w:jc w:val="center"/>
      <w:textAlignment w:val="center"/>
    </w:pPr>
    <w:rPr>
      <w:rFonts w:ascii="华文细黑" w:hAnsi="华文细黑" w:eastAsia="宋体"/>
      <w:kern w:val="0"/>
      <w:sz w:val="21"/>
      <w:szCs w:val="20"/>
    </w:rPr>
  </w:style>
  <w:style w:type="paragraph" w:customStyle="1" w:styleId="381">
    <w:name w:val="样式 纯文本 + 居中 行距: 最小值 9 磅"/>
    <w:basedOn w:val="26"/>
    <w:autoRedefine/>
    <w:qFormat/>
    <w:uiPriority w:val="0"/>
    <w:pPr>
      <w:widowControl/>
      <w:spacing w:line="180" w:lineRule="atLeast"/>
      <w:ind w:firstLine="200"/>
      <w:jc w:val="left"/>
    </w:pPr>
    <w:rPr>
      <w:rFonts w:cs="宋体"/>
      <w:kern w:val="2"/>
      <w:sz w:val="24"/>
    </w:rPr>
  </w:style>
  <w:style w:type="paragraph" w:customStyle="1" w:styleId="382">
    <w:name w:val="cucd-4"/>
    <w:next w:val="1"/>
    <w:autoRedefine/>
    <w:qFormat/>
    <w:uiPriority w:val="0"/>
    <w:pPr>
      <w:spacing w:line="360" w:lineRule="auto"/>
      <w:ind w:firstLine="482" w:firstLineChars="200"/>
      <w:jc w:val="both"/>
      <w:outlineLvl w:val="3"/>
    </w:pPr>
    <w:rPr>
      <w:rFonts w:ascii="Times New Roman" w:hAnsi="Times New Roman" w:eastAsia="宋体" w:cs="Times New Roman"/>
      <w:b/>
      <w:color w:val="000000"/>
      <w:kern w:val="2"/>
      <w:sz w:val="24"/>
      <w:szCs w:val="24"/>
      <w:u w:val="single"/>
      <w:lang w:val="en-US" w:eastAsia="zh-CN" w:bidi="ar-SA"/>
    </w:rPr>
  </w:style>
  <w:style w:type="paragraph" w:customStyle="1" w:styleId="383">
    <w:name w:val="样式2"/>
    <w:basedOn w:val="33"/>
    <w:autoRedefine/>
    <w:qFormat/>
    <w:uiPriority w:val="0"/>
    <w:pPr>
      <w:widowControl/>
      <w:pBdr>
        <w:bottom w:val="none" w:color="auto" w:sz="0" w:space="0"/>
      </w:pBdr>
      <w:autoSpaceDE w:val="0"/>
      <w:autoSpaceDN w:val="0"/>
      <w:adjustRightInd w:val="0"/>
      <w:snapToGrid/>
      <w:ind w:firstLine="200"/>
      <w:textAlignment w:val="baseline"/>
    </w:pPr>
    <w:rPr>
      <w:rFonts w:ascii="宋体" w:eastAsia="宋体"/>
      <w:kern w:val="0"/>
      <w:szCs w:val="20"/>
    </w:rPr>
  </w:style>
  <w:style w:type="paragraph" w:customStyle="1" w:styleId="384">
    <w:name w:val="条文 1"/>
    <w:next w:val="1"/>
    <w:autoRedefine/>
    <w:qFormat/>
    <w:uiPriority w:val="0"/>
    <w:pPr>
      <w:spacing w:line="310" w:lineRule="exact"/>
      <w:ind w:left="840" w:hanging="420"/>
      <w:jc w:val="both"/>
    </w:pPr>
    <w:rPr>
      <w:rFonts w:ascii="Times New Roman" w:hAnsi="Times New Roman" w:eastAsia="黑体" w:cs="Times New Roman"/>
      <w:sz w:val="21"/>
      <w:lang w:val="en-US" w:eastAsia="zh-CN" w:bidi="ar-SA"/>
    </w:rPr>
  </w:style>
  <w:style w:type="paragraph" w:customStyle="1" w:styleId="385">
    <w:name w:val="xl50"/>
    <w:basedOn w:val="1"/>
    <w:autoRedefine/>
    <w:qFormat/>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386">
    <w:name w:val="批注框文本 Char Char"/>
    <w:basedOn w:val="1"/>
    <w:autoRedefine/>
    <w:qFormat/>
    <w:uiPriority w:val="0"/>
    <w:pPr>
      <w:widowControl/>
      <w:ind w:firstLine="200"/>
    </w:pPr>
    <w:rPr>
      <w:rFonts w:eastAsia="宋体"/>
      <w:sz w:val="18"/>
      <w:szCs w:val="20"/>
    </w:rPr>
  </w:style>
  <w:style w:type="paragraph" w:customStyle="1" w:styleId="387">
    <w:name w:val="正文段"/>
    <w:basedOn w:val="1"/>
    <w:autoRedefine/>
    <w:qFormat/>
    <w:uiPriority w:val="0"/>
    <w:pPr>
      <w:widowControl/>
      <w:snapToGrid w:val="0"/>
      <w:spacing w:afterLines="50"/>
      <w:ind w:firstLine="200"/>
    </w:pPr>
    <w:rPr>
      <w:rFonts w:eastAsia="宋体"/>
      <w:kern w:val="0"/>
      <w:sz w:val="24"/>
      <w:szCs w:val="20"/>
    </w:rPr>
  </w:style>
  <w:style w:type="paragraph" w:customStyle="1" w:styleId="388">
    <w:name w:val="P1"/>
    <w:autoRedefine/>
    <w:qFormat/>
    <w:uiPriority w:val="0"/>
    <w:pPr>
      <w:widowControl w:val="0"/>
      <w:adjustRightInd w:val="0"/>
      <w:spacing w:after="240" w:line="0" w:lineRule="atLeast"/>
      <w:ind w:left="2304" w:hanging="576"/>
      <w:jc w:val="both"/>
      <w:textAlignment w:val="baseline"/>
    </w:pPr>
    <w:rPr>
      <w:rFonts w:ascii="Calibri" w:hAnsi="Calibri" w:eastAsia="全真中明體" w:cs="Times New Roman"/>
      <w:spacing w:val="20"/>
      <w:sz w:val="24"/>
      <w:szCs w:val="22"/>
      <w:lang w:val="en-GB" w:eastAsia="zh-TW" w:bidi="ar-SA"/>
    </w:rPr>
  </w:style>
  <w:style w:type="paragraph" w:customStyle="1" w:styleId="389">
    <w:name w:val="Char Char Char Char"/>
    <w:basedOn w:val="1"/>
    <w:autoRedefine/>
    <w:qFormat/>
    <w:uiPriority w:val="0"/>
    <w:pPr>
      <w:widowControl/>
      <w:tabs>
        <w:tab w:val="left" w:pos="360"/>
      </w:tabs>
      <w:ind w:firstLine="200"/>
    </w:pPr>
    <w:rPr>
      <w:rFonts w:eastAsia="宋体"/>
      <w:sz w:val="24"/>
    </w:rPr>
  </w:style>
  <w:style w:type="paragraph" w:customStyle="1" w:styleId="39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391">
    <w:name w:val="通用专用"/>
    <w:basedOn w:val="1"/>
    <w:autoRedefine/>
    <w:qFormat/>
    <w:uiPriority w:val="0"/>
    <w:pPr>
      <w:widowControl/>
      <w:ind w:firstLine="200"/>
      <w:jc w:val="center"/>
    </w:pPr>
    <w:rPr>
      <w:rFonts w:ascii="宋体" w:eastAsia="宋体"/>
      <w:b/>
      <w:sz w:val="36"/>
      <w:szCs w:val="20"/>
    </w:rPr>
  </w:style>
  <w:style w:type="paragraph" w:customStyle="1" w:styleId="392">
    <w:name w:val="xl67"/>
    <w:basedOn w:val="1"/>
    <w:autoRedefine/>
    <w:qFormat/>
    <w:uiPriority w:val="0"/>
    <w:pPr>
      <w:widowControl/>
      <w:pBdr>
        <w:left w:val="single" w:color="000000" w:sz="4" w:space="0"/>
        <w:bottom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3">
    <w:name w:val="Tétière"/>
    <w:basedOn w:val="1"/>
    <w:autoRedefine/>
    <w:qFormat/>
    <w:uiPriority w:val="0"/>
    <w:pPr>
      <w:widowControl/>
      <w:spacing w:before="60" w:after="60"/>
      <w:ind w:firstLine="200"/>
      <w:jc w:val="center"/>
    </w:pPr>
    <w:rPr>
      <w:rFonts w:ascii="Arial" w:hAnsi="Arial" w:eastAsia="宋体"/>
      <w:b/>
      <w:kern w:val="0"/>
      <w:sz w:val="16"/>
      <w:szCs w:val="20"/>
      <w:lang w:val="en-GB"/>
    </w:rPr>
  </w:style>
  <w:style w:type="paragraph" w:customStyle="1" w:styleId="394">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4"/>
    </w:rPr>
  </w:style>
  <w:style w:type="paragraph" w:customStyle="1" w:styleId="395">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18"/>
      <w:szCs w:val="18"/>
    </w:rPr>
  </w:style>
  <w:style w:type="paragraph" w:customStyle="1" w:styleId="396">
    <w:name w:val="xl2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7">
    <w:name w:val="xl56"/>
    <w:basedOn w:val="1"/>
    <w:autoRedefine/>
    <w:qFormat/>
    <w:uiPriority w:val="0"/>
    <w:pPr>
      <w:widowControl/>
      <w:pBdr>
        <w:top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398">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399">
    <w:name w:val="Char Char Char Char Char Char Char Char Char Char Char Char"/>
    <w:basedOn w:val="1"/>
    <w:autoRedefine/>
    <w:qFormat/>
    <w:uiPriority w:val="0"/>
    <w:pPr>
      <w:widowControl/>
      <w:ind w:firstLine="200"/>
    </w:pPr>
    <w:rPr>
      <w:rFonts w:ascii="Tahoma" w:hAnsi="Tahoma" w:eastAsia="宋体"/>
      <w:sz w:val="24"/>
      <w:szCs w:val="20"/>
    </w:rPr>
  </w:style>
  <w:style w:type="paragraph" w:customStyle="1" w:styleId="400">
    <w:name w:val="xl93"/>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01">
    <w:name w:val="xl40"/>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ind w:firstLine="200"/>
      <w:jc w:val="center"/>
      <w:textAlignment w:val="center"/>
    </w:pPr>
    <w:rPr>
      <w:rFonts w:eastAsia="宋体"/>
      <w:kern w:val="0"/>
      <w:sz w:val="20"/>
      <w:szCs w:val="20"/>
    </w:rPr>
  </w:style>
  <w:style w:type="paragraph" w:customStyle="1" w:styleId="402">
    <w:name w:val="xl64"/>
    <w:basedOn w:val="1"/>
    <w:autoRedefine/>
    <w:qFormat/>
    <w:uiPriority w:val="0"/>
    <w:pPr>
      <w:widowControl/>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3">
    <w:name w:val="xl90"/>
    <w:basedOn w:val="1"/>
    <w:autoRedefine/>
    <w:qFormat/>
    <w:uiPriority w:val="0"/>
    <w:pPr>
      <w:widowControl/>
      <w:pBdr>
        <w:top w:val="single" w:color="auto" w:sz="4" w:space="0"/>
        <w:left w:val="single" w:color="000000"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04">
    <w:name w:val="纯文本2"/>
    <w:basedOn w:val="1"/>
    <w:autoRedefine/>
    <w:qFormat/>
    <w:uiPriority w:val="0"/>
    <w:pPr>
      <w:widowControl/>
      <w:ind w:firstLine="200"/>
    </w:pPr>
    <w:rPr>
      <w:rFonts w:ascii="宋体" w:hAnsi="Courier New" w:eastAsia="宋体" w:cs="Courier New"/>
      <w:sz w:val="21"/>
      <w:szCs w:val="21"/>
    </w:rPr>
  </w:style>
  <w:style w:type="paragraph" w:customStyle="1" w:styleId="405">
    <w:name w:val="xl6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center"/>
    </w:pPr>
    <w:rPr>
      <w:rFonts w:ascii="宋体" w:hAnsi="宋体" w:eastAsia="宋体"/>
      <w:color w:val="000000"/>
      <w:kern w:val="0"/>
      <w:sz w:val="20"/>
      <w:szCs w:val="20"/>
    </w:rPr>
  </w:style>
  <w:style w:type="paragraph" w:customStyle="1" w:styleId="406">
    <w:name w:val="xl54"/>
    <w:basedOn w:val="1"/>
    <w:autoRedefine/>
    <w:qFormat/>
    <w:uiPriority w:val="0"/>
    <w:pPr>
      <w:widowControl/>
      <w:pBdr>
        <w:top w:val="single" w:color="auto" w:sz="8" w:space="0"/>
        <w:left w:val="single" w:color="auto" w:sz="8" w:space="31"/>
        <w:bottom w:val="single" w:color="auto" w:sz="4" w:space="0"/>
        <w:right w:val="single" w:color="auto" w:sz="4" w:space="0"/>
      </w:pBdr>
      <w:spacing w:before="100" w:beforeAutospacing="1" w:after="100" w:afterAutospacing="1"/>
      <w:ind w:firstLine="200"/>
      <w:jc w:val="left"/>
      <w:textAlignment w:val="center"/>
    </w:pPr>
    <w:rPr>
      <w:rFonts w:hint="eastAsia" w:ascii="楷体_GB2312" w:hAnsi="宋体" w:eastAsia="楷体_GB2312"/>
      <w:kern w:val="0"/>
      <w:sz w:val="24"/>
    </w:rPr>
  </w:style>
  <w:style w:type="paragraph" w:customStyle="1" w:styleId="407">
    <w:name w:val="xl36"/>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08">
    <w:name w:val="样式 宋体 小四 首行缩进:  0.93 厘米 段前: 11.15 磅 段后: 11.15 磅1"/>
    <w:basedOn w:val="62"/>
    <w:next w:val="62"/>
    <w:autoRedefine/>
    <w:qFormat/>
    <w:uiPriority w:val="99"/>
    <w:rPr>
      <w:rFonts w:ascii="宋体"/>
      <w:color w:val="auto"/>
    </w:rPr>
  </w:style>
  <w:style w:type="paragraph" w:customStyle="1" w:styleId="409">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10">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pPr>
    <w:rPr>
      <w:rFonts w:ascii="宋体" w:hAnsi="宋体" w:eastAsia="宋体" w:cs="宋体"/>
      <w:kern w:val="0"/>
      <w:sz w:val="24"/>
    </w:rPr>
  </w:style>
  <w:style w:type="paragraph" w:customStyle="1" w:styleId="411">
    <w:name w:val="一、"/>
    <w:next w:val="138"/>
    <w:autoRedefine/>
    <w:qFormat/>
    <w:uiPriority w:val="0"/>
    <w:pPr>
      <w:tabs>
        <w:tab w:val="left" w:pos="360"/>
      </w:tabs>
      <w:spacing w:before="240" w:after="240" w:line="360" w:lineRule="auto"/>
      <w:ind w:firstLine="420"/>
      <w:jc w:val="both"/>
    </w:pPr>
    <w:rPr>
      <w:rFonts w:ascii="Times New Roman" w:hAnsi="Times New Roman" w:eastAsia="黑体" w:cs="Times New Roman"/>
      <w:sz w:val="28"/>
      <w:lang w:val="en-US" w:eastAsia="zh-CN" w:bidi="ar-SA"/>
    </w:rPr>
  </w:style>
  <w:style w:type="paragraph" w:customStyle="1" w:styleId="412">
    <w:name w:val="xl34"/>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ind w:firstLine="200"/>
      <w:jc w:val="left"/>
      <w:textAlignment w:val="center"/>
    </w:pPr>
    <w:rPr>
      <w:rFonts w:eastAsia="宋体"/>
      <w:kern w:val="0"/>
      <w:sz w:val="20"/>
      <w:szCs w:val="20"/>
    </w:rPr>
  </w:style>
  <w:style w:type="paragraph" w:styleId="413">
    <w:name w:val="No Spacing"/>
    <w:autoRedefine/>
    <w:qFormat/>
    <w:uiPriority w:val="1"/>
    <w:pPr>
      <w:widowControl w:val="0"/>
      <w:spacing w:line="360" w:lineRule="auto"/>
      <w:ind w:firstLine="420"/>
      <w:jc w:val="both"/>
    </w:pPr>
    <w:rPr>
      <w:rFonts w:ascii="Calibri" w:hAnsi="Calibri" w:eastAsia="宋体" w:cs="Times New Roman"/>
      <w:kern w:val="2"/>
      <w:sz w:val="21"/>
      <w:szCs w:val="22"/>
      <w:lang w:val="en-US" w:eastAsia="zh-CN" w:bidi="ar-SA"/>
    </w:rPr>
  </w:style>
  <w:style w:type="paragraph" w:customStyle="1" w:styleId="414">
    <w:name w:val="CM255"/>
    <w:basedOn w:val="62"/>
    <w:next w:val="62"/>
    <w:autoRedefine/>
    <w:qFormat/>
    <w:uiPriority w:val="0"/>
    <w:pPr>
      <w:spacing w:after="1728"/>
    </w:pPr>
    <w:rPr>
      <w:rFonts w:ascii="宋体" w:cs="宋体"/>
      <w:color w:val="auto"/>
    </w:rPr>
  </w:style>
  <w:style w:type="paragraph" w:customStyle="1" w:styleId="415">
    <w:name w:val="333"/>
    <w:basedOn w:val="1"/>
    <w:autoRedefine/>
    <w:qFormat/>
    <w:uiPriority w:val="0"/>
    <w:pPr>
      <w:widowControl/>
      <w:tabs>
        <w:tab w:val="left" w:pos="9083"/>
      </w:tabs>
      <w:wordWrap w:val="0"/>
      <w:spacing w:beforeLines="50" w:afterLines="50"/>
      <w:ind w:right="1106" w:firstLine="200"/>
    </w:pPr>
    <w:rPr>
      <w:rFonts w:ascii="宋体" w:hAnsi="宋体" w:eastAsia="宋体" w:cs="宋体"/>
      <w:sz w:val="24"/>
    </w:rPr>
  </w:style>
  <w:style w:type="paragraph" w:customStyle="1" w:styleId="416">
    <w:name w:val="xl45"/>
    <w:basedOn w:val="1"/>
    <w:autoRedefine/>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ind w:firstLine="200"/>
      <w:jc w:val="center"/>
      <w:textAlignment w:val="center"/>
    </w:pPr>
    <w:rPr>
      <w:rFonts w:ascii="宋体" w:hAnsi="宋体" w:eastAsia="宋体"/>
      <w:kern w:val="0"/>
      <w:sz w:val="24"/>
    </w:rPr>
  </w:style>
  <w:style w:type="paragraph" w:customStyle="1" w:styleId="417">
    <w:name w:val="xl33"/>
    <w:basedOn w:val="1"/>
    <w:autoRedefine/>
    <w:qFormat/>
    <w:uiPriority w:val="0"/>
    <w:pPr>
      <w:widowControl/>
      <w:pBdr>
        <w:left w:val="single" w:color="auto" w:sz="4" w:space="0"/>
        <w:right w:val="single" w:color="auto" w:sz="4" w:space="0"/>
      </w:pBdr>
      <w:spacing w:before="100" w:beforeAutospacing="1" w:after="100" w:afterAutospacing="1"/>
      <w:ind w:firstLine="200"/>
      <w:jc w:val="center"/>
      <w:textAlignment w:val="center"/>
    </w:pPr>
    <w:rPr>
      <w:rFonts w:ascii="宋体" w:hAnsi="宋体" w:eastAsia="宋体"/>
      <w:kern w:val="0"/>
      <w:sz w:val="20"/>
      <w:szCs w:val="20"/>
    </w:rPr>
  </w:style>
  <w:style w:type="paragraph" w:customStyle="1" w:styleId="418">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0"/>
      <w:szCs w:val="20"/>
    </w:rPr>
  </w:style>
  <w:style w:type="paragraph" w:customStyle="1" w:styleId="419">
    <w:name w:val="xl35"/>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ind w:firstLine="200"/>
      <w:jc w:val="center"/>
      <w:textAlignment w:val="center"/>
    </w:pPr>
    <w:rPr>
      <w:rFonts w:hint="eastAsia" w:ascii="楷体_GB2312" w:hAnsi="宋体" w:eastAsia="楷体_GB2312"/>
      <w:kern w:val="0"/>
      <w:sz w:val="24"/>
    </w:rPr>
  </w:style>
  <w:style w:type="paragraph" w:customStyle="1" w:styleId="42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right"/>
      <w:textAlignment w:val="center"/>
    </w:pPr>
    <w:rPr>
      <w:rFonts w:ascii="宋体" w:hAnsi="宋体" w:eastAsia="宋体" w:cs="宋体"/>
      <w:kern w:val="0"/>
      <w:sz w:val="18"/>
      <w:szCs w:val="18"/>
    </w:rPr>
  </w:style>
  <w:style w:type="paragraph" w:customStyle="1" w:styleId="421">
    <w:name w:val="xl32"/>
    <w:basedOn w:val="1"/>
    <w:autoRedefine/>
    <w:qFormat/>
    <w:uiPriority w:val="0"/>
    <w:pPr>
      <w:widowControl/>
      <w:spacing w:before="100" w:beforeAutospacing="1" w:after="100" w:afterAutospacing="1"/>
      <w:ind w:firstLine="200"/>
      <w:jc w:val="left"/>
      <w:textAlignment w:val="center"/>
    </w:pPr>
    <w:rPr>
      <w:rFonts w:ascii="宋体" w:hAnsi="宋体" w:eastAsia="宋体" w:cs="宋体"/>
      <w:color w:val="000000"/>
      <w:kern w:val="0"/>
      <w:sz w:val="24"/>
    </w:rPr>
  </w:style>
  <w:style w:type="paragraph" w:customStyle="1" w:styleId="422">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3">
    <w:name w:val="xl98"/>
    <w:basedOn w:val="1"/>
    <w:autoRedefine/>
    <w:qFormat/>
    <w:uiPriority w:val="0"/>
    <w:pPr>
      <w:widowControl/>
      <w:pBdr>
        <w:top w:val="single" w:color="auto" w:sz="4" w:space="0"/>
        <w:left w:val="single" w:color="auto" w:sz="4" w:space="0"/>
        <w:right w:val="single" w:color="000000" w:sz="4" w:space="0"/>
      </w:pBdr>
      <w:shd w:val="clear" w:color="000000" w:fill="FFFFFF"/>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24">
    <w:name w:val="目录 81"/>
    <w:basedOn w:val="1"/>
    <w:next w:val="1"/>
    <w:autoRedefine/>
    <w:qFormat/>
    <w:uiPriority w:val="39"/>
    <w:pPr>
      <w:widowControl/>
      <w:ind w:left="2940" w:leftChars="1400" w:firstLine="200"/>
    </w:pPr>
    <w:rPr>
      <w:rFonts w:ascii="Calibri" w:hAnsi="Calibri" w:eastAsia="宋体"/>
      <w:sz w:val="21"/>
      <w:szCs w:val="22"/>
    </w:rPr>
  </w:style>
  <w:style w:type="paragraph" w:customStyle="1" w:styleId="425">
    <w:name w:val="font14"/>
    <w:basedOn w:val="1"/>
    <w:autoRedefine/>
    <w:qFormat/>
    <w:uiPriority w:val="0"/>
    <w:pPr>
      <w:widowControl/>
      <w:spacing w:before="100" w:beforeAutospacing="1" w:after="100" w:afterAutospacing="1"/>
      <w:ind w:firstLine="200"/>
      <w:jc w:val="left"/>
    </w:pPr>
    <w:rPr>
      <w:rFonts w:hint="eastAsia" w:ascii="宋体" w:hAnsi="宋体" w:eastAsia="宋体" w:cs="Arial Unicode MS"/>
      <w:b/>
      <w:bCs/>
      <w:color w:val="000000"/>
      <w:kern w:val="0"/>
      <w:sz w:val="18"/>
      <w:szCs w:val="18"/>
    </w:rPr>
  </w:style>
  <w:style w:type="paragraph" w:customStyle="1" w:styleId="426">
    <w:name w:val="合同书"/>
    <w:basedOn w:val="1"/>
    <w:autoRedefine/>
    <w:qFormat/>
    <w:uiPriority w:val="0"/>
    <w:pPr>
      <w:widowControl/>
      <w:ind w:firstLine="200"/>
      <w:jc w:val="center"/>
    </w:pPr>
    <w:rPr>
      <w:rFonts w:eastAsia="宋体"/>
      <w:b/>
      <w:sz w:val="36"/>
      <w:szCs w:val="20"/>
    </w:rPr>
  </w:style>
  <w:style w:type="paragraph" w:customStyle="1" w:styleId="427">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ind w:firstLine="200"/>
      <w:jc w:val="center"/>
      <w:textAlignment w:val="center"/>
    </w:pPr>
    <w:rPr>
      <w:rFonts w:ascii="宋体" w:hAnsi="宋体" w:eastAsia="宋体" w:cs="宋体"/>
      <w:kern w:val="0"/>
      <w:sz w:val="18"/>
      <w:szCs w:val="18"/>
    </w:rPr>
  </w:style>
  <w:style w:type="paragraph" w:customStyle="1" w:styleId="428">
    <w:name w:val="cucd-0"/>
    <w:autoRedefine/>
    <w:qFormat/>
    <w:uiPriority w:val="0"/>
    <w:pPr>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429">
    <w:name w:val="xl81"/>
    <w:basedOn w:val="1"/>
    <w:autoRedefine/>
    <w:qFormat/>
    <w:uiPriority w:val="0"/>
    <w:pPr>
      <w:widowControl/>
      <w:pBdr>
        <w:top w:val="single" w:color="auto" w:sz="4" w:space="0"/>
        <w:left w:val="single" w:color="auto" w:sz="4" w:space="0"/>
        <w:bottom w:val="single" w:color="auto" w:sz="4" w:space="0"/>
        <w:right w:val="double" w:color="auto" w:sz="6"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0">
    <w:name w:val="标题222"/>
    <w:basedOn w:val="1"/>
    <w:autoRedefine/>
    <w:qFormat/>
    <w:uiPriority w:val="0"/>
    <w:pPr>
      <w:widowControl/>
      <w:ind w:firstLine="200"/>
    </w:pPr>
    <w:rPr>
      <w:rFonts w:eastAsia="宋体" w:cs="宋体"/>
      <w:b/>
      <w:bCs/>
      <w:sz w:val="30"/>
      <w:szCs w:val="20"/>
    </w:rPr>
  </w:style>
  <w:style w:type="paragraph" w:customStyle="1" w:styleId="431">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2">
    <w:name w:val="xl7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ind w:firstLine="200"/>
      <w:jc w:val="center"/>
      <w:textAlignment w:val="center"/>
    </w:pPr>
    <w:rPr>
      <w:rFonts w:ascii="宋体" w:hAnsi="宋体" w:eastAsia="宋体" w:cs="宋体"/>
      <w:kern w:val="0"/>
      <w:sz w:val="24"/>
    </w:rPr>
  </w:style>
  <w:style w:type="paragraph" w:customStyle="1" w:styleId="433">
    <w:name w:val="xl57"/>
    <w:basedOn w:val="1"/>
    <w:autoRedefine/>
    <w:qFormat/>
    <w:uiPriority w:val="0"/>
    <w:pPr>
      <w:widowControl/>
      <w:pBdr>
        <w:top w:val="single" w:color="auto" w:sz="4" w:space="0"/>
        <w:right w:val="single" w:color="auto" w:sz="4" w:space="0"/>
      </w:pBdr>
      <w:spacing w:before="100" w:after="100"/>
      <w:ind w:firstLine="200"/>
      <w:jc w:val="center"/>
      <w:textAlignment w:val="center"/>
    </w:pPr>
    <w:rPr>
      <w:rFonts w:ascii="Arial Unicode MS" w:hAnsi="Arial Unicode MS" w:eastAsia="Arial Unicode MS"/>
      <w:kern w:val="0"/>
      <w:sz w:val="21"/>
      <w:szCs w:val="20"/>
    </w:rPr>
  </w:style>
  <w:style w:type="paragraph" w:customStyle="1" w:styleId="434">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ind w:firstLine="200"/>
      <w:jc w:val="left"/>
      <w:textAlignment w:val="center"/>
    </w:pPr>
    <w:rPr>
      <w:rFonts w:ascii="宋体" w:hAnsi="宋体" w:eastAsia="宋体" w:cs="宋体"/>
      <w:kern w:val="0"/>
      <w:sz w:val="21"/>
      <w:szCs w:val="21"/>
    </w:rPr>
  </w:style>
  <w:style w:type="paragraph" w:customStyle="1" w:styleId="435">
    <w:name w:val="Table Paragraph"/>
    <w:basedOn w:val="1"/>
    <w:autoRedefine/>
    <w:qFormat/>
    <w:uiPriority w:val="1"/>
    <w:pPr>
      <w:widowControl/>
      <w:ind w:firstLine="200"/>
      <w:jc w:val="left"/>
    </w:pPr>
    <w:rPr>
      <w:rFonts w:ascii="Calibri" w:hAnsi="Calibri" w:eastAsia="宋体"/>
      <w:kern w:val="0"/>
      <w:sz w:val="22"/>
      <w:szCs w:val="22"/>
      <w:lang w:eastAsia="en-US"/>
    </w:rPr>
  </w:style>
  <w:style w:type="paragraph" w:customStyle="1" w:styleId="436">
    <w:name w:val="USE 4"/>
    <w:basedOn w:val="1"/>
    <w:autoRedefine/>
    <w:qFormat/>
    <w:uiPriority w:val="0"/>
    <w:pPr>
      <w:widowControl/>
      <w:ind w:left="104" w:hanging="227"/>
      <w:jc w:val="left"/>
    </w:pPr>
    <w:rPr>
      <w:rFonts w:ascii="宋体" w:hAnsi="宋体" w:eastAsia="宋体"/>
      <w:sz w:val="24"/>
      <w:szCs w:val="20"/>
    </w:rPr>
  </w:style>
  <w:style w:type="paragraph" w:customStyle="1" w:styleId="437">
    <w:name w:val="xl86"/>
    <w:basedOn w:val="1"/>
    <w:autoRedefine/>
    <w:qFormat/>
    <w:uiPriority w:val="0"/>
    <w:pPr>
      <w:widowControl/>
      <w:spacing w:before="100" w:beforeAutospacing="1" w:after="100" w:afterAutospacing="1"/>
      <w:ind w:firstLine="200"/>
      <w:jc w:val="center"/>
    </w:pPr>
    <w:rPr>
      <w:rFonts w:ascii="宋体" w:hAnsi="宋体" w:eastAsia="宋体" w:cs="宋体"/>
      <w:kern w:val="0"/>
      <w:sz w:val="24"/>
    </w:rPr>
  </w:style>
  <w:style w:type="paragraph" w:customStyle="1" w:styleId="438">
    <w:name w:val="图"/>
    <w:basedOn w:val="1"/>
    <w:autoRedefine/>
    <w:qFormat/>
    <w:uiPriority w:val="0"/>
    <w:pPr>
      <w:keepNext/>
      <w:widowControl/>
      <w:adjustRightInd w:val="0"/>
      <w:spacing w:before="60" w:after="60" w:line="300" w:lineRule="auto"/>
      <w:ind w:firstLine="200"/>
      <w:jc w:val="center"/>
      <w:textAlignment w:val="center"/>
    </w:pPr>
    <w:rPr>
      <w:rFonts w:eastAsia="宋体"/>
      <w:snapToGrid w:val="0"/>
      <w:spacing w:val="20"/>
      <w:kern w:val="0"/>
      <w:sz w:val="24"/>
      <w:szCs w:val="20"/>
    </w:rPr>
  </w:style>
  <w:style w:type="table" w:customStyle="1" w:styleId="439">
    <w:name w:val="Table Normal"/>
    <w:autoRedefine/>
    <w:unhideWhenUsed/>
    <w:qFormat/>
    <w:uiPriority w:val="2"/>
    <w:pPr>
      <w:widowControl w:val="0"/>
      <w:spacing w:line="360" w:lineRule="auto"/>
      <w:ind w:firstLine="420"/>
      <w:jc w:val="both"/>
    </w:pPr>
    <w:rPr>
      <w:rFonts w:ascii="Calibri" w:hAnsi="Calibri"/>
      <w:sz w:val="22"/>
      <w:szCs w:val="22"/>
      <w:lang w:eastAsia="en-US"/>
    </w:rPr>
    <w:tblPr>
      <w:tblCellMar>
        <w:top w:w="0" w:type="dxa"/>
        <w:left w:w="0" w:type="dxa"/>
        <w:bottom w:w="0" w:type="dxa"/>
        <w:right w:w="0" w:type="dxa"/>
      </w:tblCellMar>
    </w:tblPr>
  </w:style>
  <w:style w:type="table" w:customStyle="1" w:styleId="440">
    <w:name w:val="网格型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customStyle="1" w:styleId="441">
    <w:name w:val="TOC Heading"/>
    <w:basedOn w:val="2"/>
    <w:next w:val="1"/>
    <w:autoRedefine/>
    <w:unhideWhenUsed/>
    <w:qFormat/>
    <w:uiPriority w:val="39"/>
    <w:pPr>
      <w:keepLines/>
      <w:widowControl/>
      <w:adjustRightInd/>
      <w:spacing w:before="340" w:after="330" w:line="578" w:lineRule="auto"/>
      <w:ind w:left="0" w:firstLine="200" w:firstLineChars="200"/>
      <w:textAlignment w:val="auto"/>
      <w:outlineLvl w:val="9"/>
    </w:pPr>
    <w:rPr>
      <w:rFonts w:ascii="Times New Roman" w:hAnsi="Times New Roman" w:eastAsia="宋体"/>
      <w:bCs/>
      <w:kern w:val="44"/>
      <w:sz w:val="44"/>
      <w:szCs w:val="44"/>
    </w:rPr>
  </w:style>
  <w:style w:type="table" w:customStyle="1" w:styleId="442">
    <w:name w:val="网格型2"/>
    <w:basedOn w:val="53"/>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3">
    <w:name w:val="CM33"/>
    <w:basedOn w:val="62"/>
    <w:next w:val="62"/>
    <w:autoRedefine/>
    <w:qFormat/>
    <w:uiPriority w:val="99"/>
    <w:pPr>
      <w:spacing w:line="240" w:lineRule="auto"/>
      <w:ind w:firstLine="0"/>
      <w:jc w:val="left"/>
    </w:pPr>
    <w:rPr>
      <w:color w:val="auto"/>
    </w:rPr>
  </w:style>
  <w:style w:type="paragraph" w:customStyle="1" w:styleId="444">
    <w:name w:val="修订2"/>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5">
    <w:name w:val="修订3"/>
    <w:autoRedefine/>
    <w:hidden/>
    <w:unhideWhenUsed/>
    <w:qFormat/>
    <w:uiPriority w:val="99"/>
    <w:rPr>
      <w:rFonts w:ascii="Times New Roman" w:hAnsi="Times New Roman" w:eastAsia="新宋体" w:cs="Times New Roman"/>
      <w:kern w:val="2"/>
      <w:sz w:val="28"/>
      <w:szCs w:val="22"/>
      <w:lang w:val="en-US" w:eastAsia="zh-CN" w:bidi="ar-SA"/>
    </w:rPr>
  </w:style>
  <w:style w:type="paragraph" w:customStyle="1" w:styleId="446">
    <w:name w:val="TOC 标题3"/>
    <w:basedOn w:val="2"/>
    <w:next w:val="1"/>
    <w:autoRedefine/>
    <w:semiHidden/>
    <w:unhideWhenUsed/>
    <w:qFormat/>
    <w:uiPriority w:val="39"/>
    <w:pPr>
      <w:keepLines/>
      <w:widowControl/>
      <w:adjustRightInd/>
      <w:spacing w:before="480" w:line="276" w:lineRule="auto"/>
      <w:ind w:left="0"/>
      <w:jc w:val="left"/>
      <w:textAlignment w:val="auto"/>
      <w:outlineLvl w:val="9"/>
    </w:pPr>
    <w:rPr>
      <w:rFonts w:ascii="Cambria" w:hAnsi="Cambria" w:eastAsia="宋体"/>
      <w:bCs/>
      <w:color w:val="365F91"/>
      <w:sz w:val="28"/>
      <w:szCs w:val="28"/>
    </w:rPr>
  </w:style>
  <w:style w:type="paragraph" w:customStyle="1" w:styleId="447">
    <w:name w:val="修订4"/>
    <w:autoRedefine/>
    <w:hidden/>
    <w:unhideWhenUsed/>
    <w:qFormat/>
    <w:uiPriority w:val="99"/>
    <w:rPr>
      <w:rFonts w:ascii="Times New Roman" w:hAnsi="Times New Roman" w:eastAsia="宋体" w:cs="Times New Roman"/>
      <w:kern w:val="2"/>
      <w:sz w:val="28"/>
      <w:szCs w:val="22"/>
      <w:lang w:val="en-US" w:eastAsia="zh-CN" w:bidi="ar-SA"/>
    </w:rPr>
  </w:style>
  <w:style w:type="character" w:customStyle="1" w:styleId="448">
    <w:name w:val="不明显参考1"/>
    <w:autoRedefine/>
    <w:qFormat/>
    <w:uiPriority w:val="0"/>
    <w:rPr>
      <w:smallCaps/>
      <w:color w:val="C0504D"/>
      <w:u w:val="single"/>
    </w:rPr>
  </w:style>
  <w:style w:type="character" w:customStyle="1" w:styleId="449">
    <w:name w:val="Unresolved Mention"/>
    <w:autoRedefine/>
    <w:semiHidden/>
    <w:unhideWhenUsed/>
    <w:qFormat/>
    <w:uiPriority w:val="99"/>
    <w:rPr>
      <w:color w:val="605E5C"/>
      <w:shd w:val="clear" w:color="auto" w:fill="E1DFDD"/>
    </w:rPr>
  </w:style>
  <w:style w:type="table" w:customStyle="1" w:styleId="450">
    <w:name w:val="Table Grid_0"/>
    <w:basedOn w:val="53"/>
    <w:autoRedefine/>
    <w:qFormat/>
    <w:uiPriority w:val="0"/>
    <w:pPr>
      <w:widowControl w:val="0"/>
      <w:jc w:val="both"/>
    </w:pPr>
    <w:rPr>
      <w:rFonts w:ascii="Times New Roman" w:hAnsi="Times New Roman" w:cs="Times New Roman"/>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1">
    <w:name w:val="Table Text"/>
    <w:basedOn w:val="1"/>
    <w:autoRedefine/>
    <w:semiHidden/>
    <w:qFormat/>
    <w:uiPriority w:val="0"/>
    <w:rPr>
      <w:rFonts w:ascii="微软雅黑" w:hAnsi="微软雅黑" w:eastAsia="微软雅黑" w:cs="微软雅黑"/>
      <w:sz w:val="12"/>
      <w:szCs w:val="12"/>
      <w:lang w:val="en-US" w:eastAsia="en-US" w:bidi="ar-SA"/>
    </w:rPr>
  </w:style>
  <w:style w:type="character" w:customStyle="1" w:styleId="452">
    <w:name w:val="font01"/>
    <w:autoRedefine/>
    <w:qFormat/>
    <w:uiPriority w:val="0"/>
    <w:rPr>
      <w:rFonts w:hint="eastAsia" w:ascii="宋体" w:hAnsi="宋体" w:eastAsia="宋体" w:cs="宋体"/>
      <w:color w:val="000000"/>
      <w:sz w:val="24"/>
      <w:szCs w:val="24"/>
      <w:u w:val="none"/>
    </w:rPr>
  </w:style>
  <w:style w:type="character" w:customStyle="1" w:styleId="453">
    <w:name w:val="font41"/>
    <w:basedOn w:val="55"/>
    <w:qFormat/>
    <w:uiPriority w:val="0"/>
    <w:rPr>
      <w:rFonts w:hint="eastAsia" w:ascii="宋体" w:hAnsi="宋体" w:eastAsia="宋体" w:cs="宋体"/>
      <w:color w:val="000000"/>
      <w:sz w:val="20"/>
      <w:szCs w:val="20"/>
      <w:u w:val="none"/>
    </w:rPr>
  </w:style>
  <w:style w:type="character" w:customStyle="1" w:styleId="454">
    <w:name w:val="font51"/>
    <w:basedOn w:val="55"/>
    <w:qFormat/>
    <w:uiPriority w:val="0"/>
    <w:rPr>
      <w:rFonts w:hint="default" w:ascii="Arial" w:hAnsi="Arial" w:cs="Arial"/>
      <w:color w:val="000000"/>
      <w:sz w:val="20"/>
      <w:szCs w:val="20"/>
      <w:u w:val="none"/>
    </w:rPr>
  </w:style>
  <w:style w:type="paragraph" w:customStyle="1" w:styleId="455">
    <w:name w:val="List Paragraph1"/>
    <w:basedOn w:val="1"/>
    <w:qFormat/>
    <w:uiPriority w:val="99"/>
    <w:pPr>
      <w:ind w:firstLine="420" w:firstLineChars="200"/>
    </w:pPr>
    <w:rPr>
      <w:rFonts w:ascii="Times New Roman" w:hAnsi="Times New Roman"/>
    </w:rPr>
  </w:style>
  <w:style w:type="paragraph" w:customStyle="1" w:styleId="456">
    <w:name w:val="正文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7">
    <w:name w:val="_Style 1"/>
    <w:basedOn w:val="1"/>
    <w:qFormat/>
    <w:uiPriority w:val="34"/>
    <w:pPr>
      <w:ind w:firstLine="420" w:firstLineChars="200"/>
    </w:pPr>
  </w:style>
  <w:style w:type="character" w:customStyle="1" w:styleId="458">
    <w:name w:val="font61"/>
    <w:basedOn w:val="55"/>
    <w:qFormat/>
    <w:uiPriority w:val="0"/>
    <w:rPr>
      <w:rFonts w:hint="default" w:ascii="Arial" w:hAnsi="Arial" w:cs="Arial"/>
      <w:color w:val="000000"/>
      <w:sz w:val="12"/>
      <w:szCs w:val="12"/>
      <w:u w:val="none"/>
    </w:rPr>
  </w:style>
  <w:style w:type="paragraph" w:customStyle="1" w:styleId="459">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f0b4dbff-4199-42ab-9fbe-8f40676e34e8</errorID>
      <errorWord>二0二六</errorWord>
      <group>L1_Knowledge</group>
      <groupName>知识性问题</groupName>
      <ability>L2_Knowledge</ability>
      <abilityName>其他知识</abilityName>
      <candidateList>
        <item>二〇二六</item>
      </candidateList>
      <explain/>
      <paraID>6FCFC2FA</paraID>
      <start>0</start>
      <end>4</end>
      <status>unmodified</status>
      <modifiedWord/>
      <trackRevisions>false</trackRevisions>
    </reviewItem>
    <reviewItem>
      <errorID>d0023450-340b-4db9-8b4d-a71ca0149dd7</errorID>
      <errorWord>法律、法规</errorWord>
      <group>L1_Word</group>
      <groupName>字词问题</groupName>
      <ability>L2_Typo</ability>
      <abilityName>字词错误</abilityName>
      <candidateList>
        <item>法律法规</item>
      </candidateList>
      <explain/>
      <paraID>2998D00E</paraID>
      <start>19</start>
      <end>24</end>
      <status>unmodified</status>
      <modifiedWord/>
      <trackRevisions>false</trackRevisions>
    </reviewItem>
    <reviewItem>
      <errorID>ed815335-6e47-4468-9abc-b550bbdd6560</errorID>
      <errorWord>涉及到</errorWord>
      <group>L1_Grammar</group>
      <groupName>语法问题</groupName>
      <ability>L2_Grammar</ability>
      <abilityName>语法错误</abilityName>
      <candidateList>
        <item>涉及</item>
      </candidateList>
      <explain>〈动〉牵涉到；关联到：案子～好几个人｜这个问题～面很广。</explain>
      <paraID>2E5FB957</paraID>
      <start>45</start>
      <end>48</end>
      <status>unmodified</status>
      <modifiedWord/>
      <trackRevisions>false</trackRevisions>
    </reviewItem>
    <reviewItem>
      <errorID>ea892503-81fe-47f1-b522-f8dbe11a333e</errorID>
      <errorWord>至少具有1项合同金额在80万元及以上</errorWord>
      <group>L1_Grammar</group>
      <groupName>语法问题</groupName>
      <ability>L2_Grammar</ability>
      <abilityName>语法错误</abilityName>
      <candidateList>
        <item>至少具有1项合同金额在80万元及</item>
      </candidateList>
      <explain/>
      <paraID>5383DDC0</paraID>
      <start>61</start>
      <end>79</end>
      <status>unmodified</status>
      <modifiedWord/>
      <trackRevisions>false</trackRevisions>
    </reviewItem>
    <reviewItem>
      <errorID>5f8241ba-6fe8-4aee-b7fb-8007f1275469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3EF59256</paraID>
      <start>0</start>
      <end>2</end>
      <status>unmodified</status>
      <modifiedWord/>
      <trackRevisions>false</trackRevisions>
    </reviewItem>
    <reviewItem>
      <errorID>b6af71ee-3520-4e49-93bc-e697b098c67e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110DF21B</paraID>
      <start>0</start>
      <end>2</end>
      <status>unmodified</status>
      <modifiedWord/>
      <trackRevisions>false</trackRevisions>
    </reviewItem>
    <reviewItem>
      <errorID>c6b8b560-4eba-4f14-aeb7-e00a4a08f69b</errorID>
      <errorWord>作必要</errorWord>
      <group>L1_Word</group>
      <groupName>字词问题</groupName>
      <ability>L2_Typo</ability>
      <abilityName>字词错误</abilityName>
      <candidateList>
        <item>做必要</item>
      </candidateList>
      <explain/>
      <paraID>16AC7D0D</paraID>
      <start>52</start>
      <end>55</end>
      <status>unmodified</status>
      <modifiedWord/>
      <trackRevisions>false</trackRevisions>
    </reviewItem>
    <reviewItem>
      <errorID>0dcd5a55-3271-4ea8-a9b5-be5001111772</errorID>
      <errorWord>作</errorWord>
      <group>L1_Word</group>
      <groupName>字词问题</groupName>
      <ability>L2_Typo</ability>
      <abilityName>字词错误</abilityName>
      <candidateList>
        <item>做</item>
      </candidateList>
      <explain>存在发音相同字词的误用。</explain>
      <paraID>22DF972E</paraID>
      <start>15</start>
      <end>16</end>
      <status>unmodified</status>
      <modifiedWord/>
      <trackRevisions>false</trackRevisions>
    </reviewItem>
    <reviewItem>
      <errorID>8f3ad583-0a73-443d-93e9-e24c6c2c3e45</errorID>
      <errorWord>员</errorWord>
      <group>L1_Word</group>
      <groupName>字词问题</groupName>
      <ability>L2_Typo</ability>
      <abilityName>字词错误</abilityName>
      <candidateList>
        <item>员会</item>
      </candidateList>
      <explain/>
      <paraID>2AA0C705</paraID>
      <start>7</start>
      <end>8</end>
      <status>unmodified</status>
      <modifiedWord/>
      <trackRevisions>false</trackRevisions>
    </reviewItem>
    <reviewItem>
      <errorID>359cd206-60be-4256-b908-69c7a68d726b</errorID>
      <errorWord>地</errorWord>
      <group>L1_Word</group>
      <groupName>字词问题</groupName>
      <ability>L2_DDD</ability>
      <abilityName>的地得用法</abilityName>
      <candidateList>
        <item>的</item>
      </candidateList>
      <explain>“的”常用于连接修饰语与名词性中心语，表示属性、所属或描述。</explain>
      <paraID> 8B20385</paraID>
      <start>44</start>
      <end>45</end>
      <status>unmodified</status>
      <modifiedWord/>
      <trackRevisions>false</trackRevisions>
    </reviewItem>
    <reviewItem>
      <errorID>f2270fd7-72fa-463d-877e-41b99eabf5bb</errorID>
      <errorWord>至</errorWord>
      <group>L1_Word</group>
      <groupName>字词问题</groupName>
      <ability>L2_Typo</ability>
      <abilityName>字词错误</abilityName>
      <candidateList>
        <item>到</item>
      </candidateList>
      <explain>❶〈动〉达于某一点；到达；达到：～期｜迟～｜火车～站了｜从星期三～星期五。❷〈动〉往：～郊外去｜～群众中去。❸〈动〉用作动词的补语，表示动作有结果：看～｜办得～｜说～一定要做～｜想不～你来了。❹〈形〉周到：想得很～｜有不～的地方请原谅。❺（Dào）〈名〉姓。</explain>
      <paraID>659709FB</paraID>
      <start>11</start>
      <end>12</end>
      <status>unmodified</status>
      <modifiedWord/>
      <trackRevisions>false</trackRevisions>
    </reviewItem>
    <reviewItem>
      <errorID>85983ca3-3d34-4225-a19e-50d4c6f97a31</errorID>
      <errorWord>有</errorWord>
      <group>L1_Word</group>
      <groupName>字词问题</groupName>
      <ability>L2_Typo</ability>
      <abilityName>字词错误</abilityName>
      <candidateList>
        <item>由</item>
      </candidateList>
      <explain>存在发音相同字词的误用。</explain>
      <paraID>6212CAC4</paraID>
      <start>0</start>
      <end>1</end>
      <status>unmodified</status>
      <modifiedWord/>
      <trackRevisions>false</trackRevisions>
    </reviewItem>
    <reviewItem>
      <errorID>c612ae6d-ca4f-4af0-b456-627f31b5d550</errorID>
      <errorWord>至从</errorWord>
      <group>L1_Word</group>
      <groupName>字词问题</groupName>
      <ability>L2_Typo</ability>
      <abilityName>字词错误</abilityName>
      <candidateList>
        <item>至</item>
      </candidateList>
      <explain>❶〈动〉到：～今｜自始～终｜～死不屈。❷至于：甚～。❸〈副〉极；最：为感谢～｜你要早来，～迟下星期内一定赶到。</explain>
      <paraID>65725805</paraID>
      <start>18</start>
      <end>20</end>
      <status>unmodified</status>
      <modifiedWord/>
      <trackRevisions>false</trackRevisions>
    </reviewItem>
    <reviewItem>
      <errorID>7a66097e-5ab2-45f2-ab6e-ba5864890aaa</errorID>
      <errorWord>(</errorWord>
      <group>L1_Format</group>
      <groupName>格式问题</groupName>
      <ability>L2_HalfPunc</ability>
      <abilityName>全半角检查</abilityName>
      <candidateList>
        <item>（</item>
      </candidateList>
      <explain>文本全半角错误。</explain>
      <paraID>4D9C2992</paraID>
      <start>135</start>
      <end>136</end>
      <status>unmodified</status>
      <modifiedWord/>
      <trackRevisions>false</trackRevisions>
    </reviewItem>
    <reviewItem>
      <errorID>79070e17-af25-4478-8c06-14178a494811</errorID>
      <errorWord>)</errorWord>
      <group>L1_Format</group>
      <groupName>格式问题</groupName>
      <ability>L2_HalfPunc</ability>
      <abilityName>全半角检查</abilityName>
      <candidateList>
        <item>）</item>
      </candidateList>
      <explain>文本全半角错误。</explain>
      <paraID>4D9C2992</paraID>
      <start>155</start>
      <end>156</end>
      <status>unmodified</status>
      <modifiedWord/>
      <trackRevisions>false</trackRevisions>
    </reviewItem>
    <reviewItem>
      <errorID>40e60191-8047-4fea-b3f8-d16096583558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1D265BB5</paraID>
      <start>34</start>
      <end>35</end>
      <status>unmodified</status>
      <modifiedWord/>
      <trackRevisions>false</trackRevisions>
    </reviewItem>
    <reviewItem>
      <errorID>2007e10a-2764-486a-992d-e30f06ad7875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4013CBFF</paraID>
      <start>39</start>
      <end>40</end>
      <status>unmodified</status>
      <modifiedWord/>
      <trackRevisions>false</trackRevisions>
    </reviewItem>
    <reviewItem>
      <errorID>20486719-64cd-4bd1-b228-7c62343bdd48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3EFEE6ED</paraID>
      <start>26</start>
      <end>27</end>
      <status>unmodified</status>
      <modifiedWord/>
      <trackRevisions>false</trackRevisions>
    </reviewItem>
    <reviewItem>
      <errorID>3f5f4581-4a21-4d95-997b-452221361f1e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589A03</paraID>
      <start>28</start>
      <end>29</end>
      <status>unmodified</status>
      <modifiedWord/>
      <trackRevisions>false</trackRevisions>
    </reviewItem>
    <reviewItem>
      <errorID>e69a3ef5-eb2f-41fe-87de-185cf69507d1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906193A</paraID>
      <start>26</start>
      <end>27</end>
      <status>unmodified</status>
      <modifiedWord/>
      <trackRevisions>false</trackRevisions>
    </reviewItem>
    <reviewItem>
      <errorID>4437b5c0-d43a-4593-9a6e-b27ffe06f73d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540F829F</paraID>
      <start>53</start>
      <end>54</end>
      <status>unmodified</status>
      <modifiedWord/>
      <trackRevisions>false</trackRevisions>
    </reviewItem>
    <reviewItem>
      <errorID>0e2e7360-e6eb-4f57-a65a-f1829c164379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1538189F</paraID>
      <start>56</start>
      <end>57</end>
      <status>unmodified</status>
      <modifiedWord/>
      <trackRevisions>false</trackRevisions>
    </reviewItem>
    <reviewItem>
      <errorID>1cf1f366-b9c3-4555-b347-dbb756e44a0a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307560A5</paraID>
      <start>50</start>
      <end>51</end>
      <status>unmodified</status>
      <modifiedWord/>
      <trackRevisions>false</trackRevisions>
    </reviewItem>
    <reviewItem>
      <errorID>067bf0cb-7a5c-4693-ad36-61088b23c5ae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4A0C6A23</paraID>
      <start>52</start>
      <end>53</end>
      <status>unmodified</status>
      <modifiedWord/>
      <trackRevisions>false</trackRevisions>
    </reviewItem>
    <reviewItem>
      <errorID>bba1284f-646e-4f34-ba92-9ba32fca51fc</errorID>
      <errorWord>算数</errorWord>
      <group>L1_Word</group>
      <groupName>字词问题</groupName>
      <ability>L2_Typo</ability>
      <abilityName>字词错误</abilityName>
      <candidateList>
        <item>算术</item>
      </candidateList>
      <explain>〈名〉数学的一个分支，是数学中最基础、最初等的部分。主要研究零和正整数、正分数的记数法，在加、减、乘、除、乘方、开方运算下产生的数的性质、运算法则以及在社会实践中的应用。</explain>
      <paraID>1AF713E4</paraID>
      <start>16</start>
      <end>18</end>
      <status>unmodified</status>
      <modifiedWord/>
      <trackRevisions>false</trackRevisions>
    </reviewItem>
    <reviewItem>
      <errorID>260b970e-bea2-4371-afd2-a99957ec55fb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77AED56A</paraID>
      <start>0</start>
      <end>2</end>
      <status>unmodified</status>
      <modifiedWord/>
      <trackRevisions>false</trackRevisions>
    </reviewItem>
    <reviewItem>
      <errorID>53c58510-d064-4e6b-a3dd-9986a1a59f26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16C21681</paraID>
      <start>0</start>
      <end>2</end>
      <status>unmodified</status>
      <modifiedWord/>
      <trackRevisions>false</trackRevisions>
    </reviewItem>
    <reviewItem>
      <errorID>5e9dc21f-07b8-4950-90bb-321a6f3c7349</errorID>
      <errorWord>于</errorWord>
      <group>L1_Word</group>
      <groupName>字词问题</groupName>
      <ability>L2_Typo</ability>
      <abilityName>字词错误</abilityName>
      <candidateList>
        <item>于本</item>
      </candidateList>
      <explain/>
      <paraID>16C21681</paraID>
      <start>50</start>
      <end>51</end>
      <status>unmodified</status>
      <modifiedWord/>
      <trackRevisions>false</trackRevisions>
    </reviewItem>
    <reviewItem>
      <errorID>1e680324-7a71-45ae-9085-c888959f0eef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54E2FE78</paraID>
      <start>0</start>
      <end>2</end>
      <status>unmodified</status>
      <modifiedWord/>
      <trackRevisions>false</trackRevisions>
    </reviewItem>
    <reviewItem>
      <errorID>709d3f1f-0930-44d5-abfd-1b3d6b36ee83</errorID>
      <errorWord>:</errorWord>
      <group>L1_Format</group>
      <groupName>格式问题</groupName>
      <ability>L2_HalfPunc</ability>
      <abilityName>全半角检查</abilityName>
      <candidateList>
        <item>：</item>
      </candidateList>
      <explain>文本全半角错误。</explain>
      <paraID>11D1909F</paraID>
      <start>17</start>
      <end>18</end>
      <status>unmodified</status>
      <modifiedWord/>
      <trackRevisions>false</trackRevisions>
    </reviewItem>
    <reviewItem>
      <errorID>870b0af2-d3b6-4f93-a0e7-09306fd5d492</errorID>
      <errorWord>(</errorWord>
      <group>L1_Format</group>
      <groupName>格式问题</groupName>
      <ability>L2_HalfPunc</ability>
      <abilityName>全半角检查</abilityName>
      <candidateList>
        <item>（</item>
      </candidateList>
      <explain>文本全半角错误。</explain>
      <paraID>27C859A4</paraID>
      <start>3</start>
      <end>4</end>
      <status>unmodified</status>
      <modifiedWord/>
      <trackRevisions>false</trackRevisions>
    </reviewItem>
    <reviewItem>
      <errorID>ed792ecf-fcb2-40bc-9b31-40fb173a3041</errorID>
      <errorWord>):</errorWord>
      <group>L1_Format</group>
      <groupName>格式问题</groupName>
      <ability>L2_HalfPunc</ability>
      <abilityName>全半角检查</abilityName>
      <candidateList>
        <item>）：</item>
      </candidateList>
      <explain>文本全半角错误。</explain>
      <paraID>27C859A4</paraID>
      <start>10</start>
      <end>12</end>
      <status>unmodified</status>
      <modifiedWord/>
      <trackRevisions>false</trackRevisions>
    </reviewItem>
    <reviewItem>
      <errorID>5c5985ef-e149-4610-9870-b66c0d42043d</errorID>
      <errorWord>(</errorWord>
      <group>L1_Format</group>
      <groupName>格式问题</groupName>
      <ability>L2_HalfPunc</ability>
      <abilityName>全半角检查</abilityName>
      <candidateList>
        <item>（</item>
      </candidateList>
      <explain>文本全半角错误。</explain>
      <paraID>5FB8D5FA</paraID>
      <start>3</start>
      <end>4</end>
      <status>unmodified</status>
      <modifiedWord/>
      <trackRevisions>false</trackRevisions>
    </reviewItem>
    <reviewItem>
      <errorID>5c96c4ec-f683-4de1-8656-f19432b2d425</errorID>
      <errorWord>)</errorWord>
      <group>L1_Format</group>
      <groupName>格式问题</groupName>
      <ability>L2_HalfPunc</ability>
      <abilityName>全半角检查</abilityName>
      <candidateList>
        <item>）</item>
      </candidateList>
      <explain>文本全半角错误。</explain>
      <paraID>5FB8D5FA</paraID>
      <start>10</start>
      <end>11</end>
      <status>unmodified</status>
      <modifiedWord/>
      <trackRevisions>false</trackRevisions>
    </reviewItem>
    <reviewItem>
      <errorID>b3ad9067-ae19-4831-b180-b65598ef055f</errorID>
      <errorWord>法律、法规</errorWord>
      <group>L1_Word</group>
      <groupName>字词问题</groupName>
      <ability>L2_Typo</ability>
      <abilityName>字词错误</abilityName>
      <candidateList>
        <item>法律法规</item>
      </candidateList>
      <explain/>
      <paraID>7FBEF6E7</paraID>
      <start>17</start>
      <end>22</end>
      <status>unmodified</status>
      <modifiedWord/>
      <trackRevisions>false</trackRevisions>
    </reviewItem>
    <reviewItem>
      <errorID>deddc7d5-9365-41be-9348-cabb429d7a3c</errorID>
      <errorWord>计划开工日期为计划开工日期为</errorWord>
      <group>L1_Word</group>
      <groupName>字词问题</groupName>
      <ability>L2_Typo</ability>
      <abilityName>字词错误</abilityName>
      <candidateList>
        <item>计划开工日期为</item>
      </candidateList>
      <explain/>
      <paraID> E06EAB3</paraID>
      <start>14</start>
      <end>28</end>
      <status>unmodified</status>
      <modifiedWord/>
      <trackRevisions>false</trackRevisions>
    </reviewItem>
    <reviewItem>
      <errorID>ec32a1a7-c141-4d0e-bbda-865ffad88941</errorID>
      <errorWord>详见详见</errorWord>
      <group>L1_Word</group>
      <groupName>字词问题</groupName>
      <ability>L2_Typo</ability>
      <abilityName>字词错误</abilityName>
      <candidateList>
        <item>详见</item>
      </candidateList>
      <explain/>
      <paraID>7A81C64F</paraID>
      <start>4</start>
      <end>8</end>
      <status>unmodified</status>
      <modifiedWord/>
      <trackRevisions>false</trackRevisions>
    </reviewItem>
    <reviewItem>
      <errorID>c4fb0689-4445-4c8b-81fa-4d7035dea7e5</errorID>
      <errorWord>)</errorWord>
      <group>L1_Format</group>
      <groupName>格式问题</groupName>
      <ability>L2_HalfPunc</ability>
      <abilityName>全半角检查</abilityName>
      <candidateList>
        <item>）</item>
      </candidateList>
      <explain>文本全半角错误。</explain>
      <paraID> 22D65FF</paraID>
      <start>51</start>
      <end>52</end>
      <status>unmodified</status>
      <modifiedWord/>
      <trackRevisions>false</trackRevisions>
    </reviewItem>
    <reviewItem>
      <errorID>86a80404-ca05-49cb-9817-fdb1401a7f8d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79AEB49D</paraID>
      <start>0</start>
      <end>2</end>
      <status>unmodified</status>
      <modifiedWord/>
      <trackRevisions>false</trackRevisions>
    </reviewItem>
    <reviewItem>
      <errorID>f376035c-139f-4ff5-9b65-26db39dbbb34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C1334DB</paraID>
      <start>0</start>
      <end>2</end>
      <status>unmodified</status>
      <modifiedWord/>
      <trackRevisions>false</trackRevisions>
    </reviewItem>
    <reviewItem>
      <errorID>aa806440-1a92-44de-bcb1-06b35a6524ca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C1334DB</paraID>
      <start>15</start>
      <end>18</end>
      <status>unmodified</status>
      <modifiedWord/>
      <trackRevisions>false</trackRevisions>
    </reviewItem>
    <reviewItem>
      <errorID>23f9d739-08f2-4766-afaf-00757261f534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C1334DB</paraID>
      <start>21</start>
      <end>24</end>
      <status>unmodified</status>
      <modifiedWord/>
      <trackRevisions>false</trackRevisions>
    </reviewItem>
    <reviewItem>
      <errorID>e66a12e9-6d3f-4f7e-8dee-840e3ddc7f82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2AEB9917</paraID>
      <start>0</start>
      <end>2</end>
      <status>unmodified</status>
      <modifiedWord/>
      <trackRevisions>false</trackRevisions>
    </reviewItem>
    <reviewItem>
      <errorID>1b56aa86-298c-4e21-ad93-ac3c31c78419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E6B8FFD</paraID>
      <start>0</start>
      <end>2</end>
      <status>unmodified</status>
      <modifiedWord/>
      <trackRevisions>false</trackRevisions>
    </reviewItem>
    <reviewItem>
      <errorID>6db3db2e-b36b-4218-a2c9-ac0e5ea9d5de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21E1EBE0</paraID>
      <start>0</start>
      <end>2</end>
      <status>unmodified</status>
      <modifiedWord/>
      <trackRevisions>false</trackRevisions>
    </reviewItem>
    <reviewItem>
      <errorID>4ed4a1f1-4f14-4a0b-a050-966dd8e1b243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6193058D</paraID>
      <start>0</start>
      <end>2</end>
      <status>unmodified</status>
      <modifiedWord/>
      <trackRevisions>false</trackRevisions>
    </reviewItem>
    <reviewItem>
      <errorID>458e54ad-de13-4b89-8abe-547ae7605ea1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76C27288</paraID>
      <start>0</start>
      <end>2</end>
      <status>unmodified</status>
      <modifiedWord/>
      <trackRevisions>false</trackRevisions>
    </reviewItem>
    <reviewItem>
      <errorID>58fea744-c60d-49ab-8ea2-82f1305a403b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59DAD69A</paraID>
      <start>0</start>
      <end>2</end>
      <status>unmodified</status>
      <modifiedWord/>
      <trackRevisions>false</trackRevisions>
    </reviewItem>
    <reviewItem>
      <errorID>4fd9d43d-7fc5-42b8-87dd-3652bafb5d5f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4CD52974</paraID>
      <start>0</start>
      <end>2</end>
      <status>unmodified</status>
      <modifiedWord/>
      <trackRevisions>false</trackRevisions>
    </reviewItem>
    <reviewItem>
      <errorID>cbb4a641-2047-4b1f-aebd-60a9ace43fb3</errorID>
      <errorWord>(</errorWord>
      <group>L1_Format</group>
      <groupName>格式问题</groupName>
      <ability>L2_HalfPunc</ability>
      <abilityName>全半角检查</abilityName>
      <candidateList>
        <item>（</item>
      </candidateList>
      <explain>文本全半角错误。</explain>
      <paraID>  47AEF6</paraID>
      <start>0</start>
      <end>1</end>
      <status>unmodified</status>
      <modifiedWord/>
      <trackRevisions>false</trackRevisions>
    </reviewItem>
    <reviewItem>
      <errorID>8371b93c-afd3-434a-b997-1c4ee80911dc</errorID>
      <errorWord>)</errorWord>
      <group>L1_Format</group>
      <groupName>格式问题</groupName>
      <ability>L2_HalfPunc</ability>
      <abilityName>全半角检查</abilityName>
      <candidateList>
        <item>）</item>
      </candidateList>
      <explain>文本全半角错误。</explain>
      <paraID>  47AEF6</paraID>
      <start>6</start>
      <end>7</end>
      <status>unmodified</status>
      <modifiedWord/>
      <trackRevisions>false</trackRevisions>
    </reviewItem>
    <reviewItem>
      <errorID>8051ce94-16c5-488d-ba07-11a4fe409c81</errorID>
      <errorWord>(</errorWord>
      <group>L1_Format</group>
      <groupName>格式问题</groupName>
      <ability>L2_HalfPunc</ability>
      <abilityName>全半角检查</abilityName>
      <candidateList>
        <item>（</item>
      </candidateList>
      <explain>文本全半角错误。</explain>
      <paraID>66D200F6</paraID>
      <start>0</start>
      <end>1</end>
      <status>unmodified</status>
      <modifiedWord/>
      <trackRevisions>false</trackRevisions>
    </reviewItem>
    <reviewItem>
      <errorID>9162f8f5-df11-48cc-8b47-0b00f43a67a0</errorID>
      <errorWord>)</errorWord>
      <group>L1_Format</group>
      <groupName>格式问题</groupName>
      <ability>L2_HalfPunc</ability>
      <abilityName>全半角检查</abilityName>
      <candidateList>
        <item>）</item>
      </candidateList>
      <explain>文本全半角错误。</explain>
      <paraID>66D200F6</paraID>
      <start>3</start>
      <end>4</end>
      <status>unmodified</status>
      <modifiedWord/>
      <trackRevisions>false</trackRevisions>
    </reviewItem>
    <reviewItem>
      <errorID>338ac038-de69-48f0-9ffa-66234deebda9</errorID>
      <errorWord>(</errorWord>
      <group>L1_Format</group>
      <groupName>格式问题</groupName>
      <ability>L2_HalfPunc</ability>
      <abilityName>全半角检查</abilityName>
      <candidateList>
        <item>（</item>
      </candidateList>
      <explain>文本全半角错误。</explain>
      <paraID>562F3577</paraID>
      <start>0</start>
      <end>1</end>
      <status>unmodified</status>
      <modifiedWord/>
      <trackRevisions>false</trackRevisions>
    </reviewItem>
    <reviewItem>
      <errorID>5f4a9130-6c50-4a9d-9a17-afbdd1ddac21</errorID>
      <errorWord>)</errorWord>
      <group>L1_Format</group>
      <groupName>格式问题</groupName>
      <ability>L2_HalfPunc</ability>
      <abilityName>全半角检查</abilityName>
      <candidateList>
        <item>）</item>
      </candidateList>
      <explain>文本全半角错误。</explain>
      <paraID>562F3577</paraID>
      <start>3</start>
      <end>4</end>
      <status>unmodified</status>
      <modifiedWord/>
      <trackRevisions>false</trackRevisions>
    </reviewItem>
    <reviewItem>
      <errorID>7019b06b-002a-41be-8fb9-b3ca7e97c615</errorID>
      <errorWord>方</errorWord>
      <group>L1_Word</group>
      <groupName>字词问题</groupName>
      <ability>L2_Typo</ability>
      <abilityName>字词错误</abilityName>
      <candidateList>
        <item>方和</item>
      </candidateList>
      <explain/>
      <paraID>3D12A767</paraID>
      <start>15</start>
      <end>16</end>
      <status>unmodified</status>
      <modifiedWord/>
      <trackRevisions>false</trackRevisions>
    </reviewItem>
    <reviewItem>
      <errorID>6cd5ce93-fdb3-42cb-8a1b-674fd30c8e46</errorID>
      <errorWord>(</errorWord>
      <group>L1_Format</group>
      <groupName>格式问题</groupName>
      <ability>L2_HalfPunc</ability>
      <abilityName>全半角检查</abilityName>
      <candidateList>
        <item>（</item>
      </candidateList>
      <explain>文本全半角错误。</explain>
      <paraID>4F2E6C11</paraID>
      <start>20</start>
      <end>21</end>
      <status>unmodified</status>
      <modifiedWord/>
      <trackRevisions>false</trackRevisions>
    </reviewItem>
    <reviewItem>
      <errorID>890f9951-4f40-44c6-88ef-0bded777dc1a</errorID>
      <errorWord>)</errorWord>
      <group>L1_Format</group>
      <groupName>格式问题</groupName>
      <ability>L2_HalfPunc</ability>
      <abilityName>全半角检查</abilityName>
      <candidateList>
        <item>）</item>
      </candidateList>
      <explain>文本全半角错误。</explain>
      <paraID>4F2E6C11</paraID>
      <start>32</start>
      <end>33</end>
      <status>unmodified</status>
      <modifiedWord/>
      <trackRevisions>false</trackRevisions>
    </reviewItem>
    <reviewItem>
      <errorID>4ddd803f-cfc5-41ea-bd85-a0d83cd8001a</errorID>
      <errorWord>涉及到</errorWord>
      <group>L1_Grammar</group>
      <groupName>语法问题</groupName>
      <ability>L2_Grammar</ability>
      <abilityName>语法错误</abilityName>
      <candidateList>
        <item>涉及</item>
      </candidateList>
      <explain>〈动〉牵涉到；关联到：案子～好几个人｜这个问题～面很广。</explain>
      <paraID>2D532F21</paraID>
      <start>72</start>
      <end>75</end>
      <status>unmodified</status>
      <modifiedWord/>
      <trackRevisions>false</trackRevisions>
    </reviewItem>
    <reviewItem>
      <errorID>cc9910ca-9566-4d6a-b176-287c31f95782</errorID>
      <errorWord>提供的</errorWord>
      <group>L1_Word</group>
      <groupName>字词问题</groupName>
      <ability>L2_Typo</ability>
      <abilityName>字词错误</abilityName>
      <candidateList>
        <item>提供</item>
      </candidateList>
      <explain/>
      <paraID>3F0A06F2</paraID>
      <start>10</start>
      <end>13</end>
      <status>unmodified</status>
      <modifiedWord/>
      <trackRevisions>false</trackRevisions>
    </reviewItem>
    <reviewItem>
      <errorID>9c21c69c-1d9b-45e3-83d0-92eeb8638fbb</errorID>
      <errorWord>提供之</errorWord>
      <group>L1_Word</group>
      <groupName>字词问题</groupName>
      <ability>L2_Typo</ability>
      <abilityName>字词错误</abilityName>
      <candidateList>
        <item>提供</item>
      </candidateList>
      <explain/>
      <paraID>27277FB5</paraID>
      <start>71</start>
      <end>74</end>
      <status>unmodified</status>
      <modifiedWord/>
      <trackRevisions>false</trackRevisions>
    </reviewItem>
    <reviewItem>
      <errorID>61d8c82b-72dc-482b-b279-164cdd458dcc</errorID>
      <errorWord>涉及到</errorWord>
      <group>L1_Grammar</group>
      <groupName>语法问题</groupName>
      <ability>L2_Grammar</ability>
      <abilityName>语法错误</abilityName>
      <candidateList>
        <item>涉及</item>
      </candidateList>
      <explain>〈动〉牵涉到；关联到：案子～好几个人｜这个问题～面很广。</explain>
      <paraID>7C9E1AC2</paraID>
      <start>18</start>
      <end>21</end>
      <status>unmodified</status>
      <modifiedWord/>
      <trackRevisions>false</trackRevisions>
    </reviewItem>
    <reviewItem>
      <errorID>78231c07-0771-44f2-9b90-b9ba044b8486</errorID>
      <errorWord>方</errorWord>
      <group>L1_Word</group>
      <groupName>字词问题</groupName>
      <ability>L2_Typo</ability>
      <abilityName>字词错误</abilityName>
      <candidateList>
        <item>方与</item>
      </candidateList>
      <explain/>
      <paraID>732B81A7</paraID>
      <start>33</start>
      <end>36</end>
      <status>modified</status>
      <modifiedWord>方与</modifiedWord>
      <trackRevisions>true</trackRevisions>
    </reviewItem>
    <reviewItem>
      <errorID>f59f6c82-93be-4567-bbf0-14fc9512e9b0</errorID>
      <errorWord>部份</errorWord>
      <group>L1_Word</group>
      <groupName>字词问题</groupName>
      <ability>L2_Typo</ability>
      <abilityName>字词错误</abilityName>
      <candidateList>
        <item>部分</item>
      </candidateList>
      <explain>〈名〉整体中的局部；整体里的一些个体：检验机器各～的性能｜我校～师生参加了夏令营活动。</explain>
      <paraID>37B86D08</paraID>
      <start>18</start>
      <end>20</end>
      <status>unmodified</status>
      <modifiedWord/>
      <trackRevisions>false</trackRevisions>
    </reviewItem>
    <reviewItem>
      <errorID>bec3324b-7b07-44ae-8d50-b5af459e9d0f</errorID>
      <errorWord>，</errorWord>
      <group>L1_Word</group>
      <groupName>字词问题</groupName>
      <ability>L2_Typo</ability>
      <abilityName>字词错误</abilityName>
      <candidateList>
        <item>，除</item>
      </candidateList>
      <explain/>
      <paraID>2A395BEC</paraID>
      <start>108</start>
      <end>111</end>
      <status>modified</status>
      <modifiedWord>，除</modifiedWord>
      <trackRevisions>true</trackRevisions>
    </reviewItem>
    <reviewItem>
      <errorID>731f568a-545c-48ec-8b74-014a930945a8</errorID>
      <errorWord>接受</errorWord>
      <group>L1_Word</group>
      <groupName>字词问题</groupName>
      <ability>L2_Typo</ability>
      <abilityName>字词错误</abilityName>
      <candidateList>
        <item>接收</item>
      </candidateList>
      <explain>存在发音相同字词的误用。</explain>
      <paraID> E12FB8D</paraID>
      <start>6</start>
      <end>8</end>
      <status>unmodified</status>
      <modifiedWord/>
      <trackRevisions>false</trackRevisions>
    </reviewItem>
    <reviewItem>
      <errorID>a4e04dbd-5ca4-46b6-8138-5360cbd2fc7c</errorID>
      <errorWord>有</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1EC0F011</paraID>
      <start>38</start>
      <end>40</end>
      <status>modified</status>
      <modifiedWord>由</modifiedWord>
      <trackRevisions>true</trackRevisions>
    </reviewItem>
    <reviewItem>
      <errorID>c762a18e-34d4-4ec3-ae96-0f059d64d50e</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3F0BE5C8</paraID>
      <start>32</start>
      <end>34</end>
      <status>unmodified</status>
      <modifiedWord/>
      <trackRevisions>false</trackRevisions>
    </reviewItem>
    <reviewItem>
      <errorID>46127e74-c7aa-44c0-8a43-f814025ef24e</errorID>
      <errorWord>标示</errorWord>
      <group>L1_Word</group>
      <groupName>字词问题</groupName>
      <ability>L2_Typo</ability>
      <abilityName>字词错误</abilityName>
      <candidateList>
        <item>标识</item>
      </candidateList>
      <explain/>
      <paraID>6F1C8FEA</paraID>
      <start>57</start>
      <end>59</end>
      <status>unmodified</status>
      <modifiedWord/>
      <trackRevisions>false</trackRevisions>
    </reviewItem>
    <reviewItem>
      <errorID>d3bc0ba1-4d07-45f8-a14d-badbaaf4e773</errorID>
      <errorWord>位于今</errorWord>
      <group>L1_Word</group>
      <groupName>字词问题</groupName>
      <ability>L2_Typo</ability>
      <abilityName>字词错误</abilityName>
      <candidateList>
        <item>位于</item>
      </candidateList>
      <explain/>
      <paraID>6A31AB64</paraID>
      <start>220</start>
      <end>223</end>
      <status>unmodified</status>
      <modifiedWord/>
      <trackRevisions>false</trackRevisions>
    </reviewItem>
    <reviewItem>
      <errorID>480201a0-0602-4b8b-981c-4737bd5da917</errorID>
      <errorWord>乙方为</errorWord>
      <group>L1_Word</group>
      <groupName>字词问题</groupName>
      <ability>L2_Typo</ability>
      <abilityName>字词错误</abilityName>
      <candidateList>
        <item>乙方</item>
      </candidateList>
      <explain/>
      <paraID>1101A317</paraID>
      <start>6</start>
      <end>9</end>
      <status>unmodified</status>
      <modifiedWord/>
      <trackRevisions>false</trackRevisions>
    </reviewItem>
    <reviewItem>
      <errorID>f1d47a0a-56fc-4c96-84a1-60e5afb9164f</errorID>
      <errorWord>任何乙方</errorWord>
      <group>L1_Word</group>
      <groupName>字词问题</groupName>
      <ability>L2_Typo</ability>
      <abilityName>字词错误</abilityName>
      <candidateList>
        <item>任何一方</item>
      </candidateList>
      <explain>存在发音相同字词的误用。</explain>
      <paraID>43772C89</paraID>
      <start>152</start>
      <end>156</end>
      <status>unmodified</status>
      <modifiedWord/>
      <trackRevisions>false</trackRevisions>
    </reviewItem>
    <reviewItem>
      <errorID>94f87f0d-43d3-411b-899d-7dd0c9434a70</errorID>
      <errorWord>要收</errorWord>
      <group>L1_Word</group>
      <groupName>字词问题</groupName>
      <ability>L2_Typo</ability>
      <abilityName>字词错误</abilityName>
      <candidateList>
        <item>验收</item>
      </candidateList>
      <explain/>
      <paraID>3F7DC8B1</paraID>
      <start>323</start>
      <end>325</end>
      <status>modified</status>
      <modifiedWord>验收</modifiedWord>
      <trackRevisions>true</trackRevisions>
    </reviewItem>
    <reviewItem>
      <errorID>10530eb4-290d-4b56-ab2e-ac676f529a56</errorID>
      <errorWord>给</errorWord>
      <group>L1_Word</group>
      <groupName>字词问题</groupName>
      <ability>L2_Typo</ability>
      <abilityName>字词错误</abilityName>
      <candidateList>
        <item>给予</item>
      </candidateList>
      <explain>〈书〉〈动〉给（ɡěi）：～帮助｜～同情｜～亲切的关怀。也作给与。</explain>
      <paraID> F3F7A99</paraID>
      <start>188</start>
      <end>189</end>
      <status>unmodified</status>
      <modifiedWord/>
      <trackRevisions>false</trackRevisions>
    </reviewItem>
    <reviewItem>
      <errorID>9718d4b5-84f5-4ee8-be5d-63712b5da80c</errorID>
      <errorWord>帐号的</errorWord>
      <group>L1_Word</group>
      <groupName>字词问题</groupName>
      <ability>L2_Alias</ability>
      <abilityName>也作/曾用词</abilityName>
      <candidateList>
        <item>账号的</item>
      </candidateList>
      <explain>词汇[帐号的]为不规范表述或旧称，其规范书面表述为[账号的]。</explain>
      <paraID>2138F79A</paraID>
      <start>45</start>
      <end>51</end>
      <status>modified</status>
      <modifiedWord>账号的</modifiedWord>
      <trackRevisions>true</trackRevisions>
    </reviewItem>
    <reviewItem>
      <errorID>22ac549e-53e3-429e-95ed-1c63a6733e55</errorID>
      <errorWord>提取</errorWord>
      <group>L1_Word</group>
      <groupName>字词问题</groupName>
      <ability>L2_Typo</ability>
      <abilityName>字词错误</abilityName>
      <candidateList>
        <item>提</item>
      </candidateList>
      <explain/>
      <paraID>  E44261</paraID>
      <start>82</start>
      <end>84</end>
      <status>unmodified</status>
      <modifiedWord/>
      <trackRevisions>false</trackRevisions>
    </reviewItem>
    <reviewItem>
      <errorID>7d7be355-9abf-40da-b992-32970d14aef2</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200D1AA</paraID>
      <start>0</start>
      <end>2</end>
      <status>unmodified</status>
      <modifiedWord/>
      <trackRevisions>false</trackRevisions>
    </reviewItem>
    <reviewItem>
      <errorID>bfce03e8-1b4c-4529-931f-520d6ffaf0c2</errorID>
      <errorWord>b)</errorWord>
      <group>L1_Format</group>
      <groupName>格式问题</groupName>
      <ability>L2_Ordinal</ability>
      <abilityName>序号格式</abilityName>
      <candidateList>
        <item>b）</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41BDAE7D</paraID>
      <start>0</start>
      <end>2</end>
      <status>unmodified</status>
      <modifiedWord/>
      <trackRevisions>false</trackRevisions>
    </reviewItem>
    <reviewItem>
      <errorID>3655b82a-1771-4a81-b279-d14bb89ae20a</errorID>
      <errorWord>c)</errorWord>
      <group>L1_Format</group>
      <groupName>格式问题</groupName>
      <ability>L2_Ordinal</ability>
      <abilityName>序号格式</abilityName>
      <candidateList>
        <item>c）</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1AA3B0AF</paraID>
      <start>0</start>
      <end>2</end>
      <status>unmodified</status>
      <modifiedWord/>
      <trackRevisions>false</trackRevisions>
    </reviewItem>
    <reviewItem>
      <errorID>b67917ab-e8ed-48f3-ae24-856c36e5ba17</errorID>
      <errorWord>属</errorWord>
      <group>L1_Word</group>
      <groupName>字词问题</groupName>
      <ability>L2_Typo</ability>
      <abilityName>字词错误</abilityName>
      <candidateList>
        <item>属于</item>
      </candidateList>
      <explain/>
      <paraID>5A746029</paraID>
      <start>45</start>
      <end>46</end>
      <status>unmodified</status>
      <modifiedWord/>
      <trackRevisions>false</trackRevisions>
    </reviewItem>
    <reviewItem>
      <errorID>525377e7-84b8-4e8b-b204-718a785822be</errorID>
      <errorWord>）内</errorWord>
      <group>L1_Word</group>
      <groupName>字词问题</groupName>
      <ability>L2_Typo</ability>
      <abilityName>字词错误</abilityName>
      <candidateList>
        <item>）</item>
      </candidateList>
      <explain/>
      <paraID>28228130</paraID>
      <start>39</start>
      <end>41</end>
      <status>unmodified</status>
      <modifiedWord/>
      <trackRevisions>false</trackRevisions>
    </reviewItem>
    <reviewItem>
      <errorID>17b34837-fd88-4f1c-a485-915c5472e502</errorID>
      <errorWord>无须</errorWord>
      <group>L1_Word</group>
      <groupName>字词问题</groupName>
      <ability>L2_Typo</ability>
      <abilityName>字词错误</abilityName>
      <candidateList>
        <item>无需</item>
      </candidateList>
      <explain>存在发音相同字词的误用。</explain>
      <paraID>5F52DF4B</paraID>
      <start>42</start>
      <end>44</end>
      <status>unmodified</status>
      <modifiedWord/>
      <trackRevisions>false</trackRevisions>
    </reviewItem>
    <reviewItem>
      <errorID>0c043eb7-5a7a-46f9-8a56-59e71f9d5276</errorID>
      <errorWord>须</errorWord>
      <group>L1_Word</group>
      <groupName>字词问题</groupName>
      <ability>L2_Typo</ability>
      <abilityName>字词错误</abilityName>
      <candidateList>
        <item>需</item>
      </candidateList>
      <explain>❶〈动〉需要：～求｜按～分配｜完成任务还～五天时间。❷需用的东西：军～。</explain>
      <paraID>5F52DF4B</paraID>
      <start>78</start>
      <end>79</end>
      <status>unmodified</status>
      <modifiedWord/>
      <trackRevisions>false</trackRevisions>
    </reviewItem>
    <reviewItem>
      <errorID>b81ada8c-2f7a-4236-b917-bb2440368a0b</errorID>
      <errorWord>由</errorWord>
      <group>L1_Word</group>
      <groupName>字词问题</groupName>
      <ability>L2_Typo</ability>
      <abilityName>字词错误</abilityName>
      <candidateList>
        <item>自</item>
      </candidateList>
      <explain>存在字形相近字词的误用。</explain>
      <paraID>3CB3B7EB</paraID>
      <start>39</start>
      <end>41</end>
      <status>modified</status>
      <modifiedWord>自</modifiedWord>
      <trackRevisions>true</trackRevisions>
    </reviewItem>
    <reviewItem>
      <errorID>5564cd07-4c27-41bd-befc-63ee8b5829c3</errorID>
      <errorWord>须</errorWord>
      <group>L1_Word</group>
      <groupName>字词问题</groupName>
      <ability>L2_Typo</ability>
      <abilityName>字词错误</abilityName>
      <candidateList>
        <item>需</item>
      </candidateList>
      <explain>存在发音相同字词的误用。</explain>
      <paraID>2002D043</paraID>
      <start>7</start>
      <end>8</end>
      <status>unmodified</status>
      <modifiedWord/>
      <trackRevisions>false</trackRevisions>
    </reviewItem>
    <reviewItem>
      <errorID>8401eecc-b438-48c5-a367-a238c431b7ee</errorID>
      <errorWord>总</errorWord>
      <group>L1_Word</group>
      <groupName>字词问题</groupName>
      <ability>L2_Typo</ability>
      <abilityName>字词错误</abilityName>
      <candidateList>
        <item>总承</item>
      </candidateList>
      <explain/>
      <paraID>2002D043</paraID>
      <start>37</start>
      <end>38</end>
      <status>unmodified</status>
      <modifiedWord/>
      <trackRevisions>false</trackRevisions>
    </reviewItem>
    <reviewItem>
      <errorID>b97720fb-683b-4b48-b1b9-23476d33b051</errorID>
      <errorWord>发</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2A9F6936</paraID>
      <start>30</start>
      <end>31</end>
      <status>unmodified</status>
      <modifiedWord/>
      <trackRevisions>false</trackRevisions>
    </reviewItem>
    <reviewItem>
      <errorID>41f7ccb2-0ff0-4760-a027-3c9bd3e2c35f</errorID>
      <errorWord>告之</errorWord>
      <group>L1_Word</group>
      <groupName>字词问题</groupName>
      <ability>L2_Typo</ability>
      <abilityName>字词错误</abilityName>
      <candidateList>
        <item>告知</item>
      </candidateList>
      <explain>〈动〉告诉使知道：把通信地址～在京的同学。</explain>
      <paraID>188A8240</paraID>
      <start>37</start>
      <end>41</end>
      <status>modified</status>
      <modifiedWord>告知</modifiedWord>
      <trackRevisions>true</trackRevisions>
    </reviewItem>
    <reviewItem>
      <errorID>8cd7067c-50f3-4f8f-b0d2-23bd834a643e</errorID>
      <errorWord>及时并</errorWord>
      <group>L1_Word</group>
      <groupName>字词问题</groupName>
      <ability>L2_Typo</ability>
      <abilityName>字词错误</abilityName>
      <candidateList>
        <item>及时</item>
      </candidateList>
      <explain>❶〈形〉正赶上时候；适合需要：～雨｜他来得很～。❷〈副〉不拖延；马上；立刻：有问题就～解决。</explain>
      <paraID>788113C1</paraID>
      <start>31</start>
      <end>34</end>
      <status>unmodified</status>
      <modifiedWord/>
      <trackRevisions>false</trackRevisions>
    </reviewItem>
    <reviewItem>
      <errorID>539cd1e6-a9c4-48db-9321-5e339c1222f3</errorID>
      <errorWord>责</errorWord>
      <group>L1_Word</group>
      <groupName>字词问题</groupName>
      <ability>L2_Typo</ability>
      <abilityName>字词错误</abilityName>
      <candidateList>
        <item>责人</item>
      </candidateList>
      <explain/>
      <paraID>2259AA20</paraID>
      <start>38</start>
      <end>41</end>
      <status>modified</status>
      <modifiedWord>责人</modifiedWord>
      <trackRevisions>true</trackRevisions>
    </reviewItem>
    <reviewItem>
      <errorID>be9bbdff-1d00-4a60-93d1-ab4c10a8e3d1</errorID>
      <errorWord>(</errorWord>
      <group>L1_Format</group>
      <groupName>格式问题</groupName>
      <ability>L2_HalfPunc</ability>
      <abilityName>全半角检查</abilityName>
      <candidateList>
        <item>（</item>
      </candidateList>
      <explain>文本全半角错误。</explain>
      <paraID>18E11290</paraID>
      <start>4</start>
      <end>5</end>
      <status>unmodified</status>
      <modifiedWord/>
      <trackRevisions>false</trackRevisions>
    </reviewItem>
    <reviewItem>
      <errorID>e7d24755-6801-46da-abf5-f6a426d001ce</errorID>
      <errorWord>)</errorWord>
      <group>L1_Format</group>
      <groupName>格式问题</groupName>
      <ability>L2_HalfPunc</ability>
      <abilityName>全半角检查</abilityName>
      <candidateList>
        <item>）</item>
      </candidateList>
      <explain>文本全半角错误。</explain>
      <paraID>18E11290</paraID>
      <start>6</start>
      <end>7</end>
      <status>unmodified</status>
      <modifiedWord/>
      <trackRevisions>false</trackRevisions>
    </reviewItem>
    <reviewItem>
      <errorID>65304903-d2d1-4ec5-9445-d7fdc5dd5166</errorID>
      <errorWord>(</errorWord>
      <group>L1_Format</group>
      <groupName>格式问题</groupName>
      <ability>L2_HalfPunc</ability>
      <abilityName>全半角检查</abilityName>
      <candidateList>
        <item>（</item>
      </candidateList>
      <explain>文本全半角错误。</explain>
      <paraID>7938B058</paraID>
      <start>4</start>
      <end>5</end>
      <status>unmodified</status>
      <modifiedWord/>
      <trackRevisions>false</trackRevisions>
    </reviewItem>
    <reviewItem>
      <errorID>f1b6d71c-06d0-4550-8163-ac216db73f7c</errorID>
      <errorWord>)</errorWord>
      <group>L1_Format</group>
      <groupName>格式问题</groupName>
      <ability>L2_HalfPunc</ability>
      <abilityName>全半角检查</abilityName>
      <candidateList>
        <item>）</item>
      </candidateList>
      <explain>文本全半角错误。</explain>
      <paraID>7938B058</paraID>
      <start>6</start>
      <end>7</end>
      <status>unmodified</status>
      <modifiedWord/>
      <trackRevisions>false</trackRevisions>
    </reviewItem>
    <reviewItem>
      <errorID>cc525871-0e62-45f9-9de3-514f3bc42651</errorID>
      <errorWord>其它</errorWord>
      <group>L1_Word</group>
      <groupName>字词问题</groupName>
      <ability>L2_Alias</ability>
      <abilityName>也作/曾用词</abilityName>
      <candidateList>
        <item>其他</item>
      </candidateList>
      <explain>词汇[其它]为不规范表述或旧称，其规范书面表述为[其他]。</explain>
      <paraID>562E299E</paraID>
      <start>76</start>
      <end>78</end>
      <status>unmodified</status>
      <modifiedWord/>
      <trackRevisions>false</trackRevisions>
    </reviewItem>
    <reviewItem>
      <errorID>745c6bf7-a24c-4453-bc54-e1a0a8349067</errorID>
      <errorWord>求</errorWord>
      <group>L1_Word</group>
      <groupName>字词问题</groupName>
      <ability>L2_Typo</ability>
      <abilityName>字词错误</abilityName>
      <candidateList>
        <item>求和</item>
      </candidateList>
      <explain/>
      <paraID>6E675490</paraID>
      <start>11</start>
      <end>12</end>
      <status>unmodified</status>
      <modifiedWord/>
      <trackRevisions>false</trackRevisions>
    </reviewItem>
    <reviewItem>
      <errorID>88ed91ff-6983-42d9-b473-ffc166303aa5</errorID>
      <errorWord>，</errorWord>
      <group>L1_Word</group>
      <groupName>字词问题</groupName>
      <ability>L2_Typo</ability>
      <abilityName>字词错误</abilityName>
      <candidateList>
        <item>，在</item>
      </candidateList>
      <explain/>
      <paraID>1D844405</paraID>
      <start>25</start>
      <end>26</end>
      <status>unmodified</status>
      <modifiedWord/>
      <trackRevisions>false</trackRevisions>
    </reviewItem>
    <reviewItem>
      <errorID>de8168a6-4c50-439b-8db3-48bdc27c5ed7</errorID>
      <errorWord>需具备</errorWord>
      <group>L1_Word</group>
      <groupName>字词问题</groupName>
      <ability>L2_Typo</ability>
      <abilityName>字词错误</abilityName>
      <candidateList>
        <item>须具备</item>
      </candidateList>
      <explain/>
      <paraID>1D844405</paraID>
      <start>70</start>
      <end>73</end>
      <status>unmodified</status>
      <modifiedWord/>
      <trackRevisions>false</trackRevisions>
    </reviewItem>
    <reviewItem>
      <errorID>6cdb583d-c070-4dee-8c31-d40b706f040b</errorID>
      <errorWord>帐号的</errorWord>
      <group>L1_Word</group>
      <groupName>字词问题</groupName>
      <ability>L2_Alias</ability>
      <abilityName>也作/曾用词</abilityName>
      <candidateList>
        <item>账号的</item>
      </candidateList>
      <explain>词汇[帐号的]为不规范表述或旧称，其规范书面表述为[账号的]。</explain>
      <paraID>46E5D6FF</paraID>
      <start>45</start>
      <end>51</end>
      <status>modified</status>
      <modifiedWord>账号的</modifiedWord>
      <trackRevisions>true</trackRevisions>
    </reviewItem>
    <reviewItem>
      <errorID>ee77b7d2-aaa4-45fe-a7ed-cfd713d0e27b</errorID>
      <errorWord>税务</errorWord>
      <group>L1_Word</group>
      <groupName>字词问题</groupName>
      <ability>L2_Typo</ability>
      <abilityName>字词错误</abilityName>
      <candidateList>
        <item>税</item>
      </candidateList>
      <explain/>
      <paraID>69565969</paraID>
      <start>43</start>
      <end>45</end>
      <status>unmodified</status>
      <modifiedWord/>
      <trackRevisions>false</trackRevisions>
    </reviewItem>
    <reviewItem>
      <errorID>8ecb3c73-90fb-46f2-8cb5-fcf3b12c739b</errorID>
      <errorWord>有</errorWord>
      <group>L1_Word</group>
      <groupName>字词问题</groupName>
      <ability>L2_Typo</ability>
      <abilityName>字词错误</abilityName>
      <candidateList>
        <item>由</item>
      </candidateList>
      <explain>❶缘由：因～｜事～｜理～。❷〈介〉由于▲：咎～自取｜～感冒引起了肺炎。❸经过：必～之路。❹〈介〉表示经由：～南门入场。❺〈动〉顺随；听从：事不～己｜～着性子。❻〈介〉归（某人去做）：准备工作～我负责｜队长～你担任。❼〈介〉表示凭借：～此可知｜人体是～各种细胞组成的。❽〈介〉表示起点：～表及里｜～北京出发。</explain>
      <paraID>3269CA0E</paraID>
      <start>30</start>
      <end>32</end>
      <status>modified</status>
      <modifiedWord>由</modifiedWord>
      <trackRevisions>true</trackRevisions>
    </reviewItem>
    <reviewItem>
      <errorID>ee08f77b-02aa-4704-b5e7-37930268dbd5</errorID>
      <errorWord>超过90天以上</errorWord>
      <group>L1_Grammar</group>
      <groupName>语法问题</groupName>
      <ability>L2_Grammar</ability>
      <abilityName>语法错误</abilityName>
      <candidateList>
        <item>超过90天</item>
      </candidateList>
      <explain/>
      <paraID>13ED6A23</paraID>
      <start>85</start>
      <end>92</end>
      <status>unmodified</status>
      <modifiedWord/>
      <trackRevisions>false</trackRevisions>
    </reviewItem>
    <reviewItem>
      <errorID>61b746f1-a0cf-4192-8031-12d3824e921d</errorID>
      <errorWord>（</errorWord>
      <group>L1_Punc</group>
      <groupName>标点问题</groupName>
      <ability>L2_Punc</ability>
      <abilityName>标点符号检查</abilityName>
      <candidateList>
        <item/>
      </candidateList>
      <explain>同一形式括号套用。</explain>
      <paraID>1F382089</paraID>
      <start>16</start>
      <end>17</end>
      <status>unmodified</status>
      <modifiedWord/>
      <trackRevisions>false</trackRevisions>
    </reviewItem>
    <reviewItem>
      <errorID>3ad85c4f-5e2a-408d-ad95-3e5cfa9fa395</errorID>
      <errorWord>(</errorWord>
      <group>L1_Punc</group>
      <groupName>标点问题</groupName>
      <ability>L2_Punc</ability>
      <abilityName>标点符号检查</abilityName>
      <candidateList/>
      <explain>同一形式括号套用。</explain>
      <paraID>1F382089</paraID>
      <start>24</start>
      <end>25</end>
      <status>unmodified</status>
      <modifiedWord/>
      <trackRevisions>false</trackRevisions>
    </reviewItem>
    <reviewItem>
      <errorID>d8345c7c-4513-40a6-99f7-2bb67b71d08c</errorID>
      <errorWord>)</errorWord>
      <group>L1_Punc</group>
      <groupName>标点问题</groupName>
      <ability>L2_Punc</ability>
      <abilityName>标点符号检查</abilityName>
      <candidateList/>
      <explain>同一形式括号套用。</explain>
      <paraID>1F382089</paraID>
      <start>34</start>
      <end>35</end>
      <status>unmodified</status>
      <modifiedWord/>
      <trackRevisions>false</trackRevisions>
    </reviewItem>
    <reviewItem>
      <errorID>57684143-7da4-44ab-bd7e-822e97986887</errorID>
      <errorWord>）</errorWord>
      <group>L1_Punc</group>
      <groupName>标点问题</groupName>
      <ability>L2_Punc</ability>
      <abilityName>标点符号检查</abilityName>
      <candidateList/>
      <explain>同一形式括号套用。</explain>
      <paraID>1F382089</paraID>
      <start>41</start>
      <end>42</end>
      <status>unmodified</status>
      <modifiedWord/>
      <trackRevisions>false</trackRevisions>
    </reviewItem>
    <reviewItem>
      <errorID>dcdfcaf2-16f1-4c5f-93bb-c7e041c83523</errorID>
      <errorWord>(</errorWord>
      <group>L1_Format</group>
      <groupName>格式问题</groupName>
      <ability>L2_HalfPunc</ability>
      <abilityName>全半角检查</abilityName>
      <candidateList>
        <item>（</item>
      </candidateList>
      <explain>文本全半角错误。</explain>
      <paraID>1313581A</paraID>
      <start>8</start>
      <end>9</end>
      <status>unmodified</status>
      <modifiedWord/>
      <trackRevisions>false</trackRevisions>
    </reviewItem>
    <reviewItem>
      <errorID>8521a673-9993-4396-aaa0-ef1f14c14ab6</errorID>
      <errorWord>)</errorWord>
      <group>L1_Format</group>
      <groupName>格式问题</groupName>
      <ability>L2_HalfPunc</ability>
      <abilityName>全半角检查</abilityName>
      <candidateList>
        <item>）</item>
      </candidateList>
      <explain>文本全半角错误。</explain>
      <paraID>1313581A</paraID>
      <start>21</start>
      <end>22</end>
      <status>unmodified</status>
      <modifiedWord/>
      <trackRevisions>false</trackRevisions>
    </reviewItem>
    <reviewItem>
      <errorID>dec97ad7-3894-44ba-b919-d307461aabcb</errorID>
      <errorWord>实施实施</errorWord>
      <group>L1_Word</group>
      <groupName>字词问题</groupName>
      <ability>L2_Typo</ability>
      <abilityName>字词错误</abilityName>
      <candidateList>
        <item>实施</item>
      </candidateList>
      <explain>〈动〉实行（法令、政策等）：付诸～｜～细则｜～新的办法。</explain>
      <paraID>1D71AD59</paraID>
      <start>26</start>
      <end>30</end>
      <status>unmodified</status>
      <modifiedWord/>
      <trackRevisions>false</trackRevisions>
    </reviewItem>
    <reviewItem>
      <errorID>74033cb0-07f2-4bb9-b48c-85ad0a6bd17b</errorID>
      <errorWord>须</errorWord>
      <group>L1_Word</group>
      <groupName>字词问题</groupName>
      <ability>L2_Typo</ability>
      <abilityName>字词错误</abilityName>
      <candidateList>
        <item>需</item>
      </candidateList>
      <explain>存在发音相同字词的误用。</explain>
      <paraID>1D71AD59</paraID>
      <start>84</start>
      <end>85</end>
      <status>unmodified</status>
      <modifiedWord/>
      <trackRevisions>false</trackRevisions>
    </reviewItem>
    <reviewItem>
      <errorID>432e7b64-9f02-43b8-b5ee-4674f59865b6</errorID>
      <errorWord>作必要</errorWord>
      <group>L1_Word</group>
      <groupName>字词问题</groupName>
      <ability>L2_Typo</ability>
      <abilityName>字词错误</abilityName>
      <candidateList>
        <item>做必要</item>
      </candidateList>
      <explain/>
      <paraID>1D7E706C</paraID>
      <start>97</start>
      <end>100</end>
      <status>unmodified</status>
      <modifiedWord/>
      <trackRevisions>false</trackRevisions>
    </reviewItem>
    <reviewItem>
      <errorID>3a1e8eac-27ac-49a9-9ed0-b476247f53a1</errorID>
      <errorWord>(</errorWord>
      <group>L1_Format</group>
      <groupName>格式问题</groupName>
      <ability>L2_HalfPunc</ability>
      <abilityName>全半角检查</abilityName>
      <candidateList>
        <item>（</item>
      </candidateList>
      <explain>文本全半角错误。</explain>
      <paraID>4CB544DE</paraID>
      <start>15</start>
      <end>16</end>
      <status>unmodified</status>
      <modifiedWord/>
      <trackRevisions>false</trackRevisions>
    </reviewItem>
    <reviewItem>
      <errorID>e67c8722-c268-4eb8-9aa9-800d66b8c2dd</errorID>
      <errorWord>)</errorWord>
      <group>L1_Format</group>
      <groupName>格式问题</groupName>
      <ability>L2_HalfPunc</ability>
      <abilityName>全半角检查</abilityName>
      <candidateList>
        <item>）</item>
      </candidateList>
      <explain>文本全半角错误。</explain>
      <paraID>4CB544DE</paraID>
      <start>23</start>
      <end>24</end>
      <status>unmodified</status>
      <modifiedWord/>
      <trackRevisions>false</trackRevisions>
    </reviewItem>
    <reviewItem>
      <errorID>ec24ad3b-e11e-4fe2-ad45-9f9b2e2860eb</errorID>
      <errorWord>(</errorWord>
      <group>L1_Format</group>
      <groupName>格式问题</groupName>
      <ability>L2_HalfPunc</ability>
      <abilityName>全半角检查</abilityName>
      <candidateList>
        <item>（</item>
      </candidateList>
      <explain>文本全半角错误。</explain>
      <paraID>52618524</paraID>
      <start>7</start>
      <end>8</end>
      <status>unmodified</status>
      <modifiedWord/>
      <trackRevisions>false</trackRevisions>
    </reviewItem>
    <reviewItem>
      <errorID>a453a3ec-3fe2-4026-9906-d4b951e2ea08</errorID>
      <errorWord>)</errorWord>
      <group>L1_Format</group>
      <groupName>格式问题</groupName>
      <ability>L2_HalfPunc</ability>
      <abilityName>全半角检查</abilityName>
      <candidateList>
        <item>）</item>
      </candidateList>
      <explain>文本全半角错误。</explain>
      <paraID>52618524</paraID>
      <start>15</start>
      <end>16</end>
      <status>unmodified</status>
      <modifiedWord/>
      <trackRevisions>false</trackRevisions>
    </reviewItem>
    <reviewItem>
      <errorID>abf81070-2c03-4577-83e8-1dcf5f269739</errorID>
      <errorWord>作必要</errorWord>
      <group>L1_Word</group>
      <groupName>字词问题</groupName>
      <ability>L2_Typo</ability>
      <abilityName>字词错误</abilityName>
      <candidateList>
        <item>做必要</item>
      </candidateList>
      <explain/>
      <paraID>51A1E53E</paraID>
      <start>95</start>
      <end>98</end>
      <status>unmodified</status>
      <modifiedWord/>
      <trackRevisions>false</trackRevisions>
    </reviewItem>
    <reviewItem>
      <errorID>a899f56a-51b2-42f7-b6aa-7f9761e52350</errorID>
      <errorWord>其它</errorWord>
      <group>L1_Word</group>
      <groupName>字词问题</groupName>
      <ability>L2_Alias</ability>
      <abilityName>也作/曾用词</abilityName>
      <candidateList>
        <item>其他</item>
      </candidateList>
      <explain>词汇[其它]为不规范表述或旧称，其规范书面表述为[其他]。</explain>
      <paraID>67811F16</paraID>
      <start>6</start>
      <end>8</end>
      <status>unmodified</status>
      <modifiedWord/>
      <trackRevisions>false</trackRevisions>
    </reviewItem>
    <reviewItem>
      <errorID>79ac0287-ea45-4a49-a339-fcc65cf6f87a</errorID>
      <errorWord>(</errorWord>
      <group>L1_Format</group>
      <groupName>格式问题</groupName>
      <ability>L2_HalfPunc</ability>
      <abilityName>全半角检查</abilityName>
      <candidateList>
        <item>（</item>
      </candidateList>
      <explain>文本全半角错误。</explain>
      <paraID>7D81EF7B</paraID>
      <start>46</start>
      <end>47</end>
      <status>unmodified</status>
      <modifiedWord/>
      <trackRevisions>false</trackRevisions>
    </reviewItem>
    <reviewItem>
      <errorID>fe1450b2-f2e0-4348-b32a-e044696d0af2</errorID>
      <errorWord>)</errorWord>
      <group>L1_Format</group>
      <groupName>格式问题</groupName>
      <ability>L2_HalfPunc</ability>
      <abilityName>全半角检查</abilityName>
      <candidateList>
        <item>）</item>
      </candidateList>
      <explain>文本全半角错误。</explain>
      <paraID>7D81EF7B</paraID>
      <start>50</start>
      <end>51</end>
      <status>unmodified</status>
      <modifiedWord/>
      <trackRevisions>false</trackRevisions>
    </reviewItem>
    <reviewItem>
      <errorID>5e780b93-6cb2-498f-868b-66ee1d35e3cf</errorID>
      <errorWord>,</errorWord>
      <group>L1_Format</group>
      <groupName>格式问题</groupName>
      <ability>L2_HalfPunc</ability>
      <abilityName>全半角检查</abilityName>
      <candidateList>
        <item>，</item>
      </candidateList>
      <explain>文本全半角错误。</explain>
      <paraID>45813EC1</paraID>
      <start>22</start>
      <end>23</end>
      <status>unmodified</status>
      <modifiedWord/>
      <trackRevisions>false</trackRevisions>
    </reviewItem>
    <reviewItem>
      <errorID>ccaf5d4b-9ae1-41bf-9209-67e5da872660</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4E80E2D4</paraID>
      <start>16</start>
      <end>19</end>
      <status>unmodified</status>
      <modifiedWord/>
      <trackRevisions>false</trackRevisions>
    </reviewItem>
    <reviewItem>
      <errorID>b2816255-6b5d-4034-95b2-738b51b009c4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4E80E2D4</paraID>
      <start>36</start>
      <end>39</end>
      <status>unmodified</status>
      <modifiedWord/>
      <trackRevisions>false</trackRevisions>
    </reviewItem>
    <reviewItem>
      <errorID>752dc929-1872-41e2-8aed-d6d95085b710</errorID>
      <errorWord>其它必要的</errorWord>
      <group>L1_Word</group>
      <groupName>字词问题</groupName>
      <ability>L2_Alias</ability>
      <abilityName>也作/曾用词</abilityName>
      <candidateList>
        <item>其他必要的</item>
      </candidateList>
      <explain>词汇[其它必要的]为不规范表述或旧称，其规范书面表述为[其他必要的]。</explain>
      <paraID>2788CC9E</paraID>
      <start>3</start>
      <end>8</end>
      <status>unmodified</status>
      <modifiedWord/>
      <trackRevisions>false</trackRevisions>
    </reviewItem>
    <reviewItem>
      <errorID>be2ac1ed-43f8-4fe6-886f-2faac5ca568a</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1AA7DC6F</paraID>
      <start>33</start>
      <end>35</end>
      <status>unmodified</status>
      <modifiedWord/>
      <trackRevisions>false</trackRevisions>
    </reviewItem>
    <reviewItem>
      <errorID>045c6832-1708-49cb-aa6e-bd58aea6626a</errorID>
      <errorWord>发出去</errorWord>
      <group>L1_Word</group>
      <groupName>字词问题</groupName>
      <ability>L2_Typo</ability>
      <abilityName>字词错误</abilityName>
      <candidateList>
        <item>发出</item>
      </candidateList>
      <explain>〈动〉❶发生（声音、气味等）：～笑声。❷发布（命令、指示）：～号召｜～通告。❸送出（货物、信件等）；开出（车辆等）。</explain>
      <paraID>53B2E70B</paraID>
      <start>43</start>
      <end>46</end>
      <status>unmodified</status>
      <modifiedWord/>
      <trackRevisions>false</trackRevisions>
    </reviewItem>
    <reviewItem>
      <errorID>186d57fb-dac7-49ca-b47c-17773aa1239f</errorID>
      <errorWord>涉及到</errorWord>
      <group>L1_Grammar</group>
      <groupName>语法问题</groupName>
      <ability>L2_Grammar</ability>
      <abilityName>语法错误</abilityName>
      <candidateList>
        <item>涉及</item>
      </candidateList>
      <explain>〈动〉牵涉到；关联到：案子～好几个人｜这个问题～面很广。</explain>
      <paraID> 97DA1A0</paraID>
      <start>41</start>
      <end>44</end>
      <status>unmodified</status>
      <modifiedWord/>
      <trackRevisions>false</trackRevisions>
    </reviewItem>
    <reviewItem>
      <errorID>f3c712ac-85c3-40c1-9315-71f7ac7e1f37</errorID>
      <errorWord>涉及到</errorWord>
      <group>L1_Grammar</group>
      <groupName>语法问题</groupName>
      <ability>L2_Grammar</ability>
      <abilityName>语法错误</abilityName>
      <candidateList>
        <item>涉及</item>
      </candidateList>
      <explain>〈动〉牵涉到；关联到：案子～好几个人｜这个问题～面很广。</explain>
      <paraID>4FE62FF3</paraID>
      <start>40</start>
      <end>43</end>
      <status>unmodified</status>
      <modifiedWord/>
      <trackRevisions>false</trackRevisions>
    </reviewItem>
    <reviewItem>
      <errorID>2c798e38-9082-436f-afb9-cf13f764271c</errorID>
      <errorWord>(</errorWord>
      <group>L1_Format</group>
      <groupName>格式问题</groupName>
      <ability>L2_HalfPunc</ability>
      <abilityName>全半角检查</abilityName>
      <candidateList>
        <item>（</item>
      </candidateList>
      <explain>文本全半角错误。</explain>
      <paraID>54E56FC3</paraID>
      <start>2</start>
      <end>3</end>
      <status>unmodified</status>
      <modifiedWord/>
      <trackRevisions>false</trackRevisions>
    </reviewItem>
    <reviewItem>
      <errorID>28f94cfd-96b1-418d-bb20-770265d34d7b</errorID>
      <errorWord>)</errorWord>
      <group>L1_Format</group>
      <groupName>格式问题</groupName>
      <ability>L2_HalfPunc</ability>
      <abilityName>全半角检查</abilityName>
      <candidateList>
        <item>）</item>
      </candidateList>
      <explain>文本全半角错误。</explain>
      <paraID>54E56FC3</paraID>
      <start>5</start>
      <end>6</end>
      <status>unmodified</status>
      <modifiedWord/>
      <trackRevisions>false</trackRevisions>
    </reviewItem>
    <reviewItem>
      <errorID>25e353d6-4bd1-42cd-a46a-33b9ee4cef82</errorID>
      <errorWord>(</errorWord>
      <group>L1_Format</group>
      <groupName>格式问题</groupName>
      <ability>L2_HalfPunc</ability>
      <abilityName>全半角检查</abilityName>
      <candidateList>
        <item>（</item>
      </candidateList>
      <explain>文本全半角错误。</explain>
      <paraID>  FD5BDE</paraID>
      <start>2</start>
      <end>3</end>
      <status>unmodified</status>
      <modifiedWord/>
      <trackRevisions>false</trackRevisions>
    </reviewItem>
    <reviewItem>
      <errorID>52f42f69-1ec1-4a26-b1fe-f0efd0d5e588</errorID>
      <errorWord>)</errorWord>
      <group>L1_Format</group>
      <groupName>格式问题</groupName>
      <ability>L2_HalfPunc</ability>
      <abilityName>全半角检查</abilityName>
      <candidateList>
        <item>）</item>
      </candidateList>
      <explain>文本全半角错误。</explain>
      <paraID>  FD5BDE</paraID>
      <start>5</start>
      <end>6</end>
      <status>unmodified</status>
      <modifiedWord/>
      <trackRevisions>false</trackRevisions>
    </reviewItem>
    <reviewItem>
      <errorID>c128d6b3-3689-4f24-95d7-6ef321febaf1</errorID>
      <errorWord>法律、法规</errorWord>
      <group>L1_Word</group>
      <groupName>字词问题</groupName>
      <ability>L2_Typo</ability>
      <abilityName>字词错误</abilityName>
      <candidateList>
        <item>法律法规</item>
      </candidateList>
      <explain/>
      <paraID>3C5870AD</paraID>
      <start>25</start>
      <end>30</end>
      <status>unmodified</status>
      <modifiedWord/>
      <trackRevisions>false</trackRevisions>
    </reviewItem>
    <reviewItem>
      <errorID>aaafdbb8-4126-4281-9295-3fa2d9f0c484</errorID>
      <errorWord>政纪处分</errorWord>
      <group>L1_Word</group>
      <groupName>字词问题</groupName>
      <ability>L2_Typo</ability>
      <abilityName>字词错误</abilityName>
      <candidateList>
        <item>政务处分</item>
      </candidateList>
      <explain/>
      <paraID>1B039418</paraID>
      <start>47</start>
      <end>51</end>
      <status>unmodified</status>
      <modifiedWord/>
      <trackRevisions>false</trackRevisions>
    </reviewItem>
    <reviewItem>
      <errorID>40978f39-9771-4616-97aa-88f914a21ce2</errorID>
      <errorWord>政纪处分</errorWord>
      <group>L1_Word</group>
      <groupName>字词问题</groupName>
      <ability>L2_Typo</ability>
      <abilityName>字词错误</abilityName>
      <candidateList>
        <item>政务处分</item>
      </candidateList>
      <explain/>
      <paraID>73552818</paraID>
      <start>47</start>
      <end>51</end>
      <status>unmodified</status>
      <modifiedWord/>
      <trackRevisions>false</trackRevisions>
    </reviewItem>
    <reviewItem>
      <errorID>181429bf-ce78-4923-b3c5-81139ef5ca7b</errorID>
      <errorWord>(</errorWord>
      <group>L1_Format</group>
      <groupName>格式问题</groupName>
      <ability>L2_HalfPunc</ability>
      <abilityName>全半角检查</abilityName>
      <candidateList>
        <item>（</item>
      </candidateList>
      <explain>文本全半角错误。</explain>
      <paraID>401900DC</paraID>
      <start>2</start>
      <end>3</end>
      <status>unmodified</status>
      <modifiedWord/>
      <trackRevisions>false</trackRevisions>
    </reviewItem>
    <reviewItem>
      <errorID>7b6c25cd-c484-4b29-849e-0e4236706627</errorID>
      <errorWord>)</errorWord>
      <group>L1_Format</group>
      <groupName>格式问题</groupName>
      <ability>L2_HalfPunc</ability>
      <abilityName>全半角检查</abilityName>
      <candidateList>
        <item>）</item>
      </candidateList>
      <explain>文本全半角错误。</explain>
      <paraID>401900DC</paraID>
      <start>5</start>
      <end>6</end>
      <status>unmodified</status>
      <modifiedWord/>
      <trackRevisions>false</trackRevisions>
    </reviewItem>
    <reviewItem>
      <errorID>81ccd72a-e9d0-4c5b-9981-853f15b4221e</errorID>
      <errorWord>(</errorWord>
      <group>L1_Format</group>
      <groupName>格式问题</groupName>
      <ability>L2_HalfPunc</ability>
      <abilityName>全半角检查</abilityName>
      <candidateList>
        <item>（</item>
      </candidateList>
      <explain>文本全半角错误。</explain>
      <paraID>1A42CD45</paraID>
      <start>2</start>
      <end>3</end>
      <status>unmodified</status>
      <modifiedWord/>
      <trackRevisions>false</trackRevisions>
    </reviewItem>
    <reviewItem>
      <errorID>e3945514-1fb8-4219-b096-da3ae95f3b61</errorID>
      <errorWord>)</errorWord>
      <group>L1_Format</group>
      <groupName>格式问题</groupName>
      <ability>L2_HalfPunc</ability>
      <abilityName>全半角检查</abilityName>
      <candidateList>
        <item>）</item>
      </candidateList>
      <explain>文本全半角错误。</explain>
      <paraID>1A42CD45</paraID>
      <start>5</start>
      <end>6</end>
      <status>unmodified</status>
      <modifiedWord/>
      <trackRevisions>false</trackRevisions>
    </reviewItem>
    <reviewItem>
      <errorID>68cc4359-b18a-41c7-9cb5-a069149346d5</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4024648A</paraID>
      <start>51</start>
      <end>54</end>
      <status>unmodified</status>
      <modifiedWord/>
      <trackRevisions>false</trackRevisions>
    </reviewItem>
    <reviewItem>
      <errorID>428cf1b9-fa01-46c2-865e-828074829e39</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4024648A</paraID>
      <start>64</start>
      <end>67</end>
      <status>unmodified</status>
      <modifiedWord/>
      <trackRevisions>false</trackRevisions>
    </reviewItem>
    <reviewItem>
      <errorID>8c21908c-8242-42fb-b82b-d26e041350f5</errorID>
      <errorWord>深圳特区建设工程质量管理条例</errorWord>
      <group>L1_Knowledge</group>
      <groupName>知识性问题</groupName>
      <ability>L2_Knowledge</ability>
      <abilityName>其他知识</abilityName>
      <candidateList>
        <item>深圳市建设工程质量管理条例</item>
      </candidateList>
      <explain>当前法律法规未收录或尚未生效，注意核查是否正确。</explain>
      <paraID>4024648A</paraID>
      <start>67</start>
      <end>81</end>
      <status>unmodified</status>
      <modifiedWord/>
      <trackRevisions>false</trackRevisions>
    </reviewItem>
    <reviewItem>
      <errorID>73acb81e-db1b-4f49-ac24-0daf005f59e4</errorID>
      <errorWord>涉</errorWord>
      <group>L1_Word</group>
      <groupName>字词问题</groupName>
      <ability>L2_Typo</ability>
      <abilityName>字词错误</abilityName>
      <candidateList>
        <item>涉及</item>
      </candidateList>
      <explain>〈动〉牵涉到；关联到：案子～好几个人｜这个问题～面很广。</explain>
      <paraID>5CD5AC25</paraID>
      <start>98</start>
      <end>99</end>
      <status>unmodified</status>
      <modifiedWord/>
      <trackRevisions>false</trackRevisions>
    </reviewItem>
    <reviewItem>
      <errorID>6a2d6097-eb15-418a-b9e7-7b838e39b364</errorID>
      <errorWord>法律、法规</errorWord>
      <group>L1_Word</group>
      <groupName>字词问题</groupName>
      <ability>L2_Typo</ability>
      <abilityName>字词错误</abilityName>
      <candidateList>
        <item>法律法规</item>
      </candidateList>
      <explain/>
      <paraID>5CD5AC25</paraID>
      <start>125</start>
      <end>130</end>
      <status>unmodified</status>
      <modifiedWord/>
      <trackRevisions>false</trackRevisions>
    </reviewItem>
    <reviewItem>
      <errorID>2b0da28f-dcb7-461e-89ee-7730c61b3ae4</errorID>
      <errorWord>(</errorWord>
      <group>L1_Format</group>
      <groupName>格式问题</groupName>
      <ability>L2_HalfPunc</ability>
      <abilityName>全半角检查</abilityName>
      <candidateList>
        <item>（</item>
      </candidateList>
      <explain>文本全半角错误。</explain>
      <paraID>4FE69073</paraID>
      <start>35</start>
      <end>36</end>
      <status>unmodified</status>
      <modifiedWord/>
      <trackRevisions>false</trackRevisions>
    </reviewItem>
    <reviewItem>
      <errorID>24a70eac-723e-415f-9e66-0130cbcd21d7</errorID>
      <errorWord>)</errorWord>
      <group>L1_Format</group>
      <groupName>格式问题</groupName>
      <ability>L2_HalfPunc</ability>
      <abilityName>全半角检查</abilityName>
      <candidateList>
        <item>）</item>
      </candidateList>
      <explain>文本全半角错误。</explain>
      <paraID>4FE69073</paraID>
      <start>41</start>
      <end>42</end>
      <status>unmodified</status>
      <modifiedWord/>
      <trackRevisions>false</trackRevisions>
    </reviewItem>
    <reviewItem>
      <errorID>05c631a9-5f37-4c6e-80e7-52e11b032072</errorID>
      <errorWord>(</errorWord>
      <group>L1_Format</group>
      <groupName>格式问题</groupName>
      <ability>L2_HalfPunc</ability>
      <abilityName>全半角检查</abilityName>
      <candidateList>
        <item>（</item>
      </candidateList>
      <explain>文本全半角错误。</explain>
      <paraID>5B405E7F</paraID>
      <start>27</start>
      <end>28</end>
      <status>unmodified</status>
      <modifiedWord/>
      <trackRevisions>false</trackRevisions>
    </reviewItem>
    <reviewItem>
      <errorID>0538c3d8-e1eb-4d08-a449-dcdb69b47884</errorID>
      <errorWord>)</errorWord>
      <group>L1_Format</group>
      <groupName>格式问题</groupName>
      <ability>L2_HalfPunc</ability>
      <abilityName>全半角检查</abilityName>
      <candidateList>
        <item>）</item>
      </candidateList>
      <explain>文本全半角错误。</explain>
      <paraID>5B405E7F</paraID>
      <start>33</start>
      <end>34</end>
      <status>unmodified</status>
      <modifiedWord/>
      <trackRevisions>false</trackRevisions>
    </reviewItem>
    <reviewItem>
      <errorID>367c23bf-6618-49b7-b25d-d11e5568de10</errorID>
      <errorWord>(</errorWord>
      <group>L1_Format</group>
      <groupName>格式问题</groupName>
      <ability>L2_HalfPunc</ability>
      <abilityName>全半角检查</abilityName>
      <candidateList>
        <item>（</item>
      </candidateList>
      <explain>文本全半角错误。</explain>
      <paraID>4F761C5B</paraID>
      <start>16</start>
      <end>17</end>
      <status>unmodified</status>
      <modifiedWord/>
      <trackRevisions>false</trackRevisions>
    </reviewItem>
    <reviewItem>
      <errorID>9ae1b983-fc1a-4b2e-b643-7a16d83aa49f</errorID>
      <errorWord>)</errorWord>
      <group>L1_Format</group>
      <groupName>格式问题</groupName>
      <ability>L2_HalfPunc</ability>
      <abilityName>全半角检查</abilityName>
      <candidateList>
        <item>）</item>
      </candidateList>
      <explain>文本全半角错误。</explain>
      <paraID>4F761C5B</paraID>
      <start>22</start>
      <end>23</end>
      <status>unmodified</status>
      <modifiedWord/>
      <trackRevisions>false</trackRevisions>
    </reviewItem>
    <reviewItem>
      <errorID>c4fea476-34fa-4370-b2f7-0e5c2b65323a</errorID>
      <errorWord>法律、法规</errorWord>
      <group>L1_Word</group>
      <groupName>字词问题</groupName>
      <ability>L2_Typo</ability>
      <abilityName>字词错误</abilityName>
      <candidateList>
        <item>法律法规</item>
      </candidateList>
      <explain/>
      <paraID>5DBAE46C</paraID>
      <start>45</start>
      <end>50</end>
      <status>unmodified</status>
      <modifiedWord/>
      <trackRevisions>false</trackRevisions>
    </reviewItem>
    <reviewItem>
      <errorID>1de95e6b-df12-438d-b759-022eabc107e9</errorID>
      <errorWord>７</errorWord>
      <group>L1_Format</group>
      <groupName>格式问题</groupName>
      <ability>L2_HalfPunc</ability>
      <abilityName>全半角检查</abilityName>
      <candidateList>
        <item>7</item>
      </candidateList>
      <explain>文本全半角错误。</explain>
      <paraID>740B47A1</paraID>
      <start>32</start>
      <end>33</end>
      <status>unmodified</status>
      <modifiedWord/>
      <trackRevisions>false</trackRevisions>
    </reviewItem>
    <reviewItem>
      <errorID>0f665311-121b-4e5b-bfd0-fd11b936ed3b</errorID>
      <errorWord>方</errorWord>
      <group>L1_Word</group>
      <groupName>字词问题</groupName>
      <ability>L2_Typo</ability>
      <abilityName>字词错误</abilityName>
      <candidateList>
        <item>方和</item>
      </candidateList>
      <explain/>
      <paraID>5C45C24A</paraID>
      <start>20</start>
      <end>21</end>
      <status>unmodified</status>
      <modifiedWord/>
      <trackRevisions>false</trackRevisions>
    </reviewItem>
    <reviewItem>
      <errorID>13b765d4-197b-4347-a577-0558219061d4</errorID>
      <errorWord>(</errorWord>
      <group>L1_Format</group>
      <groupName>格式问题</groupName>
      <ability>L2_HalfPunc</ability>
      <abilityName>全半角检查</abilityName>
      <candidateList>
        <item>（</item>
      </candidateList>
      <explain>文本全半角错误。</explain>
      <paraID>33EF908F</paraID>
      <start>2</start>
      <end>3</end>
      <status>unmodified</status>
      <modifiedWord/>
      <trackRevisions>false</trackRevisions>
    </reviewItem>
    <reviewItem>
      <errorID>b3aa0eee-c9c5-43f6-82c5-fb1ee4e35b7b</errorID>
      <errorWord>)</errorWord>
      <group>L1_Format</group>
      <groupName>格式问题</groupName>
      <ability>L2_HalfPunc</ability>
      <abilityName>全半角检查</abilityName>
      <candidateList>
        <item>）</item>
      </candidateList>
      <explain>文本全半角错误。</explain>
      <paraID>33EF908F</paraID>
      <start>5</start>
      <end>6</end>
      <status>unmodified</status>
      <modifiedWord/>
      <trackRevisions>false</trackRevisions>
    </reviewItem>
    <reviewItem>
      <errorID>32cce79c-939b-480e-bafe-6c4f6a3bda70</errorID>
      <errorWord>(</errorWord>
      <group>L1_Format</group>
      <groupName>格式问题</groupName>
      <ability>L2_HalfPunc</ability>
      <abilityName>全半角检查</abilityName>
      <candidateList>
        <item>（</item>
      </candidateList>
      <explain>文本全半角错误。</explain>
      <paraID> 8898343</paraID>
      <start>0</start>
      <end>1</end>
      <status>unmodified</status>
      <modifiedWord/>
      <trackRevisions>false</trackRevisions>
    </reviewItem>
    <reviewItem>
      <errorID>c41e83d7-cbcb-4b87-9fad-afd1e92f79f6</errorID>
      <errorWord>)</errorWord>
      <group>L1_Format</group>
      <groupName>格式问题</groupName>
      <ability>L2_HalfPunc</ability>
      <abilityName>全半角检查</abilityName>
      <candidateList>
        <item>）</item>
      </candidateList>
      <explain>文本全半角错误。</explain>
      <paraID> 8898343</paraID>
      <start>3</start>
      <end>4</end>
      <status>unmodified</status>
      <modifiedWord/>
      <trackRevisions>false</trackRevisions>
    </reviewItem>
    <reviewItem>
      <errorID>73c9eef0-9bd6-40b4-b849-f577b225b669</errorID>
      <errorWord>(</errorWord>
      <group>L1_Format</group>
      <groupName>格式问题</groupName>
      <ability>L2_HalfPunc</ability>
      <abilityName>全半角检查</abilityName>
      <candidateList>
        <item>（</item>
      </candidateList>
      <explain>文本全半角错误。</explain>
      <paraID>12A052ED</paraID>
      <start>2</start>
      <end>3</end>
      <status>unmodified</status>
      <modifiedWord/>
      <trackRevisions>false</trackRevisions>
    </reviewItem>
    <reviewItem>
      <errorID>d5624af2-a009-4f72-bff9-084409ddd5c2</errorID>
      <errorWord>)</errorWord>
      <group>L1_Format</group>
      <groupName>格式问题</groupName>
      <ability>L2_HalfPunc</ability>
      <abilityName>全半角检查</abilityName>
      <candidateList>
        <item>）</item>
      </candidateList>
      <explain>文本全半角错误。</explain>
      <paraID>12A052ED</paraID>
      <start>5</start>
      <end>6</end>
      <status>unmodified</status>
      <modifiedWord/>
      <trackRevisions>false</trackRevisions>
    </reviewItem>
    <reviewItem>
      <errorID>91544ecc-18e8-422c-8eb0-49c54da2317e</errorID>
      <errorWord>(</errorWord>
      <group>L1_Format</group>
      <groupName>格式问题</groupName>
      <ability>L2_HalfPunc</ability>
      <abilityName>全半角检查</abilityName>
      <candidateList>
        <item>（</item>
      </candidateList>
      <explain>文本全半角错误。</explain>
      <paraID>2B9A0300</paraID>
      <start>2</start>
      <end>3</end>
      <status>unmodified</status>
      <modifiedWord/>
      <trackRevisions>false</trackRevisions>
    </reviewItem>
    <reviewItem>
      <errorID>8ba7bf67-4538-4194-b2b3-dc0f77e8ea0d</errorID>
      <errorWord>)</errorWord>
      <group>L1_Format</group>
      <groupName>格式问题</groupName>
      <ability>L2_HalfPunc</ability>
      <abilityName>全半角检查</abilityName>
      <candidateList>
        <item>）</item>
      </candidateList>
      <explain>文本全半角错误。</explain>
      <paraID>2B9A0300</paraID>
      <start>5</start>
      <end>6</end>
      <status>unmodified</status>
      <modifiedWord/>
      <trackRevisions>false</trackRevisions>
    </reviewItem>
    <reviewItem>
      <errorID>0bfc3f70-c7c8-4900-af4f-4fca60348a75</errorID>
      <errorWord>,</errorWord>
      <group>L1_Format</group>
      <groupName>格式问题</groupName>
      <ability>L2_HalfPunc</ability>
      <abilityName>全半角检查</abilityName>
      <candidateList>
        <item>，</item>
      </candidateList>
      <explain>文本全半角错误。</explain>
      <paraID>37F43F9C</paraID>
      <start>61</start>
      <end>62</end>
      <status>unmodified</status>
      <modifiedWord/>
      <trackRevisions>false</trackRevisions>
    </reviewItem>
    <reviewItem>
      <errorID>68b88e73-3d6a-4c9e-8765-aa1f767719a2</errorID>
      <errorWord>与我</errorWord>
      <group>L1_Word</group>
      <groupName>字词问题</groupName>
      <ability>L2_Typo</ability>
      <abilityName>字词错误</abilityName>
      <candidateList>
        <item>与</item>
      </candidateList>
      <explain>（舆）yù参与：～会。</explain>
      <paraID> 3A579C8</paraID>
      <start>66</start>
      <end>68</end>
      <status>unmodified</status>
      <modifiedWord/>
      <trackRevisions>false</trackRevisions>
    </reviewItem>
    <reviewItem>
      <errorID>3691806f-a1b2-4163-b3b2-c103c8dede5c</errorID>
      <errorWord>,</errorWord>
      <group>L1_Format</group>
      <groupName>格式问题</groupName>
      <ability>L2_HalfPunc</ability>
      <abilityName>全半角检查</abilityName>
      <candidateList>
        <item>，</item>
      </candidateList>
      <explain>文本全半角错误。</explain>
      <paraID>1B955274</paraID>
      <start>47</start>
      <end>48</end>
      <status>unmodified</status>
      <modifiedWord/>
      <trackRevisions>false</trackRevisions>
    </reviewItem>
    <reviewItem>
      <errorID>935a14f8-5875-4c69-85ee-e2154db76088</errorID>
      <errorWord>涉及到</errorWord>
      <group>L1_Grammar</group>
      <groupName>语法问题</groupName>
      <ability>L2_Grammar</ability>
      <abilityName>语法错误</abilityName>
      <candidateList>
        <item>涉及</item>
      </candidateList>
      <explain>〈动〉牵涉到；关联到：案子～好几个人｜这个问题～面很广。</explain>
      <paraID>1E6AFD2C</paraID>
      <start>135</start>
      <end>138</end>
      <status>unmodified</status>
      <modifiedWord/>
      <trackRevisions>false</trackRevisions>
    </reviewItem>
    <reviewItem>
      <errorID>92eee0e4-3898-4a8b-8f07-085caffd1a89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5486FB4C</paraID>
      <start>0</start>
      <end>2</end>
      <status>unmodified</status>
      <modifiedWord/>
      <trackRevisions>false</trackRevisions>
    </reviewItem>
    <reviewItem>
      <errorID>7b2649dd-b559-43ec-9fa6-864be77fd9ba</errorID>
      <errorWord>,</errorWord>
      <group>L1_Format</group>
      <groupName>格式问题</groupName>
      <ability>L2_HalfPunc</ability>
      <abilityName>全半角检查</abilityName>
      <candidateList>
        <item>，</item>
      </candidateList>
      <explain>文本全半角错误。</explain>
      <paraID>5994F34C</paraID>
      <start>135</start>
      <end>136</end>
      <status>unmodified</status>
      <modifiedWord/>
      <trackRevisions>false</trackRevisions>
    </reviewItem>
    <reviewItem>
      <errorID>81dd85e3-afa4-4e5d-ae13-f26cd15dc9c9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4EF3F54E</paraID>
      <start>0</start>
      <end>2</end>
      <status>unmodified</status>
      <modifiedWord/>
      <trackRevisions>false</trackRevisions>
    </reviewItem>
    <reviewItem>
      <errorID>bbcf6542-69eb-4986-ae9c-e776deec08a4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592AF759</paraID>
      <start>0</start>
      <end>2</end>
      <status>unmodified</status>
      <modifiedWord/>
      <trackRevisions>false</trackRevisions>
    </reviewItem>
    <reviewItem>
      <errorID>7e166412-2898-4d1c-9fb2-147cb7c17502</errorID>
      <errorWord>应</errorWord>
      <group>L1_Word</group>
      <groupName>字词问题</groupName>
      <ability>L2_Typo</ability>
      <abilityName>字词错误</abilityName>
      <candidateList>
        <item>应在</item>
      </candidateList>
      <explain/>
      <paraID>592AF759</paraID>
      <start>60</start>
      <end>61</end>
      <status>unmodified</status>
      <modifiedWord/>
      <trackRevisions>false</trackRevisions>
    </reviewItem>
    <reviewItem>
      <errorID>e7617d4d-66e5-42ce-8cde-55f7c4ef7dc4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1087B355</paraID>
      <start>0</start>
      <end>2</end>
      <status>unmodified</status>
      <modifiedWord/>
      <trackRevisions>false</trackRevisions>
    </reviewItem>
    <reviewItem>
      <errorID>9a4220b8-e553-45a0-8b5f-790e5523b97c</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180B8BD0</paraID>
      <start>0</start>
      <end>2</end>
      <status>unmodified</status>
      <modifiedWord/>
      <trackRevisions>false</trackRevisions>
    </reviewItem>
    <reviewItem>
      <errorID>13d30a3c-3dd5-40b7-a542-4c51b32652f2</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250B6B6C</paraID>
      <start>0</start>
      <end>2</end>
      <status>unmodified</status>
      <modifiedWord/>
      <trackRevisions>false</trackRevisions>
    </reviewItem>
    <reviewItem>
      <errorID>1e738068-e70b-41b1-8880-5832cbb7b730</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463F4300</paraID>
      <start>0</start>
      <end>2</end>
      <status>unmodified</status>
      <modifiedWord/>
      <trackRevisions>false</trackRevisions>
    </reviewItem>
    <reviewItem>
      <errorID>5a4d8914-8738-4d92-9c8e-b932c12e2619</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62588614</paraID>
      <start>0</start>
      <end>2</end>
      <status>unmodified</status>
      <modifiedWord/>
      <trackRevisions>false</trackRevisions>
    </reviewItem>
    <reviewItem>
      <errorID>40950434-816c-4f7f-876a-10bfaf40cfee</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10C54F2D</paraID>
      <start>0</start>
      <end>2</end>
      <status>unmodified</status>
      <modifiedWord/>
      <trackRevisions>false</trackRevisions>
    </reviewItem>
    <reviewItem>
      <errorID>77afff43-9dbf-4bdd-a7a9-d2e6998d5cbd</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28DC7C90</paraID>
      <start>0</start>
      <end>3</end>
      <status>unmodified</status>
      <modifiedWord/>
      <trackRevisions>false</trackRevisions>
    </reviewItem>
    <reviewItem>
      <errorID>341a5b1d-ff35-4311-9a1c-242f31cd3bf9</errorID>
      <errorWord>11、</errorWord>
      <group>L1_Format</group>
      <groupName>格式问题</groupName>
      <ability>L2_Ordinal</ability>
      <abilityName>序号格式</abilityName>
      <candidateList>
        <item>11.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1B60C0E5</paraID>
      <start>0</start>
      <end>3</end>
      <status>unmodified</status>
      <modifiedWord/>
      <trackRevisions>false</trackRevisions>
    </reviewItem>
    <reviewItem>
      <errorID>42cc9f33-72cd-4805-9660-779e9c721a63</errorID>
      <errorWord>:</errorWord>
      <group>L1_Format</group>
      <groupName>格式问题</groupName>
      <ability>L2_HalfPunc</ability>
      <abilityName>全半角检查</abilityName>
      <candidateList>
        <item>：</item>
      </candidateList>
      <explain>文本全半角错误。</explain>
      <paraID>1B60C0E5</paraID>
      <start>80</start>
      <end>81</end>
      <status>unmodified</status>
      <modifiedWord/>
      <trackRevisions>false</trackRevisions>
    </reviewItem>
    <reviewItem>
      <errorID>c2d74b3f-0384-40c3-9108-414d3fa92f47</errorID>
      <errorWord>(</errorWord>
      <group>L1_Format</group>
      <groupName>格式问题</groupName>
      <ability>L2_HalfPunc</ability>
      <abilityName>全半角检查</abilityName>
      <candidateList>
        <item>（</item>
      </candidateList>
      <explain>文本全半角错误。</explain>
      <paraID>1B60C0E5</paraID>
      <start>242</start>
      <end>243</end>
      <status>unmodified</status>
      <modifiedWord/>
      <trackRevisions>false</trackRevisions>
    </reviewItem>
    <reviewItem>
      <errorID>4023e5ce-2fc9-4ef4-9a35-37362e6887b9</errorID>
      <errorWord>)</errorWord>
      <group>L1_Format</group>
      <groupName>格式问题</groupName>
      <ability>L2_HalfPunc</ability>
      <abilityName>全半角检查</abilityName>
      <candidateList>
        <item>）</item>
      </candidateList>
      <explain>文本全半角错误。</explain>
      <paraID>1B60C0E5</paraID>
      <start>252</start>
      <end>253</end>
      <status>unmodified</status>
      <modifiedWord/>
      <trackRevisions>false</trackRevisions>
    </reviewItem>
    <reviewItem>
      <errorID>cd98cdb4-db44-4cec-8af8-f5b95065a7f5</errorID>
      <errorWord>(</errorWord>
      <group>L1_Format</group>
      <groupName>格式问题</groupName>
      <ability>L2_HalfPunc</ability>
      <abilityName>全半角检查</abilityName>
      <candidateList>
        <item>（</item>
      </candidateList>
      <explain>文本全半角错误。</explain>
      <paraID>3254271C</paraID>
      <start>19</start>
      <end>20</end>
      <status>unmodified</status>
      <modifiedWord/>
      <trackRevisions>false</trackRevisions>
    </reviewItem>
    <reviewItem>
      <errorID>71e7db4d-e3b4-42dd-9b24-3ec3ffb07a80</errorID>
      <errorWord>按此</errorWord>
      <group>L1_Word</group>
      <groupName>字词问题</groupName>
      <ability>L2_Typo</ability>
      <abilityName>字词错误</abilityName>
      <candidateList>
        <item>按</item>
      </candidateList>
      <explain>（案）àn❶〈书〉考查；核对：有原文可～。❷（编者、作者等）加按语：编者～。</explain>
      <paraID>5C400769</paraID>
      <start>56</start>
      <end>58</end>
      <status>unmodified</status>
      <modifiedWord/>
      <trackRevisions>false</trackRevisions>
    </reviewItem>
    <reviewItem>
      <errorID>c825c5b9-cecb-47a5-8d5a-a943f69fb43f</errorID>
      <errorWord>滑痕</errorWord>
      <group>L1_Word</group>
      <groupName>字词问题</groupName>
      <ability>L2_Typo</ability>
      <abilityName>字词错误</abilityName>
      <candidateList>
        <item>划痕</item>
      </candidateList>
      <explain/>
      <paraID>5BC0A14F</paraID>
      <start>9</start>
      <end>11</end>
      <status>unmodified</status>
      <modifiedWord/>
      <trackRevisions>false</trackRevisions>
    </reviewItem>
    <reviewItem>
      <errorID>98d0b871-1096-4d71-8440-29853b496b26</errorID>
      <errorWord>(</errorWord>
      <group>L1_Format</group>
      <groupName>格式问题</groupName>
      <ability>L2_HalfPunc</ability>
      <abilityName>全半角检查</abilityName>
      <candidateList>
        <item>（</item>
      </candidateList>
      <explain>文本全半角错误。</explain>
      <paraID>4ABC6C24</paraID>
      <start>73</start>
      <end>74</end>
      <status>unmodified</status>
      <modifiedWord/>
      <trackRevisions>false</trackRevisions>
    </reviewItem>
    <reviewItem>
      <errorID>3dbd9951-535f-4689-b414-806c6859299f</errorID>
      <errorWord>(</errorWord>
      <group>L1_Format</group>
      <groupName>格式问题</groupName>
      <ability>L2_HalfPunc</ability>
      <abilityName>全半角检查</abilityName>
      <candidateList>
        <item>（</item>
      </candidateList>
      <explain>文本全半角错误。</explain>
      <paraID>4ABC6C24</paraID>
      <start>110</start>
      <end>111</end>
      <status>unmodified</status>
      <modifiedWord/>
      <trackRevisions>false</trackRevisions>
    </reviewItem>
    <reviewItem>
      <errorID>77dc46f2-ad36-4b43-b308-22bcc5aad528</errorID>
      <errorWord>)</errorWord>
      <group>L1_Format</group>
      <groupName>格式问题</groupName>
      <ability>L2_HalfPunc</ability>
      <abilityName>全半角检查</abilityName>
      <candidateList>
        <item>）</item>
      </candidateList>
      <explain>文本全半角错误。</explain>
      <paraID>4ABC6C24</paraID>
      <start>118</start>
      <end>119</end>
      <status>unmodified</status>
      <modifiedWord/>
      <trackRevisions>false</trackRevisions>
    </reviewItem>
    <reviewItem>
      <errorID>ff365767-1b2d-4740-976a-c24903a2d10f</errorID>
      <errorWord>(</errorWord>
      <group>L1_Format</group>
      <groupName>格式问题</groupName>
      <ability>L2_HalfPunc</ability>
      <abilityName>全半角检查</abilityName>
      <candidateList>
        <item>（</item>
      </candidateList>
      <explain>文本全半角错误。</explain>
      <paraID>27DE5A13</paraID>
      <start>3</start>
      <end>4</end>
      <status>unmodified</status>
      <modifiedWord/>
      <trackRevisions>false</trackRevisions>
    </reviewItem>
    <reviewItem>
      <errorID>af22d768-6264-4455-9da6-81d57218ec22</errorID>
      <errorWord>)</errorWord>
      <group>L1_Format</group>
      <groupName>格式问题</groupName>
      <ability>L2_HalfPunc</ability>
      <abilityName>全半角检查</abilityName>
      <candidateList>
        <item>）</item>
      </candidateList>
      <explain>文本全半角错误。</explain>
      <paraID>27DE5A13</paraID>
      <start>7</start>
      <end>8</end>
      <status>unmodified</status>
      <modifiedWord/>
      <trackRevisions>false</trackRevisions>
    </reviewItem>
    <reviewItem>
      <errorID>06eafec7-67e2-4984-8277-a18123d83698</errorID>
      <errorWord>(</errorWord>
      <group>L1_Format</group>
      <groupName>格式问题</groupName>
      <ability>L2_HalfPunc</ability>
      <abilityName>全半角检查</abilityName>
      <candidateList>
        <item>（</item>
      </candidateList>
      <explain>文本全半角错误。</explain>
      <paraID>6DFE1778</paraID>
      <start>9</start>
      <end>10</end>
      <status>unmodified</status>
      <modifiedWord/>
      <trackRevisions>false</trackRevisions>
    </reviewItem>
    <reviewItem>
      <errorID>44fbba70-a2ba-4390-8570-e49d5b91845e</errorID>
      <errorWord>:</errorWord>
      <group>L1_Format</group>
      <groupName>格式问题</groupName>
      <ability>L2_HalfPunc</ability>
      <abilityName>全半角检查</abilityName>
      <candidateList>
        <item>：</item>
      </candidateList>
      <explain>文本全半角错误。</explain>
      <paraID>6DFE1778</paraID>
      <start>18</start>
      <end>19</end>
      <status>unmodified</status>
      <modifiedWord/>
      <trackRevisions>false</trackRevisions>
    </reviewItem>
    <reviewItem>
      <errorID>189b63c8-5c45-44be-a678-78b53bee2b2d</errorID>
      <errorWord>)</errorWord>
      <group>L1_Format</group>
      <groupName>格式问题</groupName>
      <ability>L2_HalfPunc</ability>
      <abilityName>全半角检查</abilityName>
      <candidateList>
        <item>）</item>
      </candidateList>
      <explain>文本全半角错误。</explain>
      <paraID>6DFE1778</paraID>
      <start>49</start>
      <end>50</end>
      <status>unmodified</status>
      <modifiedWord/>
      <trackRevisions>false</trackRevisions>
    </reviewItem>
    <reviewItem>
      <errorID>8e0af5a7-2cc8-4a64-9019-211547c44a1d</errorID>
      <errorWord>:</errorWord>
      <group>L1_Format</group>
      <groupName>格式问题</groupName>
      <ability>L2_HalfPunc</ability>
      <abilityName>全半角检查</abilityName>
      <candidateList>
        <item>：</item>
      </candidateList>
      <explain>文本全半角错误。</explain>
      <paraID>63BF7A65</paraID>
      <start>4</start>
      <end>5</end>
      <status>unmodified</status>
      <modifiedWord/>
      <trackRevisions>false</trackRevisions>
    </reviewItem>
    <reviewItem>
      <errorID>23145507-ac00-4c51-9e2f-afcb727c371c</errorID>
      <errorWord>(</errorWord>
      <group>L1_Format</group>
      <groupName>格式问题</groupName>
      <ability>L2_HalfPunc</ability>
      <abilityName>全半角检查</abilityName>
      <candidateList>
        <item>（</item>
      </candidateList>
      <explain>文本全半角错误。</explain>
      <paraID>3EADAA37</paraID>
      <start>12</start>
      <end>13</end>
      <status>unmodified</status>
      <modifiedWord/>
      <trackRevisions>false</trackRevisions>
    </reviewItem>
    <reviewItem>
      <errorID>fd1f0295-dc15-4318-85dc-05a2f205b363</errorID>
      <errorWord>:</errorWord>
      <group>L1_Format</group>
      <groupName>格式问题</groupName>
      <ability>L2_HalfPunc</ability>
      <abilityName>全半角检查</abilityName>
      <candidateList>
        <item>：</item>
      </candidateList>
      <explain>文本全半角错误。</explain>
      <paraID>3EADAA37</paraID>
      <start>18</start>
      <end>19</end>
      <status>unmodified</status>
      <modifiedWord/>
      <trackRevisions>false</trackRevisions>
    </reviewItem>
    <reviewItem>
      <errorID>619ad7bb-ee79-4e4d-9ccc-1cf1fcfac7a2</errorID>
      <errorWord>)</errorWord>
      <group>L1_Format</group>
      <groupName>格式问题</groupName>
      <ability>L2_HalfPunc</ability>
      <abilityName>全半角检查</abilityName>
      <candidateList>
        <item>）</item>
      </candidateList>
      <explain>文本全半角错误。</explain>
      <paraID>3EADAA37</paraID>
      <start>23</start>
      <end>24</end>
      <status>unmodified</status>
      <modifiedWord/>
      <trackRevisions>false</trackRevisions>
    </reviewItem>
    <reviewItem>
      <errorID>eae684ee-4deb-418a-897b-618d1ff49f83</errorID>
      <errorWord>情况下</errorWord>
      <group>L1_Word</group>
      <groupName>字词问题</groupName>
      <ability>L2_Typo</ability>
      <abilityName>字词错误</abilityName>
      <candidateList>
        <item>情况</item>
      </candidateList>
      <explain>〈名〉❶情形：思想～｜工作～｜～特殊。❷指军事上的变化，泛指事情的变化、动向：这两天前线没有什么～｜他俩的关系最近又有了新的～。</explain>
      <paraID>6808974B</paraID>
      <start>27</start>
      <end>30</end>
      <status>unmodified</status>
      <modifiedWord/>
      <trackRevisions>false</trackRevisions>
    </reviewItem>
    <reviewItem>
      <errorID>adc394b5-0962-4a94-bf2f-22d8eb579054</errorID>
      <errorWord>:</errorWord>
      <group>L1_Format</group>
      <groupName>格式问题</groupName>
      <ability>L2_HalfPunc</ability>
      <abilityName>全半角检查</abilityName>
      <candidateList>
        <item>：</item>
      </candidateList>
      <explain>文本全半角错误。</explain>
      <paraID>3CDB1306</paraID>
      <start>11</start>
      <end>12</end>
      <status>unmodified</status>
      <modifiedWord/>
      <trackRevisions>false</trackRevisions>
    </reviewItem>
    <reviewItem>
      <errorID>8fb24a83-9f05-458d-ad61-0b367c18d100</errorID>
      <errorWord>的字型</errorWord>
      <group>L1_Word</group>
      <groupName>字词问题</groupName>
      <ability>L2_Alias</ability>
      <abilityName>也作/曾用词</abilityName>
      <candidateList>
        <item>的字形</item>
      </candidateList>
      <explain>词汇[的字型]为不规范表述或旧称，其规范书面表述为[的字形]。</explain>
      <paraID>3CDB1306</paraID>
      <start>16</start>
      <end>19</end>
      <status>unmodified</status>
      <modifiedWord/>
      <trackRevisions>false</trackRevisions>
    </reviewItem>
    <reviewItem>
      <errorID>00ed4078-b02b-45dc-ad26-c197d668aada</errorID>
      <errorWord>:</errorWord>
      <group>L1_Format</group>
      <groupName>格式问题</groupName>
      <ability>L2_HalfPunc</ability>
      <abilityName>全半角检查</abilityName>
      <candidateList>
        <item>：</item>
      </candidateList>
      <explain>文本全半角错误。</explain>
      <paraID>36DDD743</paraID>
      <start>5</start>
      <end>6</end>
      <status>unmodified</status>
      <modifiedWord/>
      <trackRevisions>false</trackRevisions>
    </reviewItem>
    <reviewItem>
      <errorID>e067ca2e-29d8-450f-b109-58c9bf9f7fd3</errorID>
      <errorWord>(</errorWord>
      <group>L1_Format</group>
      <groupName>格式问题</groupName>
      <ability>L2_HalfPunc</ability>
      <abilityName>全半角检查</abilityName>
      <candidateList>
        <item>（</item>
      </candidateList>
      <explain>文本全半角错误。</explain>
      <paraID>36DDD743</paraID>
      <start>16</start>
      <end>17</end>
      <status>unmodified</status>
      <modifiedWord/>
      <trackRevisions>false</trackRevisions>
    </reviewItem>
    <reviewItem>
      <errorID>1d9dbfbe-3f0d-46a8-8d5a-dd9422679b55</errorID>
      <errorWord>为用</errorWord>
      <group>L1_Word</group>
      <groupName>字词问题</groupName>
      <ability>L2_Typo</ability>
      <abilityName>字词错误</abilityName>
      <candidateList>
        <item>为</item>
      </candidateList>
      <explain>（爲、為）wèi❶〈书〉帮助；卫护：～吕氏者右袒，～刘氏者左袒。❷〈介〉表示行为的对象；替：～你庆幸｜～人民服务｜～这本书写一篇序。❸〈介〉表示原因、目的：大家都～这件事高兴｜～建设伟大祖国而奋斗。❹〈书〉〈介〉对；向：不足～外人道。</explain>
      <paraID> D6FF451</paraID>
      <start>4</start>
      <end>6</end>
      <status>unmodified</status>
      <modifiedWord/>
      <trackRevisions>false</trackRevisions>
    </reviewItem>
    <reviewItem>
      <errorID>25643e2a-ebe5-4991-a3c4-2fabeb859c02</errorID>
      <errorWord>接受</errorWord>
      <group>L1_Word</group>
      <groupName>字词问题</groupName>
      <ability>L2_Typo</ability>
      <abilityName>字词错误</abilityName>
      <candidateList>
        <item>接收</item>
      </candidateList>
      <explain>存在发音相同字词的误用。</explain>
      <paraID> D6FF451</paraID>
      <start>60</start>
      <end>62</end>
      <status>unmodified</status>
      <modifiedWord/>
      <trackRevisions>false</trackRevisions>
    </reviewItem>
    <reviewItem>
      <errorID>f3ce27cb-791b-41f0-a0da-15b926557f88</errorID>
      <errorWord>:</errorWord>
      <group>L1_Format</group>
      <groupName>格式问题</groupName>
      <ability>L2_HalfPunc</ability>
      <abilityName>全半角检查</abilityName>
      <candidateList>
        <item>：</item>
      </candidateList>
      <explain>文本全半角错误。</explain>
      <paraID>5A82FE43</paraID>
      <start>3</start>
      <end>4</end>
      <status>unmodified</status>
      <modifiedWord/>
      <trackRevisions>false</trackRevisions>
    </reviewItem>
    <reviewItem>
      <errorID>2bd7f3b0-c8b1-49fc-896f-450bd1a43114</errorID>
      <errorWord>:</errorWord>
      <group>L1_Format</group>
      <groupName>格式问题</groupName>
      <ability>L2_HalfPunc</ability>
      <abilityName>全半角检查</abilityName>
      <candidateList>
        <item>：</item>
      </candidateList>
      <explain>文本全半角错误。</explain>
      <paraID>1C54CE60</paraID>
      <start>4</start>
      <end>5</end>
      <status>unmodified</status>
      <modifiedWord/>
      <trackRevisions>false</trackRevisions>
    </reviewItem>
    <reviewItem>
      <errorID>a821d590-266d-4c9f-965d-0d518a78a024</errorID>
      <errorWord>突起</errorWord>
      <group>L1_Word</group>
      <groupName>字词问题</groupName>
      <ability>L2_Typo</ability>
      <abilityName>字词错误</abilityName>
      <candidateList>
        <item>凸起</item>
      </candidateList>
      <explain/>
      <paraID>13A01E3D</paraID>
      <start>16</start>
      <end>18</end>
      <status>unmodified</status>
      <modifiedWord/>
      <trackRevisions>false</trackRevisions>
    </reviewItem>
    <reviewItem>
      <errorID>e9451c86-abbf-455b-a367-1bd52d41f4a8</errorID>
      <errorWord>(</errorWord>
      <group>L1_Format</group>
      <groupName>格式问题</groupName>
      <ability>L2_HalfPunc</ability>
      <abilityName>全半角检查</abilityName>
      <candidateList>
        <item>（</item>
      </candidateList>
      <explain>文本全半角错误。</explain>
      <paraID>48917F8D</paraID>
      <start>38</start>
      <end>39</end>
      <status>unmodified</status>
      <modifiedWord/>
      <trackRevisions>false</trackRevisions>
    </reviewItem>
    <reviewItem>
      <errorID>edf57fc1-853e-401a-abb6-57933e5af9dd</errorID>
      <errorWord>焊辑</errorWord>
      <group>L1_Word</group>
      <groupName>字词问题</groupName>
      <ability>L2_Typo</ability>
      <abilityName>字词错误</abilityName>
      <candidateList>
        <item>焊机</item>
      </candidateList>
      <explain/>
      <paraID>48917F8D</paraID>
      <start>78</start>
      <end>80</end>
      <status>unmodified</status>
      <modifiedWord/>
      <trackRevisions>false</trackRevisions>
    </reviewItem>
    <reviewItem>
      <errorID>577e802f-8d6c-49fa-b3b0-56f734cfc59a</errorID>
      <errorWord>捧</errorWord>
      <group>L1_Word</group>
      <groupName>字词问题</groupName>
      <ability>L2_Typo</ability>
      <abilityName>字词错误</abilityName>
      <candidateList>
        <item>喷</item>
      </candidateList>
      <explain>存在发音相近字词的误用。</explain>
      <paraID> 98A52C9</paraID>
      <start>70</start>
      <end>71</end>
      <status>unmodified</status>
      <modifiedWord/>
      <trackRevisions>false</trackRevisions>
    </reviewItem>
    <reviewItem>
      <errorID>e0accb71-2170-40a2-9f64-5ca1b3e16227</errorID>
      <errorWord>(</errorWord>
      <group>L1_Format</group>
      <groupName>格式问题</groupName>
      <ability>L2_HalfPunc</ability>
      <abilityName>全半角检查</abilityName>
      <candidateList>
        <item>（</item>
      </candidateList>
      <explain>文本全半角错误。</explain>
      <paraID>67F3A41B</paraID>
      <start>97</start>
      <end>98</end>
      <status>unmodified</status>
      <modifiedWord/>
      <trackRevisions>false</trackRevisions>
    </reviewItem>
    <reviewItem>
      <errorID>fe29ea21-d3d2-46d8-bf18-eee76415d376</errorID>
      <errorWord>.</errorWord>
      <group>L1_Format</group>
      <groupName>格式问题</groupName>
      <ability>L2_HalfPunc</ability>
      <abilityName>全半角检查</abilityName>
      <candidateList>
        <item>。</item>
      </candidateList>
      <explain>文本全半角错误。</explain>
      <paraID>67F3A41B</paraID>
      <start>104</start>
      <end>105</end>
      <status>unmodified</status>
      <modifiedWord/>
      <trackRevisions>false</trackRevisions>
    </reviewItem>
    <reviewItem>
      <errorID>ced50b9a-60fe-4034-bfb7-6269b656d66c</errorID>
      <errorWord>)</errorWord>
      <group>L1_Format</group>
      <groupName>格式问题</groupName>
      <ability>L2_HalfPunc</ability>
      <abilityName>全半角检查</abilityName>
      <candidateList>
        <item>）</item>
      </candidateList>
      <explain>文本全半角错误。</explain>
      <paraID>67F3A41B</paraID>
      <start>115</start>
      <end>116</end>
      <status>unmodified</status>
      <modifiedWord/>
      <trackRevisions>false</trackRevisions>
    </reviewItem>
    <reviewItem>
      <errorID>ec912f43-24fe-40b4-80d5-7d8396ff4c84</errorID>
      <errorWord>:</errorWord>
      <group>L1_Format</group>
      <groupName>格式问题</groupName>
      <ability>L2_HalfPunc</ability>
      <abilityName>全半角检查</abilityName>
      <candidateList>
        <item>：</item>
      </candidateList>
      <explain>文本全半角错误。</explain>
      <paraID>4F2A8CB4</paraID>
      <start>2</start>
      <end>3</end>
      <status>unmodified</status>
      <modifiedWord/>
      <trackRevisions>false</trackRevisions>
    </reviewItem>
    <reviewItem>
      <errorID>a811d73e-19fd-45fd-8578-e061187ca8d7</errorID>
      <errorWord>(</errorWord>
      <group>L1_Format</group>
      <groupName>格式问题</groupName>
      <ability>L2_HalfPunc</ability>
      <abilityName>全半角检查</abilityName>
      <candidateList>
        <item>（</item>
      </candidateList>
      <explain>文本全半角错误。</explain>
      <paraID>1DE10EA3</paraID>
      <start>5</start>
      <end>6</end>
      <status>unmodified</status>
      <modifiedWord/>
      <trackRevisions>false</trackRevisions>
    </reviewItem>
    <reviewItem>
      <errorID>24760d9d-3842-4d86-ba26-69511ac613d6</errorID>
      <errorWord>)</errorWord>
      <group>L1_Format</group>
      <groupName>格式问题</groupName>
      <ability>L2_HalfPunc</ability>
      <abilityName>全半角检查</abilityName>
      <candidateList>
        <item>）</item>
      </candidateList>
      <explain>文本全半角错误。</explain>
      <paraID>1DE10EA3</paraID>
      <start>20</start>
      <end>21</end>
      <status>unmodified</status>
      <modifiedWord/>
      <trackRevisions>false</trackRevisions>
    </reviewItem>
    <reviewItem>
      <errorID>981ccaa6-f718-406a-a085-85ff18d185f8</errorID>
      <errorWord>:</errorWord>
      <group>L1_Format</group>
      <groupName>格式问题</groupName>
      <ability>L2_HalfPunc</ability>
      <abilityName>全半角检查</abilityName>
      <candidateList>
        <item>：</item>
      </candidateList>
      <explain>文本全半角错误。</explain>
      <paraID>1DE10EA3</paraID>
      <start>48</start>
      <end>49</end>
      <status>unmodified</status>
      <modifiedWord/>
      <trackRevisions>false</trackRevisions>
    </reviewItem>
    <reviewItem>
      <errorID>30f017a4-023e-450c-b43d-b9142e656d17</errorID>
      <errorWord>必须要</errorWord>
      <group>L1_Word</group>
      <groupName>字词问题</groupName>
      <ability>L2_Typo</ability>
      <abilityName>字词错误</abilityName>
      <candidateList>
        <item>必须</item>
      </candidateList>
      <explain>〈副〉❶表示事理上和情理上必要；一定要：学习～刻苦钻研。❷加强命令语气：明天你～来。‖注意“必须”的否定是“无须”、“不须”或“不必”。</explain>
      <paraID>4EFC15F6</paraID>
      <start>16</start>
      <end>19</end>
      <status>unmodified</status>
      <modifiedWord/>
      <trackRevisions>false</trackRevisions>
    </reviewItem>
    <reviewItem>
      <errorID>0c58b410-1bbb-45ce-a2bb-07a1fdfe6057</errorID>
      <errorWord>己可</errorWord>
      <group>L1_Word</group>
      <groupName>字词问题</groupName>
      <ability>L2_Typo</ability>
      <abilityName>字词错误</abilityName>
      <candidateList>
        <item>已可</item>
      </candidateList>
      <explain/>
      <paraID>3C78D0DA</paraID>
      <start>47</start>
      <end>49</end>
      <status>unmodified</status>
      <modifiedWord/>
      <trackRevisions>false</trackRevisions>
    </reviewItem>
    <reviewItem>
      <errorID>a0303b24-6bdc-4918-b424-b8c213354141</errorID>
      <errorWord>:</errorWord>
      <group>L1_Format</group>
      <groupName>格式问题</groupName>
      <ability>L2_HalfPunc</ability>
      <abilityName>全半角检查</abilityName>
      <candidateList>
        <item>：</item>
      </candidateList>
      <explain>文本全半角错误。</explain>
      <paraID>54E255EB</paraID>
      <start>13</start>
      <end>14</end>
      <status>unmodified</status>
      <modifiedWord/>
      <trackRevisions>false</trackRevisions>
    </reviewItem>
    <reviewItem>
      <errorID>ba335f66-94ef-4bf2-b6e8-0f0826e458d0</errorID>
      <errorWord>进衍</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54E255EB</paraID>
      <start>71</start>
      <end>73</end>
      <status>unmodified</status>
      <modifiedWord/>
      <trackRevisions>false</trackRevisions>
    </reviewItem>
    <reviewItem>
      <errorID>556d185b-0524-458b-bcff-8983a29fd25d</errorID>
      <errorWord>范固</errorWord>
      <group>L1_Word</group>
      <groupName>字词问题</groupName>
      <ability>L2_Typo</ability>
      <abilityName>字词错误</abilityName>
      <candidateList>
        <item>范围</item>
      </candidateList>
      <explain>❶〈名〉周围界限：地区～｜工作～｜活动～｜他们谈话的～很广，涉及政治、科学、文学等各方面。❷〈书〉〈动〉限制；概括：纵横四溢，不可～。</explain>
      <paraID>54E255EB</paraID>
      <start>99</start>
      <end>101</end>
      <status>unmodified</status>
      <modifiedWord/>
      <trackRevisions>false</trackRevisions>
    </reviewItem>
    <reviewItem>
      <errorID>87fb646f-530a-4f40-947c-82bd43db788e</errorID>
      <errorWord>带</errorWord>
      <group>L1_Word</group>
      <groupName>字词问题</groupName>
      <ability>L2_Typo</ability>
      <abilityName>字词错误</abilityName>
      <candidateList>
        <item>戴</item>
      </candidateList>
      <explain>❶〈动〉把东西放在头、面、颈、胸、臂等处：～帽子｜～花｜～眼镜｜～红领巾◇披星～月｜不共～天。❷拥护尊敬：爱～｜感～。❸（Dài）〈名〉姓。</explain>
      <paraID>6B88858A</paraID>
      <start>5</start>
      <end>6</end>
      <status>unmodified</status>
      <modifiedWord/>
      <trackRevisions>false</trackRevisions>
    </reviewItem>
    <reviewItem>
      <errorID>3d037763-f15f-43c6-a232-26997ebc5f65</errorID>
      <errorWord>不利</errorWord>
      <group>L1_Word</group>
      <groupName>字词问题</groupName>
      <ability>L2_Typo</ability>
      <abilityName>字词错误</abilityName>
      <candidateList>
        <item>不力</item>
      </candidateList>
      <explain>〈形〉不尽力；不得力：办事～｜打击～。</explain>
      <paraID>12FACF0E</paraID>
      <start>4</start>
      <end>6</end>
      <status>unmodified</status>
      <modifiedWord/>
      <trackRevisions>false</trackRevisions>
    </reviewItem>
    <reviewItem>
      <errorID>06148c97-bf04-46be-a939-4a6e32f507cf</errorID>
      <errorWord>不利</errorWord>
      <group>L1_Word</group>
      <groupName>字词问题</groupName>
      <ability>L2_Typo</ability>
      <abilityName>字词错误</abilityName>
      <candidateList>
        <item>不力</item>
      </candidateList>
      <explain>〈形〉不尽力；不得力：办事～｜打击～。</explain>
      <paraID>6F71A796</paraID>
      <start>16</start>
      <end>18</end>
      <status>unmodified</status>
      <modifiedWord/>
      <trackRevisions>false</trackRevisions>
    </reviewItem>
    <reviewItem>
      <errorID>8a5ca2d5-29e5-4ee6-88f3-74b0f29b0549</errorID>
      <errorWord>小时内</errorWord>
      <group>L1_Word</group>
      <groupName>字词问题</groupName>
      <ability>L2_Typo</ability>
      <abilityName>字词错误</abilityName>
      <candidateList>
        <item>小时</item>
      </candidateList>
      <explain/>
      <paraID>5D8CFC49</paraID>
      <start>120</start>
      <end>123</end>
      <status>unmodified</status>
      <modifiedWord/>
      <trackRevisions>false</trackRevisions>
    </reviewItem>
    <reviewItem>
      <errorID>fb9d406b-f851-4516-b6c2-07df637836e0</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35BAB715</paraID>
      <start>25</start>
      <end>27</end>
      <status>unmodified</status>
      <modifiedWord/>
      <trackRevisions>false</trackRevisions>
    </reviewItem>
    <reviewItem>
      <errorID>0e562527-77d1-4b9e-ae7a-9e2195a8d1c1</errorID>
      <errorWord>受</errorWord>
      <group>L1_Word</group>
      <groupName>字词问题</groupName>
      <ability>L2_Typo</ability>
      <abilityName>字词错误</abilityName>
      <candidateList>
        <item>受到</item>
      </candidateList>
      <explain/>
      <paraID>44355E5F</paraID>
      <start>85</start>
      <end>86</end>
      <status>unmodified</status>
      <modifiedWord/>
      <trackRevisions>false</trackRevisions>
    </reviewItem>
    <reviewItem>
      <errorID>362afafb-c2a7-4e2e-a3f9-5e9b36c65557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37F95112</paraID>
      <start>0</start>
      <end>2</end>
      <status>unmodified</status>
      <modifiedWord/>
      <trackRevisions>false</trackRevisions>
    </reviewItem>
    <reviewItem>
      <errorID>1e6492fe-b1ef-4f9f-827c-2dd4f4bb52c3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1DE73F73</paraID>
      <start>0</start>
      <end>2</end>
      <status>unmodified</status>
      <modifiedWord/>
      <trackRevisions>false</trackRevisions>
    </reviewItem>
    <reviewItem>
      <errorID>092565fc-cef0-44a8-9b5f-6ab0becdd9f7</errorID>
      <errorWord>本</errorWord>
      <group>L1_Word</group>
      <groupName>字词问题</groupName>
      <ability>L2_Typo</ability>
      <abilityName>字词错误</abilityName>
      <candidateList>
        <item>本次</item>
      </candidateList>
      <explain/>
      <paraID>2BAC3F05</paraID>
      <start>16</start>
      <end>17</end>
      <status>unmodified</status>
      <modifiedWord/>
      <trackRevisions>false</trackRevisions>
    </reviewItem>
    <reviewItem>
      <errorID>6f23c7b5-96dd-41f8-817f-0356fd88ac6a</errorID>
      <errorWord>本</errorWord>
      <group>L1_Word</group>
      <groupName>字词问题</groupName>
      <ability>L2_Typo</ability>
      <abilityName>字词错误</abilityName>
      <candidateList>
        <item>本次</item>
      </candidateList>
      <explain/>
      <paraID>39E3A4D0</paraID>
      <start>3</start>
      <end>4</end>
      <status>unmodified</status>
      <modifiedWord/>
      <trackRevisions>false</trackRevisions>
    </reviewItem>
    <reviewItem>
      <errorID>bfb0719e-9a15-4043-ba01-f548d7705230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236D7F50</paraID>
      <start>0</start>
      <end>2</end>
      <status>unmodified</status>
      <modifiedWord/>
      <trackRevisions>false</trackRevisions>
    </reviewItem>
    <reviewItem>
      <errorID>ab3252b1-9767-44cb-9e56-71cf80b79f73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1B55F161</paraID>
      <start>0</start>
      <end>2</end>
      <status>unmodified</status>
      <modifiedWord/>
      <trackRevisions>false</trackRevisions>
    </reviewItem>
    <reviewItem>
      <errorID>ceb107b9-29ab-4860-8657-a2af3efe5af4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1EF8E731</paraID>
      <start>0</start>
      <end>2</end>
      <status>unmodified</status>
      <modifiedWord/>
      <trackRevisions>false</trackRevisions>
    </reviewItem>
    <reviewItem>
      <errorID>78276c16-5ca3-4725-9489-33a679bf78b1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E7194A2</paraID>
      <start>0</start>
      <end>2</end>
      <status>unmodified</status>
      <modifiedWord/>
      <trackRevisions>false</trackRevisions>
    </reviewItem>
    <reviewItem>
      <errorID>82346105-2ecc-44e7-ac54-151415e2b968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760F2548</paraID>
      <start>0</start>
      <end>2</end>
      <status>unmodified</status>
      <modifiedWord/>
      <trackRevisions>false</trackRevisions>
    </reviewItem>
    <reviewItem>
      <errorID>9625186b-d521-4c18-940c-a5a08139aeaa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1387EF18</paraID>
      <start>0</start>
      <end>2</end>
      <status>unmodified</status>
      <modifiedWord/>
      <trackRevisions>false</trackRevisions>
    </reviewItem>
    <reviewItem>
      <errorID>c9957971-f207-41ef-ac75-f61caf9bc0b3</errorID>
      <errorWord>已</errorWord>
      <group>L1_Word</group>
      <groupName>字词问题</groupName>
      <ability>L2_Typo</ability>
      <abilityName>字词错误</abilityName>
      <candidateList>
        <item>以</item>
      </candidateList>
      <explain>存在发音相同字词的误用。</explain>
      <paraID>2B19652D</paraID>
      <start>30</start>
      <end>31</end>
      <status>unmodified</status>
      <modifiedWord/>
      <trackRevisions>false</trackRevisions>
    </reviewItem>
    <reviewItem>
      <errorID>c9644e52-f5bb-4505-904c-300b394c71dc</errorID>
      <errorWord>已</errorWord>
      <group>L1_Word</group>
      <groupName>字词问题</groupName>
      <ability>L2_Typo</ability>
      <abilityName>字词错误</abilityName>
      <candidateList>
        <item>以</item>
      </candidateList>
      <explain>用在单纯的方位词前，组成合成的方位词或方位结构，表示时间、方位、数量的界限：～前｜～上｜三日～后｜县级～上｜长江～南｜五千～内｜二十岁～下。</explain>
      <paraID> 3ED8FC0</paraID>
      <start>29</start>
      <end>30</end>
      <status>unmodified</status>
      <modifiedWord/>
      <trackRevisions>false</trackRevisions>
    </reviewItem>
    <reviewItem>
      <errorID>5c29552f-fed0-4dee-b00b-e8ffcc461171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328C0AB</paraID>
      <start>0</start>
      <end>2</end>
      <status>unmodified</status>
      <modifiedWord/>
      <trackRevisions>false</trackRevisions>
    </reviewItem>
    <reviewItem>
      <errorID>19a1d2f2-8a7d-4b72-87f7-312a7e4b9635</errorID>
      <errorWord>或者或</errorWord>
      <group>L1_Word</group>
      <groupName>字词问题</groupName>
      <ability>L2_Typo</ability>
      <abilityName>字词错误</abilityName>
      <candidateList>
        <item>或者</item>
      </candidateList>
      <explain>❶〈副〉或许：你快走，～还赶得上车。❷〈连〉用在叙述句里，表示选择关系：这本书～你先看，～我先看。❸〈连〉表示等同关系：世界观～宇宙观是人们对整个世界的总的看法。</explain>
      <paraID> 328C0AB</paraID>
      <start>86</start>
      <end>89</end>
      <status>unmodified</status>
      <modifiedWord/>
      <trackRevisions>false</trackRevisions>
    </reviewItem>
    <reviewItem>
      <errorID>4837ad8c-dac7-45d2-9819-50e7a5a68edd</errorID>
      <errorWord>股东大会</errorWord>
      <group>L1_Word</group>
      <groupName>字词问题</groupName>
      <ability>L2_Typo</ability>
      <abilityName>字词错误</abilityName>
      <candidateList>
        <item>股东会</item>
      </candidateList>
      <explain/>
      <paraID> 328C0AB</paraID>
      <start>109</start>
      <end>113</end>
      <status>unmodified</status>
      <modifiedWord/>
      <trackRevisions>false</trackRevisions>
    </reviewItem>
    <reviewItem>
      <errorID>aadd5b25-34e7-4362-823f-abedb816a823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4791EABE</paraID>
      <start>0</start>
      <end>2</end>
      <status>unmodified</status>
      <modifiedWord/>
      <trackRevisions>false</trackRevisions>
    </reviewItem>
    <reviewItem>
      <errorID>bce0b512-42c5-4efb-95c9-0545fa6680e8</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18A4742C</paraID>
      <start>0</start>
      <end>2</end>
      <status>unmodified</status>
      <modifiedWord/>
      <trackRevisions>false</trackRevisions>
    </reviewItem>
    <reviewItem>
      <errorID>0efc0070-85cd-4f2b-9cd6-797f928c2a2f</errorID>
      <errorWord>.</errorWord>
      <group>L1_Format</group>
      <groupName>格式问题</groupName>
      <ability>L2_HalfPunc</ability>
      <abilityName>全半角检查</abilityName>
      <candidateList>
        <item>。</item>
      </candidateList>
      <explain>文本全半角错误。</explain>
      <paraID>6F9A8FD2</paraID>
      <start>88</start>
      <end>89</end>
      <status>unmodified</status>
      <modifiedWord/>
      <trackRevisions>false</trackRevisions>
    </reviewItem>
    <reviewItem>
      <errorID>5d0eb0a1-687d-44b1-aa5a-3a4709619450</errorID>
      <errorWord>。】</errorWord>
      <group>L1_Punc</group>
      <groupName>标点问题</groupName>
      <ability>L2_Punc</ability>
      <abilityName>标点符号检查</abilityName>
      <candidateList>
        <item>】</item>
      </candidateList>
      <explain/>
      <paraID>1E5AC45C</paraID>
      <start>66</start>
      <end>68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4acdda-7f0e-41bb-86a6-7859980541dd}">
  <ds:schemaRefs/>
</ds:datastoreItem>
</file>

<file path=docProps/app.xml><?xml version="1.0" encoding="utf-8"?>
<Properties xmlns="http://schemas.openxmlformats.org/officeDocument/2006/extended-properties" xmlns:vt="http://schemas.openxmlformats.org/officeDocument/2006/docPropsVTypes">
  <Template>Normal</Template>
  <Pages>141</Pages>
  <Words>56028</Words>
  <Characters>59300</Characters>
  <Lines>1</Lines>
  <Paragraphs>1</Paragraphs>
  <TotalTime>11</TotalTime>
  <ScaleCrop>false</ScaleCrop>
  <LinksUpToDate>false</LinksUpToDate>
  <CharactersWithSpaces>61456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2013-06-20T02:17:00Z</dcterms:created>
  <dc:creator>LIUHUANG</dc:creator>
  <cp:lastModifiedBy>lnx</cp:lastModifiedBy>
  <cp:lastPrinted>2026-09-11T06:43:32Z</cp:lastPrinted>
  <dcterms:modified xsi:type="dcterms:W3CDTF">2026-09-11T06:56:30Z</dcterms:modified>
  <dc:title>51XJCG平台采购文件范本</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1F1878206B4D4DD69E694A52B6DA3E99_13</vt:lpwstr>
  </property>
  <property fmtid="{D5CDD505-2E9C-101B-9397-08002B2CF9AE}" pid="4" name="KSOTemplateDocerSaveRecord">
    <vt:lpwstr>eyJoZGlkIjoiM2M5ZmMyYWM2MzVhYTA4NjdkYTExOWYzNTRjMTMxNzciLCJ1c2VySWQiOiIyODIzNTEzMjkifQ==</vt:lpwstr>
  </property>
</Properties>
</file>