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FE2AFE">
      <w:pPr>
        <w:pStyle w:val="13"/>
        <w:widowControl/>
        <w:numPr>
          <w:ilvl w:val="0"/>
          <w:numId w:val="1"/>
        </w:numPr>
        <w:spacing w:line="360" w:lineRule="auto"/>
        <w:jc w:val="left"/>
        <w:rPr>
          <w:rFonts w:ascii="仿宋_GB2312" w:hAnsi="仿宋_GB2312"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项目基本情况</w:t>
      </w:r>
    </w:p>
    <w:p w14:paraId="69B37439">
      <w:pPr>
        <w:pStyle w:val="13"/>
        <w:widowControl/>
        <w:numPr>
          <w:ilvl w:val="0"/>
          <w:numId w:val="2"/>
        </w:numPr>
        <w:spacing w:line="360" w:lineRule="auto"/>
        <w:jc w:val="left"/>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项目名称：电脑验光仪 </w:t>
      </w:r>
    </w:p>
    <w:p w14:paraId="72B423C2">
      <w:pPr>
        <w:pStyle w:val="13"/>
        <w:widowControl/>
        <w:numPr>
          <w:ilvl w:val="0"/>
          <w:numId w:val="2"/>
        </w:numPr>
        <w:spacing w:line="360" w:lineRule="auto"/>
        <w:jc w:val="left"/>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项目预算：18万元 </w:t>
      </w:r>
    </w:p>
    <w:p w14:paraId="367FFF58">
      <w:pPr>
        <w:pStyle w:val="13"/>
        <w:widowControl/>
        <w:numPr>
          <w:ilvl w:val="0"/>
          <w:numId w:val="2"/>
        </w:numPr>
        <w:spacing w:line="360" w:lineRule="auto"/>
        <w:jc w:val="left"/>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项目报价类型：总价</w:t>
      </w:r>
    </w:p>
    <w:p w14:paraId="5886ABD7">
      <w:pPr>
        <w:pStyle w:val="13"/>
        <w:widowControl/>
        <w:numPr>
          <w:ilvl w:val="0"/>
          <w:numId w:val="2"/>
        </w:numPr>
        <w:spacing w:line="360" w:lineRule="auto"/>
        <w:jc w:val="left"/>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资金来源：单位资金</w:t>
      </w:r>
    </w:p>
    <w:p w14:paraId="6741E0B1">
      <w:pPr>
        <w:pStyle w:val="13"/>
        <w:widowControl/>
        <w:numPr>
          <w:ilvl w:val="0"/>
          <w:numId w:val="2"/>
        </w:numPr>
        <w:spacing w:line="360" w:lineRule="auto"/>
        <w:jc w:val="left"/>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采购类别（货物/服务/工程）：货物</w:t>
      </w:r>
    </w:p>
    <w:p w14:paraId="46A6D5FA">
      <w:pPr>
        <w:pStyle w:val="13"/>
        <w:widowControl/>
        <w:numPr>
          <w:ilvl w:val="0"/>
          <w:numId w:val="1"/>
        </w:numPr>
        <w:spacing w:line="360" w:lineRule="auto"/>
        <w:jc w:val="left"/>
        <w:rPr>
          <w:rFonts w:ascii="仿宋_GB2312" w:hAnsi="仿宋_GB2312" w:eastAsia="仿宋_GB2312" w:cs="仿宋_GB2312"/>
          <w:sz w:val="28"/>
          <w:szCs w:val="28"/>
          <w:highlight w:val="none"/>
          <w:u w:val="single"/>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项目采购需求：</w:t>
      </w:r>
    </w:p>
    <w:p w14:paraId="70388818">
      <w:pPr>
        <w:pStyle w:val="13"/>
        <w:widowControl/>
        <w:spacing w:line="360" w:lineRule="auto"/>
        <w:ind w:left="0" w:firstLine="0"/>
        <w:jc w:val="left"/>
        <w:rPr>
          <w:rFonts w:ascii="仿宋_GB2312" w:hAnsi="仿宋_GB2312" w:eastAsia="仿宋_GB2312" w:cs="仿宋_GB2312"/>
          <w:sz w:val="28"/>
          <w:szCs w:val="28"/>
          <w:highlight w:val="none"/>
          <w:u w:val="single"/>
        </w:rPr>
      </w:pPr>
      <w:r>
        <w:rPr>
          <w:rFonts w:hint="eastAsia" w:ascii="仿宋_GB2312" w:hAnsi="仿宋_GB2312" w:eastAsia="仿宋_GB2312" w:cs="仿宋_GB2312"/>
          <w:sz w:val="28"/>
          <w:szCs w:val="28"/>
          <w:highlight w:val="none"/>
        </w:rPr>
        <w:t>（一）采购项目需实现的功能和目标：电脑验光仪主要用于医学客观验光，能够对病患进行迅速、准确的客观验光，快速了解病人的屈光及角膜散光情况。能够对患者的视功能有一个大概的认知，方便进行下一步的检查。此外，我国青少年近视率位居世界前列，近视防控工作要持续进行，电脑验光仪可以评估儿童视力的控制情况，有利于监测防控近视情况，尽量减少高度近视的发生。</w:t>
      </w:r>
    </w:p>
    <w:p w14:paraId="65070A7D">
      <w:pPr>
        <w:spacing w:line="360" w:lineRule="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（二）项目属性：</w:t>
      </w:r>
    </w:p>
    <w:p w14:paraId="09A85E62">
      <w:pPr>
        <w:numPr>
          <w:ilvl w:val="0"/>
          <w:numId w:val="3"/>
        </w:numPr>
        <w:spacing w:line="360" w:lineRule="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是否适宜由中小企业提供，并专门面向中小企业采购 </w:t>
      </w:r>
    </w:p>
    <w:p w14:paraId="0F6646CC">
      <w:pPr>
        <w:numPr>
          <w:ilvl w:val="0"/>
          <w:numId w:val="4"/>
        </w:numPr>
        <w:spacing w:line="360" w:lineRule="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□是         □是否仅面向小微企业</w:t>
      </w:r>
    </w:p>
    <w:p w14:paraId="41BE5786">
      <w:pPr>
        <w:numPr>
          <w:ilvl w:val="0"/>
          <w:numId w:val="4"/>
        </w:numPr>
        <w:spacing w:line="360" w:lineRule="auto"/>
        <w:rPr>
          <w:rFonts w:ascii="仿宋" w:hAnsi="仿宋" w:eastAsia="仿宋"/>
          <w:sz w:val="28"/>
          <w:szCs w:val="28"/>
          <w:highlight w:val="none"/>
          <w:u w:val="single"/>
        </w:rPr>
      </w:pPr>
      <w:r>
        <w:rPr>
          <w:rFonts w:hint="eastAsia" w:ascii="仿宋_GB2312" w:hAnsi="仿宋_GB2312" w:eastAsia="仿宋_GB2312" w:cs="仿宋_GB2312"/>
          <w:sz w:val="28"/>
          <w:szCs w:val="28"/>
          <w:highlight w:val="none"/>
        </w:rPr>
        <w:t>☑否，原因说明：</w:t>
      </w:r>
      <w:r>
        <w:rPr>
          <w:rFonts w:hint="eastAsia" w:ascii="仿宋" w:hAnsi="仿宋" w:eastAsia="仿宋"/>
          <w:sz w:val="28"/>
          <w:szCs w:val="28"/>
          <w:highlight w:val="none"/>
          <w:u w:val="single"/>
        </w:rPr>
        <w:t>按照办法规定预留采购份额无法确保充分供应、充分竞争，或者存在可能影响政府采购目标实现的情形。</w:t>
      </w:r>
    </w:p>
    <w:p w14:paraId="1380A7F1">
      <w:pPr>
        <w:numPr>
          <w:ilvl w:val="0"/>
          <w:numId w:val="5"/>
        </w:numPr>
        <w:rPr>
          <w:rFonts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是否接受联合体投标</w:t>
      </w:r>
      <w:r>
        <w:rPr>
          <w:rFonts w:hint="eastAsia" w:ascii="仿宋_GB2312" w:hAnsi="仿宋_GB2312" w:eastAsia="仿宋_GB2312" w:cs="仿宋_GB2312"/>
          <w:sz w:val="28"/>
          <w:szCs w:val="28"/>
          <w:highlight w:val="none"/>
        </w:rPr>
        <w:t>：  □是    ☑否</w:t>
      </w:r>
    </w:p>
    <w:p w14:paraId="18D0713E">
      <w:pPr>
        <w:spacing w:line="360" w:lineRule="auto"/>
        <w:rPr>
          <w:rFonts w:ascii="仿宋_GB2312" w:hAnsi="仿宋_GB2312" w:eastAsia="仿宋_GB2312" w:cs="仿宋_GB2312"/>
          <w:b/>
          <w:bCs/>
          <w:sz w:val="28"/>
          <w:szCs w:val="28"/>
          <w:highlight w:val="none"/>
        </w:rPr>
      </w:pPr>
      <w:r>
        <w:rPr>
          <w:rFonts w:hint="eastAsia" w:ascii="仿宋" w:hAnsi="仿宋" w:eastAsia="仿宋"/>
          <w:b/>
          <w:bCs/>
          <w:sz w:val="32"/>
          <w:szCs w:val="32"/>
          <w:highlight w:val="none"/>
        </w:rPr>
        <w:t>（</w:t>
      </w:r>
      <w:r>
        <w:rPr>
          <w:rFonts w:hint="eastAsia" w:ascii="仿宋_GB2312" w:hAnsi="仿宋_GB2312" w:eastAsia="仿宋_GB2312" w:cs="仿宋_GB2312"/>
          <w:b/>
          <w:bCs/>
          <w:sz w:val="28"/>
          <w:szCs w:val="28"/>
          <w:highlight w:val="none"/>
        </w:rPr>
        <w:t>四）采购标的汇总表：</w:t>
      </w:r>
    </w:p>
    <w:tbl>
      <w:tblPr>
        <w:tblStyle w:val="7"/>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2331"/>
        <w:gridCol w:w="1601"/>
        <w:gridCol w:w="968"/>
        <w:gridCol w:w="1200"/>
        <w:gridCol w:w="2065"/>
      </w:tblGrid>
      <w:tr w14:paraId="30C0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405" w:type="dxa"/>
            <w:shd w:val="clear" w:color="auto" w:fill="FFFFFF"/>
            <w:tcMar>
              <w:top w:w="0" w:type="dxa"/>
              <w:right w:w="0" w:type="dxa"/>
            </w:tcMar>
            <w:vAlign w:val="center"/>
          </w:tcPr>
          <w:p w14:paraId="3828F879">
            <w:pPr>
              <w:autoSpaceDE w:val="0"/>
              <w:autoSpaceDN w:val="0"/>
              <w:adjustRightInd w:val="0"/>
              <w:jc w:val="center"/>
              <w:rPr>
                <w:rFonts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sz w:val="28"/>
                <w:szCs w:val="28"/>
                <w:highlight w:val="none"/>
              </w:rPr>
              <w:t>项目</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名称</w:t>
            </w:r>
          </w:p>
        </w:tc>
        <w:tc>
          <w:tcPr>
            <w:tcW w:w="2331" w:type="dxa"/>
            <w:shd w:val="clear" w:color="auto" w:fill="FFFFFF"/>
            <w:tcMar>
              <w:top w:w="0" w:type="dxa"/>
              <w:right w:w="0" w:type="dxa"/>
            </w:tcMar>
            <w:vAlign w:val="center"/>
          </w:tcPr>
          <w:p w14:paraId="6CE06734">
            <w:pPr>
              <w:autoSpaceDE w:val="0"/>
              <w:autoSpaceDN w:val="0"/>
              <w:adjustRightInd w:val="0"/>
              <w:jc w:val="center"/>
              <w:rPr>
                <w:rFonts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品目 （政府采购品目分类目录）</w:t>
            </w:r>
          </w:p>
        </w:tc>
        <w:tc>
          <w:tcPr>
            <w:tcW w:w="1601" w:type="dxa"/>
            <w:shd w:val="clear" w:color="auto" w:fill="FFFFFF"/>
            <w:tcMar>
              <w:top w:w="0" w:type="dxa"/>
              <w:right w:w="0" w:type="dxa"/>
            </w:tcMar>
            <w:vAlign w:val="center"/>
          </w:tcPr>
          <w:p w14:paraId="5CB5F51A">
            <w:pPr>
              <w:autoSpaceDE w:val="0"/>
              <w:autoSpaceDN w:val="0"/>
              <w:adjustRightInd w:val="0"/>
              <w:jc w:val="center"/>
              <w:rPr>
                <w:rFonts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计量单位</w:t>
            </w:r>
          </w:p>
        </w:tc>
        <w:tc>
          <w:tcPr>
            <w:tcW w:w="968" w:type="dxa"/>
            <w:shd w:val="clear" w:color="auto" w:fill="FFFFFF"/>
            <w:vAlign w:val="center"/>
          </w:tcPr>
          <w:p w14:paraId="66C95C60">
            <w:pPr>
              <w:autoSpaceDE w:val="0"/>
              <w:autoSpaceDN w:val="0"/>
              <w:adjustRightInd w:val="0"/>
              <w:jc w:val="center"/>
              <w:rPr>
                <w:rFonts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数量</w:t>
            </w:r>
          </w:p>
        </w:tc>
        <w:tc>
          <w:tcPr>
            <w:tcW w:w="1200" w:type="dxa"/>
            <w:shd w:val="clear" w:color="auto" w:fill="FFFFFF"/>
            <w:vAlign w:val="center"/>
          </w:tcPr>
          <w:p w14:paraId="5609A811">
            <w:pPr>
              <w:autoSpaceDE w:val="0"/>
              <w:autoSpaceDN w:val="0"/>
              <w:adjustRightInd w:val="0"/>
              <w:jc w:val="center"/>
              <w:rPr>
                <w:rFonts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总预算（元）</w:t>
            </w:r>
          </w:p>
        </w:tc>
        <w:tc>
          <w:tcPr>
            <w:tcW w:w="2065" w:type="dxa"/>
            <w:shd w:val="clear" w:color="auto" w:fill="FFFFFF"/>
            <w:tcMar>
              <w:top w:w="0" w:type="dxa"/>
              <w:right w:w="0" w:type="dxa"/>
            </w:tcMar>
            <w:vAlign w:val="center"/>
          </w:tcPr>
          <w:p w14:paraId="489F0EC1">
            <w:pPr>
              <w:autoSpaceDE w:val="0"/>
              <w:autoSpaceDN w:val="0"/>
              <w:adjustRightInd w:val="0"/>
              <w:jc w:val="center"/>
              <w:rPr>
                <w:rFonts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是否进口      （货物类提供）</w:t>
            </w:r>
          </w:p>
        </w:tc>
      </w:tr>
      <w:tr w14:paraId="0088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5" w:type="dxa"/>
            <w:shd w:val="clear" w:color="auto" w:fill="FFFFFF"/>
            <w:tcMar>
              <w:top w:w="0" w:type="dxa"/>
              <w:right w:w="0" w:type="dxa"/>
            </w:tcMar>
            <w:vAlign w:val="center"/>
          </w:tcPr>
          <w:p w14:paraId="52746758">
            <w:pPr>
              <w:autoSpaceDE w:val="0"/>
              <w:autoSpaceDN w:val="0"/>
              <w:adjustRightInd w:val="0"/>
              <w:jc w:val="center"/>
              <w:rPr>
                <w:rFonts w:ascii="仿宋_GB2312" w:hAnsi="仿宋_GB2312" w:eastAsia="仿宋_GB2312" w:cs="仿宋_GB2312"/>
                <w:color w:val="5E6B87"/>
                <w:kern w:val="0"/>
                <w:sz w:val="28"/>
                <w:szCs w:val="28"/>
                <w:highlight w:val="none"/>
              </w:rPr>
            </w:pPr>
            <w:r>
              <w:rPr>
                <w:rFonts w:hint="eastAsia" w:ascii="仿宋_GB2312" w:hAnsi="仿宋_GB2312" w:eastAsia="仿宋_GB2312" w:cs="仿宋_GB2312"/>
                <w:kern w:val="0"/>
                <w:sz w:val="28"/>
                <w:szCs w:val="28"/>
                <w:highlight w:val="none"/>
              </w:rPr>
              <w:t>电脑验光仪</w:t>
            </w:r>
          </w:p>
        </w:tc>
        <w:tc>
          <w:tcPr>
            <w:tcW w:w="2331" w:type="dxa"/>
            <w:shd w:val="clear" w:color="auto" w:fill="FFFFFF"/>
            <w:tcMar>
              <w:top w:w="0" w:type="dxa"/>
              <w:right w:w="0" w:type="dxa"/>
            </w:tcMar>
            <w:vAlign w:val="center"/>
          </w:tcPr>
          <w:p w14:paraId="4C8AC7C8">
            <w:pPr>
              <w:autoSpaceDE w:val="0"/>
              <w:autoSpaceDN w:val="0"/>
              <w:adjustRightInd w:val="0"/>
              <w:jc w:val="center"/>
              <w:rPr>
                <w:rFonts w:ascii="仿宋_GB2312" w:hAnsi="仿宋_GB2312" w:eastAsia="仿宋_GB2312" w:cs="仿宋_GB2312"/>
                <w:color w:val="5E6B87"/>
                <w:kern w:val="0"/>
                <w:sz w:val="28"/>
                <w:szCs w:val="28"/>
                <w:highlight w:val="none"/>
              </w:rPr>
            </w:pPr>
            <w:r>
              <w:rPr>
                <w:rFonts w:hint="eastAsia" w:ascii="仿宋_GB2312" w:hAnsi="仿宋_GB2312" w:eastAsia="仿宋_GB2312" w:cs="仿宋_GB2312"/>
                <w:color w:val="5E6B87"/>
                <w:kern w:val="0"/>
                <w:sz w:val="28"/>
                <w:szCs w:val="28"/>
                <w:highlight w:val="none"/>
              </w:rPr>
              <w:t>A02320400、医用光学仪器</w:t>
            </w:r>
          </w:p>
        </w:tc>
        <w:tc>
          <w:tcPr>
            <w:tcW w:w="1601" w:type="dxa"/>
            <w:shd w:val="clear" w:color="auto" w:fill="FFFFFF"/>
            <w:tcMar>
              <w:top w:w="0" w:type="dxa"/>
              <w:right w:w="0" w:type="dxa"/>
            </w:tcMar>
            <w:vAlign w:val="center"/>
          </w:tcPr>
          <w:p w14:paraId="3855FFB2">
            <w:pPr>
              <w:autoSpaceDE w:val="0"/>
              <w:autoSpaceDN w:val="0"/>
              <w:adjustRightInd w:val="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color w:val="5E6B87"/>
                <w:kern w:val="0"/>
                <w:sz w:val="28"/>
                <w:szCs w:val="28"/>
                <w:highlight w:val="none"/>
              </w:rPr>
              <w:t xml:space="preserve">  台  </w:t>
            </w:r>
          </w:p>
        </w:tc>
        <w:tc>
          <w:tcPr>
            <w:tcW w:w="968" w:type="dxa"/>
            <w:shd w:val="clear" w:color="auto" w:fill="FFFFFF"/>
            <w:vAlign w:val="center"/>
          </w:tcPr>
          <w:p w14:paraId="6E94DBFC">
            <w:pPr>
              <w:autoSpaceDE w:val="0"/>
              <w:autoSpaceDN w:val="0"/>
              <w:adjustRightInd w:val="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color w:val="5E6B87"/>
                <w:kern w:val="0"/>
                <w:sz w:val="28"/>
                <w:szCs w:val="28"/>
                <w:highlight w:val="none"/>
              </w:rPr>
              <w:t xml:space="preserve">  1  </w:t>
            </w:r>
          </w:p>
        </w:tc>
        <w:tc>
          <w:tcPr>
            <w:tcW w:w="1200" w:type="dxa"/>
            <w:shd w:val="clear" w:color="auto" w:fill="FFFFFF"/>
            <w:vAlign w:val="center"/>
          </w:tcPr>
          <w:p w14:paraId="4D43B662">
            <w:pPr>
              <w:autoSpaceDE w:val="0"/>
              <w:autoSpaceDN w:val="0"/>
              <w:adjustRightInd w:val="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color w:val="5E6B87"/>
                <w:kern w:val="0"/>
                <w:sz w:val="28"/>
                <w:szCs w:val="28"/>
                <w:highlight w:val="none"/>
              </w:rPr>
              <w:t xml:space="preserve">180000    </w:t>
            </w:r>
          </w:p>
        </w:tc>
        <w:tc>
          <w:tcPr>
            <w:tcW w:w="2065" w:type="dxa"/>
            <w:shd w:val="clear" w:color="auto" w:fill="FFFFFF"/>
            <w:tcMar>
              <w:top w:w="0" w:type="dxa"/>
              <w:right w:w="0" w:type="dxa"/>
            </w:tcMar>
            <w:vAlign w:val="center"/>
          </w:tcPr>
          <w:p w14:paraId="03589EB9">
            <w:pPr>
              <w:autoSpaceDE w:val="0"/>
              <w:autoSpaceDN w:val="0"/>
              <w:adjustRightInd w:val="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color w:val="5E6B87"/>
                <w:kern w:val="0"/>
                <w:sz w:val="28"/>
                <w:szCs w:val="28"/>
                <w:highlight w:val="none"/>
              </w:rPr>
              <w:t xml:space="preserve">  </w:t>
            </w:r>
            <w:r>
              <w:rPr>
                <w:rFonts w:hint="eastAsia" w:ascii="仿宋_GB2312" w:hAnsi="仿宋_GB2312" w:eastAsia="仿宋_GB2312" w:cs="仿宋_GB2312"/>
                <w:color w:val="5E6B87"/>
                <w:kern w:val="0"/>
                <w:sz w:val="28"/>
                <w:szCs w:val="28"/>
                <w:highlight w:val="none"/>
                <w:lang w:val="en-US" w:eastAsia="zh-CN"/>
              </w:rPr>
              <w:t>不限</w:t>
            </w:r>
            <w:r>
              <w:rPr>
                <w:rFonts w:hint="eastAsia" w:ascii="仿宋_GB2312" w:hAnsi="仿宋_GB2312" w:eastAsia="仿宋_GB2312" w:cs="仿宋_GB2312"/>
                <w:color w:val="5E6B87"/>
                <w:kern w:val="0"/>
                <w:sz w:val="28"/>
                <w:szCs w:val="28"/>
                <w:highlight w:val="none"/>
              </w:rPr>
              <w:t xml:space="preserve">  </w:t>
            </w:r>
          </w:p>
        </w:tc>
      </w:tr>
    </w:tbl>
    <w:p w14:paraId="1F82D404">
      <w:pPr>
        <w:rPr>
          <w:b/>
          <w:bCs/>
          <w:highlight w:val="none"/>
        </w:rPr>
      </w:pPr>
      <w:r>
        <w:rPr>
          <w:rFonts w:hint="eastAsia" w:ascii="仿宋_GB2312" w:hAnsi="仿宋_GB2312" w:eastAsia="仿宋_GB2312" w:cs="仿宋_GB2312"/>
          <w:b/>
          <w:bCs/>
          <w:sz w:val="28"/>
          <w:szCs w:val="28"/>
          <w:highlight w:val="none"/>
        </w:rPr>
        <w:t>（五）按照规定及项目情况设置投标供应商资格要求：</w:t>
      </w:r>
    </w:p>
    <w:p w14:paraId="11528E5D">
      <w:pPr>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投标人必须具有独立法人资格，《营业执照》、《税务登记证》、《组织机构代码证》或“三证合一”的《营业执照》并具有相关经营范围（提供相关证明扫描件，原件备查）；</w:t>
      </w:r>
    </w:p>
    <w:p w14:paraId="69BDA093">
      <w:pPr>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提供的设备为第一类医疗器械的，应当提供医疗行业主管部门签发的有效的《医疗器械备案凭证》；投标人提供的设备为第二、三类医疗器械的，应当提供医疗行业主管部门签发的涵盖投标人提供设备的《医疗器械注册证》。投标人应确保货物与注册证或备案凭证所附之产品技术要求相符。如所供产品不属于第一、二、三类医疗器械的，可以不提供《医疗器械备案凭证》或《医疗器械注册证》，但需提供投标人关于所供产品不属于医疗器械的相关说明（加盖投标人公章）</w:t>
      </w:r>
    </w:p>
    <w:p w14:paraId="609AF070">
      <w:pPr>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若所供产品为进口产品，投标人必须是所供产品的制造商或合法代理商或合法授权投标人（提供相关证明扫描件）；若所供产品是国产产品（非进口产品），则投标人不需要提供其为所供产品的制造商或合法代理商或合法授权投标人的证明。</w:t>
      </w:r>
    </w:p>
    <w:p w14:paraId="6ABECD75">
      <w:pPr>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若所供产品为进口产品，则投标人需提供由制造商或授权的中国总代理签署的合法有效的保修、维修承诺函（免费保修期满足招标文件要求）扫描件；若所供产品为国产产品，则无需提供。</w:t>
      </w:r>
    </w:p>
    <w:p w14:paraId="144247B7">
      <w:pPr>
        <w:ind w:firstLine="480" w:firstLineChars="200"/>
        <w:rPr>
          <w:highlight w:val="none"/>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投标人必须承诺参与本项目投标前三年内，在经营活动中没有重大违法记录，以及参与本项目政府采购活动时不存在被有关部门禁止参与政府采购活动且在有效期内的情况（提供承诺函）；</w:t>
      </w:r>
    </w:p>
    <w:p w14:paraId="42606A22">
      <w:pP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（六）技术、服务要求与商务要求：</w:t>
      </w:r>
    </w:p>
    <w:p w14:paraId="775DC5F5">
      <w:pPr>
        <w:numPr>
          <w:ilvl w:val="0"/>
          <w:numId w:val="6"/>
        </w:num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技术要求：</w:t>
      </w:r>
    </w:p>
    <w:tbl>
      <w:tblPr>
        <w:tblStyle w:val="7"/>
        <w:tblW w:w="8698" w:type="dxa"/>
        <w:jc w:val="center"/>
        <w:tblLayout w:type="fixed"/>
        <w:tblCellMar>
          <w:top w:w="0" w:type="dxa"/>
          <w:left w:w="108" w:type="dxa"/>
          <w:bottom w:w="0" w:type="dxa"/>
          <w:right w:w="108" w:type="dxa"/>
        </w:tblCellMar>
      </w:tblPr>
      <w:tblGrid>
        <w:gridCol w:w="975"/>
        <w:gridCol w:w="7723"/>
      </w:tblGrid>
      <w:tr w14:paraId="3C8285D2">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A10C0">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8A7AC">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用于医学客观验光，快速测量屈光度、角膜曲率、散光及瞳孔参数。</w:t>
            </w:r>
          </w:p>
        </w:tc>
      </w:tr>
      <w:tr w14:paraId="374A6E7E">
        <w:tblPrEx>
          <w:tblCellMar>
            <w:top w:w="0" w:type="dxa"/>
            <w:left w:w="108" w:type="dxa"/>
            <w:bottom w:w="0" w:type="dxa"/>
            <w:right w:w="108" w:type="dxa"/>
          </w:tblCellMar>
        </w:tblPrEx>
        <w:trPr>
          <w:trHeight w:val="560" w:hRule="atLeast"/>
          <w:jc w:val="center"/>
        </w:trPr>
        <w:tc>
          <w:tcPr>
            <w:tcW w:w="86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0282">
            <w:pPr>
              <w:widowControl/>
              <w:jc w:val="left"/>
              <w:textAlignment w:val="center"/>
              <w:rPr>
                <w:rFonts w:ascii="宋体" w:hAnsi="宋体" w:eastAsia="宋体" w:cs="宋体"/>
                <w:b/>
                <w:bCs/>
                <w:color w:val="000000"/>
                <w:sz w:val="22"/>
                <w:highlight w:val="none"/>
              </w:rPr>
            </w:pPr>
            <w:r>
              <w:rPr>
                <w:rFonts w:hint="eastAsia" w:ascii="宋体" w:hAnsi="宋体" w:eastAsia="宋体" w:cs="宋体"/>
                <w:b/>
                <w:bCs/>
                <w:color w:val="000000"/>
                <w:kern w:val="0"/>
                <w:sz w:val="22"/>
                <w:highlight w:val="none"/>
              </w:rPr>
              <w:t>测量性能：</w:t>
            </w:r>
          </w:p>
        </w:tc>
      </w:tr>
      <w:tr w14:paraId="075661D5">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4B86">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2</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0D4A">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角膜曲率半径：≥5mm～10mm，精度0.01mm。</w:t>
            </w:r>
          </w:p>
        </w:tc>
      </w:tr>
      <w:tr w14:paraId="53F093D5">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08350">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3</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5873">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角膜屈光度：≥33.75D～67.50D，精度0.12D/0.25D。</w:t>
            </w:r>
          </w:p>
        </w:tc>
      </w:tr>
      <w:tr w14:paraId="3AB548EB">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DCEDA">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4</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76DBF">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角膜散光：≥-10D～+10D，精度0.12D/0.25D。</w:t>
            </w:r>
          </w:p>
        </w:tc>
      </w:tr>
      <w:tr w14:paraId="5153E6C3">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CCDAB">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5</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CB3A">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▲最小瞳孔直径：≤2.0mm。</w:t>
            </w:r>
          </w:p>
        </w:tc>
      </w:tr>
      <w:tr w14:paraId="0C57639D">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B859">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6</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823C">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球镜测量：≥-25D～+22D，精度0.12D/0.25D。</w:t>
            </w:r>
          </w:p>
        </w:tc>
      </w:tr>
      <w:tr w14:paraId="7B6B656A">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F198">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7</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CE5A">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柱镜测量：≥-10D～+10D，精度0.12D/0.25D。</w:t>
            </w:r>
          </w:p>
        </w:tc>
      </w:tr>
      <w:tr w14:paraId="796F083B">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B5C3">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8</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7B39">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轴向范围：0°～180°，精度1°/5°。</w:t>
            </w:r>
          </w:p>
        </w:tc>
      </w:tr>
      <w:tr w14:paraId="49EEFBF8">
        <w:tblPrEx>
          <w:tblCellMar>
            <w:top w:w="0" w:type="dxa"/>
            <w:left w:w="108" w:type="dxa"/>
            <w:bottom w:w="0" w:type="dxa"/>
            <w:right w:w="108" w:type="dxa"/>
          </w:tblCellMar>
        </w:tblPrEx>
        <w:trPr>
          <w:trHeight w:val="560" w:hRule="atLeast"/>
          <w:jc w:val="center"/>
        </w:trPr>
        <w:tc>
          <w:tcPr>
            <w:tcW w:w="8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8D0DB">
            <w:pPr>
              <w:widowControl/>
              <w:jc w:val="left"/>
              <w:textAlignment w:val="center"/>
              <w:rPr>
                <w:rFonts w:ascii="宋体" w:hAnsi="宋体" w:eastAsia="宋体" w:cs="宋体"/>
                <w:b/>
                <w:bCs/>
                <w:color w:val="000000"/>
                <w:sz w:val="22"/>
                <w:highlight w:val="none"/>
              </w:rPr>
            </w:pPr>
            <w:r>
              <w:rPr>
                <w:rFonts w:hint="eastAsia" w:ascii="宋体" w:hAnsi="宋体" w:eastAsia="宋体" w:cs="宋体"/>
                <w:b/>
                <w:bCs/>
                <w:color w:val="000000"/>
                <w:kern w:val="0"/>
                <w:sz w:val="22"/>
                <w:highlight w:val="none"/>
              </w:rPr>
              <w:t>功能要求：</w:t>
            </w:r>
          </w:p>
        </w:tc>
      </w:tr>
      <w:tr w14:paraId="2BD0713D">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50A91">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9</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6C5E">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放松方式：支持自动雾视（单次/多次）。</w:t>
            </w:r>
          </w:p>
        </w:tc>
      </w:tr>
      <w:tr w14:paraId="7B709711">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868A9">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10</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D8020">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固视系统：内置风景画固视图标。</w:t>
            </w:r>
          </w:p>
        </w:tc>
      </w:tr>
      <w:tr w14:paraId="23B56CE3">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5371">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11</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3929">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▲白内障模式：具备独立白内障测量功能。</w:t>
            </w:r>
          </w:p>
        </w:tc>
      </w:tr>
      <w:tr w14:paraId="69E37F5F">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096E9">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12</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7F2E1">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▲旋转棱镜系统：配备旋转棱镜，扩展视网膜测量范围。</w:t>
            </w:r>
          </w:p>
        </w:tc>
      </w:tr>
      <w:tr w14:paraId="3E69FBF4">
        <w:tblPrEx>
          <w:tblCellMar>
            <w:top w:w="0" w:type="dxa"/>
            <w:left w:w="108" w:type="dxa"/>
            <w:bottom w:w="0" w:type="dxa"/>
            <w:right w:w="108" w:type="dxa"/>
          </w:tblCellMar>
        </w:tblPrEx>
        <w:trPr>
          <w:trHeight w:val="560" w:hRule="atLeast"/>
          <w:jc w:val="center"/>
        </w:trPr>
        <w:tc>
          <w:tcPr>
            <w:tcW w:w="8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EAA9C">
            <w:pPr>
              <w:widowControl/>
              <w:jc w:val="left"/>
              <w:textAlignment w:val="center"/>
              <w:rPr>
                <w:rFonts w:ascii="宋体" w:hAnsi="宋体" w:eastAsia="宋体" w:cs="宋体"/>
                <w:b/>
                <w:bCs/>
                <w:color w:val="000000"/>
                <w:sz w:val="22"/>
                <w:highlight w:val="none"/>
              </w:rPr>
            </w:pPr>
            <w:r>
              <w:rPr>
                <w:rFonts w:hint="eastAsia" w:ascii="宋体" w:hAnsi="宋体" w:eastAsia="宋体" w:cs="宋体"/>
                <w:b/>
                <w:bCs/>
                <w:color w:val="000000"/>
                <w:kern w:val="0"/>
                <w:sz w:val="22"/>
                <w:highlight w:val="none"/>
              </w:rPr>
              <w:t>硬件配置：</w:t>
            </w:r>
          </w:p>
        </w:tc>
      </w:tr>
      <w:tr w14:paraId="4CCBD1EA">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816D">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13</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3798">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▲显示屏：≥7英寸彩色触控屏。</w:t>
            </w:r>
          </w:p>
        </w:tc>
      </w:tr>
      <w:tr w14:paraId="2634695B">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80B7">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14</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C34F7">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打印机：内置高速热敏打印机，支持瞳距、屈光数据输出。</w:t>
            </w:r>
          </w:p>
        </w:tc>
      </w:tr>
      <w:tr w14:paraId="41C894F6">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20B8">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15</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00CAA">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数据传输：USB输入，RS-232C/LAN输出。</w:t>
            </w:r>
          </w:p>
        </w:tc>
      </w:tr>
      <w:tr w14:paraId="3296B2FD">
        <w:tblPrEx>
          <w:tblCellMar>
            <w:top w:w="0" w:type="dxa"/>
            <w:left w:w="108" w:type="dxa"/>
            <w:bottom w:w="0" w:type="dxa"/>
            <w:right w:w="108" w:type="dxa"/>
          </w:tblCellMar>
        </w:tblPrEx>
        <w:trPr>
          <w:trHeight w:val="560" w:hRule="atLeast"/>
          <w:jc w:val="center"/>
        </w:trPr>
        <w:tc>
          <w:tcPr>
            <w:tcW w:w="8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BC325E">
            <w:pPr>
              <w:widowControl/>
              <w:jc w:val="left"/>
              <w:textAlignment w:val="center"/>
              <w:rPr>
                <w:rFonts w:ascii="宋体" w:hAnsi="宋体" w:eastAsia="宋体" w:cs="宋体"/>
                <w:b/>
                <w:bCs/>
                <w:color w:val="000000"/>
                <w:sz w:val="22"/>
                <w:highlight w:val="none"/>
              </w:rPr>
            </w:pPr>
            <w:r>
              <w:rPr>
                <w:rFonts w:hint="eastAsia" w:ascii="宋体" w:hAnsi="宋体" w:eastAsia="宋体" w:cs="宋体"/>
                <w:b/>
                <w:bCs/>
                <w:color w:val="000000"/>
                <w:kern w:val="0"/>
                <w:sz w:val="22"/>
                <w:highlight w:val="none"/>
              </w:rPr>
              <w:t>其他：</w:t>
            </w:r>
          </w:p>
        </w:tc>
      </w:tr>
      <w:tr w14:paraId="7C22F370">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7BB1">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16</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6DAA">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电源：100-240V AC，50/60Hz，功率≤70VA。</w:t>
            </w:r>
          </w:p>
        </w:tc>
      </w:tr>
      <w:tr w14:paraId="144E4D62">
        <w:tblPrEx>
          <w:tblCellMar>
            <w:top w:w="0" w:type="dxa"/>
            <w:left w:w="108" w:type="dxa"/>
            <w:bottom w:w="0" w:type="dxa"/>
            <w:right w:w="108" w:type="dxa"/>
          </w:tblCellMar>
        </w:tblPrEx>
        <w:trPr>
          <w:trHeight w:val="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1955">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17</w:t>
            </w:r>
          </w:p>
        </w:tc>
        <w:tc>
          <w:tcPr>
            <w:tcW w:w="7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3D33">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尺寸/重量：≤340mm（长）×540mm（宽）×500mm（高），重量≤15kg。</w:t>
            </w:r>
          </w:p>
        </w:tc>
      </w:tr>
    </w:tbl>
    <w:p w14:paraId="26C91CEC">
      <w:p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配置清单</w:t>
      </w:r>
    </w:p>
    <w:p w14:paraId="310E11E1">
      <w:pPr>
        <w:numPr>
          <w:ilvl w:val="0"/>
          <w:numId w:val="7"/>
        </w:num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电脑角膜验光仪主机 1台</w:t>
      </w:r>
    </w:p>
    <w:p w14:paraId="4F43850C">
      <w:pPr>
        <w:numPr>
          <w:ilvl w:val="0"/>
          <w:numId w:val="7"/>
        </w:num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打印纸 1个</w:t>
      </w:r>
    </w:p>
    <w:p w14:paraId="06A1CA96">
      <w:pPr>
        <w:numPr>
          <w:ilvl w:val="0"/>
          <w:numId w:val="7"/>
        </w:num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颌托纸 1个</w:t>
      </w:r>
    </w:p>
    <w:p w14:paraId="4A3F8943">
      <w:pPr>
        <w:numPr>
          <w:ilvl w:val="0"/>
          <w:numId w:val="7"/>
        </w:num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电动升降台 1张</w:t>
      </w:r>
      <w:bookmarkStart w:id="0" w:name="_GoBack"/>
      <w:bookmarkEnd w:id="0"/>
    </w:p>
    <w:p w14:paraId="106A2E77">
      <w:pPr>
        <w:numPr>
          <w:ilvl w:val="0"/>
          <w:numId w:val="7"/>
        </w:num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防尘罩 1个 </w:t>
      </w:r>
    </w:p>
    <w:p w14:paraId="0F952F41">
      <w:pPr>
        <w:numPr>
          <w:ilvl w:val="0"/>
          <w:numId w:val="7"/>
        </w:num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生物测量仪</w:t>
      </w:r>
      <w:r>
        <w:rPr>
          <w:rFonts w:hint="eastAsia" w:ascii="仿宋_GB2312" w:hAnsi="仿宋_GB2312" w:eastAsia="仿宋_GB2312" w:cs="仿宋_GB2312"/>
          <w:sz w:val="28"/>
          <w:szCs w:val="28"/>
          <w:highlight w:val="none"/>
          <w:lang w:val="en-US" w:eastAsia="zh-CN"/>
        </w:rPr>
        <w:t>1台</w:t>
      </w:r>
    </w:p>
    <w:p w14:paraId="4F5FAF94">
      <w:pPr>
        <w:numPr>
          <w:ilvl w:val="0"/>
          <w:numId w:val="7"/>
        </w:num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焦度计</w:t>
      </w:r>
      <w:r>
        <w:rPr>
          <w:rFonts w:hint="eastAsia" w:ascii="仿宋_GB2312" w:hAnsi="仿宋_GB2312" w:eastAsia="仿宋_GB2312" w:cs="仿宋_GB2312"/>
          <w:sz w:val="28"/>
          <w:szCs w:val="28"/>
          <w:highlight w:val="none"/>
          <w:lang w:val="en-US" w:eastAsia="zh-CN"/>
        </w:rPr>
        <w:t>1个</w:t>
      </w:r>
    </w:p>
    <w:p w14:paraId="54B23761">
      <w:pPr>
        <w:numPr>
          <w:ilvl w:val="0"/>
          <w:numId w:val="6"/>
        </w:numPr>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商务要求：</w:t>
      </w:r>
    </w:p>
    <w:tbl>
      <w:tblPr>
        <w:tblStyle w:val="7"/>
        <w:tblW w:w="10365" w:type="dxa"/>
        <w:jc w:val="center"/>
        <w:tblLayout w:type="autofit"/>
        <w:tblCellMar>
          <w:top w:w="0" w:type="dxa"/>
          <w:left w:w="108" w:type="dxa"/>
          <w:bottom w:w="0" w:type="dxa"/>
          <w:right w:w="108" w:type="dxa"/>
        </w:tblCellMar>
      </w:tblPr>
      <w:tblGrid>
        <w:gridCol w:w="525"/>
        <w:gridCol w:w="735"/>
        <w:gridCol w:w="1020"/>
        <w:gridCol w:w="8085"/>
      </w:tblGrid>
      <w:tr w14:paraId="65E91052">
        <w:tblPrEx>
          <w:tblCellMar>
            <w:top w:w="0" w:type="dxa"/>
            <w:left w:w="108" w:type="dxa"/>
            <w:bottom w:w="0" w:type="dxa"/>
            <w:right w:w="108" w:type="dxa"/>
          </w:tblCellMar>
        </w:tblPrEx>
        <w:trPr>
          <w:trHeight w:val="78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05EC">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序号</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BEA2A">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商务需求项</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FFFA">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商务要求</w:t>
            </w:r>
          </w:p>
        </w:tc>
      </w:tr>
      <w:tr w14:paraId="57559AD6">
        <w:tblPrEx>
          <w:tblCellMar>
            <w:top w:w="0" w:type="dxa"/>
            <w:left w:w="108" w:type="dxa"/>
            <w:bottom w:w="0" w:type="dxa"/>
            <w:right w:w="108" w:type="dxa"/>
          </w:tblCellMar>
        </w:tblPrEx>
        <w:trPr>
          <w:trHeight w:val="780" w:hRule="atLeast"/>
          <w:jc w:val="center"/>
        </w:trPr>
        <w:tc>
          <w:tcPr>
            <w:tcW w:w="103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9C3EE3">
            <w:pPr>
              <w:widowControl/>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（一）免费保修期内售后服务要求</w:t>
            </w:r>
          </w:p>
        </w:tc>
      </w:tr>
      <w:tr w14:paraId="6EF5CEE7">
        <w:tblPrEx>
          <w:tblCellMar>
            <w:top w:w="0" w:type="dxa"/>
            <w:left w:w="108" w:type="dxa"/>
            <w:bottom w:w="0" w:type="dxa"/>
            <w:right w:w="108" w:type="dxa"/>
          </w:tblCellMar>
        </w:tblPrEx>
        <w:trPr>
          <w:trHeight w:val="75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A3B060">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16DA2">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免费保修期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F7D7">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1.1</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04D2">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设备原厂（含附件）免费保修期为</w:t>
            </w:r>
            <w:r>
              <w:rPr>
                <w:rStyle w:val="15"/>
                <w:rFonts w:hint="default"/>
                <w:highlight w:val="none"/>
              </w:rPr>
              <w:t>8</w:t>
            </w:r>
            <w:r>
              <w:rPr>
                <w:rStyle w:val="16"/>
                <w:rFonts w:hint="default" w:hAnsi="宋体"/>
                <w:highlight w:val="none"/>
              </w:rPr>
              <w:t>年，自验收报告签字之日开始计算。</w:t>
            </w:r>
          </w:p>
        </w:tc>
      </w:tr>
      <w:tr w14:paraId="38A64989">
        <w:tblPrEx>
          <w:tblCellMar>
            <w:top w:w="0" w:type="dxa"/>
            <w:left w:w="108" w:type="dxa"/>
            <w:bottom w:w="0" w:type="dxa"/>
            <w:right w:w="108" w:type="dxa"/>
          </w:tblCellMar>
        </w:tblPrEx>
        <w:trPr>
          <w:trHeight w:val="225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B93EC">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355C6">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D858">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1.2</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4CB6">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因质量问题造成设备全部或部分停止使用的时间，保修期予以相应的延长。在保修期内乙方将免费维修和更换属质量原因造成的零部件损坏，保修期外零部件的损坏，提供的配件只收配件成本费。保修期满后，乙方还必须提供设备的终身维护。</w:t>
            </w:r>
          </w:p>
        </w:tc>
      </w:tr>
      <w:tr w14:paraId="0816783D">
        <w:tblPrEx>
          <w:tblCellMar>
            <w:top w:w="0" w:type="dxa"/>
            <w:left w:w="108" w:type="dxa"/>
            <w:bottom w:w="0" w:type="dxa"/>
            <w:right w:w="108" w:type="dxa"/>
          </w:tblCellMar>
        </w:tblPrEx>
        <w:trPr>
          <w:trHeight w:val="787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20039">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45626">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DFAB">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1.3</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C2E3">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由生产厂家提供售后服务，生产厂家有固定、专业的售后服务机构，有受过专业培训的售后服务人员对采购人单位使用人员进行设备的基本结构、性能，日常的使用保养方法，紧急情况处理等相关内容的培训，并对采购人维修工程师进行工作原理，操作使用、维修维护、常见故障排除方法培训，使其熟悉设备的运行环境，并对设备的性能有详细的了解和熟练掌握设备的使用方法，不定期到采购单位巡检、每半年按采购人要求无条件提供预防性维护检测报告，以及每年按采购人要求无条件进行仪器校准，并出具校准报告（中标投标人不得向采购人收取额外的费用），及时发现和处理问题，确保设备正常和安全使用并得到良好的维护保养，并且提供售后服务机构地址、负责人名单、工程师名单、联系电话。在保修期内，机器若发生故障，维修人员须在4小时内响应，24小时内维修到位，对到达现场后24个工作小时内不能解决的故障，投标人须提供样机应急，所更换的零配件须为通过原厂认证的合格零配件。</w:t>
            </w:r>
          </w:p>
        </w:tc>
      </w:tr>
      <w:tr w14:paraId="67FB82CE">
        <w:tblPrEx>
          <w:tblCellMar>
            <w:top w:w="0" w:type="dxa"/>
            <w:left w:w="108" w:type="dxa"/>
            <w:bottom w:w="0" w:type="dxa"/>
            <w:right w:w="108" w:type="dxa"/>
          </w:tblCellMar>
        </w:tblPrEx>
        <w:trPr>
          <w:trHeight w:val="75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E0E4">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A4D9">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其他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36EC">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2.1</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5C05">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投标人应按其投标文件中的承诺，进行其他售后服务工作。</w:t>
            </w:r>
          </w:p>
        </w:tc>
      </w:tr>
      <w:tr w14:paraId="44284321">
        <w:tblPrEx>
          <w:tblCellMar>
            <w:top w:w="0" w:type="dxa"/>
            <w:left w:w="108" w:type="dxa"/>
            <w:bottom w:w="0" w:type="dxa"/>
            <w:right w:w="108" w:type="dxa"/>
          </w:tblCellMar>
        </w:tblPrEx>
        <w:trPr>
          <w:trHeight w:val="375" w:hRule="atLeast"/>
          <w:jc w:val="center"/>
        </w:trPr>
        <w:tc>
          <w:tcPr>
            <w:tcW w:w="103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436B09">
            <w:pPr>
              <w:widowControl/>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（二）免费保修期外售后服务要求</w:t>
            </w:r>
          </w:p>
        </w:tc>
      </w:tr>
      <w:tr w14:paraId="5567DCB3">
        <w:tblPrEx>
          <w:tblCellMar>
            <w:top w:w="0" w:type="dxa"/>
            <w:left w:w="108" w:type="dxa"/>
            <w:bottom w:w="0" w:type="dxa"/>
            <w:right w:w="108" w:type="dxa"/>
          </w:tblCellMar>
        </w:tblPrEx>
        <w:trPr>
          <w:trHeight w:val="187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E7F8">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613B">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其他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0A32">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1.1</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A648">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免费保修期结束后的维修只按优惠价格收取材料费，不收取人工费及差旅费，投标人须在签订合同前提供该设备免费保修期结束后的年度维保方案和报价，以作为采购人购买后续服务的基本保证。</w:t>
            </w:r>
          </w:p>
        </w:tc>
      </w:tr>
      <w:tr w14:paraId="1801B916">
        <w:tblPrEx>
          <w:tblCellMar>
            <w:top w:w="0" w:type="dxa"/>
            <w:left w:w="108" w:type="dxa"/>
            <w:bottom w:w="0" w:type="dxa"/>
            <w:right w:w="108" w:type="dxa"/>
          </w:tblCellMar>
        </w:tblPrEx>
        <w:trPr>
          <w:trHeight w:val="375" w:hRule="atLeast"/>
          <w:jc w:val="center"/>
        </w:trPr>
        <w:tc>
          <w:tcPr>
            <w:tcW w:w="103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4A98C3">
            <w:pPr>
              <w:widowControl/>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（三）其他商务要求</w:t>
            </w:r>
          </w:p>
        </w:tc>
      </w:tr>
      <w:tr w14:paraId="3305EDF4">
        <w:tblPrEx>
          <w:tblCellMar>
            <w:top w:w="0" w:type="dxa"/>
            <w:left w:w="108" w:type="dxa"/>
            <w:bottom w:w="0" w:type="dxa"/>
            <w:right w:w="108" w:type="dxa"/>
          </w:tblCellMar>
        </w:tblPrEx>
        <w:trPr>
          <w:trHeight w:val="375"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20546">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2FDAA2">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关于交货</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91E8">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1.1</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BB60">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合同签订或约定之日起</w:t>
            </w:r>
            <w:r>
              <w:rPr>
                <w:rStyle w:val="15"/>
                <w:rFonts w:hint="default" w:hAnsi="宋体"/>
                <w:highlight w:val="none"/>
              </w:rPr>
              <w:t>30</w:t>
            </w:r>
            <w:r>
              <w:rPr>
                <w:rStyle w:val="16"/>
                <w:rFonts w:hint="default" w:hAnsi="宋体"/>
                <w:highlight w:val="none"/>
              </w:rPr>
              <w:t>日历天内交货。</w:t>
            </w:r>
          </w:p>
        </w:tc>
      </w:tr>
      <w:tr w14:paraId="3A99CFFD">
        <w:tblPrEx>
          <w:tblCellMar>
            <w:top w:w="0" w:type="dxa"/>
            <w:left w:w="108" w:type="dxa"/>
            <w:bottom w:w="0" w:type="dxa"/>
            <w:right w:w="108" w:type="dxa"/>
          </w:tblCellMar>
        </w:tblPrEx>
        <w:trPr>
          <w:trHeight w:val="37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22627">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6870C">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3386">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1.2</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02E6">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地点：采购人指定地点。</w:t>
            </w:r>
          </w:p>
        </w:tc>
      </w:tr>
      <w:tr w14:paraId="0A3CAB70">
        <w:tblPrEx>
          <w:tblCellMar>
            <w:top w:w="0" w:type="dxa"/>
            <w:left w:w="108" w:type="dxa"/>
            <w:bottom w:w="0" w:type="dxa"/>
            <w:right w:w="108" w:type="dxa"/>
          </w:tblCellMar>
        </w:tblPrEx>
        <w:trPr>
          <w:trHeight w:val="187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9648A">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8EE2C">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58B4">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1.3</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071F">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投标人必须在交货之日起</w:t>
            </w:r>
            <w:r>
              <w:rPr>
                <w:rStyle w:val="15"/>
                <w:rFonts w:hint="default" w:hAnsi="宋体"/>
                <w:b w:val="0"/>
                <w:bCs w:val="0"/>
                <w:highlight w:val="none"/>
              </w:rPr>
              <w:t>60</w:t>
            </w:r>
            <w:r>
              <w:rPr>
                <w:rStyle w:val="16"/>
                <w:rFonts w:hint="default" w:hAnsi="宋体"/>
                <w:highlight w:val="none"/>
              </w:rPr>
              <w:t>日历天内完成安装、调试，但采购人另有书面通知的，以采购人书面通知为准；设备需要在现场安装调试，因采购人现场不具备安装调试条件导致工期延误时，安装调试完工日期应当顺延，具体顺延期限由双方商定。</w:t>
            </w:r>
          </w:p>
        </w:tc>
      </w:tr>
      <w:tr w14:paraId="00DC927A">
        <w:tblPrEx>
          <w:tblCellMar>
            <w:top w:w="0" w:type="dxa"/>
            <w:left w:w="108" w:type="dxa"/>
            <w:bottom w:w="0" w:type="dxa"/>
            <w:right w:w="108" w:type="dxa"/>
          </w:tblCellMar>
        </w:tblPrEx>
        <w:trPr>
          <w:trHeight w:val="300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C78FE">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DD80F">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DB3C">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1.4</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F9D8">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包装运输：投标人提供的设备必须是1年内生产的未经使用过的、全新的、完整的，并且应当符合医疗器械强制性国家标准；尚无强制性国家标准的，应当符合医疗器械强制性行业标准，或具有有关质检部门出具的设备检验合格证明。同时，要求设备使用国际通用的标准包装，适合于长途运输，外包装到货时应完好无损，外包装破损时采购人有权拒收，由此产生的其他费用由投标人承担，（包括但不限于运输费、装卸费、保管费等）。</w:t>
            </w:r>
          </w:p>
        </w:tc>
      </w:tr>
      <w:tr w14:paraId="66BD1A2E">
        <w:tblPrEx>
          <w:tblCellMar>
            <w:top w:w="0" w:type="dxa"/>
            <w:left w:w="108" w:type="dxa"/>
            <w:bottom w:w="0" w:type="dxa"/>
            <w:right w:w="108" w:type="dxa"/>
          </w:tblCellMar>
        </w:tblPrEx>
        <w:trPr>
          <w:trHeight w:val="1125"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867920">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2</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E984C0">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关于验收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005F">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2.1</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3CBD">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投标人货物经过双方检验认可后，签署验收报告，产品保修期自验收合格之日起算，由投标人提供产品保修文件。</w:t>
            </w:r>
          </w:p>
        </w:tc>
      </w:tr>
      <w:tr w14:paraId="128506D7">
        <w:tblPrEx>
          <w:tblCellMar>
            <w:top w:w="0" w:type="dxa"/>
            <w:left w:w="108" w:type="dxa"/>
            <w:bottom w:w="0" w:type="dxa"/>
            <w:right w:w="108" w:type="dxa"/>
          </w:tblCellMar>
        </w:tblPrEx>
        <w:trPr>
          <w:trHeight w:val="187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060A8">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A4A3C">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7539">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2.2</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456ED">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当满足以下条件时，采购人才向投标人签发货物验收报告：投标人已按照合同规定提供了全部产品及完整的技术资料。货物符合招标文件技术要求，性能满足要求。国产货物必须具备产品合格证。</w:t>
            </w:r>
          </w:p>
        </w:tc>
      </w:tr>
      <w:tr w14:paraId="53471484">
        <w:tblPrEx>
          <w:tblCellMar>
            <w:top w:w="0" w:type="dxa"/>
            <w:left w:w="108" w:type="dxa"/>
            <w:bottom w:w="0" w:type="dxa"/>
            <w:right w:w="108" w:type="dxa"/>
          </w:tblCellMar>
        </w:tblPrEx>
        <w:trPr>
          <w:trHeight w:val="75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3DBA3">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B902F">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1EB4">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2.3</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EF0F">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凡属于国家规定强制检测的设备项目，都必须具备计量质检部门的检测合格证。</w:t>
            </w:r>
          </w:p>
        </w:tc>
      </w:tr>
      <w:tr w14:paraId="0AF3991D">
        <w:tblPrEx>
          <w:tblCellMar>
            <w:top w:w="0" w:type="dxa"/>
            <w:left w:w="108" w:type="dxa"/>
            <w:bottom w:w="0" w:type="dxa"/>
            <w:right w:w="108" w:type="dxa"/>
          </w:tblCellMar>
        </w:tblPrEx>
        <w:trPr>
          <w:trHeight w:val="112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462F4">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AE37E">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6ABB">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2.4</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4BA3">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验收过程中，如采购人拟对货物质量进行实质验收时，有权邀请第三方检测机构对货物进行检测或测试，因此所需的费用由投标人承担。</w:t>
            </w:r>
          </w:p>
        </w:tc>
      </w:tr>
      <w:tr w14:paraId="5E917FB1">
        <w:tblPrEx>
          <w:tblCellMar>
            <w:top w:w="0" w:type="dxa"/>
            <w:left w:w="108" w:type="dxa"/>
            <w:bottom w:w="0" w:type="dxa"/>
            <w:right w:w="108" w:type="dxa"/>
          </w:tblCellMar>
        </w:tblPrEx>
        <w:trPr>
          <w:trHeight w:val="412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3DB2F">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572D3">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C949">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2.5</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A2BB">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投标人提供的设备为第一类医疗器械的，验收时应当提供医疗行业主管部门签发的有效的《医疗器械备案凭证》；投标人提供的设备为第二、三类医疗器械的，应当提供医疗行业主管部门签发的涵盖投标人提供设备的《医疗器械注册证》。投标人应确保货物与注册证或备案凭证所附之产品技术要求相符。如所投产品不属于第一、二、三类医疗器械的，验收时可以不提供《医疗器械备案凭证》或《医疗器械注册证》，但需提供投标人关于所投产品不属于医疗器械的相关说明（加盖投标人公章）</w:t>
            </w:r>
          </w:p>
        </w:tc>
      </w:tr>
      <w:tr w14:paraId="543DD7CF">
        <w:tblPrEx>
          <w:tblCellMar>
            <w:top w:w="0" w:type="dxa"/>
            <w:left w:w="108" w:type="dxa"/>
            <w:bottom w:w="0" w:type="dxa"/>
            <w:right w:w="108" w:type="dxa"/>
          </w:tblCellMar>
        </w:tblPrEx>
        <w:trPr>
          <w:trHeight w:val="112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2FDE4">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9F925">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0595">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2.6</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FD8B">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在验收过程中，中标人需出具与设备制造商签订的与原合同条款一致的维保合同或原厂维保承诺函。</w:t>
            </w:r>
          </w:p>
        </w:tc>
      </w:tr>
      <w:tr w14:paraId="2529751B">
        <w:tblPrEx>
          <w:tblCellMar>
            <w:top w:w="0" w:type="dxa"/>
            <w:left w:w="108" w:type="dxa"/>
            <w:bottom w:w="0" w:type="dxa"/>
            <w:right w:w="108" w:type="dxa"/>
          </w:tblCellMar>
        </w:tblPrEx>
        <w:trPr>
          <w:trHeight w:val="1875"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258450">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3</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D715EE">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其他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EDCD">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3.1</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EFA6">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投标人须支持物联网协议，便于与医院信息系统的对接，按采购人要求无条件开放数据交换接口，并提供技术支持（中标投标人不得向采购人收取额外的费用），并保证所使用软件的合法性，任何知识产权纠纷与采购人无关。</w:t>
            </w:r>
          </w:p>
        </w:tc>
      </w:tr>
      <w:tr w14:paraId="67D9BAE0">
        <w:tblPrEx>
          <w:tblCellMar>
            <w:top w:w="0" w:type="dxa"/>
            <w:left w:w="108" w:type="dxa"/>
            <w:bottom w:w="0" w:type="dxa"/>
            <w:right w:w="108" w:type="dxa"/>
          </w:tblCellMar>
        </w:tblPrEx>
        <w:trPr>
          <w:trHeight w:val="225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90165">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3CDE5">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F56C">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3.2</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A68D">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若所投产品为进口产品，投标人必须是所投产品的制造商或合法代理商或合法授权投标人（提供相关证明扫描件）；若所投产品是国产产品（非进口产品），则投标人不需要提供其为所投产品的制造商或合法代理商或合法授权投标人的证明。</w:t>
            </w:r>
          </w:p>
        </w:tc>
      </w:tr>
      <w:tr w14:paraId="27A4B074">
        <w:tblPrEx>
          <w:tblCellMar>
            <w:top w:w="0" w:type="dxa"/>
            <w:left w:w="108" w:type="dxa"/>
            <w:bottom w:w="0" w:type="dxa"/>
            <w:right w:w="108" w:type="dxa"/>
          </w:tblCellMar>
        </w:tblPrEx>
        <w:trPr>
          <w:trHeight w:val="187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085D1">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A997E">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DC8F">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3.3</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C206">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若所投产品为进口产品，则投标人需提供由制造商或授权的中国总代理签署的合法有效的保修、维修承诺函（免费保修期满足招标文件要求）扫描件；若所投产品为国产产品，则无需提供。</w:t>
            </w:r>
          </w:p>
        </w:tc>
      </w:tr>
      <w:tr w14:paraId="45C8AD08">
        <w:tblPrEx>
          <w:tblCellMar>
            <w:top w:w="0" w:type="dxa"/>
            <w:left w:w="108" w:type="dxa"/>
            <w:bottom w:w="0" w:type="dxa"/>
            <w:right w:w="108" w:type="dxa"/>
          </w:tblCellMar>
        </w:tblPrEx>
        <w:trPr>
          <w:trHeight w:val="150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7FF8F">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32FEE">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8F66">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3.4</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8CF3">
            <w:pPr>
              <w:widowControl/>
              <w:textAlignment w:val="center"/>
              <w:rPr>
                <w:rFonts w:ascii="仿宋_GB2312" w:hAnsi="宋体" w:eastAsia="仿宋_GB2312" w:cs="仿宋_GB2312"/>
                <w:color w:val="000000"/>
                <w:sz w:val="28"/>
                <w:szCs w:val="28"/>
                <w:highlight w:val="none"/>
              </w:rPr>
            </w:pPr>
            <w:r>
              <w:rPr>
                <w:rFonts w:hint="eastAsia" w:ascii="微软雅黑" w:hAnsi="微软雅黑" w:eastAsia="微软雅黑" w:cs="微软雅黑"/>
                <w:color w:val="000000"/>
                <w:kern w:val="0"/>
                <w:sz w:val="28"/>
                <w:szCs w:val="28"/>
                <w:highlight w:val="none"/>
              </w:rPr>
              <w:t>★</w:t>
            </w:r>
            <w:r>
              <w:rPr>
                <w:rFonts w:hint="eastAsia" w:ascii="仿宋_GB2312" w:hAnsi="宋体" w:eastAsia="仿宋_GB2312" w:cs="仿宋_GB2312"/>
                <w:color w:val="000000"/>
                <w:kern w:val="0"/>
                <w:sz w:val="28"/>
                <w:szCs w:val="28"/>
                <w:highlight w:val="none"/>
              </w:rPr>
              <w:t>投标人所提供的设备，若该设备配有专用的配套医用耗材，则此类耗材必须通过深圳市医用耗材阳光交易和监管平台进行交易，且供货价格必须遵循阳光平台所公布的最低成交价。未在平台上交易的耗材，必须提供相应的报价单。</w:t>
            </w:r>
          </w:p>
        </w:tc>
      </w:tr>
      <w:tr w14:paraId="0DE8F6E2">
        <w:tblPrEx>
          <w:tblCellMar>
            <w:top w:w="0" w:type="dxa"/>
            <w:left w:w="108" w:type="dxa"/>
            <w:bottom w:w="0" w:type="dxa"/>
            <w:right w:w="108" w:type="dxa"/>
          </w:tblCellMar>
        </w:tblPrEx>
        <w:trPr>
          <w:trHeight w:val="150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0FA11">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DAC47">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FD73">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3.5</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DFA7">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本次标的若包含软件服务，需本地化部署，并严格遵照《信息安全法》等相关法律法规，符合网络安全管理相关规定，所有数据未经采购方允许，不得向第三方私自泄漏。</w:t>
            </w:r>
          </w:p>
        </w:tc>
      </w:tr>
      <w:tr w14:paraId="0CB6CDCF">
        <w:tblPrEx>
          <w:tblCellMar>
            <w:top w:w="0" w:type="dxa"/>
            <w:left w:w="108" w:type="dxa"/>
            <w:bottom w:w="0" w:type="dxa"/>
            <w:right w:w="108" w:type="dxa"/>
          </w:tblCellMar>
        </w:tblPrEx>
        <w:trPr>
          <w:trHeight w:val="1125"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42103">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4</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B32D56">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关于付款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3AD2">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1.1</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9786">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合同生效后，货到指定地点，安装验收合格后，采购人收到投标人提供的相应金额合法有效发票后，支付合同总金额的100%。</w:t>
            </w:r>
          </w:p>
        </w:tc>
      </w:tr>
      <w:tr w14:paraId="3AC4A07A">
        <w:tblPrEx>
          <w:tblCellMar>
            <w:top w:w="0" w:type="dxa"/>
            <w:left w:w="108" w:type="dxa"/>
            <w:bottom w:w="0" w:type="dxa"/>
            <w:right w:w="108" w:type="dxa"/>
          </w:tblCellMar>
        </w:tblPrEx>
        <w:trPr>
          <w:trHeight w:val="262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561EF">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81790">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59A3">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 xml:space="preserve">1.2 </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5DF9">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若采购人使用的是财政资金，其付款时间以向政府财政部门提出办理财政支付申请手续的时间为准（不含政府财政支付部门的审核时间）。在规定时间内，一旦采购人提出支付申请手续，即视为已按期支付。若因财政审批原因导致的延期付款，采购人不承担违约责任，中标人应继续履行约定的义务。</w:t>
            </w:r>
          </w:p>
        </w:tc>
      </w:tr>
      <w:tr w14:paraId="7DCAC836">
        <w:tblPrEx>
          <w:tblCellMar>
            <w:top w:w="0" w:type="dxa"/>
            <w:left w:w="108" w:type="dxa"/>
            <w:bottom w:w="0" w:type="dxa"/>
            <w:right w:w="108" w:type="dxa"/>
          </w:tblCellMar>
        </w:tblPrEx>
        <w:trPr>
          <w:trHeight w:val="150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E9993">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D3769">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3061">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1.3</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6BD6">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若本项目财政下达的资金数额不足以支付合同约定的比例金额，采购人将按照实际财政下达的资金数额支付合同款，不足部分将待新的项目资金下达后进行支付。</w:t>
            </w:r>
          </w:p>
        </w:tc>
      </w:tr>
      <w:tr w14:paraId="4F415A70">
        <w:tblPrEx>
          <w:tblCellMar>
            <w:top w:w="0" w:type="dxa"/>
            <w:left w:w="108" w:type="dxa"/>
            <w:bottom w:w="0" w:type="dxa"/>
            <w:right w:w="108" w:type="dxa"/>
          </w:tblCellMar>
        </w:tblPrEx>
        <w:trPr>
          <w:trHeight w:val="3375"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836356">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5</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628B4">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违约责任</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66E7">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1.1</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E7F2">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投标人交付的设备品种、型号、规格、质量不符合合同和招标文件要求的，采购人有权拒绝收货，且投标人须赔付采购人设备总值10%的违约金。当投标文件所附配置清单与招标文件要求不一致时，以招标文件要求为准。任何对招标文件要求的修改，应以补充合同的形式签订，但不得涉及招标实质性要求。招标实质性要求包括：产品品牌、型号、价格、技术参数和售后服务要求等。</w:t>
            </w:r>
          </w:p>
        </w:tc>
      </w:tr>
      <w:tr w14:paraId="36551C52">
        <w:tblPrEx>
          <w:tblCellMar>
            <w:top w:w="0" w:type="dxa"/>
            <w:left w:w="108" w:type="dxa"/>
            <w:bottom w:w="0" w:type="dxa"/>
            <w:right w:w="108" w:type="dxa"/>
          </w:tblCellMar>
        </w:tblPrEx>
        <w:trPr>
          <w:trHeight w:val="150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A80D5">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703CB">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8014">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1.2</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D317">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由于投标人的原因未能按时交货的，每迟一天向采购人支付合同总额的0.5%违约金，如超过交货期10天，采购人有权终止合同并通过法律程序对投标人进行索赔。</w:t>
            </w:r>
          </w:p>
        </w:tc>
      </w:tr>
      <w:tr w14:paraId="3EAC3A2B">
        <w:tblPrEx>
          <w:tblCellMar>
            <w:top w:w="0" w:type="dxa"/>
            <w:left w:w="108" w:type="dxa"/>
            <w:bottom w:w="0" w:type="dxa"/>
            <w:right w:w="108" w:type="dxa"/>
          </w:tblCellMar>
        </w:tblPrEx>
        <w:trPr>
          <w:trHeight w:val="187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08059">
            <w:pPr>
              <w:jc w:val="center"/>
              <w:rPr>
                <w:rFonts w:ascii="仿宋_GB2312" w:hAnsi="宋体" w:eastAsia="仿宋_GB2312" w:cs="仿宋_GB2312"/>
                <w:b/>
                <w:bCs/>
                <w:color w:val="000000"/>
                <w:sz w:val="28"/>
                <w:szCs w:val="28"/>
                <w:highlight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110DA">
            <w:pPr>
              <w:jc w:val="center"/>
              <w:rPr>
                <w:rFonts w:ascii="仿宋_GB2312" w:hAnsi="宋体" w:eastAsia="仿宋_GB2312" w:cs="仿宋_GB2312"/>
                <w:b/>
                <w:bCs/>
                <w:color w:val="000000"/>
                <w:sz w:val="28"/>
                <w:szCs w:val="2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E0A0">
            <w:pPr>
              <w:widowControl/>
              <w:jc w:val="center"/>
              <w:textAlignment w:val="center"/>
              <w:rPr>
                <w:rFonts w:ascii="仿宋_GB2312" w:hAnsi="宋体" w:eastAsia="仿宋_GB2312" w:cs="仿宋_GB2312"/>
                <w:b/>
                <w:bCs/>
                <w:color w:val="000000"/>
                <w:sz w:val="28"/>
                <w:szCs w:val="28"/>
                <w:highlight w:val="none"/>
              </w:rPr>
            </w:pPr>
            <w:r>
              <w:rPr>
                <w:rFonts w:hint="eastAsia" w:ascii="仿宋_GB2312" w:hAnsi="宋体" w:eastAsia="仿宋_GB2312" w:cs="仿宋_GB2312"/>
                <w:b/>
                <w:bCs/>
                <w:color w:val="000000"/>
                <w:kern w:val="0"/>
                <w:sz w:val="28"/>
                <w:szCs w:val="28"/>
                <w:highlight w:val="none"/>
              </w:rPr>
              <w:t>1.3</w:t>
            </w:r>
          </w:p>
        </w:tc>
        <w:tc>
          <w:tcPr>
            <w:tcW w:w="8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EF70">
            <w:pPr>
              <w:widowControl/>
              <w:textAlignment w:val="center"/>
              <w:rPr>
                <w:rFonts w:ascii="仿宋_GB2312" w:hAnsi="宋体" w:eastAsia="仿宋_GB2312" w:cs="仿宋_GB2312"/>
                <w:color w:val="000000"/>
                <w:sz w:val="28"/>
                <w:szCs w:val="28"/>
                <w:highlight w:val="none"/>
              </w:rPr>
            </w:pPr>
            <w:r>
              <w:rPr>
                <w:rFonts w:hint="eastAsia" w:ascii="仿宋_GB2312" w:hAnsi="宋体" w:eastAsia="仿宋_GB2312" w:cs="仿宋_GB2312"/>
                <w:color w:val="000000"/>
                <w:kern w:val="0"/>
                <w:sz w:val="28"/>
                <w:szCs w:val="28"/>
                <w:highlight w:val="none"/>
              </w:rPr>
              <w:t>由于投标人的原因，在货到一周内未进行安装调试，或安装调试时间超过正常要求，按每超过一天按合同总额的0.5%向采购人支付违约金。情节严重者，将依法律程序对投标人进行索赔。</w:t>
            </w:r>
          </w:p>
        </w:tc>
      </w:tr>
    </w:tbl>
    <w:p w14:paraId="4F16BB3E">
      <w:pPr>
        <w:pStyle w:val="2"/>
        <w:spacing w:before="0" w:after="0" w:line="240" w:lineRule="auto"/>
        <w:rPr>
          <w:rFonts w:ascii="仿宋" w:hAnsi="仿宋" w:eastAsia="仿宋"/>
          <w:sz w:val="28"/>
          <w:szCs w:val="28"/>
          <w:highlight w:val="none"/>
        </w:rPr>
      </w:pPr>
      <w:r>
        <w:rPr>
          <w:rFonts w:hint="eastAsia" w:ascii="仿宋_GB2312" w:hAnsi="仿宋_GB2312" w:eastAsia="仿宋_GB2312" w:cs="仿宋_GB2312"/>
          <w:sz w:val="28"/>
          <w:szCs w:val="28"/>
          <w:highlight w:val="none"/>
        </w:rPr>
        <w:t>（七）</w:t>
      </w:r>
      <w:r>
        <w:rPr>
          <w:rFonts w:hint="eastAsia" w:ascii="仿宋" w:hAnsi="仿宋" w:eastAsia="仿宋"/>
          <w:sz w:val="28"/>
          <w:szCs w:val="28"/>
          <w:highlight w:val="none"/>
        </w:rPr>
        <w:t>评审规则：</w:t>
      </w:r>
    </w:p>
    <w:p w14:paraId="6E6BC7D5">
      <w:pPr>
        <w:adjustRightInd w:val="0"/>
        <w:snapToGrid w:val="0"/>
        <w:jc w:val="left"/>
        <w:rPr>
          <w:rFonts w:ascii="仿宋" w:hAnsi="仿宋" w:eastAsia="仿宋"/>
          <w:sz w:val="28"/>
          <w:szCs w:val="28"/>
          <w:highlight w:val="none"/>
        </w:rPr>
      </w:pPr>
      <w:r>
        <w:rPr>
          <w:rFonts w:hint="eastAsia" w:ascii="仿宋" w:hAnsi="仿宋" w:eastAsia="仿宋"/>
          <w:sz w:val="28"/>
          <w:szCs w:val="28"/>
          <w:highlight w:val="none"/>
        </w:rPr>
        <w:t>1.评标方法：综合评分法</w:t>
      </w:r>
    </w:p>
    <w:p w14:paraId="7DED27E6">
      <w:pPr>
        <w:adjustRightInd w:val="0"/>
        <w:snapToGrid w:val="0"/>
        <w:jc w:val="left"/>
        <w:rPr>
          <w:rFonts w:ascii="仿宋_GB2312" w:hAnsi="仿宋_GB2312" w:eastAsia="仿宋_GB2312" w:cs="仿宋_GB2312"/>
          <w:color w:val="FF0000"/>
          <w:sz w:val="24"/>
          <w:szCs w:val="24"/>
          <w:highlight w:val="none"/>
        </w:rPr>
      </w:pPr>
    </w:p>
    <w:p w14:paraId="64C601A3">
      <w:pPr>
        <w:adjustRightInd w:val="0"/>
        <w:snapToGrid w:val="0"/>
        <w:jc w:val="left"/>
        <w:rPr>
          <w:rFonts w:ascii="仿宋_GB2312" w:hAnsi="仿宋_GB2312" w:eastAsia="仿宋_GB2312" w:cs="仿宋_GB2312"/>
          <w:color w:val="FF0000"/>
          <w:sz w:val="24"/>
          <w:szCs w:val="24"/>
          <w:highlight w:val="none"/>
        </w:rPr>
      </w:pPr>
    </w:p>
    <w:p w14:paraId="517CD9E9">
      <w:pPr>
        <w:adjustRightInd w:val="0"/>
        <w:snapToGrid w:val="0"/>
        <w:jc w:val="left"/>
        <w:rPr>
          <w:rFonts w:ascii="仿宋_GB2312" w:hAnsi="仿宋_GB2312" w:eastAsia="仿宋_GB2312" w:cs="仿宋_GB2312"/>
          <w:color w:val="FF0000"/>
          <w:sz w:val="24"/>
          <w:szCs w:val="24"/>
          <w:highlight w:val="none"/>
        </w:rPr>
      </w:pPr>
    </w:p>
    <w:p w14:paraId="4F7E9CE7">
      <w:pPr>
        <w:adjustRightInd w:val="0"/>
        <w:snapToGrid w:val="0"/>
        <w:jc w:val="left"/>
        <w:rPr>
          <w:rFonts w:ascii="仿宋_GB2312" w:hAnsi="仿宋_GB2312" w:eastAsia="仿宋_GB2312" w:cs="仿宋_GB2312"/>
          <w:color w:val="FF0000"/>
          <w:sz w:val="24"/>
          <w:szCs w:val="24"/>
          <w:highlight w:val="none"/>
        </w:rPr>
      </w:pPr>
    </w:p>
    <w:p w14:paraId="28EE05F3">
      <w:pPr>
        <w:adjustRightInd w:val="0"/>
        <w:snapToGrid w:val="0"/>
        <w:jc w:val="left"/>
        <w:rPr>
          <w:rFonts w:ascii="仿宋_GB2312" w:hAnsi="仿宋_GB2312" w:eastAsia="仿宋_GB2312" w:cs="仿宋_GB2312"/>
          <w:color w:val="FF0000"/>
          <w:sz w:val="24"/>
          <w:szCs w:val="24"/>
          <w:highlight w:val="none"/>
        </w:rPr>
      </w:pPr>
    </w:p>
    <w:p w14:paraId="0277966A">
      <w:pPr>
        <w:adjustRightInd w:val="0"/>
        <w:snapToGrid w:val="0"/>
        <w:jc w:val="left"/>
        <w:rPr>
          <w:rFonts w:ascii="仿宋_GB2312" w:hAnsi="仿宋_GB2312" w:eastAsia="仿宋_GB2312" w:cs="仿宋_GB2312"/>
          <w:color w:val="FF0000"/>
          <w:sz w:val="24"/>
          <w:szCs w:val="24"/>
          <w:highlight w:val="none"/>
        </w:rPr>
      </w:pPr>
    </w:p>
    <w:p w14:paraId="1C4ECBB2">
      <w:pPr>
        <w:adjustRightInd w:val="0"/>
        <w:snapToGrid w:val="0"/>
        <w:jc w:val="left"/>
        <w:rPr>
          <w:rFonts w:ascii="仿宋_GB2312" w:hAnsi="仿宋_GB2312" w:eastAsia="仿宋_GB2312" w:cs="仿宋_GB2312"/>
          <w:color w:val="FF0000"/>
          <w:sz w:val="24"/>
          <w:szCs w:val="24"/>
          <w:highlight w:val="none"/>
        </w:rPr>
      </w:pPr>
    </w:p>
    <w:p w14:paraId="2635B403">
      <w:pPr>
        <w:adjustRightInd w:val="0"/>
        <w:snapToGrid w:val="0"/>
        <w:jc w:val="left"/>
        <w:rPr>
          <w:rFonts w:ascii="仿宋_GB2312" w:hAnsi="仿宋_GB2312" w:eastAsia="仿宋_GB2312" w:cs="仿宋_GB2312"/>
          <w:color w:val="FF0000"/>
          <w:sz w:val="24"/>
          <w:szCs w:val="24"/>
          <w:highlight w:val="none"/>
        </w:rPr>
      </w:pPr>
    </w:p>
    <w:p w14:paraId="5B9CA032">
      <w:pPr>
        <w:adjustRightInd w:val="0"/>
        <w:snapToGrid w:val="0"/>
        <w:jc w:val="left"/>
        <w:rPr>
          <w:rFonts w:ascii="仿宋_GB2312" w:hAnsi="仿宋_GB2312" w:eastAsia="仿宋_GB2312" w:cs="仿宋_GB2312"/>
          <w:color w:val="FF0000"/>
          <w:sz w:val="24"/>
          <w:szCs w:val="24"/>
          <w:highlight w:val="none"/>
        </w:rPr>
      </w:pPr>
    </w:p>
    <w:p w14:paraId="0DB1F0B4">
      <w:pPr>
        <w:adjustRightInd w:val="0"/>
        <w:snapToGrid w:val="0"/>
        <w:jc w:val="left"/>
        <w:rPr>
          <w:rFonts w:ascii="仿宋_GB2312" w:hAnsi="仿宋_GB2312" w:eastAsia="仿宋_GB2312" w:cs="仿宋_GB2312"/>
          <w:color w:val="FF0000"/>
          <w:sz w:val="24"/>
          <w:szCs w:val="24"/>
          <w:highlight w:val="none"/>
        </w:rPr>
      </w:pPr>
    </w:p>
    <w:p w14:paraId="3D5BA71E">
      <w:pPr>
        <w:adjustRightInd w:val="0"/>
        <w:snapToGrid w:val="0"/>
        <w:jc w:val="left"/>
        <w:rPr>
          <w:rFonts w:ascii="仿宋_GB2312" w:hAnsi="仿宋_GB2312" w:eastAsia="仿宋_GB2312" w:cs="仿宋_GB2312"/>
          <w:color w:val="FF0000"/>
          <w:sz w:val="24"/>
          <w:szCs w:val="24"/>
          <w:highlight w:val="none"/>
        </w:rPr>
      </w:pPr>
    </w:p>
    <w:p w14:paraId="19334AB8">
      <w:pPr>
        <w:adjustRightInd w:val="0"/>
        <w:snapToGrid w:val="0"/>
        <w:jc w:val="left"/>
        <w:rPr>
          <w:rFonts w:ascii="仿宋_GB2312" w:hAnsi="仿宋_GB2312" w:eastAsia="仿宋_GB2312" w:cs="仿宋_GB2312"/>
          <w:color w:val="FF0000"/>
          <w:sz w:val="24"/>
          <w:szCs w:val="24"/>
          <w:highlight w:val="none"/>
        </w:rPr>
      </w:pPr>
    </w:p>
    <w:p w14:paraId="6506DEF0">
      <w:pPr>
        <w:adjustRightInd w:val="0"/>
        <w:snapToGrid w:val="0"/>
        <w:jc w:val="left"/>
        <w:rPr>
          <w:rFonts w:ascii="仿宋_GB2312" w:hAnsi="仿宋_GB2312" w:eastAsia="仿宋_GB2312" w:cs="仿宋_GB2312"/>
          <w:color w:val="FF0000"/>
          <w:sz w:val="24"/>
          <w:szCs w:val="24"/>
          <w:highlight w:val="none"/>
        </w:rPr>
      </w:pPr>
    </w:p>
    <w:p w14:paraId="4151B528">
      <w:pPr>
        <w:adjustRightInd w:val="0"/>
        <w:snapToGrid w:val="0"/>
        <w:jc w:val="left"/>
        <w:rPr>
          <w:rFonts w:ascii="仿宋_GB2312" w:hAnsi="仿宋_GB2312" w:eastAsia="仿宋_GB2312" w:cs="仿宋_GB2312"/>
          <w:color w:val="FF0000"/>
          <w:sz w:val="24"/>
          <w:szCs w:val="24"/>
          <w:highlight w:val="none"/>
        </w:rPr>
      </w:pPr>
    </w:p>
    <w:p w14:paraId="2DB20689">
      <w:pPr>
        <w:adjustRightInd w:val="0"/>
        <w:snapToGrid w:val="0"/>
        <w:jc w:val="left"/>
        <w:rPr>
          <w:rFonts w:ascii="仿宋_GB2312" w:hAnsi="仿宋_GB2312" w:eastAsia="仿宋_GB2312" w:cs="仿宋_GB2312"/>
          <w:color w:val="FF0000"/>
          <w:sz w:val="24"/>
          <w:szCs w:val="24"/>
          <w:highlight w:val="none"/>
        </w:rPr>
      </w:pPr>
    </w:p>
    <w:p w14:paraId="27D5CEA3">
      <w:pPr>
        <w:adjustRightInd w:val="0"/>
        <w:snapToGrid w:val="0"/>
        <w:jc w:val="left"/>
        <w:rPr>
          <w:rFonts w:ascii="仿宋_GB2312" w:hAnsi="仿宋_GB2312" w:eastAsia="仿宋_GB2312" w:cs="仿宋_GB2312"/>
          <w:color w:val="FF0000"/>
          <w:sz w:val="24"/>
          <w:szCs w:val="24"/>
          <w:highlight w:val="none"/>
        </w:rPr>
      </w:pPr>
    </w:p>
    <w:p w14:paraId="495FB50B">
      <w:pPr>
        <w:adjustRightInd w:val="0"/>
        <w:snapToGrid w:val="0"/>
        <w:jc w:val="left"/>
        <w:rPr>
          <w:rFonts w:ascii="仿宋_GB2312" w:hAnsi="仿宋_GB2312" w:eastAsia="仿宋_GB2312" w:cs="仿宋_GB2312"/>
          <w:color w:val="FF0000"/>
          <w:sz w:val="24"/>
          <w:szCs w:val="24"/>
          <w:highlight w:val="none"/>
        </w:rPr>
      </w:pPr>
    </w:p>
    <w:p w14:paraId="571F7D8B">
      <w:pPr>
        <w:adjustRightInd w:val="0"/>
        <w:snapToGrid w:val="0"/>
        <w:jc w:val="left"/>
        <w:rPr>
          <w:rFonts w:ascii="仿宋_GB2312" w:hAnsi="仿宋_GB2312" w:eastAsia="仿宋_GB2312" w:cs="仿宋_GB2312"/>
          <w:color w:val="FF0000"/>
          <w:sz w:val="24"/>
          <w:szCs w:val="24"/>
          <w:highlight w:val="none"/>
        </w:rPr>
      </w:pPr>
    </w:p>
    <w:p w14:paraId="2306DCA4">
      <w:pPr>
        <w:adjustRightInd w:val="0"/>
        <w:snapToGrid w:val="0"/>
        <w:jc w:val="left"/>
        <w:rPr>
          <w:rFonts w:ascii="仿宋_GB2312" w:hAnsi="仿宋_GB2312" w:eastAsia="仿宋_GB2312" w:cs="仿宋_GB2312"/>
          <w:color w:val="FF0000"/>
          <w:sz w:val="24"/>
          <w:szCs w:val="24"/>
          <w:highlight w:val="none"/>
        </w:rPr>
      </w:pPr>
    </w:p>
    <w:p w14:paraId="359F678B">
      <w:pPr>
        <w:adjustRightInd w:val="0"/>
        <w:snapToGrid w:val="0"/>
        <w:jc w:val="left"/>
        <w:rPr>
          <w:rFonts w:ascii="仿宋_GB2312" w:hAnsi="仿宋_GB2312" w:eastAsia="仿宋_GB2312" w:cs="仿宋_GB2312"/>
          <w:color w:val="FF0000"/>
          <w:sz w:val="24"/>
          <w:szCs w:val="24"/>
          <w:highlight w:val="none"/>
        </w:rPr>
      </w:pPr>
    </w:p>
    <w:p w14:paraId="439DA6D5">
      <w:pPr>
        <w:adjustRightInd w:val="0"/>
        <w:snapToGrid w:val="0"/>
        <w:jc w:val="left"/>
        <w:rPr>
          <w:rFonts w:ascii="仿宋_GB2312" w:hAnsi="仿宋_GB2312" w:eastAsia="仿宋_GB2312" w:cs="仿宋_GB2312"/>
          <w:color w:val="FF0000"/>
          <w:sz w:val="24"/>
          <w:szCs w:val="24"/>
          <w:highlight w:val="none"/>
        </w:rPr>
      </w:pPr>
    </w:p>
    <w:p w14:paraId="22B18F86">
      <w:pPr>
        <w:adjustRightInd w:val="0"/>
        <w:snapToGrid w:val="0"/>
        <w:jc w:val="left"/>
        <w:rPr>
          <w:rFonts w:ascii="仿宋_GB2312" w:hAnsi="仿宋_GB2312" w:eastAsia="仿宋_GB2312" w:cs="仿宋_GB2312"/>
          <w:color w:val="FF0000"/>
          <w:sz w:val="24"/>
          <w:szCs w:val="24"/>
          <w:highlight w:val="none"/>
        </w:rPr>
      </w:pPr>
    </w:p>
    <w:p w14:paraId="16564758">
      <w:pPr>
        <w:adjustRightInd w:val="0"/>
        <w:snapToGrid w:val="0"/>
        <w:jc w:val="left"/>
        <w:rPr>
          <w:rFonts w:ascii="仿宋_GB2312" w:hAnsi="仿宋_GB2312" w:eastAsia="仿宋_GB2312" w:cs="仿宋_GB2312"/>
          <w:color w:val="FF0000"/>
          <w:sz w:val="24"/>
          <w:szCs w:val="24"/>
          <w:highlight w:val="none"/>
        </w:rPr>
      </w:pPr>
    </w:p>
    <w:p w14:paraId="42BB712D">
      <w:pPr>
        <w:numPr>
          <w:ilvl w:val="0"/>
          <w:numId w:val="8"/>
        </w:numPr>
        <w:adjustRightInd w:val="0"/>
        <w:snapToGrid w:val="0"/>
        <w:jc w:val="left"/>
        <w:rPr>
          <w:rFonts w:ascii="仿宋_GB2312" w:hAnsi="仿宋_GB2312" w:eastAsia="仿宋_GB2312" w:cs="仿宋_GB2312"/>
          <w:color w:val="FF0000"/>
          <w:sz w:val="24"/>
          <w:szCs w:val="24"/>
          <w:highlight w:val="none"/>
        </w:rPr>
      </w:pPr>
      <w:r>
        <w:rPr>
          <w:rFonts w:hint="eastAsia" w:ascii="仿宋_GB2312" w:hAnsi="仿宋_GB2312" w:eastAsia="仿宋_GB2312" w:cs="仿宋_GB2312"/>
          <w:color w:val="FF0000"/>
          <w:sz w:val="24"/>
          <w:szCs w:val="24"/>
          <w:highlight w:val="none"/>
        </w:rPr>
        <w:t>品牌型号：拓普康、KR-800</w:t>
      </w:r>
    </w:p>
    <w:p w14:paraId="243DE084">
      <w:pPr>
        <w:numPr>
          <w:ilvl w:val="0"/>
          <w:numId w:val="0"/>
        </w:numPr>
        <w:adjustRightInd w:val="0"/>
        <w:snapToGrid w:val="0"/>
        <w:jc w:val="left"/>
        <w:rPr>
          <w:rFonts w:ascii="仿宋_GB2312" w:hAnsi="仿宋_GB2312" w:eastAsia="仿宋_GB2312" w:cs="仿宋_GB2312"/>
          <w:color w:val="FF0000"/>
          <w:sz w:val="24"/>
          <w:szCs w:val="24"/>
          <w:highlight w:val="none"/>
        </w:rPr>
      </w:pPr>
      <w:r>
        <w:rPr>
          <w:rFonts w:ascii="仿宋_GB2312" w:hAnsi="仿宋_GB2312" w:eastAsia="仿宋_GB2312" w:cs="仿宋_GB2312"/>
          <w:color w:val="FF0000"/>
          <w:sz w:val="24"/>
          <w:szCs w:val="24"/>
          <w:highlight w:val="none"/>
        </w:rPr>
        <w:drawing>
          <wp:inline distT="0" distB="0" distL="0" distR="0">
            <wp:extent cx="5274310" cy="7153275"/>
            <wp:effectExtent l="19050" t="0" r="2540" b="0"/>
            <wp:docPr id="9" name="图片 4" descr="C:\Users\skrmyy\Documents\WXWork\1688852550319468\Cache\Image\2025-05\fab30778-1851-4310-a8c0-3e787995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skrmyy\Documents\WXWork\1688852550319468\Cache\Image\2025-05\fab30778-1851-4310-a8c0-3e7879953324.jpg"/>
                    <pic:cNvPicPr>
                      <a:picLocks noChangeAspect="1" noChangeArrowheads="1"/>
                    </pic:cNvPicPr>
                  </pic:nvPicPr>
                  <pic:blipFill>
                    <a:blip r:embed="rId5" cstate="print"/>
                    <a:srcRect/>
                    <a:stretch>
                      <a:fillRect/>
                    </a:stretch>
                  </pic:blipFill>
                  <pic:spPr>
                    <a:xfrm>
                      <a:off x="0" y="0"/>
                      <a:ext cx="5274310" cy="7153848"/>
                    </a:xfrm>
                    <a:prstGeom prst="rect">
                      <a:avLst/>
                    </a:prstGeom>
                    <a:noFill/>
                    <a:ln w="9525">
                      <a:noFill/>
                      <a:miter lim="800000"/>
                      <a:headEnd/>
                      <a:tailEnd/>
                    </a:ln>
                  </pic:spPr>
                </pic:pic>
              </a:graphicData>
            </a:graphic>
          </wp:inline>
        </w:drawing>
      </w:r>
      <w:r>
        <w:rPr>
          <w:rFonts w:eastAsia="Times New Roman"/>
          <w:snapToGrid w:val="0"/>
          <w:color w:val="000000"/>
          <w:w w:val="0"/>
          <w:sz w:val="0"/>
          <w:szCs w:val="0"/>
          <w:highlight w:val="none"/>
          <w:u w:color="000000"/>
          <w:shd w:val="clear" w:color="000000" w:fill="000000"/>
        </w:rPr>
        <w:t xml:space="preserve"> </w:t>
      </w:r>
      <w:r>
        <w:rPr>
          <w:rFonts w:ascii="仿宋_GB2312" w:hAnsi="仿宋_GB2312" w:eastAsia="仿宋_GB2312" w:cs="仿宋_GB2312"/>
          <w:color w:val="FF0000"/>
          <w:sz w:val="24"/>
          <w:szCs w:val="24"/>
          <w:highlight w:val="none"/>
        </w:rPr>
        <w:drawing>
          <wp:inline distT="0" distB="0" distL="0" distR="0">
            <wp:extent cx="5274310" cy="7157720"/>
            <wp:effectExtent l="19050" t="0" r="2540" b="0"/>
            <wp:docPr id="10" name="图片 5" descr="C:\Users\skrmyy\Documents\WXWork\1688852550319468\Cache\Image\2025-05\7d9aea11-eb38-48ed-b81b-80be783a3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skrmyy\Documents\WXWork\1688852550319468\Cache\Image\2025-05\7d9aea11-eb38-48ed-b81b-80be783a370a.jpg"/>
                    <pic:cNvPicPr>
                      <a:picLocks noChangeAspect="1" noChangeArrowheads="1"/>
                    </pic:cNvPicPr>
                  </pic:nvPicPr>
                  <pic:blipFill>
                    <a:blip r:embed="rId6" cstate="print"/>
                    <a:srcRect/>
                    <a:stretch>
                      <a:fillRect/>
                    </a:stretch>
                  </pic:blipFill>
                  <pic:spPr>
                    <a:xfrm>
                      <a:off x="0" y="0"/>
                      <a:ext cx="5274310" cy="7158067"/>
                    </a:xfrm>
                    <a:prstGeom prst="rect">
                      <a:avLst/>
                    </a:prstGeom>
                    <a:noFill/>
                    <a:ln w="9525">
                      <a:noFill/>
                      <a:miter lim="800000"/>
                      <a:headEnd/>
                      <a:tailEnd/>
                    </a:ln>
                  </pic:spPr>
                </pic:pic>
              </a:graphicData>
            </a:graphic>
          </wp:inline>
        </w:drawing>
      </w:r>
      <w:r>
        <w:rPr>
          <w:rFonts w:eastAsia="Times New Roman"/>
          <w:snapToGrid w:val="0"/>
          <w:color w:val="000000"/>
          <w:w w:val="0"/>
          <w:sz w:val="0"/>
          <w:szCs w:val="0"/>
          <w:highlight w:val="none"/>
          <w:u w:color="000000"/>
          <w:shd w:val="clear" w:color="000000" w:fill="000000"/>
        </w:rPr>
        <w:t xml:space="preserve"> </w:t>
      </w:r>
      <w:r>
        <w:rPr>
          <w:rFonts w:eastAsia="Times New Roman"/>
          <w:color w:val="000000"/>
          <w:w w:val="0"/>
          <w:sz w:val="0"/>
          <w:szCs w:val="0"/>
          <w:highlight w:val="none"/>
          <w:u w:color="000000"/>
          <w:shd w:val="clear" w:color="000000" w:fill="000000"/>
        </w:rPr>
        <w:drawing>
          <wp:inline distT="0" distB="0" distL="0" distR="0">
            <wp:extent cx="5274310" cy="7157720"/>
            <wp:effectExtent l="19050" t="0" r="2540" b="0"/>
            <wp:docPr id="11" name="图片 6" descr="C:\Users\skrmyy\Documents\WXWork\1688852550319468\Cache\Image\2025-05\6aa978c7-7950-4354-b9eb-2f8a02fed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skrmyy\Documents\WXWork\1688852550319468\Cache\Image\2025-05\6aa978c7-7950-4354-b9eb-2f8a02fed83e.jpg"/>
                    <pic:cNvPicPr>
                      <a:picLocks noChangeAspect="1" noChangeArrowheads="1"/>
                    </pic:cNvPicPr>
                  </pic:nvPicPr>
                  <pic:blipFill>
                    <a:blip r:embed="rId7" cstate="print"/>
                    <a:srcRect/>
                    <a:stretch>
                      <a:fillRect/>
                    </a:stretch>
                  </pic:blipFill>
                  <pic:spPr>
                    <a:xfrm>
                      <a:off x="0" y="0"/>
                      <a:ext cx="5274310" cy="7158067"/>
                    </a:xfrm>
                    <a:prstGeom prst="rect">
                      <a:avLst/>
                    </a:prstGeom>
                    <a:noFill/>
                    <a:ln w="9525">
                      <a:noFill/>
                      <a:miter lim="800000"/>
                      <a:headEnd/>
                      <a:tailEnd/>
                    </a:ln>
                  </pic:spPr>
                </pic:pic>
              </a:graphicData>
            </a:graphic>
          </wp:inline>
        </w:drawing>
      </w:r>
      <w:r>
        <w:rPr>
          <w:rFonts w:eastAsia="Times New Roman"/>
          <w:snapToGrid w:val="0"/>
          <w:color w:val="000000"/>
          <w:w w:val="0"/>
          <w:sz w:val="0"/>
          <w:szCs w:val="0"/>
          <w:highlight w:val="none"/>
          <w:u w:color="000000"/>
          <w:shd w:val="clear" w:color="000000" w:fill="000000"/>
        </w:rPr>
        <w:t xml:space="preserve"> </w:t>
      </w:r>
      <w:r>
        <w:rPr>
          <w:rFonts w:eastAsia="Times New Roman"/>
          <w:color w:val="000000"/>
          <w:w w:val="0"/>
          <w:sz w:val="0"/>
          <w:szCs w:val="0"/>
          <w:highlight w:val="none"/>
          <w:u w:color="000000"/>
          <w:shd w:val="clear" w:color="000000" w:fill="000000"/>
        </w:rPr>
        <w:drawing>
          <wp:inline distT="0" distB="0" distL="0" distR="0">
            <wp:extent cx="5274310" cy="7153275"/>
            <wp:effectExtent l="19050" t="0" r="2540" b="0"/>
            <wp:docPr id="12" name="图片 7" descr="C:\Users\skrmyy\Documents\WXWork\1688852550319468\Cache\Image\2025-05\7f7988cd-4d91-4170-80fa-89603c626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C:\Users\skrmyy\Documents\WXWork\1688852550319468\Cache\Image\2025-05\7f7988cd-4d91-4170-80fa-89603c626a0d.jpg"/>
                    <pic:cNvPicPr>
                      <a:picLocks noChangeAspect="1" noChangeArrowheads="1"/>
                    </pic:cNvPicPr>
                  </pic:nvPicPr>
                  <pic:blipFill>
                    <a:blip r:embed="rId8" cstate="print"/>
                    <a:srcRect/>
                    <a:stretch>
                      <a:fillRect/>
                    </a:stretch>
                  </pic:blipFill>
                  <pic:spPr>
                    <a:xfrm>
                      <a:off x="0" y="0"/>
                      <a:ext cx="5274310" cy="7153848"/>
                    </a:xfrm>
                    <a:prstGeom prst="rect">
                      <a:avLst/>
                    </a:prstGeom>
                    <a:noFill/>
                    <a:ln w="9525">
                      <a:noFill/>
                      <a:miter lim="800000"/>
                      <a:headEnd/>
                      <a:tailEnd/>
                    </a:ln>
                  </pic:spPr>
                </pic:pic>
              </a:graphicData>
            </a:graphic>
          </wp:inline>
        </w:drawing>
      </w:r>
    </w:p>
    <w:p w14:paraId="7011F1D2">
      <w:pPr>
        <w:numPr>
          <w:ilvl w:val="0"/>
          <w:numId w:val="8"/>
        </w:numPr>
        <w:adjustRightInd w:val="0"/>
        <w:snapToGrid w:val="0"/>
        <w:jc w:val="left"/>
        <w:rPr>
          <w:rFonts w:ascii="仿宋_GB2312" w:hAnsi="仿宋_GB2312" w:eastAsia="仿宋_GB2312" w:cs="仿宋_GB2312"/>
          <w:color w:val="FF0000"/>
          <w:sz w:val="24"/>
          <w:szCs w:val="24"/>
          <w:highlight w:val="none"/>
        </w:rPr>
      </w:pPr>
      <w:r>
        <w:rPr>
          <w:rFonts w:hint="eastAsia" w:ascii="仿宋_GB2312" w:hAnsi="仿宋_GB2312" w:eastAsia="仿宋_GB2312" w:cs="仿宋_GB2312"/>
          <w:color w:val="FF0000"/>
          <w:sz w:val="24"/>
          <w:szCs w:val="24"/>
          <w:highlight w:val="none"/>
        </w:rPr>
        <w:t>法里奥</w:t>
      </w:r>
      <w:r>
        <w:rPr>
          <w:rFonts w:ascii="仿宋_GB2312" w:hAnsi="仿宋_GB2312" w:eastAsia="仿宋_GB2312" w:cs="仿宋_GB2312"/>
          <w:color w:val="FF0000"/>
          <w:sz w:val="24"/>
          <w:szCs w:val="24"/>
          <w:highlight w:val="none"/>
        </w:rPr>
        <w:t>、</w:t>
      </w:r>
      <w:r>
        <w:rPr>
          <w:rFonts w:hint="eastAsia" w:ascii="仿宋_GB2312" w:hAnsi="仿宋_GB2312" w:eastAsia="仿宋_GB2312" w:cs="仿宋_GB2312"/>
          <w:color w:val="FF0000"/>
          <w:sz w:val="24"/>
          <w:szCs w:val="24"/>
          <w:highlight w:val="none"/>
        </w:rPr>
        <w:t>KFR-710</w:t>
      </w:r>
      <w:r>
        <w:rPr>
          <w:rFonts w:ascii="仿宋_GB2312" w:hAnsi="仿宋_GB2312" w:eastAsia="仿宋_GB2312" w:cs="仿宋_GB2312"/>
          <w:color w:val="FF0000"/>
          <w:sz w:val="24"/>
          <w:szCs w:val="24"/>
          <w:highlight w:val="none"/>
        </w:rPr>
        <w:drawing>
          <wp:inline distT="0" distB="0" distL="0" distR="0">
            <wp:extent cx="5274310" cy="7484745"/>
            <wp:effectExtent l="19050" t="0" r="2540" b="0"/>
            <wp:docPr id="6" name="图片 1" descr="C:\Users\skrmyy\Documents\WXWork\1688852550319468\Cache\Image\2025-05\1b41433c-9098-4192-ac15-d775da82c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skrmyy\Documents\WXWork\1688852550319468\Cache\Image\2025-05\1b41433c-9098-4192-ac15-d775da82c1f5.jpg"/>
                    <pic:cNvPicPr>
                      <a:picLocks noChangeAspect="1" noChangeArrowheads="1"/>
                    </pic:cNvPicPr>
                  </pic:nvPicPr>
                  <pic:blipFill>
                    <a:blip r:embed="rId9" cstate="print"/>
                    <a:srcRect/>
                    <a:stretch>
                      <a:fillRect/>
                    </a:stretch>
                  </pic:blipFill>
                  <pic:spPr>
                    <a:xfrm>
                      <a:off x="0" y="0"/>
                      <a:ext cx="5274310" cy="7485370"/>
                    </a:xfrm>
                    <a:prstGeom prst="rect">
                      <a:avLst/>
                    </a:prstGeom>
                    <a:noFill/>
                    <a:ln w="9525">
                      <a:noFill/>
                      <a:miter lim="800000"/>
                      <a:headEnd/>
                      <a:tailEnd/>
                    </a:ln>
                  </pic:spPr>
                </pic:pic>
              </a:graphicData>
            </a:graphic>
          </wp:inline>
        </w:drawing>
      </w:r>
    </w:p>
    <w:p w14:paraId="1D425282">
      <w:pPr>
        <w:numPr>
          <w:ilvl w:val="0"/>
          <w:numId w:val="0"/>
        </w:numPr>
        <w:adjustRightInd w:val="0"/>
        <w:snapToGrid w:val="0"/>
        <w:jc w:val="left"/>
        <w:rPr>
          <w:rFonts w:ascii="仿宋_GB2312" w:hAnsi="仿宋_GB2312" w:eastAsia="仿宋_GB2312" w:cs="仿宋_GB2312"/>
          <w:color w:val="FF0000"/>
          <w:sz w:val="24"/>
          <w:szCs w:val="24"/>
          <w:highlight w:val="none"/>
        </w:rPr>
      </w:pPr>
      <w:r>
        <w:rPr>
          <w:rFonts w:hint="eastAsia" w:ascii="仿宋_GB2312" w:hAnsi="仿宋_GB2312" w:eastAsia="仿宋_GB2312" w:cs="仿宋_GB2312"/>
          <w:color w:val="FF0000"/>
          <w:sz w:val="24"/>
          <w:szCs w:val="24"/>
          <w:highlight w:val="none"/>
        </w:rPr>
        <w:t>3 、上海雄博验光仪</w:t>
      </w:r>
    </w:p>
    <w:p w14:paraId="57E0202E">
      <w:pPr>
        <w:numPr>
          <w:ilvl w:val="0"/>
          <w:numId w:val="0"/>
        </w:numPr>
        <w:adjustRightInd w:val="0"/>
        <w:snapToGrid w:val="0"/>
        <w:jc w:val="left"/>
        <w:rPr>
          <w:rFonts w:ascii="仿宋_GB2312" w:hAnsi="仿宋_GB2312" w:eastAsia="仿宋_GB2312" w:cs="仿宋_GB2312"/>
          <w:color w:val="FF0000"/>
          <w:sz w:val="24"/>
          <w:szCs w:val="24"/>
          <w:highlight w:val="none"/>
        </w:rPr>
      </w:pPr>
      <w:r>
        <w:rPr>
          <w:rFonts w:ascii="仿宋_GB2312" w:hAnsi="仿宋_GB2312" w:eastAsia="仿宋_GB2312" w:cs="仿宋_GB2312"/>
          <w:color w:val="FF0000"/>
          <w:sz w:val="24"/>
          <w:szCs w:val="24"/>
          <w:highlight w:val="none"/>
        </w:rPr>
        <w:t xml:space="preserve"> </w:t>
      </w:r>
    </w:p>
    <w:p w14:paraId="74C727F7">
      <w:pPr>
        <w:adjustRightInd w:val="0"/>
        <w:snapToGrid w:val="0"/>
        <w:jc w:val="left"/>
        <w:rPr>
          <w:rFonts w:ascii="仿宋_GB2312" w:hAnsi="仿宋_GB2312" w:eastAsia="仿宋_GB2312" w:cs="仿宋_GB2312"/>
          <w:color w:val="FF0000"/>
          <w:sz w:val="24"/>
          <w:szCs w:val="24"/>
          <w:highlight w:val="none"/>
        </w:rPr>
      </w:pPr>
      <w:r>
        <w:rPr>
          <w:rFonts w:ascii="仿宋_GB2312" w:hAnsi="仿宋_GB2312" w:eastAsia="仿宋_GB2312" w:cs="仿宋_GB2312"/>
          <w:color w:val="FF0000"/>
          <w:sz w:val="24"/>
          <w:szCs w:val="24"/>
          <w:highlight w:val="none"/>
        </w:rPr>
        <w:drawing>
          <wp:inline distT="0" distB="0" distL="0" distR="0">
            <wp:extent cx="5525770" cy="7451090"/>
            <wp:effectExtent l="19050" t="0" r="0" b="0"/>
            <wp:docPr id="8" name="图片 3" descr="C:\Users\skrmyy\Documents\WXWork\1688852550319468\Cache\Image\2025-05\33f584af-0c84-409e-8d2d-d25c8cf8a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skrmyy\Documents\WXWork\1688852550319468\Cache\Image\2025-05\33f584af-0c84-409e-8d2d-d25c8cf8a06f.jpg"/>
                    <pic:cNvPicPr>
                      <a:picLocks noChangeAspect="1" noChangeArrowheads="1"/>
                    </pic:cNvPicPr>
                  </pic:nvPicPr>
                  <pic:blipFill>
                    <a:blip r:embed="rId10"/>
                    <a:srcRect/>
                    <a:stretch>
                      <a:fillRect/>
                    </a:stretch>
                  </pic:blipFill>
                  <pic:spPr>
                    <a:xfrm>
                      <a:off x="0" y="0"/>
                      <a:ext cx="5525552" cy="7450926"/>
                    </a:xfrm>
                    <a:prstGeom prst="rect">
                      <a:avLst/>
                    </a:prstGeom>
                    <a:noFill/>
                    <a:ln w="9525">
                      <a:noFill/>
                      <a:miter lim="800000"/>
                      <a:headEnd/>
                      <a:tailEnd/>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0109758"/>
    </w:sdtPr>
    <w:sdtContent>
      <w:p w14:paraId="02B20C1A">
        <w:pPr>
          <w:pStyle w:val="5"/>
          <w:jc w:val="center"/>
        </w:pPr>
        <w:r>
          <w:fldChar w:fldCharType="begin"/>
        </w:r>
        <w:r>
          <w:instrText xml:space="preserve">PAGE   \* MERGEFORMAT</w:instrText>
        </w:r>
        <w:r>
          <w:fldChar w:fldCharType="separate"/>
        </w:r>
        <w:r>
          <w:rPr>
            <w:lang w:val="zh-CN"/>
          </w:rPr>
          <w:t>1</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13FB7C"/>
    <w:multiLevelType w:val="singleLevel"/>
    <w:tmpl w:val="8713FB7C"/>
    <w:lvl w:ilvl="0" w:tentative="0">
      <w:start w:val="1"/>
      <w:numFmt w:val="decimal"/>
      <w:suff w:val="nothing"/>
      <w:lvlText w:val="%1、"/>
      <w:lvlJc w:val="left"/>
    </w:lvl>
  </w:abstractNum>
  <w:abstractNum w:abstractNumId="1">
    <w:nsid w:val="96F36F45"/>
    <w:multiLevelType w:val="singleLevel"/>
    <w:tmpl w:val="96F36F45"/>
    <w:lvl w:ilvl="0" w:tentative="0">
      <w:start w:val="1"/>
      <w:numFmt w:val="decimal"/>
      <w:lvlText w:val="%1."/>
      <w:lvlJc w:val="left"/>
      <w:pPr>
        <w:ind w:left="425" w:hanging="425"/>
      </w:pPr>
      <w:rPr>
        <w:rFonts w:hint="default"/>
      </w:rPr>
    </w:lvl>
  </w:abstractNum>
  <w:abstractNum w:abstractNumId="2">
    <w:nsid w:val="A642C438"/>
    <w:multiLevelType w:val="singleLevel"/>
    <w:tmpl w:val="A642C438"/>
    <w:lvl w:ilvl="0" w:tentative="0">
      <w:start w:val="1"/>
      <w:numFmt w:val="decimal"/>
      <w:suff w:val="space"/>
      <w:lvlText w:val="%1、"/>
      <w:lvlJc w:val="left"/>
      <w:pPr>
        <w:ind w:left="420" w:firstLine="0"/>
      </w:pPr>
    </w:lvl>
  </w:abstractNum>
  <w:abstractNum w:abstractNumId="3">
    <w:nsid w:val="A67903EB"/>
    <w:multiLevelType w:val="singleLevel"/>
    <w:tmpl w:val="A67903EB"/>
    <w:lvl w:ilvl="0" w:tentative="0">
      <w:start w:val="3"/>
      <w:numFmt w:val="chineseCounting"/>
      <w:suff w:val="nothing"/>
      <w:lvlText w:val="（%1）"/>
      <w:lvlJc w:val="left"/>
      <w:rPr>
        <w:rFonts w:hint="eastAsia"/>
        <w:b/>
        <w:bCs/>
      </w:rPr>
    </w:lvl>
  </w:abstractNum>
  <w:abstractNum w:abstractNumId="4">
    <w:nsid w:val="D581D833"/>
    <w:multiLevelType w:val="singleLevel"/>
    <w:tmpl w:val="D581D833"/>
    <w:lvl w:ilvl="0" w:tentative="0">
      <w:start w:val="1"/>
      <w:numFmt w:val="decimal"/>
      <w:lvlText w:val="%1."/>
      <w:lvlJc w:val="left"/>
      <w:pPr>
        <w:ind w:left="425" w:hanging="425"/>
      </w:pPr>
      <w:rPr>
        <w:rFonts w:hint="default"/>
      </w:rPr>
    </w:lvl>
  </w:abstractNum>
  <w:abstractNum w:abstractNumId="5">
    <w:nsid w:val="11702EDB"/>
    <w:multiLevelType w:val="multilevel"/>
    <w:tmpl w:val="11702ED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F4D2419"/>
    <w:multiLevelType w:val="singleLevel"/>
    <w:tmpl w:val="4F4D2419"/>
    <w:lvl w:ilvl="0" w:tentative="0">
      <w:start w:val="1"/>
      <w:numFmt w:val="decimal"/>
      <w:lvlText w:val="(%1)"/>
      <w:lvlJc w:val="left"/>
      <w:pPr>
        <w:ind w:left="425" w:hanging="425"/>
      </w:pPr>
      <w:rPr>
        <w:rFonts w:hint="default"/>
      </w:rPr>
    </w:lvl>
  </w:abstractNum>
  <w:abstractNum w:abstractNumId="7">
    <w:nsid w:val="746A6B31"/>
    <w:multiLevelType w:val="singleLevel"/>
    <w:tmpl w:val="746A6B31"/>
    <w:lvl w:ilvl="0" w:tentative="0">
      <w:start w:val="1"/>
      <w:numFmt w:val="chineseCounting"/>
      <w:suff w:val="nothing"/>
      <w:lvlText w:val="（%1）"/>
      <w:lvlJc w:val="left"/>
      <w:pPr>
        <w:ind w:left="-420" w:firstLine="420"/>
      </w:pPr>
      <w:rPr>
        <w:rFonts w:hint="eastAsia"/>
      </w:rPr>
    </w:lvl>
  </w:abstractNum>
  <w:num w:numId="1">
    <w:abstractNumId w:val="5"/>
  </w:num>
  <w:num w:numId="2">
    <w:abstractNumId w:val="7"/>
  </w:num>
  <w:num w:numId="3">
    <w:abstractNumId w:val="1"/>
  </w:num>
  <w:num w:numId="4">
    <w:abstractNumId w:val="6"/>
  </w:num>
  <w:num w:numId="5">
    <w:abstractNumId w:val="3"/>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ZGY1YWM5YTVlMDViYWZkY2IxNTMxMWQ5NzYyMzkifQ=="/>
  </w:docVars>
  <w:rsids>
    <w:rsidRoot w:val="00681410"/>
    <w:rsid w:val="0002072A"/>
    <w:rsid w:val="00061E07"/>
    <w:rsid w:val="00160CAF"/>
    <w:rsid w:val="00162818"/>
    <w:rsid w:val="00216720"/>
    <w:rsid w:val="002277A4"/>
    <w:rsid w:val="002B0A45"/>
    <w:rsid w:val="00371029"/>
    <w:rsid w:val="005211E1"/>
    <w:rsid w:val="005C3C45"/>
    <w:rsid w:val="00681410"/>
    <w:rsid w:val="007644D7"/>
    <w:rsid w:val="0078244A"/>
    <w:rsid w:val="008914B7"/>
    <w:rsid w:val="008E3430"/>
    <w:rsid w:val="009D7A84"/>
    <w:rsid w:val="00A3437D"/>
    <w:rsid w:val="00AB60A9"/>
    <w:rsid w:val="00B04589"/>
    <w:rsid w:val="00B57598"/>
    <w:rsid w:val="00B97AED"/>
    <w:rsid w:val="00BD57F6"/>
    <w:rsid w:val="00BD796A"/>
    <w:rsid w:val="00C77DB6"/>
    <w:rsid w:val="00C9106E"/>
    <w:rsid w:val="00D834A4"/>
    <w:rsid w:val="00E17789"/>
    <w:rsid w:val="00F35A91"/>
    <w:rsid w:val="00F43941"/>
    <w:rsid w:val="092B34AD"/>
    <w:rsid w:val="0C6A7D1D"/>
    <w:rsid w:val="0D532C76"/>
    <w:rsid w:val="1C4A5F2B"/>
    <w:rsid w:val="1D3E161D"/>
    <w:rsid w:val="21751A5C"/>
    <w:rsid w:val="268A3AF4"/>
    <w:rsid w:val="2B033E75"/>
    <w:rsid w:val="2CBA4A07"/>
    <w:rsid w:val="312A0667"/>
    <w:rsid w:val="31BC3D81"/>
    <w:rsid w:val="333363A4"/>
    <w:rsid w:val="345D1B1D"/>
    <w:rsid w:val="386B2CF7"/>
    <w:rsid w:val="3BE455FD"/>
    <w:rsid w:val="3DA24B99"/>
    <w:rsid w:val="3F786788"/>
    <w:rsid w:val="418F2299"/>
    <w:rsid w:val="434975C6"/>
    <w:rsid w:val="45093AEE"/>
    <w:rsid w:val="47946129"/>
    <w:rsid w:val="4BB965C7"/>
    <w:rsid w:val="4C4243A5"/>
    <w:rsid w:val="4F624D5E"/>
    <w:rsid w:val="51D9166A"/>
    <w:rsid w:val="539D45B7"/>
    <w:rsid w:val="59266DFD"/>
    <w:rsid w:val="61A96E48"/>
    <w:rsid w:val="62B54C20"/>
    <w:rsid w:val="6C70102E"/>
    <w:rsid w:val="6D282CEC"/>
    <w:rsid w:val="6E0472B5"/>
    <w:rsid w:val="715278CE"/>
    <w:rsid w:val="74974D88"/>
    <w:rsid w:val="74B15375"/>
    <w:rsid w:val="75AE135E"/>
    <w:rsid w:val="7B2F26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7"/>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semiHidden/>
    <w:unhideWhenUsed/>
    <w:qFormat/>
    <w:uiPriority w:val="99"/>
    <w:rPr>
      <w:sz w:val="21"/>
      <w:szCs w:val="21"/>
    </w:rPr>
  </w:style>
  <w:style w:type="character" w:customStyle="1" w:styleId="11">
    <w:name w:val="页眉 Char"/>
    <w:basedOn w:val="9"/>
    <w:link w:val="6"/>
    <w:qFormat/>
    <w:uiPriority w:val="99"/>
    <w:rPr>
      <w:sz w:val="18"/>
      <w:szCs w:val="18"/>
    </w:rPr>
  </w:style>
  <w:style w:type="character" w:customStyle="1" w:styleId="12">
    <w:name w:val="页脚 Char"/>
    <w:basedOn w:val="9"/>
    <w:link w:val="5"/>
    <w:qFormat/>
    <w:uiPriority w:val="99"/>
    <w:rPr>
      <w:sz w:val="18"/>
      <w:szCs w:val="18"/>
    </w:rPr>
  </w:style>
  <w:style w:type="paragraph" w:styleId="13">
    <w:name w:val="List Paragraph"/>
    <w:basedOn w:val="1"/>
    <w:qFormat/>
    <w:uiPriority w:val="34"/>
    <w:pPr>
      <w:ind w:left="704" w:hanging="420"/>
    </w:pPr>
    <w:rPr>
      <w:rFonts w:ascii="Times New Roman" w:hAnsi="Times New Roman" w:eastAsia="黑体" w:cs="Times New Roman"/>
      <w:sz w:val="32"/>
      <w:szCs w:val="24"/>
    </w:rPr>
  </w:style>
  <w:style w:type="character" w:customStyle="1" w:styleId="14">
    <w:name w:val="标题 1 Char"/>
    <w:basedOn w:val="9"/>
    <w:link w:val="2"/>
    <w:qFormat/>
    <w:uiPriority w:val="9"/>
    <w:rPr>
      <w:b/>
      <w:bCs/>
      <w:kern w:val="44"/>
      <w:sz w:val="44"/>
      <w:szCs w:val="44"/>
    </w:rPr>
  </w:style>
  <w:style w:type="character" w:customStyle="1" w:styleId="15">
    <w:name w:val="font21"/>
    <w:basedOn w:val="9"/>
    <w:qFormat/>
    <w:uiPriority w:val="0"/>
    <w:rPr>
      <w:rFonts w:hint="eastAsia" w:ascii="仿宋_GB2312" w:eastAsia="仿宋_GB2312" w:cs="仿宋_GB2312"/>
      <w:b/>
      <w:bCs/>
      <w:color w:val="000000"/>
      <w:sz w:val="28"/>
      <w:szCs w:val="28"/>
      <w:u w:val="none"/>
    </w:rPr>
  </w:style>
  <w:style w:type="character" w:customStyle="1" w:styleId="16">
    <w:name w:val="font31"/>
    <w:basedOn w:val="9"/>
    <w:qFormat/>
    <w:uiPriority w:val="0"/>
    <w:rPr>
      <w:rFonts w:hint="eastAsia" w:ascii="仿宋_GB2312" w:eastAsia="仿宋_GB2312" w:cs="仿宋_GB2312"/>
      <w:color w:val="000000"/>
      <w:sz w:val="28"/>
      <w:szCs w:val="28"/>
      <w:u w:val="none"/>
    </w:rPr>
  </w:style>
  <w:style w:type="character" w:customStyle="1" w:styleId="17">
    <w:name w:val="批注框文本 Char"/>
    <w:basedOn w:val="9"/>
    <w:link w:val="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15</Pages>
  <Words>1439</Words>
  <Characters>1590</Characters>
  <Lines>41</Lines>
  <Paragraphs>11</Paragraphs>
  <TotalTime>1</TotalTime>
  <ScaleCrop>false</ScaleCrop>
  <LinksUpToDate>false</LinksUpToDate>
  <CharactersWithSpaces>1638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2025-05-22T08:27:00Z</dcterms:created>
  <dc:creator>Liu W</dc:creator>
  <cp:lastModifiedBy>JH</cp:lastModifiedBy>
  <dcterms:modified xsi:type="dcterms:W3CDTF">2025-07-11T02:56:30Z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87BDC3EF89254E32853525F480A0F2F8_13</vt:lpwstr>
  </property>
  <property fmtid="{D5CDD505-2E9C-101B-9397-08002B2CF9AE}" pid="4" name="KSOTemplateDocerSaveRecord">
    <vt:lpwstr>eyJoZGlkIjoiOTgxNzhhZWVjZDVjYzFiNzUyN2FlYmU1YTIwNTA2N2MiLCJ1c2VySWQiOiIxMTI2ODg3MDA2In0=</vt:lpwstr>
  </property>
</Properties>
</file>