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82F70">
      <w:pPr>
        <w:pStyle w:val="3"/>
        <w:tabs>
          <w:tab w:val="left" w:pos="0"/>
        </w:tabs>
        <w:autoSpaceDE w:val="0"/>
        <w:autoSpaceDN w:val="0"/>
        <w:adjustRightInd w:val="0"/>
        <w:spacing w:before="0" w:after="0" w:line="360" w:lineRule="auto"/>
        <w:jc w:val="center"/>
        <w:rPr>
          <w:rFonts w:hint="eastAsia" w:ascii="华文中宋" w:hAnsi="华文中宋" w:eastAsia="华文中宋"/>
          <w:lang w:eastAsia="zh-CN"/>
        </w:rPr>
      </w:pPr>
      <w:r>
        <w:rPr>
          <w:rFonts w:hint="eastAsia" w:ascii="华文中宋" w:hAnsi="华文中宋" w:eastAsia="华文中宋"/>
          <w:lang w:val="en-US" w:eastAsia="zh-CN"/>
        </w:rPr>
        <w:t>盐田水质净化厂及周边片区城市空间和规划布局统筹研究更正</w:t>
      </w:r>
      <w:r>
        <w:rPr>
          <w:rFonts w:hint="eastAsia" w:ascii="华文中宋" w:hAnsi="华文中宋" w:eastAsia="华文中宋"/>
        </w:rPr>
        <w:t>公告</w:t>
      </w:r>
      <w:r>
        <w:rPr>
          <w:rFonts w:hint="eastAsia" w:ascii="华文中宋" w:hAnsi="华文中宋" w:eastAsia="华文中宋"/>
          <w:lang w:eastAsia="zh-CN"/>
        </w:rPr>
        <w:t>（一）</w:t>
      </w:r>
    </w:p>
    <w:p w14:paraId="2677C0C6">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rPr>
      </w:pPr>
      <w:bookmarkStart w:id="0" w:name="_Toc35393814"/>
      <w:bookmarkStart w:id="1" w:name="_Toc28359104"/>
      <w:bookmarkStart w:id="2" w:name="_Toc28359027"/>
      <w:bookmarkStart w:id="3" w:name="_Toc35393645"/>
      <w:r>
        <w:rPr>
          <w:rFonts w:hint="eastAsia" w:ascii="宋体" w:hAnsi="宋体" w:eastAsia="宋体" w:cs="宋体"/>
          <w:b/>
          <w:bCs w:val="0"/>
          <w:sz w:val="24"/>
          <w:szCs w:val="24"/>
          <w:u w:val="none"/>
        </w:rPr>
        <w:t>一、项目基本情况</w:t>
      </w:r>
      <w:bookmarkEnd w:id="0"/>
      <w:bookmarkEnd w:id="1"/>
      <w:bookmarkEnd w:id="2"/>
      <w:bookmarkEnd w:id="3"/>
    </w:p>
    <w:p w14:paraId="3CBF3576">
      <w:pPr>
        <w:pageBreakBefore w:val="0"/>
        <w:widowControl w:val="0"/>
        <w:kinsoku/>
        <w:wordWrap/>
        <w:overflowPunct/>
        <w:topLinePunct w:val="0"/>
        <w:autoSpaceDE/>
        <w:autoSpaceDN/>
        <w:bidi w:val="0"/>
        <w:adjustRightInd/>
        <w:snapToGrid/>
        <w:spacing w:line="360" w:lineRule="auto"/>
        <w:ind w:left="3117" w:leftChars="267" w:hanging="2556" w:hangingChars="1065"/>
        <w:textAlignment w:val="auto"/>
        <w:rPr>
          <w:rFonts w:hint="eastAsia" w:ascii="宋体" w:hAnsi="宋体" w:eastAsia="宋体" w:cs="宋体"/>
          <w:sz w:val="24"/>
          <w:szCs w:val="24"/>
          <w:u w:val="none"/>
        </w:rPr>
      </w:pPr>
      <w:r>
        <w:rPr>
          <w:rFonts w:hint="eastAsia" w:ascii="宋体" w:hAnsi="宋体" w:eastAsia="宋体" w:cs="宋体"/>
          <w:sz w:val="24"/>
          <w:szCs w:val="24"/>
          <w:u w:val="none"/>
        </w:rPr>
        <w:t>原公告的采购项目编号：</w:t>
      </w:r>
      <w:r>
        <w:rPr>
          <w:rFonts w:hint="eastAsia" w:ascii="宋体" w:hAnsi="宋体" w:eastAsia="宋体" w:cs="宋体"/>
          <w:sz w:val="24"/>
          <w:szCs w:val="24"/>
          <w:u w:val="none"/>
          <w:lang w:eastAsia="zh-CN"/>
        </w:rPr>
        <w:t>YTZXJY-2025-00021</w:t>
      </w:r>
    </w:p>
    <w:p w14:paraId="65E9C8A2">
      <w:pPr>
        <w:pageBreakBefore w:val="0"/>
        <w:widowControl w:val="0"/>
        <w:kinsoku/>
        <w:wordWrap/>
        <w:overflowPunct/>
        <w:topLinePunct w:val="0"/>
        <w:autoSpaceDE/>
        <w:autoSpaceDN/>
        <w:bidi w:val="0"/>
        <w:adjustRightInd/>
        <w:snapToGrid/>
        <w:spacing w:line="360" w:lineRule="auto"/>
        <w:ind w:left="3117" w:leftChars="267" w:hanging="2556" w:hangingChars="1065"/>
        <w:textAlignment w:val="auto"/>
        <w:rPr>
          <w:rFonts w:hint="eastAsia" w:ascii="宋体" w:hAnsi="宋体" w:eastAsia="宋体" w:cs="宋体"/>
          <w:sz w:val="24"/>
          <w:szCs w:val="24"/>
          <w:u w:val="none"/>
          <w:lang w:eastAsia="zh-CN"/>
        </w:rPr>
      </w:pPr>
      <w:r>
        <w:rPr>
          <w:rFonts w:hint="eastAsia" w:ascii="宋体" w:hAnsi="宋体" w:eastAsia="宋体" w:cs="宋体"/>
          <w:sz w:val="24"/>
          <w:szCs w:val="24"/>
          <w:u w:val="none"/>
        </w:rPr>
        <w:t>原公告的采购项目名称：</w:t>
      </w:r>
      <w:r>
        <w:rPr>
          <w:rFonts w:hint="eastAsia" w:ascii="宋体" w:hAnsi="宋体" w:eastAsia="宋体" w:cs="宋体"/>
          <w:sz w:val="24"/>
          <w:szCs w:val="24"/>
          <w:u w:val="none"/>
          <w:lang w:eastAsia="zh-CN"/>
        </w:rPr>
        <w:t>盐田水质净化厂及周边片区城市空间和规划布局统筹研究</w:t>
      </w:r>
      <w:bookmarkStart w:id="19" w:name="_GoBack"/>
      <w:bookmarkEnd w:id="19"/>
    </w:p>
    <w:p w14:paraId="37F39A3F">
      <w:pPr>
        <w:pageBreakBefore w:val="0"/>
        <w:widowControl w:val="0"/>
        <w:kinsoku/>
        <w:wordWrap/>
        <w:overflowPunct/>
        <w:topLinePunct w:val="0"/>
        <w:autoSpaceDE/>
        <w:autoSpaceDN/>
        <w:bidi w:val="0"/>
        <w:adjustRightInd/>
        <w:snapToGrid/>
        <w:spacing w:line="360" w:lineRule="auto"/>
        <w:ind w:left="3117" w:leftChars="267" w:hanging="2556" w:hangingChars="1065"/>
        <w:textAlignment w:val="auto"/>
        <w:rPr>
          <w:rFonts w:hint="eastAsia" w:ascii="宋体" w:hAnsi="宋体" w:eastAsia="宋体" w:cs="宋体"/>
          <w:sz w:val="24"/>
          <w:szCs w:val="24"/>
          <w:u w:val="none"/>
        </w:rPr>
      </w:pPr>
      <w:r>
        <w:rPr>
          <w:rFonts w:hint="eastAsia" w:ascii="宋体" w:hAnsi="宋体" w:eastAsia="宋体" w:cs="宋体"/>
          <w:sz w:val="24"/>
          <w:szCs w:val="24"/>
          <w:u w:val="none"/>
        </w:rPr>
        <w:t>首次公告日期：202</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年</w:t>
      </w:r>
      <w:r>
        <w:rPr>
          <w:rFonts w:hint="eastAsia" w:ascii="宋体" w:hAnsi="宋体" w:eastAsia="宋体" w:cs="宋体"/>
          <w:sz w:val="24"/>
          <w:szCs w:val="24"/>
          <w:u w:val="none"/>
          <w:lang w:val="en-US" w:eastAsia="zh-CN"/>
        </w:rPr>
        <w:t>11</w:t>
      </w:r>
      <w:r>
        <w:rPr>
          <w:rFonts w:hint="eastAsia" w:ascii="宋体" w:hAnsi="宋体" w:eastAsia="宋体" w:cs="宋体"/>
          <w:sz w:val="24"/>
          <w:szCs w:val="24"/>
          <w:u w:val="none"/>
        </w:rPr>
        <w:t>月</w:t>
      </w:r>
      <w:r>
        <w:rPr>
          <w:rFonts w:hint="eastAsia" w:ascii="宋体" w:hAnsi="宋体" w:eastAsia="宋体" w:cs="宋体"/>
          <w:sz w:val="24"/>
          <w:szCs w:val="24"/>
          <w:u w:val="none"/>
          <w:lang w:val="en-US" w:eastAsia="zh-CN"/>
        </w:rPr>
        <w:t>08</w:t>
      </w:r>
      <w:r>
        <w:rPr>
          <w:rFonts w:hint="eastAsia" w:ascii="宋体" w:hAnsi="宋体" w:eastAsia="宋体" w:cs="宋体"/>
          <w:sz w:val="24"/>
          <w:szCs w:val="24"/>
          <w:u w:val="none"/>
        </w:rPr>
        <w:t>日</w:t>
      </w:r>
    </w:p>
    <w:p w14:paraId="3AEDA986">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rPr>
      </w:pPr>
      <w:bookmarkStart w:id="4" w:name="_Toc35393646"/>
      <w:bookmarkStart w:id="5" w:name="_Toc28359028"/>
      <w:bookmarkStart w:id="6" w:name="_Toc35393815"/>
      <w:bookmarkStart w:id="7" w:name="_Toc28359105"/>
      <w:r>
        <w:rPr>
          <w:rFonts w:hint="eastAsia" w:ascii="宋体" w:hAnsi="宋体" w:eastAsia="宋体" w:cs="宋体"/>
          <w:b/>
          <w:bCs w:val="0"/>
          <w:sz w:val="24"/>
          <w:szCs w:val="24"/>
          <w:u w:val="none"/>
        </w:rPr>
        <w:t>二、</w:t>
      </w:r>
      <w:r>
        <w:rPr>
          <w:rFonts w:hint="eastAsia" w:ascii="宋体" w:hAnsi="宋体" w:eastAsia="宋体" w:cs="宋体"/>
          <w:b/>
          <w:bCs w:val="0"/>
          <w:sz w:val="24"/>
          <w:szCs w:val="24"/>
          <w:u w:val="none"/>
          <w:lang w:val="en-US" w:eastAsia="zh-CN"/>
        </w:rPr>
        <w:t>更正</w:t>
      </w:r>
      <w:r>
        <w:rPr>
          <w:rFonts w:hint="eastAsia" w:ascii="宋体" w:hAnsi="宋体" w:eastAsia="宋体" w:cs="宋体"/>
          <w:b/>
          <w:bCs w:val="0"/>
          <w:sz w:val="24"/>
          <w:szCs w:val="24"/>
          <w:u w:val="none"/>
        </w:rPr>
        <w:t>信息</w:t>
      </w:r>
      <w:bookmarkEnd w:id="4"/>
      <w:bookmarkEnd w:id="5"/>
      <w:bookmarkEnd w:id="6"/>
      <w:bookmarkEnd w:id="7"/>
    </w:p>
    <w:p w14:paraId="6627C7E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更正</w:t>
      </w:r>
      <w:r>
        <w:rPr>
          <w:rFonts w:hint="eastAsia" w:ascii="宋体" w:hAnsi="宋体" w:eastAsia="宋体" w:cs="宋体"/>
          <w:sz w:val="24"/>
          <w:szCs w:val="24"/>
          <w:u w:val="none"/>
        </w:rPr>
        <w:t>事项：×采购公告   √采购文件    ×采购结果</w:t>
      </w:r>
    </w:p>
    <w:p w14:paraId="53B19A64">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u w:val="none"/>
        </w:rPr>
      </w:pPr>
      <w:r>
        <w:rPr>
          <w:rFonts w:hint="eastAsia" w:ascii="宋体" w:hAnsi="宋体" w:eastAsia="宋体" w:cs="宋体"/>
          <w:b/>
          <w:bCs/>
          <w:sz w:val="24"/>
          <w:szCs w:val="24"/>
          <w:u w:val="none"/>
          <w:lang w:val="en-US" w:eastAsia="zh-CN"/>
        </w:rPr>
        <w:t>更正</w:t>
      </w:r>
      <w:r>
        <w:rPr>
          <w:rFonts w:hint="eastAsia" w:ascii="宋体" w:hAnsi="宋体" w:eastAsia="宋体" w:cs="宋体"/>
          <w:b/>
          <w:bCs/>
          <w:sz w:val="24"/>
          <w:szCs w:val="24"/>
          <w:u w:val="none"/>
        </w:rPr>
        <w:t>内容：</w:t>
      </w:r>
    </w:p>
    <w:p w14:paraId="094E13BF">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none"/>
          <w:lang w:eastAsia="zh-CN"/>
        </w:rPr>
      </w:pPr>
      <w:r>
        <w:rPr>
          <w:rFonts w:hint="eastAsia" w:ascii="宋体" w:hAnsi="宋体" w:eastAsia="宋体" w:cs="宋体"/>
          <w:sz w:val="24"/>
          <w:szCs w:val="24"/>
          <w:u w:val="none"/>
          <w:lang w:eastAsia="zh-CN"/>
        </w:rPr>
        <w:t>关于</w:t>
      </w:r>
      <w:r>
        <w:rPr>
          <w:rFonts w:hint="eastAsia" w:ascii="宋体" w:hAnsi="宋体" w:eastAsia="宋体" w:cs="宋体"/>
          <w:sz w:val="24"/>
          <w:szCs w:val="24"/>
          <w:u w:val="none"/>
          <w:lang w:val="en-US" w:eastAsia="zh-CN"/>
        </w:rPr>
        <w:t>采购文件</w:t>
      </w:r>
      <w:r>
        <w:rPr>
          <w:rFonts w:hint="eastAsia" w:ascii="宋体" w:hAnsi="宋体" w:eastAsia="宋体" w:cs="宋体"/>
          <w:sz w:val="24"/>
          <w:szCs w:val="24"/>
          <w:u w:val="none"/>
          <w:lang w:eastAsia="zh-CN"/>
        </w:rPr>
        <w:t>中“</w:t>
      </w:r>
      <w:bookmarkStart w:id="8" w:name="_Toc11877"/>
      <w:bookmarkStart w:id="9" w:name="_Toc12036"/>
      <w:bookmarkStart w:id="10" w:name="_Toc23682"/>
      <w:bookmarkStart w:id="11" w:name="_Toc27187"/>
      <w:bookmarkStart w:id="12" w:name="_Toc17116"/>
      <w:r>
        <w:rPr>
          <w:rFonts w:hint="eastAsia" w:ascii="宋体" w:hAnsi="宋体" w:eastAsia="宋体" w:cs="宋体"/>
          <w:b w:val="0"/>
          <w:bCs w:val="0"/>
          <w:sz w:val="24"/>
          <w:szCs w:val="24"/>
          <w:u w:val="none"/>
          <w:lang w:eastAsia="zh-CN"/>
        </w:rPr>
        <w:t>评标信息</w:t>
      </w:r>
      <w:bookmarkEnd w:id="8"/>
      <w:bookmarkEnd w:id="9"/>
      <w:bookmarkEnd w:id="10"/>
      <w:bookmarkEnd w:id="11"/>
      <w:bookmarkEnd w:id="12"/>
      <w:r>
        <w:rPr>
          <w:rFonts w:hint="eastAsia" w:ascii="宋体" w:hAnsi="宋体" w:eastAsia="宋体" w:cs="宋体"/>
          <w:b w:val="0"/>
          <w:bCs w:val="0"/>
          <w:sz w:val="24"/>
          <w:szCs w:val="24"/>
          <w:u w:val="none"/>
          <w:lang w:val="en-US" w:eastAsia="zh-CN"/>
        </w:rPr>
        <w:t>-商务部分</w:t>
      </w:r>
      <w:r>
        <w:rPr>
          <w:rFonts w:hint="eastAsia" w:ascii="宋体" w:hAnsi="宋体" w:eastAsia="宋体" w:cs="宋体"/>
          <w:sz w:val="24"/>
          <w:szCs w:val="24"/>
          <w:u w:val="none"/>
          <w:lang w:eastAsia="zh-CN"/>
        </w:rPr>
        <w:t>”的变更</w:t>
      </w:r>
    </w:p>
    <w:p w14:paraId="7C6DBBBD">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u w:val="none"/>
          <w:lang w:eastAsia="zh-CN"/>
        </w:rPr>
      </w:pPr>
      <w:r>
        <w:rPr>
          <w:rFonts w:hint="eastAsia" w:ascii="宋体" w:hAnsi="宋体" w:eastAsia="宋体" w:cs="宋体"/>
          <w:b/>
          <w:bCs/>
          <w:sz w:val="24"/>
          <w:szCs w:val="24"/>
          <w:u w:val="none"/>
          <w:lang w:val="en-US" w:eastAsia="zh-CN"/>
        </w:rPr>
        <w:t>原采购文件</w:t>
      </w:r>
      <w:r>
        <w:rPr>
          <w:rFonts w:hint="eastAsia" w:ascii="宋体" w:hAnsi="宋体" w:eastAsia="宋体" w:cs="宋体"/>
          <w:b/>
          <w:bCs/>
          <w:sz w:val="24"/>
          <w:szCs w:val="24"/>
          <w:u w:val="none"/>
          <w:lang w:eastAsia="zh-CN"/>
        </w:rPr>
        <w:t>中的：</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265"/>
        <w:gridCol w:w="900"/>
        <w:gridCol w:w="5615"/>
      </w:tblGrid>
      <w:tr w14:paraId="689CE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04" w:type="pct"/>
            <w:gridSpan w:val="3"/>
            <w:tcBorders>
              <w:top w:val="single" w:color="auto" w:sz="4" w:space="0"/>
              <w:left w:val="single" w:color="auto" w:sz="4" w:space="0"/>
              <w:bottom w:val="single" w:color="auto" w:sz="4" w:space="0"/>
              <w:right w:val="single" w:color="auto" w:sz="4" w:space="0"/>
            </w:tcBorders>
            <w:noWrap w:val="0"/>
            <w:vAlign w:val="center"/>
          </w:tcPr>
          <w:p w14:paraId="650A9D5F">
            <w:pPr>
              <w:jc w:val="center"/>
              <w:rPr>
                <w:rFonts w:hint="eastAsia" w:ascii="宋体" w:hAnsi="宋体" w:eastAsia="宋体" w:cs="宋体"/>
                <w:b/>
                <w:color w:val="0000FF"/>
                <w:sz w:val="24"/>
                <w:szCs w:val="24"/>
              </w:rPr>
            </w:pPr>
            <w:r>
              <w:rPr>
                <w:rFonts w:hint="eastAsia" w:ascii="宋体" w:hAnsi="宋体" w:eastAsia="宋体" w:cs="宋体"/>
                <w:b/>
                <w:color w:val="0000FF"/>
                <w:sz w:val="24"/>
                <w:szCs w:val="24"/>
              </w:rPr>
              <w:t>商务部分</w:t>
            </w:r>
          </w:p>
        </w:tc>
        <w:tc>
          <w:tcPr>
            <w:tcW w:w="3295" w:type="pct"/>
            <w:tcBorders>
              <w:top w:val="single" w:color="auto" w:sz="4" w:space="0"/>
              <w:left w:val="single" w:color="auto" w:sz="4" w:space="0"/>
              <w:bottom w:val="single" w:color="auto" w:sz="4" w:space="0"/>
              <w:right w:val="single" w:color="auto" w:sz="4" w:space="0"/>
            </w:tcBorders>
            <w:noWrap w:val="0"/>
            <w:vAlign w:val="center"/>
          </w:tcPr>
          <w:p w14:paraId="5766EF0A">
            <w:pPr>
              <w:jc w:val="center"/>
              <w:rPr>
                <w:rFonts w:hint="default" w:ascii="宋体" w:hAnsi="宋体" w:eastAsia="宋体" w:cs="宋体"/>
                <w:b/>
                <w:color w:val="0000FF"/>
                <w:sz w:val="24"/>
                <w:szCs w:val="24"/>
                <w:lang w:val="en-US" w:eastAsia="zh-CN"/>
              </w:rPr>
            </w:pPr>
            <w:r>
              <w:rPr>
                <w:rFonts w:hint="eastAsia" w:ascii="宋体" w:hAnsi="宋体" w:eastAsia="宋体" w:cs="宋体"/>
                <w:b/>
                <w:color w:val="0000FF"/>
                <w:sz w:val="24"/>
                <w:szCs w:val="24"/>
                <w:lang w:val="en-US" w:eastAsia="zh-CN"/>
              </w:rPr>
              <w:t>36</w:t>
            </w:r>
          </w:p>
        </w:tc>
      </w:tr>
      <w:tr w14:paraId="2E9256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34"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5235BF6B">
            <w:pPr>
              <w:jc w:val="center"/>
              <w:rPr>
                <w:rFonts w:hint="eastAsia" w:ascii="宋体" w:hAnsi="宋体" w:eastAsia="宋体" w:cs="宋体"/>
                <w:sz w:val="24"/>
                <w:szCs w:val="24"/>
              </w:rPr>
            </w:pPr>
            <w:r>
              <w:rPr>
                <w:rFonts w:hint="eastAsia" w:ascii="宋体" w:hAnsi="宋体" w:eastAsia="宋体" w:cs="宋体"/>
                <w:b/>
                <w:bCs/>
                <w:sz w:val="24"/>
                <w:szCs w:val="24"/>
              </w:rPr>
              <w:t>序号</w:t>
            </w:r>
          </w:p>
        </w:tc>
        <w:tc>
          <w:tcPr>
            <w:tcW w:w="742"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4C825EAD">
            <w:pPr>
              <w:jc w:val="center"/>
              <w:rPr>
                <w:rFonts w:hint="eastAsia" w:ascii="宋体" w:hAnsi="宋体" w:eastAsia="宋体" w:cs="宋体"/>
                <w:sz w:val="24"/>
                <w:szCs w:val="24"/>
              </w:rPr>
            </w:pPr>
            <w:r>
              <w:rPr>
                <w:rFonts w:hint="eastAsia" w:ascii="宋体" w:hAnsi="宋体" w:eastAsia="宋体" w:cs="宋体"/>
                <w:b/>
                <w:sz w:val="24"/>
                <w:szCs w:val="24"/>
              </w:rPr>
              <w:t>评审因素</w:t>
            </w:r>
          </w:p>
        </w:tc>
        <w:tc>
          <w:tcPr>
            <w:tcW w:w="526"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646AB284">
            <w:pPr>
              <w:jc w:val="center"/>
              <w:rPr>
                <w:rFonts w:hint="eastAsia" w:ascii="宋体" w:hAnsi="宋体" w:eastAsia="宋体" w:cs="宋体"/>
                <w:sz w:val="24"/>
                <w:szCs w:val="24"/>
              </w:rPr>
            </w:pPr>
            <w:r>
              <w:rPr>
                <w:rFonts w:hint="eastAsia" w:ascii="宋体" w:hAnsi="宋体" w:eastAsia="宋体" w:cs="宋体"/>
                <w:b/>
                <w:sz w:val="24"/>
                <w:szCs w:val="24"/>
              </w:rPr>
              <w:t>权重</w:t>
            </w:r>
          </w:p>
        </w:tc>
        <w:tc>
          <w:tcPr>
            <w:tcW w:w="3295"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3E38992A">
            <w:pPr>
              <w:jc w:val="center"/>
              <w:rPr>
                <w:rFonts w:hint="eastAsia" w:ascii="宋体" w:hAnsi="宋体" w:eastAsia="宋体" w:cs="宋体"/>
                <w:sz w:val="24"/>
                <w:szCs w:val="24"/>
              </w:rPr>
            </w:pPr>
            <w:r>
              <w:rPr>
                <w:rFonts w:hint="eastAsia" w:ascii="宋体" w:hAnsi="宋体" w:eastAsia="宋体" w:cs="宋体"/>
                <w:b/>
                <w:bCs/>
                <w:sz w:val="24"/>
                <w:szCs w:val="24"/>
              </w:rPr>
              <w:t>评分准则</w:t>
            </w:r>
          </w:p>
        </w:tc>
      </w:tr>
      <w:tr w14:paraId="6F778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34" w:type="pct"/>
            <w:tcBorders>
              <w:top w:val="single" w:color="auto" w:sz="4" w:space="0"/>
              <w:left w:val="single" w:color="auto" w:sz="4" w:space="0"/>
              <w:bottom w:val="single" w:color="auto" w:sz="4" w:space="0"/>
              <w:right w:val="single" w:color="auto" w:sz="4" w:space="0"/>
            </w:tcBorders>
            <w:noWrap w:val="0"/>
            <w:vAlign w:val="center"/>
          </w:tcPr>
          <w:p w14:paraId="37A8BEDC">
            <w:pPr>
              <w:jc w:val="center"/>
              <w:rPr>
                <w:rFonts w:hint="eastAsia" w:ascii="宋体" w:hAnsi="宋体" w:eastAsia="宋体" w:cs="宋体"/>
                <w:sz w:val="24"/>
                <w:szCs w:val="24"/>
              </w:rPr>
            </w:pPr>
            <w:r>
              <w:rPr>
                <w:rFonts w:hint="eastAsia" w:ascii="宋体" w:hAnsi="宋体" w:eastAsia="宋体" w:cs="宋体"/>
                <w:sz w:val="24"/>
                <w:szCs w:val="24"/>
                <w:lang w:bidi="ar"/>
              </w:rPr>
              <w:t>4</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16E92508">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拟安排的项目主要团队成员（主要技术人员）情况（项目负责人除外）</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624A60E0">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14</w:t>
            </w:r>
          </w:p>
        </w:tc>
        <w:tc>
          <w:tcPr>
            <w:tcW w:w="5615" w:type="dxa"/>
            <w:tcBorders>
              <w:top w:val="single" w:color="auto" w:sz="4" w:space="0"/>
              <w:left w:val="single" w:color="auto" w:sz="4" w:space="0"/>
              <w:bottom w:val="single" w:color="auto" w:sz="4" w:space="0"/>
              <w:right w:val="single" w:color="auto" w:sz="4" w:space="0"/>
            </w:tcBorders>
            <w:noWrap w:val="0"/>
            <w:vAlign w:val="top"/>
          </w:tcPr>
          <w:p w14:paraId="00DBCF87">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（一）评分内容：</w:t>
            </w:r>
          </w:p>
          <w:p w14:paraId="071EDE0F">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1.团队成员中具有规划类或建筑类或景观类副高级(或以上)职称的，每提供1个类别的得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分，最多得</w:t>
            </w:r>
            <w:r>
              <w:rPr>
                <w:rFonts w:hint="eastAsia" w:ascii="宋体" w:hAnsi="宋体" w:eastAsia="宋体" w:cs="宋体"/>
                <w:color w:val="auto"/>
                <w:sz w:val="24"/>
                <w:szCs w:val="24"/>
                <w:highlight w:val="none"/>
                <w:lang w:val="en-US" w:eastAsia="zh-CN"/>
              </w:rPr>
              <w:t>10</w:t>
            </w:r>
            <w:r>
              <w:rPr>
                <w:rFonts w:hint="eastAsia" w:ascii="宋体" w:hAnsi="宋体" w:eastAsia="宋体" w:cs="宋体"/>
                <w:color w:val="auto"/>
                <w:sz w:val="24"/>
                <w:szCs w:val="24"/>
                <w:highlight w:val="none"/>
                <w:lang w:val="zh-CN"/>
              </w:rPr>
              <w:t>分；</w:t>
            </w:r>
          </w:p>
          <w:p w14:paraId="73EBD719">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2.团队成员中具有规划类或建筑类或景观类证书的，每提供1个的得</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zh-CN"/>
              </w:rPr>
              <w:t>分，最多得</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rPr>
              <w:t>分；</w:t>
            </w:r>
          </w:p>
          <w:p w14:paraId="1693788B">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sz w:val="24"/>
                <w:szCs w:val="24"/>
                <w:lang w:val="en-US" w:eastAsia="zh-CN"/>
              </w:rPr>
              <w:t>本项最高得14分，</w:t>
            </w:r>
            <w:r>
              <w:rPr>
                <w:rFonts w:hint="eastAsia" w:ascii="宋体" w:hAnsi="宋体" w:eastAsia="宋体" w:cs="宋体"/>
                <w:sz w:val="24"/>
                <w:szCs w:val="24"/>
                <w:lang w:eastAsia="zh-CN"/>
              </w:rPr>
              <w:t>同</w:t>
            </w:r>
            <w:r>
              <w:rPr>
                <w:rFonts w:hint="eastAsia" w:ascii="宋体" w:hAnsi="宋体" w:eastAsia="宋体" w:cs="宋体"/>
                <w:sz w:val="24"/>
                <w:szCs w:val="24"/>
              </w:rPr>
              <w:t>一人满足多项可以重复计分</w:t>
            </w:r>
            <w:r>
              <w:rPr>
                <w:rFonts w:hint="eastAsia" w:ascii="宋体" w:hAnsi="宋体" w:eastAsia="宋体" w:cs="宋体"/>
                <w:color w:val="auto"/>
                <w:sz w:val="24"/>
                <w:szCs w:val="24"/>
                <w:highlight w:val="none"/>
                <w:lang w:val="zh-CN"/>
              </w:rPr>
              <w:t>。</w:t>
            </w:r>
          </w:p>
          <w:p w14:paraId="683476C0">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（二）评分依据：</w:t>
            </w:r>
          </w:p>
          <w:p w14:paraId="7B8759E9">
            <w:pPr>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拟安排的项目主要团队成员须为投标人自有员工，</w:t>
            </w:r>
            <w:r>
              <w:rPr>
                <w:rFonts w:hint="eastAsia" w:ascii="宋体" w:hAnsi="宋体" w:eastAsia="宋体" w:cs="宋体"/>
                <w:sz w:val="24"/>
                <w:szCs w:val="24"/>
                <w:lang w:val="en-US" w:eastAsia="zh-CN"/>
              </w:rPr>
              <w:t>需</w:t>
            </w:r>
            <w:r>
              <w:rPr>
                <w:rFonts w:hint="eastAsia" w:ascii="宋体" w:hAnsi="宋体" w:eastAsia="宋体" w:cs="宋体"/>
                <w:sz w:val="24"/>
                <w:szCs w:val="24"/>
              </w:rPr>
              <w:t>提供通过投标人缴纳的近三个月的任意一个月的社保证明</w:t>
            </w:r>
            <w:r>
              <w:rPr>
                <w:rFonts w:hint="eastAsia" w:ascii="宋体" w:hAnsi="宋体" w:eastAsia="宋体" w:cs="宋体"/>
                <w:sz w:val="24"/>
                <w:szCs w:val="24"/>
                <w:lang w:eastAsia="zh-CN"/>
              </w:rPr>
              <w:t>（至少</w:t>
            </w:r>
            <w:r>
              <w:rPr>
                <w:rFonts w:hint="eastAsia" w:ascii="宋体" w:hAnsi="宋体" w:eastAsia="宋体" w:cs="宋体"/>
                <w:sz w:val="24"/>
                <w:szCs w:val="24"/>
              </w:rPr>
              <w:t>包含医疗保险</w:t>
            </w:r>
            <w:r>
              <w:rPr>
                <w:rFonts w:hint="eastAsia" w:ascii="宋体" w:hAnsi="宋体" w:eastAsia="宋体" w:cs="宋体"/>
                <w:sz w:val="24"/>
                <w:szCs w:val="24"/>
                <w:lang w:eastAsia="zh-CN"/>
              </w:rPr>
              <w:t>）</w:t>
            </w:r>
            <w:r>
              <w:rPr>
                <w:rFonts w:hint="eastAsia" w:ascii="宋体" w:hAnsi="宋体" w:eastAsia="宋体" w:cs="宋体"/>
                <w:sz w:val="24"/>
                <w:szCs w:val="24"/>
              </w:rPr>
              <w:t>作为本单位员工的证明依据</w:t>
            </w:r>
            <w:r>
              <w:rPr>
                <w:rFonts w:hint="eastAsia" w:ascii="宋体" w:hAnsi="宋体" w:eastAsia="宋体" w:cs="宋体"/>
                <w:sz w:val="24"/>
                <w:szCs w:val="24"/>
                <w:lang w:eastAsia="zh-CN"/>
              </w:rPr>
              <w:t>（</w:t>
            </w:r>
            <w:r>
              <w:rPr>
                <w:rFonts w:hint="eastAsia" w:ascii="宋体" w:hAnsi="宋体" w:eastAsia="宋体" w:cs="宋体"/>
                <w:sz w:val="24"/>
                <w:szCs w:val="24"/>
              </w:rPr>
              <w:t>若供应商成立不足三个月的，需提供成立情况说明函（格式自拟），无需提供相关人员社保，亦可得分</w:t>
            </w:r>
            <w:r>
              <w:rPr>
                <w:rFonts w:hint="eastAsia" w:ascii="宋体" w:hAnsi="宋体" w:eastAsia="宋体" w:cs="宋体"/>
                <w:sz w:val="24"/>
                <w:szCs w:val="24"/>
                <w:lang w:eastAsia="zh-CN"/>
              </w:rPr>
              <w:t>；</w:t>
            </w:r>
          </w:p>
          <w:p w14:paraId="0133B39D">
            <w:pPr>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提供</w:t>
            </w:r>
            <w:r>
              <w:rPr>
                <w:rFonts w:hint="eastAsia" w:ascii="宋体" w:hAnsi="宋体" w:eastAsia="宋体" w:cs="宋体"/>
                <w:sz w:val="24"/>
                <w:szCs w:val="24"/>
                <w:lang w:val="en-US" w:eastAsia="zh-CN"/>
              </w:rPr>
              <w:t>上述人员相关证明材料作为得分依据</w:t>
            </w:r>
            <w:r>
              <w:rPr>
                <w:rFonts w:hint="eastAsia" w:ascii="宋体" w:hAnsi="宋体" w:eastAsia="宋体" w:cs="宋体"/>
                <w:sz w:val="24"/>
                <w:szCs w:val="24"/>
              </w:rPr>
              <w:t>；</w:t>
            </w:r>
          </w:p>
          <w:p w14:paraId="4E38A10C">
            <w:pPr>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3.</w:t>
            </w:r>
            <w:r>
              <w:rPr>
                <w:rFonts w:hint="eastAsia" w:ascii="宋体" w:hAnsi="宋体" w:eastAsia="宋体" w:cs="宋体"/>
                <w:sz w:val="24"/>
                <w:szCs w:val="24"/>
              </w:rPr>
              <w:t>提供相关职业资格（或职业技能等级）证书及技能人才评价证书全国联网查询（网址http://zscx.osta.org.cn/或http://jndj.osta.org.cn/）的查询截图；由行业协会（或相关评价机构）颁发的证书，需提供该行业协会（或相关评价机构）在“中国社会组织政务服务平台（全国社会组织信用信息公示平台）https://xxgs.chinanpo.mca.gov.cn/”的查询截图（截图状态为正常）；</w:t>
            </w:r>
          </w:p>
          <w:p w14:paraId="6D4049A3">
            <w:pPr>
              <w:widowControl/>
              <w:jc w:val="left"/>
              <w:rPr>
                <w:rFonts w:hint="eastAsia" w:ascii="宋体" w:hAnsi="宋体" w:eastAsia="宋体" w:cs="宋体"/>
                <w:sz w:val="24"/>
                <w:szCs w:val="24"/>
                <w:lang w:bidi="ar"/>
              </w:rPr>
            </w:pPr>
            <w:r>
              <w:rPr>
                <w:rFonts w:hint="eastAsia" w:ascii="宋体" w:hAnsi="宋体" w:eastAsia="宋体" w:cs="宋体"/>
                <w:kern w:val="2"/>
                <w:sz w:val="24"/>
                <w:szCs w:val="24"/>
                <w:highlight w:val="none"/>
                <w:lang w:val="en-US" w:eastAsia="zh-CN"/>
              </w:rPr>
              <w:t>4.以上资料均要求提供扫描件加盖投标人公章，原件备查；评分中出现无证明资料或专家无法凭所提供资料判断是否得分的情况，一律作不得分处理。</w:t>
            </w:r>
          </w:p>
        </w:tc>
      </w:tr>
    </w:tbl>
    <w:p w14:paraId="6FD5F7B8">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none"/>
          <w:lang w:val="en-US" w:eastAsia="zh-CN"/>
        </w:rPr>
      </w:pPr>
    </w:p>
    <w:p w14:paraId="17E13E35">
      <w:pPr>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sz w:val="24"/>
          <w:szCs w:val="24"/>
          <w:u w:val="none"/>
          <w:lang w:eastAsia="zh-CN"/>
        </w:rPr>
      </w:pPr>
      <w:r>
        <w:rPr>
          <w:rFonts w:hint="eastAsia" w:ascii="宋体" w:hAnsi="宋体" w:eastAsia="宋体" w:cs="宋体"/>
          <w:b/>
          <w:bCs/>
          <w:sz w:val="24"/>
          <w:szCs w:val="24"/>
          <w:u w:val="none"/>
          <w:lang w:eastAsia="zh-CN"/>
        </w:rPr>
        <w:t>现修改为：</w:t>
      </w:r>
    </w:p>
    <w:tbl>
      <w:tblPr>
        <w:tblStyle w:val="7"/>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9"/>
        <w:gridCol w:w="1265"/>
        <w:gridCol w:w="900"/>
        <w:gridCol w:w="5615"/>
      </w:tblGrid>
      <w:tr w14:paraId="56E62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704" w:type="pct"/>
            <w:gridSpan w:val="3"/>
            <w:tcBorders>
              <w:top w:val="single" w:color="auto" w:sz="4" w:space="0"/>
              <w:left w:val="single" w:color="auto" w:sz="4" w:space="0"/>
              <w:bottom w:val="single" w:color="auto" w:sz="4" w:space="0"/>
              <w:right w:val="single" w:color="auto" w:sz="4" w:space="0"/>
            </w:tcBorders>
            <w:noWrap w:val="0"/>
            <w:vAlign w:val="center"/>
          </w:tcPr>
          <w:p w14:paraId="22A25490">
            <w:pPr>
              <w:jc w:val="center"/>
              <w:rPr>
                <w:rFonts w:hint="eastAsia" w:ascii="宋体" w:hAnsi="宋体" w:eastAsia="宋体" w:cs="宋体"/>
                <w:b/>
                <w:color w:val="0000FF"/>
                <w:sz w:val="24"/>
                <w:szCs w:val="24"/>
              </w:rPr>
            </w:pPr>
            <w:r>
              <w:rPr>
                <w:rFonts w:hint="eastAsia" w:ascii="宋体" w:hAnsi="宋体" w:eastAsia="宋体" w:cs="宋体"/>
                <w:b/>
                <w:color w:val="0000FF"/>
                <w:sz w:val="24"/>
                <w:szCs w:val="24"/>
              </w:rPr>
              <w:t>商务部分</w:t>
            </w:r>
          </w:p>
        </w:tc>
        <w:tc>
          <w:tcPr>
            <w:tcW w:w="3295" w:type="pct"/>
            <w:tcBorders>
              <w:top w:val="single" w:color="auto" w:sz="4" w:space="0"/>
              <w:left w:val="single" w:color="auto" w:sz="4" w:space="0"/>
              <w:bottom w:val="single" w:color="auto" w:sz="4" w:space="0"/>
              <w:right w:val="single" w:color="auto" w:sz="4" w:space="0"/>
            </w:tcBorders>
            <w:noWrap w:val="0"/>
            <w:vAlign w:val="center"/>
          </w:tcPr>
          <w:p w14:paraId="081D8420">
            <w:pPr>
              <w:jc w:val="center"/>
              <w:rPr>
                <w:rFonts w:hint="default" w:ascii="宋体" w:hAnsi="宋体" w:eastAsia="宋体" w:cs="宋体"/>
                <w:b/>
                <w:color w:val="0000FF"/>
                <w:sz w:val="24"/>
                <w:szCs w:val="24"/>
                <w:lang w:val="en-US" w:eastAsia="zh-CN"/>
              </w:rPr>
            </w:pPr>
            <w:r>
              <w:rPr>
                <w:rFonts w:hint="eastAsia" w:ascii="宋体" w:hAnsi="宋体" w:eastAsia="宋体" w:cs="宋体"/>
                <w:b/>
                <w:color w:val="0000FF"/>
                <w:sz w:val="24"/>
                <w:szCs w:val="24"/>
                <w:lang w:val="en-US" w:eastAsia="zh-CN"/>
              </w:rPr>
              <w:t>36</w:t>
            </w:r>
          </w:p>
        </w:tc>
      </w:tr>
      <w:tr w14:paraId="3E6928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34"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430F45C5">
            <w:pPr>
              <w:jc w:val="center"/>
              <w:rPr>
                <w:rFonts w:hint="eastAsia" w:ascii="宋体" w:hAnsi="宋体" w:eastAsia="宋体" w:cs="宋体"/>
                <w:sz w:val="24"/>
                <w:szCs w:val="24"/>
              </w:rPr>
            </w:pPr>
            <w:r>
              <w:rPr>
                <w:rFonts w:hint="eastAsia" w:ascii="宋体" w:hAnsi="宋体" w:eastAsia="宋体" w:cs="宋体"/>
                <w:b/>
                <w:bCs/>
                <w:sz w:val="24"/>
                <w:szCs w:val="24"/>
              </w:rPr>
              <w:t>序号</w:t>
            </w:r>
          </w:p>
        </w:tc>
        <w:tc>
          <w:tcPr>
            <w:tcW w:w="742"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7D1AD57A">
            <w:pPr>
              <w:jc w:val="center"/>
              <w:rPr>
                <w:rFonts w:hint="eastAsia" w:ascii="宋体" w:hAnsi="宋体" w:eastAsia="宋体" w:cs="宋体"/>
                <w:sz w:val="24"/>
                <w:szCs w:val="24"/>
              </w:rPr>
            </w:pPr>
            <w:r>
              <w:rPr>
                <w:rFonts w:hint="eastAsia" w:ascii="宋体" w:hAnsi="宋体" w:eastAsia="宋体" w:cs="宋体"/>
                <w:b/>
                <w:sz w:val="24"/>
                <w:szCs w:val="24"/>
              </w:rPr>
              <w:t>评审因素</w:t>
            </w:r>
          </w:p>
        </w:tc>
        <w:tc>
          <w:tcPr>
            <w:tcW w:w="526"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1B40D8D2">
            <w:pPr>
              <w:jc w:val="center"/>
              <w:rPr>
                <w:rFonts w:hint="eastAsia" w:ascii="宋体" w:hAnsi="宋体" w:eastAsia="宋体" w:cs="宋体"/>
                <w:sz w:val="24"/>
                <w:szCs w:val="24"/>
              </w:rPr>
            </w:pPr>
            <w:r>
              <w:rPr>
                <w:rFonts w:hint="eastAsia" w:ascii="宋体" w:hAnsi="宋体" w:eastAsia="宋体" w:cs="宋体"/>
                <w:b/>
                <w:sz w:val="24"/>
                <w:szCs w:val="24"/>
              </w:rPr>
              <w:t>权重</w:t>
            </w:r>
          </w:p>
        </w:tc>
        <w:tc>
          <w:tcPr>
            <w:tcW w:w="3295" w:type="pct"/>
            <w:tcBorders>
              <w:top w:val="single" w:color="auto" w:sz="4" w:space="0"/>
              <w:left w:val="single" w:color="auto" w:sz="4" w:space="0"/>
              <w:bottom w:val="single" w:color="auto" w:sz="4" w:space="0"/>
              <w:right w:val="single" w:color="auto" w:sz="4" w:space="0"/>
            </w:tcBorders>
            <w:shd w:val="clear" w:color="auto" w:fill="DCE6F2"/>
            <w:noWrap w:val="0"/>
            <w:vAlign w:val="center"/>
          </w:tcPr>
          <w:p w14:paraId="17B0A1B8">
            <w:pPr>
              <w:jc w:val="center"/>
              <w:rPr>
                <w:rFonts w:hint="eastAsia" w:ascii="宋体" w:hAnsi="宋体" w:eastAsia="宋体" w:cs="宋体"/>
                <w:sz w:val="24"/>
                <w:szCs w:val="24"/>
              </w:rPr>
            </w:pPr>
            <w:r>
              <w:rPr>
                <w:rFonts w:hint="eastAsia" w:ascii="宋体" w:hAnsi="宋体" w:eastAsia="宋体" w:cs="宋体"/>
                <w:b/>
                <w:bCs/>
                <w:sz w:val="24"/>
                <w:szCs w:val="24"/>
              </w:rPr>
              <w:t>评分准则</w:t>
            </w:r>
          </w:p>
        </w:tc>
      </w:tr>
      <w:tr w14:paraId="561E8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434" w:type="pct"/>
            <w:tcBorders>
              <w:top w:val="single" w:color="auto" w:sz="4" w:space="0"/>
              <w:left w:val="single" w:color="auto" w:sz="4" w:space="0"/>
              <w:bottom w:val="single" w:color="auto" w:sz="4" w:space="0"/>
              <w:right w:val="single" w:color="auto" w:sz="4" w:space="0"/>
            </w:tcBorders>
            <w:noWrap w:val="0"/>
            <w:vAlign w:val="center"/>
          </w:tcPr>
          <w:p w14:paraId="28DB4469">
            <w:pPr>
              <w:jc w:val="center"/>
              <w:rPr>
                <w:rFonts w:hint="eastAsia" w:ascii="宋体" w:hAnsi="宋体" w:eastAsia="宋体" w:cs="宋体"/>
                <w:sz w:val="24"/>
                <w:szCs w:val="24"/>
              </w:rPr>
            </w:pPr>
            <w:r>
              <w:rPr>
                <w:rFonts w:hint="eastAsia" w:ascii="宋体" w:hAnsi="宋体" w:eastAsia="宋体" w:cs="宋体"/>
                <w:sz w:val="24"/>
                <w:szCs w:val="24"/>
                <w:lang w:bidi="ar"/>
              </w:rPr>
              <w:t>4</w:t>
            </w:r>
          </w:p>
        </w:tc>
        <w:tc>
          <w:tcPr>
            <w:tcW w:w="1265" w:type="dxa"/>
            <w:tcBorders>
              <w:top w:val="single" w:color="auto" w:sz="4" w:space="0"/>
              <w:left w:val="single" w:color="auto" w:sz="4" w:space="0"/>
              <w:bottom w:val="single" w:color="auto" w:sz="4" w:space="0"/>
              <w:right w:val="single" w:color="auto" w:sz="4" w:space="0"/>
            </w:tcBorders>
            <w:noWrap w:val="0"/>
            <w:vAlign w:val="center"/>
          </w:tcPr>
          <w:p w14:paraId="47F020DC">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拟安排的项目主要团队成员（主要技术人员）情况（项目负责人除外）</w:t>
            </w:r>
          </w:p>
        </w:tc>
        <w:tc>
          <w:tcPr>
            <w:tcW w:w="900" w:type="dxa"/>
            <w:tcBorders>
              <w:top w:val="single" w:color="auto" w:sz="4" w:space="0"/>
              <w:left w:val="single" w:color="auto" w:sz="4" w:space="0"/>
              <w:bottom w:val="single" w:color="auto" w:sz="4" w:space="0"/>
              <w:right w:val="single" w:color="auto" w:sz="4" w:space="0"/>
            </w:tcBorders>
            <w:noWrap w:val="0"/>
            <w:vAlign w:val="center"/>
          </w:tcPr>
          <w:p w14:paraId="7D6C8775">
            <w:pPr>
              <w:keepNext w:val="0"/>
              <w:keepLines w:val="0"/>
              <w:suppressLineNumbers w:val="0"/>
              <w:spacing w:before="0" w:beforeAutospacing="0" w:after="0" w:afterAutospacing="0"/>
              <w:ind w:left="0" w:leftChars="0" w:right="0" w:rightChars="0"/>
              <w:jc w:val="center"/>
              <w:rPr>
                <w:rFonts w:hint="eastAsia" w:ascii="宋体" w:hAnsi="宋体" w:eastAsia="宋体" w:cs="宋体"/>
                <w:sz w:val="24"/>
                <w:szCs w:val="24"/>
              </w:rPr>
            </w:pPr>
            <w:r>
              <w:rPr>
                <w:rFonts w:hint="eastAsia" w:ascii="宋体" w:hAnsi="宋体" w:eastAsia="宋体" w:cs="宋体"/>
                <w:sz w:val="24"/>
                <w:szCs w:val="24"/>
                <w:highlight w:val="none"/>
                <w:lang w:val="en-US" w:eastAsia="zh-CN"/>
              </w:rPr>
              <w:t>14</w:t>
            </w:r>
          </w:p>
        </w:tc>
        <w:tc>
          <w:tcPr>
            <w:tcW w:w="5615" w:type="dxa"/>
            <w:tcBorders>
              <w:top w:val="single" w:color="auto" w:sz="4" w:space="0"/>
              <w:left w:val="single" w:color="auto" w:sz="4" w:space="0"/>
              <w:bottom w:val="single" w:color="auto" w:sz="4" w:space="0"/>
              <w:right w:val="single" w:color="auto" w:sz="4" w:space="0"/>
            </w:tcBorders>
            <w:noWrap w:val="0"/>
            <w:vAlign w:val="top"/>
          </w:tcPr>
          <w:p w14:paraId="67014204">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（一）评分内容：</w:t>
            </w:r>
          </w:p>
          <w:p w14:paraId="1392565F">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zh-CN"/>
              </w:rPr>
              <w:t>1.团队成员中具有规划类或建筑类或景观类副高级(或以上)职称的，</w:t>
            </w:r>
            <w:r>
              <w:rPr>
                <w:rFonts w:hint="eastAsia" w:ascii="宋体" w:hAnsi="宋体" w:eastAsia="宋体" w:cs="宋体"/>
                <w:b/>
                <w:bCs/>
                <w:color w:val="FF0000"/>
                <w:sz w:val="24"/>
                <w:szCs w:val="24"/>
                <w:highlight w:val="none"/>
              </w:rPr>
              <w:t>每</w:t>
            </w:r>
            <w:r>
              <w:rPr>
                <w:rFonts w:hint="eastAsia" w:ascii="宋体" w:hAnsi="宋体" w:eastAsia="宋体" w:cs="宋体"/>
                <w:b/>
                <w:bCs/>
                <w:color w:val="FF0000"/>
                <w:sz w:val="24"/>
                <w:szCs w:val="24"/>
                <w:highlight w:val="none"/>
                <w:lang w:val="en-US" w:eastAsia="zh-CN"/>
              </w:rPr>
              <w:t>提供1</w:t>
            </w:r>
            <w:r>
              <w:rPr>
                <w:rFonts w:hint="eastAsia" w:ascii="宋体" w:hAnsi="宋体" w:eastAsia="宋体" w:cs="宋体"/>
                <w:b/>
                <w:bCs/>
                <w:color w:val="FF0000"/>
                <w:sz w:val="24"/>
                <w:szCs w:val="24"/>
                <w:highlight w:val="none"/>
              </w:rPr>
              <w:t>人得</w:t>
            </w:r>
            <w:r>
              <w:rPr>
                <w:rFonts w:hint="eastAsia" w:ascii="宋体" w:hAnsi="宋体" w:cs="宋体"/>
                <w:b/>
                <w:bCs/>
                <w:color w:val="FF0000"/>
                <w:sz w:val="24"/>
                <w:szCs w:val="24"/>
                <w:highlight w:val="none"/>
                <w:lang w:val="en-US" w:eastAsia="zh-CN"/>
              </w:rPr>
              <w:t>2.8</w:t>
            </w:r>
            <w:r>
              <w:rPr>
                <w:rFonts w:hint="eastAsia" w:ascii="宋体" w:hAnsi="宋体" w:eastAsia="宋体" w:cs="宋体"/>
                <w:b/>
                <w:bCs/>
                <w:color w:val="FF0000"/>
                <w:sz w:val="24"/>
                <w:szCs w:val="24"/>
                <w:highlight w:val="none"/>
              </w:rPr>
              <w:t>分，最高得</w:t>
            </w:r>
            <w:r>
              <w:rPr>
                <w:rFonts w:hint="eastAsia" w:ascii="宋体" w:hAnsi="宋体" w:cs="宋体"/>
                <w:b/>
                <w:bCs/>
                <w:color w:val="FF0000"/>
                <w:sz w:val="24"/>
                <w:szCs w:val="24"/>
                <w:highlight w:val="none"/>
                <w:lang w:val="en-US" w:eastAsia="zh-CN"/>
              </w:rPr>
              <w:t>14</w:t>
            </w:r>
            <w:r>
              <w:rPr>
                <w:rFonts w:hint="eastAsia" w:ascii="宋体" w:hAnsi="宋体" w:eastAsia="宋体" w:cs="宋体"/>
                <w:b/>
                <w:bCs/>
                <w:color w:val="FF0000"/>
                <w:sz w:val="24"/>
                <w:szCs w:val="24"/>
                <w:highlight w:val="none"/>
              </w:rPr>
              <w:t>分</w:t>
            </w:r>
            <w:r>
              <w:rPr>
                <w:rFonts w:hint="eastAsia" w:ascii="宋体" w:hAnsi="宋体" w:eastAsia="宋体" w:cs="宋体"/>
                <w:b/>
                <w:bCs/>
                <w:color w:val="FF0000"/>
                <w:sz w:val="24"/>
                <w:szCs w:val="24"/>
                <w:highlight w:val="none"/>
                <w:lang w:eastAsia="zh-CN"/>
              </w:rPr>
              <w:t>；</w:t>
            </w:r>
          </w:p>
          <w:p w14:paraId="31204EB2">
            <w:pPr>
              <w:keepNext w:val="0"/>
              <w:keepLines w:val="0"/>
              <w:suppressLineNumbers w:val="0"/>
              <w:spacing w:before="0" w:beforeAutospacing="0" w:after="0" w:afterAutospacing="0"/>
              <w:ind w:left="0" w:right="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（二）评分依据：</w:t>
            </w:r>
          </w:p>
          <w:p w14:paraId="09999ADD">
            <w:pPr>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w:t>
            </w:r>
            <w:r>
              <w:rPr>
                <w:rFonts w:hint="eastAsia" w:ascii="宋体" w:hAnsi="宋体" w:eastAsia="宋体" w:cs="宋体"/>
                <w:sz w:val="24"/>
                <w:szCs w:val="24"/>
              </w:rPr>
              <w:t>拟安排的项目主要团队成员须为投标人自有员工，</w:t>
            </w:r>
            <w:r>
              <w:rPr>
                <w:rFonts w:hint="eastAsia" w:ascii="宋体" w:hAnsi="宋体" w:eastAsia="宋体" w:cs="宋体"/>
                <w:sz w:val="24"/>
                <w:szCs w:val="24"/>
                <w:lang w:val="en-US" w:eastAsia="zh-CN"/>
              </w:rPr>
              <w:t>需</w:t>
            </w:r>
            <w:r>
              <w:rPr>
                <w:rFonts w:hint="eastAsia" w:ascii="宋体" w:hAnsi="宋体" w:eastAsia="宋体" w:cs="宋体"/>
                <w:sz w:val="24"/>
                <w:szCs w:val="24"/>
              </w:rPr>
              <w:t>提供通过投标人缴纳的近三个月的任意一个月的社保证明</w:t>
            </w:r>
            <w:r>
              <w:rPr>
                <w:rFonts w:hint="eastAsia" w:ascii="宋体" w:hAnsi="宋体" w:eastAsia="宋体" w:cs="宋体"/>
                <w:sz w:val="24"/>
                <w:szCs w:val="24"/>
                <w:lang w:eastAsia="zh-CN"/>
              </w:rPr>
              <w:t>（至少</w:t>
            </w:r>
            <w:r>
              <w:rPr>
                <w:rFonts w:hint="eastAsia" w:ascii="宋体" w:hAnsi="宋体" w:eastAsia="宋体" w:cs="宋体"/>
                <w:sz w:val="24"/>
                <w:szCs w:val="24"/>
              </w:rPr>
              <w:t>包含医疗保险</w:t>
            </w:r>
            <w:r>
              <w:rPr>
                <w:rFonts w:hint="eastAsia" w:ascii="宋体" w:hAnsi="宋体" w:eastAsia="宋体" w:cs="宋体"/>
                <w:sz w:val="24"/>
                <w:szCs w:val="24"/>
                <w:lang w:eastAsia="zh-CN"/>
              </w:rPr>
              <w:t>）</w:t>
            </w:r>
            <w:r>
              <w:rPr>
                <w:rFonts w:hint="eastAsia" w:ascii="宋体" w:hAnsi="宋体" w:eastAsia="宋体" w:cs="宋体"/>
                <w:sz w:val="24"/>
                <w:szCs w:val="24"/>
              </w:rPr>
              <w:t>作为本单位员工的证明依据</w:t>
            </w:r>
            <w:r>
              <w:rPr>
                <w:rFonts w:hint="eastAsia" w:ascii="宋体" w:hAnsi="宋体" w:eastAsia="宋体" w:cs="宋体"/>
                <w:sz w:val="24"/>
                <w:szCs w:val="24"/>
                <w:lang w:eastAsia="zh-CN"/>
              </w:rPr>
              <w:t>（</w:t>
            </w:r>
            <w:r>
              <w:rPr>
                <w:rFonts w:hint="eastAsia" w:ascii="宋体" w:hAnsi="宋体" w:eastAsia="宋体" w:cs="宋体"/>
                <w:sz w:val="24"/>
                <w:szCs w:val="24"/>
              </w:rPr>
              <w:t>若供应商成立不足三个月的，需提供成立情况说明函（格式自拟），无需提供相关人员社保，亦可得分</w:t>
            </w:r>
            <w:r>
              <w:rPr>
                <w:rFonts w:hint="eastAsia" w:ascii="宋体" w:hAnsi="宋体" w:eastAsia="宋体" w:cs="宋体"/>
                <w:sz w:val="24"/>
                <w:szCs w:val="24"/>
                <w:lang w:eastAsia="zh-CN"/>
              </w:rPr>
              <w:t>；</w:t>
            </w:r>
          </w:p>
          <w:p w14:paraId="179CBC58">
            <w:pPr>
              <w:keepNext w:val="0"/>
              <w:keepLines w:val="0"/>
              <w:pageBreakBefore w:val="0"/>
              <w:widowControl/>
              <w:kinsoku/>
              <w:wordWrap w:val="0"/>
              <w:overflowPunct/>
              <w:topLinePunct w:val="0"/>
              <w:autoSpaceDE/>
              <w:autoSpaceDN/>
              <w:bidi w:val="0"/>
              <w:adjustRightInd/>
              <w:snapToGrid/>
              <w:jc w:val="left"/>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提供</w:t>
            </w:r>
            <w:r>
              <w:rPr>
                <w:rFonts w:hint="eastAsia" w:ascii="宋体" w:hAnsi="宋体" w:eastAsia="宋体" w:cs="宋体"/>
                <w:sz w:val="24"/>
                <w:szCs w:val="24"/>
                <w:lang w:val="en-US" w:eastAsia="zh-CN"/>
              </w:rPr>
              <w:t>上述人员相关证明材料作为得分依据</w:t>
            </w:r>
            <w:r>
              <w:rPr>
                <w:rFonts w:hint="eastAsia" w:ascii="宋体" w:hAnsi="宋体" w:eastAsia="宋体" w:cs="宋体"/>
                <w:sz w:val="24"/>
                <w:szCs w:val="24"/>
              </w:rPr>
              <w:t>；</w:t>
            </w:r>
          </w:p>
          <w:p w14:paraId="0726CC01">
            <w:pPr>
              <w:widowControl/>
              <w:jc w:val="left"/>
              <w:rPr>
                <w:rFonts w:hint="eastAsia" w:ascii="宋体" w:hAnsi="宋体" w:eastAsia="宋体" w:cs="宋体"/>
                <w:sz w:val="24"/>
                <w:szCs w:val="24"/>
                <w:lang w:bidi="ar"/>
              </w:rPr>
            </w:pPr>
            <w:r>
              <w:rPr>
                <w:rFonts w:hint="eastAsia" w:ascii="宋体" w:hAnsi="宋体" w:eastAsia="宋体" w:cs="宋体"/>
                <w:sz w:val="24"/>
                <w:szCs w:val="24"/>
                <w:lang w:val="en-US" w:eastAsia="zh-CN"/>
              </w:rPr>
              <w:t>3.</w:t>
            </w:r>
            <w:r>
              <w:rPr>
                <w:rFonts w:hint="eastAsia" w:ascii="宋体" w:hAnsi="宋体" w:eastAsia="宋体" w:cs="宋体"/>
                <w:kern w:val="2"/>
                <w:sz w:val="24"/>
                <w:szCs w:val="24"/>
                <w:highlight w:val="none"/>
                <w:lang w:val="en-US" w:eastAsia="zh-CN"/>
              </w:rPr>
              <w:t>以上资料均要求提供扫描件加盖投标人公章，原件备查；评分中出现无证明资料或专家无法凭所提供资料判断是否得分的情况，一律作不得分处理。</w:t>
            </w:r>
          </w:p>
        </w:tc>
      </w:tr>
    </w:tbl>
    <w:p w14:paraId="42E66314">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更正</w:t>
      </w:r>
      <w:r>
        <w:rPr>
          <w:rFonts w:hint="eastAsia" w:ascii="宋体" w:hAnsi="宋体" w:eastAsia="宋体" w:cs="宋体"/>
          <w:sz w:val="24"/>
          <w:szCs w:val="24"/>
          <w:u w:val="none"/>
        </w:rPr>
        <w:t>日期：202</w:t>
      </w:r>
      <w:r>
        <w:rPr>
          <w:rFonts w:hint="eastAsia" w:ascii="宋体" w:hAnsi="宋体" w:eastAsia="宋体" w:cs="宋体"/>
          <w:sz w:val="24"/>
          <w:szCs w:val="24"/>
          <w:u w:val="none"/>
          <w:lang w:val="en-US" w:eastAsia="zh-CN"/>
        </w:rPr>
        <w:t>5</w:t>
      </w:r>
      <w:r>
        <w:rPr>
          <w:rFonts w:hint="eastAsia" w:ascii="宋体" w:hAnsi="宋体" w:eastAsia="宋体" w:cs="宋体"/>
          <w:sz w:val="24"/>
          <w:szCs w:val="24"/>
          <w:u w:val="none"/>
        </w:rPr>
        <w:t>年</w:t>
      </w:r>
      <w:r>
        <w:rPr>
          <w:rFonts w:hint="eastAsia" w:ascii="宋体" w:hAnsi="宋体" w:eastAsia="宋体" w:cs="宋体"/>
          <w:sz w:val="24"/>
          <w:szCs w:val="24"/>
          <w:u w:val="none"/>
          <w:lang w:val="en-US" w:eastAsia="zh-CN"/>
        </w:rPr>
        <w:t>11</w:t>
      </w:r>
      <w:r>
        <w:rPr>
          <w:rFonts w:hint="eastAsia" w:ascii="宋体" w:hAnsi="宋体" w:eastAsia="宋体" w:cs="宋体"/>
          <w:sz w:val="24"/>
          <w:szCs w:val="24"/>
          <w:u w:val="none"/>
        </w:rPr>
        <w:t>月</w:t>
      </w:r>
      <w:r>
        <w:rPr>
          <w:rFonts w:hint="eastAsia" w:ascii="宋体" w:hAnsi="宋体" w:eastAsia="宋体" w:cs="宋体"/>
          <w:sz w:val="24"/>
          <w:szCs w:val="24"/>
          <w:u w:val="none"/>
          <w:lang w:val="en-US" w:eastAsia="zh-CN"/>
        </w:rPr>
        <w:t>14</w:t>
      </w:r>
      <w:r>
        <w:rPr>
          <w:rFonts w:hint="eastAsia" w:ascii="宋体" w:hAnsi="宋体" w:eastAsia="宋体" w:cs="宋体"/>
          <w:sz w:val="24"/>
          <w:szCs w:val="24"/>
          <w:u w:val="none"/>
        </w:rPr>
        <w:t>日</w:t>
      </w:r>
    </w:p>
    <w:p w14:paraId="2EAB45E8">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rPr>
      </w:pPr>
      <w:bookmarkStart w:id="13" w:name="_Toc35393816"/>
      <w:bookmarkStart w:id="14" w:name="_Toc35393647"/>
      <w:r>
        <w:rPr>
          <w:rFonts w:hint="eastAsia" w:ascii="宋体" w:hAnsi="宋体" w:eastAsia="宋体" w:cs="宋体"/>
          <w:b/>
          <w:bCs w:val="0"/>
          <w:sz w:val="24"/>
          <w:szCs w:val="24"/>
          <w:u w:val="none"/>
        </w:rPr>
        <w:t>三、其他补充事宜</w:t>
      </w:r>
      <w:bookmarkEnd w:id="13"/>
      <w:bookmarkEnd w:id="14"/>
    </w:p>
    <w:p w14:paraId="6D50BD40">
      <w:pPr>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u w:val="none"/>
        </w:rPr>
      </w:pPr>
      <w:r>
        <w:rPr>
          <w:rFonts w:hint="eastAsia" w:ascii="宋体" w:hAnsi="宋体" w:eastAsia="宋体" w:cs="宋体"/>
          <w:sz w:val="24"/>
          <w:szCs w:val="24"/>
          <w:u w:val="none"/>
          <w:lang w:val="en-US" w:eastAsia="zh-CN"/>
        </w:rPr>
        <w:t>采购</w:t>
      </w:r>
      <w:r>
        <w:rPr>
          <w:rFonts w:hint="eastAsia" w:ascii="宋体" w:hAnsi="宋体" w:eastAsia="宋体" w:cs="宋体"/>
          <w:sz w:val="24"/>
          <w:szCs w:val="24"/>
          <w:u w:val="none"/>
        </w:rPr>
        <w:t>文件如涉及上述内容的亦作相应修改，本公告与原</w:t>
      </w:r>
      <w:r>
        <w:rPr>
          <w:rFonts w:hint="eastAsia" w:ascii="宋体" w:hAnsi="宋体" w:eastAsia="宋体" w:cs="宋体"/>
          <w:sz w:val="24"/>
          <w:szCs w:val="24"/>
          <w:u w:val="none"/>
          <w:lang w:val="en-US" w:eastAsia="zh-CN"/>
        </w:rPr>
        <w:t>采购</w:t>
      </w:r>
      <w:r>
        <w:rPr>
          <w:rFonts w:hint="eastAsia" w:ascii="宋体" w:hAnsi="宋体" w:eastAsia="宋体" w:cs="宋体"/>
          <w:sz w:val="24"/>
          <w:szCs w:val="24"/>
          <w:u w:val="none"/>
        </w:rPr>
        <w:t>文件矛盾之处，以本公告为准。其余内容不变。投标人有义务在招标活动期间浏览深圳公共资源交易</w:t>
      </w:r>
      <w:r>
        <w:rPr>
          <w:rFonts w:hint="eastAsia" w:ascii="宋体" w:hAnsi="宋体" w:eastAsia="宋体" w:cs="宋体"/>
          <w:sz w:val="24"/>
          <w:szCs w:val="24"/>
          <w:u w:val="none"/>
          <w:lang w:val="en-US" w:eastAsia="zh-CN"/>
        </w:rPr>
        <w:t>中心</w:t>
      </w:r>
      <w:r>
        <w:rPr>
          <w:rFonts w:hint="eastAsia" w:ascii="宋体" w:hAnsi="宋体" w:eastAsia="宋体" w:cs="宋体"/>
          <w:sz w:val="24"/>
          <w:szCs w:val="24"/>
          <w:u w:val="none"/>
        </w:rPr>
        <w:t>、中吉国际项目管理有限公司广东分公司</w:t>
      </w:r>
      <w:r>
        <w:rPr>
          <w:rFonts w:hint="eastAsia" w:ascii="宋体" w:hAnsi="宋体" w:eastAsia="宋体" w:cs="宋体"/>
          <w:sz w:val="24"/>
          <w:szCs w:val="24"/>
          <w:u w:val="none"/>
          <w:lang w:eastAsia="zh-CN"/>
        </w:rPr>
        <w:t>，上述</w:t>
      </w:r>
      <w:r>
        <w:rPr>
          <w:rFonts w:hint="eastAsia" w:ascii="宋体" w:hAnsi="宋体" w:eastAsia="宋体" w:cs="宋体"/>
          <w:sz w:val="24"/>
          <w:szCs w:val="24"/>
          <w:u w:val="none"/>
        </w:rPr>
        <w:t>网站上公布的与本次招标项目有关的信息视为已送达各投标人。</w:t>
      </w:r>
    </w:p>
    <w:p w14:paraId="5A8F30BF">
      <w:pPr>
        <w:pStyle w:val="4"/>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val="0"/>
          <w:sz w:val="24"/>
          <w:szCs w:val="24"/>
          <w:u w:val="none"/>
        </w:rPr>
      </w:pPr>
      <w:bookmarkStart w:id="15" w:name="_Toc35393817"/>
      <w:bookmarkStart w:id="16" w:name="_Toc35393648"/>
      <w:bookmarkStart w:id="17" w:name="_Toc28359106"/>
      <w:bookmarkStart w:id="18" w:name="_Toc28359029"/>
      <w:r>
        <w:rPr>
          <w:rFonts w:hint="eastAsia" w:ascii="宋体" w:hAnsi="宋体" w:eastAsia="宋体" w:cs="宋体"/>
          <w:b/>
          <w:bCs w:val="0"/>
          <w:sz w:val="24"/>
          <w:szCs w:val="24"/>
          <w:u w:val="none"/>
        </w:rPr>
        <w:t>四、凡对本次公告内容提出询问，请按以下方式联系</w:t>
      </w:r>
      <w:bookmarkEnd w:id="15"/>
      <w:bookmarkEnd w:id="16"/>
      <w:bookmarkEnd w:id="17"/>
      <w:bookmarkEnd w:id="18"/>
    </w:p>
    <w:p w14:paraId="0DFE0240">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1.采购人信息</w:t>
      </w:r>
    </w:p>
    <w:p w14:paraId="53335F1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　称：深圳市规划和自然资源局盐田管理局</w:t>
      </w:r>
    </w:p>
    <w:p w14:paraId="372E3034">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址：深圳市盐田区海山街道海景路10号</w:t>
      </w:r>
    </w:p>
    <w:p w14:paraId="0568EAB2">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联系人：陈工</w:t>
      </w:r>
    </w:p>
    <w:p w14:paraId="436F681F">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联系电话：0755-25556786</w:t>
      </w:r>
    </w:p>
    <w:p w14:paraId="0B833EC8">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2.采购代理机构信息</w:t>
      </w:r>
    </w:p>
    <w:p w14:paraId="70ED6D49">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名　称：中吉国际项目管理有限公司</w:t>
      </w:r>
    </w:p>
    <w:p w14:paraId="560BA8A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　址：深圳市福田区车公庙中国有色大厦1402</w:t>
      </w:r>
    </w:p>
    <w:p w14:paraId="54E4F52A">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联系方式：0755-82720234</w:t>
      </w:r>
    </w:p>
    <w:p w14:paraId="41CDF173">
      <w:pPr>
        <w:spacing w:line="360" w:lineRule="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3.项目联系方式</w:t>
      </w:r>
    </w:p>
    <w:p w14:paraId="5D80FDFC">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项目联系人：徐工、马工</w:t>
      </w:r>
    </w:p>
    <w:p w14:paraId="4DEEB418">
      <w:pPr>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电　话：13244868330、18211550079</w:t>
      </w:r>
    </w:p>
    <w:p w14:paraId="41D31AE0">
      <w:pPr>
        <w:rPr>
          <w:rFonts w:hint="eastAsia" w:ascii="宋体" w:hAnsi="宋体" w:eastAsia="宋体" w:cs="宋体"/>
        </w:rPr>
      </w:pPr>
    </w:p>
    <w:p w14:paraId="065869CC">
      <w:pPr>
        <w:pStyle w:val="2"/>
        <w:rPr>
          <w:rFonts w:hint="eastAsia"/>
        </w:rPr>
      </w:pPr>
    </w:p>
    <w:p w14:paraId="01E346A6">
      <w:pPr>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none"/>
          <w:lang w:eastAsia="zh-CN"/>
        </w:rPr>
      </w:pPr>
      <w:r>
        <w:rPr>
          <w:rFonts w:hint="eastAsia" w:ascii="宋体" w:hAnsi="宋体" w:eastAsia="宋体" w:cs="宋体"/>
          <w:sz w:val="24"/>
          <w:szCs w:val="24"/>
          <w:u w:val="none"/>
          <w:lang w:eastAsia="zh-CN"/>
        </w:rPr>
        <w:t>中吉国际项目管理有限公司</w:t>
      </w:r>
    </w:p>
    <w:p w14:paraId="1E484ED7">
      <w:pPr>
        <w:pageBreakBefore w:val="0"/>
        <w:widowControl w:val="0"/>
        <w:kinsoku/>
        <w:wordWrap/>
        <w:overflowPunct/>
        <w:topLinePunct w:val="0"/>
        <w:autoSpaceDE/>
        <w:autoSpaceDN/>
        <w:bidi w:val="0"/>
        <w:adjustRightInd/>
        <w:snapToGrid/>
        <w:spacing w:line="360" w:lineRule="auto"/>
        <w:jc w:val="right"/>
        <w:textAlignment w:val="auto"/>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2025年11月14日</w:t>
      </w:r>
    </w:p>
    <w:p w14:paraId="5381748C">
      <w:pPr>
        <w:rPr>
          <w:rFonts w:hint="eastAsia" w:ascii="宋体" w:hAnsi="宋体" w:eastAsia="宋体" w:cs="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lhMzU3N2ZlOWM3ODNlMzExY2MwOTFkNDZjMjMzYTkifQ=="/>
  </w:docVars>
  <w:rsids>
    <w:rsidRoot w:val="00000000"/>
    <w:rsid w:val="032C3A11"/>
    <w:rsid w:val="070F30FC"/>
    <w:rsid w:val="0AEB5E28"/>
    <w:rsid w:val="10842265"/>
    <w:rsid w:val="178F09FD"/>
    <w:rsid w:val="1D193B78"/>
    <w:rsid w:val="29B2013A"/>
    <w:rsid w:val="335F55E1"/>
    <w:rsid w:val="43536D87"/>
    <w:rsid w:val="464D2020"/>
    <w:rsid w:val="55D936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keepNext/>
      <w:keepLines/>
      <w:spacing w:before="340" w:after="330" w:line="578" w:lineRule="auto"/>
      <w:outlineLvl w:val="0"/>
    </w:pPr>
    <w:rPr>
      <w:rFonts w:ascii="Times New Roman" w:hAnsi="Times New Roman" w:eastAsia="宋体" w:cs="Times New Roman"/>
      <w:b/>
      <w:bCs/>
      <w:kern w:val="44"/>
      <w:sz w:val="44"/>
      <w:szCs w:val="44"/>
    </w:rPr>
  </w:style>
  <w:style w:type="paragraph" w:styleId="4">
    <w:name w:val="heading 2"/>
    <w:basedOn w:val="1"/>
    <w:next w:val="1"/>
    <w:qFormat/>
    <w:uiPriority w:val="0"/>
    <w:pPr>
      <w:keepNext/>
      <w:keepLines/>
      <w:spacing w:before="260" w:after="260" w:line="415" w:lineRule="auto"/>
      <w:outlineLvl w:val="1"/>
    </w:pPr>
    <w:rPr>
      <w:rFonts w:ascii="Arial" w:hAnsi="Arial" w:eastAsia="黑体" w:cs="Arial"/>
      <w:b/>
      <w:bCs/>
      <w:sz w:val="32"/>
      <w:szCs w:val="32"/>
    </w:rPr>
  </w:style>
  <w:style w:type="paragraph" w:styleId="2">
    <w:name w:val="heading 4"/>
    <w:basedOn w:val="1"/>
    <w:next w:val="1"/>
    <w:qFormat/>
    <w:uiPriority w:val="0"/>
    <w:pPr>
      <w:keepNext/>
      <w:widowControl/>
      <w:spacing w:line="460" w:lineRule="exact"/>
      <w:outlineLvl w:val="3"/>
    </w:pPr>
    <w:rPr>
      <w:rFonts w:ascii="Cambria" w:hAnsi="Cambria"/>
      <w:b/>
      <w:bCs/>
      <w:kern w:val="0"/>
      <w:sz w:val="28"/>
      <w:szCs w:val="28"/>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Normal Indent"/>
    <w:basedOn w:val="1"/>
    <w:next w:val="6"/>
    <w:qFormat/>
    <w:uiPriority w:val="0"/>
    <w:pPr>
      <w:ind w:firstLine="420"/>
    </w:pPr>
    <w:rPr>
      <w:szCs w:val="20"/>
    </w:rPr>
  </w:style>
  <w:style w:type="paragraph" w:styleId="6">
    <w:name w:val="Body Text"/>
    <w:basedOn w:val="1"/>
    <w:next w:val="1"/>
    <w:qFormat/>
    <w:uiPriority w:val="0"/>
    <w:pPr>
      <w:widowControl/>
      <w:spacing w:after="120"/>
      <w:jc w:val="left"/>
    </w:pPr>
    <w:rPr>
      <w:kern w:val="0"/>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2096</Words>
  <Characters>2160</Characters>
  <Lines>0</Lines>
  <Paragraphs>0</Paragraphs>
  <TotalTime>1</TotalTime>
  <ScaleCrop>false</ScaleCrop>
  <LinksUpToDate>false</LinksUpToDate>
  <CharactersWithSpaces>2167</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2023-09-08T02:44:00Z</dcterms:created>
  <dc:creator>Administrator</dc:creator>
  <cp:lastModifiedBy>X.X.X.X</cp:lastModifiedBy>
  <dcterms:modified xsi:type="dcterms:W3CDTF">2025-11-14T08:38:51Z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BD716D61BE41495BA0147BDEDD78D4BF_13</vt:lpwstr>
  </property>
  <property fmtid="{D5CDD505-2E9C-101B-9397-08002B2CF9AE}" pid="4" name="KSOTemplateDocerSaveRecord">
    <vt:lpwstr>eyJoZGlkIjoiMDZhZTFhMTA5MjQ4MDc2NzU2ZTMxY2MxY2RkYjhhNmMiLCJ1c2VySWQiOiI3MTgxNzQxNTcifQ==</vt:lpwstr>
  </property>
</Properties>
</file>