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AE0741">
      <w:pPr>
        <w:keepNext w:val="0"/>
        <w:widowControl/>
        <w:kinsoku/>
        <w:autoSpaceDN/>
        <w:bidi w:val="0"/>
        <w:spacing w:before="0" w:after="160" w:line="560" w:lineRule="exact"/>
        <w:jc w:val="both"/>
        <w:rPr>
          <w:color w:val="auto"/>
        </w:rPr>
      </w:pPr>
    </w:p>
    <w:p w14:paraId="29B8AA22">
      <w:pPr>
        <w:pStyle w:val="33"/>
        <w:widowControl/>
        <w:kinsoku/>
        <w:autoSpaceDN/>
        <w:bidi w:val="0"/>
        <w:spacing w:line="560" w:lineRule="exact"/>
        <w:rPr>
          <w:color w:val="auto"/>
        </w:rPr>
      </w:pPr>
      <mc:AlternateContent>
        <mc:Choice Requires="wpsCustomData">
          <wpsCustomData:docfieldStart id="0" docfieldname="标题_1" hidden="0" print="1" readonly="0" index="15"/>
        </mc:Choice>
      </mc:AlternateContent>
      <w:r>
        <w:rPr>
          <w:color w:val="auto"/>
        </w:rPr>
        <w:t>深圳深莓农业科技有限公司</w:t>
      </w:r>
      <w:r>
        <w:rPr>
          <w:color w:val="auto"/>
        </w:rPr>
        <w:br w:type="textWrapping"/>
      </w:r>
      <w:r>
        <w:rPr>
          <w:color w:val="auto"/>
        </w:rPr>
        <w:t>知识产权代理服务采购项目</w:t>
      </w:r>
      <w:r>
        <w:rPr>
          <w:color w:val="auto"/>
        </w:rPr>
        <w:br w:type="textWrapping"/>
      </w:r>
    </w:p>
    <w:p w14:paraId="599AD17A">
      <w:pPr>
        <w:pStyle w:val="33"/>
        <w:widowControl/>
        <w:kinsoku/>
        <w:autoSpaceDN/>
        <w:bidi w:val="0"/>
        <w:spacing w:line="560" w:lineRule="exact"/>
        <w:rPr>
          <w:color w:val="auto"/>
        </w:rPr>
      </w:pPr>
    </w:p>
    <w:p w14:paraId="72B230FA">
      <w:pPr>
        <w:pStyle w:val="33"/>
        <w:widowControl/>
        <w:kinsoku/>
        <w:autoSpaceDN/>
        <w:bidi w:val="0"/>
        <w:spacing w:line="560" w:lineRule="exact"/>
        <w:rPr>
          <w:color w:val="auto"/>
        </w:rPr>
      </w:pPr>
    </w:p>
    <w:p w14:paraId="2D202A8C">
      <w:pPr>
        <w:pStyle w:val="33"/>
        <w:widowControl/>
        <w:kinsoku/>
        <w:autoSpaceDN/>
        <w:bidi w:val="0"/>
        <w:spacing w:line="560" w:lineRule="exact"/>
        <w:rPr>
          <w:color w:val="auto"/>
        </w:rPr>
      </w:pPr>
    </w:p>
    <w:p w14:paraId="33C68778">
      <w:pPr>
        <w:pStyle w:val="33"/>
        <w:widowControl/>
        <w:kinsoku/>
        <w:autoSpaceDN/>
        <w:bidi w:val="0"/>
        <w:spacing w:line="560" w:lineRule="exact"/>
        <w:rPr>
          <w:color w:val="auto"/>
        </w:rPr>
      </w:pPr>
    </w:p>
    <w:p w14:paraId="73D6AF59">
      <w:pPr>
        <w:pStyle w:val="33"/>
        <w:widowControl/>
        <w:kinsoku/>
        <w:autoSpaceDN/>
        <w:bidi w:val="0"/>
        <w:spacing w:line="560" w:lineRule="exact"/>
        <w:rPr>
          <w:color w:val="auto"/>
        </w:rPr>
      </w:pPr>
    </w:p>
    <w:p w14:paraId="235B7405">
      <w:pPr>
        <w:pStyle w:val="33"/>
        <w:widowControl/>
        <w:kinsoku/>
        <w:autoSpaceDN/>
        <w:bidi w:val="0"/>
        <w:spacing w:line="560" w:lineRule="exact"/>
        <w:rPr>
          <w:color w:val="auto"/>
        </w:rPr>
      </w:pPr>
      <w:r>
        <w:rPr>
          <w:color w:val="auto"/>
        </w:rPr>
        <w:t>询 价 函</w:t>
      </w:r>
      <mc:AlternateContent>
        <mc:Choice Requires="wpsCustomData">
          <wpsCustomData:docfieldEnd id="0"/>
        </mc:Choice>
      </mc:AlternateContent>
    </w:p>
    <w:p w14:paraId="7EFE55BA">
      <w:pPr>
        <w:pStyle w:val="19"/>
        <w:widowControl/>
        <w:kinsoku/>
        <w:autoSpaceDN/>
        <w:bidi w:val="0"/>
        <w:spacing w:beforeAutospacing="0" w:afterAutospacing="0" w:line="560" w:lineRule="exact"/>
        <w:rPr>
          <w:color w:val="auto"/>
        </w:rPr>
      </w:pPr>
    </w:p>
    <w:p w14:paraId="7164D4BE">
      <w:pPr>
        <w:pStyle w:val="19"/>
        <w:widowControl/>
        <w:kinsoku/>
        <w:autoSpaceDN/>
        <w:bidi w:val="0"/>
        <w:spacing w:line="560" w:lineRule="exact"/>
        <w:rPr>
          <w:rFonts w:ascii="Times New Roman" w:hAnsi="Times New Roman" w:eastAsia="仿宋_GB2312" w:cs="仿宋_GB2312"/>
          <w:color w:val="auto"/>
          <w:sz w:val="32"/>
          <w:szCs w:val="32"/>
        </w:rPr>
      </w:pPr>
    </w:p>
    <w:p w14:paraId="13A933D7">
      <w:pPr>
        <w:pStyle w:val="19"/>
        <w:widowControl/>
        <w:kinsoku/>
        <w:autoSpaceDN/>
        <w:bidi w:val="0"/>
        <w:spacing w:line="560" w:lineRule="exact"/>
        <w:ind w:left="0" w:leftChars="0" w:firstLine="0" w:firstLineChars="0"/>
        <w:rPr>
          <w:rFonts w:ascii="Times New Roman" w:hAnsi="Times New Roman" w:eastAsia="仿宋_GB2312" w:cs="仿宋_GB2312"/>
          <w:color w:val="auto"/>
          <w:sz w:val="32"/>
          <w:szCs w:val="32"/>
        </w:rPr>
      </w:pPr>
    </w:p>
    <w:p w14:paraId="6FF7073A">
      <w:pPr>
        <w:pStyle w:val="19"/>
        <w:widowControl/>
        <w:kinsoku/>
        <w:autoSpaceDN/>
        <w:bidi w:val="0"/>
        <w:spacing w:line="560" w:lineRule="exact"/>
        <w:rPr>
          <w:rFonts w:ascii="Times New Roman" w:hAnsi="Times New Roman" w:eastAsia="仿宋_GB2312" w:cs="仿宋_GB2312"/>
          <w:color w:val="auto"/>
          <w:sz w:val="32"/>
          <w:szCs w:val="32"/>
        </w:rPr>
      </w:pPr>
    </w:p>
    <w:p w14:paraId="44187BEB">
      <w:pPr>
        <w:pStyle w:val="19"/>
        <w:widowControl/>
        <w:kinsoku/>
        <w:autoSpaceDN/>
        <w:bidi w:val="0"/>
        <w:spacing w:line="560" w:lineRule="exact"/>
        <w:rPr>
          <w:rFonts w:ascii="Times New Roman" w:hAnsi="Times New Roman" w:eastAsia="仿宋_GB2312" w:cs="仿宋_GB2312"/>
          <w:color w:val="auto"/>
          <w:sz w:val="32"/>
          <w:szCs w:val="32"/>
        </w:rPr>
      </w:pPr>
    </w:p>
    <w:p w14:paraId="7D99C28C">
      <w:pPr>
        <w:pStyle w:val="19"/>
        <w:widowControl/>
        <w:kinsoku/>
        <w:autoSpaceDN/>
        <w:bidi w:val="0"/>
        <w:spacing w:line="560" w:lineRule="exact"/>
        <w:ind w:left="0" w:leftChars="0" w:firstLine="0" w:firstLineChars="0"/>
        <w:rPr>
          <w:rFonts w:ascii="Times New Roman" w:hAnsi="Times New Roman" w:eastAsia="仿宋_GB2312" w:cs="仿宋_GB2312"/>
          <w:color w:val="auto"/>
          <w:sz w:val="32"/>
          <w:szCs w:val="32"/>
        </w:rPr>
      </w:pPr>
    </w:p>
    <w:p w14:paraId="20219F7A">
      <w:pPr>
        <w:pStyle w:val="19"/>
        <w:widowControl/>
        <w:kinsoku/>
        <w:autoSpaceDN/>
        <w:bidi w:val="0"/>
        <w:spacing w:line="560" w:lineRule="exact"/>
        <w:ind w:left="0" w:leftChars="0" w:firstLine="0" w:firstLineChars="0"/>
        <w:rPr>
          <w:rFonts w:ascii="Times New Roman" w:hAnsi="Times New Roman" w:eastAsia="仿宋_GB2312" w:cs="仿宋_GB2312"/>
          <w:color w:val="auto"/>
          <w:sz w:val="32"/>
          <w:szCs w:val="32"/>
        </w:rPr>
      </w:pPr>
    </w:p>
    <w:p w14:paraId="06029F28">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color w:val="auto"/>
          <w:sz w:val="32"/>
          <w:szCs w:val="32"/>
        </w:rPr>
        <w:t>项目名称：深圳深莓农业科技有限公司知识产权代理服务采购项目</w:t>
      </w:r>
    </w:p>
    <w:p w14:paraId="72350BB3">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color w:val="auto"/>
          <w:sz w:val="32"/>
          <w:szCs w:val="32"/>
        </w:rPr>
        <w:t>采购人：深圳深莓农业科技有限公司</w:t>
      </w:r>
    </w:p>
    <w:p w14:paraId="6BC1C3A3">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color w:val="auto"/>
          <w:sz w:val="32"/>
          <w:szCs w:val="32"/>
        </w:rPr>
        <w:t>地址：深圳市福田区梅中路1号华利广场1栋8楼</w:t>
      </w:r>
    </w:p>
    <w:p w14:paraId="2B0F3D85">
      <w:pPr>
        <w:widowControl/>
        <w:kinsoku/>
        <w:autoSpaceDN/>
        <w:bidi w:val="0"/>
        <w:spacing w:line="560" w:lineRule="exact"/>
        <w:rPr>
          <w:color w:val="auto"/>
        </w:rPr>
      </w:pPr>
      <w:r>
        <w:rPr>
          <w:color w:val="auto"/>
        </w:rPr>
        <w:br w:type="page"/>
      </w:r>
    </w:p>
    <w:p w14:paraId="77516AD2">
      <w:pPr>
        <w:pStyle w:val="3"/>
        <w:widowControl/>
        <w:numPr>
          <w:ilvl w:val="0"/>
          <w:numId w:val="0"/>
        </w:numPr>
        <w:kinsoku/>
        <w:topLinePunct w:val="0"/>
        <w:autoSpaceDN/>
        <w:bidi w:val="0"/>
        <w:spacing w:line="560" w:lineRule="exact"/>
        <w:ind w:left="0" w:leftChars="0" w:firstLine="640"/>
        <w:rPr>
          <w:b w:val="0"/>
          <w:color w:val="auto"/>
        </w:rPr>
      </w:pPr>
      <w:r>
        <w:rPr>
          <w:rFonts w:hint="eastAsia"/>
          <w:color w:val="auto"/>
          <w:lang w:eastAsia="zh-CN"/>
        </w:rPr>
        <w:t>一、</w:t>
      </w:r>
      <w:r>
        <w:rPr>
          <w:color w:val="auto"/>
        </w:rPr>
        <w:t>项目名称</w:t>
      </w:r>
    </w:p>
    <w:p w14:paraId="341E723B">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b w:val="0"/>
          <w:color w:val="auto"/>
          <w:sz w:val="32"/>
          <w:szCs w:val="32"/>
        </w:rPr>
        <w:t>深圳深莓农业科技有限公司知识产权代理服务采购项目。</w:t>
      </w:r>
    </w:p>
    <w:p w14:paraId="05AC4AA8">
      <w:pPr>
        <w:pStyle w:val="3"/>
        <w:widowControl/>
        <w:numPr>
          <w:ilvl w:val="0"/>
          <w:numId w:val="0"/>
        </w:numPr>
        <w:kinsoku/>
        <w:topLinePunct w:val="0"/>
        <w:autoSpaceDN/>
        <w:bidi w:val="0"/>
        <w:spacing w:line="560" w:lineRule="exact"/>
        <w:ind w:left="0" w:leftChars="0" w:firstLine="640"/>
        <w:rPr>
          <w:b w:val="0"/>
          <w:color w:val="auto"/>
        </w:rPr>
      </w:pPr>
      <w:r>
        <w:rPr>
          <w:rFonts w:hint="eastAsia"/>
          <w:color w:val="auto"/>
          <w:lang w:eastAsia="zh-CN"/>
        </w:rPr>
        <w:t>二、</w:t>
      </w:r>
      <w:r>
        <w:rPr>
          <w:color w:val="auto"/>
        </w:rPr>
        <w:t>项目介绍</w:t>
      </w:r>
    </w:p>
    <w:p w14:paraId="083A97F6">
      <w:pPr>
        <w:pStyle w:val="4"/>
        <w:widowControl/>
        <w:numPr>
          <w:ilvl w:val="0"/>
          <w:numId w:val="0"/>
        </w:numPr>
        <w:kinsoku/>
        <w:topLinePunct w:val="0"/>
        <w:autoSpaceDN/>
        <w:bidi w:val="0"/>
        <w:spacing w:line="560" w:lineRule="exact"/>
        <w:ind w:left="0" w:leftChars="0" w:firstLine="640"/>
        <w:rPr>
          <w:rFonts w:hint="eastAsia" w:ascii="楷体_GB2312" w:hAnsi="楷体_GB2312" w:eastAsia="楷体_GB2312" w:cs="楷体_GB2312"/>
          <w:b w:val="0"/>
          <w:color w:val="auto"/>
        </w:rPr>
      </w:pPr>
      <w:r>
        <w:rPr>
          <w:rFonts w:hint="eastAsia"/>
          <w:color w:val="auto"/>
          <w:lang w:eastAsia="zh-CN"/>
        </w:rPr>
        <w:t>（一）</w:t>
      </w:r>
      <w:r>
        <w:rPr>
          <w:color w:val="auto"/>
        </w:rPr>
        <w:t>项目背景</w:t>
      </w:r>
    </w:p>
    <w:p w14:paraId="35BFF54F">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b w:val="0"/>
          <w:color w:val="auto"/>
          <w:sz w:val="32"/>
          <w:szCs w:val="32"/>
        </w:rPr>
        <w:t>深圳深莓农业科技有限公司（以下简称“公司”）围绕设施农业、智能种植、环境控制、水肥管理、种植工艺、软件系统及数据应用等方向开展项目建设、技术研发和生产运营。随着未来农业校园实验室、“一亩八实验田”及其他项目持续推进，公司将形成一批技术方案和软件成果。</w:t>
      </w:r>
    </w:p>
    <w:p w14:paraId="143C1E58">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b w:val="0"/>
          <w:color w:val="auto"/>
          <w:sz w:val="32"/>
          <w:szCs w:val="32"/>
        </w:rPr>
        <w:t>为保障公司相关创新成果合法权益，合理、高效地规划布局和挖掘公司知识产权，避免知识产权流失和侵权风险，提高知识产权申请质量和管理效率，现需采购知识产权代理服务，对公司相关项目开展知识产权规划、挖掘、申报、确权及咨询管理。</w:t>
      </w:r>
    </w:p>
    <w:p w14:paraId="7E36F935">
      <w:pPr>
        <w:pStyle w:val="4"/>
        <w:widowControl/>
        <w:numPr>
          <w:ilvl w:val="0"/>
          <w:numId w:val="0"/>
        </w:numPr>
        <w:kinsoku/>
        <w:topLinePunct w:val="0"/>
        <w:autoSpaceDN/>
        <w:bidi w:val="0"/>
        <w:spacing w:line="560" w:lineRule="exact"/>
        <w:ind w:left="0" w:leftChars="0" w:firstLine="640"/>
        <w:rPr>
          <w:rFonts w:hint="eastAsia" w:ascii="楷体_GB2312" w:hAnsi="楷体_GB2312" w:eastAsia="楷体_GB2312" w:cs="楷体_GB2312"/>
          <w:b w:val="0"/>
          <w:color w:val="auto"/>
        </w:rPr>
      </w:pPr>
      <w:r>
        <w:rPr>
          <w:rFonts w:hint="eastAsia"/>
          <w:color w:val="auto"/>
          <w:lang w:eastAsia="zh-CN"/>
        </w:rPr>
        <w:t>（二）</w:t>
      </w:r>
      <w:r>
        <w:rPr>
          <w:color w:val="auto"/>
        </w:rPr>
        <w:t>项目技术要求</w:t>
      </w:r>
    </w:p>
    <w:p w14:paraId="54E53657">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color w:val="auto"/>
          <w:sz w:val="32"/>
          <w:szCs w:val="32"/>
        </w:rPr>
        <w:t>项目内容</w:t>
      </w:r>
    </w:p>
    <w:p w14:paraId="1CBF9389">
      <w:pPr>
        <w:pStyle w:val="5"/>
        <w:widowControl/>
        <w:numPr>
          <w:ilvl w:val="0"/>
          <w:numId w:val="0"/>
        </w:numPr>
        <w:kinsoku/>
        <w:autoSpaceDN/>
        <w:bidi w:val="0"/>
        <w:spacing w:line="560" w:lineRule="exact"/>
        <w:ind w:left="0" w:leftChars="0" w:firstLine="640"/>
        <w:rPr>
          <w:rFonts w:hint="eastAsia" w:ascii="仿宋_GB2312" w:hAnsi="仿宋_GB2312" w:eastAsia="仿宋_GB2312" w:cs="仿宋_GB2312"/>
          <w:b w:val="0"/>
          <w:color w:val="auto"/>
        </w:rPr>
      </w:pPr>
      <w:r>
        <w:rPr>
          <w:rFonts w:hint="eastAsia"/>
          <w:color w:val="auto"/>
          <w:lang w:eastAsia="zh-CN"/>
        </w:rPr>
        <w:t>1.</w:t>
      </w:r>
      <w:r>
        <w:rPr>
          <w:rFonts w:hint="eastAsia" w:ascii="仿宋" w:hAnsi="仿宋" w:eastAsia="仿宋" w:cs="仿宋"/>
          <w:color w:val="auto"/>
          <w:sz w:val="32"/>
          <w:szCs w:val="32"/>
          <w:lang w:eastAsia="zh-CN"/>
        </w:rPr>
        <w:t xml:space="preserve"> </w:t>
      </w:r>
      <w:r>
        <w:rPr>
          <w:color w:val="auto"/>
        </w:rPr>
        <w:t>知识产权申报布局</w:t>
      </w:r>
    </w:p>
    <w:p w14:paraId="0FA75A66">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b w:val="0"/>
          <w:color w:val="auto"/>
          <w:sz w:val="32"/>
          <w:szCs w:val="32"/>
        </w:rPr>
        <w:t>面向公司战略布局和业务场景，围绕未来农业校园实验室、“一亩八实验田”及其他项目，根据实际需求完成相关知识产权规划、挖掘、申报及确权等工作。具体内容包括：</w:t>
      </w:r>
    </w:p>
    <w:p w14:paraId="487CE36E">
      <w:pPr>
        <w:pStyle w:val="19"/>
        <w:widowControl/>
        <w:numPr>
          <w:ilvl w:val="0"/>
          <w:numId w:val="0"/>
        </w:numPr>
        <w:kinsoku/>
        <w:topLinePunct w:val="0"/>
        <w:autoSpaceDN/>
        <w:bidi w:val="0"/>
        <w:spacing w:line="560" w:lineRule="exact"/>
        <w:ind w:left="0" w:leftChars="0" w:firstLine="616"/>
        <w:rPr>
          <w:rFonts w:ascii="Times New Roman" w:hAnsi="Times New Roman" w:eastAsia="仿宋_GB2312" w:cs="仿宋_GB2312"/>
          <w:b w:val="0"/>
          <w:color w:val="auto"/>
          <w:sz w:val="32"/>
          <w:szCs w:val="32"/>
        </w:rPr>
      </w:pPr>
      <w:r>
        <w:rPr>
          <w:rStyle w:val="173"/>
          <w:rFonts w:hint="eastAsia"/>
          <w:color w:val="auto"/>
          <w:lang w:eastAsia="zh-CN"/>
        </w:rPr>
        <w:t>（1）</w:t>
      </w:r>
      <w:r>
        <w:rPr>
          <w:rStyle w:val="173"/>
          <w:color w:val="auto"/>
        </w:rPr>
        <w:t>知识产权规划</w:t>
      </w:r>
      <w:r>
        <w:rPr>
          <w:rFonts w:ascii="Times New Roman" w:hAnsi="Times New Roman" w:eastAsia="仿宋_GB2312" w:cs="仿宋_GB2312"/>
          <w:b w:val="0"/>
          <w:color w:val="auto"/>
          <w:sz w:val="32"/>
          <w:szCs w:val="32"/>
        </w:rPr>
        <w:t>：理解项目技术内容，对项目相关技术及竞争对手知识产权进行检索调研，以知识产权为抓手开展行业技术趋势分析，识别和解读重要知识产权，并对项目涉及技术的知识产权布局方向和专利点进行规划，提出知识产权风险防范与规避建议。</w:t>
      </w:r>
    </w:p>
    <w:p w14:paraId="6D254810">
      <w:pPr>
        <w:pStyle w:val="19"/>
        <w:widowControl/>
        <w:numPr>
          <w:ilvl w:val="0"/>
          <w:numId w:val="0"/>
        </w:numPr>
        <w:kinsoku/>
        <w:topLinePunct w:val="0"/>
        <w:autoSpaceDN/>
        <w:bidi w:val="0"/>
        <w:spacing w:line="560" w:lineRule="exact"/>
        <w:ind w:left="0" w:leftChars="0" w:firstLine="616"/>
        <w:rPr>
          <w:rFonts w:ascii="Times New Roman" w:hAnsi="Times New Roman" w:eastAsia="仿宋_GB2312" w:cs="仿宋_GB2312"/>
          <w:b w:val="0"/>
          <w:color w:val="auto"/>
          <w:sz w:val="32"/>
          <w:szCs w:val="32"/>
        </w:rPr>
      </w:pPr>
      <w:r>
        <w:rPr>
          <w:rStyle w:val="173"/>
          <w:rFonts w:hint="eastAsia"/>
          <w:color w:val="auto"/>
          <w:lang w:eastAsia="zh-CN"/>
        </w:rPr>
        <w:t>（2）</w:t>
      </w:r>
      <w:r>
        <w:rPr>
          <w:rStyle w:val="173"/>
          <w:color w:val="auto"/>
        </w:rPr>
        <w:t>知识产权挖掘</w:t>
      </w:r>
      <w:r>
        <w:rPr>
          <w:rFonts w:ascii="Times New Roman" w:hAnsi="Times New Roman" w:eastAsia="仿宋_GB2312" w:cs="仿宋_GB2312"/>
          <w:b w:val="0"/>
          <w:color w:val="auto"/>
          <w:sz w:val="32"/>
          <w:szCs w:val="32"/>
        </w:rPr>
        <w:t>：对项目涉及技术的潜在知识产权进行挖掘，主动与公司相关项目及技术人员沟通，明确技术创新点，评估知识产权申请价值和可行性。</w:t>
      </w:r>
    </w:p>
    <w:p w14:paraId="2F218890">
      <w:pPr>
        <w:pStyle w:val="19"/>
        <w:widowControl/>
        <w:numPr>
          <w:ilvl w:val="0"/>
          <w:numId w:val="0"/>
        </w:numPr>
        <w:kinsoku/>
        <w:topLinePunct w:val="0"/>
        <w:autoSpaceDN/>
        <w:bidi w:val="0"/>
        <w:spacing w:line="560" w:lineRule="exact"/>
        <w:ind w:left="0" w:leftChars="0" w:firstLine="616"/>
        <w:rPr>
          <w:rFonts w:ascii="Times New Roman" w:hAnsi="Times New Roman" w:eastAsia="仿宋_GB2312" w:cs="仿宋_GB2312"/>
          <w:b w:val="0"/>
          <w:color w:val="auto"/>
          <w:sz w:val="32"/>
          <w:szCs w:val="32"/>
        </w:rPr>
      </w:pPr>
      <w:r>
        <w:rPr>
          <w:rStyle w:val="173"/>
          <w:rFonts w:hint="eastAsia"/>
          <w:color w:val="auto"/>
          <w:lang w:eastAsia="zh-CN"/>
        </w:rPr>
        <w:t>（3）</w:t>
      </w:r>
      <w:r>
        <w:rPr>
          <w:rStyle w:val="173"/>
          <w:color w:val="auto"/>
        </w:rPr>
        <w:t>专利申请</w:t>
      </w:r>
      <w:r>
        <w:rPr>
          <w:rFonts w:ascii="Times New Roman" w:hAnsi="Times New Roman" w:eastAsia="仿宋_GB2312" w:cs="仿宋_GB2312"/>
          <w:b w:val="0"/>
          <w:color w:val="auto"/>
          <w:sz w:val="32"/>
          <w:szCs w:val="32"/>
        </w:rPr>
        <w:t>：针对可专利点指导相关人员撰写合规的专利技术交底书，并基于技术交底材料形成和提交发明专利、实用新型专利及外观设计专利申请文件，适时答复国家知识产权局下发的审查意见，并完成授权登记办理。</w:t>
      </w:r>
    </w:p>
    <w:p w14:paraId="5501A90B">
      <w:pPr>
        <w:pStyle w:val="19"/>
        <w:widowControl/>
        <w:numPr>
          <w:ilvl w:val="0"/>
          <w:numId w:val="0"/>
        </w:numPr>
        <w:kinsoku/>
        <w:topLinePunct w:val="0"/>
        <w:autoSpaceDN/>
        <w:bidi w:val="0"/>
        <w:spacing w:line="560" w:lineRule="exact"/>
        <w:ind w:left="0" w:leftChars="0" w:firstLine="616"/>
        <w:rPr>
          <w:rFonts w:ascii="Times New Roman" w:hAnsi="Times New Roman" w:eastAsia="仿宋_GB2312" w:cs="仿宋_GB2312"/>
          <w:b w:val="0"/>
          <w:color w:val="auto"/>
          <w:sz w:val="32"/>
          <w:szCs w:val="32"/>
        </w:rPr>
      </w:pPr>
      <w:r>
        <w:rPr>
          <w:rStyle w:val="173"/>
          <w:rFonts w:hint="eastAsia"/>
          <w:color w:val="auto"/>
          <w:lang w:eastAsia="zh-CN"/>
        </w:rPr>
        <w:t>（4）</w:t>
      </w:r>
      <w:r>
        <w:rPr>
          <w:rStyle w:val="173"/>
          <w:color w:val="auto"/>
        </w:rPr>
        <w:t>流程及时限管理</w:t>
      </w:r>
      <w:r>
        <w:rPr>
          <w:rFonts w:ascii="Times New Roman" w:hAnsi="Times New Roman" w:eastAsia="仿宋_GB2312" w:cs="仿宋_GB2312"/>
          <w:b w:val="0"/>
          <w:color w:val="auto"/>
          <w:sz w:val="32"/>
          <w:szCs w:val="32"/>
        </w:rPr>
        <w:t>：监控专利及软件著作权申请全流程时限，及时提醒公司办理相关事务。专利申请文件、软件著作权申请材料、补正文件、审查意见答复、费用缴纳、权利取得或丧失等重要事项，均须事先经公司书面确认。</w:t>
      </w:r>
    </w:p>
    <w:p w14:paraId="2DC56F6E">
      <w:pPr>
        <w:pStyle w:val="19"/>
        <w:widowControl/>
        <w:numPr>
          <w:ilvl w:val="0"/>
          <w:numId w:val="0"/>
        </w:numPr>
        <w:kinsoku/>
        <w:topLinePunct w:val="0"/>
        <w:autoSpaceDN/>
        <w:bidi w:val="0"/>
        <w:spacing w:line="560" w:lineRule="exact"/>
        <w:ind w:left="0" w:leftChars="0" w:firstLine="616"/>
        <w:rPr>
          <w:rFonts w:ascii="Times New Roman" w:hAnsi="Times New Roman" w:eastAsia="仿宋_GB2312" w:cs="仿宋_GB2312"/>
          <w:b w:val="0"/>
          <w:color w:val="auto"/>
          <w:sz w:val="32"/>
          <w:szCs w:val="32"/>
        </w:rPr>
      </w:pPr>
      <w:r>
        <w:rPr>
          <w:rStyle w:val="173"/>
          <w:rFonts w:hint="eastAsia"/>
          <w:color w:val="auto"/>
          <w:lang w:eastAsia="zh-CN"/>
        </w:rPr>
        <w:t>（5）</w:t>
      </w:r>
      <w:r>
        <w:rPr>
          <w:rStyle w:val="173"/>
          <w:color w:val="auto"/>
        </w:rPr>
        <w:t>费用管理</w:t>
      </w:r>
      <w:r>
        <w:rPr>
          <w:rFonts w:ascii="Times New Roman" w:hAnsi="Times New Roman" w:eastAsia="仿宋_GB2312" w:cs="仿宋_GB2312"/>
          <w:b w:val="0"/>
          <w:color w:val="auto"/>
          <w:sz w:val="32"/>
          <w:szCs w:val="32"/>
        </w:rPr>
        <w:t>：严格按照合同约定，适时提醒公司各项费用，根据公司书面指示代为缴纳法定官方费用，定期整理并发送账</w:t>
      </w:r>
      <w:r>
        <w:rPr>
          <w:rFonts w:ascii="Times New Roman" w:hAnsi="Times New Roman" w:eastAsia="仿宋_GB2312" w:cs="仿宋_GB2312"/>
          <w:b w:val="0"/>
          <w:color w:val="auto"/>
          <w:spacing wpsCustomData:val="-6" w:val="1"/>
          <w:sz w:val="32"/>
          <w:szCs w:val="32"/>
        </w:rPr>
        <w:t>单、官方收据或可核验缴费凭证，并根据公司要求开具相</w:t>
      </w:r>
      <w:r>
        <w:rPr>
          <w:rFonts w:ascii="Times New Roman" w:hAnsi="Times New Roman" w:eastAsia="仿宋_GB2312" w:cs="仿宋_GB2312"/>
          <w:b w:val="0"/>
          <w:color w:val="auto"/>
          <w:spacing wpsCustomData:val="-6" w:val="-6"/>
          <w:sz w:val="32"/>
          <w:szCs w:val="32"/>
        </w:rPr>
        <w:t>应</w:t>
      </w:r>
      <w:r>
        <w:rPr>
          <w:rFonts w:ascii="Times New Roman" w:hAnsi="Times New Roman" w:eastAsia="仿宋_GB2312" w:cs="仿宋_GB2312"/>
          <w:b w:val="0"/>
          <w:color w:val="auto"/>
          <w:sz w:val="32"/>
          <w:szCs w:val="32"/>
        </w:rPr>
        <w:t>发票。</w:t>
      </w:r>
    </w:p>
    <w:p w14:paraId="4CA1A5A2">
      <w:pPr>
        <w:pStyle w:val="19"/>
        <w:widowControl/>
        <w:numPr>
          <w:ilvl w:val="0"/>
          <w:numId w:val="0"/>
        </w:numPr>
        <w:kinsoku/>
        <w:topLinePunct w:val="0"/>
        <w:autoSpaceDN/>
        <w:bidi w:val="0"/>
        <w:spacing w:line="560" w:lineRule="exact"/>
        <w:ind w:left="0" w:leftChars="0" w:firstLine="616"/>
        <w:rPr>
          <w:rFonts w:ascii="Times New Roman" w:hAnsi="Times New Roman" w:eastAsia="仿宋_GB2312" w:cs="仿宋_GB2312"/>
          <w:b w:val="0"/>
          <w:color w:val="auto"/>
          <w:sz w:val="32"/>
          <w:szCs w:val="32"/>
        </w:rPr>
      </w:pPr>
      <w:r>
        <w:rPr>
          <w:rStyle w:val="173"/>
          <w:rFonts w:hint="eastAsia"/>
          <w:color w:val="auto"/>
          <w:lang w:eastAsia="zh-CN"/>
        </w:rPr>
        <w:t>（6）</w:t>
      </w:r>
      <w:r>
        <w:rPr>
          <w:rStyle w:val="173"/>
          <w:color w:val="auto"/>
        </w:rPr>
        <w:t>其他服务</w:t>
      </w:r>
      <w:r>
        <w:rPr>
          <w:rFonts w:ascii="Times New Roman" w:hAnsi="Times New Roman" w:eastAsia="仿宋_GB2312" w:cs="仿宋_GB2312"/>
          <w:b w:val="0"/>
          <w:color w:val="auto"/>
          <w:sz w:val="32"/>
          <w:szCs w:val="32"/>
        </w:rPr>
        <w:t>：根据公司指示，办理软件著作权申请、专利预审、优先审查、公众意见、复审、无效、著录项目变更、权利恢复、官费费减、专利资助、专利奖项申报及其他知识产权相关事务。</w:t>
      </w:r>
    </w:p>
    <w:p w14:paraId="415051FA">
      <w:pPr>
        <w:pStyle w:val="5"/>
        <w:widowControl/>
        <w:numPr>
          <w:ilvl w:val="0"/>
          <w:numId w:val="0"/>
        </w:numPr>
        <w:kinsoku/>
        <w:autoSpaceDN/>
        <w:bidi w:val="0"/>
        <w:spacing w:line="560" w:lineRule="exact"/>
        <w:ind w:left="0" w:leftChars="0" w:firstLine="640"/>
        <w:rPr>
          <w:rFonts w:hint="eastAsia" w:ascii="仿宋_GB2312" w:hAnsi="仿宋_GB2312" w:eastAsia="仿宋_GB2312" w:cs="仿宋_GB2312"/>
          <w:b w:val="0"/>
          <w:color w:val="auto"/>
        </w:rPr>
      </w:pPr>
      <w:r>
        <w:rPr>
          <w:rFonts w:hint="eastAsia"/>
          <w:color w:val="auto"/>
          <w:lang w:eastAsia="zh-CN"/>
        </w:rPr>
        <w:t>2.</w:t>
      </w:r>
      <w:r>
        <w:rPr>
          <w:rFonts w:hint="eastAsia" w:ascii="仿宋" w:hAnsi="仿宋" w:eastAsia="仿宋" w:cs="仿宋"/>
          <w:color w:val="auto"/>
          <w:sz w:val="32"/>
          <w:szCs w:val="32"/>
          <w:lang w:eastAsia="zh-CN"/>
        </w:rPr>
        <w:t xml:space="preserve"> </w:t>
      </w:r>
      <w:r>
        <w:rPr>
          <w:color w:val="auto"/>
        </w:rPr>
        <w:t>知识产权现场咨询</w:t>
      </w:r>
    </w:p>
    <w:p w14:paraId="68B8F004">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b w:val="0"/>
          <w:color w:val="auto"/>
          <w:sz w:val="32"/>
          <w:szCs w:val="32"/>
        </w:rPr>
        <w:t>及时响应公司项目及相关人员需求，每月提供不少于2次现场或远程知识产权咨询服务。具体内容包括：</w:t>
      </w:r>
    </w:p>
    <w:p w14:paraId="6B82A9FB">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（1）</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主动带领和引导公司相关人员开展知识产权挖掘工作，进行知识产权辅导交流，及时解答咨询疑问。</w:t>
      </w:r>
    </w:p>
    <w:p w14:paraId="3C64B060">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（2）</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面向项目、资质或其他申报事项涉及的知识产权需求，配合开展知识产权梳理与材料准备。</w:t>
      </w:r>
    </w:p>
    <w:p w14:paraId="20D1392C">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（3）</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对委托研发或合作研发涉及的知识产权问题提供咨询建议，配合参与合作单位对接沟通。</w:t>
      </w:r>
    </w:p>
    <w:p w14:paraId="45D1E22E">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（4）</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对知识产权管理制度、标准、规范等提供咨询建议，并提供知识产权管理相关文件范本。</w:t>
      </w:r>
    </w:p>
    <w:p w14:paraId="75A1BE71">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color w:val="auto"/>
          <w:sz w:val="32"/>
          <w:szCs w:val="32"/>
        </w:rPr>
        <w:t>项目成果</w:t>
      </w:r>
    </w:p>
    <w:p w14:paraId="32050B9A">
      <w:pPr>
        <w:pStyle w:val="19"/>
        <w:widowControl/>
        <w:numPr>
          <w:ilvl w:val="0"/>
          <w:numId w:val="0"/>
        </w:numPr>
        <w:kinsoku/>
        <w:autoSpaceDN/>
        <w:bidi w:val="0"/>
        <w:spacing w:line="240" w:lineRule="auto"/>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（1）</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未来农业校园实验室项目计划形成软硬件知识产权不少于5项，其中发明专利不少于1项。</w:t>
      </w:r>
      <w:r>
        <w:rPr>
          <w:rFonts w:hint="eastAsia" w:ascii="Times New Roman" w:hAnsi="Times New Roman" w:eastAsia="仿宋_GB2312" w:cs="仿宋_GB2312"/>
          <w:b w:val="0"/>
          <w:color w:val="auto"/>
          <w:sz w:val="32"/>
          <w:szCs w:val="32"/>
        </w:rPr>
        <w:t>相关工作应结合项目合同约定的“项目启动后4个月”成果时点推进</w:t>
      </w:r>
      <w:r>
        <w:rPr>
          <w:rFonts w:hint="eastAsia" w:cs="仿宋_GB2312"/>
          <w:b w:val="0"/>
          <w:color w:val="auto"/>
          <w:sz w:val="32"/>
          <w:szCs w:val="32"/>
          <w:lang w:eastAsia="zh-CN"/>
        </w:rPr>
        <w:t>。</w:t>
      </w:r>
    </w:p>
    <w:p w14:paraId="4929D36F">
      <w:pPr>
        <w:pStyle w:val="19"/>
        <w:widowControl/>
        <w:numPr>
          <w:ilvl w:val="0"/>
          <w:numId w:val="0"/>
        </w:numPr>
        <w:kinsoku/>
        <w:autoSpaceDN/>
        <w:bidi w:val="0"/>
        <w:spacing w:line="240" w:lineRule="auto"/>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（2）</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“一亩八实验田”项目计划形成知识产权不少于8项，其中发明专利不少于2项</w:t>
      </w:r>
      <w:r>
        <w:rPr>
          <w:rFonts w:hint="eastAsia" w:cs="仿宋_GB2312"/>
          <w:b w:val="0"/>
          <w:color w:val="auto"/>
          <w:sz w:val="32"/>
          <w:szCs w:val="32"/>
          <w:lang w:eastAsia="zh-CN"/>
        </w:rPr>
        <w:t>。</w:t>
      </w:r>
      <w:r>
        <w:rPr>
          <w:rFonts w:hint="eastAsia" w:ascii="Times New Roman" w:hAnsi="Times New Roman" w:eastAsia="仿宋_GB2312" w:cs="仿宋_GB2312"/>
          <w:b w:val="0"/>
          <w:color w:val="auto"/>
          <w:sz w:val="32"/>
          <w:szCs w:val="32"/>
        </w:rPr>
        <w:t>2026年12月31日前完成3项，2027年12月31日前完成后续5项（累计8项），其中发明专利累计不少于2项。</w:t>
      </w:r>
    </w:p>
    <w:p w14:paraId="2D8CBB4B">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b w:val="0"/>
          <w:color w:val="auto"/>
          <w:sz w:val="32"/>
          <w:szCs w:val="32"/>
        </w:rPr>
        <w:t>上述两个项目</w:t>
      </w:r>
      <w:r>
        <w:rPr>
          <w:rFonts w:hint="eastAsia" w:cs="仿宋_GB2312"/>
          <w:b w:val="0"/>
          <w:color w:val="auto"/>
          <w:sz w:val="32"/>
          <w:szCs w:val="32"/>
          <w:lang w:val="en-US" w:eastAsia="zh-CN"/>
        </w:rPr>
        <w:t>计划</w:t>
      </w:r>
      <w:r>
        <w:rPr>
          <w:rFonts w:ascii="Times New Roman" w:hAnsi="Times New Roman" w:eastAsia="仿宋_GB2312" w:cs="仿宋_GB2312"/>
          <w:b w:val="0"/>
          <w:color w:val="auto"/>
          <w:sz w:val="32"/>
          <w:szCs w:val="32"/>
        </w:rPr>
        <w:t>形成知识产权不少于13项，其中发明专利不少于3项。具体申请名称、知识产权类型及保护范围，由成交供应商结合技术挖掘、检索分析及项目实际提出建议，经公司书面确认后实施。公司其他项目形成的知识产权成果，根据项目实施进度及公司实际需求另行书面委托。</w:t>
      </w:r>
    </w:p>
    <w:p w14:paraId="1F42ECFF">
      <w:pPr>
        <w:pStyle w:val="3"/>
        <w:widowControl/>
        <w:numPr>
          <w:ilvl w:val="0"/>
          <w:numId w:val="0"/>
        </w:numPr>
        <w:kinsoku/>
        <w:topLinePunct w:val="0"/>
        <w:autoSpaceDN/>
        <w:bidi w:val="0"/>
        <w:spacing w:line="560" w:lineRule="exact"/>
        <w:ind w:left="0" w:leftChars="0" w:firstLine="640"/>
        <w:rPr>
          <w:b w:val="0"/>
          <w:color w:val="auto"/>
        </w:rPr>
      </w:pPr>
      <w:r>
        <w:rPr>
          <w:rFonts w:hint="eastAsia"/>
          <w:color w:val="auto"/>
          <w:lang w:eastAsia="zh-CN"/>
        </w:rPr>
        <w:t>三、</w:t>
      </w:r>
      <w:r>
        <w:rPr>
          <w:color w:val="auto"/>
        </w:rPr>
        <w:t>联系方式</w:t>
      </w:r>
    </w:p>
    <w:p w14:paraId="52F3AFF1">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b w:val="0"/>
          <w:color w:val="auto"/>
          <w:sz w:val="32"/>
          <w:szCs w:val="32"/>
        </w:rPr>
        <w:t>联系人：</w:t>
      </w:r>
      <w:r>
        <w:rPr>
          <w:rFonts w:hint="eastAsia" w:cs="仿宋_GB2312"/>
          <w:b w:val="0"/>
          <w:color w:val="auto"/>
          <w:sz w:val="32"/>
          <w:szCs w:val="32"/>
          <w:lang w:val="en-US" w:eastAsia="zh-CN"/>
        </w:rPr>
        <w:t>崔书铭</w:t>
      </w:r>
      <w:r>
        <w:rPr>
          <w:rFonts w:ascii="Times New Roman" w:hAnsi="Times New Roman" w:eastAsia="仿宋_GB2312" w:cs="仿宋_GB2312"/>
          <w:b w:val="0"/>
          <w:color w:val="auto"/>
          <w:sz w:val="32"/>
          <w:szCs w:val="32"/>
        </w:rPr>
        <w:t>；</w:t>
      </w:r>
    </w:p>
    <w:p w14:paraId="6DE158D6">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b w:val="0"/>
          <w:color w:val="auto"/>
          <w:sz w:val="32"/>
          <w:szCs w:val="32"/>
        </w:rPr>
        <w:t>联系电话：</w:t>
      </w:r>
      <w:r>
        <w:rPr>
          <w:rFonts w:hint="eastAsia" w:ascii="Times New Roman" w:hAnsi="Times New Roman" w:eastAsia="仿宋_GB2312" w:cs="仿宋_GB2312"/>
          <w:b w:val="0"/>
          <w:color w:val="auto"/>
          <w:sz w:val="32"/>
          <w:szCs w:val="32"/>
        </w:rPr>
        <w:t>13631558056</w:t>
      </w:r>
      <w:r>
        <w:rPr>
          <w:rFonts w:ascii="Times New Roman" w:hAnsi="Times New Roman" w:eastAsia="仿宋_GB2312" w:cs="仿宋_GB2312"/>
          <w:b w:val="0"/>
          <w:color w:val="auto"/>
          <w:sz w:val="32"/>
          <w:szCs w:val="32"/>
        </w:rPr>
        <w:t>；</w:t>
      </w:r>
    </w:p>
    <w:p w14:paraId="43675131">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b w:val="0"/>
          <w:color w:val="auto"/>
          <w:sz w:val="32"/>
          <w:szCs w:val="32"/>
        </w:rPr>
        <w:t>联系地址：深圳市福田区梅中路1号华利广场1栋8楼。</w:t>
      </w:r>
    </w:p>
    <w:p w14:paraId="0F4B6AAD">
      <w:pPr>
        <w:pStyle w:val="3"/>
        <w:widowControl/>
        <w:numPr>
          <w:ilvl w:val="0"/>
          <w:numId w:val="0"/>
        </w:numPr>
        <w:kinsoku/>
        <w:topLinePunct w:val="0"/>
        <w:autoSpaceDN/>
        <w:bidi w:val="0"/>
        <w:spacing w:line="560" w:lineRule="exact"/>
        <w:ind w:left="0" w:leftChars="0" w:firstLine="640"/>
        <w:rPr>
          <w:b w:val="0"/>
          <w:color w:val="auto"/>
        </w:rPr>
      </w:pPr>
      <w:r>
        <w:rPr>
          <w:rFonts w:hint="eastAsia"/>
          <w:color w:val="auto"/>
          <w:lang w:eastAsia="zh-CN"/>
        </w:rPr>
        <w:t>四、</w:t>
      </w:r>
      <w:r>
        <w:rPr>
          <w:color w:val="auto"/>
        </w:rPr>
        <w:t>采购方式</w:t>
      </w:r>
    </w:p>
    <w:p w14:paraId="3BECEEB8">
      <w:pPr>
        <w:pStyle w:val="19"/>
        <w:widowControl/>
        <w:kinsoku/>
        <w:autoSpaceDN/>
        <w:bidi w:val="0"/>
        <w:spacing w:line="560" w:lineRule="exact"/>
        <w:rPr>
          <w:rFonts w:ascii="Times New Roman" w:hAnsi="Times New Roman" w:eastAsia="仿宋_GB2312" w:cs="仿宋_GB2312"/>
          <w:b w:val="0"/>
          <w:color w:val="auto"/>
          <w:sz w:val="32"/>
          <w:szCs w:val="32"/>
        </w:rPr>
      </w:pPr>
      <w:r>
        <w:rPr>
          <w:rFonts w:ascii="Times New Roman" w:hAnsi="Times New Roman" w:eastAsia="仿宋_GB2312" w:cs="仿宋_GB2312"/>
          <w:b w:val="0"/>
          <w:color w:val="auto"/>
          <w:sz w:val="32"/>
          <w:szCs w:val="32"/>
        </w:rPr>
        <w:t>本次采购由公司通过深圳阳光采购平台发布采购公告及询价文件，以公开询价方式组织实施，按照综合评分法进行评审，择优确定1家成交供应商。</w:t>
      </w:r>
    </w:p>
    <w:p w14:paraId="1AB1AF60">
      <w:pPr>
        <w:pStyle w:val="3"/>
        <w:widowControl/>
        <w:numPr>
          <w:ilvl w:val="0"/>
          <w:numId w:val="0"/>
        </w:numPr>
        <w:kinsoku/>
        <w:topLinePunct w:val="0"/>
        <w:autoSpaceDN/>
        <w:bidi w:val="0"/>
        <w:spacing w:line="560" w:lineRule="exact"/>
        <w:ind w:left="0" w:leftChars="0" w:firstLine="640"/>
        <w:rPr>
          <w:b w:val="0"/>
          <w:color w:val="auto"/>
        </w:rPr>
      </w:pPr>
      <w:r>
        <w:rPr>
          <w:rFonts w:hint="eastAsia"/>
          <w:color w:val="auto"/>
          <w:lang w:eastAsia="zh-CN"/>
        </w:rPr>
        <w:t>五、</w:t>
      </w:r>
      <w:r>
        <w:rPr>
          <w:color w:val="auto"/>
        </w:rPr>
        <w:t>采购预算及主要内容</w:t>
      </w:r>
    </w:p>
    <w:p w14:paraId="20684368">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b w:val="0"/>
          <w:color w:val="auto"/>
          <w:sz w:val="32"/>
          <w:szCs w:val="32"/>
        </w:rPr>
        <w:t>本项目采购控制价为人民币108,000元（含税），具体费用根据实际发生服务情况确定。</w:t>
      </w:r>
    </w:p>
    <w:p w14:paraId="05C41AA0">
      <w:pPr>
        <w:pStyle w:val="3"/>
        <w:widowControl/>
        <w:numPr>
          <w:ilvl w:val="0"/>
          <w:numId w:val="0"/>
        </w:numPr>
        <w:kinsoku/>
        <w:topLinePunct w:val="0"/>
        <w:autoSpaceDN/>
        <w:bidi w:val="0"/>
        <w:spacing w:line="560" w:lineRule="exact"/>
        <w:ind w:left="0" w:leftChars="0" w:firstLine="640"/>
        <w:rPr>
          <w:b w:val="0"/>
          <w:color w:val="auto"/>
        </w:rPr>
      </w:pPr>
      <w:r>
        <w:rPr>
          <w:rFonts w:hint="eastAsia"/>
          <w:color w:val="auto"/>
          <w:lang w:eastAsia="zh-CN"/>
        </w:rPr>
        <w:t>六、</w:t>
      </w:r>
      <w:r>
        <w:rPr>
          <w:color w:val="auto"/>
        </w:rPr>
        <w:t>供应商资格要求</w:t>
      </w:r>
    </w:p>
    <w:p w14:paraId="455A4459">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（一）</w:t>
      </w:r>
      <w:r>
        <w:rPr>
          <w:rFonts w:hint="eastAsia" w:ascii="Times New Roman" w:hAnsi="Times New Roman" w:eastAsia="仿宋_GB2312" w:cs="仿宋_GB2312"/>
          <w:b w:val="0"/>
          <w:color w:val="auto"/>
          <w:sz w:val="32"/>
          <w:szCs w:val="32"/>
          <w:lang w:eastAsia="zh-CN"/>
        </w:rPr>
        <w:t xml:space="preserve"> 供应商应为在中华人民共和国境内依法设立、具有独立承担民事责任能力的法人或其他组织，并具有有效的专利代理机构执业许可证。</w:t>
      </w:r>
    </w:p>
    <w:p w14:paraId="456DA34D">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（二）</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供应商须具有有效的专利代理机构执业许可证，并能够在全国专利代理信息公示平台查询到正常执业信息。</w:t>
      </w:r>
    </w:p>
    <w:p w14:paraId="5D8ACC6A">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（三）</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供应商参加本项目采购活动前三年内，在经营活动中没有重大违法记录，不存在依法被禁止参加采购活动且处于有效期内的情形。</w:t>
      </w:r>
    </w:p>
    <w:p w14:paraId="0E94C650">
      <w:pPr>
        <w:pStyle w:val="19"/>
        <w:widowControl/>
        <w:numPr>
          <w:ilvl w:val="0"/>
          <w:numId w:val="0"/>
        </w:numPr>
        <w:kinsoku/>
        <w:autoSpaceDN/>
        <w:bidi w:val="0"/>
        <w:spacing w:line="560" w:lineRule="exact"/>
        <w:ind w:left="0" w:leftChars="0" w:firstLine="616"/>
        <w:jc w:val="both"/>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（四）</w:t>
      </w:r>
      <w:r>
        <w:rPr>
          <w:rFonts w:hint="eastAsia" w:ascii="仿宋" w:hAnsi="仿宋" w:eastAsia="仿宋" w:cs="仿宋"/>
          <w:b w:val="0"/>
          <w:color w:val="auto"/>
          <w:spacing w:val="-6"/>
          <w:sz w:val="32"/>
          <w:szCs w:val="32"/>
          <w:lang w:eastAsia="zh-CN"/>
        </w:rPr>
        <w:t xml:space="preserve"> </w:t>
      </w:r>
      <w:r>
        <w:rPr>
          <w:rFonts w:hint="eastAsia" w:ascii="Times New Roman" w:hAnsi="Times New Roman" w:eastAsia="仿宋_GB2312" w:cs="仿宋_GB2312"/>
          <w:b w:val="0"/>
          <w:color w:val="auto"/>
          <w:sz w:val="32"/>
          <w:szCs w:val="32"/>
          <w:lang w:eastAsia="zh-CN"/>
        </w:rPr>
        <w:t>供应商须具有良好的信用记录，未被“信用中国”网站、中国政府采购网、深圳市政府采购监管网列入失信被执行人、重大税收违法失信主体、政府采购严重违法失信行为记录</w:t>
      </w:r>
      <w:r>
        <w:rPr>
          <w:rFonts w:hint="eastAsia" w:ascii="Times New Roman" w:hAnsi="Times New Roman" w:eastAsia="仿宋_GB2312" w:cs="仿宋_GB2312"/>
          <w:b w:val="0"/>
          <w:color w:val="auto"/>
          <w:spacing wpsCustomData:val="-6" w:val="1"/>
          <w:sz w:val="32"/>
          <w:szCs w:val="32"/>
          <w:lang w:eastAsia="zh-CN"/>
        </w:rPr>
        <w:t>名单，且不存在法律法规规定的其他不符合响应资格条件</w:t>
      </w:r>
      <w:r>
        <w:rPr>
          <w:rFonts w:hint="eastAsia" w:ascii="Times New Roman" w:hAnsi="Times New Roman" w:eastAsia="仿宋_GB2312" w:cs="仿宋_GB2312"/>
          <w:b w:val="0"/>
          <w:color w:val="auto"/>
          <w:spacing wpsCustomData:val="-6" w:val="-6"/>
          <w:sz w:val="32"/>
          <w:szCs w:val="32"/>
          <w:lang w:eastAsia="zh-CN"/>
        </w:rPr>
        <w:t>的</w:t>
      </w:r>
      <w:r>
        <w:rPr>
          <w:rFonts w:hint="eastAsia" w:ascii="Times New Roman" w:hAnsi="Times New Roman" w:eastAsia="仿宋_GB2312" w:cs="仿宋_GB2312"/>
          <w:b w:val="0"/>
          <w:color w:val="auto"/>
          <w:sz w:val="32"/>
          <w:szCs w:val="32"/>
          <w:lang w:eastAsia="zh-CN"/>
        </w:rPr>
        <w:t>情形。</w:t>
      </w:r>
    </w:p>
    <w:p w14:paraId="3FE8AF51">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（五）</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单位负责人为同一人或者存在直接控股、管理关系的不同供应商，不得同时参加本项目采购活动。</w:t>
      </w:r>
    </w:p>
    <w:p w14:paraId="144EF55D">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（六）</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本项目不接受联合体响应。</w:t>
      </w:r>
    </w:p>
    <w:p w14:paraId="417F1BAB">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（七）</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成交后不得转包、违法分包或未经公司书面同意转委托。</w:t>
      </w:r>
    </w:p>
    <w:p w14:paraId="5D66E160">
      <w:pPr>
        <w:pStyle w:val="3"/>
        <w:widowControl/>
        <w:numPr>
          <w:ilvl w:val="0"/>
          <w:numId w:val="0"/>
        </w:numPr>
        <w:kinsoku/>
        <w:topLinePunct w:val="0"/>
        <w:autoSpaceDN/>
        <w:bidi w:val="0"/>
        <w:spacing w:line="560" w:lineRule="exact"/>
        <w:ind w:left="0" w:leftChars="0" w:firstLine="640"/>
        <w:rPr>
          <w:b w:val="0"/>
          <w:color w:val="auto"/>
        </w:rPr>
      </w:pPr>
      <w:r>
        <w:rPr>
          <w:rFonts w:hint="eastAsia"/>
          <w:color w:val="auto"/>
          <w:lang w:eastAsia="zh-CN"/>
        </w:rPr>
        <w:t>七、</w:t>
      </w:r>
      <w:r>
        <w:rPr>
          <w:color w:val="auto"/>
        </w:rPr>
        <w:t>供应商报价要求</w:t>
      </w:r>
    </w:p>
    <w:p w14:paraId="63221D54">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b w:val="0"/>
          <w:color w:val="auto"/>
          <w:sz w:val="32"/>
          <w:szCs w:val="32"/>
        </w:rPr>
        <w:t>供应商应按照本询价函附件2《报价表》填报各项知识产权代理服务含税单价及评审报价。</w:t>
      </w:r>
    </w:p>
    <w:p w14:paraId="28E3607E">
      <w:pPr>
        <w:pStyle w:val="3"/>
        <w:widowControl/>
        <w:numPr>
          <w:ilvl w:val="0"/>
          <w:numId w:val="0"/>
        </w:numPr>
        <w:kinsoku/>
        <w:topLinePunct w:val="0"/>
        <w:autoSpaceDN/>
        <w:bidi w:val="0"/>
        <w:spacing w:line="560" w:lineRule="exact"/>
        <w:ind w:left="0" w:leftChars="0" w:firstLine="640"/>
        <w:rPr>
          <w:b w:val="0"/>
          <w:color w:val="auto"/>
        </w:rPr>
      </w:pPr>
      <w:r>
        <w:rPr>
          <w:rFonts w:hint="eastAsia"/>
          <w:color w:val="auto"/>
          <w:lang w:eastAsia="zh-CN"/>
        </w:rPr>
        <w:t>八、</w:t>
      </w:r>
      <w:r>
        <w:rPr>
          <w:color w:val="auto"/>
        </w:rPr>
        <w:t>供应商服务要求</w:t>
      </w:r>
    </w:p>
    <w:p w14:paraId="65264008">
      <w:pPr>
        <w:pStyle w:val="4"/>
        <w:widowControl/>
        <w:numPr>
          <w:ilvl w:val="0"/>
          <w:numId w:val="0"/>
        </w:numPr>
        <w:kinsoku/>
        <w:topLinePunct w:val="0"/>
        <w:autoSpaceDN/>
        <w:bidi w:val="0"/>
        <w:spacing w:line="560" w:lineRule="exact"/>
        <w:ind w:left="0" w:leftChars="0" w:firstLine="640"/>
        <w:rPr>
          <w:rFonts w:hint="eastAsia" w:ascii="楷体_GB2312" w:hAnsi="楷体_GB2312" w:eastAsia="楷体_GB2312" w:cs="楷体_GB2312"/>
          <w:b w:val="0"/>
          <w:color w:val="auto"/>
        </w:rPr>
      </w:pPr>
      <w:r>
        <w:rPr>
          <w:rFonts w:hint="eastAsia"/>
          <w:color w:val="auto"/>
          <w:lang w:eastAsia="zh-CN"/>
        </w:rPr>
        <w:t>（一）</w:t>
      </w:r>
      <w:r>
        <w:rPr>
          <w:color w:val="auto"/>
        </w:rPr>
        <w:t>服务期限</w:t>
      </w:r>
    </w:p>
    <w:p w14:paraId="4FDB6B15">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b w:val="0"/>
          <w:color w:val="auto"/>
          <w:sz w:val="32"/>
          <w:szCs w:val="32"/>
        </w:rPr>
        <w:t>服务期限自合同生效之日起</w:t>
      </w:r>
      <w:r>
        <w:rPr>
          <w:rFonts w:hint="eastAsia" w:cs="仿宋_GB2312"/>
          <w:b w:val="0"/>
          <w:color w:val="auto"/>
          <w:sz w:val="32"/>
          <w:szCs w:val="32"/>
          <w:lang w:val="en-US" w:eastAsia="zh-CN"/>
        </w:rPr>
        <w:t>24</w:t>
      </w:r>
      <w:r>
        <w:rPr>
          <w:rFonts w:ascii="Times New Roman" w:hAnsi="Times New Roman" w:eastAsia="仿宋_GB2312" w:cs="仿宋_GB2312"/>
          <w:b w:val="0"/>
          <w:color w:val="auto"/>
          <w:sz w:val="32"/>
          <w:szCs w:val="32"/>
        </w:rPr>
        <w:t>个月。服务期限内已经公司书面委托但尚未办结的案件，成交供应商应按照合同约定继续完成相应代理工作，不得因服务期限届满擅自中止服务。</w:t>
      </w:r>
    </w:p>
    <w:p w14:paraId="6C56A14C">
      <w:pPr>
        <w:pStyle w:val="4"/>
        <w:widowControl/>
        <w:numPr>
          <w:ilvl w:val="0"/>
          <w:numId w:val="0"/>
        </w:numPr>
        <w:kinsoku/>
        <w:topLinePunct w:val="0"/>
        <w:autoSpaceDN/>
        <w:bidi w:val="0"/>
        <w:spacing w:line="560" w:lineRule="exact"/>
        <w:ind w:left="0" w:leftChars="0" w:firstLine="640"/>
        <w:rPr>
          <w:rFonts w:hint="eastAsia" w:ascii="楷体_GB2312" w:hAnsi="楷体_GB2312" w:eastAsia="楷体_GB2312" w:cs="楷体_GB2312"/>
          <w:b w:val="0"/>
          <w:color w:val="auto"/>
        </w:rPr>
      </w:pPr>
      <w:r>
        <w:rPr>
          <w:rFonts w:hint="eastAsia"/>
          <w:color w:val="auto"/>
          <w:lang w:eastAsia="zh-CN"/>
        </w:rPr>
        <w:t>（二）</w:t>
      </w:r>
      <w:r>
        <w:rPr>
          <w:color w:val="auto"/>
        </w:rPr>
        <w:t>服务地点</w:t>
      </w:r>
    </w:p>
    <w:p w14:paraId="65E1D0B2">
      <w:pPr>
        <w:pStyle w:val="19"/>
        <w:keepNext w:val="0"/>
        <w:keepLines w:val="0"/>
        <w:pageBreakBefore w:val="0"/>
        <w:widowControl/>
        <w:kinsoku/>
        <w:wordWrap/>
        <w:overflowPunct/>
        <w:topLinePunct w:val="0"/>
        <w:autoSpaceDE/>
        <w:autoSpaceDN/>
        <w:bidi w:val="0"/>
        <w:adjustRightInd/>
        <w:snapToGrid/>
        <w:spacing w:line="560" w:lineRule="exact"/>
        <w:ind w:firstLine="616" w:firstLineChars="200"/>
        <w:textAlignment w:val="auto"/>
        <w:rPr>
          <w:rFonts w:hint="eastAsia" w:cs="仿宋_GB2312"/>
          <w:b w:val="0"/>
          <w:color w:val="auto"/>
          <w:sz w:val="32"/>
          <w:szCs w:val="32"/>
          <w:lang w:val="en-US" w:eastAsia="zh-CN"/>
        </w:rPr>
      </w:pPr>
      <w:r>
        <w:rPr>
          <w:rFonts w:ascii="Times New Roman" w:hAnsi="Times New Roman" w:eastAsia="仿宋_GB2312" w:cs="仿宋_GB2312"/>
          <w:b w:val="0"/>
          <w:color w:val="auto"/>
          <w:sz w:val="32"/>
          <w:szCs w:val="32"/>
        </w:rPr>
        <w:t>主要服务地点为深圳市</w:t>
      </w:r>
      <w:r>
        <w:rPr>
          <w:rFonts w:hint="eastAsia" w:cs="仿宋_GB2312"/>
          <w:b w:val="0"/>
          <w:color w:val="auto"/>
          <w:sz w:val="32"/>
          <w:szCs w:val="32"/>
          <w:lang w:eastAsia="zh-CN"/>
        </w:rPr>
        <w:t>，</w:t>
      </w:r>
      <w:r>
        <w:rPr>
          <w:rFonts w:ascii="Times New Roman" w:hAnsi="Times New Roman" w:eastAsia="仿宋_GB2312" w:cs="仿宋_GB2312"/>
          <w:b w:val="0"/>
          <w:color w:val="auto"/>
          <w:sz w:val="32"/>
          <w:szCs w:val="32"/>
        </w:rPr>
        <w:t>云南（昆明、弥勒）</w:t>
      </w:r>
      <w:r>
        <w:rPr>
          <w:rFonts w:hint="eastAsia" w:cs="仿宋_GB2312"/>
          <w:b w:val="0"/>
          <w:color w:val="auto"/>
          <w:sz w:val="32"/>
          <w:szCs w:val="32"/>
          <w:lang w:eastAsia="zh-CN"/>
        </w:rPr>
        <w:t>，</w:t>
      </w:r>
      <w:r>
        <w:rPr>
          <w:rFonts w:ascii="Times New Roman" w:hAnsi="Times New Roman" w:eastAsia="仿宋_GB2312" w:cs="仿宋_GB2312"/>
          <w:b w:val="0"/>
          <w:color w:val="auto"/>
          <w:sz w:val="32"/>
          <w:szCs w:val="32"/>
        </w:rPr>
        <w:t>新疆</w:t>
      </w:r>
      <w:r>
        <w:rPr>
          <w:rFonts w:hint="eastAsia" w:cs="仿宋_GB2312"/>
          <w:b w:val="0"/>
          <w:color w:val="auto"/>
          <w:sz w:val="32"/>
          <w:szCs w:val="32"/>
          <w:lang w:eastAsia="zh-CN"/>
        </w:rPr>
        <w:t>，</w:t>
      </w:r>
      <w:r>
        <w:rPr>
          <w:rFonts w:ascii="Times New Roman" w:hAnsi="Times New Roman" w:eastAsia="仿宋_GB2312" w:cs="仿宋_GB2312"/>
          <w:b w:val="0"/>
          <w:color w:val="auto"/>
          <w:sz w:val="32"/>
          <w:szCs w:val="32"/>
        </w:rPr>
        <w:t>湖南等地。成交供应商应根据公司项目实际情况计需求，通过现场或远程方式开展技术沟通、成果挖掘及知识产权代理服务</w:t>
      </w:r>
      <w:r>
        <w:rPr>
          <w:rFonts w:hint="eastAsia" w:cs="仿宋_GB2312"/>
          <w:b w:val="0"/>
          <w:color w:val="auto"/>
          <w:sz w:val="32"/>
          <w:szCs w:val="32"/>
          <w:lang w:eastAsia="zh-CN"/>
        </w:rPr>
        <w:t>。</w:t>
      </w:r>
      <w:r>
        <w:rPr>
          <w:rFonts w:hint="eastAsia" w:cs="仿宋_GB2312"/>
          <w:b w:val="0"/>
          <w:color w:val="auto"/>
          <w:sz w:val="32"/>
          <w:szCs w:val="32"/>
          <w:lang w:val="en-US" w:eastAsia="zh-CN"/>
        </w:rPr>
        <w:t>交通、差旅、食宿、通讯费用均含在报价单价内，采购人不另行支付。</w:t>
      </w:r>
    </w:p>
    <w:p w14:paraId="2754507F">
      <w:pPr>
        <w:pStyle w:val="4"/>
        <w:widowControl/>
        <w:numPr>
          <w:ilvl w:val="0"/>
          <w:numId w:val="0"/>
        </w:numPr>
        <w:kinsoku/>
        <w:topLinePunct w:val="0"/>
        <w:autoSpaceDN/>
        <w:bidi w:val="0"/>
        <w:spacing w:line="560" w:lineRule="exact"/>
        <w:ind w:left="0" w:leftChars="0" w:firstLine="640"/>
        <w:rPr>
          <w:rFonts w:hint="eastAsia"/>
          <w:color w:val="auto"/>
        </w:rPr>
      </w:pPr>
      <w:r>
        <w:rPr>
          <w:rFonts w:hint="eastAsia"/>
          <w:color w:val="auto"/>
          <w:lang w:eastAsia="zh-CN"/>
        </w:rPr>
        <w:t>（三）</w:t>
      </w:r>
      <w:r>
        <w:rPr>
          <w:color w:val="auto"/>
        </w:rPr>
        <w:t>报价要求</w:t>
      </w:r>
    </w:p>
    <w:p w14:paraId="21F9CB42">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1.</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本项目采用一轮报价，币种为人民币。供应商应填写报价表，采购人不接受可选择的报价方案和价格；任何选择性、附条件或可调整的报价方案和价格，均视为非响应性报价。</w:t>
      </w:r>
    </w:p>
    <w:p w14:paraId="199FB0E5">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2.</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供应商应根据询价文件提供的资料自行测算报价。成交后，成交单价作为采购人与成交供应商签订合同和据实结算的依据，合同期限内原则上不作调整。</w:t>
      </w:r>
    </w:p>
    <w:p w14:paraId="364402AB">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3.</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询价工作小组认为供应商报价明显低于其他通过符合性审查供应商的报价，可能影响服务质量或者不能诚信履约的，可以要求供应商在合理时间内提供书面说明及相关证明材料。供应商不能证明其报价合理性的，询价工作小组应将其作为无效响应处理。若询价工作小组成员对是否须由供应商作出报价合理性说明，以及书面说明是否采纳等判断不一致的，按照“少数服从多数”的原则确定询价工作小组的意见。</w:t>
      </w:r>
    </w:p>
    <w:p w14:paraId="2FBA7D68">
      <w:pPr>
        <w:pStyle w:val="4"/>
        <w:widowControl/>
        <w:numPr>
          <w:ilvl w:val="0"/>
          <w:numId w:val="0"/>
        </w:numPr>
        <w:kinsoku/>
        <w:autoSpaceDN/>
        <w:bidi w:val="0"/>
        <w:ind w:firstLine="640"/>
        <w:rPr>
          <w:rFonts w:hint="eastAsia" w:ascii="Times New Roman" w:hAnsi="Times New Roman" w:eastAsia="仿宋_GB2312" w:cs="仿宋_GB2312"/>
          <w:b w:val="0"/>
          <w:color w:val="auto"/>
          <w:sz w:val="32"/>
          <w:szCs w:val="32"/>
        </w:rPr>
      </w:pPr>
      <w:r>
        <w:rPr>
          <w:rFonts w:hint="eastAsia"/>
          <w:color w:val="auto"/>
          <w:lang w:eastAsia="zh-CN"/>
        </w:rPr>
        <w:t>（四）</w:t>
      </w:r>
      <w:r>
        <w:rPr>
          <w:color w:val="auto"/>
        </w:rPr>
        <w:t>付款安排</w:t>
      </w:r>
    </w:p>
    <w:p w14:paraId="6949EBED">
      <w:pPr>
        <w:pStyle w:val="19"/>
        <w:widowControl/>
        <w:numPr>
          <w:ilvl w:val="0"/>
          <w:numId w:val="0"/>
        </w:numPr>
        <w:kinsoku/>
        <w:autoSpaceDN/>
        <w:bidi w:val="0"/>
        <w:spacing w:line="560" w:lineRule="exact"/>
        <w:ind w:left="0" w:leftChars="0" w:firstLine="616"/>
        <w:rPr>
          <w:rFonts w:hint="eastAsia" w:ascii="Times New Roman" w:hAnsi="Times New Roman" w:eastAsia="仿宋_GB2312" w:cs="仿宋_GB2312"/>
          <w:b w:val="0"/>
          <w:color w:val="auto"/>
          <w:sz w:val="32"/>
          <w:szCs w:val="32"/>
        </w:rPr>
      </w:pPr>
      <w:r>
        <w:rPr>
          <w:rFonts w:hint="eastAsia" w:ascii="Times New Roman" w:hAnsi="Times New Roman" w:eastAsia="仿宋_GB2312" w:cs="仿宋_GB2312"/>
          <w:b w:val="0"/>
          <w:color w:val="auto"/>
          <w:sz w:val="32"/>
          <w:szCs w:val="32"/>
        </w:rPr>
        <w:t>1. 合同签订及启动阶段</w:t>
      </w:r>
    </w:p>
    <w:p w14:paraId="40977055">
      <w:pPr>
        <w:pStyle w:val="19"/>
        <w:widowControl/>
        <w:numPr>
          <w:ilvl w:val="0"/>
          <w:numId w:val="0"/>
        </w:numPr>
        <w:kinsoku/>
        <w:autoSpaceDN/>
        <w:bidi w:val="0"/>
        <w:spacing w:line="560" w:lineRule="exact"/>
        <w:ind w:left="0" w:leftChars="0" w:firstLine="616"/>
        <w:rPr>
          <w:rFonts w:hint="eastAsia" w:ascii="Times New Roman" w:hAnsi="Times New Roman" w:eastAsia="仿宋_GB2312" w:cs="仿宋_GB2312"/>
          <w:b w:val="0"/>
          <w:color w:val="auto"/>
          <w:sz w:val="32"/>
          <w:szCs w:val="32"/>
        </w:rPr>
      </w:pPr>
      <w:r>
        <w:rPr>
          <w:rFonts w:hint="eastAsia" w:ascii="Times New Roman" w:hAnsi="Times New Roman" w:eastAsia="仿宋_GB2312" w:cs="仿宋_GB2312"/>
          <w:b w:val="0"/>
          <w:color w:val="auto"/>
          <w:sz w:val="32"/>
          <w:szCs w:val="32"/>
        </w:rPr>
        <w:t xml:space="preserve">   本项目采用框架服务、单价成交、按实际委托据实结算方式。合同生效后，成交供应商根据采购人书面委托开展相关服务，采购人不支付固定预付款。</w:t>
      </w:r>
    </w:p>
    <w:p w14:paraId="3211F468">
      <w:pPr>
        <w:pStyle w:val="19"/>
        <w:widowControl/>
        <w:numPr>
          <w:ilvl w:val="0"/>
          <w:numId w:val="0"/>
        </w:numPr>
        <w:kinsoku/>
        <w:autoSpaceDN/>
        <w:bidi w:val="0"/>
        <w:spacing w:line="560" w:lineRule="exact"/>
        <w:ind w:left="0" w:leftChars="0" w:firstLine="616"/>
        <w:rPr>
          <w:rFonts w:hint="eastAsia" w:ascii="Times New Roman" w:hAnsi="Times New Roman" w:eastAsia="仿宋_GB2312" w:cs="仿宋_GB2312"/>
          <w:b w:val="0"/>
          <w:color w:val="auto"/>
          <w:sz w:val="32"/>
          <w:szCs w:val="32"/>
        </w:rPr>
      </w:pPr>
      <w:r>
        <w:rPr>
          <w:rFonts w:hint="eastAsia" w:ascii="Times New Roman" w:hAnsi="Times New Roman" w:eastAsia="仿宋_GB2312" w:cs="仿宋_GB2312"/>
          <w:b w:val="0"/>
          <w:color w:val="auto"/>
          <w:sz w:val="32"/>
          <w:szCs w:val="32"/>
        </w:rPr>
        <w:t>2. 合同履行期间</w:t>
      </w:r>
    </w:p>
    <w:p w14:paraId="7D42BF39">
      <w:pPr>
        <w:pStyle w:val="19"/>
        <w:widowControl/>
        <w:numPr>
          <w:ilvl w:val="0"/>
          <w:numId w:val="0"/>
        </w:numPr>
        <w:kinsoku/>
        <w:autoSpaceDN/>
        <w:bidi w:val="0"/>
        <w:spacing w:line="560" w:lineRule="exact"/>
        <w:ind w:left="0" w:leftChars="0" w:firstLine="616"/>
        <w:rPr>
          <w:rFonts w:hint="eastAsia" w:ascii="Times New Roman" w:hAnsi="Times New Roman" w:eastAsia="仿宋_GB2312" w:cs="仿宋_GB2312"/>
          <w:b w:val="0"/>
          <w:color w:val="auto"/>
          <w:sz w:val="32"/>
          <w:szCs w:val="32"/>
        </w:rPr>
      </w:pPr>
      <w:r>
        <w:rPr>
          <w:rFonts w:hint="eastAsia" w:ascii="Times New Roman" w:hAnsi="Times New Roman" w:eastAsia="仿宋_GB2312" w:cs="仿宋_GB2312"/>
          <w:b w:val="0"/>
          <w:color w:val="auto"/>
          <w:sz w:val="32"/>
          <w:szCs w:val="32"/>
        </w:rPr>
        <w:t xml:space="preserve">   本项目原则上按季度进行结算。每季度结束后，成交供应商应向采购人提交当期服务清单、案件台账、服务成果或阶段性成果、费用明细以及采购人要求的其他验收材料，经采购人核验确认后，按照成交单价及实际完成的服务事项计算当期应付代理服务费。其中：</w:t>
      </w:r>
    </w:p>
    <w:p w14:paraId="73DC1E6C">
      <w:pPr>
        <w:pStyle w:val="19"/>
        <w:widowControl/>
        <w:kinsoku/>
        <w:autoSpaceDN/>
        <w:bidi w:val="0"/>
        <w:spacing w:line="560" w:lineRule="exact"/>
        <w:ind w:firstLine="616"/>
        <w:rPr>
          <w:rFonts w:hint="eastAsia" w:ascii="Times New Roman" w:hAnsi="Times New Roman" w:eastAsia="仿宋_GB2312" w:cs="仿宋_GB2312"/>
          <w:b w:val="0"/>
          <w:color w:val="auto"/>
          <w:sz w:val="32"/>
          <w:szCs w:val="32"/>
        </w:rPr>
      </w:pPr>
      <w:r>
        <w:rPr>
          <w:rFonts w:hint="eastAsia" w:ascii="Times New Roman" w:hAnsi="Times New Roman" w:eastAsia="仿宋_GB2312" w:cs="仿宋_GB2312"/>
          <w:b w:val="0"/>
          <w:color w:val="auto"/>
          <w:sz w:val="32"/>
          <w:szCs w:val="32"/>
        </w:rPr>
        <w:t>（1）对于可在当期完成的知识产权代理服务，在相应服务完成并经采购人确认后，按照成交单价全额计入当期结算；</w:t>
      </w:r>
    </w:p>
    <w:p w14:paraId="2E6A75F9">
      <w:pPr>
        <w:pStyle w:val="19"/>
        <w:widowControl/>
        <w:kinsoku/>
        <w:autoSpaceDN/>
        <w:bidi w:val="0"/>
        <w:spacing w:line="560" w:lineRule="exact"/>
        <w:ind w:firstLine="616"/>
        <w:rPr>
          <w:rFonts w:hint="eastAsia" w:ascii="Times New Roman" w:hAnsi="Times New Roman" w:eastAsia="仿宋_GB2312" w:cs="仿宋_GB2312"/>
          <w:b w:val="0"/>
          <w:color w:val="auto"/>
          <w:sz w:val="32"/>
          <w:szCs w:val="32"/>
        </w:rPr>
      </w:pPr>
      <w:r>
        <w:rPr>
          <w:rFonts w:hint="eastAsia" w:ascii="Times New Roman" w:hAnsi="Times New Roman" w:eastAsia="仿宋_GB2312" w:cs="仿宋_GB2312"/>
          <w:b w:val="0"/>
          <w:color w:val="auto"/>
          <w:sz w:val="32"/>
          <w:szCs w:val="32"/>
        </w:rPr>
        <w:t>（2）对于发明专利、实用新型专利等办理周期较长且采用全流程包干代理服务单价的事项，可根据实际办理进度分阶段结算：申请文件正式提交并取得受理通知书后支付该项代理服务费的</w:t>
      </w:r>
      <w:r>
        <w:rPr>
          <w:rFonts w:hint="eastAsia" w:cs="仿宋_GB2312"/>
          <w:b w:val="0"/>
          <w:color w:val="auto"/>
          <w:sz w:val="32"/>
          <w:szCs w:val="32"/>
          <w:lang w:val="en-US" w:eastAsia="zh-CN"/>
        </w:rPr>
        <w:t>6</w:t>
      </w:r>
      <w:r>
        <w:rPr>
          <w:rFonts w:hint="eastAsia" w:ascii="Times New Roman" w:hAnsi="Times New Roman" w:eastAsia="仿宋_GB2312" w:cs="仿宋_GB2312"/>
          <w:b w:val="0"/>
          <w:color w:val="auto"/>
          <w:sz w:val="32"/>
          <w:szCs w:val="32"/>
        </w:rPr>
        <w:t>0%；完成正常审查程序中的主要代理工作后支付剩余</w:t>
      </w:r>
      <w:r>
        <w:rPr>
          <w:rFonts w:hint="eastAsia" w:cs="仿宋_GB2312"/>
          <w:b w:val="0"/>
          <w:color w:val="auto"/>
          <w:sz w:val="32"/>
          <w:szCs w:val="32"/>
          <w:lang w:val="en-US" w:eastAsia="zh-CN"/>
        </w:rPr>
        <w:t>4</w:t>
      </w:r>
      <w:r>
        <w:rPr>
          <w:rFonts w:hint="eastAsia" w:ascii="Times New Roman" w:hAnsi="Times New Roman" w:eastAsia="仿宋_GB2312" w:cs="仿宋_GB2312"/>
          <w:b w:val="0"/>
          <w:color w:val="auto"/>
          <w:sz w:val="32"/>
          <w:szCs w:val="32"/>
        </w:rPr>
        <w:t>0%。成交供应商取得阶段性付款后，仍应继续履行全流程包干范围内的后续服务义务，不得另行收取代理服务费；</w:t>
      </w:r>
    </w:p>
    <w:p w14:paraId="0A4520CC">
      <w:pPr>
        <w:pStyle w:val="19"/>
        <w:widowControl/>
        <w:kinsoku/>
        <w:autoSpaceDN/>
        <w:bidi w:val="0"/>
        <w:spacing w:line="560" w:lineRule="exact"/>
        <w:ind w:firstLine="616"/>
        <w:rPr>
          <w:rFonts w:hint="eastAsia" w:ascii="Times New Roman" w:hAnsi="Times New Roman" w:eastAsia="仿宋_GB2312" w:cs="仿宋_GB2312"/>
          <w:b w:val="0"/>
          <w:color w:val="auto"/>
          <w:sz w:val="32"/>
          <w:szCs w:val="32"/>
        </w:rPr>
      </w:pPr>
      <w:r>
        <w:rPr>
          <w:rFonts w:hint="eastAsia" w:ascii="Times New Roman" w:hAnsi="Times New Roman" w:eastAsia="仿宋_GB2312" w:cs="仿宋_GB2312"/>
          <w:b w:val="0"/>
          <w:color w:val="auto"/>
          <w:sz w:val="32"/>
          <w:szCs w:val="32"/>
        </w:rPr>
        <w:t>（3）法定官方费用不计入代理服务费，由成交供应商根据采购人书面确认代为缴纳的，凭官方收费凭证或其他可核验缴费凭证按实际发生金额据实结算。</w:t>
      </w:r>
    </w:p>
    <w:p w14:paraId="0BD829E1">
      <w:pPr>
        <w:pStyle w:val="19"/>
        <w:widowControl/>
        <w:kinsoku/>
        <w:autoSpaceDN/>
        <w:bidi w:val="0"/>
        <w:spacing w:line="560" w:lineRule="exact"/>
        <w:ind w:firstLine="616"/>
        <w:rPr>
          <w:rFonts w:hint="eastAsia" w:ascii="Times New Roman" w:hAnsi="Times New Roman" w:eastAsia="仿宋_GB2312" w:cs="仿宋_GB2312"/>
          <w:b w:val="0"/>
          <w:color w:val="auto"/>
          <w:sz w:val="32"/>
          <w:szCs w:val="32"/>
        </w:rPr>
      </w:pPr>
      <w:r>
        <w:rPr>
          <w:rFonts w:hint="eastAsia" w:ascii="Times New Roman" w:hAnsi="Times New Roman" w:eastAsia="仿宋_GB2312" w:cs="仿宋_GB2312"/>
          <w:b w:val="0"/>
          <w:color w:val="auto"/>
          <w:sz w:val="32"/>
          <w:szCs w:val="32"/>
        </w:rPr>
        <w:t>3. 合同期满结算</w:t>
      </w:r>
    </w:p>
    <w:p w14:paraId="04C34DE3">
      <w:pPr>
        <w:pStyle w:val="19"/>
        <w:widowControl/>
        <w:kinsoku/>
        <w:autoSpaceDN/>
        <w:bidi w:val="0"/>
        <w:spacing w:line="560" w:lineRule="exact"/>
        <w:ind w:firstLine="616"/>
        <w:rPr>
          <w:rFonts w:hint="eastAsia" w:ascii="Times New Roman" w:hAnsi="Times New Roman" w:eastAsia="仿宋_GB2312" w:cs="仿宋_GB2312"/>
          <w:b w:val="0"/>
          <w:color w:val="auto"/>
          <w:sz w:val="32"/>
          <w:szCs w:val="32"/>
        </w:rPr>
      </w:pPr>
      <w:r>
        <w:rPr>
          <w:rFonts w:hint="eastAsia" w:ascii="Times New Roman" w:hAnsi="Times New Roman" w:eastAsia="仿宋_GB2312" w:cs="仿宋_GB2312"/>
          <w:b w:val="0"/>
          <w:color w:val="auto"/>
          <w:sz w:val="32"/>
          <w:szCs w:val="32"/>
        </w:rPr>
        <w:t>合同服务期满后，双方对服务期内全部书面委托事项、实际完成情况、已支付金额及尚未结算金额进行统一核对。对已完成并验收合格的服务事项，采购人按照合同约定办理最终结算。</w:t>
      </w:r>
    </w:p>
    <w:p w14:paraId="1ECD2C6C">
      <w:pPr>
        <w:pStyle w:val="19"/>
        <w:widowControl/>
        <w:kinsoku/>
        <w:autoSpaceDN/>
        <w:bidi w:val="0"/>
        <w:spacing w:line="560" w:lineRule="exact"/>
        <w:ind w:firstLine="616"/>
        <w:rPr>
          <w:rFonts w:hint="eastAsia" w:ascii="Times New Roman" w:hAnsi="Times New Roman" w:eastAsia="仿宋_GB2312" w:cs="仿宋_GB2312"/>
          <w:b w:val="0"/>
          <w:color w:val="auto"/>
          <w:sz w:val="32"/>
          <w:szCs w:val="32"/>
        </w:rPr>
      </w:pPr>
      <w:r>
        <w:rPr>
          <w:rFonts w:hint="eastAsia" w:ascii="Times New Roman" w:hAnsi="Times New Roman" w:eastAsia="仿宋_GB2312" w:cs="仿宋_GB2312"/>
          <w:b w:val="0"/>
          <w:color w:val="auto"/>
          <w:sz w:val="32"/>
          <w:szCs w:val="32"/>
        </w:rPr>
        <w:t>对合同服务期限内已书面委托但尚未办结的知识产权案件，成交供应商应继续按照合同约定履行后续代理服务义务；尚未达到相应付款条件的剩余代理服务费，在达到约定付款条件并经采购人确认后支付。</w:t>
      </w:r>
    </w:p>
    <w:p w14:paraId="2C2CF983">
      <w:pPr>
        <w:pStyle w:val="19"/>
        <w:widowControl/>
        <w:kinsoku/>
        <w:autoSpaceDN/>
        <w:bidi w:val="0"/>
        <w:spacing w:line="560" w:lineRule="exact"/>
        <w:rPr>
          <w:rFonts w:hint="eastAsia" w:ascii="Times New Roman" w:hAnsi="Times New Roman" w:eastAsia="仿宋_GB2312" w:cs="仿宋_GB2312"/>
          <w:b w:val="0"/>
          <w:color w:val="auto"/>
          <w:sz w:val="32"/>
          <w:szCs w:val="32"/>
        </w:rPr>
      </w:pPr>
      <w:r>
        <w:rPr>
          <w:rFonts w:hint="eastAsia" w:ascii="Times New Roman" w:hAnsi="Times New Roman" w:eastAsia="仿宋_GB2312" w:cs="仿宋_GB2312"/>
          <w:b w:val="0"/>
          <w:color w:val="auto"/>
          <w:sz w:val="32"/>
          <w:szCs w:val="32"/>
        </w:rPr>
        <w:t xml:space="preserve">4. 付款资料及支付要求   </w:t>
      </w:r>
    </w:p>
    <w:p w14:paraId="4CF3A84B">
      <w:pPr>
        <w:pStyle w:val="19"/>
        <w:widowControl/>
        <w:kinsoku/>
        <w:autoSpaceDN/>
        <w:bidi w:val="0"/>
        <w:spacing w:line="560" w:lineRule="exact"/>
        <w:ind w:firstLine="616"/>
        <w:rPr>
          <w:rFonts w:hint="eastAsia" w:ascii="Times New Roman" w:hAnsi="Times New Roman" w:eastAsia="仿宋_GB2312" w:cs="仿宋_GB2312"/>
          <w:b w:val="0"/>
          <w:color w:val="auto"/>
          <w:sz w:val="32"/>
          <w:szCs w:val="32"/>
        </w:rPr>
      </w:pPr>
      <w:r>
        <w:rPr>
          <w:rFonts w:hint="eastAsia" w:ascii="Times New Roman" w:hAnsi="Times New Roman" w:eastAsia="仿宋_GB2312" w:cs="仿宋_GB2312"/>
          <w:b w:val="0"/>
          <w:color w:val="auto"/>
          <w:sz w:val="32"/>
          <w:szCs w:val="32"/>
        </w:rPr>
        <w:t>成交供应商申请付款时，应提交合法有效的增值税</w:t>
      </w:r>
      <w:r>
        <w:rPr>
          <w:rFonts w:hint="eastAsia" w:cs="仿宋_GB2312"/>
          <w:b w:val="0"/>
          <w:color w:val="auto"/>
          <w:sz w:val="32"/>
          <w:szCs w:val="32"/>
          <w:lang w:val="en-US" w:eastAsia="zh-CN"/>
        </w:rPr>
        <w:t>专用</w:t>
      </w:r>
      <w:r>
        <w:rPr>
          <w:rFonts w:hint="eastAsia" w:ascii="Times New Roman" w:hAnsi="Times New Roman" w:eastAsia="仿宋_GB2312" w:cs="仿宋_GB2312"/>
          <w:b w:val="0"/>
          <w:color w:val="auto"/>
          <w:sz w:val="32"/>
          <w:szCs w:val="32"/>
        </w:rPr>
        <w:t>发票、服务清单、案件台账、相应服务成果或阶段性成果以及涉及法定官方费用的官方收据或可核验缴费凭证。采购人审核确认无误后，按照公司内部审批程序办理付款。</w:t>
      </w:r>
    </w:p>
    <w:p w14:paraId="73B9A793">
      <w:pPr>
        <w:pStyle w:val="19"/>
        <w:widowControl/>
        <w:kinsoku/>
        <w:autoSpaceDN/>
        <w:bidi w:val="0"/>
        <w:spacing w:line="560" w:lineRule="exact"/>
        <w:rPr>
          <w:rFonts w:hint="eastAsia" w:ascii="Times New Roman" w:hAnsi="Times New Roman" w:eastAsia="仿宋_GB2312" w:cs="仿宋_GB2312"/>
          <w:b w:val="0"/>
          <w:color w:val="auto"/>
          <w:sz w:val="32"/>
          <w:szCs w:val="32"/>
        </w:rPr>
      </w:pPr>
      <w:r>
        <w:rPr>
          <w:rFonts w:hint="eastAsia" w:ascii="Times New Roman" w:hAnsi="Times New Roman" w:eastAsia="仿宋_GB2312" w:cs="仿宋_GB2312"/>
          <w:b w:val="0"/>
          <w:color w:val="auto"/>
          <w:sz w:val="32"/>
          <w:szCs w:val="32"/>
        </w:rPr>
        <w:t>服务期内代理服务费累计结算金额不得超过人民币108,000元（含税）；法定官方费用不计入上述采购控制价，按照国家规定及采购人书面确认的实际发生金额另行据实支付。</w:t>
      </w:r>
    </w:p>
    <w:p w14:paraId="2D0DE9A4">
      <w:pPr>
        <w:pStyle w:val="4"/>
        <w:widowControl/>
        <w:numPr>
          <w:ilvl w:val="0"/>
          <w:numId w:val="0"/>
        </w:numPr>
        <w:kinsoku/>
        <w:topLinePunct w:val="0"/>
        <w:autoSpaceDN/>
        <w:bidi w:val="0"/>
        <w:spacing w:line="560" w:lineRule="exact"/>
        <w:ind w:left="0" w:leftChars="0" w:firstLine="640"/>
        <w:rPr>
          <w:rFonts w:hint="eastAsia" w:ascii="楷体_GB2312" w:hAnsi="楷体_GB2312" w:eastAsia="楷体_GB2312" w:cs="楷体_GB2312"/>
          <w:b w:val="0"/>
          <w:color w:val="auto"/>
        </w:rPr>
      </w:pPr>
      <w:r>
        <w:rPr>
          <w:rFonts w:hint="eastAsia"/>
          <w:color w:val="auto"/>
          <w:lang w:eastAsia="zh-CN"/>
        </w:rPr>
        <w:t>（五）</w:t>
      </w:r>
      <w:r>
        <w:rPr>
          <w:color w:val="auto"/>
        </w:rPr>
        <w:t>交付后服务要求</w:t>
      </w:r>
    </w:p>
    <w:p w14:paraId="1D85EE21">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b w:val="0"/>
          <w:color w:val="auto"/>
          <w:sz w:val="32"/>
          <w:szCs w:val="32"/>
        </w:rPr>
        <w:t>合同服务期限届满后，对服务期限内已经公司书面委托但尚未办结的案件，成交供应商应继续提供相应代理服务，直至按照合同约定完成有关工作。</w:t>
      </w:r>
    </w:p>
    <w:p w14:paraId="0EFB51E9">
      <w:pPr>
        <w:pStyle w:val="4"/>
        <w:widowControl/>
        <w:numPr>
          <w:ilvl w:val="0"/>
          <w:numId w:val="0"/>
        </w:numPr>
        <w:kinsoku/>
        <w:topLinePunct w:val="0"/>
        <w:autoSpaceDN/>
        <w:bidi w:val="0"/>
        <w:spacing w:line="560" w:lineRule="exact"/>
        <w:ind w:left="0" w:leftChars="0" w:firstLine="640"/>
        <w:rPr>
          <w:rFonts w:hint="eastAsia" w:ascii="楷体_GB2312" w:hAnsi="楷体_GB2312" w:eastAsia="楷体_GB2312" w:cs="楷体_GB2312"/>
          <w:b w:val="0"/>
          <w:color w:val="auto"/>
        </w:rPr>
      </w:pPr>
      <w:r>
        <w:rPr>
          <w:rFonts w:hint="eastAsia"/>
          <w:color w:val="auto"/>
          <w:lang w:eastAsia="zh-CN"/>
        </w:rPr>
        <w:t>（六）</w:t>
      </w:r>
      <w:r>
        <w:rPr>
          <w:color w:val="auto"/>
        </w:rPr>
        <w:t>违约责任</w:t>
      </w:r>
    </w:p>
    <w:p w14:paraId="7409F803">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1.</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成交供应商未按照约定期限提供服务或延误交付服务成果的，每延误一天，成交供应商应向采购人支付本次服务费用0.5％的违约金；延误超过十天的，采购人除有权要求成交供应商支付前述违约金外，同时有权单方解除合同。成交供应商提交的工作成果不符合采购人要求的，应在采购人规定时间内修改完善，直至符合采购人要求。成交供应商拒绝改正或逾期未改正的，每逾期一天，应向采购人支付本次服务费用0.5％的违约金；逾期超过十天的，采购人除有权要求其支付前述违约金外，同时有权单方解除合同。</w:t>
      </w:r>
    </w:p>
    <w:p w14:paraId="03F96A8D">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2.</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成交供应商因疏忽、过失、故意，或者违反相关保密条款将保密信息用于商业目的，造成采购人直接、间接损失或使采购人承担法律责任的，成交供应商应按照本项目总体服务费用的20％向采购人支付违约金。违约金不足以弥补采购人损失的，成交供应商还应赔偿差额，或者使采购人免除相应法律责任。</w:t>
      </w:r>
    </w:p>
    <w:p w14:paraId="7108C8A0">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3.</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成交供应商因履行本合同形成的知识产权规划布局成果、检索分析成果、申请文件、审查意见答复文件及其他服务成果，其依法可转让的财产权利属于采购人或采购人书面指定的权利主体。未经采购人书面同意，成交供应商不得对有关成果进行复制、修改、转让，或者自行使用、提供给他人使用。违反本条约定的，采购人有权单方解除合同并拒绝支付相关费用，成交供应商应退还已收取的相关费用，并按照本项目总体服务费用的20％向采购人支付违约金。</w:t>
      </w:r>
    </w:p>
    <w:p w14:paraId="6B3953A0">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4.</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成交供应商不得将本合同项下工作转包、违法分包或未经采购人书面同意转委托。成交供应商违反本条约定的，采购人有权解除合同，成交供应商应返还采购人已支付的全部费用，并按照本项目总体服务费用的20％向采购人支付违约金。</w:t>
      </w:r>
    </w:p>
    <w:p w14:paraId="18FD6D75">
      <w:pPr>
        <w:pStyle w:val="3"/>
        <w:widowControl/>
        <w:numPr>
          <w:ilvl w:val="0"/>
          <w:numId w:val="0"/>
        </w:numPr>
        <w:kinsoku/>
        <w:topLinePunct w:val="0"/>
        <w:autoSpaceDN/>
        <w:bidi w:val="0"/>
        <w:spacing w:line="560" w:lineRule="exact"/>
        <w:ind w:left="0" w:leftChars="0" w:firstLine="640"/>
        <w:rPr>
          <w:b w:val="0"/>
          <w:color w:val="auto"/>
        </w:rPr>
      </w:pPr>
      <w:r>
        <w:rPr>
          <w:rFonts w:hint="eastAsia"/>
          <w:color w:val="auto"/>
          <w:lang w:eastAsia="zh-CN"/>
        </w:rPr>
        <w:t>九、</w:t>
      </w:r>
      <w:r>
        <w:rPr>
          <w:color w:val="auto"/>
        </w:rPr>
        <w:t>合同签订及付款方式</w:t>
      </w:r>
    </w:p>
    <w:p w14:paraId="02DE082A">
      <w:pPr>
        <w:pStyle w:val="4"/>
        <w:widowControl/>
        <w:numPr>
          <w:ilvl w:val="0"/>
          <w:numId w:val="0"/>
        </w:numPr>
        <w:kinsoku/>
        <w:topLinePunct w:val="0"/>
        <w:autoSpaceDN/>
        <w:bidi w:val="0"/>
        <w:spacing w:line="560" w:lineRule="exact"/>
        <w:ind w:left="0" w:leftChars="0" w:firstLine="640"/>
        <w:rPr>
          <w:rFonts w:hint="eastAsia" w:ascii="楷体_GB2312" w:hAnsi="楷体_GB2312" w:eastAsia="楷体_GB2312" w:cs="楷体_GB2312"/>
          <w:b w:val="0"/>
          <w:color w:val="auto"/>
        </w:rPr>
      </w:pPr>
      <w:r>
        <w:rPr>
          <w:rFonts w:hint="eastAsia"/>
          <w:color w:val="auto"/>
          <w:lang w:eastAsia="zh-CN"/>
        </w:rPr>
        <w:t>（一）</w:t>
      </w:r>
      <w:r>
        <w:rPr>
          <w:color w:val="auto"/>
        </w:rPr>
        <w:t>合同签订及合同期限</w:t>
      </w:r>
    </w:p>
    <w:p w14:paraId="5C834343">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b w:val="0"/>
          <w:color w:val="auto"/>
          <w:sz w:val="32"/>
          <w:szCs w:val="32"/>
        </w:rPr>
        <w:t>本次采购拟确定1家成交供应商，合同服务期限为自合同生效之日起</w:t>
      </w:r>
      <w:r>
        <w:rPr>
          <w:rFonts w:hint="eastAsia" w:cs="仿宋_GB2312"/>
          <w:b w:val="0"/>
          <w:color w:val="auto"/>
          <w:sz w:val="32"/>
          <w:szCs w:val="32"/>
          <w:lang w:val="en-US" w:eastAsia="zh-CN"/>
        </w:rPr>
        <w:t>24</w:t>
      </w:r>
      <w:r>
        <w:rPr>
          <w:rFonts w:ascii="Times New Roman" w:hAnsi="Times New Roman" w:eastAsia="仿宋_GB2312" w:cs="仿宋_GB2312"/>
          <w:b w:val="0"/>
          <w:color w:val="auto"/>
          <w:sz w:val="32"/>
          <w:szCs w:val="32"/>
        </w:rPr>
        <w:t>个月。</w:t>
      </w:r>
    </w:p>
    <w:p w14:paraId="392B6CE6">
      <w:pPr>
        <w:pStyle w:val="4"/>
        <w:widowControl/>
        <w:numPr>
          <w:ilvl w:val="0"/>
          <w:numId w:val="0"/>
        </w:numPr>
        <w:kinsoku/>
        <w:topLinePunct w:val="0"/>
        <w:autoSpaceDN/>
        <w:bidi w:val="0"/>
        <w:spacing w:line="560" w:lineRule="exact"/>
        <w:ind w:left="0" w:leftChars="0" w:firstLine="640"/>
        <w:rPr>
          <w:rFonts w:hint="eastAsia" w:ascii="楷体_GB2312" w:hAnsi="楷体_GB2312" w:eastAsia="楷体_GB2312" w:cs="楷体_GB2312"/>
          <w:b w:val="0"/>
          <w:color w:val="auto"/>
        </w:rPr>
      </w:pPr>
      <w:r>
        <w:rPr>
          <w:rFonts w:hint="eastAsia"/>
          <w:color w:val="auto"/>
          <w:lang w:eastAsia="zh-CN"/>
        </w:rPr>
        <w:t>（二）</w:t>
      </w:r>
      <w:r>
        <w:rPr>
          <w:color w:val="auto"/>
        </w:rPr>
        <w:t>付款方式</w:t>
      </w:r>
    </w:p>
    <w:p w14:paraId="22025A1B">
      <w:pPr>
        <w:pStyle w:val="19"/>
        <w:widowControl/>
        <w:kinsoku/>
        <w:autoSpaceDN/>
        <w:bidi w:val="0"/>
        <w:spacing w:line="560" w:lineRule="exact"/>
        <w:rPr>
          <w:rFonts w:hint="eastAsia"/>
          <w:color w:val="auto"/>
          <w:lang w:eastAsia="zh-CN"/>
        </w:rPr>
      </w:pPr>
      <w:r>
        <w:rPr>
          <w:rFonts w:hint="eastAsia" w:ascii="Times New Roman" w:hAnsi="Times New Roman" w:eastAsia="仿宋_GB2312" w:cs="仿宋_GB2312"/>
          <w:b w:val="0"/>
          <w:color w:val="auto"/>
          <w:sz w:val="32"/>
          <w:szCs w:val="32"/>
          <w:lang w:eastAsia="zh-CN"/>
        </w:rPr>
        <w:t>本项目付款方式按照本询价函第八条第（四）款执行。</w:t>
      </w:r>
    </w:p>
    <w:p w14:paraId="322C1867">
      <w:pPr>
        <w:pStyle w:val="3"/>
        <w:widowControl/>
        <w:numPr>
          <w:ilvl w:val="0"/>
          <w:numId w:val="0"/>
        </w:numPr>
        <w:kinsoku/>
        <w:topLinePunct w:val="0"/>
        <w:autoSpaceDN/>
        <w:bidi w:val="0"/>
        <w:spacing w:line="560" w:lineRule="exact"/>
        <w:ind w:left="0" w:leftChars="0" w:firstLine="640"/>
        <w:rPr>
          <w:b w:val="0"/>
          <w:color w:val="auto"/>
        </w:rPr>
      </w:pPr>
      <w:r>
        <w:rPr>
          <w:rFonts w:hint="eastAsia"/>
          <w:color w:val="auto"/>
          <w:lang w:eastAsia="zh-CN"/>
        </w:rPr>
        <w:t>十、</w:t>
      </w:r>
      <w:r>
        <w:rPr>
          <w:color w:val="auto"/>
        </w:rPr>
        <w:t>评标原则</w:t>
      </w:r>
    </w:p>
    <w:p w14:paraId="7307D068">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b w:val="0"/>
          <w:color w:val="auto"/>
          <w:sz w:val="32"/>
          <w:szCs w:val="32"/>
        </w:rPr>
        <w:t>询价工作小组根据询价文件初步评审内容的规定，对供应商提交的响应文件进行评审。对通过初步评审的响应文件，询价工作小组按照规定的评分标准进行打分、核算汇总，并按照综合得分由高到低顺序推荐成交候选供应商。</w:t>
      </w:r>
    </w:p>
    <w:p w14:paraId="67507619">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b w:val="0"/>
          <w:color w:val="auto"/>
          <w:sz w:val="32"/>
          <w:szCs w:val="32"/>
        </w:rPr>
        <w:t>本项目综合评分满分100分，其中价格评分20分、商务评分20分、技术评分60分。供应商综合得分相同的，价格得分高者排序在前；综合得分和价格得分均相同的，以抽签方式确定成交候选供应商排序。</w:t>
      </w:r>
    </w:p>
    <w:p w14:paraId="38DF3C24">
      <w:pPr>
        <w:pStyle w:val="3"/>
        <w:widowControl/>
        <w:numPr>
          <w:ilvl w:val="0"/>
          <w:numId w:val="0"/>
        </w:numPr>
        <w:kinsoku/>
        <w:topLinePunct w:val="0"/>
        <w:autoSpaceDN/>
        <w:bidi w:val="0"/>
        <w:spacing w:line="560" w:lineRule="exact"/>
        <w:ind w:left="0" w:leftChars="0" w:firstLine="640"/>
        <w:rPr>
          <w:b w:val="0"/>
          <w:color w:val="auto"/>
        </w:rPr>
      </w:pPr>
      <w:r>
        <w:rPr>
          <w:rFonts w:hint="eastAsia"/>
          <w:color w:val="auto"/>
          <w:lang w:eastAsia="zh-CN"/>
        </w:rPr>
        <w:t>十一、</w:t>
      </w:r>
      <w:r>
        <w:rPr>
          <w:color w:val="auto"/>
        </w:rPr>
        <w:t>综合评分表</w:t>
      </w:r>
    </w:p>
    <w:tbl>
      <w:tblPr>
        <w:tblStyle w:val="34"/>
        <w:tblW w:w="88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4"/>
        <w:gridCol w:w="912"/>
        <w:gridCol w:w="795"/>
        <w:gridCol w:w="5288"/>
        <w:gridCol w:w="796"/>
      </w:tblGrid>
      <w:tr w14:paraId="52112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270419F5">
            <w:pPr>
              <w:keepNext w:val="0"/>
              <w:keepLines w:val="0"/>
              <w:widowControl/>
              <w:suppressLineNumbers w:val="0"/>
              <w:kinsoku/>
              <w:autoSpaceDN/>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32"/>
                <w:szCs w:val="32"/>
                <w:u w:val="none"/>
              </w:rPr>
            </w:pPr>
            <w:r>
              <w:rPr>
                <w:rFonts w:hint="eastAsia" w:ascii="仿宋_GB2312" w:hAnsi="仿宋_GB2312" w:eastAsia="仿宋_GB2312" w:cs="仿宋_GB2312"/>
                <w:b/>
                <w:bCs/>
                <w:i w:val="0"/>
                <w:iCs w:val="0"/>
                <w:color w:val="auto"/>
                <w:kern w:val="0"/>
                <w:sz w:val="32"/>
                <w:szCs w:val="32"/>
                <w:u w:val="none"/>
                <w:lang w:val="en-US" w:eastAsia="zh-CN" w:bidi="ar"/>
              </w:rPr>
              <w:t>评标项目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5F7AE582">
            <w:pPr>
              <w:keepNext w:val="0"/>
              <w:keepLines w:val="0"/>
              <w:widowControl/>
              <w:suppressLineNumbers w:val="0"/>
              <w:kinsoku/>
              <w:autoSpaceDN/>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32"/>
                <w:szCs w:val="32"/>
                <w:u w:val="none"/>
              </w:rPr>
            </w:pPr>
            <w:r>
              <w:rPr>
                <w:rFonts w:hint="eastAsia" w:ascii="仿宋_GB2312" w:hAnsi="仿宋_GB2312" w:eastAsia="仿宋_GB2312" w:cs="仿宋_GB2312"/>
                <w:b/>
                <w:bCs/>
                <w:i w:val="0"/>
                <w:iCs w:val="0"/>
                <w:color w:val="auto"/>
                <w:kern w:val="0"/>
                <w:sz w:val="32"/>
                <w:szCs w:val="32"/>
                <w:u w:val="none"/>
                <w:lang w:val="en-US" w:eastAsia="zh-CN" w:bidi="ar"/>
              </w:rPr>
              <w:t>评审内容</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BAD352C">
            <w:pPr>
              <w:keepNext w:val="0"/>
              <w:keepLines w:val="0"/>
              <w:widowControl/>
              <w:suppressLineNumbers w:val="0"/>
              <w:kinsoku/>
              <w:autoSpaceDN/>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32"/>
                <w:szCs w:val="32"/>
                <w:u w:val="none"/>
              </w:rPr>
            </w:pPr>
            <w:r>
              <w:rPr>
                <w:rFonts w:hint="eastAsia" w:ascii="仿宋_GB2312" w:hAnsi="仿宋_GB2312" w:eastAsia="仿宋_GB2312" w:cs="仿宋_GB2312"/>
                <w:b/>
                <w:bCs/>
                <w:i w:val="0"/>
                <w:iCs w:val="0"/>
                <w:color w:val="auto"/>
                <w:kern w:val="0"/>
                <w:sz w:val="32"/>
                <w:szCs w:val="32"/>
                <w:u w:val="none"/>
                <w:lang w:val="en-US" w:eastAsia="zh-CN" w:bidi="ar"/>
              </w:rPr>
              <w:t>分值</w:t>
            </w:r>
          </w:p>
        </w:tc>
        <w:tc>
          <w:tcPr>
            <w:tcW w:w="444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279322C3">
            <w:pPr>
              <w:keepNext w:val="0"/>
              <w:keepLines w:val="0"/>
              <w:widowControl/>
              <w:suppressLineNumbers w:val="0"/>
              <w:kinsoku/>
              <w:autoSpaceDN/>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32"/>
                <w:szCs w:val="32"/>
                <w:u w:val="none"/>
              </w:rPr>
            </w:pPr>
            <w:r>
              <w:rPr>
                <w:rFonts w:hint="eastAsia" w:ascii="仿宋_GB2312" w:hAnsi="仿宋_GB2312" w:eastAsia="仿宋_GB2312" w:cs="仿宋_GB2312"/>
                <w:b/>
                <w:bCs/>
                <w:i w:val="0"/>
                <w:iCs w:val="0"/>
                <w:color w:val="auto"/>
                <w:kern w:val="0"/>
                <w:sz w:val="32"/>
                <w:szCs w:val="32"/>
                <w:u w:val="none"/>
                <w:lang w:val="en-US" w:eastAsia="zh-CN" w:bidi="ar"/>
              </w:rPr>
              <w:t>评分标准</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3280B527">
            <w:pPr>
              <w:keepNext w:val="0"/>
              <w:keepLines w:val="0"/>
              <w:widowControl/>
              <w:suppressLineNumbers w:val="0"/>
              <w:kinsoku/>
              <w:autoSpaceDN/>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b/>
                <w:bCs/>
                <w:i w:val="0"/>
                <w:iCs w:val="0"/>
                <w:color w:val="auto"/>
                <w:sz w:val="32"/>
                <w:szCs w:val="32"/>
                <w:u w:val="none"/>
              </w:rPr>
            </w:pPr>
            <w:r>
              <w:rPr>
                <w:rFonts w:hint="eastAsia" w:ascii="仿宋_GB2312" w:hAnsi="仿宋_GB2312" w:eastAsia="仿宋_GB2312" w:cs="仿宋_GB2312"/>
                <w:b/>
                <w:bCs/>
                <w:i w:val="0"/>
                <w:iCs w:val="0"/>
                <w:color w:val="auto"/>
                <w:kern w:val="0"/>
                <w:sz w:val="32"/>
                <w:szCs w:val="32"/>
                <w:u w:val="none"/>
                <w:lang w:val="en-US" w:eastAsia="zh-CN" w:bidi="ar"/>
              </w:rPr>
              <w:t>得分</w:t>
            </w:r>
          </w:p>
        </w:tc>
      </w:tr>
      <w:tr w14:paraId="622C5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4FFA024">
            <w:pPr>
              <w:keepNext w:val="0"/>
              <w:keepLines w:val="0"/>
              <w:widowControl/>
              <w:suppressLineNumbers w:val="0"/>
              <w:kinsoku/>
              <w:autoSpaceDN/>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价格部分（20分）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4C6A0700">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报价得分</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524E0772">
            <w:pPr>
              <w:keepNext w:val="0"/>
              <w:keepLines w:val="0"/>
              <w:widowControl/>
              <w:suppressLineNumbers w:val="0"/>
              <w:kinsoku/>
              <w:autoSpaceDN/>
              <w:bidi w:val="0"/>
              <w:snapToGrid w:val="0"/>
              <w:spacing w:line="560" w:lineRule="exact"/>
              <w:ind w:left="0" w:leftChars="0" w:right="0" w:rightChars="0" w:firstLine="0" w:firstLineChars="0"/>
              <w:jc w:val="righ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20</w:t>
            </w:r>
          </w:p>
        </w:tc>
        <w:tc>
          <w:tcPr>
            <w:tcW w:w="444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359CC78F">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价格评分按单项代理服务费评审报价分别计算，满分20分：①发明专利申请代理服务7分；②实用新型专利申请代理服务5分；③软件著作权登记代理服务3分；④知识产权预审代理服务2分，评审报价为发明专利预审程序与实用新型专利预审程序代理费之和；⑤其他代理服务报价3分</w:t>
            </w:r>
            <w:r>
              <w:rPr>
                <w:rFonts w:hint="eastAsia" w:cs="仿宋_GB2312"/>
                <w:i w:val="0"/>
                <w:iCs w:val="0"/>
                <w:color w:val="auto"/>
                <w:kern w:val="0"/>
                <w:sz w:val="32"/>
                <w:szCs w:val="32"/>
                <w:u w:val="none"/>
                <w:lang w:val="en-US" w:eastAsia="zh-CN" w:bidi="ar"/>
              </w:rPr>
              <w:t>（详见报价表）</w:t>
            </w:r>
            <w:r>
              <w:rPr>
                <w:rFonts w:hint="eastAsia" w:ascii="仿宋_GB2312" w:hAnsi="仿宋_GB2312" w:eastAsia="仿宋_GB2312" w:cs="仿宋_GB2312"/>
                <w:i w:val="0"/>
                <w:iCs w:val="0"/>
                <w:color w:val="auto"/>
                <w:kern w:val="0"/>
                <w:sz w:val="32"/>
                <w:szCs w:val="32"/>
                <w:u w:val="none"/>
                <w:lang w:val="en-US" w:eastAsia="zh-CN" w:bidi="ar"/>
              </w:rPr>
              <w:t>。</w:t>
            </w:r>
            <w:r>
              <w:rPr>
                <w:rFonts w:hint="eastAsia" w:ascii="仿宋_GB2312" w:hAnsi="仿宋_GB2312" w:eastAsia="仿宋_GB2312" w:cs="仿宋_GB2312"/>
                <w:i w:val="0"/>
                <w:iCs w:val="0"/>
                <w:color w:val="auto"/>
                <w:kern w:val="0"/>
                <w:sz w:val="32"/>
                <w:szCs w:val="32"/>
                <w:u w:val="none"/>
                <w:lang w:val="en-US" w:eastAsia="zh-CN" w:bidi="ar"/>
              </w:rPr>
              <w:br w:type="textWrapping"/>
            </w:r>
            <w:r>
              <w:rPr>
                <w:rFonts w:hint="eastAsia" w:ascii="仿宋_GB2312" w:hAnsi="仿宋_GB2312" w:eastAsia="仿宋_GB2312" w:cs="仿宋_GB2312"/>
                <w:i w:val="0"/>
                <w:iCs w:val="0"/>
                <w:color w:val="auto"/>
                <w:kern w:val="0"/>
                <w:sz w:val="32"/>
                <w:szCs w:val="32"/>
                <w:u w:val="none"/>
                <w:lang w:val="en-US" w:eastAsia="zh-CN" w:bidi="ar"/>
              </w:rPr>
              <w:t>前四项分别以满足询价文件要求且该项有效评审报价最低的供应商报价为该项评审基准价，该项得分＝（该项评审基准价÷该供应商该项有效评审报价）×该项分值。</w:t>
            </w:r>
            <w:r>
              <w:rPr>
                <w:rFonts w:hint="eastAsia" w:ascii="仿宋_GB2312" w:hAnsi="仿宋_GB2312" w:eastAsia="仿宋_GB2312" w:cs="仿宋_GB2312"/>
                <w:i w:val="0"/>
                <w:iCs w:val="0"/>
                <w:color w:val="auto"/>
                <w:kern w:val="0"/>
                <w:sz w:val="32"/>
                <w:szCs w:val="32"/>
                <w:u w:val="none"/>
                <w:lang w:val="en-US" w:eastAsia="zh-CN" w:bidi="ar"/>
              </w:rPr>
              <w:br w:type="textWrapping"/>
            </w:r>
            <w:r>
              <w:rPr>
                <w:rFonts w:hint="eastAsia" w:ascii="仿宋_GB2312" w:hAnsi="仿宋_GB2312" w:eastAsia="仿宋_GB2312" w:cs="仿宋_GB2312"/>
                <w:i w:val="0"/>
                <w:iCs w:val="0"/>
                <w:color w:val="auto"/>
                <w:kern w:val="0"/>
                <w:sz w:val="32"/>
                <w:szCs w:val="32"/>
                <w:u w:val="none"/>
                <w:lang w:val="en-US" w:eastAsia="zh-CN" w:bidi="ar"/>
              </w:rPr>
              <w:t>其他代理服务报价得分＝附件2《报价表》中除上述前四类价格评分项目所对应的报价、法定官方费用及明确包含于其他项目单价中的事项外，其余全部有效报价项目的单项价格指数算术平均值×3；单项价格指数＝该项目最低有效报价÷该供应商该项目有效报价。各项得分保留小数点后2位。</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85EDAE3">
            <w:pPr>
              <w:widowControl/>
              <w:kinsoku/>
              <w:autoSpaceDN/>
              <w:bidi w:val="0"/>
              <w:snapToGrid w:val="0"/>
              <w:spacing w:line="560" w:lineRule="exact"/>
              <w:ind w:left="0" w:leftChars="0" w:right="0" w:rightChars="0" w:firstLine="0" w:firstLineChars="0"/>
              <w:jc w:val="center"/>
              <w:rPr>
                <w:rFonts w:hint="eastAsia" w:ascii="仿宋_GB2312" w:hAnsi="仿宋_GB2312" w:eastAsia="仿宋_GB2312" w:cs="仿宋_GB2312"/>
                <w:i w:val="0"/>
                <w:iCs w:val="0"/>
                <w:color w:val="auto"/>
                <w:sz w:val="32"/>
                <w:szCs w:val="32"/>
                <w:u w:val="none"/>
              </w:rPr>
            </w:pPr>
          </w:p>
        </w:tc>
      </w:tr>
      <w:tr w14:paraId="2C71D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D91C5E9">
            <w:pPr>
              <w:keepNext w:val="0"/>
              <w:keepLines w:val="0"/>
              <w:widowControl/>
              <w:suppressLineNumbers w:val="0"/>
              <w:kinsoku/>
              <w:autoSpaceDN/>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商务部分（20分）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6949A74D">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相关业绩</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325DA070">
            <w:pPr>
              <w:keepNext w:val="0"/>
              <w:keepLines w:val="0"/>
              <w:widowControl/>
              <w:suppressLineNumbers w:val="0"/>
              <w:kinsoku/>
              <w:autoSpaceDN/>
              <w:bidi w:val="0"/>
              <w:snapToGrid w:val="0"/>
              <w:spacing w:line="560" w:lineRule="exact"/>
              <w:ind w:left="0" w:leftChars="0" w:right="0" w:rightChars="0" w:firstLine="0" w:firstLineChars="0"/>
              <w:jc w:val="righ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7</w:t>
            </w:r>
          </w:p>
        </w:tc>
        <w:tc>
          <w:tcPr>
            <w:tcW w:w="444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2280FF12">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供应商近三年服务业绩中，涉及专利检索分析、专利风险评估、知识产权咨询等服务的项目达到5个及以上，且至少有1个涉及农业、生物、智能装备或温室等相关领域的，得7分；不足5个的，每少1个扣1.4分；未提供农业、生物、智能装备或温室等相关领域项目业绩的，本项不得分。须提供合同关键页或业绩证明材料。</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26810B63">
            <w:pPr>
              <w:widowControl/>
              <w:kinsoku/>
              <w:autoSpaceDN/>
              <w:bidi w:val="0"/>
              <w:snapToGrid w:val="0"/>
              <w:spacing w:line="560" w:lineRule="exact"/>
              <w:ind w:left="0" w:leftChars="0" w:right="0" w:rightChars="0" w:firstLine="0" w:firstLineChars="0"/>
              <w:jc w:val="center"/>
              <w:rPr>
                <w:rFonts w:hint="eastAsia" w:ascii="仿宋_GB2312" w:hAnsi="仿宋_GB2312" w:eastAsia="仿宋_GB2312" w:cs="仿宋_GB2312"/>
                <w:i w:val="0"/>
                <w:iCs w:val="0"/>
                <w:color w:val="auto"/>
                <w:sz w:val="32"/>
                <w:szCs w:val="32"/>
                <w:u w:val="none"/>
              </w:rPr>
            </w:pPr>
          </w:p>
        </w:tc>
      </w:tr>
      <w:tr w14:paraId="4C2CC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F788F56">
            <w:pPr>
              <w:keepNext w:val="0"/>
              <w:keepLines w:val="0"/>
              <w:widowControl/>
              <w:suppressLineNumbers w:val="0"/>
              <w:kinsoku/>
              <w:autoSpaceDN/>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商务部分（20分）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EDB7DB6">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近三年专利申请量</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76300AE3">
            <w:pPr>
              <w:keepNext w:val="0"/>
              <w:keepLines w:val="0"/>
              <w:widowControl/>
              <w:suppressLineNumbers w:val="0"/>
              <w:kinsoku/>
              <w:autoSpaceDN/>
              <w:bidi w:val="0"/>
              <w:snapToGrid w:val="0"/>
              <w:spacing w:line="560" w:lineRule="exact"/>
              <w:ind w:left="0" w:leftChars="0" w:right="0" w:rightChars="0" w:firstLine="0" w:firstLineChars="0"/>
              <w:jc w:val="righ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3</w:t>
            </w:r>
          </w:p>
        </w:tc>
        <w:tc>
          <w:tcPr>
            <w:tcW w:w="444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691E5448">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供应商2023—2025年专利申请量年均达到2500件的，得3分；未达到的，得分＝三年实际申请总量÷7500×3。以全国专利代理公共服务平台公布数据为准，须提供查询截图。</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048AD81">
            <w:pPr>
              <w:widowControl/>
              <w:kinsoku/>
              <w:autoSpaceDN/>
              <w:bidi w:val="0"/>
              <w:snapToGrid w:val="0"/>
              <w:spacing w:line="560" w:lineRule="exact"/>
              <w:ind w:left="0" w:leftChars="0" w:right="0" w:rightChars="0" w:firstLine="0" w:firstLineChars="0"/>
              <w:jc w:val="center"/>
              <w:rPr>
                <w:rFonts w:hint="eastAsia" w:ascii="仿宋_GB2312" w:hAnsi="仿宋_GB2312" w:eastAsia="仿宋_GB2312" w:cs="仿宋_GB2312"/>
                <w:i w:val="0"/>
                <w:iCs w:val="0"/>
                <w:color w:val="auto"/>
                <w:sz w:val="32"/>
                <w:szCs w:val="32"/>
                <w:u w:val="none"/>
              </w:rPr>
            </w:pPr>
          </w:p>
        </w:tc>
      </w:tr>
      <w:tr w14:paraId="61540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2653F9EB">
            <w:pPr>
              <w:keepNext w:val="0"/>
              <w:keepLines w:val="0"/>
              <w:widowControl/>
              <w:suppressLineNumbers w:val="0"/>
              <w:kinsoku/>
              <w:autoSpaceDN/>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商务部分（20分）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67E77CB1">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近三年发明专利授权量</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1C70542">
            <w:pPr>
              <w:keepNext w:val="0"/>
              <w:keepLines w:val="0"/>
              <w:widowControl/>
              <w:suppressLineNumbers w:val="0"/>
              <w:kinsoku/>
              <w:autoSpaceDN/>
              <w:bidi w:val="0"/>
              <w:snapToGrid w:val="0"/>
              <w:spacing w:line="560" w:lineRule="exact"/>
              <w:ind w:left="0" w:leftChars="0" w:right="0" w:rightChars="0" w:firstLine="0" w:firstLineChars="0"/>
              <w:jc w:val="righ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3</w:t>
            </w:r>
          </w:p>
        </w:tc>
        <w:tc>
          <w:tcPr>
            <w:tcW w:w="444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4E430E47">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供应商2023—2025年发明专利年均授权量达到700件的，得3分；未达到的，得分＝三年实际发明专利授权总量÷2100×3。供应商须提供2023—2025年度发明专利授权量统计情况并加盖公章，同时提供能够佐证相关数据真实性的系统查询截图、业务系统统计资料或其他可核验材料。采购人有权要求供应商进一步提供相关授权专利清单或其他证明材料进行核验。</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04B312D3">
            <w:pPr>
              <w:widowControl/>
              <w:kinsoku/>
              <w:autoSpaceDN/>
              <w:bidi w:val="0"/>
              <w:snapToGrid w:val="0"/>
              <w:spacing w:line="560" w:lineRule="exact"/>
              <w:ind w:left="0" w:leftChars="0" w:right="0" w:rightChars="0" w:firstLine="0" w:firstLineChars="0"/>
              <w:jc w:val="center"/>
              <w:rPr>
                <w:rFonts w:hint="eastAsia" w:ascii="仿宋_GB2312" w:hAnsi="仿宋_GB2312" w:eastAsia="仿宋_GB2312" w:cs="仿宋_GB2312"/>
                <w:i w:val="0"/>
                <w:iCs w:val="0"/>
                <w:color w:val="auto"/>
                <w:sz w:val="32"/>
                <w:szCs w:val="32"/>
                <w:u w:val="none"/>
              </w:rPr>
            </w:pPr>
          </w:p>
        </w:tc>
      </w:tr>
      <w:tr w14:paraId="335FE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0ECE1AAA">
            <w:pPr>
              <w:keepNext w:val="0"/>
              <w:keepLines w:val="0"/>
              <w:widowControl/>
              <w:suppressLineNumbers w:val="0"/>
              <w:kinsoku/>
              <w:autoSpaceDN/>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商务部分（20分）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64DDF198">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近三年发明专利授权率</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345C783F">
            <w:pPr>
              <w:keepNext w:val="0"/>
              <w:keepLines w:val="0"/>
              <w:widowControl/>
              <w:suppressLineNumbers w:val="0"/>
              <w:kinsoku/>
              <w:autoSpaceDN/>
              <w:bidi w:val="0"/>
              <w:snapToGrid w:val="0"/>
              <w:spacing w:line="560" w:lineRule="exact"/>
              <w:ind w:left="0" w:leftChars="0" w:right="0" w:rightChars="0" w:firstLine="0" w:firstLineChars="0"/>
              <w:jc w:val="righ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5</w:t>
            </w:r>
          </w:p>
        </w:tc>
        <w:tc>
          <w:tcPr>
            <w:tcW w:w="444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7DAF0959">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供应商近三年发明专利平均授权率达到70%及以上的，得5分；达到65%但不足70%的，得2分；低于65%的，不得分。本项所称发明专利授权率，以供应商2023—2025年代理且已取得审查结论的发明专利案件为统计范围，按照“获得授权的发明专利案件数量÷已取得审查结论的发明专利案件数量×100%”计算。供应商须提供统计说明并加盖公章，同时提供能够佐证相关数据真实性的系统查询截图、案件统计清单或其他可核验材料。采购人有权对相关数据进行核验。</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26BDF52">
            <w:pPr>
              <w:widowControl/>
              <w:kinsoku/>
              <w:autoSpaceDN/>
              <w:bidi w:val="0"/>
              <w:snapToGrid w:val="0"/>
              <w:spacing w:line="560" w:lineRule="exact"/>
              <w:ind w:left="0" w:leftChars="0" w:right="0" w:rightChars="0" w:firstLine="0" w:firstLineChars="0"/>
              <w:jc w:val="center"/>
              <w:rPr>
                <w:rFonts w:hint="eastAsia" w:ascii="仿宋_GB2312" w:hAnsi="仿宋_GB2312" w:eastAsia="仿宋_GB2312" w:cs="仿宋_GB2312"/>
                <w:i w:val="0"/>
                <w:iCs w:val="0"/>
                <w:color w:val="auto"/>
                <w:sz w:val="32"/>
                <w:szCs w:val="32"/>
                <w:u w:val="none"/>
              </w:rPr>
            </w:pPr>
          </w:p>
        </w:tc>
      </w:tr>
      <w:tr w14:paraId="35580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4136D9C">
            <w:pPr>
              <w:keepNext w:val="0"/>
              <w:keepLines w:val="0"/>
              <w:widowControl/>
              <w:suppressLineNumbers w:val="0"/>
              <w:kinsoku/>
              <w:autoSpaceDN/>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商务部分（20分）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7091406E">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代理机构信用等级</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63208B17">
            <w:pPr>
              <w:keepNext w:val="0"/>
              <w:keepLines w:val="0"/>
              <w:widowControl/>
              <w:suppressLineNumbers w:val="0"/>
              <w:kinsoku/>
              <w:autoSpaceDN/>
              <w:bidi w:val="0"/>
              <w:snapToGrid w:val="0"/>
              <w:spacing w:line="560" w:lineRule="exact"/>
              <w:ind w:left="0" w:leftChars="0" w:right="0" w:rightChars="0" w:firstLine="0" w:firstLineChars="0"/>
              <w:jc w:val="righ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2</w:t>
            </w:r>
          </w:p>
        </w:tc>
        <w:tc>
          <w:tcPr>
            <w:tcW w:w="444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7E3C81C4">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供应商专利代理机构信用等级为A+级的，得2分；A级的，得1分；其他等级不得分。须提供全国专利代理信息公示平台查询截图。</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32F49ADA">
            <w:pPr>
              <w:widowControl/>
              <w:kinsoku/>
              <w:autoSpaceDN/>
              <w:bidi w:val="0"/>
              <w:snapToGrid w:val="0"/>
              <w:spacing w:line="560" w:lineRule="exact"/>
              <w:ind w:left="0" w:leftChars="0" w:right="0" w:rightChars="0" w:firstLine="0" w:firstLineChars="0"/>
              <w:jc w:val="center"/>
              <w:rPr>
                <w:rFonts w:hint="eastAsia" w:ascii="仿宋_GB2312" w:hAnsi="仿宋_GB2312" w:eastAsia="仿宋_GB2312" w:cs="仿宋_GB2312"/>
                <w:i w:val="0"/>
                <w:iCs w:val="0"/>
                <w:color w:val="auto"/>
                <w:sz w:val="32"/>
                <w:szCs w:val="32"/>
                <w:u w:val="none"/>
              </w:rPr>
            </w:pPr>
          </w:p>
        </w:tc>
      </w:tr>
      <w:tr w14:paraId="7081A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557E50A3">
            <w:pPr>
              <w:keepNext w:val="0"/>
              <w:keepLines w:val="0"/>
              <w:widowControl/>
              <w:suppressLineNumbers w:val="0"/>
              <w:kinsoku/>
              <w:autoSpaceDN/>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技术部分（60分）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25BED7C7">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服务方案</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08FCD317">
            <w:pPr>
              <w:keepNext w:val="0"/>
              <w:keepLines w:val="0"/>
              <w:widowControl/>
              <w:suppressLineNumbers w:val="0"/>
              <w:kinsoku/>
              <w:autoSpaceDN/>
              <w:bidi w:val="0"/>
              <w:snapToGrid w:val="0"/>
              <w:spacing w:line="560" w:lineRule="exact"/>
              <w:ind w:left="0" w:leftChars="0" w:right="0" w:rightChars="0" w:firstLine="0" w:firstLineChars="0"/>
              <w:jc w:val="righ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15</w:t>
            </w:r>
          </w:p>
        </w:tc>
        <w:tc>
          <w:tcPr>
            <w:tcW w:w="444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11E787B">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根据服务方案及保证措施的完整性、合理性、可行性、有效性和针对性进行评审：①服务方案完整、详细，保证措施合理、可行、有效，具有较强可操作性、针对性和一定创新性的，得12—15分；②服务方案基本完整，保证措施具有一定可行性、有效性和可操作性的，得9—11分；③服务方案内容不够完善，针对性、可行性和可操作性一般的，得1—8分；④未提供服务方案的，不得分。服务方案应包括知识产权规划、挖掘、申请、流程及期限管理、费用管理、现场咨询、质量控制和保密管理等内容。</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619A46F">
            <w:pPr>
              <w:widowControl/>
              <w:kinsoku/>
              <w:autoSpaceDN/>
              <w:bidi w:val="0"/>
              <w:snapToGrid w:val="0"/>
              <w:spacing w:line="560" w:lineRule="exact"/>
              <w:ind w:left="0" w:leftChars="0" w:right="0" w:rightChars="0" w:firstLine="0" w:firstLineChars="0"/>
              <w:jc w:val="center"/>
              <w:rPr>
                <w:rFonts w:hint="eastAsia" w:ascii="仿宋_GB2312" w:hAnsi="仿宋_GB2312" w:eastAsia="仿宋_GB2312" w:cs="仿宋_GB2312"/>
                <w:i w:val="0"/>
                <w:iCs w:val="0"/>
                <w:color w:val="auto"/>
                <w:sz w:val="32"/>
                <w:szCs w:val="32"/>
                <w:u w:val="none"/>
              </w:rPr>
            </w:pPr>
          </w:p>
        </w:tc>
      </w:tr>
      <w:tr w14:paraId="2B87A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2B38B46C">
            <w:pPr>
              <w:keepNext w:val="0"/>
              <w:keepLines w:val="0"/>
              <w:widowControl/>
              <w:suppressLineNumbers w:val="0"/>
              <w:kinsoku/>
              <w:autoSpaceDN/>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技术部分（60分）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55B6A59D">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服务团队</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23716027">
            <w:pPr>
              <w:keepNext w:val="0"/>
              <w:keepLines w:val="0"/>
              <w:widowControl/>
              <w:suppressLineNumbers w:val="0"/>
              <w:kinsoku/>
              <w:autoSpaceDN/>
              <w:bidi w:val="0"/>
              <w:snapToGrid w:val="0"/>
              <w:spacing w:line="560" w:lineRule="exact"/>
              <w:ind w:left="0" w:leftChars="0" w:right="0" w:rightChars="0" w:firstLine="0" w:firstLineChars="0"/>
              <w:jc w:val="righ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20</w:t>
            </w:r>
          </w:p>
        </w:tc>
        <w:tc>
          <w:tcPr>
            <w:tcW w:w="444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3D35AB75">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1.服务团队，15分：①供应商执业专利代理师达到15人及以上的，得5分；达到12人但不足15人的，得3分；达到6人但不足12人的，得1分；不足6人的不得分。②拟派服务团队成员具有农业、生物、机械、电气、自动化、计算机、软件或法律等相关专业本科及以上学历的，每人得1分，最高4分。③项目负责人执业年限达到10年及以上的，得3分。④拟派团队中每提供1名执业年限达到5年及以上的专利代理师，得1分，最高3分。2.团队配置方案，5分：人员配置、岗位设置及职责分工合理，与项目服务需求契合度高的，得4—5分；基本合理、契合度较好的，得2—3分；完整性、合理性和针对性一般的，得1分；未提供或明显不合理的，不得分。须提供人员清单、专利代理师资格或执业证明、学历证明、执业年限证明以及响应截止之日前倒推3个月连续社保缴纳记录证明；特殊情况（如退休返聘、外籍员工等）须提供相关证明材料。</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30423697">
            <w:pPr>
              <w:widowControl/>
              <w:kinsoku/>
              <w:autoSpaceDN/>
              <w:bidi w:val="0"/>
              <w:snapToGrid w:val="0"/>
              <w:spacing w:line="560" w:lineRule="exact"/>
              <w:ind w:left="0" w:leftChars="0" w:right="0" w:rightChars="0" w:firstLine="0" w:firstLineChars="0"/>
              <w:jc w:val="center"/>
              <w:rPr>
                <w:rFonts w:hint="eastAsia" w:ascii="仿宋_GB2312" w:hAnsi="仿宋_GB2312" w:eastAsia="仿宋_GB2312" w:cs="仿宋_GB2312"/>
                <w:i w:val="0"/>
                <w:iCs w:val="0"/>
                <w:color w:val="auto"/>
                <w:sz w:val="32"/>
                <w:szCs w:val="32"/>
                <w:u w:val="none"/>
              </w:rPr>
            </w:pPr>
          </w:p>
        </w:tc>
      </w:tr>
      <w:tr w14:paraId="51C57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C9CAEC2">
            <w:pPr>
              <w:keepNext w:val="0"/>
              <w:keepLines w:val="0"/>
              <w:widowControl/>
              <w:suppressLineNumbers w:val="0"/>
              <w:kinsoku/>
              <w:autoSpaceDN/>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技术部分（60分）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22EEDF52">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服务能力</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70B18DE5">
            <w:pPr>
              <w:keepNext w:val="0"/>
              <w:keepLines w:val="0"/>
              <w:widowControl/>
              <w:suppressLineNumbers w:val="0"/>
              <w:kinsoku/>
              <w:autoSpaceDN/>
              <w:bidi w:val="0"/>
              <w:snapToGrid w:val="0"/>
              <w:spacing w:line="560" w:lineRule="exact"/>
              <w:ind w:left="0" w:leftChars="0" w:right="0" w:rightChars="0" w:firstLine="0" w:firstLineChars="0"/>
              <w:jc w:val="righ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15</w:t>
            </w:r>
          </w:p>
        </w:tc>
        <w:tc>
          <w:tcPr>
            <w:tcW w:w="444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0363B94C">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1.全国服务能力，7分：①供应商承诺具备全国范围内知识产权服务协调能力，能够根据采购人需求提供异地咨询、材料递交、进度跟踪及沟通协调服务的，得2分，须提供书面承诺</w:t>
            </w:r>
            <w:r>
              <w:rPr>
                <w:rFonts w:hint="eastAsia" w:cs="仿宋_GB2312"/>
                <w:i w:val="0"/>
                <w:iCs w:val="0"/>
                <w:color w:val="auto"/>
                <w:kern w:val="0"/>
                <w:sz w:val="32"/>
                <w:szCs w:val="32"/>
                <w:u w:val="none"/>
                <w:lang w:val="en-US" w:eastAsia="zh-CN" w:bidi="ar"/>
              </w:rPr>
              <w:t>，未提供不得分</w:t>
            </w:r>
            <w:r>
              <w:rPr>
                <w:rFonts w:hint="eastAsia" w:ascii="仿宋_GB2312" w:hAnsi="仿宋_GB2312" w:eastAsia="仿宋_GB2312" w:cs="仿宋_GB2312"/>
                <w:i w:val="0"/>
                <w:iCs w:val="0"/>
                <w:color w:val="auto"/>
                <w:kern w:val="0"/>
                <w:sz w:val="32"/>
                <w:szCs w:val="32"/>
                <w:u w:val="none"/>
                <w:lang w:val="en-US" w:eastAsia="zh-CN" w:bidi="ar"/>
              </w:rPr>
              <w:t>；②承诺选派具有5年以上同类项目服务经验的人员提供知识产权咨询服务，每人得2.5分，最高得5分，须提供人员经验证明材料及书面承诺。2.信息化服务能力，4分：①具有合法使用的专业专利检索数据库，得3分；②具有专利案件管理软件，得1分。须提供采购合同、付款证明、软件授权证明或其他合法使用证明。3.服务响应能力，4分：①承诺一般事项在24小时内响应、紧急事项在2小时内响应，并针对具体问题提出解决建议的，得2.5分；②承诺主动开展现场沟通，积极配合知识产权调研及相关会议需求的，得1.5分。须提供书面承诺并加盖公章。</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00B18E5A">
            <w:pPr>
              <w:widowControl/>
              <w:kinsoku/>
              <w:autoSpaceDN/>
              <w:bidi w:val="0"/>
              <w:snapToGrid w:val="0"/>
              <w:spacing w:line="560" w:lineRule="exact"/>
              <w:ind w:left="0" w:leftChars="0" w:right="0" w:rightChars="0" w:firstLine="0" w:firstLineChars="0"/>
              <w:jc w:val="center"/>
              <w:rPr>
                <w:rFonts w:hint="eastAsia" w:ascii="仿宋_GB2312" w:hAnsi="仿宋_GB2312" w:eastAsia="仿宋_GB2312" w:cs="仿宋_GB2312"/>
                <w:i w:val="0"/>
                <w:iCs w:val="0"/>
                <w:color w:val="auto"/>
                <w:sz w:val="32"/>
                <w:szCs w:val="32"/>
                <w:u w:val="none"/>
              </w:rPr>
            </w:pPr>
          </w:p>
        </w:tc>
      </w:tr>
      <w:tr w14:paraId="1D1FC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3724C406">
            <w:pPr>
              <w:keepNext w:val="0"/>
              <w:keepLines w:val="0"/>
              <w:widowControl/>
              <w:suppressLineNumbers w:val="0"/>
              <w:kinsoku/>
              <w:autoSpaceDN/>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技术部分（60分）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3705729A">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其他服务</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21633A4E">
            <w:pPr>
              <w:keepNext w:val="0"/>
              <w:keepLines w:val="0"/>
              <w:widowControl/>
              <w:suppressLineNumbers w:val="0"/>
              <w:kinsoku/>
              <w:autoSpaceDN/>
              <w:bidi w:val="0"/>
              <w:snapToGrid w:val="0"/>
              <w:spacing w:line="560" w:lineRule="exact"/>
              <w:ind w:left="0" w:leftChars="0" w:right="0" w:rightChars="0" w:firstLine="0" w:firstLineChars="0"/>
              <w:jc w:val="righ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6</w:t>
            </w:r>
          </w:p>
        </w:tc>
        <w:tc>
          <w:tcPr>
            <w:tcW w:w="444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6F3A6DA7">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①承诺服务期限内开展不少于2次专利分析服务的，得2.5分；②承诺对每件专利申请进行申请前评估并出具专业评估意见或报告的，得2.5分；③承诺配合项目、资质或其他申报事项开展知识产权梳理与材料准备，并对委托研发、合作研发涉及的知识产权问题提供咨询及对接支持的，得1分。须提供书面承诺并加盖公章。</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5BEE5311">
            <w:pPr>
              <w:widowControl/>
              <w:kinsoku/>
              <w:autoSpaceDN/>
              <w:bidi w:val="0"/>
              <w:snapToGrid w:val="0"/>
              <w:spacing w:line="560" w:lineRule="exact"/>
              <w:ind w:left="0" w:leftChars="0" w:right="0" w:rightChars="0" w:firstLine="0" w:firstLineChars="0"/>
              <w:jc w:val="center"/>
              <w:rPr>
                <w:rFonts w:hint="eastAsia" w:ascii="仿宋_GB2312" w:hAnsi="仿宋_GB2312" w:eastAsia="仿宋_GB2312" w:cs="仿宋_GB2312"/>
                <w:i w:val="0"/>
                <w:iCs w:val="0"/>
                <w:color w:val="auto"/>
                <w:sz w:val="32"/>
                <w:szCs w:val="32"/>
                <w:u w:val="none"/>
              </w:rPr>
            </w:pPr>
          </w:p>
        </w:tc>
      </w:tr>
      <w:tr w14:paraId="2D846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668DEE27">
            <w:pPr>
              <w:keepNext w:val="0"/>
              <w:keepLines w:val="0"/>
              <w:widowControl/>
              <w:suppressLineNumbers w:val="0"/>
              <w:kinsoku/>
              <w:autoSpaceDN/>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技术部分（60分）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49C42696">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管理规范制度及工作流程</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3587A278">
            <w:pPr>
              <w:keepNext w:val="0"/>
              <w:keepLines w:val="0"/>
              <w:widowControl/>
              <w:suppressLineNumbers w:val="0"/>
              <w:kinsoku/>
              <w:autoSpaceDN/>
              <w:bidi w:val="0"/>
              <w:snapToGrid w:val="0"/>
              <w:spacing w:line="560" w:lineRule="exact"/>
              <w:ind w:left="0" w:leftChars="0" w:right="0" w:rightChars="0" w:firstLine="0" w:firstLineChars="0"/>
              <w:jc w:val="righ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4</w:t>
            </w:r>
          </w:p>
        </w:tc>
        <w:tc>
          <w:tcPr>
            <w:tcW w:w="444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136A25A">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kern w:val="0"/>
                <w:sz w:val="32"/>
                <w:szCs w:val="32"/>
                <w:u w:val="none"/>
                <w:lang w:val="en-US" w:eastAsia="zh-CN" w:bidi="ar"/>
              </w:rPr>
              <w:t>供应商提供的管理制度及工作流程应至少包括：①内部档案管理及保密制度，2分；②内部工作流程，2分。每项内容详尽，完全满足项目需要，科学合理、针对性强的，得2分；内容完整，能够满足项目需要，基本可行的，得1.5分；内容存在欠缺，基本满足项目需要但可行性不足的，得0.5分；未提供的，不得分。</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51704689">
            <w:pPr>
              <w:widowControl/>
              <w:kinsoku/>
              <w:autoSpaceDN/>
              <w:bidi w:val="0"/>
              <w:snapToGrid w:val="0"/>
              <w:spacing w:line="560" w:lineRule="exact"/>
              <w:ind w:left="0" w:leftChars="0" w:right="0" w:rightChars="0" w:firstLine="0" w:firstLineChars="0"/>
              <w:jc w:val="center"/>
              <w:rPr>
                <w:rFonts w:hint="eastAsia" w:ascii="仿宋_GB2312" w:hAnsi="仿宋_GB2312" w:eastAsia="仿宋_GB2312" w:cs="仿宋_GB2312"/>
                <w:i w:val="0"/>
                <w:iCs w:val="0"/>
                <w:color w:val="auto"/>
                <w:sz w:val="32"/>
                <w:szCs w:val="32"/>
                <w:u w:val="none"/>
              </w:rPr>
            </w:pPr>
          </w:p>
        </w:tc>
      </w:tr>
      <w:tr w14:paraId="3F97B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01"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2B75578A">
            <w:pPr>
              <w:keepNext w:val="0"/>
              <w:keepLines w:val="0"/>
              <w:widowControl/>
              <w:suppressLineNumbers w:val="0"/>
              <w:kinsoku/>
              <w:autoSpaceDN/>
              <w:bidi w:val="0"/>
              <w:snapToGrid w:val="0"/>
              <w:spacing w:line="560" w:lineRule="exact"/>
              <w:ind w:left="0" w:leftChars="0" w:right="0" w:rightChars="0" w:firstLine="0" w:firstLineChars="0"/>
              <w:jc w:val="center"/>
              <w:textAlignment w:val="center"/>
              <w:rPr>
                <w:rFonts w:hint="eastAsia" w:ascii="仿宋_GB2312" w:hAnsi="仿宋_GB2312" w:eastAsia="仿宋_GB2312" w:cs="仿宋_GB2312"/>
                <w:b/>
                <w:i w:val="0"/>
                <w:iCs w:val="0"/>
                <w:color w:val="auto"/>
                <w:sz w:val="32"/>
                <w:szCs w:val="32"/>
                <w:u w:val="none"/>
              </w:rPr>
            </w:pPr>
            <w:r>
              <w:rPr>
                <w:rFonts w:hint="eastAsia" w:ascii="仿宋_GB2312" w:hAnsi="仿宋_GB2312" w:eastAsia="仿宋_GB2312" w:cs="仿宋_GB2312"/>
                <w:b/>
                <w:i w:val="0"/>
                <w:iCs w:val="0"/>
                <w:color w:val="auto"/>
                <w:kern w:val="0"/>
                <w:sz w:val="32"/>
                <w:szCs w:val="32"/>
                <w:u w:val="none"/>
                <w:lang w:val="en-US" w:eastAsia="zh-CN" w:bidi="ar"/>
              </w:rPr>
              <w:t>合计</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4F469DCE">
            <w:pPr>
              <w:widowControl/>
              <w:kinsoku/>
              <w:autoSpaceDN/>
              <w:bidi w:val="0"/>
              <w:snapToGrid w:val="0"/>
              <w:spacing w:line="560" w:lineRule="exact"/>
              <w:ind w:left="0" w:leftChars="0" w:right="0" w:rightChars="0" w:firstLine="0" w:firstLineChars="0"/>
              <w:jc w:val="left"/>
              <w:rPr>
                <w:rFonts w:hint="eastAsia" w:ascii="仿宋_GB2312" w:hAnsi="仿宋_GB2312" w:eastAsia="仿宋_GB2312" w:cs="仿宋_GB2312"/>
                <w:b/>
                <w:i w:val="0"/>
                <w:iCs w:val="0"/>
                <w:color w:val="auto"/>
                <w:sz w:val="32"/>
                <w:szCs w:val="32"/>
                <w:u w:val="none"/>
              </w:rPr>
            </w:pP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076503F5">
            <w:pPr>
              <w:keepNext w:val="0"/>
              <w:keepLines w:val="0"/>
              <w:widowControl/>
              <w:suppressLineNumbers w:val="0"/>
              <w:kinsoku/>
              <w:autoSpaceDN/>
              <w:bidi w:val="0"/>
              <w:snapToGrid w:val="0"/>
              <w:spacing w:line="560" w:lineRule="exact"/>
              <w:ind w:left="0" w:leftChars="0" w:right="0" w:rightChars="0" w:firstLine="0" w:firstLineChars="0"/>
              <w:jc w:val="right"/>
              <w:textAlignment w:val="center"/>
              <w:rPr>
                <w:rFonts w:hint="eastAsia" w:ascii="仿宋_GB2312" w:hAnsi="仿宋_GB2312" w:eastAsia="仿宋_GB2312" w:cs="仿宋_GB2312"/>
                <w:b/>
                <w:i w:val="0"/>
                <w:iCs w:val="0"/>
                <w:color w:val="auto"/>
                <w:sz w:val="32"/>
                <w:szCs w:val="32"/>
                <w:u w:val="none"/>
              </w:rPr>
            </w:pPr>
            <w:r>
              <w:rPr>
                <w:rFonts w:hint="eastAsia" w:ascii="仿宋_GB2312" w:hAnsi="仿宋_GB2312" w:eastAsia="仿宋_GB2312" w:cs="仿宋_GB2312"/>
                <w:b/>
                <w:i w:val="0"/>
                <w:iCs w:val="0"/>
                <w:color w:val="auto"/>
                <w:kern w:val="0"/>
                <w:sz w:val="32"/>
                <w:szCs w:val="32"/>
                <w:u w:val="none"/>
                <w:lang w:val="en-US" w:eastAsia="zh-CN" w:bidi="ar"/>
              </w:rPr>
              <w:t>100</w:t>
            </w:r>
          </w:p>
        </w:tc>
        <w:tc>
          <w:tcPr>
            <w:tcW w:w="444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A3F6C8D">
            <w:pPr>
              <w:keepNext w:val="0"/>
              <w:keepLines w:val="0"/>
              <w:widowControl/>
              <w:suppressLineNumbers w:val="0"/>
              <w:kinsoku/>
              <w:autoSpaceDN/>
              <w:bidi w:val="0"/>
              <w:snapToGrid w:val="0"/>
              <w:spacing w:line="560" w:lineRule="exact"/>
              <w:ind w:left="0" w:leftChars="0" w:right="0" w:rightChars="0" w:firstLine="0" w:firstLineChars="0"/>
              <w:jc w:val="left"/>
              <w:textAlignment w:val="center"/>
              <w:rPr>
                <w:rFonts w:hint="eastAsia" w:ascii="仿宋_GB2312" w:hAnsi="仿宋_GB2312" w:eastAsia="仿宋_GB2312" w:cs="仿宋_GB2312"/>
                <w:b/>
                <w:i w:val="0"/>
                <w:iCs w:val="0"/>
                <w:color w:val="auto"/>
                <w:sz w:val="32"/>
                <w:szCs w:val="32"/>
                <w:u w:val="none"/>
              </w:rPr>
            </w:pPr>
            <w:r>
              <w:rPr>
                <w:rFonts w:hint="eastAsia" w:ascii="仿宋_GB2312" w:hAnsi="仿宋_GB2312" w:eastAsia="仿宋_GB2312" w:cs="仿宋_GB2312"/>
                <w:b/>
                <w:i w:val="0"/>
                <w:iCs w:val="0"/>
                <w:color w:val="auto"/>
                <w:kern w:val="0"/>
                <w:sz w:val="32"/>
                <w:szCs w:val="32"/>
                <w:u w:val="none"/>
                <w:lang w:val="en-US" w:eastAsia="zh-CN" w:bidi="ar"/>
              </w:rPr>
              <w:t>价格20分、商务20分、技术60分。</w:t>
            </w:r>
          </w:p>
        </w:tc>
        <w:tc>
          <w:tcPr>
            <w:tcW w:w="832"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2971DF6">
            <w:pPr>
              <w:widowControl/>
              <w:kinsoku/>
              <w:autoSpaceDN/>
              <w:bidi w:val="0"/>
              <w:snapToGrid w:val="0"/>
              <w:spacing w:line="560" w:lineRule="exact"/>
              <w:ind w:left="0" w:leftChars="0" w:right="0" w:rightChars="0" w:firstLine="0" w:firstLineChars="0"/>
              <w:jc w:val="center"/>
              <w:rPr>
                <w:rFonts w:hint="eastAsia" w:ascii="仿宋_GB2312" w:hAnsi="仿宋_GB2312" w:eastAsia="仿宋_GB2312" w:cs="仿宋_GB2312"/>
                <w:b/>
                <w:i w:val="0"/>
                <w:iCs w:val="0"/>
                <w:color w:val="auto"/>
                <w:sz w:val="32"/>
                <w:szCs w:val="32"/>
                <w:u w:val="none"/>
              </w:rPr>
            </w:pPr>
          </w:p>
        </w:tc>
      </w:tr>
    </w:tbl>
    <w:p w14:paraId="00C721E4">
      <w:pPr>
        <w:pStyle w:val="3"/>
        <w:widowControl/>
        <w:numPr>
          <w:ilvl w:val="0"/>
          <w:numId w:val="0"/>
        </w:numPr>
        <w:kinsoku/>
        <w:topLinePunct w:val="0"/>
        <w:autoSpaceDN/>
        <w:bidi w:val="0"/>
        <w:spacing w:line="560" w:lineRule="exact"/>
        <w:ind w:left="0" w:leftChars="0" w:firstLine="640"/>
        <w:rPr>
          <w:b w:val="0"/>
          <w:color w:val="auto"/>
        </w:rPr>
      </w:pPr>
      <w:r>
        <w:rPr>
          <w:rFonts w:hint="eastAsia"/>
          <w:color w:val="auto"/>
          <w:lang w:eastAsia="zh-CN"/>
        </w:rPr>
        <w:t>十二、</w:t>
      </w:r>
      <w:r>
        <w:rPr>
          <w:color w:val="auto"/>
        </w:rPr>
        <w:t>响应文件提交</w:t>
      </w:r>
    </w:p>
    <w:p w14:paraId="4FE06EE7">
      <w:pPr>
        <w:pStyle w:val="19"/>
        <w:widowControl/>
        <w:numPr>
          <w:ilvl w:val="0"/>
          <w:numId w:val="0"/>
        </w:numPr>
        <w:kinsoku/>
        <w:autoSpaceDN/>
        <w:bidi w:val="0"/>
        <w:spacing w:line="560" w:lineRule="exact"/>
        <w:ind w:left="0" w:leftChars="0" w:firstLine="616"/>
        <w:jc w:val="both"/>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（一）</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供应商应按照本询价函及深圳阳光采购平台要求编制响应文件，并在响应文件相应位置加盖单位公章，扫描生成单一PDF文档后发送至采购方联系人邮箱</w:t>
      </w:r>
      <w:r>
        <w:rPr>
          <w:rFonts w:hint="eastAsia" w:ascii="Times New Roman" w:hAnsi="Times New Roman" w:eastAsia="仿宋_GB2312" w:cs="仿宋_GB2312"/>
          <w:b w:val="0"/>
          <w:color w:val="auto"/>
          <w:sz w:val="32"/>
          <w:szCs w:val="32"/>
        </w:rPr>
        <w:t>cuishuming@atigroup.cn</w:t>
      </w:r>
      <w:r>
        <w:rPr>
          <w:rFonts w:ascii="Times New Roman" w:hAnsi="Times New Roman" w:eastAsia="仿宋_GB2312" w:cs="仿宋_GB2312"/>
          <w:b w:val="0"/>
          <w:color w:val="auto"/>
          <w:sz w:val="32"/>
          <w:szCs w:val="32"/>
        </w:rPr>
        <w:t>，邮件主题以“供应商名称＋项目名称＋供应商联系方式”命名。</w:t>
      </w:r>
    </w:p>
    <w:p w14:paraId="224BEA47">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（二）</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响应文件应至少包括资格证明文件、法定代表人身份证明或授权委托书、供应商基本情况表、报价表、相关业绩证明材料、拟派服务团队证明材料、服务方案、管理制度及供应商认为需要提交的其他材料。</w:t>
      </w:r>
    </w:p>
    <w:p w14:paraId="0468A36A">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（三）</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响应文件提交截止时间、开启时间、公告期限及平台操作方式，以深圳阳光采购平台发布的信息为准。</w:t>
      </w:r>
    </w:p>
    <w:p w14:paraId="4CB522C9">
      <w:pPr>
        <w:pStyle w:val="19"/>
        <w:widowControl/>
        <w:numPr>
          <w:ilvl w:val="0"/>
          <w:numId w:val="0"/>
        </w:numPr>
        <w:kinsoku/>
        <w:autoSpaceDN/>
        <w:bidi w:val="0"/>
        <w:spacing w:line="560" w:lineRule="exact"/>
        <w:ind w:left="0" w:leftChars="0" w:firstLine="616"/>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（四）</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供应商提交的全部材料应当真实、准确、完整。供应商提供虚假材料、隐瞒关联关系或者存在串通响应情形的，采购人有权取消其响应或成交资格，并按照有关规定追究责任。</w:t>
      </w:r>
    </w:p>
    <w:p w14:paraId="45A8317E">
      <w:pPr>
        <w:pStyle w:val="19"/>
        <w:widowControl/>
        <w:numPr>
          <w:ilvl w:val="0"/>
          <w:numId w:val="0"/>
        </w:numPr>
        <w:kinsoku/>
        <w:autoSpaceDN/>
        <w:bidi w:val="0"/>
        <w:spacing w:line="560" w:lineRule="exact"/>
        <w:ind w:left="0" w:leftChars="0" w:firstLine="616"/>
        <w:rPr>
          <w:color w:val="auto"/>
        </w:rPr>
      </w:pPr>
      <w:r>
        <w:rPr>
          <w:rFonts w:hint="eastAsia" w:cs="仿宋_GB2312"/>
          <w:color w:val="auto"/>
          <w:sz w:val="32"/>
          <w:szCs w:val="32"/>
          <w:lang w:eastAsia="zh-CN"/>
        </w:rPr>
        <w:t>（五）</w:t>
      </w:r>
      <w:r>
        <w:rPr>
          <w:rFonts w:hint="eastAsia" w:ascii="仿宋" w:hAnsi="仿宋" w:eastAsia="仿宋" w:cs="仿宋"/>
          <w:color w:val="auto"/>
          <w:spacing w:val="-6"/>
          <w:sz w:val="32"/>
          <w:szCs w:val="32"/>
          <w:lang w:eastAsia="zh-CN"/>
        </w:rPr>
        <w:t xml:space="preserve"> </w:t>
      </w:r>
      <w:r>
        <w:rPr>
          <w:rFonts w:ascii="Times New Roman" w:hAnsi="Times New Roman" w:eastAsia="仿宋_GB2312" w:cs="仿宋_GB2312"/>
          <w:color w:val="auto"/>
          <w:sz w:val="32"/>
          <w:szCs w:val="32"/>
        </w:rPr>
        <w:t>提交了材料但又放弃响应的潜在供应商，请在响应截止时间前48小时以同一邮箱地址以邮件形式反馈采购方联系人，格式自拟。</w:t>
      </w:r>
    </w:p>
    <w:p w14:paraId="3012D209">
      <w:pPr>
        <w:pStyle w:val="19"/>
        <w:widowControl/>
        <w:kinsoku/>
        <w:autoSpaceDN/>
        <w:bidi w:val="0"/>
        <w:spacing w:line="560" w:lineRule="exact"/>
        <w:ind w:left="1558" w:hanging="942" w:firstLineChars="0"/>
        <w:rPr>
          <w:rFonts w:ascii="Times New Roman" w:hAnsi="Times New Roman" w:eastAsia="仿宋_GB2312" w:cs="仿宋_GB2312"/>
          <w:color w:val="auto"/>
          <w:sz w:val="32"/>
          <w:szCs w:val="32"/>
        </w:rPr>
      </w:pPr>
      <mc:AlternateContent>
        <mc:Choice Requires="wpsCustomData">
          <wpsCustomData:docfieldStart id="1" docfieldname="附件说明_1" hidden="0" print="1" readonly="0" index="16"/>
        </mc:Choice>
      </mc:AlternateContent>
      <w:r>
        <w:rPr>
          <w:rFonts w:ascii="Times New Roman" w:hAnsi="Times New Roman" w:eastAsia="仿宋_GB2312" w:cs="仿宋_GB2312"/>
          <w:b w:val="0"/>
          <w:color w:val="auto"/>
          <w:sz w:val="32"/>
          <w:szCs w:val="32"/>
        </w:rPr>
        <w:t>附件：</w:t>
      </w:r>
    </w:p>
    <w:p w14:paraId="781CBC88">
      <w:pPr>
        <w:pStyle w:val="19"/>
        <w:widowControl/>
        <w:numPr>
          <w:ilvl w:val="0"/>
          <w:numId w:val="0"/>
        </w:numPr>
        <w:kinsoku/>
        <w:autoSpaceDN/>
        <w:bidi w:val="0"/>
        <w:spacing w:line="560" w:lineRule="exact"/>
        <w:ind w:left="1940" w:leftChars="0" w:hanging="382"/>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1.</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《供应商基本情况表》</w:t>
      </w:r>
    </w:p>
    <w:p w14:paraId="2ECB01A9">
      <w:pPr>
        <w:pStyle w:val="19"/>
        <w:widowControl/>
        <w:numPr>
          <w:ilvl w:val="0"/>
          <w:numId w:val="0"/>
        </w:numPr>
        <w:kinsoku/>
        <w:autoSpaceDN/>
        <w:bidi w:val="0"/>
        <w:spacing w:line="560" w:lineRule="exact"/>
        <w:ind w:left="1940" w:leftChars="0" w:hanging="382"/>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2.</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《报价表》</w:t>
      </w:r>
    </w:p>
    <w:p w14:paraId="11187C3B">
      <w:pPr>
        <w:pStyle w:val="19"/>
        <w:widowControl/>
        <w:numPr>
          <w:ilvl w:val="0"/>
          <w:numId w:val="0"/>
        </w:numPr>
        <w:kinsoku/>
        <w:autoSpaceDN/>
        <w:bidi w:val="0"/>
        <w:spacing w:line="560" w:lineRule="exact"/>
        <w:ind w:left="1940" w:leftChars="0" w:hanging="382"/>
        <w:rPr>
          <w:rFonts w:ascii="Times New Roman" w:hAnsi="Times New Roman" w:eastAsia="仿宋_GB2312" w:cs="仿宋_GB2312"/>
          <w:b w:val="0"/>
          <w:color w:val="auto"/>
          <w:sz w:val="32"/>
          <w:szCs w:val="32"/>
        </w:rPr>
      </w:pPr>
      <w:r>
        <w:rPr>
          <w:rFonts w:hint="eastAsia" w:cs="仿宋_GB2312"/>
          <w:b w:val="0"/>
          <w:color w:val="auto"/>
          <w:sz w:val="32"/>
          <w:szCs w:val="32"/>
          <w:lang w:eastAsia="zh-CN"/>
        </w:rPr>
        <w:t>3.</w:t>
      </w:r>
      <w:r>
        <w:rPr>
          <w:rFonts w:hint="eastAsia" w:ascii="仿宋" w:hAnsi="仿宋" w:eastAsia="仿宋" w:cs="仿宋"/>
          <w:b w:val="0"/>
          <w:color w:val="auto"/>
          <w:spacing w:val="-6"/>
          <w:sz w:val="32"/>
          <w:szCs w:val="32"/>
          <w:lang w:eastAsia="zh-CN"/>
        </w:rPr>
        <w:t xml:space="preserve"> </w:t>
      </w:r>
      <w:r>
        <w:rPr>
          <w:rFonts w:ascii="Times New Roman" w:hAnsi="Times New Roman" w:eastAsia="仿宋_GB2312" w:cs="仿宋_GB2312"/>
          <w:b w:val="0"/>
          <w:color w:val="auto"/>
          <w:sz w:val="32"/>
          <w:szCs w:val="32"/>
        </w:rPr>
        <w:t>《响应文件目录》</w:t>
      </w:r>
      <mc:AlternateContent>
        <mc:Choice Requires="wpsCustomData">
          <wpsCustomData:docfieldEnd id="1"/>
        </mc:Choice>
      </mc:AlternateContent>
    </w:p>
    <w:p w14:paraId="0C56E482">
      <w:pPr>
        <w:pStyle w:val="19"/>
        <w:keepNext w:val="0"/>
        <w:keepLines w:val="0"/>
        <w:pageBreakBefore w:val="0"/>
        <w:widowControl/>
        <w:kinsoku/>
        <w:wordWrap/>
        <w:overflowPunct/>
        <w:topLinePunct w:val="0"/>
        <w:autoSpaceDE/>
        <w:autoSpaceDN/>
        <w:bidi w:val="0"/>
        <w:adjustRightInd w:val="0"/>
        <w:snapToGrid/>
        <w:spacing w:line="560" w:lineRule="exact"/>
        <w:ind w:left="0" w:leftChars="0" w:right="554" w:rightChars="0" w:firstLine="0" w:firstLineChars="0"/>
        <w:jc w:val="right"/>
        <w:textAlignment w:val="auto"/>
        <w:rPr>
          <w:rFonts w:hint="default"/>
          <w:color w:val="auto"/>
          <w:sz w:val="32"/>
          <w:szCs w:val="32"/>
          <w:lang w:val="en-US" w:eastAsia="zh-CN"/>
        </w:rPr>
      </w:pPr>
      <mc:AlternateContent>
        <mc:Choice Requires="wpsCustomData">
          <wpsCustomData:docfieldStart id="2" docfieldname="发文机关署名_1" hidden="0" print="1" readonly="0" index="11"/>
        </mc:Choice>
      </mc:AlternateContent>
      <w:r>
        <w:rPr>
          <w:rFonts w:hint="eastAsia"/>
          <w:color w:val="auto"/>
          <w:sz w:val="32"/>
          <w:szCs w:val="32"/>
          <w:lang w:val="en-US" w:eastAsia="zh-CN"/>
        </w:rPr>
        <w:t>深圳深莓农业科技有限公司</w:t>
      </w:r>
      <mc:AlternateContent>
        <mc:Choice Requires="wpsCustomData">
          <wpsCustomData:docfieldEnd id="2"/>
        </mc:Choice>
      </mc:AlternateContent>
    </w:p>
    <w:p w14:paraId="7566B96B">
      <w:pPr>
        <w:pStyle w:val="19"/>
        <w:keepNext w:val="0"/>
        <w:keepLines w:val="0"/>
        <w:pageBreakBefore w:val="0"/>
        <w:widowControl/>
        <w:kinsoku/>
        <w:wordWrap/>
        <w:overflowPunct/>
        <w:topLinePunct w:val="0"/>
        <w:autoSpaceDE/>
        <w:autoSpaceDN/>
        <w:bidi w:val="0"/>
        <w:adjustRightInd w:val="0"/>
        <w:snapToGrid/>
        <w:spacing w:line="560" w:lineRule="exact"/>
        <w:ind w:left="0" w:leftChars="0" w:right="1280" w:rightChars="400" w:firstLine="0" w:firstLineChars="0"/>
        <w:jc w:val="right"/>
        <w:textAlignment w:val="auto"/>
        <w:rPr>
          <w:rFonts w:hint="eastAsia"/>
          <w:color w:val="auto"/>
          <w:sz w:val="32"/>
          <w:szCs w:val="32"/>
          <w:lang w:val="en-US" w:eastAsia="zh-CN"/>
        </w:rPr>
      </w:pPr>
      <mc:AlternateContent>
        <mc:Choice Requires="wpsCustomData">
          <wpsCustomData:docfieldStart id="3" docfieldname="成文日期_1" hidden="0" print="1" readonly="0" index="12"/>
        </mc:Choice>
      </mc:AlternateContent>
      <w:r>
        <w:rPr>
          <w:rFonts w:hint="eastAsia"/>
          <w:color w:val="auto"/>
          <w:sz w:val="32"/>
          <w:szCs w:val="32"/>
          <w:lang w:val="en-US" w:eastAsia="zh-CN"/>
        </w:rPr>
        <w:t>2026年8月17日</w:t>
      </w:r>
      <mc:AlternateContent>
        <mc:Choice Requires="wpsCustomData">
          <wpsCustomData:docfieldEnd id="3"/>
        </mc:Choice>
      </mc:AlternateContent>
    </w:p>
    <w:p w14:paraId="4A52D61E">
      <w:pPr>
        <w:pStyle w:val="19"/>
        <w:widowControl/>
        <w:kinsoku/>
        <w:autoSpaceDN/>
        <w:bidi w:val="0"/>
        <w:spacing w:line="560" w:lineRule="exact"/>
        <w:rPr>
          <w:rFonts w:ascii="Times New Roman" w:hAnsi="Times New Roman" w:eastAsia="仿宋_GB2312" w:cs="仿宋_GB2312"/>
          <w:color w:val="auto"/>
          <w:sz w:val="32"/>
          <w:szCs w:val="32"/>
        </w:rPr>
      </w:pPr>
    </w:p>
    <w:p w14:paraId="53A2F463">
      <w:pPr>
        <w:pStyle w:val="19"/>
        <w:widowControl/>
        <w:kinsoku/>
        <w:autoSpaceDN/>
        <w:bidi w:val="0"/>
        <w:spacing w:line="560" w:lineRule="exact"/>
        <w:ind w:left="0" w:leftChars="0" w:firstLine="0" w:firstLineChars="0"/>
        <w:rPr>
          <w:rFonts w:ascii="Times New Roman" w:hAnsi="Times New Roman" w:eastAsia="仿宋_GB2312" w:cs="仿宋_GB2312"/>
          <w:color w:val="auto"/>
          <w:sz w:val="32"/>
          <w:szCs w:val="32"/>
        </w:rPr>
      </w:pPr>
    </w:p>
    <w:p w14:paraId="50BF9021">
      <w:pPr>
        <w:widowControl/>
        <w:kinsoku/>
        <w:autoSpaceDN/>
        <w:bidi w:val="0"/>
        <w:spacing w:line="560" w:lineRule="exact"/>
        <w:rPr>
          <w:color w:val="auto"/>
        </w:rPr>
      </w:pPr>
      <w:r>
        <w:rPr>
          <w:color w:val="auto"/>
        </w:rPr>
        <w:br w:type="page"/>
      </w:r>
    </w:p>
    <w:p w14:paraId="305506CD">
      <w:pPr>
        <w:pStyle w:val="169"/>
        <w:pageBreakBefore/>
        <w:widowControl/>
        <w:kinsoku/>
        <w:autoSpaceDN/>
        <w:bidi w:val="0"/>
        <w:spacing w:line="560" w:lineRule="exact"/>
        <w:rPr>
          <w:color w:val="auto"/>
        </w:rPr>
      </w:pPr>
      <mc:AlternateContent>
        <mc:Choice Requires="wpsCustomData">
          <wpsCustomData:docfieldStart id="4" docfieldname="附件_1" hidden="0" print="1" readonly="0" index="10"/>
        </mc:Choice>
      </mc:AlternateContent>
      <w:r>
        <w:rPr>
          <w:color w:val="auto"/>
        </w:rPr>
        <w:t>附件1</w:t>
      </w:r>
      <mc:AlternateContent>
        <mc:Choice Requires="wpsCustomData">
          <wpsCustomData:docfieldEnd id="4"/>
        </mc:Choice>
      </mc:AlternateContent>
    </w:p>
    <w:p w14:paraId="6FB60A62">
      <w:pPr>
        <w:pStyle w:val="19"/>
        <w:widowControl/>
        <w:kinsoku/>
        <w:autoSpaceDN/>
        <w:bidi w:val="0"/>
        <w:spacing w:line="560" w:lineRule="exact"/>
        <w:rPr>
          <w:color w:val="auto"/>
        </w:rPr>
      </w:pPr>
    </w:p>
    <w:p w14:paraId="48F2AD21">
      <w:pPr>
        <w:pStyle w:val="33"/>
        <w:widowControl/>
        <w:kinsoku/>
        <w:autoSpaceDN/>
        <w:bidi w:val="0"/>
        <w:spacing w:line="560" w:lineRule="exact"/>
        <w:rPr>
          <w:color w:val="auto"/>
        </w:rPr>
      </w:pPr>
      <w:r>
        <w:rPr>
          <w:color w:val="auto"/>
        </w:rPr>
        <w:t>供应商基本情况表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5EC9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dxa"/>
            <w:gridSpan w:val="3"/>
            <w:tcBorders>
              <w:top w:val="single" w:color="auto" w:sz="4" w:space="0"/>
              <w:left w:val="single" w:color="auto" w:sz="4" w:space="0"/>
              <w:bottom w:val="single" w:color="auto" w:sz="4" w:space="0"/>
              <w:right w:val="single" w:color="auto" w:sz="4" w:space="0"/>
            </w:tcBorders>
            <w:vAlign w:val="center"/>
          </w:tcPr>
          <w:p w14:paraId="20E8AFD8">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项目名称</w:t>
            </w:r>
          </w:p>
        </w:tc>
        <w:tc>
          <w:tcPr>
            <w:tcW w:w="6859" w:type="dxa"/>
            <w:gridSpan w:val="9"/>
            <w:tcBorders>
              <w:top w:val="single" w:color="auto" w:sz="4" w:space="0"/>
              <w:left w:val="single" w:color="auto" w:sz="4" w:space="0"/>
              <w:bottom w:val="single" w:color="auto" w:sz="4" w:space="0"/>
              <w:right w:val="single" w:color="auto" w:sz="4" w:space="0"/>
            </w:tcBorders>
            <w:vAlign w:val="center"/>
          </w:tcPr>
          <w:p w14:paraId="19AEB7AE">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r>
      <w:tr w14:paraId="2C70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dxa"/>
            <w:gridSpan w:val="3"/>
            <w:tcBorders>
              <w:top w:val="single" w:color="auto" w:sz="4" w:space="0"/>
              <w:left w:val="single" w:color="auto" w:sz="4" w:space="0"/>
              <w:bottom w:val="single" w:color="auto" w:sz="4" w:space="0"/>
              <w:right w:val="single" w:color="auto" w:sz="4" w:space="0"/>
            </w:tcBorders>
            <w:vAlign w:val="center"/>
          </w:tcPr>
          <w:p w14:paraId="6B0C218C">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供应商</w:t>
            </w:r>
          </w:p>
        </w:tc>
        <w:tc>
          <w:tcPr>
            <w:tcW w:w="2328" w:type="dxa"/>
            <w:gridSpan w:val="3"/>
            <w:tcBorders>
              <w:top w:val="single" w:color="auto" w:sz="4" w:space="0"/>
              <w:left w:val="single" w:color="auto" w:sz="4" w:space="0"/>
              <w:bottom w:val="single" w:color="auto" w:sz="4" w:space="0"/>
              <w:right w:val="single" w:color="auto" w:sz="4" w:space="0"/>
            </w:tcBorders>
            <w:vAlign w:val="center"/>
          </w:tcPr>
          <w:p w14:paraId="4B6FD705">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1980" w:type="dxa"/>
            <w:gridSpan w:val="4"/>
            <w:tcBorders>
              <w:top w:val="single" w:color="auto" w:sz="4" w:space="0"/>
              <w:left w:val="single" w:color="auto" w:sz="4" w:space="0"/>
              <w:bottom w:val="single" w:color="auto" w:sz="4" w:space="0"/>
              <w:right w:val="single" w:color="auto" w:sz="4" w:space="0"/>
            </w:tcBorders>
            <w:vAlign w:val="center"/>
          </w:tcPr>
          <w:p w14:paraId="1C98A8AB">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供应商统一社会信用代码</w:t>
            </w:r>
          </w:p>
        </w:tc>
        <w:tc>
          <w:tcPr>
            <w:tcW w:w="2551" w:type="dxa"/>
            <w:gridSpan w:val="2"/>
            <w:tcBorders>
              <w:top w:val="single" w:color="auto" w:sz="4" w:space="0"/>
              <w:left w:val="single" w:color="auto" w:sz="4" w:space="0"/>
              <w:bottom w:val="single" w:color="auto" w:sz="4" w:space="0"/>
              <w:right w:val="single" w:color="auto" w:sz="4" w:space="0"/>
            </w:tcBorders>
            <w:vAlign w:val="center"/>
          </w:tcPr>
          <w:p w14:paraId="278B7766">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r>
      <w:tr w14:paraId="6E28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vAlign w:val="center"/>
          </w:tcPr>
          <w:p w14:paraId="6911E270">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bidi="ar"/>
              </w:rPr>
              <w:t>供应商相关人员情况</w:t>
            </w:r>
          </w:p>
        </w:tc>
      </w:tr>
      <w:tr w14:paraId="7ECC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vAlign w:val="center"/>
          </w:tcPr>
          <w:p w14:paraId="2DACC382">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序号</w:t>
            </w:r>
          </w:p>
        </w:tc>
        <w:tc>
          <w:tcPr>
            <w:tcW w:w="2268" w:type="dxa"/>
            <w:gridSpan w:val="4"/>
            <w:tcBorders>
              <w:top w:val="single" w:color="auto" w:sz="4" w:space="0"/>
              <w:left w:val="single" w:color="auto" w:sz="4" w:space="0"/>
              <w:bottom w:val="single" w:color="auto" w:sz="4" w:space="0"/>
              <w:right w:val="single" w:color="auto" w:sz="4" w:space="0"/>
            </w:tcBorders>
            <w:vAlign w:val="center"/>
          </w:tcPr>
          <w:p w14:paraId="57D51416">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职务</w:t>
            </w:r>
          </w:p>
        </w:tc>
        <w:tc>
          <w:tcPr>
            <w:tcW w:w="1008" w:type="dxa"/>
            <w:gridSpan w:val="2"/>
            <w:tcBorders>
              <w:top w:val="single" w:color="auto" w:sz="4" w:space="0"/>
              <w:left w:val="single" w:color="auto" w:sz="4" w:space="0"/>
              <w:bottom w:val="single" w:color="auto" w:sz="4" w:space="0"/>
              <w:right w:val="single" w:color="auto" w:sz="4" w:space="0"/>
            </w:tcBorders>
            <w:vAlign w:val="center"/>
          </w:tcPr>
          <w:p w14:paraId="2470833C">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姓名</w:t>
            </w:r>
          </w:p>
        </w:tc>
        <w:tc>
          <w:tcPr>
            <w:tcW w:w="1632" w:type="dxa"/>
            <w:gridSpan w:val="2"/>
            <w:tcBorders>
              <w:top w:val="single" w:color="auto" w:sz="4" w:space="0"/>
              <w:left w:val="single" w:color="auto" w:sz="4" w:space="0"/>
              <w:bottom w:val="single" w:color="auto" w:sz="4" w:space="0"/>
              <w:right w:val="single" w:color="auto" w:sz="4" w:space="0"/>
            </w:tcBorders>
            <w:vAlign w:val="center"/>
          </w:tcPr>
          <w:p w14:paraId="0B675636">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身份证号码</w:t>
            </w:r>
          </w:p>
        </w:tc>
        <w:tc>
          <w:tcPr>
            <w:tcW w:w="1464" w:type="dxa"/>
            <w:gridSpan w:val="2"/>
            <w:tcBorders>
              <w:top w:val="single" w:color="auto" w:sz="4" w:space="0"/>
              <w:left w:val="single" w:color="auto" w:sz="4" w:space="0"/>
              <w:bottom w:val="single" w:color="auto" w:sz="4" w:space="0"/>
              <w:right w:val="single" w:color="auto" w:sz="4" w:space="0"/>
            </w:tcBorders>
            <w:vAlign w:val="center"/>
          </w:tcPr>
          <w:p w14:paraId="16631F0D">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劳动合同关系单位</w:t>
            </w:r>
          </w:p>
        </w:tc>
        <w:tc>
          <w:tcPr>
            <w:tcW w:w="1351" w:type="dxa"/>
            <w:tcBorders>
              <w:top w:val="single" w:color="auto" w:sz="4" w:space="0"/>
              <w:left w:val="single" w:color="auto" w:sz="4" w:space="0"/>
              <w:bottom w:val="single" w:color="auto" w:sz="4" w:space="0"/>
              <w:right w:val="single" w:color="auto" w:sz="4" w:space="0"/>
            </w:tcBorders>
            <w:vAlign w:val="center"/>
          </w:tcPr>
          <w:p w14:paraId="73AAE97F">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缴纳社会保险单位</w:t>
            </w:r>
          </w:p>
        </w:tc>
      </w:tr>
      <w:tr w14:paraId="4108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vAlign w:val="center"/>
          </w:tcPr>
          <w:p w14:paraId="0A56F4A2">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1</w:t>
            </w:r>
          </w:p>
        </w:tc>
        <w:tc>
          <w:tcPr>
            <w:tcW w:w="2268" w:type="dxa"/>
            <w:gridSpan w:val="4"/>
            <w:tcBorders>
              <w:top w:val="single" w:color="auto" w:sz="4" w:space="0"/>
              <w:left w:val="single" w:color="auto" w:sz="4" w:space="0"/>
              <w:bottom w:val="single" w:color="auto" w:sz="4" w:space="0"/>
              <w:right w:val="single" w:color="auto" w:sz="4" w:space="0"/>
            </w:tcBorders>
            <w:vAlign w:val="center"/>
          </w:tcPr>
          <w:p w14:paraId="44F3A239">
            <w:pPr>
              <w:widowControl/>
              <w:kinsoku/>
              <w:autoSpaceDE w:val="0"/>
              <w:autoSpaceDN/>
              <w:bidi w:val="0"/>
              <w:spacing w:line="56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bidi="ar"/>
              </w:rPr>
              <w:t>法定代表人</w:t>
            </w:r>
            <w:r>
              <w:rPr>
                <w:rFonts w:hint="eastAsia" w:ascii="仿宋_GB2312" w:hAnsi="仿宋_GB2312" w:eastAsia="仿宋_GB2312" w:cs="仿宋_GB2312"/>
                <w:color w:val="auto"/>
                <w:szCs w:val="21"/>
                <w:lang w:eastAsia="zh-CN" w:bidi="ar"/>
              </w:rPr>
              <w:t>／</w:t>
            </w:r>
            <w:r>
              <w:rPr>
                <w:rFonts w:hint="eastAsia" w:ascii="仿宋_GB2312" w:hAnsi="仿宋_GB2312" w:eastAsia="仿宋_GB2312" w:cs="仿宋_GB2312"/>
                <w:color w:val="auto"/>
                <w:szCs w:val="21"/>
                <w:lang w:bidi="ar"/>
              </w:rPr>
              <w:t>单位负责人</w:t>
            </w:r>
            <w:r>
              <w:rPr>
                <w:rFonts w:hint="eastAsia" w:ascii="仿宋_GB2312" w:hAnsi="仿宋_GB2312" w:eastAsia="仿宋_GB2312" w:cs="仿宋_GB2312"/>
                <w:color w:val="auto"/>
                <w:szCs w:val="21"/>
                <w:lang w:eastAsia="zh-CN" w:bidi="ar"/>
              </w:rPr>
              <w:t>／</w:t>
            </w:r>
            <w:r>
              <w:rPr>
                <w:rFonts w:hint="eastAsia" w:ascii="仿宋_GB2312" w:hAnsi="仿宋_GB2312" w:eastAsia="仿宋_GB2312" w:cs="仿宋_GB2312"/>
                <w:color w:val="auto"/>
                <w:szCs w:val="21"/>
                <w:lang w:bidi="ar"/>
              </w:rPr>
              <w:t>主要经营负责人</w:t>
            </w:r>
          </w:p>
        </w:tc>
        <w:tc>
          <w:tcPr>
            <w:tcW w:w="1008" w:type="dxa"/>
            <w:gridSpan w:val="2"/>
            <w:tcBorders>
              <w:top w:val="single" w:color="auto" w:sz="4" w:space="0"/>
              <w:left w:val="single" w:color="auto" w:sz="4" w:space="0"/>
              <w:bottom w:val="single" w:color="auto" w:sz="4" w:space="0"/>
              <w:right w:val="single" w:color="auto" w:sz="4" w:space="0"/>
            </w:tcBorders>
            <w:vAlign w:val="center"/>
          </w:tcPr>
          <w:p w14:paraId="51A34776">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1632" w:type="dxa"/>
            <w:gridSpan w:val="2"/>
            <w:tcBorders>
              <w:top w:val="single" w:color="auto" w:sz="4" w:space="0"/>
              <w:left w:val="single" w:color="auto" w:sz="4" w:space="0"/>
              <w:bottom w:val="single" w:color="auto" w:sz="4" w:space="0"/>
              <w:right w:val="single" w:color="auto" w:sz="4" w:space="0"/>
            </w:tcBorders>
            <w:vAlign w:val="center"/>
          </w:tcPr>
          <w:p w14:paraId="7FF96323">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1464" w:type="dxa"/>
            <w:gridSpan w:val="2"/>
            <w:tcBorders>
              <w:top w:val="single" w:color="auto" w:sz="4" w:space="0"/>
              <w:left w:val="single" w:color="auto" w:sz="4" w:space="0"/>
              <w:bottom w:val="single" w:color="auto" w:sz="4" w:space="0"/>
              <w:right w:val="single" w:color="auto" w:sz="4" w:space="0"/>
            </w:tcBorders>
            <w:vAlign w:val="center"/>
          </w:tcPr>
          <w:p w14:paraId="1D5D3DC9">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1351" w:type="dxa"/>
            <w:tcBorders>
              <w:top w:val="single" w:color="auto" w:sz="4" w:space="0"/>
              <w:left w:val="single" w:color="auto" w:sz="4" w:space="0"/>
              <w:bottom w:val="single" w:color="auto" w:sz="4" w:space="0"/>
              <w:right w:val="single" w:color="auto" w:sz="4" w:space="0"/>
            </w:tcBorders>
            <w:vAlign w:val="center"/>
          </w:tcPr>
          <w:p w14:paraId="1D181C77">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r>
      <w:tr w14:paraId="2997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vAlign w:val="center"/>
          </w:tcPr>
          <w:p w14:paraId="0A1CC67C">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2</w:t>
            </w:r>
          </w:p>
        </w:tc>
        <w:tc>
          <w:tcPr>
            <w:tcW w:w="2268" w:type="dxa"/>
            <w:gridSpan w:val="4"/>
            <w:tcBorders>
              <w:top w:val="single" w:color="auto" w:sz="4" w:space="0"/>
              <w:left w:val="single" w:color="auto" w:sz="4" w:space="0"/>
              <w:bottom w:val="single" w:color="auto" w:sz="4" w:space="0"/>
              <w:right w:val="single" w:color="auto" w:sz="4" w:space="0"/>
            </w:tcBorders>
            <w:vAlign w:val="center"/>
          </w:tcPr>
          <w:p w14:paraId="0CF7364D">
            <w:pPr>
              <w:widowControl/>
              <w:kinsoku/>
              <w:autoSpaceDE w:val="0"/>
              <w:autoSpaceDN/>
              <w:bidi w:val="0"/>
              <w:spacing w:line="56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bidi="ar"/>
              </w:rPr>
              <w:t>项目响应授权代表人</w:t>
            </w:r>
          </w:p>
        </w:tc>
        <w:tc>
          <w:tcPr>
            <w:tcW w:w="1008" w:type="dxa"/>
            <w:gridSpan w:val="2"/>
            <w:tcBorders>
              <w:top w:val="single" w:color="auto" w:sz="4" w:space="0"/>
              <w:left w:val="single" w:color="auto" w:sz="4" w:space="0"/>
              <w:bottom w:val="single" w:color="auto" w:sz="4" w:space="0"/>
              <w:right w:val="single" w:color="auto" w:sz="4" w:space="0"/>
            </w:tcBorders>
            <w:vAlign w:val="center"/>
          </w:tcPr>
          <w:p w14:paraId="02EAE4BE">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1632" w:type="dxa"/>
            <w:gridSpan w:val="2"/>
            <w:tcBorders>
              <w:top w:val="single" w:color="auto" w:sz="4" w:space="0"/>
              <w:left w:val="single" w:color="auto" w:sz="4" w:space="0"/>
              <w:bottom w:val="single" w:color="auto" w:sz="4" w:space="0"/>
              <w:right w:val="single" w:color="auto" w:sz="4" w:space="0"/>
            </w:tcBorders>
            <w:vAlign w:val="center"/>
          </w:tcPr>
          <w:p w14:paraId="08560C6B">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1464" w:type="dxa"/>
            <w:gridSpan w:val="2"/>
            <w:tcBorders>
              <w:top w:val="single" w:color="auto" w:sz="4" w:space="0"/>
              <w:left w:val="single" w:color="auto" w:sz="4" w:space="0"/>
              <w:bottom w:val="single" w:color="auto" w:sz="4" w:space="0"/>
              <w:right w:val="single" w:color="auto" w:sz="4" w:space="0"/>
            </w:tcBorders>
            <w:vAlign w:val="center"/>
          </w:tcPr>
          <w:p w14:paraId="68270B9C">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1351" w:type="dxa"/>
            <w:tcBorders>
              <w:top w:val="single" w:color="auto" w:sz="4" w:space="0"/>
              <w:left w:val="single" w:color="auto" w:sz="4" w:space="0"/>
              <w:bottom w:val="single" w:color="auto" w:sz="4" w:space="0"/>
              <w:right w:val="single" w:color="auto" w:sz="4" w:space="0"/>
            </w:tcBorders>
            <w:vAlign w:val="center"/>
          </w:tcPr>
          <w:p w14:paraId="3CF54CFC">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r>
      <w:tr w14:paraId="3780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vAlign w:val="center"/>
          </w:tcPr>
          <w:p w14:paraId="274B161E">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3</w:t>
            </w:r>
          </w:p>
        </w:tc>
        <w:tc>
          <w:tcPr>
            <w:tcW w:w="2268" w:type="dxa"/>
            <w:gridSpan w:val="4"/>
            <w:tcBorders>
              <w:top w:val="single" w:color="auto" w:sz="4" w:space="0"/>
              <w:left w:val="single" w:color="auto" w:sz="4" w:space="0"/>
              <w:bottom w:val="single" w:color="auto" w:sz="4" w:space="0"/>
              <w:right w:val="single" w:color="auto" w:sz="4" w:space="0"/>
            </w:tcBorders>
            <w:vAlign w:val="center"/>
          </w:tcPr>
          <w:p w14:paraId="069C3626">
            <w:pPr>
              <w:widowControl/>
              <w:kinsoku/>
              <w:autoSpaceDE w:val="0"/>
              <w:autoSpaceDN/>
              <w:bidi w:val="0"/>
              <w:spacing w:line="56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bidi="ar"/>
              </w:rPr>
              <w:t>项目负责人</w:t>
            </w:r>
          </w:p>
        </w:tc>
        <w:tc>
          <w:tcPr>
            <w:tcW w:w="1008" w:type="dxa"/>
            <w:gridSpan w:val="2"/>
            <w:tcBorders>
              <w:top w:val="single" w:color="auto" w:sz="4" w:space="0"/>
              <w:left w:val="single" w:color="auto" w:sz="4" w:space="0"/>
              <w:bottom w:val="single" w:color="auto" w:sz="4" w:space="0"/>
              <w:right w:val="single" w:color="auto" w:sz="4" w:space="0"/>
            </w:tcBorders>
            <w:vAlign w:val="center"/>
          </w:tcPr>
          <w:p w14:paraId="31D5FA97">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1632" w:type="dxa"/>
            <w:gridSpan w:val="2"/>
            <w:tcBorders>
              <w:top w:val="single" w:color="auto" w:sz="4" w:space="0"/>
              <w:left w:val="single" w:color="auto" w:sz="4" w:space="0"/>
              <w:bottom w:val="single" w:color="auto" w:sz="4" w:space="0"/>
              <w:right w:val="single" w:color="auto" w:sz="4" w:space="0"/>
            </w:tcBorders>
            <w:vAlign w:val="center"/>
          </w:tcPr>
          <w:p w14:paraId="78FB41D4">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1464" w:type="dxa"/>
            <w:gridSpan w:val="2"/>
            <w:tcBorders>
              <w:top w:val="single" w:color="auto" w:sz="4" w:space="0"/>
              <w:left w:val="single" w:color="auto" w:sz="4" w:space="0"/>
              <w:bottom w:val="single" w:color="auto" w:sz="4" w:space="0"/>
              <w:right w:val="single" w:color="auto" w:sz="4" w:space="0"/>
            </w:tcBorders>
            <w:vAlign w:val="center"/>
          </w:tcPr>
          <w:p w14:paraId="5A194D16">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1351" w:type="dxa"/>
            <w:tcBorders>
              <w:top w:val="single" w:color="auto" w:sz="4" w:space="0"/>
              <w:left w:val="single" w:color="auto" w:sz="4" w:space="0"/>
              <w:bottom w:val="single" w:color="auto" w:sz="4" w:space="0"/>
              <w:right w:val="single" w:color="auto" w:sz="4" w:space="0"/>
            </w:tcBorders>
            <w:vAlign w:val="center"/>
          </w:tcPr>
          <w:p w14:paraId="17AF3490">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r>
      <w:tr w14:paraId="317D1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vAlign w:val="center"/>
          </w:tcPr>
          <w:p w14:paraId="4DC5F767">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4</w:t>
            </w:r>
          </w:p>
        </w:tc>
        <w:tc>
          <w:tcPr>
            <w:tcW w:w="2268" w:type="dxa"/>
            <w:gridSpan w:val="4"/>
            <w:tcBorders>
              <w:top w:val="single" w:color="auto" w:sz="4" w:space="0"/>
              <w:left w:val="single" w:color="auto" w:sz="4" w:space="0"/>
              <w:bottom w:val="single" w:color="auto" w:sz="4" w:space="0"/>
              <w:right w:val="single" w:color="auto" w:sz="4" w:space="0"/>
            </w:tcBorders>
            <w:vAlign w:val="center"/>
          </w:tcPr>
          <w:p w14:paraId="3EB11890">
            <w:pPr>
              <w:widowControl/>
              <w:kinsoku/>
              <w:autoSpaceDE w:val="0"/>
              <w:autoSpaceDN/>
              <w:bidi w:val="0"/>
              <w:spacing w:line="56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bidi="ar"/>
              </w:rPr>
              <w:t>主要技术人员</w:t>
            </w:r>
          </w:p>
        </w:tc>
        <w:tc>
          <w:tcPr>
            <w:tcW w:w="1008" w:type="dxa"/>
            <w:gridSpan w:val="2"/>
            <w:tcBorders>
              <w:top w:val="single" w:color="auto" w:sz="4" w:space="0"/>
              <w:left w:val="single" w:color="auto" w:sz="4" w:space="0"/>
              <w:bottom w:val="single" w:color="auto" w:sz="4" w:space="0"/>
              <w:right w:val="single" w:color="auto" w:sz="4" w:space="0"/>
            </w:tcBorders>
            <w:vAlign w:val="center"/>
          </w:tcPr>
          <w:p w14:paraId="2B08269A">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1632" w:type="dxa"/>
            <w:gridSpan w:val="2"/>
            <w:tcBorders>
              <w:top w:val="single" w:color="auto" w:sz="4" w:space="0"/>
              <w:left w:val="single" w:color="auto" w:sz="4" w:space="0"/>
              <w:bottom w:val="single" w:color="auto" w:sz="4" w:space="0"/>
              <w:right w:val="single" w:color="auto" w:sz="4" w:space="0"/>
            </w:tcBorders>
            <w:vAlign w:val="center"/>
          </w:tcPr>
          <w:p w14:paraId="72BDB710">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1464" w:type="dxa"/>
            <w:gridSpan w:val="2"/>
            <w:tcBorders>
              <w:top w:val="single" w:color="auto" w:sz="4" w:space="0"/>
              <w:left w:val="single" w:color="auto" w:sz="4" w:space="0"/>
              <w:bottom w:val="single" w:color="auto" w:sz="4" w:space="0"/>
              <w:right w:val="single" w:color="auto" w:sz="4" w:space="0"/>
            </w:tcBorders>
            <w:vAlign w:val="center"/>
          </w:tcPr>
          <w:p w14:paraId="7324C7D6">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1351" w:type="dxa"/>
            <w:tcBorders>
              <w:top w:val="single" w:color="auto" w:sz="4" w:space="0"/>
              <w:left w:val="single" w:color="auto" w:sz="4" w:space="0"/>
              <w:bottom w:val="single" w:color="auto" w:sz="4" w:space="0"/>
              <w:right w:val="single" w:color="auto" w:sz="4" w:space="0"/>
            </w:tcBorders>
            <w:vAlign w:val="center"/>
          </w:tcPr>
          <w:p w14:paraId="651353A7">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r>
      <w:tr w14:paraId="71D6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vAlign w:val="center"/>
          </w:tcPr>
          <w:p w14:paraId="261CC650">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5</w:t>
            </w:r>
          </w:p>
        </w:tc>
        <w:tc>
          <w:tcPr>
            <w:tcW w:w="2268" w:type="dxa"/>
            <w:gridSpan w:val="4"/>
            <w:tcBorders>
              <w:top w:val="single" w:color="auto" w:sz="4" w:space="0"/>
              <w:left w:val="single" w:color="auto" w:sz="4" w:space="0"/>
              <w:bottom w:val="single" w:color="auto" w:sz="4" w:space="0"/>
              <w:right w:val="single" w:color="auto" w:sz="4" w:space="0"/>
            </w:tcBorders>
            <w:vAlign w:val="center"/>
          </w:tcPr>
          <w:p w14:paraId="38F0AD13">
            <w:pPr>
              <w:widowControl/>
              <w:kinsoku/>
              <w:autoSpaceDE w:val="0"/>
              <w:autoSpaceDN/>
              <w:bidi w:val="0"/>
              <w:spacing w:line="560" w:lineRule="exact"/>
              <w:jc w:val="center"/>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bidi="ar"/>
              </w:rPr>
              <w:t>响应文件编制人员</w:t>
            </w:r>
          </w:p>
        </w:tc>
        <w:tc>
          <w:tcPr>
            <w:tcW w:w="1008" w:type="dxa"/>
            <w:gridSpan w:val="2"/>
            <w:tcBorders>
              <w:top w:val="single" w:color="auto" w:sz="4" w:space="0"/>
              <w:left w:val="single" w:color="auto" w:sz="4" w:space="0"/>
              <w:bottom w:val="single" w:color="auto" w:sz="4" w:space="0"/>
              <w:right w:val="single" w:color="auto" w:sz="4" w:space="0"/>
            </w:tcBorders>
            <w:vAlign w:val="center"/>
          </w:tcPr>
          <w:p w14:paraId="042C8CB8">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1632" w:type="dxa"/>
            <w:gridSpan w:val="2"/>
            <w:tcBorders>
              <w:top w:val="single" w:color="auto" w:sz="4" w:space="0"/>
              <w:left w:val="single" w:color="auto" w:sz="4" w:space="0"/>
              <w:bottom w:val="single" w:color="auto" w:sz="4" w:space="0"/>
              <w:right w:val="single" w:color="auto" w:sz="4" w:space="0"/>
            </w:tcBorders>
            <w:vAlign w:val="center"/>
          </w:tcPr>
          <w:p w14:paraId="3C1F2804">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1464" w:type="dxa"/>
            <w:gridSpan w:val="2"/>
            <w:tcBorders>
              <w:top w:val="single" w:color="auto" w:sz="4" w:space="0"/>
              <w:left w:val="single" w:color="auto" w:sz="4" w:space="0"/>
              <w:bottom w:val="single" w:color="auto" w:sz="4" w:space="0"/>
              <w:right w:val="single" w:color="auto" w:sz="4" w:space="0"/>
            </w:tcBorders>
            <w:vAlign w:val="center"/>
          </w:tcPr>
          <w:p w14:paraId="124EEBA3">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1351" w:type="dxa"/>
            <w:tcBorders>
              <w:top w:val="single" w:color="auto" w:sz="4" w:space="0"/>
              <w:left w:val="single" w:color="auto" w:sz="4" w:space="0"/>
              <w:bottom w:val="single" w:color="auto" w:sz="4" w:space="0"/>
              <w:right w:val="single" w:color="auto" w:sz="4" w:space="0"/>
            </w:tcBorders>
            <w:vAlign w:val="center"/>
          </w:tcPr>
          <w:p w14:paraId="78B278F2">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r>
      <w:tr w14:paraId="077A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tcPr>
          <w:p w14:paraId="578E41B0">
            <w:pPr>
              <w:widowControl/>
              <w:kinsoku/>
              <w:autoSpaceDE w:val="0"/>
              <w:autoSpaceDN/>
              <w:bidi w:val="0"/>
              <w:spacing w:line="5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bidi="ar"/>
              </w:rPr>
              <w:t>说明：同一职务有多人担任（如主要技术人员），应分行填写。</w:t>
            </w:r>
          </w:p>
        </w:tc>
      </w:tr>
      <w:tr w14:paraId="6603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vAlign w:val="center"/>
          </w:tcPr>
          <w:p w14:paraId="0D85EDDE">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bidi="ar"/>
              </w:rPr>
              <w:t>供应商关联关系情况</w:t>
            </w:r>
          </w:p>
        </w:tc>
      </w:tr>
      <w:tr w14:paraId="28290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gridSpan w:val="2"/>
            <w:tcBorders>
              <w:top w:val="single" w:color="auto" w:sz="4" w:space="0"/>
              <w:left w:val="single" w:color="auto" w:sz="4" w:space="0"/>
              <w:bottom w:val="single" w:color="auto" w:sz="4" w:space="0"/>
              <w:right w:val="single" w:color="auto" w:sz="4" w:space="0"/>
            </w:tcBorders>
            <w:vAlign w:val="center"/>
          </w:tcPr>
          <w:p w14:paraId="1DF712D6">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序号</w:t>
            </w:r>
          </w:p>
        </w:tc>
        <w:tc>
          <w:tcPr>
            <w:tcW w:w="1897" w:type="dxa"/>
            <w:gridSpan w:val="2"/>
            <w:tcBorders>
              <w:top w:val="single" w:color="auto" w:sz="4" w:space="0"/>
              <w:left w:val="single" w:color="auto" w:sz="4" w:space="0"/>
              <w:bottom w:val="single" w:color="auto" w:sz="4" w:space="0"/>
              <w:right w:val="single" w:color="auto" w:sz="4" w:space="0"/>
            </w:tcBorders>
            <w:vAlign w:val="center"/>
          </w:tcPr>
          <w:p w14:paraId="2A9A5237">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关联关系类型</w:t>
            </w:r>
          </w:p>
        </w:tc>
        <w:tc>
          <w:tcPr>
            <w:tcW w:w="2351" w:type="dxa"/>
            <w:gridSpan w:val="4"/>
            <w:tcBorders>
              <w:top w:val="single" w:color="auto" w:sz="4" w:space="0"/>
              <w:left w:val="single" w:color="auto" w:sz="4" w:space="0"/>
              <w:bottom w:val="single" w:color="auto" w:sz="4" w:space="0"/>
              <w:right w:val="single" w:color="auto" w:sz="4" w:space="0"/>
            </w:tcBorders>
            <w:vAlign w:val="center"/>
          </w:tcPr>
          <w:p w14:paraId="7D50E3D7">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关联主体名称</w:t>
            </w:r>
          </w:p>
        </w:tc>
        <w:tc>
          <w:tcPr>
            <w:tcW w:w="3331" w:type="dxa"/>
            <w:gridSpan w:val="4"/>
            <w:tcBorders>
              <w:top w:val="single" w:color="auto" w:sz="4" w:space="0"/>
              <w:left w:val="single" w:color="auto" w:sz="4" w:space="0"/>
              <w:bottom w:val="single" w:color="auto" w:sz="4" w:space="0"/>
              <w:right w:val="single" w:color="auto" w:sz="4" w:space="0"/>
            </w:tcBorders>
            <w:vAlign w:val="center"/>
          </w:tcPr>
          <w:p w14:paraId="2341A379">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备注</w:t>
            </w:r>
          </w:p>
        </w:tc>
      </w:tr>
      <w:tr w14:paraId="5555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gridSpan w:val="2"/>
            <w:tcBorders>
              <w:top w:val="single" w:color="auto" w:sz="4" w:space="0"/>
              <w:left w:val="single" w:color="auto" w:sz="4" w:space="0"/>
              <w:bottom w:val="single" w:color="auto" w:sz="4" w:space="0"/>
              <w:right w:val="single" w:color="auto" w:sz="4" w:space="0"/>
            </w:tcBorders>
            <w:vAlign w:val="center"/>
          </w:tcPr>
          <w:p w14:paraId="4A530A0C">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1</w:t>
            </w:r>
          </w:p>
        </w:tc>
        <w:tc>
          <w:tcPr>
            <w:tcW w:w="1897" w:type="dxa"/>
            <w:gridSpan w:val="2"/>
            <w:tcBorders>
              <w:top w:val="single" w:color="auto" w:sz="4" w:space="0"/>
              <w:left w:val="single" w:color="auto" w:sz="4" w:space="0"/>
              <w:bottom w:val="single" w:color="auto" w:sz="4" w:space="0"/>
              <w:right w:val="single" w:color="auto" w:sz="4" w:space="0"/>
            </w:tcBorders>
            <w:vAlign w:val="center"/>
          </w:tcPr>
          <w:p w14:paraId="6EB549FF">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控股股东</w:t>
            </w:r>
          </w:p>
        </w:tc>
        <w:tc>
          <w:tcPr>
            <w:tcW w:w="2351" w:type="dxa"/>
            <w:gridSpan w:val="4"/>
            <w:tcBorders>
              <w:top w:val="single" w:color="auto" w:sz="4" w:space="0"/>
              <w:left w:val="single" w:color="auto" w:sz="4" w:space="0"/>
              <w:bottom w:val="single" w:color="auto" w:sz="4" w:space="0"/>
              <w:right w:val="single" w:color="auto" w:sz="4" w:space="0"/>
            </w:tcBorders>
            <w:vAlign w:val="center"/>
          </w:tcPr>
          <w:p w14:paraId="3BE49B19">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3331" w:type="dxa"/>
            <w:gridSpan w:val="4"/>
            <w:tcBorders>
              <w:top w:val="single" w:color="auto" w:sz="4" w:space="0"/>
              <w:left w:val="single" w:color="auto" w:sz="4" w:space="0"/>
              <w:bottom w:val="single" w:color="auto" w:sz="4" w:space="0"/>
              <w:right w:val="single" w:color="auto" w:sz="4" w:space="0"/>
            </w:tcBorders>
            <w:vAlign w:val="center"/>
          </w:tcPr>
          <w:p w14:paraId="4C1ED171">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Cs w:val="21"/>
                <w:lang w:bidi="ar"/>
              </w:rPr>
              <w:t>指出资额（或持有股份）占供应商资本总额（或股本总额）50</w:t>
            </w:r>
            <w:r>
              <w:rPr>
                <w:rFonts w:hint="eastAsia" w:ascii="仿宋_GB2312" w:hAnsi="仿宋_GB2312" w:eastAsia="仿宋_GB2312" w:cs="仿宋_GB2312"/>
                <w:color w:val="auto"/>
                <w:szCs w:val="21"/>
                <w:lang w:eastAsia="zh-CN" w:bidi="ar"/>
              </w:rPr>
              <w:t>％</w:t>
            </w:r>
            <w:r>
              <w:rPr>
                <w:rFonts w:hint="eastAsia" w:ascii="仿宋_GB2312" w:hAnsi="仿宋_GB2312" w:eastAsia="仿宋_GB2312" w:cs="仿宋_GB2312"/>
                <w:color w:val="auto"/>
                <w:szCs w:val="21"/>
                <w:lang w:bidi="ar"/>
              </w:rPr>
              <w:t>以上的股东，以及出资额（或持有股份）的比例虽然不足50</w:t>
            </w:r>
            <w:r>
              <w:rPr>
                <w:rFonts w:hint="eastAsia" w:ascii="仿宋_GB2312" w:hAnsi="仿宋_GB2312" w:eastAsia="仿宋_GB2312" w:cs="仿宋_GB2312"/>
                <w:color w:val="auto"/>
                <w:szCs w:val="21"/>
                <w:lang w:eastAsia="zh-CN" w:bidi="ar"/>
              </w:rPr>
              <w:t>％</w:t>
            </w:r>
            <w:r>
              <w:rPr>
                <w:rFonts w:hint="eastAsia" w:ascii="仿宋_GB2312" w:hAnsi="仿宋_GB2312" w:eastAsia="仿宋_GB2312" w:cs="仿宋_GB2312"/>
                <w:color w:val="auto"/>
                <w:szCs w:val="21"/>
                <w:lang w:bidi="ar"/>
              </w:rPr>
              <w:t>，但依其出资额（或持有股份）所享有的表决权已足以对供应商股东会（或股东大会）的决议产生重要影响的股东。</w:t>
            </w:r>
          </w:p>
        </w:tc>
      </w:tr>
      <w:tr w14:paraId="0892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gridSpan w:val="2"/>
            <w:tcBorders>
              <w:top w:val="single" w:color="auto" w:sz="4" w:space="0"/>
              <w:left w:val="single" w:color="auto" w:sz="4" w:space="0"/>
              <w:bottom w:val="single" w:color="auto" w:sz="4" w:space="0"/>
              <w:right w:val="single" w:color="auto" w:sz="4" w:space="0"/>
            </w:tcBorders>
            <w:vAlign w:val="center"/>
          </w:tcPr>
          <w:p w14:paraId="55E1C9F9">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2</w:t>
            </w:r>
          </w:p>
        </w:tc>
        <w:tc>
          <w:tcPr>
            <w:tcW w:w="1897" w:type="dxa"/>
            <w:gridSpan w:val="2"/>
            <w:tcBorders>
              <w:top w:val="single" w:color="auto" w:sz="4" w:space="0"/>
              <w:left w:val="single" w:color="auto" w:sz="4" w:space="0"/>
              <w:bottom w:val="single" w:color="auto" w:sz="4" w:space="0"/>
              <w:right w:val="single" w:color="auto" w:sz="4" w:space="0"/>
            </w:tcBorders>
            <w:vAlign w:val="center"/>
          </w:tcPr>
          <w:p w14:paraId="520E2661">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bidi="ar"/>
              </w:rPr>
              <w:t>管理关系</w:t>
            </w:r>
          </w:p>
        </w:tc>
        <w:tc>
          <w:tcPr>
            <w:tcW w:w="2351" w:type="dxa"/>
            <w:gridSpan w:val="4"/>
            <w:tcBorders>
              <w:top w:val="single" w:color="auto" w:sz="4" w:space="0"/>
              <w:left w:val="single" w:color="auto" w:sz="4" w:space="0"/>
              <w:bottom w:val="single" w:color="auto" w:sz="4" w:space="0"/>
              <w:right w:val="single" w:color="auto" w:sz="4" w:space="0"/>
            </w:tcBorders>
            <w:vAlign w:val="center"/>
          </w:tcPr>
          <w:p w14:paraId="03E337AD">
            <w:pPr>
              <w:widowControl/>
              <w:kinsoku/>
              <w:autoSpaceDE w:val="0"/>
              <w:autoSpaceDN/>
              <w:bidi w:val="0"/>
              <w:spacing w:line="560" w:lineRule="exact"/>
              <w:jc w:val="center"/>
              <w:rPr>
                <w:rFonts w:hint="eastAsia" w:ascii="仿宋_GB2312" w:hAnsi="仿宋_GB2312" w:eastAsia="仿宋_GB2312" w:cs="仿宋_GB2312"/>
                <w:color w:val="auto"/>
                <w:sz w:val="28"/>
                <w:szCs w:val="28"/>
              </w:rPr>
            </w:pPr>
          </w:p>
        </w:tc>
        <w:tc>
          <w:tcPr>
            <w:tcW w:w="3331" w:type="dxa"/>
            <w:gridSpan w:val="4"/>
            <w:tcBorders>
              <w:top w:val="single" w:color="auto" w:sz="4" w:space="0"/>
              <w:left w:val="single" w:color="auto" w:sz="4" w:space="0"/>
              <w:bottom w:val="single" w:color="auto" w:sz="4" w:space="0"/>
              <w:right w:val="single" w:color="auto" w:sz="4" w:space="0"/>
            </w:tcBorders>
            <w:vAlign w:val="center"/>
          </w:tcPr>
          <w:p w14:paraId="3EDB928F">
            <w:pPr>
              <w:widowControl/>
              <w:kinsoku/>
              <w:autoSpaceDE w:val="0"/>
              <w:autoSpaceDN/>
              <w:bidi w:val="0"/>
              <w:spacing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Cs w:val="21"/>
                <w:lang w:bidi="ar"/>
              </w:rPr>
              <w:t>指对供应商不具有出资持股关系，但对其存在管理关系的主体。</w:t>
            </w:r>
          </w:p>
        </w:tc>
      </w:tr>
      <w:tr w14:paraId="0958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tcPr>
          <w:p w14:paraId="6DAC62D5">
            <w:pPr>
              <w:widowControl/>
              <w:kinsoku/>
              <w:autoSpaceDE w:val="0"/>
              <w:autoSpaceDN/>
              <w:bidi w:val="0"/>
              <w:spacing w:line="56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bidi="ar"/>
              </w:rPr>
              <w:t>说明：同一关联关系类型有多个主体的，应分行填写。</w:t>
            </w:r>
          </w:p>
        </w:tc>
      </w:tr>
    </w:tbl>
    <w:p w14:paraId="217A145D">
      <w:pPr>
        <w:pStyle w:val="19"/>
        <w:widowControl/>
        <w:kinsoku/>
        <w:autoSpaceDN/>
        <w:bidi w:val="0"/>
        <w:spacing w:line="560" w:lineRule="exact"/>
        <w:rPr>
          <w:rFonts w:ascii="Times New Roman" w:hAnsi="Times New Roman" w:eastAsia="仿宋_GB2312" w:cs="仿宋_GB2312"/>
          <w:b/>
          <w:color w:val="auto"/>
          <w:sz w:val="32"/>
          <w:szCs w:val="32"/>
        </w:rPr>
      </w:pPr>
      <w:r>
        <w:rPr>
          <w:rFonts w:ascii="Times New Roman" w:hAnsi="Times New Roman" w:eastAsia="仿宋_GB2312" w:cs="仿宋_GB2312"/>
          <w:b/>
          <w:color w:val="auto"/>
          <w:sz w:val="32"/>
          <w:szCs w:val="32"/>
        </w:rPr>
        <w:t>注：</w:t>
      </w:r>
      <w:r>
        <w:rPr>
          <w:rFonts w:ascii="Times New Roman" w:hAnsi="Times New Roman" w:eastAsia="仿宋_GB2312" w:cs="仿宋_GB2312"/>
          <w:color w:val="auto"/>
          <w:sz w:val="32"/>
          <w:szCs w:val="32"/>
          <w:u w:val="single"/>
        </w:rPr>
        <w:t>项目响应授权代表人、项目负责人、主要技术人员</w:t>
      </w:r>
      <w:r>
        <w:rPr>
          <w:rFonts w:ascii="Times New Roman" w:hAnsi="Times New Roman" w:eastAsia="仿宋_GB2312" w:cs="仿宋_GB2312"/>
          <w:color w:val="auto"/>
          <w:sz w:val="32"/>
          <w:szCs w:val="32"/>
        </w:rPr>
        <w:t>需另附近3个月（连续且自响应截止之日倒推3个月）的</w:t>
      </w:r>
      <w:r>
        <w:rPr>
          <w:rFonts w:ascii="Times New Roman" w:hAnsi="Times New Roman" w:eastAsia="仿宋_GB2312" w:cs="仿宋_GB2312"/>
          <w:b w:val="0"/>
          <w:bCs/>
          <w:color w:val="auto"/>
          <w:sz w:val="32"/>
          <w:szCs w:val="32"/>
        </w:rPr>
        <w:t>社保缴纳记录证明。社保缴纳单位应为供应商，特殊情</w:t>
      </w:r>
      <w:r>
        <w:rPr>
          <w:rFonts w:ascii="Times New Roman" w:hAnsi="Times New Roman" w:eastAsia="仿宋_GB2312" w:cs="仿宋_GB2312"/>
          <w:color w:val="auto"/>
          <w:sz w:val="32"/>
          <w:szCs w:val="32"/>
        </w:rPr>
        <w:t>况（如退休返聘、外籍员工等）需提供相关证明材料。社保缴纳记录应为供应商注册所在地社会保障部门出具的社保缴纳记录证明文件，并包含养老保险和医疗保险等主要险种。</w:t>
      </w:r>
    </w:p>
    <w:p w14:paraId="636C00A9">
      <w:pPr>
        <w:pStyle w:val="19"/>
        <w:widowControl/>
        <w:kinsoku/>
        <w:autoSpaceDN/>
        <w:bidi w:val="0"/>
        <w:spacing w:line="560" w:lineRule="exact"/>
        <w:rPr>
          <w:rFonts w:ascii="Times New Roman" w:hAnsi="Times New Roman" w:eastAsia="仿宋_GB2312" w:cs="仿宋_GB2312"/>
          <w:b/>
          <w:color w:val="auto"/>
          <w:sz w:val="32"/>
          <w:szCs w:val="32"/>
        </w:rPr>
      </w:pPr>
      <w:r>
        <w:rPr>
          <w:rFonts w:ascii="Times New Roman" w:hAnsi="Times New Roman" w:eastAsia="仿宋_GB2312" w:cs="仿宋_GB2312"/>
          <w:b/>
          <w:color w:val="auto"/>
          <w:sz w:val="32"/>
          <w:szCs w:val="32"/>
        </w:rPr>
        <w:t>供应商声明：</w:t>
      </w:r>
    </w:p>
    <w:p w14:paraId="41623B2C">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color w:val="auto"/>
          <w:sz w:val="32"/>
          <w:szCs w:val="32"/>
        </w:rPr>
        <w:t>1.供应商填写内容与事实不符的，采购人有权取</w:t>
      </w:r>
      <w:r>
        <w:rPr>
          <w:rFonts w:ascii="Times New Roman" w:hAnsi="Times New Roman" w:eastAsia="仿宋_GB2312" w:cs="仿宋_GB2312"/>
          <w:color w:val="auto"/>
          <w:spacing wpsCustomData:val="-6" w:val="7"/>
          <w:sz w:val="32"/>
          <w:szCs w:val="32"/>
        </w:rPr>
        <w:t>消其响应资格、</w:t>
      </w:r>
      <w:r>
        <w:rPr>
          <w:rFonts w:ascii="Times New Roman" w:hAnsi="Times New Roman" w:eastAsia="仿宋_GB2312" w:cs="仿宋_GB2312"/>
          <w:color w:val="auto"/>
          <w:spacing wpsCustomData:val="7" w:val="13"/>
          <w:sz w:val="32"/>
          <w:szCs w:val="32"/>
        </w:rPr>
        <w:t>作无效响应处理或解除合</w:t>
      </w:r>
      <w:r>
        <w:rPr>
          <w:rFonts w:ascii="Times New Roman" w:hAnsi="Times New Roman" w:eastAsia="仿宋_GB2312" w:cs="仿宋_GB2312"/>
          <w:color w:val="auto"/>
          <w:spacing wpsCustomData:val="29" w:val="35"/>
          <w:sz w:val="32"/>
          <w:szCs w:val="32"/>
        </w:rPr>
        <w:t>同</w:t>
      </w:r>
      <w:r>
        <w:rPr>
          <w:rFonts w:ascii="Times New Roman" w:hAnsi="Times New Roman" w:eastAsia="仿宋_GB2312" w:cs="仿宋_GB2312"/>
          <w:color w:val="auto"/>
          <w:spacing wpsCustomData:val="-6" w:val="7"/>
          <w:sz w:val="32"/>
          <w:szCs w:val="32"/>
        </w:rPr>
        <w:t>，并依法追究其</w:t>
      </w:r>
      <w:r>
        <w:rPr>
          <w:rFonts w:ascii="Times New Roman" w:hAnsi="Times New Roman" w:eastAsia="仿宋_GB2312" w:cs="仿宋_GB2312"/>
          <w:color w:val="auto"/>
          <w:spacing wpsCustomData:val="7" w:val="13"/>
          <w:sz w:val="32"/>
          <w:szCs w:val="32"/>
        </w:rPr>
        <w:t>法</w:t>
      </w:r>
      <w:r>
        <w:rPr>
          <w:rFonts w:ascii="Times New Roman" w:hAnsi="Times New Roman" w:eastAsia="仿宋_GB2312" w:cs="仿宋_GB2312"/>
          <w:color w:val="auto"/>
          <w:spacing wpsCustomData:val="-6" w:val="-6"/>
          <w:sz w:val="32"/>
          <w:szCs w:val="32"/>
        </w:rPr>
        <w:t>律</w:t>
      </w:r>
      <w:r>
        <w:rPr>
          <w:rFonts w:ascii="Times New Roman" w:hAnsi="Times New Roman" w:eastAsia="仿宋_GB2312" w:cs="仿宋_GB2312"/>
          <w:color w:val="auto"/>
          <w:sz w:val="32"/>
          <w:szCs w:val="32"/>
        </w:rPr>
        <w:t>责任。</w:t>
      </w:r>
    </w:p>
    <w:p w14:paraId="7084D069">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color w:val="auto"/>
          <w:sz w:val="32"/>
          <w:szCs w:val="32"/>
        </w:rPr>
        <w:t>2.供应商存在串通响应等行为的，将被列入采购人采购失信名单。</w:t>
      </w:r>
    </w:p>
    <w:p w14:paraId="323C4CA6">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color w:val="auto"/>
          <w:sz w:val="32"/>
          <w:szCs w:val="32"/>
        </w:rPr>
        <w:t>3.本情况表自签署之日起生效，适用于本次采购活动及后续合同履行阶段。</w:t>
      </w:r>
    </w:p>
    <w:p w14:paraId="4E554390">
      <w:pPr>
        <w:widowControl/>
        <w:kinsoku/>
        <w:autoSpaceDN/>
        <w:bidi w:val="0"/>
        <w:spacing w:line="560" w:lineRule="exact"/>
        <w:rPr>
          <w:rFonts w:ascii="仿宋_GB2312" w:eastAsia="仿宋_GB2312" w:cs="仿宋_GB2312"/>
          <w:color w:val="auto"/>
          <w:sz w:val="32"/>
          <w:szCs w:val="32"/>
          <w:shd w:val="clear" w:color="auto" w:fill="FFFFFF"/>
        </w:rPr>
      </w:pPr>
      <w:r>
        <w:rPr>
          <w:rFonts w:hint="eastAsia" w:ascii="仿宋_GB2312" w:hAnsi="Calibri" w:eastAsia="仿宋_GB2312" w:cs="仿宋_GB2312"/>
          <w:color w:val="auto"/>
          <w:sz w:val="32"/>
          <w:szCs w:val="32"/>
          <w:shd w:val="clear" w:color="auto" w:fill="FFFFFF"/>
          <w:lang w:bidi="ar"/>
        </w:rPr>
        <w:t xml:space="preserve"> </w:t>
      </w:r>
    </w:p>
    <w:p w14:paraId="380DBB30">
      <w:pPr>
        <w:widowControl/>
        <w:kinsoku/>
        <w:autoSpaceDN/>
        <w:bidi w:val="0"/>
        <w:spacing w:line="560" w:lineRule="exact"/>
        <w:rPr>
          <w:rFonts w:ascii="仿宋_GB2312" w:eastAsia="仿宋_GB2312" w:cs="仿宋_GB2312"/>
          <w:color w:val="auto"/>
          <w:sz w:val="32"/>
          <w:szCs w:val="32"/>
          <w:shd w:val="clear" w:color="auto" w:fill="FFFFFF"/>
        </w:rPr>
      </w:pPr>
      <w:r>
        <w:rPr>
          <w:rFonts w:hint="eastAsia" w:ascii="仿宋_GB2312" w:hAnsi="Calibri" w:eastAsia="仿宋_GB2312" w:cs="仿宋_GB2312"/>
          <w:color w:val="auto"/>
          <w:sz w:val="32"/>
          <w:szCs w:val="32"/>
          <w:shd w:val="clear" w:color="auto" w:fill="FFFFFF"/>
          <w:lang w:bidi="ar"/>
        </w:rPr>
        <w:t xml:space="preserve"> </w:t>
      </w:r>
    </w:p>
    <w:p w14:paraId="01D2EC0B">
      <w:pPr>
        <w:widowControl/>
        <w:kinsoku/>
        <w:autoSpaceDN/>
        <w:bidi w:val="0"/>
        <w:spacing w:line="560" w:lineRule="exact"/>
        <w:ind w:left="5760" w:hanging="5760" w:hangingChars="1800"/>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shd w:val="clear" w:color="auto" w:fill="FFFFFF"/>
          <w:lang w:bidi="ar"/>
        </w:rPr>
        <w:t xml:space="preserve">                           </w:t>
      </w:r>
      <w:r>
        <w:rPr>
          <w:rFonts w:hint="eastAsia" w:ascii="Times New Roman" w:hAnsi="Times New Roman" w:eastAsia="仿宋_GB2312" w:cs="仿宋_GB2312"/>
          <w:color w:val="auto"/>
          <w:sz w:val="32"/>
          <w:szCs w:val="32"/>
          <w:lang w:bidi="ar"/>
        </w:rPr>
        <w:t>填表单位：（加盖单位公章）      年   月   日</w:t>
      </w:r>
    </w:p>
    <w:p w14:paraId="6ADC3C80">
      <w:pPr>
        <w:widowControl/>
        <w:kinsoku/>
        <w:autoSpaceDN/>
        <w:bidi w:val="0"/>
        <w:spacing w:line="560" w:lineRule="exact"/>
        <w:rPr>
          <w:color w:val="auto"/>
        </w:rPr>
      </w:pPr>
      <w:r>
        <w:rPr>
          <w:color w:val="auto"/>
        </w:rPr>
        <w:br w:type="page"/>
      </w:r>
    </w:p>
    <w:p w14:paraId="4CF7E265">
      <w:pPr>
        <w:pStyle w:val="169"/>
        <w:widowControl/>
        <w:kinsoku/>
        <w:autoSpaceDN/>
        <w:bidi w:val="0"/>
        <w:spacing w:line="560" w:lineRule="exact"/>
        <w:rPr>
          <w:color w:val="auto"/>
        </w:rPr>
      </w:pPr>
      <mc:AlternateContent>
        <mc:Choice Requires="wpsCustomData">
          <wpsCustomData:docfieldStart id="5" docfieldname="附件_2" hidden="0" print="1" readonly="0" index="11"/>
        </mc:Choice>
      </mc:AlternateContent>
      <w:r>
        <w:rPr>
          <w:color w:val="auto"/>
        </w:rPr>
        <w:t>附件2</w:t>
      </w:r>
      <mc:AlternateContent>
        <mc:Choice Requires="wpsCustomData">
          <wpsCustomData:docfieldEnd id="5"/>
        </mc:Choice>
      </mc:AlternateContent>
    </w:p>
    <w:p w14:paraId="240F2A5F">
      <w:pPr>
        <w:pStyle w:val="19"/>
        <w:widowControl/>
        <w:kinsoku/>
        <w:autoSpaceDN/>
        <w:bidi w:val="0"/>
        <w:spacing w:line="560" w:lineRule="exact"/>
        <w:rPr>
          <w:color w:val="auto"/>
        </w:rPr>
      </w:pPr>
    </w:p>
    <w:p w14:paraId="5CB52776">
      <w:pPr>
        <w:pStyle w:val="33"/>
        <w:widowControl/>
        <w:kinsoku/>
        <w:autoSpaceDN/>
        <w:bidi w:val="0"/>
        <w:spacing w:line="560" w:lineRule="exact"/>
        <w:rPr>
          <w:color w:val="auto"/>
        </w:rPr>
      </w:pPr>
      <w:r>
        <w:rPr>
          <w:color w:val="auto"/>
        </w:rPr>
        <w:t>报价表</w:t>
      </w:r>
    </w:p>
    <w:tbl>
      <w:tblPr>
        <w:tblStyle w:val="166"/>
        <w:tblW w:w="8842"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Layout w:type="fixed"/>
        <w:tblCellMar>
          <w:top w:w="0" w:type="dxa"/>
          <w:left w:w="0" w:type="dxa"/>
          <w:bottom w:w="0" w:type="dxa"/>
          <w:right w:w="0" w:type="dxa"/>
        </w:tblCellMar>
      </w:tblPr>
      <w:tblGrid>
        <w:gridCol w:w="1513"/>
        <w:gridCol w:w="1880"/>
        <w:gridCol w:w="726"/>
        <w:gridCol w:w="1442"/>
        <w:gridCol w:w="3281"/>
      </w:tblGrid>
      <w:tr w14:paraId="18CD3E4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0" w:type="dxa"/>
            <w:bottom w:w="0" w:type="dxa"/>
            <w:right w:w="0" w:type="dxa"/>
          </w:tblCellMar>
        </w:tblPrEx>
        <w:trPr>
          <w:trHeight w:val="312" w:hRule="atLeast"/>
          <w:tblHeader/>
          <w:jc w:val="center"/>
        </w:trPr>
        <w:tc>
          <w:tcPr>
            <w:tcW w:w="1513" w:type="dxa"/>
            <w:vMerge w:val="restart"/>
            <w:tcBorders>
              <w:top w:val="single" w:color="000000" w:sz="8" w:space="0"/>
              <w:left w:val="single" w:color="000000" w:sz="8" w:space="0"/>
              <w:right w:val="single" w:color="000000" w:sz="4" w:space="0"/>
            </w:tcBorders>
            <w:shd w:val="clear" w:color="auto" w:fill="auto"/>
            <w:noWrap w:val="0"/>
            <w:tcMar>
              <w:top w:w="80" w:type="dxa"/>
              <w:left w:w="108" w:type="dxa"/>
              <w:bottom w:w="80" w:type="dxa"/>
              <w:right w:w="108" w:type="dxa"/>
            </w:tcMar>
            <w:vAlign w:val="center"/>
          </w:tcPr>
          <w:p w14:paraId="2CB7D3DA">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b/>
                <w:color w:val="auto"/>
              </w:rPr>
            </w:pPr>
            <w:r>
              <w:rPr>
                <w:rFonts w:hint="eastAsia" w:ascii="方正仿宋_GB2312" w:hAnsi="方正仿宋_GB2312" w:eastAsia="方正仿宋_GB2312" w:cs="方正仿宋_GB2312"/>
                <w:b/>
                <w:color w:val="auto"/>
                <w:lang w:val="zh-TW" w:eastAsia="zh-TW"/>
              </w:rPr>
              <w:t>类型</w:t>
            </w:r>
          </w:p>
        </w:tc>
        <w:tc>
          <w:tcPr>
            <w:tcW w:w="1880" w:type="dxa"/>
            <w:vMerge w:val="restart"/>
            <w:tcBorders>
              <w:top w:val="single" w:color="000000" w:sz="8" w:space="0"/>
              <w:left w:val="single" w:color="000000" w:sz="4" w:space="0"/>
              <w:right w:val="single" w:color="000000" w:sz="4" w:space="0"/>
            </w:tcBorders>
            <w:shd w:val="clear" w:color="auto" w:fill="auto"/>
            <w:noWrap w:val="0"/>
            <w:tcMar>
              <w:top w:w="80" w:type="dxa"/>
              <w:left w:w="108" w:type="dxa"/>
              <w:bottom w:w="80" w:type="dxa"/>
              <w:right w:w="108" w:type="dxa"/>
            </w:tcMar>
            <w:vAlign w:val="center"/>
          </w:tcPr>
          <w:p w14:paraId="234720F2">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b/>
                <w:color w:val="auto"/>
              </w:rPr>
            </w:pPr>
            <w:r>
              <w:rPr>
                <w:rFonts w:hint="eastAsia" w:ascii="方正仿宋_GB2312" w:hAnsi="方正仿宋_GB2312" w:eastAsia="方正仿宋_GB2312" w:cs="方正仿宋_GB2312"/>
                <w:b/>
                <w:color w:val="auto"/>
                <w:lang w:val="zh-TW" w:eastAsia="zh-TW"/>
              </w:rPr>
              <w:t>项目</w:t>
            </w:r>
          </w:p>
        </w:tc>
        <w:tc>
          <w:tcPr>
            <w:tcW w:w="726" w:type="dxa"/>
            <w:vMerge w:val="restart"/>
            <w:tcBorders>
              <w:top w:val="single" w:color="000000" w:sz="8" w:space="0"/>
              <w:left w:val="single" w:color="000000" w:sz="4" w:space="0"/>
              <w:right w:val="single" w:color="000000" w:sz="4" w:space="0"/>
            </w:tcBorders>
            <w:shd w:val="clear" w:color="auto" w:fill="auto"/>
            <w:noWrap w:val="0"/>
            <w:tcMar>
              <w:top w:w="80" w:type="dxa"/>
              <w:left w:w="108" w:type="dxa"/>
              <w:bottom w:w="80" w:type="dxa"/>
              <w:right w:w="108" w:type="dxa"/>
            </w:tcMar>
            <w:vAlign w:val="center"/>
          </w:tcPr>
          <w:p w14:paraId="7AC7BA14">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b/>
                <w:color w:val="auto"/>
              </w:rPr>
            </w:pPr>
            <w:r>
              <w:rPr>
                <w:rFonts w:hint="eastAsia" w:ascii="方正仿宋_GB2312" w:hAnsi="方正仿宋_GB2312" w:eastAsia="方正仿宋_GB2312" w:cs="方正仿宋_GB2312"/>
                <w:b/>
                <w:color w:val="auto"/>
                <w:lang w:val="zh-TW" w:eastAsia="zh-TW"/>
              </w:rPr>
              <w:t>单位</w:t>
            </w:r>
          </w:p>
        </w:tc>
        <w:tc>
          <w:tcPr>
            <w:tcW w:w="1442" w:type="dxa"/>
            <w:vMerge w:val="restart"/>
            <w:tcBorders>
              <w:top w:val="single" w:color="000000" w:sz="8" w:space="0"/>
              <w:left w:val="single" w:color="000000" w:sz="4" w:space="0"/>
              <w:right w:val="single" w:color="auto" w:sz="4" w:space="0"/>
            </w:tcBorders>
            <w:shd w:val="clear" w:color="auto" w:fill="auto"/>
            <w:noWrap w:val="0"/>
            <w:tcMar>
              <w:top w:w="80" w:type="dxa"/>
              <w:left w:w="108" w:type="dxa"/>
              <w:bottom w:w="80" w:type="dxa"/>
              <w:right w:w="108" w:type="dxa"/>
            </w:tcMar>
            <w:vAlign w:val="center"/>
          </w:tcPr>
          <w:p w14:paraId="5B3A8D1F">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b/>
                <w:color w:val="auto"/>
                <w:lang w:val="zh-TW"/>
              </w:rPr>
            </w:pPr>
            <w:r>
              <w:rPr>
                <w:rFonts w:hint="eastAsia" w:ascii="方正仿宋_GB2312" w:hAnsi="方正仿宋_GB2312" w:eastAsia="方正仿宋_GB2312" w:cs="方正仿宋_GB2312"/>
                <w:b/>
                <w:color w:val="auto"/>
                <w:lang w:val="zh-TW"/>
              </w:rPr>
              <w:t>含税代理服务费单价（元）</w:t>
            </w:r>
          </w:p>
        </w:tc>
        <w:tc>
          <w:tcPr>
            <w:tcW w:w="3281" w:type="dxa"/>
            <w:vMerge w:val="restart"/>
            <w:tcBorders>
              <w:top w:val="single" w:color="000000" w:sz="8" w:space="0"/>
              <w:left w:val="single" w:color="auto" w:sz="4" w:space="0"/>
              <w:right w:val="single" w:color="000000" w:sz="4" w:space="0"/>
            </w:tcBorders>
            <w:shd w:val="clear" w:color="auto" w:fill="auto"/>
            <w:noWrap w:val="0"/>
            <w:tcMar>
              <w:top w:w="-1" w:type="dxa"/>
              <w:left w:w="108" w:type="dxa"/>
              <w:bottom w:w="-1" w:type="dxa"/>
              <w:right w:w="108" w:type="dxa"/>
            </w:tcMar>
            <w:vAlign w:val="center"/>
          </w:tcPr>
          <w:p w14:paraId="7044C1D7">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b/>
                <w:color w:val="auto"/>
              </w:rPr>
            </w:pPr>
            <w:r>
              <w:rPr>
                <w:rFonts w:hint="eastAsia" w:ascii="方正仿宋_GB2312" w:hAnsi="方正仿宋_GB2312" w:eastAsia="方正仿宋_GB2312" w:cs="方正仿宋_GB2312"/>
                <w:b/>
                <w:color w:val="auto"/>
                <w:lang w:val="zh-TW"/>
              </w:rPr>
              <w:t>说明</w:t>
            </w:r>
          </w:p>
        </w:tc>
      </w:tr>
      <w:tr w14:paraId="19591D8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12" w:hRule="atLeast"/>
          <w:tblHeader/>
          <w:jc w:val="center"/>
        </w:trPr>
        <w:tc>
          <w:tcPr>
            <w:tcW w:w="1513" w:type="dxa"/>
            <w:vMerge w:val="continue"/>
            <w:tcBorders>
              <w:left w:val="single" w:color="000000" w:sz="8"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14DC1114">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b/>
                <w:color w:val="auto"/>
                <w:lang w:val="zh-TW" w:eastAsia="zh-TW"/>
              </w:rPr>
            </w:pPr>
          </w:p>
        </w:tc>
        <w:tc>
          <w:tcPr>
            <w:tcW w:w="1880" w:type="dxa"/>
            <w:vMerge w:val="continue"/>
            <w:tcBorders>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5987DE77">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b/>
                <w:color w:val="auto"/>
                <w:lang w:val="zh-TW" w:eastAsia="zh-TW"/>
              </w:rPr>
            </w:pPr>
          </w:p>
        </w:tc>
        <w:tc>
          <w:tcPr>
            <w:tcW w:w="726" w:type="dxa"/>
            <w:vMerge w:val="continue"/>
            <w:tcBorders>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4C6E6FE5">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b/>
                <w:color w:val="auto"/>
                <w:lang w:val="zh-TW" w:eastAsia="zh-TW"/>
              </w:rPr>
            </w:pPr>
          </w:p>
        </w:tc>
        <w:tc>
          <w:tcPr>
            <w:tcW w:w="1442" w:type="dxa"/>
            <w:vMerge w:val="continue"/>
            <w:tcBorders>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43C776EA">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b/>
                <w:color w:val="auto"/>
                <w:lang w:val="zh-TW"/>
              </w:rPr>
            </w:pPr>
            <w:r>
              <w:rPr>
                <w:color w:val="auto"/>
              </w:rPr>
              <w:t>含税代理服务费单价（元）</w:t>
            </w:r>
          </w:p>
        </w:tc>
        <w:tc>
          <w:tcPr>
            <w:tcW w:w="3281" w:type="dxa"/>
            <w:vMerge w:val="continue"/>
            <w:tcBorders>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5629B6DD">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b/>
                <w:color w:val="auto"/>
                <w:lang w:val="zh-TW"/>
              </w:rPr>
            </w:pPr>
          </w:p>
        </w:tc>
      </w:tr>
      <w:tr w14:paraId="1F2C406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restart"/>
            <w:tcBorders>
              <w:top w:val="single" w:color="000000" w:sz="4" w:space="0"/>
              <w:left w:val="single" w:color="000000" w:sz="8"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0ACF2E7F">
            <w:pPr>
              <w:widowControl/>
              <w:kinsoku/>
              <w:autoSpaceDN/>
              <w:bidi w:val="0"/>
              <w:snapToGrid w:val="0"/>
              <w:spacing w:line="560" w:lineRule="exact"/>
              <w:ind w:left="0" w:leftChars="0" w:right="0" w:rightChars="0" w:firstLine="0" w:firstLineChars="0"/>
              <w:jc w:val="left"/>
              <w:rPr>
                <w:rFonts w:hint="default"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color w:val="auto"/>
              </w:rPr>
              <w:t>1</w:t>
            </w:r>
            <w:r>
              <w:rPr>
                <w:rFonts w:hint="eastAsia" w:ascii="方正仿宋_GB2312" w:hAnsi="方正仿宋_GB2312" w:eastAsia="方正仿宋_GB2312" w:cs="方正仿宋_GB2312"/>
                <w:color w:val="auto"/>
                <w:lang w:val="zh-TW" w:eastAsia="zh-TW"/>
              </w:rPr>
              <w:t>．发明</w:t>
            </w:r>
            <w:r>
              <w:rPr>
                <w:rFonts w:hint="eastAsia" w:ascii="方正仿宋_GB2312" w:hAnsi="方正仿宋_GB2312" w:eastAsia="方正仿宋_GB2312" w:cs="方正仿宋_GB2312"/>
                <w:color w:val="auto"/>
                <w:lang w:val="en-US" w:eastAsia="zh-CN"/>
              </w:rPr>
              <w:t>专利申请</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49377F2D">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lang w:val="zh-TW" w:eastAsia="zh-TW"/>
              </w:rPr>
              <w:t>申请撰写费</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7116AE4C">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lang w:val="zh-TW" w:eastAsia="zh-TW"/>
              </w:rPr>
              <w:t>件</w:t>
            </w:r>
          </w:p>
        </w:tc>
        <w:tc>
          <w:tcPr>
            <w:tcW w:w="1442" w:type="dxa"/>
            <w:vMerge w:val="restart"/>
            <w:tcBorders>
              <w:top w:val="single" w:color="000000" w:sz="4" w:space="0"/>
              <w:left w:val="single" w:color="000000" w:sz="4" w:space="0"/>
              <w:right w:val="single" w:color="auto" w:sz="4" w:space="0"/>
            </w:tcBorders>
            <w:shd w:val="clear" w:color="auto" w:fill="auto"/>
            <w:noWrap w:val="0"/>
            <w:tcMar>
              <w:top w:w="80" w:type="dxa"/>
              <w:left w:w="108" w:type="dxa"/>
              <w:bottom w:w="80" w:type="dxa"/>
              <w:right w:w="108" w:type="dxa"/>
            </w:tcMar>
            <w:vAlign w:val="center"/>
          </w:tcPr>
          <w:p w14:paraId="0E29885B">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vMerge w:val="restart"/>
            <w:tcBorders>
              <w:top w:val="single" w:color="000000" w:sz="4" w:space="0"/>
              <w:left w:val="single" w:color="auto" w:sz="4" w:space="0"/>
              <w:right w:val="single" w:color="000000" w:sz="4" w:space="0"/>
            </w:tcBorders>
            <w:shd w:val="clear" w:color="auto" w:fill="auto"/>
            <w:noWrap w:val="0"/>
            <w:tcMar>
              <w:top w:w="-1" w:type="dxa"/>
              <w:left w:w="108" w:type="dxa"/>
              <w:bottom w:w="-1" w:type="dxa"/>
              <w:right w:w="108" w:type="dxa"/>
            </w:tcMar>
            <w:vAlign w:val="center"/>
          </w:tcPr>
          <w:p w14:paraId="6A60D084">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代理费包括专利布局规划、交底书挖掘交流、交底书撰写、撰写申请文件、审查意见答复以及授权登记办理</w:t>
            </w:r>
            <w:r>
              <w:rPr>
                <w:rFonts w:hint="eastAsia" w:ascii="方正仿宋_GB2312" w:hAnsi="方正仿宋_GB2312" w:eastAsia="方正仿宋_GB2312" w:cs="方正仿宋_GB2312"/>
                <w:color w:val="auto"/>
                <w:lang w:val="en-US" w:eastAsia="zh-CN"/>
              </w:rPr>
              <w:t>等全流程服务。</w:t>
            </w:r>
          </w:p>
        </w:tc>
      </w:tr>
      <w:tr w14:paraId="02DE333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top w:val="single" w:color="000000" w:sz="4" w:space="0"/>
              <w:left w:val="single" w:color="000000" w:sz="8"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7FAF9132">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0D622CF1">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lang w:val="zh-TW" w:eastAsia="zh-TW"/>
              </w:rPr>
              <w:t>实质审查</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0A62E41C">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lang w:val="zh-TW" w:eastAsia="zh-TW"/>
              </w:rPr>
              <w:t>件</w:t>
            </w:r>
          </w:p>
        </w:tc>
        <w:tc>
          <w:tcPr>
            <w:tcW w:w="1442" w:type="dxa"/>
            <w:vMerge w:val="continue"/>
            <w:tcBorders>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0ED5AF63">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color w:val="auto"/>
              </w:rPr>
              <w:t>包含</w:t>
            </w:r>
          </w:p>
        </w:tc>
        <w:tc>
          <w:tcPr>
            <w:tcW w:w="3281" w:type="dxa"/>
            <w:vMerge w:val="continue"/>
            <w:tcBorders>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36B618B2">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color w:val="auto"/>
              </w:rPr>
              <w:t>包含在发明专利申请代理服务单价中，不另行收费。</w:t>
            </w:r>
          </w:p>
        </w:tc>
      </w:tr>
      <w:tr w14:paraId="269BC9C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top w:val="single" w:color="000000" w:sz="4" w:space="0"/>
              <w:left w:val="single" w:color="000000" w:sz="8"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215EA011">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462F67AC">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预审程序</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23A90482">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lang w:val="zh-TW"/>
              </w:rPr>
            </w:pPr>
            <w:r>
              <w:rPr>
                <w:rFonts w:hint="eastAsia" w:ascii="方正仿宋_GB2312" w:hAnsi="方正仿宋_GB2312" w:eastAsia="方正仿宋_GB2312" w:cs="方正仿宋_GB2312"/>
                <w:color w:val="auto"/>
                <w:lang w:val="zh-TW"/>
              </w:rPr>
              <w:t>件</w:t>
            </w:r>
          </w:p>
        </w:tc>
        <w:tc>
          <w:tcPr>
            <w:tcW w:w="1442" w:type="dxa"/>
            <w:tcBorders>
              <w:top w:val="single" w:color="000000" w:sz="4" w:space="0"/>
              <w:left w:val="single" w:color="000000" w:sz="4" w:space="0"/>
              <w:bottom w:val="single" w:color="auto" w:sz="4" w:space="0"/>
              <w:right w:val="single" w:color="auto" w:sz="4" w:space="0"/>
            </w:tcBorders>
            <w:shd w:val="clear" w:color="auto" w:fill="auto"/>
            <w:noWrap w:val="0"/>
            <w:tcMar>
              <w:top w:w="80" w:type="dxa"/>
              <w:left w:w="108" w:type="dxa"/>
              <w:bottom w:w="80" w:type="dxa"/>
              <w:right w:w="108" w:type="dxa"/>
            </w:tcMar>
            <w:vAlign w:val="center"/>
          </w:tcPr>
          <w:p w14:paraId="261EAC98">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auto" w:sz="4" w:space="0"/>
              <w:right w:val="single" w:color="000000" w:sz="4" w:space="0"/>
            </w:tcBorders>
            <w:shd w:val="clear" w:color="auto" w:fill="auto"/>
            <w:noWrap w:val="0"/>
            <w:tcMar>
              <w:top w:w="-1" w:type="dxa"/>
              <w:left w:w="108" w:type="dxa"/>
              <w:bottom w:w="-1" w:type="dxa"/>
              <w:right w:w="108" w:type="dxa"/>
            </w:tcMar>
            <w:vAlign w:val="center"/>
          </w:tcPr>
          <w:p w14:paraId="01D013FF">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color w:val="auto"/>
              </w:rPr>
              <w:t>适用于符合预审条件的申请事项。</w:t>
            </w:r>
          </w:p>
        </w:tc>
      </w:tr>
      <w:tr w14:paraId="1FF3BB4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top w:val="single" w:color="000000" w:sz="4" w:space="0"/>
              <w:left w:val="single" w:color="000000" w:sz="8"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419863E2">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0E3CB35D">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优先审查程序</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49B9BD98">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lang w:val="zh-TW"/>
              </w:rPr>
            </w:pPr>
            <w:r>
              <w:rPr>
                <w:rFonts w:hint="eastAsia" w:ascii="方正仿宋_GB2312" w:hAnsi="方正仿宋_GB2312" w:eastAsia="方正仿宋_GB2312" w:cs="方正仿宋_GB2312"/>
                <w:color w:val="auto"/>
                <w:lang w:val="zh-TW"/>
              </w:rPr>
              <w:t>件</w:t>
            </w:r>
          </w:p>
        </w:tc>
        <w:tc>
          <w:tcPr>
            <w:tcW w:w="1442" w:type="dxa"/>
            <w:tcBorders>
              <w:top w:val="single" w:color="auto" w:sz="4" w:space="0"/>
              <w:left w:val="single" w:color="000000" w:sz="4" w:space="0"/>
              <w:bottom w:val="single" w:color="auto" w:sz="4" w:space="0"/>
              <w:right w:val="single" w:color="auto" w:sz="4" w:space="0"/>
            </w:tcBorders>
            <w:shd w:val="clear" w:color="auto" w:fill="auto"/>
            <w:noWrap w:val="0"/>
            <w:tcMar>
              <w:top w:w="80" w:type="dxa"/>
              <w:left w:w="108" w:type="dxa"/>
              <w:bottom w:w="80" w:type="dxa"/>
              <w:right w:w="108" w:type="dxa"/>
            </w:tcMar>
            <w:vAlign w:val="center"/>
          </w:tcPr>
          <w:p w14:paraId="75AB3CA5">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auto" w:sz="4" w:space="0"/>
              <w:left w:val="single" w:color="auto" w:sz="4" w:space="0"/>
              <w:bottom w:val="single" w:color="auto" w:sz="4" w:space="0"/>
              <w:right w:val="single" w:color="000000" w:sz="4" w:space="0"/>
            </w:tcBorders>
            <w:shd w:val="clear" w:color="auto" w:fill="auto"/>
            <w:noWrap w:val="0"/>
            <w:tcMar>
              <w:top w:w="-1" w:type="dxa"/>
              <w:left w:w="108" w:type="dxa"/>
              <w:bottom w:w="-1" w:type="dxa"/>
              <w:right w:w="108" w:type="dxa"/>
            </w:tcMar>
            <w:vAlign w:val="center"/>
          </w:tcPr>
          <w:p w14:paraId="45426A45">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7798123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top w:val="single" w:color="000000" w:sz="4" w:space="0"/>
              <w:left w:val="single" w:color="000000" w:sz="8"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64653177">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1927A0C9">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年费监控及代缴</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205010D8">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lang w:val="zh-TW" w:eastAsia="zh-TW"/>
              </w:rPr>
              <w:t>件</w:t>
            </w:r>
            <w:r>
              <w:rPr>
                <w:rFonts w:hint="eastAsia" w:ascii="方正仿宋_GB2312" w:hAnsi="方正仿宋_GB2312" w:eastAsia="方正仿宋_GB2312" w:cs="方正仿宋_GB2312"/>
                <w:color w:val="auto"/>
              </w:rPr>
              <w:t>次</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3AA2EF6F">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auto" w:sz="4" w:space="0"/>
              <w:left w:val="single" w:color="auto" w:sz="4" w:space="0"/>
              <w:bottom w:val="single" w:color="auto" w:sz="4" w:space="0"/>
              <w:right w:val="single" w:color="000000" w:sz="4" w:space="0"/>
            </w:tcBorders>
            <w:shd w:val="clear" w:color="auto" w:fill="auto"/>
            <w:noWrap w:val="0"/>
            <w:tcMar>
              <w:top w:w="-1" w:type="dxa"/>
              <w:left w:w="108" w:type="dxa"/>
              <w:bottom w:w="-1" w:type="dxa"/>
              <w:right w:w="108" w:type="dxa"/>
            </w:tcMar>
            <w:vAlign w:val="center"/>
          </w:tcPr>
          <w:p w14:paraId="17C83B4F">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监控及缴纳相应年费，垫付年费后再</w:t>
            </w:r>
            <w:r>
              <w:rPr>
                <w:rFonts w:hint="eastAsia" w:ascii="方正仿宋_GB2312" w:hAnsi="方正仿宋_GB2312" w:eastAsia="方正仿宋_GB2312" w:cs="方正仿宋_GB2312"/>
                <w:color w:val="auto"/>
                <w:lang w:val="en-US" w:eastAsia="zh-CN"/>
              </w:rPr>
              <w:t>据实结算。</w:t>
            </w:r>
          </w:p>
        </w:tc>
      </w:tr>
      <w:tr w14:paraId="3992A13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0" w:type="dxa"/>
            <w:bottom w:w="0" w:type="dxa"/>
            <w:right w:w="0" w:type="dxa"/>
          </w:tblCellMar>
        </w:tblPrEx>
        <w:trPr>
          <w:trHeight w:val="0" w:hRule="atLeast"/>
          <w:jc w:val="center"/>
        </w:trPr>
        <w:tc>
          <w:tcPr>
            <w:tcW w:w="1513" w:type="dxa"/>
            <w:vMerge w:val="restart"/>
            <w:tcBorders>
              <w:top w:val="single" w:color="000000" w:sz="4" w:space="0"/>
              <w:left w:val="single" w:color="000000" w:sz="8"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1FFF19D4">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2</w:t>
            </w:r>
            <w:r>
              <w:rPr>
                <w:rFonts w:hint="eastAsia" w:ascii="方正仿宋_GB2312" w:hAnsi="方正仿宋_GB2312" w:eastAsia="方正仿宋_GB2312" w:cs="方正仿宋_GB2312"/>
                <w:color w:val="auto"/>
                <w:lang w:val="zh-TW" w:eastAsia="zh-TW"/>
              </w:rPr>
              <w:t xml:space="preserve">．实用新型 </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188E91B1">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lang w:val="zh-TW" w:eastAsia="zh-TW"/>
              </w:rPr>
              <w:t>申请费</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3077E534">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lang w:val="zh-TW" w:eastAsia="zh-TW"/>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02A0D4AF">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auto"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6F0BFA6A">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代理费包括交底书挖掘交流、交底书撰写、撰写申请文件以及授权登记办理</w:t>
            </w:r>
            <w:r>
              <w:rPr>
                <w:rFonts w:hint="eastAsia" w:ascii="方正仿宋_GB2312" w:hAnsi="方正仿宋_GB2312" w:eastAsia="方正仿宋_GB2312" w:cs="方正仿宋_GB2312"/>
                <w:color w:val="auto"/>
                <w:lang w:val="en-US" w:eastAsia="zh-CN"/>
              </w:rPr>
              <w:t>等全流程服务（详见“报价说明2”）。</w:t>
            </w:r>
          </w:p>
        </w:tc>
      </w:tr>
      <w:tr w14:paraId="3A1D61E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0" w:type="dxa"/>
            <w:bottom w:w="0" w:type="dxa"/>
            <w:right w:w="0" w:type="dxa"/>
          </w:tblCellMar>
        </w:tblPrEx>
        <w:trPr>
          <w:trHeight w:val="0" w:hRule="atLeast"/>
          <w:jc w:val="center"/>
        </w:trPr>
        <w:tc>
          <w:tcPr>
            <w:tcW w:w="1513" w:type="dxa"/>
            <w:vMerge w:val="continue"/>
            <w:tcBorders>
              <w:top w:val="single" w:color="000000" w:sz="4" w:space="0"/>
              <w:left w:val="single" w:color="000000" w:sz="8"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4940346B">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3F27BA7F">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预审程序</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722A7ADE">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lang w:val="zh-TW"/>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62B88398">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5B9D3C41">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color w:val="auto"/>
              </w:rPr>
              <w:t>适用于符合预审条件的申请事项。</w:t>
            </w:r>
          </w:p>
        </w:tc>
      </w:tr>
      <w:tr w14:paraId="3C103B5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top w:val="single" w:color="000000" w:sz="4" w:space="0"/>
              <w:left w:val="single" w:color="000000" w:sz="8"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440CD88">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15199740">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优先审查程序</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11CC389C">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lang w:val="zh-TW"/>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62A481A6">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5C0EBA5C">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360E784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top w:val="single" w:color="000000" w:sz="4" w:space="0"/>
              <w:left w:val="single" w:color="000000" w:sz="8"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55C0F289">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6625569F">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年费监控及代缴</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4178FE55">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lang w:val="zh-TW" w:eastAsia="zh-TW"/>
              </w:rPr>
              <w:t>件</w:t>
            </w:r>
            <w:r>
              <w:rPr>
                <w:rFonts w:hint="eastAsia" w:ascii="方正仿宋_GB2312" w:hAnsi="方正仿宋_GB2312" w:eastAsia="方正仿宋_GB2312" w:cs="方正仿宋_GB2312"/>
                <w:color w:val="auto"/>
              </w:rPr>
              <w:t>次</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59C1E449">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7E5FA373">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监控及缴纳相应年费，垫付年费后再</w:t>
            </w:r>
            <w:r>
              <w:rPr>
                <w:rFonts w:hint="eastAsia" w:ascii="方正仿宋_GB2312" w:hAnsi="方正仿宋_GB2312" w:eastAsia="方正仿宋_GB2312" w:cs="方正仿宋_GB2312"/>
                <w:color w:val="auto"/>
                <w:lang w:val="en-US" w:eastAsia="zh-CN"/>
              </w:rPr>
              <w:t>据实结算。</w:t>
            </w:r>
          </w:p>
        </w:tc>
      </w:tr>
      <w:tr w14:paraId="249D038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restart"/>
            <w:tcBorders>
              <w:top w:val="single" w:color="000000" w:sz="4" w:space="0"/>
              <w:left w:val="single" w:color="000000" w:sz="8"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6429EFD2">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3.</w:t>
            </w:r>
            <w:r>
              <w:rPr>
                <w:rFonts w:hint="eastAsia" w:ascii="方正仿宋_GB2312" w:hAnsi="方正仿宋_GB2312" w:eastAsia="方正仿宋_GB2312" w:cs="方正仿宋_GB2312"/>
                <w:color w:val="auto"/>
                <w:lang w:val="zh-TW" w:eastAsia="zh-TW"/>
              </w:rPr>
              <w:t>外观设计</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37E240ED">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lang w:val="zh-TW" w:eastAsia="zh-TW"/>
              </w:rPr>
              <w:t>申请费</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7DE1A4AD">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lang w:val="zh-TW" w:eastAsia="zh-TW"/>
              </w:rPr>
              <w:t>件</w:t>
            </w:r>
          </w:p>
        </w:tc>
        <w:tc>
          <w:tcPr>
            <w:tcW w:w="1442" w:type="dxa"/>
            <w:tcBorders>
              <w:top w:val="single" w:color="000000" w:sz="4" w:space="0"/>
              <w:left w:val="single" w:color="000000" w:sz="4" w:space="0"/>
              <w:bottom w:val="single" w:color="auto" w:sz="4" w:space="0"/>
              <w:right w:val="single" w:color="auto" w:sz="4" w:space="0"/>
            </w:tcBorders>
            <w:shd w:val="clear" w:color="auto" w:fill="auto"/>
            <w:noWrap w:val="0"/>
            <w:tcMar>
              <w:top w:w="80" w:type="dxa"/>
              <w:left w:w="108" w:type="dxa"/>
              <w:bottom w:w="80" w:type="dxa"/>
              <w:right w:w="108" w:type="dxa"/>
            </w:tcMar>
            <w:vAlign w:val="center"/>
          </w:tcPr>
          <w:p w14:paraId="54778638">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0864F87A">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代理费包括专利挖掘交流、准备申请文件以及授权登记办理</w:t>
            </w:r>
            <w:r>
              <w:rPr>
                <w:rFonts w:hint="eastAsia" w:ascii="方正仿宋_GB2312" w:hAnsi="方正仿宋_GB2312" w:eastAsia="方正仿宋_GB2312" w:cs="方正仿宋_GB2312"/>
                <w:color w:val="auto"/>
                <w:lang w:val="en-US" w:eastAsia="zh-CN"/>
              </w:rPr>
              <w:t>等全流程服务（详见“报价说明2”）。</w:t>
            </w:r>
          </w:p>
        </w:tc>
      </w:tr>
      <w:tr w14:paraId="63A4D5A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top w:val="single" w:color="000000" w:sz="4" w:space="0"/>
              <w:left w:val="single" w:color="000000" w:sz="8"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369D86D9">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544AF1C5">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年费监控及代缴</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5A2A0295">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lang w:val="zh-TW" w:eastAsia="zh-TW"/>
              </w:rPr>
              <w:t>件</w:t>
            </w:r>
            <w:r>
              <w:rPr>
                <w:rFonts w:hint="eastAsia" w:ascii="方正仿宋_GB2312" w:hAnsi="方正仿宋_GB2312" w:eastAsia="方正仿宋_GB2312" w:cs="方正仿宋_GB2312"/>
                <w:color w:val="auto"/>
              </w:rPr>
              <w:t>次</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18B1FD2D">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7F4A622A">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监控及缴纳相应年费，垫付年费后再</w:t>
            </w:r>
            <w:r>
              <w:rPr>
                <w:rFonts w:hint="eastAsia" w:ascii="方正仿宋_GB2312" w:hAnsi="方正仿宋_GB2312" w:eastAsia="方正仿宋_GB2312" w:cs="方正仿宋_GB2312"/>
                <w:color w:val="auto"/>
                <w:lang w:val="en-US" w:eastAsia="zh-CN"/>
              </w:rPr>
              <w:t>据实结算。</w:t>
            </w:r>
          </w:p>
        </w:tc>
      </w:tr>
      <w:tr w14:paraId="1BD75A1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0" w:type="dxa"/>
            <w:bottom w:w="0" w:type="dxa"/>
            <w:right w:w="0" w:type="dxa"/>
          </w:tblCellMar>
        </w:tblPrEx>
        <w:trPr>
          <w:trHeight w:val="0" w:hRule="atLeast"/>
          <w:jc w:val="center"/>
        </w:trPr>
        <w:tc>
          <w:tcPr>
            <w:tcW w:w="1513" w:type="dxa"/>
            <w:vMerge w:val="restart"/>
            <w:tcBorders>
              <w:top w:val="single" w:color="auto" w:sz="4" w:space="0"/>
              <w:left w:val="single" w:color="000000" w:sz="8" w:space="0"/>
              <w:right w:val="single" w:color="000000" w:sz="4" w:space="0"/>
            </w:tcBorders>
            <w:shd w:val="clear" w:color="auto" w:fill="auto"/>
            <w:noWrap w:val="0"/>
            <w:tcMar>
              <w:top w:w="80" w:type="dxa"/>
              <w:left w:w="108" w:type="dxa"/>
              <w:bottom w:w="80" w:type="dxa"/>
              <w:right w:w="108" w:type="dxa"/>
            </w:tcMar>
            <w:vAlign w:val="center"/>
          </w:tcPr>
          <w:p w14:paraId="45A52CD4">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4.PCT申请（有优先权）</w:t>
            </w:r>
          </w:p>
        </w:tc>
        <w:tc>
          <w:tcPr>
            <w:tcW w:w="1880" w:type="dxa"/>
            <w:tcBorders>
              <w:top w:val="single" w:color="auto"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6CB58D97">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检索费</w:t>
            </w:r>
          </w:p>
        </w:tc>
        <w:tc>
          <w:tcPr>
            <w:tcW w:w="726" w:type="dxa"/>
            <w:tcBorders>
              <w:top w:val="single" w:color="auto"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0C05CC20">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auto" w:sz="4" w:space="0"/>
              <w:left w:val="single" w:color="auto" w:sz="4" w:space="0"/>
              <w:right w:val="single" w:color="auto" w:sz="4" w:space="0"/>
            </w:tcBorders>
            <w:shd w:val="clear" w:color="auto" w:fill="auto"/>
            <w:noWrap w:val="0"/>
            <w:tcMar>
              <w:top w:w="-1" w:type="dxa"/>
              <w:left w:w="108" w:type="dxa"/>
              <w:bottom w:w="-1" w:type="dxa"/>
              <w:right w:w="108" w:type="dxa"/>
            </w:tcMar>
            <w:vAlign w:val="center"/>
          </w:tcPr>
          <w:p w14:paraId="55749B40">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color w:val="auto"/>
              </w:rPr>
              <w:t>不报价（官费）</w:t>
            </w:r>
          </w:p>
        </w:tc>
        <w:tc>
          <w:tcPr>
            <w:tcW w:w="3281" w:type="dxa"/>
            <w:vMerge w:val="restart"/>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7574C5DB">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1A684E4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80" w:type="dxa"/>
              <w:left w:w="108" w:type="dxa"/>
              <w:bottom w:w="80" w:type="dxa"/>
              <w:right w:w="108" w:type="dxa"/>
            </w:tcMar>
            <w:vAlign w:val="center"/>
          </w:tcPr>
          <w:p w14:paraId="2FA73397">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auto"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3C72F389">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国际申请费</w:t>
            </w:r>
          </w:p>
        </w:tc>
        <w:tc>
          <w:tcPr>
            <w:tcW w:w="726" w:type="dxa"/>
            <w:tcBorders>
              <w:top w:val="single" w:color="auto"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20F593C8">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left w:val="single" w:color="auto" w:sz="4" w:space="0"/>
              <w:right w:val="single" w:color="auto" w:sz="4" w:space="0"/>
            </w:tcBorders>
            <w:shd w:val="clear" w:color="auto" w:fill="auto"/>
            <w:noWrap w:val="0"/>
            <w:tcMar>
              <w:top w:w="-1" w:type="dxa"/>
              <w:left w:w="108" w:type="dxa"/>
              <w:bottom w:w="-1" w:type="dxa"/>
              <w:right w:w="108" w:type="dxa"/>
            </w:tcMar>
            <w:vAlign w:val="center"/>
          </w:tcPr>
          <w:p w14:paraId="08331E4D">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color w:val="auto"/>
              </w:rPr>
              <w:t>不报价（官费）</w:t>
            </w:r>
          </w:p>
        </w:tc>
        <w:tc>
          <w:tcPr>
            <w:tcW w:w="3281" w:type="dxa"/>
            <w:vMerge w:val="continue"/>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2C1E1DC1">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21323CB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0" w:type="dxa"/>
            <w:bottom w:w="0" w:type="dxa"/>
            <w:right w:w="0" w:type="dxa"/>
          </w:tblCellMar>
        </w:tblPrEx>
        <w:trPr>
          <w:trHeight w:val="0" w:hRule="atLeast"/>
          <w:jc w:val="center"/>
        </w:trPr>
        <w:tc>
          <w:tcPr>
            <w:tcW w:w="1513" w:type="dxa"/>
            <w:vMerge w:val="continue"/>
            <w:tcBorders>
              <w:left w:val="single" w:color="000000" w:sz="8" w:space="0"/>
              <w:bottom w:val="single" w:color="auto" w:sz="4" w:space="0"/>
              <w:right w:val="single" w:color="000000" w:sz="4" w:space="0"/>
            </w:tcBorders>
            <w:shd w:val="clear" w:color="auto" w:fill="auto"/>
            <w:noWrap w:val="0"/>
            <w:tcMar>
              <w:top w:w="80" w:type="dxa"/>
              <w:left w:w="108" w:type="dxa"/>
              <w:bottom w:w="80" w:type="dxa"/>
              <w:right w:w="108" w:type="dxa"/>
            </w:tcMar>
            <w:vAlign w:val="center"/>
          </w:tcPr>
          <w:p w14:paraId="2E8FD97A">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auto"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5F96F56F">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优先权文本制作费</w:t>
            </w:r>
          </w:p>
        </w:tc>
        <w:tc>
          <w:tcPr>
            <w:tcW w:w="726" w:type="dxa"/>
            <w:tcBorders>
              <w:top w:val="single" w:color="auto"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3D52948B">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left w:val="single" w:color="auto" w:sz="4" w:space="0"/>
              <w:bottom w:val="single" w:color="000000" w:sz="4" w:space="0"/>
              <w:right w:val="single" w:color="auto" w:sz="4" w:space="0"/>
            </w:tcBorders>
            <w:shd w:val="clear" w:color="auto" w:fill="auto"/>
            <w:noWrap w:val="0"/>
            <w:tcMar>
              <w:top w:w="-1" w:type="dxa"/>
              <w:left w:w="108" w:type="dxa"/>
              <w:bottom w:w="-1" w:type="dxa"/>
              <w:right w:w="108" w:type="dxa"/>
            </w:tcMar>
            <w:vAlign w:val="center"/>
          </w:tcPr>
          <w:p w14:paraId="24195D95">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vMerge w:val="continue"/>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7C27E2BC">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color w:val="auto"/>
              </w:rPr>
              <w:t>按有关机构现行收费标准及实际发生金额据实结算。</w:t>
            </w:r>
          </w:p>
        </w:tc>
      </w:tr>
      <w:tr w14:paraId="67E5968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0" w:type="dxa"/>
            <w:bottom w:w="0" w:type="dxa"/>
            <w:right w:w="0" w:type="dxa"/>
          </w:tblCellMar>
        </w:tblPrEx>
        <w:trPr>
          <w:trHeight w:val="0" w:hRule="atLeast"/>
          <w:jc w:val="center"/>
        </w:trPr>
        <w:tc>
          <w:tcPr>
            <w:tcW w:w="1513" w:type="dxa"/>
            <w:vMerge w:val="restart"/>
            <w:tcBorders>
              <w:top w:val="single" w:color="auto" w:sz="4" w:space="0"/>
              <w:left w:val="single" w:color="000000" w:sz="8" w:space="0"/>
              <w:right w:val="single" w:color="000000" w:sz="4" w:space="0"/>
            </w:tcBorders>
            <w:shd w:val="clear" w:color="auto" w:fill="auto"/>
            <w:noWrap w:val="0"/>
            <w:tcMar>
              <w:top w:w="80" w:type="dxa"/>
              <w:left w:w="108" w:type="dxa"/>
              <w:bottom w:w="80" w:type="dxa"/>
              <w:right w:w="108" w:type="dxa"/>
            </w:tcMar>
            <w:vAlign w:val="center"/>
          </w:tcPr>
          <w:p w14:paraId="1F4EDF1E">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5.PCT申请（首次）</w:t>
            </w:r>
          </w:p>
        </w:tc>
        <w:tc>
          <w:tcPr>
            <w:tcW w:w="1880" w:type="dxa"/>
            <w:tcBorders>
              <w:top w:val="single" w:color="auto"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2FD237B3">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检索费</w:t>
            </w:r>
          </w:p>
        </w:tc>
        <w:tc>
          <w:tcPr>
            <w:tcW w:w="726" w:type="dxa"/>
            <w:tcBorders>
              <w:top w:val="single" w:color="auto"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2EAF918A">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auto" w:sz="4" w:space="0"/>
              <w:left w:val="single" w:color="auto" w:sz="4" w:space="0"/>
              <w:right w:val="single" w:color="auto" w:sz="4" w:space="0"/>
            </w:tcBorders>
            <w:shd w:val="clear" w:color="auto" w:fill="auto"/>
            <w:noWrap w:val="0"/>
            <w:tcMar>
              <w:top w:w="-1" w:type="dxa"/>
              <w:left w:w="108" w:type="dxa"/>
              <w:bottom w:w="-1" w:type="dxa"/>
              <w:right w:w="108" w:type="dxa"/>
            </w:tcMar>
            <w:vAlign w:val="center"/>
          </w:tcPr>
          <w:p w14:paraId="206F27DD">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color w:val="auto"/>
              </w:rPr>
              <w:t>不报价（官费）</w:t>
            </w:r>
          </w:p>
        </w:tc>
        <w:tc>
          <w:tcPr>
            <w:tcW w:w="3281" w:type="dxa"/>
            <w:vMerge w:val="restart"/>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6358FCC2">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代理费包括：交底书挖掘交流、交底书撰写、撰写申请文件</w:t>
            </w:r>
            <w:r>
              <w:rPr>
                <w:rFonts w:hint="eastAsia" w:ascii="方正仿宋_GB2312" w:hAnsi="方正仿宋_GB2312" w:eastAsia="方正仿宋_GB2312" w:cs="方正仿宋_GB2312"/>
                <w:color w:val="auto"/>
                <w:lang w:val="en-US" w:eastAsia="zh-CN"/>
              </w:rPr>
              <w:t>等全流程服务代理费。</w:t>
            </w:r>
          </w:p>
        </w:tc>
      </w:tr>
      <w:tr w14:paraId="12BD167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80" w:type="dxa"/>
              <w:left w:w="108" w:type="dxa"/>
              <w:bottom w:w="80" w:type="dxa"/>
              <w:right w:w="108" w:type="dxa"/>
            </w:tcMar>
            <w:vAlign w:val="center"/>
          </w:tcPr>
          <w:p w14:paraId="6DCBF8FA">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auto"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451B8369">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国际申请费</w:t>
            </w:r>
          </w:p>
        </w:tc>
        <w:tc>
          <w:tcPr>
            <w:tcW w:w="726" w:type="dxa"/>
            <w:tcBorders>
              <w:top w:val="single" w:color="auto"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4B8D1EE6">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left w:val="single" w:color="auto" w:sz="4" w:space="0"/>
              <w:right w:val="single" w:color="auto" w:sz="4" w:space="0"/>
            </w:tcBorders>
            <w:shd w:val="clear" w:color="auto" w:fill="auto"/>
            <w:noWrap w:val="0"/>
            <w:tcMar>
              <w:top w:w="-1" w:type="dxa"/>
              <w:left w:w="108" w:type="dxa"/>
              <w:bottom w:w="-1" w:type="dxa"/>
              <w:right w:w="108" w:type="dxa"/>
            </w:tcMar>
            <w:vAlign w:val="center"/>
          </w:tcPr>
          <w:p w14:paraId="7FE72987">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color w:val="auto"/>
              </w:rPr>
              <w:t>不报价（官费）</w:t>
            </w:r>
          </w:p>
        </w:tc>
        <w:tc>
          <w:tcPr>
            <w:tcW w:w="3281" w:type="dxa"/>
            <w:vMerge w:val="continue"/>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62312749">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color w:val="auto"/>
              </w:rPr>
              <w:t>按有关机构现行收费标准及实际发生金额据实结算。</w:t>
            </w:r>
          </w:p>
        </w:tc>
      </w:tr>
      <w:tr w14:paraId="558DD2B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80" w:type="dxa"/>
              <w:left w:w="108" w:type="dxa"/>
              <w:bottom w:w="80" w:type="dxa"/>
              <w:right w:w="108" w:type="dxa"/>
            </w:tcMar>
            <w:vAlign w:val="center"/>
          </w:tcPr>
          <w:p w14:paraId="7B1422EE">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auto"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4E8CF1C8">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优先权文本制作费</w:t>
            </w:r>
          </w:p>
        </w:tc>
        <w:tc>
          <w:tcPr>
            <w:tcW w:w="726" w:type="dxa"/>
            <w:tcBorders>
              <w:top w:val="single" w:color="auto"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10246019">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left w:val="single" w:color="auto" w:sz="4" w:space="0"/>
              <w:bottom w:val="single" w:color="000000" w:sz="4" w:space="0"/>
              <w:right w:val="single" w:color="auto" w:sz="4" w:space="0"/>
            </w:tcBorders>
            <w:shd w:val="clear" w:color="auto" w:fill="auto"/>
            <w:noWrap w:val="0"/>
            <w:tcMar>
              <w:top w:w="-1" w:type="dxa"/>
              <w:left w:w="108" w:type="dxa"/>
              <w:bottom w:w="-1" w:type="dxa"/>
              <w:right w:w="108" w:type="dxa"/>
            </w:tcMar>
            <w:vAlign w:val="center"/>
          </w:tcPr>
          <w:p w14:paraId="5E875BC6">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vMerge w:val="continue"/>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09D899B8">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color w:val="auto"/>
              </w:rPr>
              <w:t>仅报代理服务费；相关官方费用据实结算。</w:t>
            </w:r>
          </w:p>
        </w:tc>
      </w:tr>
      <w:tr w14:paraId="36710B4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0" w:type="dxa"/>
            <w:bottom w:w="0" w:type="dxa"/>
            <w:right w:w="0" w:type="dxa"/>
          </w:tblCellMar>
        </w:tblPrEx>
        <w:trPr>
          <w:trHeight w:val="0" w:hRule="atLeast"/>
          <w:jc w:val="center"/>
        </w:trPr>
        <w:tc>
          <w:tcPr>
            <w:tcW w:w="1513" w:type="dxa"/>
            <w:vMerge w:val="continue"/>
            <w:tcBorders>
              <w:left w:val="single" w:color="000000" w:sz="8"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3CD91955">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auto"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6FADB8D4">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PCT进中国</w:t>
            </w:r>
          </w:p>
        </w:tc>
        <w:tc>
          <w:tcPr>
            <w:tcW w:w="726" w:type="dxa"/>
            <w:tcBorders>
              <w:top w:val="single" w:color="auto"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76988CE1">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auto" w:sz="4" w:space="0"/>
              <w:left w:val="single" w:color="auto" w:sz="4" w:space="0"/>
              <w:bottom w:val="single" w:color="000000" w:sz="4" w:space="0"/>
              <w:right w:val="single" w:color="auto" w:sz="4" w:space="0"/>
            </w:tcBorders>
            <w:shd w:val="clear" w:color="auto" w:fill="auto"/>
            <w:noWrap w:val="0"/>
            <w:tcMar>
              <w:top w:w="-1" w:type="dxa"/>
              <w:left w:w="108" w:type="dxa"/>
              <w:bottom w:w="-1" w:type="dxa"/>
              <w:right w:w="108" w:type="dxa"/>
            </w:tcMar>
            <w:vAlign w:val="center"/>
          </w:tcPr>
          <w:p w14:paraId="55619B48">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C8F09A0">
            <w:pPr>
              <w:widowControl/>
              <w:kinsoku/>
              <w:autoSpaceDN/>
              <w:bidi w:val="0"/>
              <w:snapToGrid w:val="0"/>
              <w:spacing w:line="560" w:lineRule="exact"/>
              <w:ind w:left="0" w:leftChars="0" w:right="0" w:rightChars="0" w:firstLine="0" w:firstLineChars="0"/>
              <w:jc w:val="left"/>
              <w:rPr>
                <w:rFonts w:hint="default"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color w:val="auto"/>
              </w:rPr>
              <w:t>代理费包括申请文件准备、审查意见答复及授权登记办理</w:t>
            </w:r>
            <w:r>
              <w:rPr>
                <w:rFonts w:hint="eastAsia" w:ascii="方正仿宋_GB2312" w:hAnsi="方正仿宋_GB2312" w:eastAsia="方正仿宋_GB2312" w:cs="方正仿宋_GB2312"/>
                <w:color w:val="auto"/>
                <w:lang w:val="en-US" w:eastAsia="zh-CN"/>
              </w:rPr>
              <w:t>等全流程服务。</w:t>
            </w:r>
          </w:p>
        </w:tc>
      </w:tr>
      <w:tr w14:paraId="31A4CC1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restart"/>
            <w:tcBorders>
              <w:top w:val="single" w:color="auto" w:sz="4" w:space="0"/>
              <w:left w:val="single" w:color="000000" w:sz="8"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29C98512">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6.著录项目变更</w:t>
            </w:r>
          </w:p>
        </w:tc>
        <w:tc>
          <w:tcPr>
            <w:tcW w:w="1880" w:type="dxa"/>
            <w:tcBorders>
              <w:top w:val="single" w:color="auto"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3302CFD1">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发明人、申请人或专利权人变更</w:t>
            </w:r>
          </w:p>
        </w:tc>
        <w:tc>
          <w:tcPr>
            <w:tcW w:w="726" w:type="dxa"/>
            <w:tcBorders>
              <w:top w:val="single" w:color="auto"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0DEB5B52">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项</w:t>
            </w:r>
          </w:p>
        </w:tc>
        <w:tc>
          <w:tcPr>
            <w:tcW w:w="1442" w:type="dxa"/>
            <w:tcBorders>
              <w:top w:val="single" w:color="auto" w:sz="4" w:space="0"/>
              <w:left w:val="single" w:color="auto"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191B1CD4">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auto"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402DA1CB">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123D3C8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top w:val="single" w:color="000000" w:sz="4" w:space="0"/>
              <w:left w:val="single" w:color="000000" w:sz="8"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A36D5BE">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44B29AC3">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专利代理机构变更、代理委托关系变更</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12E80249">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项</w:t>
            </w:r>
          </w:p>
        </w:tc>
        <w:tc>
          <w:tcPr>
            <w:tcW w:w="1442" w:type="dxa"/>
            <w:tcBorders>
              <w:top w:val="single" w:color="000000" w:sz="4" w:space="0"/>
              <w:left w:val="single" w:color="auto"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69AC5D05">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47972FE">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24B05E6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0" w:type="dxa"/>
            <w:bottom w:w="0" w:type="dxa"/>
            <w:right w:w="0" w:type="dxa"/>
          </w:tblCellMar>
        </w:tblPrEx>
        <w:trPr>
          <w:trHeight w:val="0" w:hRule="atLeast"/>
          <w:jc w:val="center"/>
        </w:trPr>
        <w:tc>
          <w:tcPr>
            <w:tcW w:w="1513" w:type="dxa"/>
            <w:vMerge w:val="continue"/>
            <w:tcBorders>
              <w:top w:val="single" w:color="000000" w:sz="4" w:space="0"/>
              <w:left w:val="single" w:color="000000" w:sz="8"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524736F2">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1113B516">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其他著录项目变更</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3C16D84C">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项</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5374A424">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3CC9CC53">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57F7F87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0" w:type="dxa"/>
            <w:bottom w:w="0" w:type="dxa"/>
            <w:right w:w="0" w:type="dxa"/>
          </w:tblCellMar>
        </w:tblPrEx>
        <w:trPr>
          <w:trHeight w:val="0" w:hRule="atLeast"/>
          <w:jc w:val="center"/>
        </w:trPr>
        <w:tc>
          <w:tcPr>
            <w:tcW w:w="1513" w:type="dxa"/>
            <w:vMerge w:val="restart"/>
            <w:tcBorders>
              <w:top w:val="single" w:color="000000" w:sz="4" w:space="0"/>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3C99A4BB">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7.其他</w:t>
            </w:r>
          </w:p>
          <w:p w14:paraId="566039FB">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6C5B6058">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发明专利复审请求</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088C0516">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7EABCCDE">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FDF637A">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767769C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5F04C3F3">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54DE3ABC">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实用新型复审请求</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6C8028FE">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0BB18B4B">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353968D4">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7BA200E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5E21CC2F">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51A31FA2">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恢复权利请求费</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7A016DA7">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23D89DC6">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48298361">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7D39D99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1109372C">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29964EB4">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lang w:val="zh-TW" w:eastAsia="zh-TW"/>
              </w:rPr>
              <w:t>延长期限请求费／月</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06562051">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31227D7F">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3354236">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184871E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2F5E97F5">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5AF85AC2">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发明专利无效请求</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04BEACA1">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21F16266">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4458A897">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016A490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2E46D54E">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6E71ED1F">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实用新型无效请求</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23A2ABA9">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32A02D5D">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45F920C0">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0041AC6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2C24584F">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39AF77AB">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外观设计专利驳回复审</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73217DE2">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4FF7CE17">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57794FE0">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641E031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4D6CE99A">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55FB3B64">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发明专利无效宣告答辩</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37296382">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0D208292">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2203E693">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71885E4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7F3969D5">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62DC6936">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实用新型专利无效宣告答辩</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1BC335D6">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5AB7DD04">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720B702C">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22C9C8E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0A380B1A">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78D39A32">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外观设计专利无效宣告请求</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328B8DBB">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7B9AB2B1">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5F9C8D7F">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22272D64">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6E156D5A">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7408DDE1">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外观设计专利无效宣告答辩</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5A690DB6">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7367E770">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56F5E86C">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687D82A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6F293745">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58B73687">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实用新型专利权评价报告请求代理</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1AB6B351">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7CB2D058">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685A27DF">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36F2D2C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46D5F8FF">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16FED260">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外观设计专利权评价报告请求代理</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310A01A2">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2224883E">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619BF870">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698F2F8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2A09A681">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2BA00CFF">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专利公众意见代理</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45C63FAF">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7A774B69">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FB43764">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0ECE033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auto"/>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4119EE70">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070DDDA8">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官费费减办理</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58E46AAE">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13A5D109">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477C780C">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color w:val="auto"/>
              </w:rPr>
              <w:t>法定官方费用减缴手续代理服务。</w:t>
            </w:r>
          </w:p>
        </w:tc>
      </w:tr>
      <w:tr w14:paraId="184CD44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2ADDA5DA">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052C2FDD">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专利资助申报</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034E4B0C">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项</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4DA5A046">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165B2686">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5107AA1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544D7125">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2936BBA1">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专利奖项申报</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0F6865BD">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项</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641E7029">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4C32F827">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7AC1690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491D0A78">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4139DB1B">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专利实施许可合同备案代理</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712A3FEA">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3A1D371F">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21257B71">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7F831E6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vMerge w:val="continue"/>
            <w:tcBorders>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40873498">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639D98F2">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专利检索及可专利性分析</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45A42026">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项</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32F70052">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3D38101A">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p>
        </w:tc>
      </w:tr>
      <w:tr w14:paraId="01076DE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0" w:hRule="atLeast"/>
          <w:jc w:val="center"/>
        </w:trPr>
        <w:tc>
          <w:tcPr>
            <w:tcW w:w="1513" w:type="dxa"/>
            <w:tcBorders>
              <w:top w:val="single" w:color="000000" w:sz="4" w:space="0"/>
              <w:left w:val="single" w:color="000000" w:sz="8" w:space="0"/>
              <w:right w:val="single" w:color="000000" w:sz="4" w:space="0"/>
            </w:tcBorders>
            <w:shd w:val="clear" w:color="auto" w:fill="auto"/>
            <w:noWrap w:val="0"/>
            <w:tcMar>
              <w:top w:w="-1" w:type="dxa"/>
              <w:left w:w="108" w:type="dxa"/>
              <w:bottom w:w="-1" w:type="dxa"/>
              <w:right w:w="108" w:type="dxa"/>
            </w:tcMar>
            <w:vAlign w:val="center"/>
          </w:tcPr>
          <w:p w14:paraId="35F8AD10">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8.软件著作权</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48ABEF55">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软件著作权登记</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0"/>
            <w:tcMar>
              <w:top w:w="80" w:type="dxa"/>
              <w:left w:w="108" w:type="dxa"/>
              <w:bottom w:w="80" w:type="dxa"/>
              <w:right w:w="108" w:type="dxa"/>
            </w:tcMar>
            <w:vAlign w:val="center"/>
          </w:tcPr>
          <w:p w14:paraId="50E125D0">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r>
              <w:rPr>
                <w:rFonts w:hint="eastAsia" w:ascii="方正仿宋_GB2312" w:hAnsi="方正仿宋_GB2312" w:eastAsia="方正仿宋_GB2312" w:cs="方正仿宋_GB2312"/>
                <w:color w:val="auto"/>
              </w:rPr>
              <w:t>件</w:t>
            </w:r>
          </w:p>
        </w:tc>
        <w:tc>
          <w:tcPr>
            <w:tcW w:w="1442" w:type="dxa"/>
            <w:tcBorders>
              <w:top w:val="single" w:color="000000" w:sz="4" w:space="0"/>
              <w:left w:val="single" w:color="000000" w:sz="4" w:space="0"/>
              <w:bottom w:val="single" w:color="000000" w:sz="4" w:space="0"/>
              <w:right w:val="single" w:color="auto" w:sz="4" w:space="0"/>
            </w:tcBorders>
            <w:shd w:val="clear" w:color="auto" w:fill="auto"/>
            <w:noWrap w:val="0"/>
            <w:tcMar>
              <w:top w:w="80" w:type="dxa"/>
              <w:left w:w="108" w:type="dxa"/>
              <w:bottom w:w="80" w:type="dxa"/>
              <w:right w:w="108" w:type="dxa"/>
            </w:tcMar>
            <w:vAlign w:val="center"/>
          </w:tcPr>
          <w:p w14:paraId="6FD6B5EE">
            <w:pPr>
              <w:widowControl/>
              <w:kinsoku/>
              <w:autoSpaceDN/>
              <w:bidi w:val="0"/>
              <w:snapToGrid w:val="0"/>
              <w:spacing w:line="560" w:lineRule="exact"/>
              <w:ind w:left="0" w:leftChars="0" w:right="0" w:rightChars="0" w:firstLine="0" w:firstLineChars="0"/>
              <w:jc w:val="center"/>
              <w:rPr>
                <w:rFonts w:hint="eastAsia" w:ascii="方正仿宋_GB2312" w:hAnsi="方正仿宋_GB2312" w:eastAsia="方正仿宋_GB2312" w:cs="方正仿宋_GB2312"/>
                <w:color w:val="auto"/>
              </w:rPr>
            </w:pPr>
          </w:p>
        </w:tc>
        <w:tc>
          <w:tcPr>
            <w:tcW w:w="3281" w:type="dxa"/>
            <w:tcBorders>
              <w:top w:val="single" w:color="000000" w:sz="4" w:space="0"/>
              <w:left w:val="single" w:color="auto" w:sz="4" w:space="0"/>
              <w:bottom w:val="single" w:color="000000" w:sz="4" w:space="0"/>
              <w:right w:val="single" w:color="000000" w:sz="4" w:space="0"/>
            </w:tcBorders>
            <w:shd w:val="clear" w:color="auto" w:fill="auto"/>
            <w:noWrap w:val="0"/>
            <w:tcMar>
              <w:top w:w="-1" w:type="dxa"/>
              <w:left w:w="108" w:type="dxa"/>
              <w:bottom w:w="-1" w:type="dxa"/>
              <w:right w:w="108" w:type="dxa"/>
            </w:tcMar>
            <w:vAlign w:val="center"/>
          </w:tcPr>
          <w:p w14:paraId="785400A3">
            <w:pPr>
              <w:widowControl/>
              <w:kinsoku/>
              <w:autoSpaceDN/>
              <w:bidi w:val="0"/>
              <w:snapToGrid w:val="0"/>
              <w:spacing w:line="560" w:lineRule="exact"/>
              <w:ind w:left="0" w:leftChars="0" w:right="0" w:rightChars="0" w:firstLine="0" w:firstLineChars="0"/>
              <w:jc w:val="left"/>
              <w:rPr>
                <w:rFonts w:hint="eastAsia" w:ascii="方正仿宋_GB2312" w:hAnsi="方正仿宋_GB2312" w:eastAsia="方正仿宋_GB2312" w:cs="方正仿宋_GB2312"/>
                <w:color w:val="auto"/>
              </w:rPr>
            </w:pPr>
            <w:r>
              <w:rPr>
                <w:color w:val="auto"/>
              </w:rPr>
              <w:t>正常登记流程服务范围详见本表“报价说明”第</w:t>
            </w:r>
            <w:r>
              <w:rPr>
                <w:rFonts w:hint="eastAsia"/>
                <w:color w:val="auto"/>
                <w:lang w:val="en-US" w:eastAsia="zh-CN"/>
              </w:rPr>
              <w:t>2</w:t>
            </w:r>
            <w:r>
              <w:rPr>
                <w:color w:val="auto"/>
              </w:rPr>
              <w:t>条。</w:t>
            </w:r>
          </w:p>
        </w:tc>
      </w:tr>
    </w:tbl>
    <w:p w14:paraId="348BADCF">
      <w:pPr>
        <w:pStyle w:val="19"/>
        <w:widowControl/>
        <w:kinsoku/>
        <w:autoSpaceDN/>
        <w:bidi w:val="0"/>
        <w:spacing w:line="560" w:lineRule="exact"/>
        <w:rPr>
          <w:rFonts w:hint="eastAsia" w:ascii="仿宋_GB2312" w:hAnsi="仿宋_GB2312" w:eastAsia="仿宋_GB2312" w:cs="仿宋_GB2312"/>
          <w:b/>
          <w:bCs/>
          <w:color w:val="auto"/>
          <w:kern w:val="0"/>
          <w:sz w:val="32"/>
          <w:szCs w:val="40"/>
          <w:u w:val="none"/>
          <w:lang w:bidi="ar"/>
        </w:rPr>
      </w:pPr>
      <w:r>
        <w:rPr>
          <w:rFonts w:ascii="Times New Roman" w:hAnsi="Times New Roman" w:eastAsia="仿宋_GB2312" w:cs="仿宋_GB2312"/>
          <w:b/>
          <w:color w:val="auto"/>
          <w:sz w:val="32"/>
          <w:szCs w:val="32"/>
          <w:u w:val="none"/>
        </w:rPr>
        <w:t>报价说明：</w:t>
      </w:r>
    </w:p>
    <w:p w14:paraId="20305CAC">
      <w:pPr>
        <w:pStyle w:val="19"/>
        <w:widowControl/>
        <w:kinsoku/>
        <w:autoSpaceDN/>
        <w:bidi w:val="0"/>
        <w:spacing w:line="560" w:lineRule="exact"/>
        <w:rPr>
          <w:rFonts w:hint="eastAsia" w:ascii="仿宋_GB2312" w:hAnsi="仿宋_GB2312" w:eastAsia="仿宋_GB2312" w:cs="仿宋_GB2312"/>
          <w:b w:val="0"/>
          <w:bCs/>
          <w:color w:val="auto"/>
          <w:kern w:val="0"/>
          <w:sz w:val="32"/>
          <w:szCs w:val="40"/>
          <w:u w:val="none"/>
          <w:lang w:bidi="ar"/>
        </w:rPr>
      </w:pPr>
      <w:r>
        <w:rPr>
          <w:rFonts w:ascii="Times New Roman" w:hAnsi="Times New Roman" w:eastAsia="仿宋_GB2312" w:cs="仿宋_GB2312"/>
          <w:b w:val="0"/>
          <w:bCs/>
          <w:color w:val="auto"/>
          <w:sz w:val="32"/>
          <w:szCs w:val="32"/>
          <w:u w:val="none"/>
        </w:rPr>
        <w:t>1. 本表所列报价均为含税代理服务费单价，不含国家知识产权局、版权主管部门、世界知识产权组织及其他有权机构依法收取的法定官方费用。本表所列法定官方费用不纳入供应商报价范围，供应商无需报价，也不参与价格评分；相关费用按照有关部门或国际组织届时有效收费标准及采购人书面确认的实际发生金额据实结算。</w:t>
      </w:r>
    </w:p>
    <w:p w14:paraId="4CE22B0A">
      <w:pPr>
        <w:pStyle w:val="19"/>
        <w:widowControl/>
        <w:kinsoku/>
        <w:autoSpaceDN/>
        <w:bidi w:val="0"/>
        <w:spacing w:line="560" w:lineRule="exact"/>
        <w:rPr>
          <w:rFonts w:hint="eastAsia" w:ascii="仿宋_GB2312" w:hAnsi="仿宋_GB2312" w:eastAsia="仿宋_GB2312" w:cs="仿宋_GB2312"/>
          <w:b w:val="0"/>
          <w:bCs/>
          <w:color w:val="auto"/>
          <w:kern w:val="0"/>
          <w:sz w:val="32"/>
          <w:szCs w:val="40"/>
          <w:u w:val="none"/>
          <w:lang w:bidi="ar"/>
        </w:rPr>
      </w:pPr>
      <w:r>
        <w:rPr>
          <w:rFonts w:ascii="Times New Roman" w:hAnsi="Times New Roman" w:eastAsia="仿宋_GB2312" w:cs="仿宋_GB2312"/>
          <w:b w:val="0"/>
          <w:bCs/>
          <w:color w:val="auto"/>
          <w:sz w:val="32"/>
          <w:szCs w:val="32"/>
          <w:u w:val="none"/>
        </w:rPr>
        <w:t>2. 发明专利申请、实用新型专利申请、外观设计专利申请及软件著作权登记等申请／登记类项目采用正常流程全流程包干代理服务单价。全流程包干包括完成正常申请／登记流程所需的前期咨询、知识产权挖掘、技术交底沟通、申请策略及布局建议、申请材料或申请文件撰写及修改、申请提交、补正、正常审查程序中的审查意见答复、流程跟踪以及授权／登记手续办理等全部代理服务。对于已纳入全流程包干范围的事项，不因正常流程中的沟通、修改、补正或审查意见答复次数增加而另行收取代理服务费。</w:t>
      </w:r>
    </w:p>
    <w:p w14:paraId="27960D54">
      <w:pPr>
        <w:pStyle w:val="19"/>
        <w:widowControl/>
        <w:kinsoku/>
        <w:autoSpaceDN/>
        <w:bidi w:val="0"/>
        <w:spacing w:line="560" w:lineRule="exact"/>
        <w:rPr>
          <w:rFonts w:hint="eastAsia" w:ascii="仿宋_GB2312" w:hAnsi="仿宋_GB2312" w:eastAsia="仿宋_GB2312" w:cs="仿宋_GB2312"/>
          <w:b w:val="0"/>
          <w:bCs/>
          <w:color w:val="auto"/>
          <w:kern w:val="0"/>
          <w:sz w:val="32"/>
          <w:szCs w:val="40"/>
          <w:u w:val="none"/>
          <w:lang w:bidi="ar"/>
        </w:rPr>
      </w:pPr>
      <w:r>
        <w:rPr>
          <w:rFonts w:ascii="Times New Roman" w:hAnsi="Times New Roman" w:eastAsia="仿宋_GB2312" w:cs="仿宋_GB2312"/>
          <w:b w:val="0"/>
          <w:bCs/>
          <w:color w:val="auto"/>
          <w:sz w:val="32"/>
          <w:szCs w:val="32"/>
          <w:u w:val="none"/>
        </w:rPr>
        <w:t>3. 预审、优先审查、驳回复审、无效宣告、PCT申请、著录项目变更、权利恢复、专利权评价报告、年费管理等本表已单独列项的特殊程序或延伸服务，不包含在申请／登记类项目的全流</w:t>
      </w:r>
      <w:r>
        <w:rPr>
          <w:rFonts w:ascii="Times New Roman" w:hAnsi="Times New Roman" w:eastAsia="仿宋_GB2312" w:cs="仿宋_GB2312"/>
          <w:b w:val="0"/>
          <w:bCs/>
          <w:color w:val="auto"/>
          <w:spacing wpsCustomData:val="21" w:val="28"/>
          <w:sz w:val="32"/>
          <w:szCs w:val="32"/>
          <w:u w:val="none"/>
        </w:rPr>
        <w:t>程包干代理服务单价内，按成交单价及实际委托事项据</w:t>
      </w:r>
      <w:r>
        <w:rPr>
          <w:rFonts w:ascii="Times New Roman" w:hAnsi="Times New Roman" w:eastAsia="仿宋_GB2312" w:cs="仿宋_GB2312"/>
          <w:b w:val="0"/>
          <w:bCs/>
          <w:color w:val="auto"/>
          <w:spacing wpsCustomData:val="-6" w:val="-6"/>
          <w:sz w:val="32"/>
          <w:szCs w:val="32"/>
          <w:u w:val="none"/>
        </w:rPr>
        <w:t>实</w:t>
      </w:r>
      <w:r>
        <w:rPr>
          <w:rFonts w:ascii="Times New Roman" w:hAnsi="Times New Roman" w:eastAsia="仿宋_GB2312" w:cs="仿宋_GB2312"/>
          <w:b w:val="0"/>
          <w:bCs/>
          <w:color w:val="auto"/>
          <w:sz w:val="32"/>
          <w:szCs w:val="32"/>
          <w:u w:val="none"/>
        </w:rPr>
        <w:t>结算。</w:t>
      </w:r>
    </w:p>
    <w:p w14:paraId="635E79F3">
      <w:pPr>
        <w:pStyle w:val="19"/>
        <w:widowControl/>
        <w:kinsoku/>
        <w:autoSpaceDN/>
        <w:bidi w:val="0"/>
        <w:spacing w:line="560" w:lineRule="exact"/>
        <w:rPr>
          <w:rFonts w:hint="eastAsia" w:ascii="仿宋_GB2312" w:hAnsi="仿宋_GB2312" w:eastAsia="仿宋_GB2312" w:cs="仿宋_GB2312"/>
          <w:b w:val="0"/>
          <w:bCs/>
          <w:color w:val="auto"/>
          <w:kern w:val="0"/>
          <w:sz w:val="32"/>
          <w:szCs w:val="40"/>
          <w:u w:val="none"/>
          <w:lang w:bidi="ar"/>
        </w:rPr>
      </w:pPr>
      <w:r>
        <w:rPr>
          <w:rFonts w:ascii="Times New Roman" w:hAnsi="Times New Roman" w:eastAsia="仿宋_GB2312" w:cs="仿宋_GB2312"/>
          <w:b w:val="0"/>
          <w:bCs/>
          <w:color w:val="auto"/>
          <w:sz w:val="32"/>
          <w:szCs w:val="32"/>
          <w:u w:val="none"/>
        </w:rPr>
        <w:t>4. 本询价函技术要求中约定的常规知识产权咨询、申请前基础评估、知识产权挖掘沟通、流程及时限监控、费用提醒、台账及材料整理等配套服务，属于成交供应商履约基础义务，除本表明确单独列项的服务外，不再另行收费。</w:t>
      </w:r>
    </w:p>
    <w:p w14:paraId="0E4ED0BA">
      <w:pPr>
        <w:pStyle w:val="19"/>
        <w:widowControl/>
        <w:kinsoku/>
        <w:autoSpaceDN/>
        <w:bidi w:val="0"/>
        <w:spacing w:line="560" w:lineRule="exact"/>
        <w:rPr>
          <w:rFonts w:hint="eastAsia" w:ascii="仿宋_GB2312" w:hAnsi="仿宋_GB2312" w:eastAsia="仿宋_GB2312" w:cs="仿宋_GB2312"/>
          <w:b w:val="0"/>
          <w:bCs/>
          <w:color w:val="auto"/>
          <w:kern w:val="0"/>
          <w:sz w:val="32"/>
          <w:szCs w:val="40"/>
          <w:u w:val="none"/>
          <w:lang w:bidi="ar"/>
        </w:rPr>
      </w:pPr>
      <w:r>
        <w:rPr>
          <w:rFonts w:ascii="Times New Roman" w:hAnsi="Times New Roman" w:eastAsia="仿宋_GB2312" w:cs="仿宋_GB2312"/>
          <w:b w:val="0"/>
          <w:bCs/>
          <w:color w:val="auto"/>
          <w:sz w:val="32"/>
          <w:szCs w:val="32"/>
          <w:u w:val="none"/>
        </w:rPr>
        <w:t>5. 本项目采用框架服务、单价成交、按实际委托据实结算方式执行。服务期内成交单价原则上固定不变，代理服务费累计结算金额不得超过人民币108,000元（含税）。</w:t>
      </w:r>
    </w:p>
    <w:p w14:paraId="299087B9">
      <w:pPr>
        <w:pStyle w:val="19"/>
        <w:widowControl/>
        <w:kinsoku/>
        <w:autoSpaceDN/>
        <w:bidi w:val="0"/>
        <w:spacing w:line="560" w:lineRule="exact"/>
        <w:rPr>
          <w:rFonts w:hint="eastAsia" w:ascii="仿宋_GB2312" w:hAnsi="仿宋_GB2312" w:eastAsia="仿宋_GB2312" w:cs="仿宋_GB2312"/>
          <w:b w:val="0"/>
          <w:bCs/>
          <w:color w:val="auto"/>
          <w:kern w:val="0"/>
          <w:sz w:val="32"/>
          <w:szCs w:val="40"/>
          <w:u w:val="none"/>
          <w:lang w:bidi="ar"/>
        </w:rPr>
      </w:pPr>
      <w:r>
        <w:rPr>
          <w:rFonts w:ascii="Times New Roman" w:hAnsi="Times New Roman" w:eastAsia="仿宋_GB2312" w:cs="仿宋_GB2312"/>
          <w:b w:val="0"/>
          <w:bCs/>
          <w:color w:val="auto"/>
          <w:sz w:val="32"/>
          <w:szCs w:val="32"/>
          <w:u w:val="none"/>
        </w:rPr>
        <w:t>6. 对本表未列明但服务期内实际发生的其他知识产权代理事项，成交供应商应在接受委托前提供书面报价，经采购人书面确认</w:t>
      </w:r>
      <w:r>
        <w:rPr>
          <w:rFonts w:ascii="Times New Roman" w:hAnsi="Times New Roman" w:eastAsia="仿宋_GB2312" w:cs="仿宋_GB2312"/>
          <w:b w:val="0"/>
          <w:bCs/>
          <w:color w:val="auto"/>
          <w:spacing wpsCustomData:val="-6" w:val="7"/>
          <w:sz w:val="32"/>
          <w:szCs w:val="32"/>
          <w:u w:val="none"/>
        </w:rPr>
        <w:t>后方可实施；未经采购人书面确认，不得自行开展并收</w:t>
      </w:r>
      <w:r>
        <w:rPr>
          <w:rFonts w:ascii="Times New Roman" w:hAnsi="Times New Roman" w:eastAsia="仿宋_GB2312" w:cs="仿宋_GB2312"/>
          <w:b w:val="0"/>
          <w:bCs/>
          <w:color w:val="auto"/>
          <w:spacing wpsCustomData:val="-6" w:val="-6"/>
          <w:sz w:val="32"/>
          <w:szCs w:val="32"/>
          <w:u w:val="none"/>
        </w:rPr>
        <w:t>取</w:t>
      </w:r>
      <w:r>
        <w:rPr>
          <w:rFonts w:ascii="Times New Roman" w:hAnsi="Times New Roman" w:eastAsia="仿宋_GB2312" w:cs="仿宋_GB2312"/>
          <w:b w:val="0"/>
          <w:bCs/>
          <w:color w:val="auto"/>
          <w:sz w:val="32"/>
          <w:szCs w:val="32"/>
          <w:u w:val="none"/>
        </w:rPr>
        <w:t>费用。</w:t>
      </w:r>
    </w:p>
    <w:p w14:paraId="49FA7FEF">
      <w:pPr>
        <w:pStyle w:val="19"/>
        <w:widowControl/>
        <w:kinsoku/>
        <w:autoSpaceDN/>
        <w:bidi w:val="0"/>
        <w:spacing w:line="560" w:lineRule="exact"/>
        <w:rPr>
          <w:rFonts w:hint="eastAsia" w:ascii="仿宋_GB2312" w:hAnsi="仿宋_GB2312" w:eastAsia="仿宋_GB2312" w:cs="仿宋_GB2312"/>
          <w:b w:val="0"/>
          <w:bCs/>
          <w:color w:val="auto"/>
          <w:kern w:val="0"/>
          <w:sz w:val="32"/>
          <w:szCs w:val="40"/>
          <w:u w:val="none"/>
          <w:lang w:bidi="ar"/>
        </w:rPr>
      </w:pPr>
      <w:r>
        <w:rPr>
          <w:rFonts w:ascii="Times New Roman" w:hAnsi="Times New Roman" w:eastAsia="仿宋_GB2312" w:cs="仿宋_GB2312"/>
          <w:b w:val="0"/>
          <w:bCs/>
          <w:color w:val="auto"/>
          <w:sz w:val="32"/>
          <w:szCs w:val="32"/>
          <w:u w:val="none"/>
        </w:rPr>
        <w:t>7. 除本表明确标注“包含”或“不报价”的事项外，其余项目均须填写独立、唯一、明确的含税代理服务费单价，不得以0元、赠送、包含在其他项目报价中或其他附条件方式代替报价。</w:t>
      </w:r>
    </w:p>
    <w:p w14:paraId="7BF2F68F">
      <w:pPr>
        <w:pStyle w:val="19"/>
        <w:widowControl/>
        <w:kinsoku/>
        <w:autoSpaceDN/>
        <w:bidi w:val="0"/>
        <w:spacing w:line="560" w:lineRule="exact"/>
        <w:rPr>
          <w:rFonts w:hint="eastAsia" w:ascii="仿宋_GB2312" w:hAnsi="仿宋_GB2312" w:eastAsia="仿宋_GB2312" w:cs="仿宋_GB2312"/>
          <w:b w:val="0"/>
          <w:bCs/>
          <w:color w:val="auto"/>
          <w:kern w:val="0"/>
          <w:sz w:val="32"/>
          <w:szCs w:val="40"/>
          <w:u w:val="single"/>
          <w:lang w:bidi="ar"/>
        </w:rPr>
      </w:pPr>
      <w:r>
        <w:rPr>
          <w:rFonts w:ascii="Times New Roman" w:hAnsi="Times New Roman" w:eastAsia="仿宋_GB2312" w:cs="仿宋_GB2312"/>
          <w:b w:val="0"/>
          <w:bCs/>
          <w:color w:val="auto"/>
          <w:sz w:val="32"/>
          <w:szCs w:val="32"/>
          <w:u w:val="none"/>
        </w:rPr>
        <w:t>价格评分项目及其他代理服务报价均以本表填报的含税代理服务费单价为依据，具体评分规则详见本询价函“综合评分表”。</w:t>
      </w:r>
    </w:p>
    <w:p w14:paraId="32E9C6AF">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color w:val="auto"/>
          <w:sz w:val="32"/>
          <w:szCs w:val="32"/>
        </w:rPr>
        <w:t>备注：1.税率为</w:t>
      </w:r>
      <w:r>
        <w:rPr>
          <w:rFonts w:ascii="Times New Roman" w:hAnsi="Times New Roman" w:eastAsia="仿宋_GB2312" w:cs="仿宋_GB2312"/>
          <w:color w:val="auto"/>
          <w:sz w:val="32"/>
          <w:szCs w:val="32"/>
          <w:u w:val="single"/>
        </w:rPr>
        <w:t xml:space="preserve">       </w:t>
      </w:r>
      <w:r>
        <w:rPr>
          <w:rFonts w:ascii="Times New Roman" w:hAnsi="Times New Roman" w:eastAsia="仿宋_GB2312" w:cs="仿宋_GB2312"/>
          <w:color w:val="auto"/>
          <w:sz w:val="32"/>
          <w:szCs w:val="32"/>
        </w:rPr>
        <w:t>％。</w:t>
      </w:r>
    </w:p>
    <w:p w14:paraId="0D293039">
      <w:pPr>
        <w:pStyle w:val="19"/>
        <w:widowControl/>
        <w:kinsoku/>
        <w:autoSpaceDN/>
        <w:bidi w:val="0"/>
        <w:spacing w:line="560" w:lineRule="exact"/>
        <w:rPr>
          <w:rFonts w:hint="eastAsia" w:ascii="仿宋_GB2312" w:hAnsi="仿宋_GB2312" w:eastAsia="仿宋_GB2312" w:cs="仿宋_GB2312"/>
          <w:color w:val="auto"/>
          <w:kern w:val="0"/>
          <w:sz w:val="32"/>
          <w:szCs w:val="40"/>
          <w:lang w:bidi="ar"/>
        </w:rPr>
      </w:pPr>
      <w:r>
        <w:rPr>
          <w:rFonts w:ascii="Times New Roman" w:hAnsi="Times New Roman" w:eastAsia="仿宋_GB2312" w:cs="仿宋_GB2312"/>
          <w:color w:val="auto"/>
          <w:sz w:val="32"/>
          <w:szCs w:val="32"/>
        </w:rPr>
        <w:t>2.增值税按照目前适用的增值税率计算，如国家税收政策调整导致增值税率变化的，按不含税价不变的原则，需支付的含税金额按不含税价与调整后的税率确定。报价货币：人民币。</w:t>
      </w:r>
    </w:p>
    <w:p w14:paraId="2572E202">
      <w:pPr>
        <w:pStyle w:val="19"/>
        <w:widowControl/>
        <w:kinsoku/>
        <w:autoSpaceDN/>
        <w:bidi w:val="0"/>
        <w:spacing w:line="560" w:lineRule="exact"/>
        <w:rPr>
          <w:rFonts w:hint="eastAsia" w:ascii="仿宋_GB2312" w:hAnsi="仿宋_GB2312" w:eastAsia="仿宋_GB2312" w:cs="仿宋_GB2312"/>
          <w:b/>
          <w:bCs/>
          <w:color w:val="auto"/>
          <w:kern w:val="0"/>
          <w:sz w:val="32"/>
          <w:szCs w:val="40"/>
          <w:u w:val="single"/>
          <w:lang w:bidi="ar"/>
        </w:rPr>
      </w:pPr>
      <w:r>
        <w:rPr>
          <w:rFonts w:ascii="Times New Roman" w:hAnsi="Times New Roman" w:eastAsia="仿宋_GB2312" w:cs="仿宋_GB2312"/>
          <w:b/>
          <w:color w:val="auto"/>
          <w:sz w:val="32"/>
          <w:szCs w:val="32"/>
        </w:rPr>
        <w:t>其他事项说明</w:t>
      </w:r>
      <w:r>
        <w:rPr>
          <w:rFonts w:hint="eastAsia" w:cs="仿宋_GB2312"/>
          <w:b/>
          <w:color w:val="auto"/>
          <w:sz w:val="32"/>
          <w:szCs w:val="32"/>
          <w:lang w:eastAsia="zh-CN"/>
        </w:rPr>
        <w:t>：</w:t>
      </w:r>
      <w:r>
        <w:rPr>
          <w:rFonts w:hint="eastAsia" w:ascii="仿宋_GB2312" w:hAnsi="仿宋_GB2312" w:eastAsia="仿宋_GB2312" w:cs="仿宋_GB2312"/>
          <w:b/>
          <w:bCs/>
          <w:color w:val="auto"/>
          <w:kern w:val="0"/>
          <w:sz w:val="32"/>
          <w:szCs w:val="40"/>
          <w:u w:val="single"/>
          <w:lang w:bidi="ar"/>
        </w:rPr>
        <w:t xml:space="preserve">                           </w:t>
      </w:r>
    </w:p>
    <w:p w14:paraId="435533AE">
      <w:pPr>
        <w:widowControl/>
        <w:kinsoku/>
        <w:autoSpaceDN/>
        <w:bidi w:val="0"/>
        <w:adjustRightInd w:val="0"/>
        <w:snapToGrid w:val="0"/>
        <w:spacing w:line="560" w:lineRule="exact"/>
        <w:ind w:firstLine="643" w:firstLineChars="200"/>
        <w:rPr>
          <w:rFonts w:hint="eastAsia" w:ascii="仿宋_GB2312" w:hAnsi="仿宋_GB2312" w:eastAsia="仿宋_GB2312" w:cs="仿宋_GB2312"/>
          <w:b/>
          <w:bCs/>
          <w:color w:val="auto"/>
          <w:kern w:val="0"/>
          <w:sz w:val="32"/>
          <w:szCs w:val="40"/>
          <w:lang w:bidi="ar"/>
        </w:rPr>
      </w:pPr>
    </w:p>
    <w:p w14:paraId="36AC70FB">
      <w:pPr>
        <w:widowControl/>
        <w:kinsoku/>
        <w:autoSpaceDN/>
        <w:bidi w:val="0"/>
        <w:adjustRightInd w:val="0"/>
        <w:snapToGrid w:val="0"/>
        <w:spacing w:line="560" w:lineRule="exact"/>
        <w:ind w:firstLine="643" w:firstLineChars="200"/>
        <w:rPr>
          <w:rFonts w:hint="eastAsia" w:ascii="仿宋_GB2312" w:hAnsi="仿宋_GB2312" w:eastAsia="仿宋_GB2312" w:cs="仿宋_GB2312"/>
          <w:b/>
          <w:bCs/>
          <w:color w:val="auto"/>
          <w:kern w:val="0"/>
          <w:sz w:val="32"/>
          <w:szCs w:val="40"/>
          <w:lang w:bidi="ar"/>
        </w:rPr>
      </w:pPr>
    </w:p>
    <w:p w14:paraId="10770DB3">
      <w:pPr>
        <w:widowControl/>
        <w:kinsoku/>
        <w:autoSpaceDN/>
        <w:bidi w:val="0"/>
        <w:spacing w:line="560" w:lineRule="exact"/>
        <w:jc w:val="right"/>
        <w:rPr>
          <w:rFonts w:ascii="Times New Roman" w:hAnsi="Times New Roman" w:eastAsia="仿宋_GB2312" w:cs="仿宋_GB2312"/>
          <w:color w:val="auto"/>
          <w:sz w:val="32"/>
          <w:szCs w:val="32"/>
          <w:lang w:bidi="ar"/>
        </w:rPr>
      </w:pPr>
      <w:r>
        <w:rPr>
          <w:rFonts w:hint="eastAsia" w:ascii="Times New Roman" w:hAnsi="Times New Roman" w:eastAsia="仿宋_GB2312" w:cs="仿宋_GB2312"/>
          <w:color w:val="auto"/>
          <w:sz w:val="32"/>
          <w:szCs w:val="32"/>
          <w:lang w:bidi="ar"/>
        </w:rPr>
        <w:t>报价单位：（加盖单位公章）</w:t>
      </w:r>
    </w:p>
    <w:p w14:paraId="42554E90">
      <w:pPr>
        <w:widowControl/>
        <w:kinsoku/>
        <w:autoSpaceDN/>
        <w:bidi w:val="0"/>
        <w:spacing w:line="560" w:lineRule="exact"/>
        <w:jc w:val="right"/>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bidi="ar"/>
        </w:rPr>
        <w:t>年   月   日</w:t>
      </w:r>
    </w:p>
    <w:p w14:paraId="005107FC">
      <w:pPr>
        <w:widowControl/>
        <w:kinsoku/>
        <w:autoSpaceDN/>
        <w:bidi w:val="0"/>
        <w:spacing w:line="560" w:lineRule="exact"/>
        <w:rPr>
          <w:color w:val="auto"/>
        </w:rPr>
      </w:pPr>
      <w:r>
        <w:rPr>
          <w:rFonts w:hint="eastAsia" w:ascii="仿宋_GB2312" w:hAnsi="仿宋_GB2312" w:eastAsia="仿宋_GB2312" w:cs="仿宋_GB2312"/>
          <w:color w:val="auto"/>
          <w:kern w:val="0"/>
          <w:sz w:val="32"/>
          <w:szCs w:val="40"/>
          <w:lang w:bidi="ar"/>
        </w:rPr>
        <w:br w:type="page"/>
      </w:r>
    </w:p>
    <w:p w14:paraId="562DCA2E">
      <w:pPr>
        <w:pStyle w:val="169"/>
        <w:widowControl/>
        <w:kinsoku/>
        <w:autoSpaceDN/>
        <w:bidi w:val="0"/>
        <w:spacing w:line="560" w:lineRule="exact"/>
        <w:rPr>
          <w:color w:val="auto"/>
        </w:rPr>
      </w:pPr>
      <mc:AlternateContent>
        <mc:Choice Requires="wpsCustomData">
          <wpsCustomData:docfieldStart id="6" docfieldname="附件_3" hidden="0" print="1" readonly="0" index="12"/>
        </mc:Choice>
      </mc:AlternateContent>
      <w:r>
        <w:rPr>
          <w:color w:val="auto"/>
        </w:rPr>
        <w:t>附件3</w:t>
      </w:r>
      <mc:AlternateContent>
        <mc:Choice Requires="wpsCustomData">
          <wpsCustomData:docfieldEnd id="6"/>
        </mc:Choice>
      </mc:AlternateContent>
    </w:p>
    <w:p w14:paraId="40079F12">
      <w:pPr>
        <w:pStyle w:val="19"/>
        <w:widowControl/>
        <w:kinsoku/>
        <w:autoSpaceDN/>
        <w:bidi w:val="0"/>
        <w:spacing w:line="560" w:lineRule="exact"/>
        <w:rPr>
          <w:color w:val="auto"/>
        </w:rPr>
      </w:pPr>
    </w:p>
    <w:p w14:paraId="35B239E0">
      <w:pPr>
        <w:pStyle w:val="172"/>
        <w:widowControl/>
        <w:kinsoku/>
        <w:autoSpaceDN/>
        <w:bidi w:val="0"/>
        <w:spacing w:line="560" w:lineRule="exact"/>
        <w:outlineLvl w:val="9"/>
        <w:rPr>
          <w:color w:val="auto"/>
        </w:rPr>
      </w:pPr>
      <w:r>
        <w:rPr>
          <w:color w:val="auto"/>
        </w:rPr>
        <w:t>响应文件目录</w:t>
      </w:r>
    </w:p>
    <w:p w14:paraId="1163272F">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color w:val="auto"/>
          <w:sz w:val="32"/>
          <w:szCs w:val="32"/>
        </w:rPr>
        <w:t>响应文件包括以下文件，均需加盖公章：</w:t>
      </w:r>
    </w:p>
    <w:p w14:paraId="23E303A1">
      <w:pPr>
        <w:pStyle w:val="19"/>
        <w:widowControl/>
        <w:kinsoku/>
        <w:autoSpaceDN/>
        <w:bidi w:val="0"/>
        <w:spacing w:line="560" w:lineRule="exact"/>
        <w:rPr>
          <w:rFonts w:hint="eastAsia" w:ascii="楷体" w:hAnsi="楷体" w:eastAsia="楷体" w:cs="楷体"/>
          <w:color w:val="auto"/>
          <w:sz w:val="32"/>
          <w:szCs w:val="32"/>
        </w:rPr>
      </w:pPr>
      <w:r>
        <w:rPr>
          <w:rFonts w:hint="eastAsia" w:ascii="楷体" w:hAnsi="楷体" w:eastAsia="楷体" w:cs="楷体"/>
          <w:color w:val="auto"/>
          <w:sz w:val="32"/>
          <w:szCs w:val="32"/>
        </w:rPr>
        <w:t>一 、资格审查证明资料</w:t>
      </w:r>
    </w:p>
    <w:p w14:paraId="570EEAE3">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color w:val="auto"/>
          <w:sz w:val="32"/>
          <w:szCs w:val="32"/>
        </w:rPr>
        <w:t>1.中华人民共和国境内依法注册成立，具有独立承担民事责任能力的主体可参与本项目。分支机构（或经销商）参与采购的，须取得具有法人资格的总公司（或总部机构）出具的授权书，并提供总公司（或总部机构）和分支机构（或经销商）的营业执照（执业许可证）复印件。已由总公司（或总部机构）授权的，总公司（或总部机构）取得的相关资质证书有效，法律法规或者行业另有规定的除外。需提供上述相关证明文件，填写《供应商基本情况表》（见本函附件1），并加盖公章。</w:t>
      </w:r>
    </w:p>
    <w:p w14:paraId="7255F787">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color w:val="auto"/>
          <w:sz w:val="32"/>
          <w:szCs w:val="32"/>
        </w:rPr>
        <w:t>2.供应商须具有良好的信用记录，未被“信用中国”网站、中国政府采购网、深圳市政府采购监管网列入失信被执行人、重大税收违法失信主体、政府采购严重违法失信行为记录名单，且不存在法律法规规定的其他不符合响应资格条件的情形。</w:t>
      </w:r>
    </w:p>
    <w:p w14:paraId="6705F9EA">
      <w:pPr>
        <w:pStyle w:val="19"/>
        <w:widowControl/>
        <w:kinsoku/>
        <w:autoSpaceDN/>
        <w:bidi w:val="0"/>
        <w:spacing w:line="560" w:lineRule="exact"/>
        <w:rPr>
          <w:rFonts w:hint="eastAsia" w:ascii="楷体" w:hAnsi="楷体" w:eastAsia="楷体" w:cs="楷体"/>
          <w:color w:val="auto"/>
          <w:sz w:val="32"/>
          <w:szCs w:val="32"/>
        </w:rPr>
      </w:pPr>
      <w:r>
        <w:rPr>
          <w:rFonts w:hint="eastAsia" w:ascii="楷体" w:hAnsi="楷体" w:eastAsia="楷体" w:cs="楷体"/>
          <w:color w:val="auto"/>
          <w:sz w:val="32"/>
          <w:szCs w:val="32"/>
        </w:rPr>
        <w:t>二、填写《供应商基本情况表》及相关附件（见附件1）。</w:t>
      </w:r>
    </w:p>
    <w:p w14:paraId="6B517A38">
      <w:pPr>
        <w:pStyle w:val="19"/>
        <w:widowControl/>
        <w:kinsoku/>
        <w:autoSpaceDN/>
        <w:bidi w:val="0"/>
        <w:spacing w:line="560" w:lineRule="exact"/>
        <w:rPr>
          <w:rFonts w:hint="eastAsia" w:ascii="楷体" w:hAnsi="楷体" w:eastAsia="楷体" w:cs="楷体"/>
          <w:color w:val="auto"/>
          <w:sz w:val="32"/>
          <w:szCs w:val="32"/>
        </w:rPr>
      </w:pPr>
      <w:r>
        <w:rPr>
          <w:rFonts w:hint="eastAsia" w:ascii="楷体" w:hAnsi="楷体" w:eastAsia="楷体" w:cs="楷体"/>
          <w:color w:val="auto"/>
          <w:sz w:val="32"/>
          <w:szCs w:val="32"/>
        </w:rPr>
        <w:t>三、报价表，需注明增值税税率，具体报价要求详见正文第七条及第八条第（三）款，并按照附件2《报价表》填写。</w:t>
      </w:r>
    </w:p>
    <w:p w14:paraId="2FCAABFC">
      <w:pPr>
        <w:pStyle w:val="19"/>
        <w:widowControl/>
        <w:kinsoku/>
        <w:autoSpaceDN/>
        <w:bidi w:val="0"/>
        <w:spacing w:line="560" w:lineRule="exact"/>
        <w:rPr>
          <w:rFonts w:hint="eastAsia" w:ascii="楷体" w:hAnsi="楷体" w:eastAsia="楷体" w:cs="楷体"/>
          <w:color w:val="auto"/>
          <w:sz w:val="32"/>
          <w:szCs w:val="32"/>
        </w:rPr>
      </w:pPr>
      <w:r>
        <w:rPr>
          <w:rFonts w:hint="eastAsia" w:ascii="楷体" w:hAnsi="楷体" w:eastAsia="楷体" w:cs="楷体"/>
          <w:color w:val="auto"/>
          <w:sz w:val="32"/>
          <w:szCs w:val="32"/>
        </w:rPr>
        <w:t>四、参照正文“综合评分表”内容，提供相关证明材料。</w:t>
      </w:r>
    </w:p>
    <w:p w14:paraId="0D349CEB">
      <w:pPr>
        <w:pStyle w:val="19"/>
        <w:widowControl/>
        <w:kinsoku/>
        <w:autoSpaceDN/>
        <w:bidi w:val="0"/>
        <w:spacing w:line="560" w:lineRule="exact"/>
        <w:rPr>
          <w:rFonts w:hint="eastAsia" w:ascii="楷体" w:hAnsi="楷体" w:eastAsia="楷体" w:cs="楷体"/>
          <w:color w:val="auto"/>
          <w:sz w:val="32"/>
          <w:szCs w:val="32"/>
        </w:rPr>
      </w:pPr>
      <w:r>
        <w:rPr>
          <w:rFonts w:hint="eastAsia" w:ascii="楷体" w:hAnsi="楷体" w:eastAsia="楷体" w:cs="楷体"/>
          <w:color w:val="auto"/>
          <w:sz w:val="32"/>
          <w:szCs w:val="32"/>
        </w:rPr>
        <w:t>五、近年类似业绩一览表</w:t>
      </w:r>
    </w:p>
    <w:p w14:paraId="3674A9F4">
      <w:pPr>
        <w:widowControl/>
        <w:kinsoku/>
        <w:autoSpaceDN/>
        <w:bidi w:val="0"/>
        <w:spacing w:line="560" w:lineRule="exact"/>
        <w:rPr>
          <w:b/>
          <w:color w:val="auto"/>
          <w:kern w:val="44"/>
          <w:sz w:val="28"/>
          <w:szCs w:val="28"/>
        </w:rPr>
      </w:pPr>
    </w:p>
    <w:p w14:paraId="34A8D387">
      <w:pPr>
        <w:widowControl/>
        <w:kinsoku/>
        <w:autoSpaceDN/>
        <w:bidi w:val="0"/>
        <w:spacing w:line="560" w:lineRule="exact"/>
        <w:rPr>
          <w:rFonts w:hint="eastAsia" w:ascii="宋体" w:hAnsi="宋体" w:eastAsia="仿宋_GB2312" w:cs="宋体"/>
          <w:color w:val="auto"/>
          <w:kern w:val="0"/>
          <w:sz w:val="32"/>
          <w:szCs w:val="32"/>
          <w:lang w:eastAsia="zh-CN"/>
        </w:rPr>
      </w:pPr>
      <w:r>
        <w:rPr>
          <w:rFonts w:hint="eastAsia" w:ascii="宋体" w:hAnsi="宋体" w:cs="宋体"/>
          <w:color w:val="auto"/>
          <w:kern w:val="0"/>
          <w:sz w:val="32"/>
          <w:szCs w:val="32"/>
        </w:rPr>
        <w:t>供应商</w:t>
      </w:r>
      <w:r>
        <w:rPr>
          <w:rFonts w:ascii="宋体" w:hAnsi="宋体" w:cs="宋体"/>
          <w:color w:val="auto"/>
          <w:kern w:val="0"/>
          <w:sz w:val="32"/>
          <w:szCs w:val="32"/>
        </w:rPr>
        <w:t xml:space="preserve">名称： </w:t>
      </w:r>
      <w:r>
        <w:rPr>
          <w:rFonts w:hint="eastAsia" w:ascii="宋体" w:hAnsi="宋体" w:cs="宋体"/>
          <w:color w:val="auto"/>
          <w:kern w:val="0"/>
          <w:sz w:val="32"/>
          <w:szCs w:val="32"/>
          <w:lang w:eastAsia="zh-CN"/>
        </w:rPr>
        <w:t>＿＿＿＿＿＿＿＿＿＿＿＿＿＿＿＿＿＿＿＿</w:t>
      </w:r>
    </w:p>
    <w:tbl>
      <w:tblPr>
        <w:tblStyle w:val="34"/>
        <w:tblW w:w="4997"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742"/>
        <w:gridCol w:w="2002"/>
        <w:gridCol w:w="1194"/>
        <w:gridCol w:w="1147"/>
        <w:gridCol w:w="1678"/>
        <w:gridCol w:w="1293"/>
      </w:tblGrid>
      <w:tr w14:paraId="099EA1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961" w:type="pct"/>
            <w:tcBorders>
              <w:top w:val="single" w:color="auto" w:sz="4" w:space="0"/>
              <w:left w:val="single" w:color="auto" w:sz="4" w:space="0"/>
              <w:bottom w:val="single" w:color="auto" w:sz="4" w:space="0"/>
              <w:right w:val="single" w:color="auto" w:sz="4" w:space="0"/>
            </w:tcBorders>
            <w:vAlign w:val="center"/>
          </w:tcPr>
          <w:p w14:paraId="4BC7AC5F">
            <w:pPr>
              <w:widowControl/>
              <w:kinsoku/>
              <w:autoSpaceDN/>
              <w:bidi w:val="0"/>
              <w:spacing w:line="560" w:lineRule="exact"/>
              <w:jc w:val="center"/>
              <w:rPr>
                <w:rFonts w:hint="eastAsia" w:ascii="宋体" w:hAnsi="宋体" w:cs="宋体"/>
                <w:color w:val="auto"/>
                <w:kern w:val="0"/>
                <w:szCs w:val="21"/>
              </w:rPr>
            </w:pPr>
            <w:r>
              <w:rPr>
                <w:rFonts w:ascii="宋体" w:hAnsi="宋体" w:cs="宋体"/>
                <w:color w:val="auto"/>
                <w:kern w:val="0"/>
                <w:szCs w:val="21"/>
              </w:rPr>
              <w:t>项目名称</w:t>
            </w:r>
          </w:p>
        </w:tc>
        <w:tc>
          <w:tcPr>
            <w:tcW w:w="1105" w:type="pct"/>
            <w:tcBorders>
              <w:top w:val="single" w:color="auto" w:sz="4" w:space="0"/>
              <w:left w:val="single" w:color="auto" w:sz="4" w:space="0"/>
              <w:bottom w:val="single" w:color="auto" w:sz="4" w:space="0"/>
              <w:right w:val="single" w:color="auto" w:sz="4" w:space="0"/>
            </w:tcBorders>
            <w:vAlign w:val="center"/>
          </w:tcPr>
          <w:p w14:paraId="462C998B">
            <w:pPr>
              <w:widowControl/>
              <w:kinsoku/>
              <w:autoSpaceDN/>
              <w:bidi w:val="0"/>
              <w:spacing w:line="560" w:lineRule="exact"/>
              <w:jc w:val="center"/>
              <w:rPr>
                <w:rFonts w:hint="eastAsia" w:ascii="宋体" w:hAnsi="宋体" w:cs="宋体"/>
                <w:color w:val="auto"/>
                <w:kern w:val="0"/>
                <w:szCs w:val="21"/>
              </w:rPr>
            </w:pPr>
            <w:r>
              <w:rPr>
                <w:rFonts w:ascii="宋体" w:hAnsi="宋体" w:cs="宋体"/>
                <w:color w:val="auto"/>
                <w:kern w:val="0"/>
                <w:szCs w:val="21"/>
              </w:rPr>
              <w:t>采购单位</w:t>
            </w:r>
          </w:p>
        </w:tc>
        <w:tc>
          <w:tcPr>
            <w:tcW w:w="659" w:type="pct"/>
            <w:tcBorders>
              <w:top w:val="single" w:color="auto" w:sz="4" w:space="0"/>
              <w:left w:val="single" w:color="auto" w:sz="4" w:space="0"/>
              <w:bottom w:val="single" w:color="auto" w:sz="4" w:space="0"/>
              <w:right w:val="single" w:color="auto" w:sz="4" w:space="0"/>
            </w:tcBorders>
            <w:vAlign w:val="center"/>
          </w:tcPr>
          <w:p w14:paraId="380B4BF4">
            <w:pPr>
              <w:widowControl/>
              <w:kinsoku/>
              <w:autoSpaceDN/>
              <w:bidi w:val="0"/>
              <w:spacing w:line="560" w:lineRule="exact"/>
              <w:jc w:val="center"/>
              <w:rPr>
                <w:rFonts w:hint="eastAsia" w:ascii="宋体" w:hAnsi="宋体" w:cs="宋体"/>
                <w:color w:val="auto"/>
                <w:kern w:val="0"/>
                <w:szCs w:val="21"/>
              </w:rPr>
            </w:pPr>
            <w:r>
              <w:rPr>
                <w:rFonts w:ascii="宋体" w:hAnsi="宋体" w:cs="宋体"/>
                <w:color w:val="auto"/>
                <w:kern w:val="0"/>
                <w:szCs w:val="21"/>
              </w:rPr>
              <w:t>合同内容</w:t>
            </w:r>
          </w:p>
        </w:tc>
        <w:tc>
          <w:tcPr>
            <w:tcW w:w="633" w:type="pct"/>
            <w:tcBorders>
              <w:top w:val="single" w:color="auto" w:sz="4" w:space="0"/>
              <w:left w:val="single" w:color="auto" w:sz="4" w:space="0"/>
              <w:bottom w:val="single" w:color="auto" w:sz="4" w:space="0"/>
              <w:right w:val="single" w:color="auto" w:sz="4" w:space="0"/>
            </w:tcBorders>
            <w:vAlign w:val="center"/>
          </w:tcPr>
          <w:p w14:paraId="246D9D0B">
            <w:pPr>
              <w:widowControl/>
              <w:kinsoku/>
              <w:autoSpaceDN/>
              <w:bidi w:val="0"/>
              <w:spacing w:line="560" w:lineRule="exact"/>
              <w:jc w:val="center"/>
              <w:rPr>
                <w:rFonts w:hint="eastAsia" w:ascii="宋体" w:hAnsi="宋体" w:cs="宋体"/>
                <w:color w:val="auto"/>
                <w:kern w:val="0"/>
                <w:szCs w:val="21"/>
              </w:rPr>
            </w:pPr>
            <w:r>
              <w:rPr>
                <w:rFonts w:ascii="宋体" w:hAnsi="宋体" w:cs="宋体"/>
                <w:color w:val="auto"/>
                <w:kern w:val="0"/>
                <w:szCs w:val="21"/>
              </w:rPr>
              <w:t>合同额</w:t>
            </w:r>
          </w:p>
        </w:tc>
        <w:tc>
          <w:tcPr>
            <w:tcW w:w="926" w:type="pct"/>
            <w:tcBorders>
              <w:top w:val="single" w:color="auto" w:sz="4" w:space="0"/>
              <w:left w:val="single" w:color="auto" w:sz="4" w:space="0"/>
              <w:bottom w:val="single" w:color="auto" w:sz="4" w:space="0"/>
              <w:right w:val="single" w:color="auto" w:sz="4" w:space="0"/>
            </w:tcBorders>
            <w:vAlign w:val="center"/>
          </w:tcPr>
          <w:p w14:paraId="1C2E7AD3">
            <w:pPr>
              <w:widowControl/>
              <w:kinsoku/>
              <w:autoSpaceDN/>
              <w:bidi w:val="0"/>
              <w:spacing w:line="560" w:lineRule="exact"/>
              <w:jc w:val="center"/>
              <w:rPr>
                <w:rFonts w:hint="eastAsia" w:ascii="宋体" w:hAnsi="宋体" w:cs="宋体"/>
                <w:color w:val="auto"/>
                <w:kern w:val="0"/>
                <w:szCs w:val="21"/>
              </w:rPr>
            </w:pPr>
            <w:r>
              <w:rPr>
                <w:rFonts w:ascii="宋体" w:hAnsi="宋体" w:cs="宋体"/>
                <w:color w:val="auto"/>
                <w:kern w:val="0"/>
                <w:szCs w:val="21"/>
              </w:rPr>
              <w:t>签订时间</w:t>
            </w:r>
          </w:p>
        </w:tc>
        <w:tc>
          <w:tcPr>
            <w:tcW w:w="713" w:type="pct"/>
            <w:tcBorders>
              <w:top w:val="single" w:color="auto" w:sz="4" w:space="0"/>
              <w:left w:val="single" w:color="auto" w:sz="4" w:space="0"/>
              <w:bottom w:val="single" w:color="auto" w:sz="4" w:space="0"/>
              <w:right w:val="single" w:color="auto" w:sz="4" w:space="0"/>
            </w:tcBorders>
            <w:vAlign w:val="center"/>
          </w:tcPr>
          <w:p w14:paraId="3E2AC399">
            <w:pPr>
              <w:widowControl/>
              <w:kinsoku/>
              <w:autoSpaceDN/>
              <w:bidi w:val="0"/>
              <w:spacing w:line="560" w:lineRule="exact"/>
              <w:jc w:val="center"/>
              <w:rPr>
                <w:rFonts w:hint="eastAsia" w:ascii="宋体" w:hAnsi="宋体" w:cs="宋体"/>
                <w:color w:val="auto"/>
                <w:kern w:val="0"/>
                <w:szCs w:val="21"/>
              </w:rPr>
            </w:pPr>
            <w:r>
              <w:rPr>
                <w:rFonts w:ascii="宋体" w:hAnsi="宋体" w:cs="宋体"/>
                <w:color w:val="auto"/>
                <w:kern w:val="0"/>
                <w:szCs w:val="21"/>
              </w:rPr>
              <w:t>备注</w:t>
            </w:r>
          </w:p>
        </w:tc>
      </w:tr>
      <w:tr w14:paraId="083CB8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961" w:type="pct"/>
            <w:tcBorders>
              <w:top w:val="single" w:color="auto" w:sz="4" w:space="0"/>
              <w:left w:val="single" w:color="auto" w:sz="4" w:space="0"/>
              <w:bottom w:val="single" w:color="auto" w:sz="4" w:space="0"/>
              <w:right w:val="single" w:color="auto" w:sz="4" w:space="0"/>
            </w:tcBorders>
            <w:vAlign w:val="center"/>
          </w:tcPr>
          <w:p w14:paraId="25A081DD">
            <w:pPr>
              <w:widowControl/>
              <w:kinsoku/>
              <w:autoSpaceDN/>
              <w:bidi w:val="0"/>
              <w:spacing w:line="560" w:lineRule="exact"/>
              <w:jc w:val="center"/>
              <w:rPr>
                <w:rFonts w:hint="eastAsia" w:ascii="宋体" w:hAnsi="宋体" w:cs="宋体"/>
                <w:color w:val="auto"/>
                <w:kern w:val="0"/>
                <w:szCs w:val="21"/>
              </w:rPr>
            </w:pPr>
          </w:p>
        </w:tc>
        <w:tc>
          <w:tcPr>
            <w:tcW w:w="1105" w:type="pct"/>
            <w:tcBorders>
              <w:top w:val="single" w:color="auto" w:sz="4" w:space="0"/>
              <w:left w:val="single" w:color="auto" w:sz="4" w:space="0"/>
              <w:bottom w:val="single" w:color="auto" w:sz="4" w:space="0"/>
              <w:right w:val="single" w:color="auto" w:sz="4" w:space="0"/>
            </w:tcBorders>
            <w:vAlign w:val="center"/>
          </w:tcPr>
          <w:p w14:paraId="19A2CD69">
            <w:pPr>
              <w:widowControl/>
              <w:kinsoku/>
              <w:autoSpaceDN/>
              <w:bidi w:val="0"/>
              <w:spacing w:line="560" w:lineRule="exact"/>
              <w:jc w:val="center"/>
              <w:rPr>
                <w:rFonts w:hint="eastAsia" w:ascii="宋体" w:hAnsi="宋体" w:cs="宋体"/>
                <w:color w:val="auto"/>
                <w:kern w:val="0"/>
                <w:szCs w:val="21"/>
              </w:rPr>
            </w:pPr>
          </w:p>
        </w:tc>
        <w:tc>
          <w:tcPr>
            <w:tcW w:w="659" w:type="pct"/>
            <w:tcBorders>
              <w:top w:val="single" w:color="auto" w:sz="4" w:space="0"/>
              <w:left w:val="single" w:color="auto" w:sz="4" w:space="0"/>
              <w:bottom w:val="single" w:color="auto" w:sz="4" w:space="0"/>
              <w:right w:val="single" w:color="auto" w:sz="4" w:space="0"/>
            </w:tcBorders>
            <w:vAlign w:val="center"/>
          </w:tcPr>
          <w:p w14:paraId="15AEEB9F">
            <w:pPr>
              <w:widowControl/>
              <w:kinsoku/>
              <w:autoSpaceDN/>
              <w:bidi w:val="0"/>
              <w:spacing w:line="560" w:lineRule="exact"/>
              <w:jc w:val="center"/>
              <w:rPr>
                <w:rFonts w:hint="eastAsia" w:ascii="宋体" w:hAnsi="宋体" w:cs="宋体"/>
                <w:color w:val="auto"/>
                <w:kern w:val="0"/>
                <w:szCs w:val="21"/>
              </w:rPr>
            </w:pPr>
          </w:p>
        </w:tc>
        <w:tc>
          <w:tcPr>
            <w:tcW w:w="633" w:type="pct"/>
            <w:tcBorders>
              <w:top w:val="single" w:color="auto" w:sz="4" w:space="0"/>
              <w:left w:val="single" w:color="auto" w:sz="4" w:space="0"/>
              <w:bottom w:val="single" w:color="auto" w:sz="4" w:space="0"/>
              <w:right w:val="single" w:color="auto" w:sz="4" w:space="0"/>
            </w:tcBorders>
            <w:vAlign w:val="center"/>
          </w:tcPr>
          <w:p w14:paraId="7291E842">
            <w:pPr>
              <w:widowControl/>
              <w:kinsoku/>
              <w:autoSpaceDN/>
              <w:bidi w:val="0"/>
              <w:spacing w:line="560" w:lineRule="exact"/>
              <w:jc w:val="center"/>
              <w:rPr>
                <w:rFonts w:hint="eastAsia" w:ascii="宋体" w:hAnsi="宋体" w:cs="宋体"/>
                <w:color w:val="auto"/>
                <w:kern w:val="0"/>
                <w:szCs w:val="21"/>
              </w:rPr>
            </w:pPr>
          </w:p>
        </w:tc>
        <w:tc>
          <w:tcPr>
            <w:tcW w:w="926" w:type="pct"/>
            <w:tcBorders>
              <w:top w:val="single" w:color="auto" w:sz="4" w:space="0"/>
              <w:left w:val="single" w:color="auto" w:sz="4" w:space="0"/>
              <w:bottom w:val="single" w:color="auto" w:sz="4" w:space="0"/>
              <w:right w:val="single" w:color="auto" w:sz="4" w:space="0"/>
            </w:tcBorders>
            <w:vAlign w:val="center"/>
          </w:tcPr>
          <w:p w14:paraId="62882057">
            <w:pPr>
              <w:widowControl/>
              <w:kinsoku/>
              <w:autoSpaceDN/>
              <w:bidi w:val="0"/>
              <w:spacing w:line="560" w:lineRule="exact"/>
              <w:jc w:val="center"/>
              <w:rPr>
                <w:rFonts w:hint="eastAsia" w:ascii="宋体" w:hAnsi="宋体" w:cs="宋体"/>
                <w:color w:val="auto"/>
                <w:kern w:val="0"/>
                <w:szCs w:val="21"/>
              </w:rPr>
            </w:pPr>
          </w:p>
        </w:tc>
        <w:tc>
          <w:tcPr>
            <w:tcW w:w="713" w:type="pct"/>
            <w:tcBorders>
              <w:top w:val="single" w:color="auto" w:sz="4" w:space="0"/>
              <w:left w:val="single" w:color="auto" w:sz="4" w:space="0"/>
              <w:bottom w:val="single" w:color="auto" w:sz="4" w:space="0"/>
              <w:right w:val="single" w:color="auto" w:sz="4" w:space="0"/>
            </w:tcBorders>
            <w:vAlign w:val="center"/>
          </w:tcPr>
          <w:p w14:paraId="1B4D86E5">
            <w:pPr>
              <w:widowControl/>
              <w:kinsoku/>
              <w:autoSpaceDN/>
              <w:bidi w:val="0"/>
              <w:spacing w:line="560" w:lineRule="exact"/>
              <w:jc w:val="center"/>
              <w:rPr>
                <w:rFonts w:hint="eastAsia" w:ascii="宋体" w:hAnsi="宋体" w:cs="宋体"/>
                <w:color w:val="auto"/>
                <w:kern w:val="0"/>
                <w:szCs w:val="21"/>
              </w:rPr>
            </w:pPr>
          </w:p>
        </w:tc>
      </w:tr>
      <w:tr w14:paraId="6205E9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961" w:type="pct"/>
            <w:tcBorders>
              <w:top w:val="single" w:color="auto" w:sz="4" w:space="0"/>
              <w:left w:val="single" w:color="auto" w:sz="4" w:space="0"/>
              <w:bottom w:val="single" w:color="auto" w:sz="4" w:space="0"/>
              <w:right w:val="single" w:color="auto" w:sz="4" w:space="0"/>
            </w:tcBorders>
            <w:vAlign w:val="center"/>
          </w:tcPr>
          <w:p w14:paraId="1C70F25B">
            <w:pPr>
              <w:widowControl/>
              <w:kinsoku/>
              <w:autoSpaceDN/>
              <w:bidi w:val="0"/>
              <w:spacing w:line="560" w:lineRule="exact"/>
              <w:jc w:val="center"/>
              <w:rPr>
                <w:rFonts w:hint="eastAsia" w:ascii="宋体" w:hAnsi="宋体" w:cs="宋体"/>
                <w:color w:val="auto"/>
                <w:kern w:val="0"/>
                <w:szCs w:val="21"/>
              </w:rPr>
            </w:pPr>
          </w:p>
        </w:tc>
        <w:tc>
          <w:tcPr>
            <w:tcW w:w="1105" w:type="pct"/>
            <w:tcBorders>
              <w:top w:val="single" w:color="auto" w:sz="4" w:space="0"/>
              <w:left w:val="single" w:color="auto" w:sz="4" w:space="0"/>
              <w:bottom w:val="single" w:color="auto" w:sz="4" w:space="0"/>
              <w:right w:val="single" w:color="auto" w:sz="4" w:space="0"/>
            </w:tcBorders>
            <w:vAlign w:val="center"/>
          </w:tcPr>
          <w:p w14:paraId="340E4628">
            <w:pPr>
              <w:widowControl/>
              <w:kinsoku/>
              <w:autoSpaceDN/>
              <w:bidi w:val="0"/>
              <w:spacing w:line="560" w:lineRule="exact"/>
              <w:jc w:val="center"/>
              <w:rPr>
                <w:rFonts w:hint="eastAsia" w:ascii="宋体" w:hAnsi="宋体" w:cs="宋体"/>
                <w:color w:val="auto"/>
                <w:kern w:val="0"/>
                <w:szCs w:val="21"/>
              </w:rPr>
            </w:pPr>
          </w:p>
        </w:tc>
        <w:tc>
          <w:tcPr>
            <w:tcW w:w="659" w:type="pct"/>
            <w:tcBorders>
              <w:top w:val="single" w:color="auto" w:sz="4" w:space="0"/>
              <w:left w:val="single" w:color="auto" w:sz="4" w:space="0"/>
              <w:bottom w:val="single" w:color="auto" w:sz="4" w:space="0"/>
              <w:right w:val="single" w:color="auto" w:sz="4" w:space="0"/>
            </w:tcBorders>
            <w:vAlign w:val="center"/>
          </w:tcPr>
          <w:p w14:paraId="22A62FBE">
            <w:pPr>
              <w:widowControl/>
              <w:kinsoku/>
              <w:autoSpaceDN/>
              <w:bidi w:val="0"/>
              <w:spacing w:line="560" w:lineRule="exact"/>
              <w:jc w:val="center"/>
              <w:rPr>
                <w:rFonts w:hint="eastAsia" w:ascii="宋体" w:hAnsi="宋体" w:cs="宋体"/>
                <w:color w:val="auto"/>
                <w:kern w:val="0"/>
                <w:szCs w:val="21"/>
              </w:rPr>
            </w:pPr>
          </w:p>
        </w:tc>
        <w:tc>
          <w:tcPr>
            <w:tcW w:w="633" w:type="pct"/>
            <w:tcBorders>
              <w:top w:val="single" w:color="auto" w:sz="4" w:space="0"/>
              <w:left w:val="single" w:color="auto" w:sz="4" w:space="0"/>
              <w:bottom w:val="single" w:color="auto" w:sz="4" w:space="0"/>
              <w:right w:val="single" w:color="auto" w:sz="4" w:space="0"/>
            </w:tcBorders>
            <w:vAlign w:val="center"/>
          </w:tcPr>
          <w:p w14:paraId="5C82633D">
            <w:pPr>
              <w:widowControl/>
              <w:kinsoku/>
              <w:autoSpaceDN/>
              <w:bidi w:val="0"/>
              <w:spacing w:line="560" w:lineRule="exact"/>
              <w:jc w:val="center"/>
              <w:rPr>
                <w:rFonts w:hint="eastAsia" w:ascii="宋体" w:hAnsi="宋体" w:cs="宋体"/>
                <w:color w:val="auto"/>
                <w:kern w:val="0"/>
                <w:szCs w:val="21"/>
              </w:rPr>
            </w:pPr>
          </w:p>
        </w:tc>
        <w:tc>
          <w:tcPr>
            <w:tcW w:w="926" w:type="pct"/>
            <w:tcBorders>
              <w:top w:val="single" w:color="auto" w:sz="4" w:space="0"/>
              <w:left w:val="single" w:color="auto" w:sz="4" w:space="0"/>
              <w:bottom w:val="single" w:color="auto" w:sz="4" w:space="0"/>
              <w:right w:val="single" w:color="auto" w:sz="4" w:space="0"/>
            </w:tcBorders>
            <w:vAlign w:val="center"/>
          </w:tcPr>
          <w:p w14:paraId="1126057D">
            <w:pPr>
              <w:widowControl/>
              <w:kinsoku/>
              <w:autoSpaceDN/>
              <w:bidi w:val="0"/>
              <w:spacing w:line="560" w:lineRule="exact"/>
              <w:jc w:val="center"/>
              <w:rPr>
                <w:rFonts w:hint="eastAsia" w:ascii="宋体" w:hAnsi="宋体" w:cs="宋体"/>
                <w:color w:val="auto"/>
                <w:kern w:val="0"/>
                <w:szCs w:val="21"/>
              </w:rPr>
            </w:pPr>
          </w:p>
        </w:tc>
        <w:tc>
          <w:tcPr>
            <w:tcW w:w="713" w:type="pct"/>
            <w:tcBorders>
              <w:top w:val="single" w:color="auto" w:sz="4" w:space="0"/>
              <w:left w:val="single" w:color="auto" w:sz="4" w:space="0"/>
              <w:bottom w:val="single" w:color="auto" w:sz="4" w:space="0"/>
              <w:right w:val="single" w:color="auto" w:sz="4" w:space="0"/>
            </w:tcBorders>
            <w:vAlign w:val="center"/>
          </w:tcPr>
          <w:p w14:paraId="7AAD3638">
            <w:pPr>
              <w:widowControl/>
              <w:kinsoku/>
              <w:autoSpaceDN/>
              <w:bidi w:val="0"/>
              <w:spacing w:line="560" w:lineRule="exact"/>
              <w:jc w:val="center"/>
              <w:rPr>
                <w:rFonts w:hint="eastAsia" w:ascii="宋体" w:hAnsi="宋体" w:cs="宋体"/>
                <w:color w:val="auto"/>
                <w:kern w:val="0"/>
                <w:szCs w:val="21"/>
              </w:rPr>
            </w:pPr>
          </w:p>
        </w:tc>
      </w:tr>
      <w:tr w14:paraId="2A176E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961" w:type="pct"/>
            <w:tcBorders>
              <w:top w:val="single" w:color="auto" w:sz="4" w:space="0"/>
              <w:left w:val="single" w:color="auto" w:sz="4" w:space="0"/>
              <w:bottom w:val="single" w:color="auto" w:sz="4" w:space="0"/>
              <w:right w:val="single" w:color="auto" w:sz="4" w:space="0"/>
            </w:tcBorders>
            <w:vAlign w:val="center"/>
          </w:tcPr>
          <w:p w14:paraId="17E7F149">
            <w:pPr>
              <w:widowControl/>
              <w:kinsoku/>
              <w:autoSpaceDN/>
              <w:bidi w:val="0"/>
              <w:spacing w:line="560" w:lineRule="exact"/>
              <w:jc w:val="center"/>
              <w:rPr>
                <w:rFonts w:hint="eastAsia" w:ascii="宋体" w:hAnsi="宋体" w:cs="宋体"/>
                <w:color w:val="auto"/>
                <w:kern w:val="0"/>
                <w:szCs w:val="21"/>
              </w:rPr>
            </w:pPr>
          </w:p>
        </w:tc>
        <w:tc>
          <w:tcPr>
            <w:tcW w:w="1105" w:type="pct"/>
            <w:tcBorders>
              <w:top w:val="single" w:color="auto" w:sz="4" w:space="0"/>
              <w:left w:val="single" w:color="auto" w:sz="4" w:space="0"/>
              <w:bottom w:val="single" w:color="auto" w:sz="4" w:space="0"/>
              <w:right w:val="single" w:color="auto" w:sz="4" w:space="0"/>
            </w:tcBorders>
            <w:vAlign w:val="center"/>
          </w:tcPr>
          <w:p w14:paraId="382048C0">
            <w:pPr>
              <w:widowControl/>
              <w:kinsoku/>
              <w:autoSpaceDN/>
              <w:bidi w:val="0"/>
              <w:spacing w:line="560" w:lineRule="exact"/>
              <w:jc w:val="center"/>
              <w:rPr>
                <w:rFonts w:hint="eastAsia" w:ascii="宋体" w:hAnsi="宋体" w:cs="宋体"/>
                <w:color w:val="auto"/>
                <w:kern w:val="0"/>
                <w:szCs w:val="21"/>
              </w:rPr>
            </w:pPr>
          </w:p>
        </w:tc>
        <w:tc>
          <w:tcPr>
            <w:tcW w:w="659" w:type="pct"/>
            <w:tcBorders>
              <w:top w:val="single" w:color="auto" w:sz="4" w:space="0"/>
              <w:left w:val="single" w:color="auto" w:sz="4" w:space="0"/>
              <w:bottom w:val="single" w:color="auto" w:sz="4" w:space="0"/>
              <w:right w:val="single" w:color="auto" w:sz="4" w:space="0"/>
            </w:tcBorders>
            <w:vAlign w:val="center"/>
          </w:tcPr>
          <w:p w14:paraId="4993AF50">
            <w:pPr>
              <w:widowControl/>
              <w:kinsoku/>
              <w:autoSpaceDN/>
              <w:bidi w:val="0"/>
              <w:spacing w:line="560" w:lineRule="exact"/>
              <w:jc w:val="center"/>
              <w:rPr>
                <w:rFonts w:hint="eastAsia" w:ascii="宋体" w:hAnsi="宋体" w:cs="宋体"/>
                <w:color w:val="auto"/>
                <w:kern w:val="0"/>
                <w:szCs w:val="21"/>
              </w:rPr>
            </w:pPr>
          </w:p>
        </w:tc>
        <w:tc>
          <w:tcPr>
            <w:tcW w:w="633" w:type="pct"/>
            <w:tcBorders>
              <w:top w:val="single" w:color="auto" w:sz="4" w:space="0"/>
              <w:left w:val="single" w:color="auto" w:sz="4" w:space="0"/>
              <w:bottom w:val="single" w:color="auto" w:sz="4" w:space="0"/>
              <w:right w:val="single" w:color="auto" w:sz="4" w:space="0"/>
            </w:tcBorders>
            <w:vAlign w:val="center"/>
          </w:tcPr>
          <w:p w14:paraId="41B9676E">
            <w:pPr>
              <w:widowControl/>
              <w:kinsoku/>
              <w:autoSpaceDN/>
              <w:bidi w:val="0"/>
              <w:spacing w:line="560" w:lineRule="exact"/>
              <w:jc w:val="center"/>
              <w:rPr>
                <w:rFonts w:hint="eastAsia" w:ascii="宋体" w:hAnsi="宋体" w:cs="宋体"/>
                <w:color w:val="auto"/>
                <w:kern w:val="0"/>
                <w:szCs w:val="21"/>
              </w:rPr>
            </w:pPr>
          </w:p>
        </w:tc>
        <w:tc>
          <w:tcPr>
            <w:tcW w:w="926" w:type="pct"/>
            <w:tcBorders>
              <w:top w:val="single" w:color="auto" w:sz="4" w:space="0"/>
              <w:left w:val="single" w:color="auto" w:sz="4" w:space="0"/>
              <w:bottom w:val="single" w:color="auto" w:sz="4" w:space="0"/>
              <w:right w:val="single" w:color="auto" w:sz="4" w:space="0"/>
            </w:tcBorders>
            <w:vAlign w:val="center"/>
          </w:tcPr>
          <w:p w14:paraId="00C1B8DD">
            <w:pPr>
              <w:widowControl/>
              <w:kinsoku/>
              <w:autoSpaceDN/>
              <w:bidi w:val="0"/>
              <w:spacing w:line="560" w:lineRule="exact"/>
              <w:jc w:val="center"/>
              <w:rPr>
                <w:rFonts w:hint="eastAsia" w:ascii="宋体" w:hAnsi="宋体" w:cs="宋体"/>
                <w:color w:val="auto"/>
                <w:kern w:val="0"/>
                <w:szCs w:val="21"/>
              </w:rPr>
            </w:pPr>
          </w:p>
        </w:tc>
        <w:tc>
          <w:tcPr>
            <w:tcW w:w="713" w:type="pct"/>
            <w:tcBorders>
              <w:top w:val="single" w:color="auto" w:sz="4" w:space="0"/>
              <w:left w:val="single" w:color="auto" w:sz="4" w:space="0"/>
              <w:bottom w:val="single" w:color="auto" w:sz="4" w:space="0"/>
              <w:right w:val="single" w:color="auto" w:sz="4" w:space="0"/>
            </w:tcBorders>
            <w:vAlign w:val="center"/>
          </w:tcPr>
          <w:p w14:paraId="22DD97DB">
            <w:pPr>
              <w:widowControl/>
              <w:kinsoku/>
              <w:autoSpaceDN/>
              <w:bidi w:val="0"/>
              <w:spacing w:line="560" w:lineRule="exact"/>
              <w:jc w:val="center"/>
              <w:rPr>
                <w:rFonts w:hint="eastAsia" w:ascii="宋体" w:hAnsi="宋体" w:cs="宋体"/>
                <w:color w:val="auto"/>
                <w:kern w:val="0"/>
                <w:szCs w:val="21"/>
              </w:rPr>
            </w:pPr>
          </w:p>
        </w:tc>
      </w:tr>
      <w:tr w14:paraId="160129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961" w:type="pct"/>
            <w:tcBorders>
              <w:top w:val="single" w:color="auto" w:sz="4" w:space="0"/>
              <w:left w:val="single" w:color="auto" w:sz="4" w:space="0"/>
              <w:bottom w:val="single" w:color="auto" w:sz="4" w:space="0"/>
              <w:right w:val="single" w:color="auto" w:sz="4" w:space="0"/>
            </w:tcBorders>
            <w:vAlign w:val="center"/>
          </w:tcPr>
          <w:p w14:paraId="5FF3FD9C">
            <w:pPr>
              <w:widowControl/>
              <w:kinsoku/>
              <w:autoSpaceDN/>
              <w:bidi w:val="0"/>
              <w:spacing w:line="560" w:lineRule="exact"/>
              <w:jc w:val="center"/>
              <w:rPr>
                <w:rFonts w:hint="eastAsia" w:ascii="宋体" w:hAnsi="宋体" w:cs="宋体"/>
                <w:color w:val="auto"/>
                <w:kern w:val="0"/>
                <w:szCs w:val="21"/>
              </w:rPr>
            </w:pPr>
          </w:p>
        </w:tc>
        <w:tc>
          <w:tcPr>
            <w:tcW w:w="1105" w:type="pct"/>
            <w:tcBorders>
              <w:top w:val="single" w:color="auto" w:sz="4" w:space="0"/>
              <w:left w:val="single" w:color="auto" w:sz="4" w:space="0"/>
              <w:bottom w:val="single" w:color="auto" w:sz="4" w:space="0"/>
              <w:right w:val="single" w:color="auto" w:sz="4" w:space="0"/>
            </w:tcBorders>
            <w:vAlign w:val="center"/>
          </w:tcPr>
          <w:p w14:paraId="2E554019">
            <w:pPr>
              <w:widowControl/>
              <w:kinsoku/>
              <w:autoSpaceDN/>
              <w:bidi w:val="0"/>
              <w:spacing w:line="560" w:lineRule="exact"/>
              <w:jc w:val="center"/>
              <w:rPr>
                <w:rFonts w:hint="eastAsia" w:ascii="宋体" w:hAnsi="宋体" w:cs="宋体"/>
                <w:color w:val="auto"/>
                <w:kern w:val="0"/>
                <w:szCs w:val="21"/>
              </w:rPr>
            </w:pPr>
          </w:p>
        </w:tc>
        <w:tc>
          <w:tcPr>
            <w:tcW w:w="659" w:type="pct"/>
            <w:tcBorders>
              <w:top w:val="single" w:color="auto" w:sz="4" w:space="0"/>
              <w:left w:val="single" w:color="auto" w:sz="4" w:space="0"/>
              <w:bottom w:val="single" w:color="auto" w:sz="4" w:space="0"/>
              <w:right w:val="single" w:color="auto" w:sz="4" w:space="0"/>
            </w:tcBorders>
            <w:vAlign w:val="center"/>
          </w:tcPr>
          <w:p w14:paraId="1788C8F7">
            <w:pPr>
              <w:widowControl/>
              <w:kinsoku/>
              <w:autoSpaceDN/>
              <w:bidi w:val="0"/>
              <w:spacing w:line="560" w:lineRule="exact"/>
              <w:jc w:val="center"/>
              <w:rPr>
                <w:rFonts w:hint="eastAsia" w:ascii="宋体" w:hAnsi="宋体" w:cs="宋体"/>
                <w:color w:val="auto"/>
                <w:kern w:val="0"/>
                <w:szCs w:val="21"/>
              </w:rPr>
            </w:pPr>
          </w:p>
        </w:tc>
        <w:tc>
          <w:tcPr>
            <w:tcW w:w="633" w:type="pct"/>
            <w:tcBorders>
              <w:top w:val="single" w:color="auto" w:sz="4" w:space="0"/>
              <w:left w:val="single" w:color="auto" w:sz="4" w:space="0"/>
              <w:bottom w:val="single" w:color="auto" w:sz="4" w:space="0"/>
              <w:right w:val="single" w:color="auto" w:sz="4" w:space="0"/>
            </w:tcBorders>
            <w:vAlign w:val="center"/>
          </w:tcPr>
          <w:p w14:paraId="759262F3">
            <w:pPr>
              <w:widowControl/>
              <w:kinsoku/>
              <w:autoSpaceDN/>
              <w:bidi w:val="0"/>
              <w:spacing w:line="560" w:lineRule="exact"/>
              <w:jc w:val="center"/>
              <w:rPr>
                <w:rFonts w:hint="eastAsia" w:ascii="宋体" w:hAnsi="宋体" w:cs="宋体"/>
                <w:color w:val="auto"/>
                <w:kern w:val="0"/>
                <w:szCs w:val="21"/>
              </w:rPr>
            </w:pPr>
          </w:p>
        </w:tc>
        <w:tc>
          <w:tcPr>
            <w:tcW w:w="926" w:type="pct"/>
            <w:tcBorders>
              <w:top w:val="single" w:color="auto" w:sz="4" w:space="0"/>
              <w:left w:val="single" w:color="auto" w:sz="4" w:space="0"/>
              <w:bottom w:val="single" w:color="auto" w:sz="4" w:space="0"/>
              <w:right w:val="single" w:color="auto" w:sz="4" w:space="0"/>
            </w:tcBorders>
            <w:vAlign w:val="center"/>
          </w:tcPr>
          <w:p w14:paraId="0BEAFF77">
            <w:pPr>
              <w:widowControl/>
              <w:kinsoku/>
              <w:autoSpaceDN/>
              <w:bidi w:val="0"/>
              <w:spacing w:line="560" w:lineRule="exact"/>
              <w:jc w:val="center"/>
              <w:rPr>
                <w:rFonts w:hint="eastAsia" w:ascii="宋体" w:hAnsi="宋体" w:cs="宋体"/>
                <w:color w:val="auto"/>
                <w:kern w:val="0"/>
                <w:szCs w:val="21"/>
              </w:rPr>
            </w:pPr>
          </w:p>
        </w:tc>
        <w:tc>
          <w:tcPr>
            <w:tcW w:w="713" w:type="pct"/>
            <w:tcBorders>
              <w:top w:val="single" w:color="auto" w:sz="4" w:space="0"/>
              <w:left w:val="single" w:color="auto" w:sz="4" w:space="0"/>
              <w:bottom w:val="single" w:color="auto" w:sz="4" w:space="0"/>
              <w:right w:val="single" w:color="auto" w:sz="4" w:space="0"/>
            </w:tcBorders>
            <w:vAlign w:val="center"/>
          </w:tcPr>
          <w:p w14:paraId="51571D05">
            <w:pPr>
              <w:widowControl/>
              <w:kinsoku/>
              <w:autoSpaceDN/>
              <w:bidi w:val="0"/>
              <w:spacing w:line="560" w:lineRule="exact"/>
              <w:jc w:val="center"/>
              <w:rPr>
                <w:rFonts w:hint="eastAsia" w:ascii="宋体" w:hAnsi="宋体" w:cs="宋体"/>
                <w:color w:val="auto"/>
                <w:kern w:val="0"/>
                <w:szCs w:val="21"/>
              </w:rPr>
            </w:pPr>
          </w:p>
        </w:tc>
      </w:tr>
      <w:tr w14:paraId="56FC05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961" w:type="pct"/>
            <w:tcBorders>
              <w:top w:val="single" w:color="auto" w:sz="4" w:space="0"/>
              <w:left w:val="single" w:color="auto" w:sz="4" w:space="0"/>
              <w:bottom w:val="single" w:color="auto" w:sz="4" w:space="0"/>
              <w:right w:val="single" w:color="auto" w:sz="4" w:space="0"/>
            </w:tcBorders>
            <w:vAlign w:val="center"/>
          </w:tcPr>
          <w:p w14:paraId="45AC6C6B">
            <w:pPr>
              <w:widowControl/>
              <w:kinsoku/>
              <w:autoSpaceDN/>
              <w:bidi w:val="0"/>
              <w:spacing w:line="560" w:lineRule="exact"/>
              <w:jc w:val="center"/>
              <w:rPr>
                <w:rFonts w:hint="eastAsia" w:ascii="宋体" w:hAnsi="宋体" w:cs="宋体"/>
                <w:color w:val="auto"/>
                <w:kern w:val="0"/>
                <w:szCs w:val="21"/>
              </w:rPr>
            </w:pPr>
          </w:p>
        </w:tc>
        <w:tc>
          <w:tcPr>
            <w:tcW w:w="1105" w:type="pct"/>
            <w:tcBorders>
              <w:top w:val="single" w:color="auto" w:sz="4" w:space="0"/>
              <w:left w:val="single" w:color="auto" w:sz="4" w:space="0"/>
              <w:bottom w:val="single" w:color="auto" w:sz="4" w:space="0"/>
              <w:right w:val="single" w:color="auto" w:sz="4" w:space="0"/>
            </w:tcBorders>
            <w:vAlign w:val="center"/>
          </w:tcPr>
          <w:p w14:paraId="02C81666">
            <w:pPr>
              <w:widowControl/>
              <w:kinsoku/>
              <w:autoSpaceDN/>
              <w:bidi w:val="0"/>
              <w:spacing w:line="560" w:lineRule="exact"/>
              <w:jc w:val="center"/>
              <w:rPr>
                <w:rFonts w:hint="eastAsia" w:ascii="宋体" w:hAnsi="宋体" w:cs="宋体"/>
                <w:color w:val="auto"/>
                <w:kern w:val="0"/>
                <w:szCs w:val="21"/>
              </w:rPr>
            </w:pPr>
          </w:p>
        </w:tc>
        <w:tc>
          <w:tcPr>
            <w:tcW w:w="659" w:type="pct"/>
            <w:tcBorders>
              <w:top w:val="single" w:color="auto" w:sz="4" w:space="0"/>
              <w:left w:val="single" w:color="auto" w:sz="4" w:space="0"/>
              <w:bottom w:val="single" w:color="auto" w:sz="4" w:space="0"/>
              <w:right w:val="single" w:color="auto" w:sz="4" w:space="0"/>
            </w:tcBorders>
            <w:vAlign w:val="center"/>
          </w:tcPr>
          <w:p w14:paraId="510FEC25">
            <w:pPr>
              <w:widowControl/>
              <w:kinsoku/>
              <w:autoSpaceDN/>
              <w:bidi w:val="0"/>
              <w:spacing w:line="560" w:lineRule="exact"/>
              <w:jc w:val="center"/>
              <w:rPr>
                <w:rFonts w:hint="eastAsia" w:ascii="宋体" w:hAnsi="宋体" w:cs="宋体"/>
                <w:color w:val="auto"/>
                <w:kern w:val="0"/>
                <w:szCs w:val="21"/>
              </w:rPr>
            </w:pPr>
          </w:p>
        </w:tc>
        <w:tc>
          <w:tcPr>
            <w:tcW w:w="633" w:type="pct"/>
            <w:tcBorders>
              <w:top w:val="single" w:color="auto" w:sz="4" w:space="0"/>
              <w:left w:val="single" w:color="auto" w:sz="4" w:space="0"/>
              <w:bottom w:val="single" w:color="auto" w:sz="4" w:space="0"/>
              <w:right w:val="single" w:color="auto" w:sz="4" w:space="0"/>
            </w:tcBorders>
            <w:vAlign w:val="center"/>
          </w:tcPr>
          <w:p w14:paraId="6AE31DE9">
            <w:pPr>
              <w:widowControl/>
              <w:kinsoku/>
              <w:autoSpaceDN/>
              <w:bidi w:val="0"/>
              <w:spacing w:line="560" w:lineRule="exact"/>
              <w:jc w:val="center"/>
              <w:rPr>
                <w:rFonts w:hint="eastAsia" w:ascii="宋体" w:hAnsi="宋体" w:cs="宋体"/>
                <w:color w:val="auto"/>
                <w:kern w:val="0"/>
                <w:szCs w:val="21"/>
              </w:rPr>
            </w:pPr>
          </w:p>
        </w:tc>
        <w:tc>
          <w:tcPr>
            <w:tcW w:w="926" w:type="pct"/>
            <w:tcBorders>
              <w:top w:val="single" w:color="auto" w:sz="4" w:space="0"/>
              <w:left w:val="single" w:color="auto" w:sz="4" w:space="0"/>
              <w:bottom w:val="single" w:color="auto" w:sz="4" w:space="0"/>
              <w:right w:val="single" w:color="auto" w:sz="4" w:space="0"/>
            </w:tcBorders>
            <w:vAlign w:val="center"/>
          </w:tcPr>
          <w:p w14:paraId="25FF55A7">
            <w:pPr>
              <w:widowControl/>
              <w:kinsoku/>
              <w:autoSpaceDN/>
              <w:bidi w:val="0"/>
              <w:spacing w:line="560" w:lineRule="exact"/>
              <w:jc w:val="center"/>
              <w:rPr>
                <w:rFonts w:hint="eastAsia" w:ascii="宋体" w:hAnsi="宋体" w:cs="宋体"/>
                <w:color w:val="auto"/>
                <w:kern w:val="0"/>
                <w:szCs w:val="21"/>
              </w:rPr>
            </w:pPr>
          </w:p>
        </w:tc>
        <w:tc>
          <w:tcPr>
            <w:tcW w:w="713" w:type="pct"/>
            <w:tcBorders>
              <w:top w:val="single" w:color="auto" w:sz="4" w:space="0"/>
              <w:left w:val="single" w:color="auto" w:sz="4" w:space="0"/>
              <w:bottom w:val="single" w:color="auto" w:sz="4" w:space="0"/>
              <w:right w:val="single" w:color="auto" w:sz="4" w:space="0"/>
            </w:tcBorders>
            <w:vAlign w:val="center"/>
          </w:tcPr>
          <w:p w14:paraId="4F85B19F">
            <w:pPr>
              <w:widowControl/>
              <w:kinsoku/>
              <w:autoSpaceDN/>
              <w:bidi w:val="0"/>
              <w:spacing w:line="560" w:lineRule="exact"/>
              <w:jc w:val="center"/>
              <w:rPr>
                <w:rFonts w:hint="eastAsia" w:ascii="宋体" w:hAnsi="宋体" w:cs="宋体"/>
                <w:color w:val="auto"/>
                <w:kern w:val="0"/>
                <w:szCs w:val="21"/>
              </w:rPr>
            </w:pPr>
          </w:p>
        </w:tc>
      </w:tr>
      <w:tr w14:paraId="256AA6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961" w:type="pct"/>
            <w:tcBorders>
              <w:top w:val="single" w:color="auto" w:sz="4" w:space="0"/>
              <w:left w:val="single" w:color="auto" w:sz="4" w:space="0"/>
              <w:bottom w:val="single" w:color="auto" w:sz="4" w:space="0"/>
              <w:right w:val="single" w:color="auto" w:sz="4" w:space="0"/>
            </w:tcBorders>
            <w:vAlign w:val="center"/>
          </w:tcPr>
          <w:p w14:paraId="1D64C520">
            <w:pPr>
              <w:widowControl/>
              <w:kinsoku/>
              <w:autoSpaceDN/>
              <w:bidi w:val="0"/>
              <w:spacing w:line="560" w:lineRule="exact"/>
              <w:jc w:val="center"/>
              <w:rPr>
                <w:rFonts w:hint="eastAsia" w:ascii="宋体" w:hAnsi="宋体" w:cs="宋体"/>
                <w:color w:val="auto"/>
                <w:kern w:val="0"/>
                <w:szCs w:val="21"/>
              </w:rPr>
            </w:pPr>
          </w:p>
        </w:tc>
        <w:tc>
          <w:tcPr>
            <w:tcW w:w="1105" w:type="pct"/>
            <w:tcBorders>
              <w:top w:val="single" w:color="auto" w:sz="4" w:space="0"/>
              <w:left w:val="single" w:color="auto" w:sz="4" w:space="0"/>
              <w:bottom w:val="single" w:color="auto" w:sz="4" w:space="0"/>
              <w:right w:val="single" w:color="auto" w:sz="4" w:space="0"/>
            </w:tcBorders>
            <w:vAlign w:val="center"/>
          </w:tcPr>
          <w:p w14:paraId="3DEB2827">
            <w:pPr>
              <w:widowControl/>
              <w:kinsoku/>
              <w:autoSpaceDN/>
              <w:bidi w:val="0"/>
              <w:spacing w:line="560" w:lineRule="exact"/>
              <w:jc w:val="center"/>
              <w:rPr>
                <w:rFonts w:hint="eastAsia" w:ascii="宋体" w:hAnsi="宋体" w:cs="宋体"/>
                <w:color w:val="auto"/>
                <w:kern w:val="0"/>
                <w:szCs w:val="21"/>
              </w:rPr>
            </w:pPr>
          </w:p>
        </w:tc>
        <w:tc>
          <w:tcPr>
            <w:tcW w:w="659" w:type="pct"/>
            <w:tcBorders>
              <w:top w:val="single" w:color="auto" w:sz="4" w:space="0"/>
              <w:left w:val="single" w:color="auto" w:sz="4" w:space="0"/>
              <w:bottom w:val="single" w:color="auto" w:sz="4" w:space="0"/>
              <w:right w:val="single" w:color="auto" w:sz="4" w:space="0"/>
            </w:tcBorders>
            <w:vAlign w:val="center"/>
          </w:tcPr>
          <w:p w14:paraId="01703D9C">
            <w:pPr>
              <w:widowControl/>
              <w:kinsoku/>
              <w:autoSpaceDN/>
              <w:bidi w:val="0"/>
              <w:spacing w:line="560" w:lineRule="exact"/>
              <w:jc w:val="center"/>
              <w:rPr>
                <w:rFonts w:hint="eastAsia" w:ascii="宋体" w:hAnsi="宋体" w:cs="宋体"/>
                <w:color w:val="auto"/>
                <w:kern w:val="0"/>
                <w:szCs w:val="21"/>
              </w:rPr>
            </w:pPr>
          </w:p>
        </w:tc>
        <w:tc>
          <w:tcPr>
            <w:tcW w:w="633" w:type="pct"/>
            <w:tcBorders>
              <w:top w:val="single" w:color="auto" w:sz="4" w:space="0"/>
              <w:left w:val="single" w:color="auto" w:sz="4" w:space="0"/>
              <w:bottom w:val="single" w:color="auto" w:sz="4" w:space="0"/>
              <w:right w:val="single" w:color="auto" w:sz="4" w:space="0"/>
            </w:tcBorders>
            <w:vAlign w:val="center"/>
          </w:tcPr>
          <w:p w14:paraId="49F82A31">
            <w:pPr>
              <w:widowControl/>
              <w:kinsoku/>
              <w:autoSpaceDN/>
              <w:bidi w:val="0"/>
              <w:spacing w:line="560" w:lineRule="exact"/>
              <w:jc w:val="center"/>
              <w:rPr>
                <w:rFonts w:hint="eastAsia" w:ascii="宋体" w:hAnsi="宋体" w:cs="宋体"/>
                <w:color w:val="auto"/>
                <w:kern w:val="0"/>
                <w:szCs w:val="21"/>
              </w:rPr>
            </w:pPr>
          </w:p>
        </w:tc>
        <w:tc>
          <w:tcPr>
            <w:tcW w:w="926" w:type="pct"/>
            <w:tcBorders>
              <w:top w:val="single" w:color="auto" w:sz="4" w:space="0"/>
              <w:left w:val="single" w:color="auto" w:sz="4" w:space="0"/>
              <w:bottom w:val="single" w:color="auto" w:sz="4" w:space="0"/>
              <w:right w:val="single" w:color="auto" w:sz="4" w:space="0"/>
            </w:tcBorders>
            <w:vAlign w:val="center"/>
          </w:tcPr>
          <w:p w14:paraId="50776D32">
            <w:pPr>
              <w:widowControl/>
              <w:kinsoku/>
              <w:autoSpaceDN/>
              <w:bidi w:val="0"/>
              <w:spacing w:line="560" w:lineRule="exact"/>
              <w:jc w:val="center"/>
              <w:rPr>
                <w:rFonts w:hint="eastAsia" w:ascii="宋体" w:hAnsi="宋体" w:cs="宋体"/>
                <w:color w:val="auto"/>
                <w:kern w:val="0"/>
                <w:szCs w:val="21"/>
              </w:rPr>
            </w:pPr>
          </w:p>
        </w:tc>
        <w:tc>
          <w:tcPr>
            <w:tcW w:w="713" w:type="pct"/>
            <w:tcBorders>
              <w:top w:val="single" w:color="auto" w:sz="4" w:space="0"/>
              <w:left w:val="single" w:color="auto" w:sz="4" w:space="0"/>
              <w:bottom w:val="single" w:color="auto" w:sz="4" w:space="0"/>
              <w:right w:val="single" w:color="auto" w:sz="4" w:space="0"/>
            </w:tcBorders>
            <w:vAlign w:val="center"/>
          </w:tcPr>
          <w:p w14:paraId="10A502D7">
            <w:pPr>
              <w:widowControl/>
              <w:kinsoku/>
              <w:autoSpaceDN/>
              <w:bidi w:val="0"/>
              <w:spacing w:line="560" w:lineRule="exact"/>
              <w:jc w:val="center"/>
              <w:rPr>
                <w:rFonts w:hint="eastAsia" w:ascii="宋体" w:hAnsi="宋体" w:cs="宋体"/>
                <w:color w:val="auto"/>
                <w:kern w:val="0"/>
                <w:szCs w:val="21"/>
              </w:rPr>
            </w:pPr>
          </w:p>
        </w:tc>
      </w:tr>
      <w:tr w14:paraId="1FD5D1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961" w:type="pct"/>
            <w:tcBorders>
              <w:top w:val="single" w:color="auto" w:sz="4" w:space="0"/>
              <w:left w:val="single" w:color="auto" w:sz="4" w:space="0"/>
              <w:bottom w:val="single" w:color="auto" w:sz="4" w:space="0"/>
              <w:right w:val="single" w:color="auto" w:sz="4" w:space="0"/>
            </w:tcBorders>
            <w:vAlign w:val="center"/>
          </w:tcPr>
          <w:p w14:paraId="0778F5A4">
            <w:pPr>
              <w:widowControl/>
              <w:kinsoku/>
              <w:autoSpaceDN/>
              <w:bidi w:val="0"/>
              <w:spacing w:line="560" w:lineRule="exact"/>
              <w:jc w:val="center"/>
              <w:rPr>
                <w:rFonts w:hint="eastAsia" w:ascii="宋体" w:hAnsi="宋体" w:cs="宋体"/>
                <w:color w:val="auto"/>
                <w:kern w:val="0"/>
                <w:szCs w:val="21"/>
              </w:rPr>
            </w:pPr>
          </w:p>
        </w:tc>
        <w:tc>
          <w:tcPr>
            <w:tcW w:w="1105" w:type="pct"/>
            <w:tcBorders>
              <w:top w:val="single" w:color="auto" w:sz="4" w:space="0"/>
              <w:left w:val="single" w:color="auto" w:sz="4" w:space="0"/>
              <w:bottom w:val="single" w:color="auto" w:sz="4" w:space="0"/>
              <w:right w:val="single" w:color="auto" w:sz="4" w:space="0"/>
            </w:tcBorders>
            <w:vAlign w:val="center"/>
          </w:tcPr>
          <w:p w14:paraId="467448E1">
            <w:pPr>
              <w:widowControl/>
              <w:kinsoku/>
              <w:autoSpaceDN/>
              <w:bidi w:val="0"/>
              <w:spacing w:line="560" w:lineRule="exact"/>
              <w:jc w:val="center"/>
              <w:rPr>
                <w:rFonts w:hint="eastAsia" w:ascii="宋体" w:hAnsi="宋体" w:cs="宋体"/>
                <w:color w:val="auto"/>
                <w:kern w:val="0"/>
                <w:szCs w:val="21"/>
              </w:rPr>
            </w:pPr>
          </w:p>
        </w:tc>
        <w:tc>
          <w:tcPr>
            <w:tcW w:w="659" w:type="pct"/>
            <w:tcBorders>
              <w:top w:val="single" w:color="auto" w:sz="4" w:space="0"/>
              <w:left w:val="single" w:color="auto" w:sz="4" w:space="0"/>
              <w:bottom w:val="single" w:color="auto" w:sz="4" w:space="0"/>
              <w:right w:val="single" w:color="auto" w:sz="4" w:space="0"/>
            </w:tcBorders>
            <w:vAlign w:val="center"/>
          </w:tcPr>
          <w:p w14:paraId="761CB155">
            <w:pPr>
              <w:widowControl/>
              <w:kinsoku/>
              <w:autoSpaceDN/>
              <w:bidi w:val="0"/>
              <w:spacing w:line="560" w:lineRule="exact"/>
              <w:jc w:val="center"/>
              <w:rPr>
                <w:rFonts w:hint="eastAsia" w:ascii="宋体" w:hAnsi="宋体" w:cs="宋体"/>
                <w:color w:val="auto"/>
                <w:kern w:val="0"/>
                <w:szCs w:val="21"/>
              </w:rPr>
            </w:pPr>
          </w:p>
        </w:tc>
        <w:tc>
          <w:tcPr>
            <w:tcW w:w="633" w:type="pct"/>
            <w:tcBorders>
              <w:top w:val="single" w:color="auto" w:sz="4" w:space="0"/>
              <w:left w:val="single" w:color="auto" w:sz="4" w:space="0"/>
              <w:bottom w:val="single" w:color="auto" w:sz="4" w:space="0"/>
              <w:right w:val="single" w:color="auto" w:sz="4" w:space="0"/>
            </w:tcBorders>
            <w:vAlign w:val="center"/>
          </w:tcPr>
          <w:p w14:paraId="45CC02AA">
            <w:pPr>
              <w:widowControl/>
              <w:kinsoku/>
              <w:autoSpaceDN/>
              <w:bidi w:val="0"/>
              <w:spacing w:line="560" w:lineRule="exact"/>
              <w:jc w:val="center"/>
              <w:rPr>
                <w:rFonts w:hint="eastAsia" w:ascii="宋体" w:hAnsi="宋体" w:cs="宋体"/>
                <w:color w:val="auto"/>
                <w:kern w:val="0"/>
                <w:szCs w:val="21"/>
              </w:rPr>
            </w:pPr>
          </w:p>
        </w:tc>
        <w:tc>
          <w:tcPr>
            <w:tcW w:w="926" w:type="pct"/>
            <w:tcBorders>
              <w:top w:val="single" w:color="auto" w:sz="4" w:space="0"/>
              <w:left w:val="single" w:color="auto" w:sz="4" w:space="0"/>
              <w:bottom w:val="single" w:color="auto" w:sz="4" w:space="0"/>
              <w:right w:val="single" w:color="auto" w:sz="4" w:space="0"/>
            </w:tcBorders>
            <w:vAlign w:val="center"/>
          </w:tcPr>
          <w:p w14:paraId="3E8F061B">
            <w:pPr>
              <w:widowControl/>
              <w:kinsoku/>
              <w:autoSpaceDN/>
              <w:bidi w:val="0"/>
              <w:spacing w:line="560" w:lineRule="exact"/>
              <w:jc w:val="center"/>
              <w:rPr>
                <w:rFonts w:hint="eastAsia" w:ascii="宋体" w:hAnsi="宋体" w:cs="宋体"/>
                <w:color w:val="auto"/>
                <w:kern w:val="0"/>
                <w:szCs w:val="21"/>
              </w:rPr>
            </w:pPr>
          </w:p>
        </w:tc>
        <w:tc>
          <w:tcPr>
            <w:tcW w:w="713" w:type="pct"/>
            <w:tcBorders>
              <w:top w:val="single" w:color="auto" w:sz="4" w:space="0"/>
              <w:left w:val="single" w:color="auto" w:sz="4" w:space="0"/>
              <w:bottom w:val="single" w:color="auto" w:sz="4" w:space="0"/>
              <w:right w:val="single" w:color="auto" w:sz="4" w:space="0"/>
            </w:tcBorders>
            <w:vAlign w:val="center"/>
          </w:tcPr>
          <w:p w14:paraId="0FEA0531">
            <w:pPr>
              <w:widowControl/>
              <w:kinsoku/>
              <w:autoSpaceDN/>
              <w:bidi w:val="0"/>
              <w:spacing w:line="560" w:lineRule="exact"/>
              <w:jc w:val="center"/>
              <w:rPr>
                <w:rFonts w:hint="eastAsia" w:ascii="宋体" w:hAnsi="宋体" w:cs="宋体"/>
                <w:color w:val="auto"/>
                <w:kern w:val="0"/>
                <w:szCs w:val="21"/>
              </w:rPr>
            </w:pPr>
          </w:p>
        </w:tc>
      </w:tr>
      <w:tr w14:paraId="3FF5CD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4" w:hRule="atLeast"/>
        </w:trPr>
        <w:tc>
          <w:tcPr>
            <w:tcW w:w="961" w:type="pct"/>
            <w:tcBorders>
              <w:top w:val="single" w:color="auto" w:sz="4" w:space="0"/>
              <w:left w:val="single" w:color="auto" w:sz="4" w:space="0"/>
              <w:bottom w:val="single" w:color="auto" w:sz="4" w:space="0"/>
              <w:right w:val="single" w:color="auto" w:sz="4" w:space="0"/>
            </w:tcBorders>
            <w:vAlign w:val="center"/>
          </w:tcPr>
          <w:p w14:paraId="68E3B34F">
            <w:pPr>
              <w:widowControl/>
              <w:kinsoku/>
              <w:autoSpaceDN/>
              <w:bidi w:val="0"/>
              <w:spacing w:line="560" w:lineRule="exact"/>
              <w:jc w:val="center"/>
              <w:rPr>
                <w:rFonts w:hint="eastAsia" w:ascii="宋体" w:hAnsi="宋体" w:cs="宋体"/>
                <w:color w:val="auto"/>
                <w:kern w:val="0"/>
                <w:szCs w:val="21"/>
              </w:rPr>
            </w:pPr>
          </w:p>
        </w:tc>
        <w:tc>
          <w:tcPr>
            <w:tcW w:w="1105" w:type="pct"/>
            <w:tcBorders>
              <w:top w:val="single" w:color="auto" w:sz="4" w:space="0"/>
              <w:left w:val="single" w:color="auto" w:sz="4" w:space="0"/>
              <w:bottom w:val="single" w:color="auto" w:sz="4" w:space="0"/>
              <w:right w:val="single" w:color="auto" w:sz="4" w:space="0"/>
            </w:tcBorders>
            <w:vAlign w:val="center"/>
          </w:tcPr>
          <w:p w14:paraId="0262D6B6">
            <w:pPr>
              <w:widowControl/>
              <w:kinsoku/>
              <w:autoSpaceDN/>
              <w:bidi w:val="0"/>
              <w:spacing w:line="560" w:lineRule="exact"/>
              <w:jc w:val="center"/>
              <w:rPr>
                <w:rFonts w:hint="eastAsia" w:ascii="宋体" w:hAnsi="宋体" w:cs="宋体"/>
                <w:color w:val="auto"/>
                <w:kern w:val="0"/>
                <w:szCs w:val="21"/>
              </w:rPr>
            </w:pPr>
          </w:p>
        </w:tc>
        <w:tc>
          <w:tcPr>
            <w:tcW w:w="659" w:type="pct"/>
            <w:tcBorders>
              <w:top w:val="single" w:color="auto" w:sz="4" w:space="0"/>
              <w:left w:val="single" w:color="auto" w:sz="4" w:space="0"/>
              <w:bottom w:val="single" w:color="auto" w:sz="4" w:space="0"/>
              <w:right w:val="single" w:color="auto" w:sz="4" w:space="0"/>
            </w:tcBorders>
            <w:vAlign w:val="center"/>
          </w:tcPr>
          <w:p w14:paraId="24D3C502">
            <w:pPr>
              <w:widowControl/>
              <w:kinsoku/>
              <w:autoSpaceDN/>
              <w:bidi w:val="0"/>
              <w:spacing w:line="560" w:lineRule="exact"/>
              <w:jc w:val="center"/>
              <w:rPr>
                <w:rFonts w:hint="eastAsia" w:ascii="宋体" w:hAnsi="宋体" w:cs="宋体"/>
                <w:color w:val="auto"/>
                <w:kern w:val="0"/>
                <w:szCs w:val="21"/>
              </w:rPr>
            </w:pPr>
          </w:p>
        </w:tc>
        <w:tc>
          <w:tcPr>
            <w:tcW w:w="633" w:type="pct"/>
            <w:tcBorders>
              <w:top w:val="single" w:color="auto" w:sz="4" w:space="0"/>
              <w:left w:val="single" w:color="auto" w:sz="4" w:space="0"/>
              <w:bottom w:val="single" w:color="auto" w:sz="4" w:space="0"/>
              <w:right w:val="single" w:color="auto" w:sz="4" w:space="0"/>
            </w:tcBorders>
            <w:vAlign w:val="center"/>
          </w:tcPr>
          <w:p w14:paraId="6B399CBE">
            <w:pPr>
              <w:widowControl/>
              <w:kinsoku/>
              <w:autoSpaceDN/>
              <w:bidi w:val="0"/>
              <w:spacing w:line="560" w:lineRule="exact"/>
              <w:jc w:val="center"/>
              <w:rPr>
                <w:rFonts w:hint="eastAsia" w:ascii="宋体" w:hAnsi="宋体" w:cs="宋体"/>
                <w:color w:val="auto"/>
                <w:kern w:val="0"/>
                <w:szCs w:val="21"/>
              </w:rPr>
            </w:pPr>
          </w:p>
        </w:tc>
        <w:tc>
          <w:tcPr>
            <w:tcW w:w="926" w:type="pct"/>
            <w:tcBorders>
              <w:top w:val="single" w:color="auto" w:sz="4" w:space="0"/>
              <w:left w:val="single" w:color="auto" w:sz="4" w:space="0"/>
              <w:bottom w:val="single" w:color="auto" w:sz="4" w:space="0"/>
              <w:right w:val="single" w:color="auto" w:sz="4" w:space="0"/>
            </w:tcBorders>
            <w:vAlign w:val="center"/>
          </w:tcPr>
          <w:p w14:paraId="1C3F0CA7">
            <w:pPr>
              <w:widowControl/>
              <w:kinsoku/>
              <w:autoSpaceDN/>
              <w:bidi w:val="0"/>
              <w:spacing w:line="560" w:lineRule="exact"/>
              <w:jc w:val="center"/>
              <w:rPr>
                <w:rFonts w:hint="eastAsia" w:ascii="宋体" w:hAnsi="宋体" w:cs="宋体"/>
                <w:color w:val="auto"/>
                <w:kern w:val="0"/>
                <w:szCs w:val="21"/>
              </w:rPr>
            </w:pPr>
          </w:p>
        </w:tc>
        <w:tc>
          <w:tcPr>
            <w:tcW w:w="713" w:type="pct"/>
            <w:tcBorders>
              <w:top w:val="single" w:color="auto" w:sz="4" w:space="0"/>
              <w:left w:val="single" w:color="auto" w:sz="4" w:space="0"/>
              <w:bottom w:val="single" w:color="auto" w:sz="4" w:space="0"/>
              <w:right w:val="single" w:color="auto" w:sz="4" w:space="0"/>
            </w:tcBorders>
            <w:vAlign w:val="center"/>
          </w:tcPr>
          <w:p w14:paraId="39D51E3D">
            <w:pPr>
              <w:widowControl/>
              <w:kinsoku/>
              <w:autoSpaceDN/>
              <w:bidi w:val="0"/>
              <w:spacing w:line="560" w:lineRule="exact"/>
              <w:jc w:val="center"/>
              <w:rPr>
                <w:rFonts w:hint="eastAsia" w:ascii="宋体" w:hAnsi="宋体" w:cs="宋体"/>
                <w:color w:val="auto"/>
                <w:kern w:val="0"/>
                <w:szCs w:val="21"/>
              </w:rPr>
            </w:pPr>
          </w:p>
        </w:tc>
      </w:tr>
    </w:tbl>
    <w:p w14:paraId="53CBED1E">
      <w:pPr>
        <w:widowControl/>
        <w:kinsoku/>
        <w:autoSpaceDN/>
        <w:bidi w:val="0"/>
        <w:spacing w:line="560" w:lineRule="exact"/>
        <w:rPr>
          <w:rFonts w:hint="eastAsia" w:ascii="宋体" w:hAnsi="宋体" w:cs="宋体"/>
          <w:color w:val="auto"/>
          <w:kern w:val="0"/>
          <w:szCs w:val="21"/>
        </w:rPr>
      </w:pPr>
    </w:p>
    <w:p w14:paraId="51546839">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color w:val="auto"/>
          <w:sz w:val="32"/>
          <w:szCs w:val="32"/>
        </w:rPr>
        <w:t>说明：请在此表后附佐证材料，具体要求详见评审细则。</w:t>
      </w:r>
    </w:p>
    <w:p w14:paraId="2E2F21C2">
      <w:pPr>
        <w:pStyle w:val="167"/>
        <w:widowControl/>
        <w:kinsoku/>
        <w:autoSpaceDN/>
        <w:bidi w:val="0"/>
        <w:spacing w:line="560" w:lineRule="exact"/>
        <w:ind w:firstLine="0" w:firstLineChars="0"/>
        <w:jc w:val="right"/>
        <w:rPr>
          <w:color w:val="auto"/>
        </w:rPr>
      </w:pPr>
    </w:p>
    <w:p w14:paraId="612EDB27">
      <w:pPr>
        <w:pStyle w:val="167"/>
        <w:widowControl/>
        <w:kinsoku/>
        <w:autoSpaceDN/>
        <w:bidi w:val="0"/>
        <w:spacing w:line="560" w:lineRule="exact"/>
        <w:ind w:firstLine="0" w:firstLineChars="0"/>
        <w:jc w:val="right"/>
        <w:rPr>
          <w:color w:val="auto"/>
        </w:rPr>
      </w:pPr>
    </w:p>
    <w:p w14:paraId="5D9A528A">
      <w:pPr>
        <w:pStyle w:val="167"/>
        <w:widowControl/>
        <w:kinsoku/>
        <w:autoSpaceDN/>
        <w:bidi w:val="0"/>
        <w:spacing w:line="560" w:lineRule="exact"/>
        <w:ind w:firstLine="0" w:firstLineChars="0"/>
        <w:jc w:val="right"/>
        <w:rPr>
          <w:color w:val="auto"/>
        </w:rPr>
      </w:pPr>
    </w:p>
    <w:p w14:paraId="045D5D24">
      <w:pPr>
        <w:pStyle w:val="167"/>
        <w:widowControl/>
        <w:kinsoku/>
        <w:autoSpaceDN/>
        <w:bidi w:val="0"/>
        <w:spacing w:line="560" w:lineRule="exact"/>
        <w:ind w:firstLine="0" w:firstLineChars="0"/>
        <w:jc w:val="right"/>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 xml:space="preserve"> 供应商名称（盖单位公章）：</w:t>
      </w:r>
    </w:p>
    <w:p w14:paraId="0CCADBDD">
      <w:pPr>
        <w:pStyle w:val="167"/>
        <w:widowControl/>
        <w:kinsoku/>
        <w:autoSpaceDN/>
        <w:bidi w:val="0"/>
        <w:spacing w:line="560" w:lineRule="exact"/>
        <w:ind w:firstLine="0" w:firstLineChars="0"/>
        <w:jc w:val="right"/>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授权代表（签字或盖章）：</w:t>
      </w:r>
    </w:p>
    <w:p w14:paraId="5D616016">
      <w:pPr>
        <w:pStyle w:val="167"/>
        <w:widowControl/>
        <w:kinsoku/>
        <w:autoSpaceDN/>
        <w:bidi w:val="0"/>
        <w:spacing w:line="560" w:lineRule="exact"/>
        <w:ind w:firstLine="3984" w:firstLineChars="1200"/>
        <w:jc w:val="right"/>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年   月   日</w:t>
      </w:r>
    </w:p>
    <w:p w14:paraId="7BB00BAC">
      <w:pPr>
        <w:pStyle w:val="28"/>
        <w:widowControl/>
        <w:kinsoku/>
        <w:autoSpaceDN/>
        <w:bidi w:val="0"/>
        <w:spacing w:line="560" w:lineRule="exact"/>
        <w:jc w:val="right"/>
        <w:rPr>
          <w:color w:val="auto"/>
        </w:rPr>
        <w:sectPr>
          <w:headerReference r:id="rId5" w:type="default"/>
          <w:footerReference r:id="rId7" w:type="default"/>
          <w:headerReference r:id="rId6" w:type="even"/>
          <w:footerReference r:id="rId8" w:type="even"/>
          <w:pgSz w:w="11906" w:h="16838"/>
          <w:pgMar w:top="2098" w:right="1474" w:bottom="1984" w:left="1587" w:header="851" w:footer="1417" w:gutter="0"/>
          <w:pgBorders>
            <w:top w:val="none" w:sz="0" w:space="0"/>
            <w:left w:val="none" w:sz="0" w:space="0"/>
            <w:bottom w:val="none" w:sz="0" w:space="0"/>
            <w:right w:val="none" w:sz="0" w:space="0"/>
          </w:pgBorders>
          <w:pgNumType w:fmt="decimal" w:start="1"/>
          <w:cols w:space="425" w:num="1"/>
          <w:docGrid w:type="lines" w:linePitch="312" w:charSpace="0"/>
        </w:sectPr>
      </w:pPr>
    </w:p>
    <w:p w14:paraId="2BBCC3F7">
      <w:pPr>
        <w:pStyle w:val="170"/>
        <w:widowControl/>
        <w:kinsoku/>
        <w:autoSpaceDN/>
        <w:bidi w:val="0"/>
        <w:spacing w:line="560" w:lineRule="exact"/>
        <w:rPr>
          <w:rFonts w:hint="eastAsia" w:ascii="黑体" w:hAnsi="黑体" w:eastAsia="黑体" w:cs="黑体"/>
          <w:color w:val="auto"/>
        </w:rPr>
      </w:pPr>
      <w:r>
        <w:rPr>
          <w:rFonts w:hint="eastAsia" w:ascii="黑体" w:hAnsi="黑体" w:eastAsia="黑体" w:cs="黑体"/>
          <w:color w:val="auto"/>
        </w:rPr>
        <w:t>六、拟派服务人员情况一览表</w:t>
      </w:r>
    </w:p>
    <w:p w14:paraId="03B6A596">
      <w:pPr>
        <w:pStyle w:val="19"/>
        <w:widowControl/>
        <w:kinsoku/>
        <w:autoSpaceDN/>
        <w:bidi w:val="0"/>
        <w:spacing w:line="560" w:lineRule="exact"/>
        <w:rPr>
          <w:rFonts w:ascii="Times New Roman" w:hAnsi="Times New Roman" w:eastAsia="仿宋_GB2312" w:cs="仿宋_GB2312"/>
          <w:color w:val="auto"/>
          <w:sz w:val="32"/>
          <w:szCs w:val="32"/>
        </w:rPr>
      </w:pPr>
      <w:r>
        <w:rPr>
          <w:rFonts w:ascii="Times New Roman" w:hAnsi="Times New Roman" w:eastAsia="仿宋_GB2312" w:cs="仿宋_GB2312"/>
          <w:color w:val="auto"/>
          <w:sz w:val="32"/>
          <w:szCs w:val="32"/>
        </w:rPr>
        <w:t>供应商名称：</w:t>
      </w: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230"/>
        <w:gridCol w:w="1020"/>
        <w:gridCol w:w="1020"/>
        <w:gridCol w:w="1020"/>
        <w:gridCol w:w="1020"/>
        <w:gridCol w:w="1687"/>
        <w:gridCol w:w="1257"/>
      </w:tblGrid>
      <w:tr w14:paraId="2799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pct"/>
            <w:vAlign w:val="center"/>
          </w:tcPr>
          <w:p w14:paraId="10FB3094">
            <w:pPr>
              <w:widowControl/>
              <w:kinsoku/>
              <w:autoSpaceDN/>
              <w:bidi w:val="0"/>
              <w:spacing w:line="560" w:lineRule="exact"/>
              <w:jc w:val="center"/>
              <w:rPr>
                <w:rFonts w:hint="eastAsia" w:ascii="宋体" w:hAnsi="宋体" w:cs="宋体"/>
                <w:color w:val="auto"/>
                <w:kern w:val="0"/>
                <w:szCs w:val="21"/>
              </w:rPr>
            </w:pPr>
            <w:r>
              <w:rPr>
                <w:rFonts w:hint="eastAsia" w:ascii="宋体" w:hAnsi="宋体" w:cs="宋体"/>
                <w:color w:val="auto"/>
                <w:kern w:val="0"/>
                <w:szCs w:val="21"/>
              </w:rPr>
              <w:t>序号</w:t>
            </w:r>
          </w:p>
        </w:tc>
        <w:tc>
          <w:tcPr>
            <w:tcW w:w="678" w:type="pct"/>
            <w:vAlign w:val="center"/>
          </w:tcPr>
          <w:p w14:paraId="0F836361">
            <w:pPr>
              <w:widowControl/>
              <w:kinsoku/>
              <w:autoSpaceDN/>
              <w:bidi w:val="0"/>
              <w:spacing w:line="560" w:lineRule="exact"/>
              <w:jc w:val="center"/>
              <w:rPr>
                <w:rFonts w:hint="eastAsia" w:ascii="宋体" w:hAnsi="宋体" w:cs="宋体"/>
                <w:color w:val="auto"/>
                <w:kern w:val="0"/>
                <w:szCs w:val="21"/>
              </w:rPr>
            </w:pPr>
            <w:r>
              <w:rPr>
                <w:rFonts w:hint="eastAsia" w:ascii="宋体" w:hAnsi="宋体" w:cs="宋体"/>
                <w:color w:val="auto"/>
                <w:kern w:val="0"/>
                <w:szCs w:val="21"/>
              </w:rPr>
              <w:t>姓名</w:t>
            </w:r>
          </w:p>
        </w:tc>
        <w:tc>
          <w:tcPr>
            <w:tcW w:w="562" w:type="pct"/>
            <w:vAlign w:val="center"/>
          </w:tcPr>
          <w:p w14:paraId="3E8829E6">
            <w:pPr>
              <w:widowControl/>
              <w:kinsoku/>
              <w:autoSpaceDN/>
              <w:bidi w:val="0"/>
              <w:spacing w:line="560" w:lineRule="exact"/>
              <w:jc w:val="center"/>
              <w:rPr>
                <w:rFonts w:hint="eastAsia" w:ascii="宋体" w:hAnsi="宋体" w:cs="宋体"/>
                <w:color w:val="auto"/>
                <w:kern w:val="0"/>
                <w:szCs w:val="21"/>
              </w:rPr>
            </w:pPr>
            <w:r>
              <w:rPr>
                <w:rFonts w:hint="eastAsia" w:ascii="宋体" w:hAnsi="宋体" w:cs="宋体"/>
                <w:color w:val="auto"/>
                <w:kern w:val="0"/>
                <w:szCs w:val="21"/>
              </w:rPr>
              <w:t>年龄</w:t>
            </w:r>
          </w:p>
        </w:tc>
        <w:tc>
          <w:tcPr>
            <w:tcW w:w="562" w:type="pct"/>
            <w:vAlign w:val="center"/>
          </w:tcPr>
          <w:p w14:paraId="08BC3619">
            <w:pPr>
              <w:widowControl/>
              <w:kinsoku/>
              <w:autoSpaceDN/>
              <w:bidi w:val="0"/>
              <w:spacing w:line="560" w:lineRule="exact"/>
              <w:jc w:val="center"/>
              <w:rPr>
                <w:rFonts w:hint="eastAsia" w:ascii="宋体" w:hAnsi="宋体" w:cs="宋体"/>
                <w:color w:val="auto"/>
                <w:kern w:val="0"/>
                <w:szCs w:val="21"/>
              </w:rPr>
            </w:pPr>
            <w:r>
              <w:rPr>
                <w:rFonts w:hint="eastAsia" w:ascii="宋体" w:hAnsi="宋体" w:cs="宋体"/>
                <w:color w:val="auto"/>
                <w:kern w:val="0"/>
                <w:szCs w:val="21"/>
              </w:rPr>
              <w:t>学历</w:t>
            </w:r>
          </w:p>
        </w:tc>
        <w:tc>
          <w:tcPr>
            <w:tcW w:w="562" w:type="pct"/>
            <w:vAlign w:val="center"/>
          </w:tcPr>
          <w:p w14:paraId="377412E2">
            <w:pPr>
              <w:widowControl/>
              <w:kinsoku/>
              <w:autoSpaceDN/>
              <w:bidi w:val="0"/>
              <w:spacing w:line="560" w:lineRule="exact"/>
              <w:jc w:val="center"/>
              <w:rPr>
                <w:rFonts w:hint="eastAsia" w:ascii="宋体" w:hAnsi="宋体" w:cs="宋体"/>
                <w:color w:val="auto"/>
                <w:kern w:val="0"/>
                <w:szCs w:val="21"/>
              </w:rPr>
            </w:pPr>
            <w:r>
              <w:rPr>
                <w:rFonts w:hint="eastAsia" w:ascii="宋体" w:hAnsi="宋体" w:cs="宋体"/>
                <w:color w:val="auto"/>
                <w:kern w:val="0"/>
                <w:szCs w:val="21"/>
              </w:rPr>
              <w:t>专业</w:t>
            </w:r>
          </w:p>
        </w:tc>
        <w:tc>
          <w:tcPr>
            <w:tcW w:w="562" w:type="pct"/>
            <w:vAlign w:val="center"/>
          </w:tcPr>
          <w:p w14:paraId="7B052B9C">
            <w:pPr>
              <w:widowControl/>
              <w:kinsoku/>
              <w:autoSpaceDN/>
              <w:bidi w:val="0"/>
              <w:spacing w:line="560" w:lineRule="exact"/>
              <w:jc w:val="center"/>
              <w:rPr>
                <w:rFonts w:hint="eastAsia" w:ascii="宋体" w:hAnsi="宋体" w:cs="宋体"/>
                <w:color w:val="auto"/>
                <w:kern w:val="0"/>
                <w:szCs w:val="21"/>
              </w:rPr>
            </w:pPr>
            <w:r>
              <w:rPr>
                <w:rFonts w:hint="eastAsia" w:ascii="宋体" w:hAnsi="宋体" w:cs="宋体"/>
                <w:color w:val="auto"/>
                <w:kern w:val="0"/>
                <w:szCs w:val="21"/>
              </w:rPr>
              <w:t>职称</w:t>
            </w:r>
          </w:p>
        </w:tc>
        <w:tc>
          <w:tcPr>
            <w:tcW w:w="930" w:type="pct"/>
            <w:vAlign w:val="center"/>
          </w:tcPr>
          <w:p w14:paraId="1066F2C4">
            <w:pPr>
              <w:widowControl/>
              <w:kinsoku/>
              <w:autoSpaceDN/>
              <w:bidi w:val="0"/>
              <w:spacing w:line="560" w:lineRule="exact"/>
              <w:jc w:val="center"/>
              <w:rPr>
                <w:rFonts w:hint="eastAsia" w:ascii="宋体" w:hAnsi="宋体" w:cs="宋体"/>
                <w:color w:val="auto"/>
                <w:kern w:val="0"/>
                <w:szCs w:val="21"/>
              </w:rPr>
            </w:pPr>
            <w:r>
              <w:rPr>
                <w:rFonts w:hint="eastAsia" w:ascii="宋体" w:hAnsi="宋体" w:cs="宋体"/>
                <w:color w:val="auto"/>
                <w:kern w:val="0"/>
                <w:szCs w:val="21"/>
              </w:rPr>
              <w:t>在项目中分工</w:t>
            </w:r>
          </w:p>
        </w:tc>
        <w:tc>
          <w:tcPr>
            <w:tcW w:w="693" w:type="pct"/>
            <w:vAlign w:val="center"/>
          </w:tcPr>
          <w:p w14:paraId="587BFCAD">
            <w:pPr>
              <w:widowControl/>
              <w:kinsoku/>
              <w:autoSpaceDN/>
              <w:bidi w:val="0"/>
              <w:spacing w:line="560" w:lineRule="exact"/>
              <w:jc w:val="center"/>
              <w:rPr>
                <w:rFonts w:hint="eastAsia" w:ascii="宋体" w:hAnsi="宋体" w:cs="宋体"/>
                <w:color w:val="auto"/>
                <w:kern w:val="0"/>
                <w:szCs w:val="21"/>
              </w:rPr>
            </w:pPr>
            <w:r>
              <w:rPr>
                <w:rFonts w:hint="eastAsia" w:ascii="宋体" w:hAnsi="宋体" w:cs="宋体"/>
                <w:color w:val="auto"/>
                <w:kern w:val="0"/>
                <w:szCs w:val="21"/>
              </w:rPr>
              <w:t>备注</w:t>
            </w:r>
          </w:p>
        </w:tc>
      </w:tr>
      <w:tr w14:paraId="2B75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pct"/>
            <w:vAlign w:val="center"/>
          </w:tcPr>
          <w:p w14:paraId="448C677E">
            <w:pPr>
              <w:widowControl/>
              <w:kinsoku/>
              <w:autoSpaceDN/>
              <w:bidi w:val="0"/>
              <w:spacing w:line="560" w:lineRule="exact"/>
              <w:jc w:val="center"/>
              <w:rPr>
                <w:rFonts w:hint="eastAsia" w:ascii="宋体" w:hAnsi="宋体" w:cs="宋体"/>
                <w:color w:val="auto"/>
                <w:kern w:val="0"/>
                <w:szCs w:val="21"/>
              </w:rPr>
            </w:pPr>
          </w:p>
        </w:tc>
        <w:tc>
          <w:tcPr>
            <w:tcW w:w="678" w:type="pct"/>
            <w:vAlign w:val="center"/>
          </w:tcPr>
          <w:p w14:paraId="596B1AFF">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7CF79AC0">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41F8AA17">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7BA21562">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141B596C">
            <w:pPr>
              <w:widowControl/>
              <w:kinsoku/>
              <w:autoSpaceDN/>
              <w:bidi w:val="0"/>
              <w:spacing w:line="560" w:lineRule="exact"/>
              <w:jc w:val="center"/>
              <w:rPr>
                <w:rFonts w:hint="eastAsia" w:ascii="宋体" w:hAnsi="宋体" w:cs="宋体"/>
                <w:color w:val="auto"/>
                <w:kern w:val="0"/>
                <w:szCs w:val="21"/>
              </w:rPr>
            </w:pPr>
          </w:p>
        </w:tc>
        <w:tc>
          <w:tcPr>
            <w:tcW w:w="930" w:type="pct"/>
            <w:vAlign w:val="center"/>
          </w:tcPr>
          <w:p w14:paraId="784251C8">
            <w:pPr>
              <w:widowControl/>
              <w:kinsoku/>
              <w:autoSpaceDN/>
              <w:bidi w:val="0"/>
              <w:spacing w:line="560" w:lineRule="exact"/>
              <w:jc w:val="center"/>
              <w:rPr>
                <w:rFonts w:hint="eastAsia" w:ascii="宋体" w:hAnsi="宋体" w:cs="宋体"/>
                <w:color w:val="auto"/>
                <w:kern w:val="0"/>
                <w:szCs w:val="21"/>
              </w:rPr>
            </w:pPr>
          </w:p>
        </w:tc>
        <w:tc>
          <w:tcPr>
            <w:tcW w:w="693" w:type="pct"/>
            <w:vAlign w:val="center"/>
          </w:tcPr>
          <w:p w14:paraId="234865C9">
            <w:pPr>
              <w:widowControl/>
              <w:kinsoku/>
              <w:autoSpaceDN/>
              <w:bidi w:val="0"/>
              <w:spacing w:line="560" w:lineRule="exact"/>
              <w:jc w:val="center"/>
              <w:rPr>
                <w:rFonts w:hint="eastAsia" w:ascii="宋体" w:hAnsi="宋体" w:cs="宋体"/>
                <w:color w:val="auto"/>
                <w:kern w:val="0"/>
                <w:szCs w:val="21"/>
              </w:rPr>
            </w:pPr>
          </w:p>
        </w:tc>
      </w:tr>
      <w:tr w14:paraId="6D29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pct"/>
            <w:vAlign w:val="center"/>
          </w:tcPr>
          <w:p w14:paraId="59C34875">
            <w:pPr>
              <w:widowControl/>
              <w:kinsoku/>
              <w:autoSpaceDN/>
              <w:bidi w:val="0"/>
              <w:spacing w:line="560" w:lineRule="exact"/>
              <w:jc w:val="center"/>
              <w:rPr>
                <w:rFonts w:hint="eastAsia" w:ascii="宋体" w:hAnsi="宋体" w:cs="宋体"/>
                <w:color w:val="auto"/>
                <w:kern w:val="0"/>
                <w:szCs w:val="21"/>
              </w:rPr>
            </w:pPr>
          </w:p>
        </w:tc>
        <w:tc>
          <w:tcPr>
            <w:tcW w:w="678" w:type="pct"/>
            <w:vAlign w:val="center"/>
          </w:tcPr>
          <w:p w14:paraId="33BF9C7A">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58E2C458">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0E933D83">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41AB8063">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6B693FD6">
            <w:pPr>
              <w:widowControl/>
              <w:kinsoku/>
              <w:autoSpaceDN/>
              <w:bidi w:val="0"/>
              <w:spacing w:line="560" w:lineRule="exact"/>
              <w:jc w:val="center"/>
              <w:rPr>
                <w:rFonts w:hint="eastAsia" w:ascii="宋体" w:hAnsi="宋体" w:cs="宋体"/>
                <w:color w:val="auto"/>
                <w:kern w:val="0"/>
                <w:szCs w:val="21"/>
              </w:rPr>
            </w:pPr>
          </w:p>
        </w:tc>
        <w:tc>
          <w:tcPr>
            <w:tcW w:w="930" w:type="pct"/>
            <w:vAlign w:val="center"/>
          </w:tcPr>
          <w:p w14:paraId="3FC2E7D5">
            <w:pPr>
              <w:widowControl/>
              <w:kinsoku/>
              <w:autoSpaceDN/>
              <w:bidi w:val="0"/>
              <w:spacing w:line="560" w:lineRule="exact"/>
              <w:jc w:val="center"/>
              <w:rPr>
                <w:rFonts w:hint="eastAsia" w:ascii="宋体" w:hAnsi="宋体" w:cs="宋体"/>
                <w:color w:val="auto"/>
                <w:kern w:val="0"/>
                <w:szCs w:val="21"/>
              </w:rPr>
            </w:pPr>
          </w:p>
        </w:tc>
        <w:tc>
          <w:tcPr>
            <w:tcW w:w="693" w:type="pct"/>
            <w:vAlign w:val="center"/>
          </w:tcPr>
          <w:p w14:paraId="3344B038">
            <w:pPr>
              <w:widowControl/>
              <w:kinsoku/>
              <w:autoSpaceDN/>
              <w:bidi w:val="0"/>
              <w:spacing w:line="560" w:lineRule="exact"/>
              <w:jc w:val="center"/>
              <w:rPr>
                <w:rFonts w:hint="eastAsia" w:ascii="宋体" w:hAnsi="宋体" w:cs="宋体"/>
                <w:color w:val="auto"/>
                <w:kern w:val="0"/>
                <w:szCs w:val="21"/>
              </w:rPr>
            </w:pPr>
          </w:p>
        </w:tc>
      </w:tr>
      <w:tr w14:paraId="45A5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pct"/>
            <w:vAlign w:val="center"/>
          </w:tcPr>
          <w:p w14:paraId="5EA440D7">
            <w:pPr>
              <w:widowControl/>
              <w:kinsoku/>
              <w:autoSpaceDN/>
              <w:bidi w:val="0"/>
              <w:spacing w:line="560" w:lineRule="exact"/>
              <w:jc w:val="center"/>
              <w:rPr>
                <w:rFonts w:hint="eastAsia" w:ascii="宋体" w:hAnsi="宋体" w:cs="宋体"/>
                <w:color w:val="auto"/>
                <w:kern w:val="0"/>
                <w:szCs w:val="21"/>
              </w:rPr>
            </w:pPr>
          </w:p>
        </w:tc>
        <w:tc>
          <w:tcPr>
            <w:tcW w:w="678" w:type="pct"/>
            <w:vAlign w:val="center"/>
          </w:tcPr>
          <w:p w14:paraId="5E586CC4">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0151944B">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31B2A2BE">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2D1A0DEB">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5B94CCDE">
            <w:pPr>
              <w:widowControl/>
              <w:kinsoku/>
              <w:autoSpaceDN/>
              <w:bidi w:val="0"/>
              <w:spacing w:line="560" w:lineRule="exact"/>
              <w:jc w:val="center"/>
              <w:rPr>
                <w:rFonts w:hint="eastAsia" w:ascii="宋体" w:hAnsi="宋体" w:cs="宋体"/>
                <w:color w:val="auto"/>
                <w:kern w:val="0"/>
                <w:szCs w:val="21"/>
              </w:rPr>
            </w:pPr>
          </w:p>
        </w:tc>
        <w:tc>
          <w:tcPr>
            <w:tcW w:w="930" w:type="pct"/>
            <w:vAlign w:val="center"/>
          </w:tcPr>
          <w:p w14:paraId="768456B2">
            <w:pPr>
              <w:widowControl/>
              <w:kinsoku/>
              <w:autoSpaceDN/>
              <w:bidi w:val="0"/>
              <w:spacing w:line="560" w:lineRule="exact"/>
              <w:jc w:val="center"/>
              <w:rPr>
                <w:rFonts w:hint="eastAsia" w:ascii="宋体" w:hAnsi="宋体" w:cs="宋体"/>
                <w:color w:val="auto"/>
                <w:kern w:val="0"/>
                <w:szCs w:val="21"/>
              </w:rPr>
            </w:pPr>
          </w:p>
        </w:tc>
        <w:tc>
          <w:tcPr>
            <w:tcW w:w="693" w:type="pct"/>
            <w:vAlign w:val="center"/>
          </w:tcPr>
          <w:p w14:paraId="4DFEDE5A">
            <w:pPr>
              <w:widowControl/>
              <w:kinsoku/>
              <w:autoSpaceDN/>
              <w:bidi w:val="0"/>
              <w:spacing w:line="560" w:lineRule="exact"/>
              <w:jc w:val="center"/>
              <w:rPr>
                <w:rFonts w:hint="eastAsia" w:ascii="宋体" w:hAnsi="宋体" w:cs="宋体"/>
                <w:color w:val="auto"/>
                <w:kern w:val="0"/>
                <w:szCs w:val="21"/>
              </w:rPr>
            </w:pPr>
          </w:p>
        </w:tc>
      </w:tr>
      <w:tr w14:paraId="66734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pct"/>
            <w:vAlign w:val="center"/>
          </w:tcPr>
          <w:p w14:paraId="6813C770">
            <w:pPr>
              <w:widowControl/>
              <w:kinsoku/>
              <w:autoSpaceDN/>
              <w:bidi w:val="0"/>
              <w:spacing w:line="560" w:lineRule="exact"/>
              <w:jc w:val="center"/>
              <w:rPr>
                <w:rFonts w:hint="eastAsia" w:ascii="宋体" w:hAnsi="宋体" w:cs="宋体"/>
                <w:color w:val="auto"/>
                <w:kern w:val="0"/>
                <w:szCs w:val="21"/>
              </w:rPr>
            </w:pPr>
          </w:p>
        </w:tc>
        <w:tc>
          <w:tcPr>
            <w:tcW w:w="678" w:type="pct"/>
            <w:vAlign w:val="center"/>
          </w:tcPr>
          <w:p w14:paraId="59D6F013">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25C4E152">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0D04C728">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0B58FE22">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701A2575">
            <w:pPr>
              <w:widowControl/>
              <w:kinsoku/>
              <w:autoSpaceDN/>
              <w:bidi w:val="0"/>
              <w:spacing w:line="560" w:lineRule="exact"/>
              <w:jc w:val="center"/>
              <w:rPr>
                <w:rFonts w:hint="eastAsia" w:ascii="宋体" w:hAnsi="宋体" w:cs="宋体"/>
                <w:color w:val="auto"/>
                <w:kern w:val="0"/>
                <w:szCs w:val="21"/>
              </w:rPr>
            </w:pPr>
          </w:p>
        </w:tc>
        <w:tc>
          <w:tcPr>
            <w:tcW w:w="930" w:type="pct"/>
            <w:vAlign w:val="center"/>
          </w:tcPr>
          <w:p w14:paraId="361BE1CE">
            <w:pPr>
              <w:widowControl/>
              <w:kinsoku/>
              <w:autoSpaceDN/>
              <w:bidi w:val="0"/>
              <w:spacing w:line="560" w:lineRule="exact"/>
              <w:jc w:val="center"/>
              <w:rPr>
                <w:rFonts w:hint="eastAsia" w:ascii="宋体" w:hAnsi="宋体" w:cs="宋体"/>
                <w:color w:val="auto"/>
                <w:kern w:val="0"/>
                <w:szCs w:val="21"/>
              </w:rPr>
            </w:pPr>
          </w:p>
        </w:tc>
        <w:tc>
          <w:tcPr>
            <w:tcW w:w="693" w:type="pct"/>
            <w:vAlign w:val="center"/>
          </w:tcPr>
          <w:p w14:paraId="66B26FAE">
            <w:pPr>
              <w:widowControl/>
              <w:kinsoku/>
              <w:autoSpaceDN/>
              <w:bidi w:val="0"/>
              <w:spacing w:line="560" w:lineRule="exact"/>
              <w:jc w:val="center"/>
              <w:rPr>
                <w:rFonts w:hint="eastAsia" w:ascii="宋体" w:hAnsi="宋体" w:cs="宋体"/>
                <w:color w:val="auto"/>
                <w:kern w:val="0"/>
                <w:szCs w:val="21"/>
              </w:rPr>
            </w:pPr>
          </w:p>
        </w:tc>
      </w:tr>
      <w:tr w14:paraId="3879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pct"/>
            <w:vAlign w:val="center"/>
          </w:tcPr>
          <w:p w14:paraId="6FE59373">
            <w:pPr>
              <w:widowControl/>
              <w:kinsoku/>
              <w:autoSpaceDN/>
              <w:bidi w:val="0"/>
              <w:spacing w:line="560" w:lineRule="exact"/>
              <w:jc w:val="center"/>
              <w:rPr>
                <w:rFonts w:hint="eastAsia" w:ascii="宋体" w:hAnsi="宋体" w:cs="宋体"/>
                <w:color w:val="auto"/>
                <w:kern w:val="0"/>
                <w:szCs w:val="21"/>
              </w:rPr>
            </w:pPr>
          </w:p>
        </w:tc>
        <w:tc>
          <w:tcPr>
            <w:tcW w:w="678" w:type="pct"/>
            <w:vAlign w:val="center"/>
          </w:tcPr>
          <w:p w14:paraId="55569FC2">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773BAE6A">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479F09A6">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3B4209EF">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6F83ED7D">
            <w:pPr>
              <w:widowControl/>
              <w:kinsoku/>
              <w:autoSpaceDN/>
              <w:bidi w:val="0"/>
              <w:spacing w:line="560" w:lineRule="exact"/>
              <w:jc w:val="center"/>
              <w:rPr>
                <w:rFonts w:hint="eastAsia" w:ascii="宋体" w:hAnsi="宋体" w:cs="宋体"/>
                <w:color w:val="auto"/>
                <w:kern w:val="0"/>
                <w:szCs w:val="21"/>
              </w:rPr>
            </w:pPr>
          </w:p>
        </w:tc>
        <w:tc>
          <w:tcPr>
            <w:tcW w:w="930" w:type="pct"/>
            <w:vAlign w:val="center"/>
          </w:tcPr>
          <w:p w14:paraId="333AC22E">
            <w:pPr>
              <w:widowControl/>
              <w:kinsoku/>
              <w:autoSpaceDN/>
              <w:bidi w:val="0"/>
              <w:spacing w:line="560" w:lineRule="exact"/>
              <w:jc w:val="center"/>
              <w:rPr>
                <w:rFonts w:hint="eastAsia" w:ascii="宋体" w:hAnsi="宋体" w:cs="宋体"/>
                <w:color w:val="auto"/>
                <w:kern w:val="0"/>
                <w:szCs w:val="21"/>
              </w:rPr>
            </w:pPr>
          </w:p>
        </w:tc>
        <w:tc>
          <w:tcPr>
            <w:tcW w:w="693" w:type="pct"/>
            <w:vAlign w:val="center"/>
          </w:tcPr>
          <w:p w14:paraId="70383C98">
            <w:pPr>
              <w:widowControl/>
              <w:kinsoku/>
              <w:autoSpaceDN/>
              <w:bidi w:val="0"/>
              <w:spacing w:line="560" w:lineRule="exact"/>
              <w:jc w:val="center"/>
              <w:rPr>
                <w:rFonts w:hint="eastAsia" w:ascii="宋体" w:hAnsi="宋体" w:cs="宋体"/>
                <w:color w:val="auto"/>
                <w:kern w:val="0"/>
                <w:szCs w:val="21"/>
              </w:rPr>
            </w:pPr>
          </w:p>
        </w:tc>
      </w:tr>
      <w:tr w14:paraId="685F9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pct"/>
            <w:vAlign w:val="center"/>
          </w:tcPr>
          <w:p w14:paraId="28C662AE">
            <w:pPr>
              <w:widowControl/>
              <w:kinsoku/>
              <w:autoSpaceDN/>
              <w:bidi w:val="0"/>
              <w:spacing w:line="560" w:lineRule="exact"/>
              <w:jc w:val="center"/>
              <w:rPr>
                <w:rFonts w:hint="eastAsia" w:ascii="宋体" w:hAnsi="宋体" w:cs="宋体"/>
                <w:color w:val="auto"/>
                <w:kern w:val="0"/>
                <w:szCs w:val="21"/>
              </w:rPr>
            </w:pPr>
          </w:p>
        </w:tc>
        <w:tc>
          <w:tcPr>
            <w:tcW w:w="678" w:type="pct"/>
            <w:vAlign w:val="center"/>
          </w:tcPr>
          <w:p w14:paraId="5DC4694D">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5308A2BC">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0D57F87E">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02E4A65C">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18CECDD3">
            <w:pPr>
              <w:widowControl/>
              <w:kinsoku/>
              <w:autoSpaceDN/>
              <w:bidi w:val="0"/>
              <w:spacing w:line="560" w:lineRule="exact"/>
              <w:jc w:val="center"/>
              <w:rPr>
                <w:rFonts w:hint="eastAsia" w:ascii="宋体" w:hAnsi="宋体" w:cs="宋体"/>
                <w:color w:val="auto"/>
                <w:kern w:val="0"/>
                <w:szCs w:val="21"/>
              </w:rPr>
            </w:pPr>
          </w:p>
        </w:tc>
        <w:tc>
          <w:tcPr>
            <w:tcW w:w="930" w:type="pct"/>
            <w:vAlign w:val="center"/>
          </w:tcPr>
          <w:p w14:paraId="50BAC62F">
            <w:pPr>
              <w:widowControl/>
              <w:kinsoku/>
              <w:autoSpaceDN/>
              <w:bidi w:val="0"/>
              <w:spacing w:line="560" w:lineRule="exact"/>
              <w:jc w:val="center"/>
              <w:rPr>
                <w:rFonts w:hint="eastAsia" w:ascii="宋体" w:hAnsi="宋体" w:cs="宋体"/>
                <w:color w:val="auto"/>
                <w:kern w:val="0"/>
                <w:szCs w:val="21"/>
              </w:rPr>
            </w:pPr>
          </w:p>
        </w:tc>
        <w:tc>
          <w:tcPr>
            <w:tcW w:w="693" w:type="pct"/>
            <w:vAlign w:val="center"/>
          </w:tcPr>
          <w:p w14:paraId="2851E233">
            <w:pPr>
              <w:widowControl/>
              <w:kinsoku/>
              <w:autoSpaceDN/>
              <w:bidi w:val="0"/>
              <w:spacing w:line="560" w:lineRule="exact"/>
              <w:jc w:val="center"/>
              <w:rPr>
                <w:rFonts w:hint="eastAsia" w:ascii="宋体" w:hAnsi="宋体" w:cs="宋体"/>
                <w:color w:val="auto"/>
                <w:kern w:val="0"/>
                <w:szCs w:val="21"/>
              </w:rPr>
            </w:pPr>
          </w:p>
        </w:tc>
      </w:tr>
      <w:tr w14:paraId="1044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pct"/>
            <w:vAlign w:val="center"/>
          </w:tcPr>
          <w:p w14:paraId="357C4A4C">
            <w:pPr>
              <w:widowControl/>
              <w:kinsoku/>
              <w:autoSpaceDN/>
              <w:bidi w:val="0"/>
              <w:spacing w:line="560" w:lineRule="exact"/>
              <w:jc w:val="center"/>
              <w:rPr>
                <w:rFonts w:hint="eastAsia" w:ascii="宋体" w:hAnsi="宋体" w:cs="宋体"/>
                <w:color w:val="auto"/>
                <w:kern w:val="0"/>
                <w:szCs w:val="21"/>
              </w:rPr>
            </w:pPr>
          </w:p>
        </w:tc>
        <w:tc>
          <w:tcPr>
            <w:tcW w:w="678" w:type="pct"/>
            <w:vAlign w:val="center"/>
          </w:tcPr>
          <w:p w14:paraId="7C3B1388">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01694504">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3E8960A0">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374CC07B">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1680F246">
            <w:pPr>
              <w:widowControl/>
              <w:kinsoku/>
              <w:autoSpaceDN/>
              <w:bidi w:val="0"/>
              <w:spacing w:line="560" w:lineRule="exact"/>
              <w:jc w:val="center"/>
              <w:rPr>
                <w:rFonts w:hint="eastAsia" w:ascii="宋体" w:hAnsi="宋体" w:cs="宋体"/>
                <w:color w:val="auto"/>
                <w:kern w:val="0"/>
                <w:szCs w:val="21"/>
              </w:rPr>
            </w:pPr>
          </w:p>
        </w:tc>
        <w:tc>
          <w:tcPr>
            <w:tcW w:w="930" w:type="pct"/>
            <w:vAlign w:val="center"/>
          </w:tcPr>
          <w:p w14:paraId="6BDB14C2">
            <w:pPr>
              <w:widowControl/>
              <w:kinsoku/>
              <w:autoSpaceDN/>
              <w:bidi w:val="0"/>
              <w:spacing w:line="560" w:lineRule="exact"/>
              <w:jc w:val="center"/>
              <w:rPr>
                <w:rFonts w:hint="eastAsia" w:ascii="宋体" w:hAnsi="宋体" w:cs="宋体"/>
                <w:color w:val="auto"/>
                <w:kern w:val="0"/>
                <w:szCs w:val="21"/>
              </w:rPr>
            </w:pPr>
          </w:p>
        </w:tc>
        <w:tc>
          <w:tcPr>
            <w:tcW w:w="693" w:type="pct"/>
            <w:vAlign w:val="center"/>
          </w:tcPr>
          <w:p w14:paraId="4EB8528F">
            <w:pPr>
              <w:widowControl/>
              <w:kinsoku/>
              <w:autoSpaceDN/>
              <w:bidi w:val="0"/>
              <w:spacing w:line="560" w:lineRule="exact"/>
              <w:jc w:val="center"/>
              <w:rPr>
                <w:rFonts w:hint="eastAsia" w:ascii="宋体" w:hAnsi="宋体" w:cs="宋体"/>
                <w:color w:val="auto"/>
                <w:kern w:val="0"/>
                <w:szCs w:val="21"/>
              </w:rPr>
            </w:pPr>
          </w:p>
        </w:tc>
      </w:tr>
      <w:tr w14:paraId="0DCD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pct"/>
            <w:vAlign w:val="center"/>
          </w:tcPr>
          <w:p w14:paraId="1D405182">
            <w:pPr>
              <w:widowControl/>
              <w:kinsoku/>
              <w:autoSpaceDN/>
              <w:bidi w:val="0"/>
              <w:spacing w:line="560" w:lineRule="exact"/>
              <w:jc w:val="center"/>
              <w:rPr>
                <w:rFonts w:hint="eastAsia" w:ascii="宋体" w:hAnsi="宋体" w:cs="宋体"/>
                <w:color w:val="auto"/>
                <w:kern w:val="0"/>
                <w:szCs w:val="21"/>
              </w:rPr>
            </w:pPr>
          </w:p>
        </w:tc>
        <w:tc>
          <w:tcPr>
            <w:tcW w:w="678" w:type="pct"/>
            <w:vAlign w:val="center"/>
          </w:tcPr>
          <w:p w14:paraId="4783A1D9">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1FE4CF76">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27F79C3D">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613196BE">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4670D4E9">
            <w:pPr>
              <w:widowControl/>
              <w:kinsoku/>
              <w:autoSpaceDN/>
              <w:bidi w:val="0"/>
              <w:spacing w:line="560" w:lineRule="exact"/>
              <w:jc w:val="center"/>
              <w:rPr>
                <w:rFonts w:hint="eastAsia" w:ascii="宋体" w:hAnsi="宋体" w:cs="宋体"/>
                <w:color w:val="auto"/>
                <w:kern w:val="0"/>
                <w:szCs w:val="21"/>
              </w:rPr>
            </w:pPr>
          </w:p>
        </w:tc>
        <w:tc>
          <w:tcPr>
            <w:tcW w:w="930" w:type="pct"/>
            <w:vAlign w:val="center"/>
          </w:tcPr>
          <w:p w14:paraId="71A4B8F8">
            <w:pPr>
              <w:widowControl/>
              <w:kinsoku/>
              <w:autoSpaceDN/>
              <w:bidi w:val="0"/>
              <w:spacing w:line="560" w:lineRule="exact"/>
              <w:jc w:val="center"/>
              <w:rPr>
                <w:rFonts w:hint="eastAsia" w:ascii="宋体" w:hAnsi="宋体" w:cs="宋体"/>
                <w:color w:val="auto"/>
                <w:kern w:val="0"/>
                <w:szCs w:val="21"/>
              </w:rPr>
            </w:pPr>
          </w:p>
        </w:tc>
        <w:tc>
          <w:tcPr>
            <w:tcW w:w="693" w:type="pct"/>
            <w:vAlign w:val="center"/>
          </w:tcPr>
          <w:p w14:paraId="5759097D">
            <w:pPr>
              <w:widowControl/>
              <w:kinsoku/>
              <w:autoSpaceDN/>
              <w:bidi w:val="0"/>
              <w:spacing w:line="560" w:lineRule="exact"/>
              <w:jc w:val="center"/>
              <w:rPr>
                <w:rFonts w:hint="eastAsia" w:ascii="宋体" w:hAnsi="宋体" w:cs="宋体"/>
                <w:color w:val="auto"/>
                <w:kern w:val="0"/>
                <w:szCs w:val="21"/>
              </w:rPr>
            </w:pPr>
          </w:p>
        </w:tc>
      </w:tr>
      <w:tr w14:paraId="3590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pct"/>
            <w:vAlign w:val="center"/>
          </w:tcPr>
          <w:p w14:paraId="2E880BEC">
            <w:pPr>
              <w:widowControl/>
              <w:kinsoku/>
              <w:autoSpaceDN/>
              <w:bidi w:val="0"/>
              <w:spacing w:line="560" w:lineRule="exact"/>
              <w:jc w:val="center"/>
              <w:rPr>
                <w:rFonts w:hint="eastAsia" w:ascii="宋体" w:hAnsi="宋体" w:cs="宋体"/>
                <w:color w:val="auto"/>
                <w:kern w:val="0"/>
                <w:szCs w:val="21"/>
              </w:rPr>
            </w:pPr>
          </w:p>
        </w:tc>
        <w:tc>
          <w:tcPr>
            <w:tcW w:w="678" w:type="pct"/>
            <w:vAlign w:val="center"/>
          </w:tcPr>
          <w:p w14:paraId="343E2471">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4F08D65F">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2114D3C1">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370C5367">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6EE86A69">
            <w:pPr>
              <w:widowControl/>
              <w:kinsoku/>
              <w:autoSpaceDN/>
              <w:bidi w:val="0"/>
              <w:spacing w:line="560" w:lineRule="exact"/>
              <w:jc w:val="center"/>
              <w:rPr>
                <w:rFonts w:hint="eastAsia" w:ascii="宋体" w:hAnsi="宋体" w:cs="宋体"/>
                <w:color w:val="auto"/>
                <w:kern w:val="0"/>
                <w:szCs w:val="21"/>
              </w:rPr>
            </w:pPr>
          </w:p>
        </w:tc>
        <w:tc>
          <w:tcPr>
            <w:tcW w:w="930" w:type="pct"/>
            <w:vAlign w:val="center"/>
          </w:tcPr>
          <w:p w14:paraId="65472FBC">
            <w:pPr>
              <w:widowControl/>
              <w:kinsoku/>
              <w:autoSpaceDN/>
              <w:bidi w:val="0"/>
              <w:spacing w:line="560" w:lineRule="exact"/>
              <w:jc w:val="center"/>
              <w:rPr>
                <w:rFonts w:hint="eastAsia" w:ascii="宋体" w:hAnsi="宋体" w:cs="宋体"/>
                <w:color w:val="auto"/>
                <w:kern w:val="0"/>
                <w:szCs w:val="21"/>
              </w:rPr>
            </w:pPr>
          </w:p>
        </w:tc>
        <w:tc>
          <w:tcPr>
            <w:tcW w:w="693" w:type="pct"/>
            <w:vAlign w:val="center"/>
          </w:tcPr>
          <w:p w14:paraId="76FF2738">
            <w:pPr>
              <w:widowControl/>
              <w:kinsoku/>
              <w:autoSpaceDN/>
              <w:bidi w:val="0"/>
              <w:spacing w:line="560" w:lineRule="exact"/>
              <w:jc w:val="center"/>
              <w:rPr>
                <w:rFonts w:hint="eastAsia" w:ascii="宋体" w:hAnsi="宋体" w:cs="宋体"/>
                <w:color w:val="auto"/>
                <w:kern w:val="0"/>
                <w:szCs w:val="21"/>
              </w:rPr>
            </w:pPr>
          </w:p>
        </w:tc>
      </w:tr>
      <w:tr w14:paraId="18E4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pct"/>
            <w:vAlign w:val="center"/>
          </w:tcPr>
          <w:p w14:paraId="0580E3F4">
            <w:pPr>
              <w:widowControl/>
              <w:kinsoku/>
              <w:autoSpaceDN/>
              <w:bidi w:val="0"/>
              <w:spacing w:line="560" w:lineRule="exact"/>
              <w:jc w:val="center"/>
              <w:rPr>
                <w:rFonts w:hint="eastAsia" w:ascii="宋体" w:hAnsi="宋体" w:cs="宋体"/>
                <w:color w:val="auto"/>
                <w:kern w:val="0"/>
                <w:szCs w:val="21"/>
              </w:rPr>
            </w:pPr>
          </w:p>
        </w:tc>
        <w:tc>
          <w:tcPr>
            <w:tcW w:w="678" w:type="pct"/>
            <w:vAlign w:val="center"/>
          </w:tcPr>
          <w:p w14:paraId="3CB5B725">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223FE66D">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0877B13A">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72D6B870">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326E8DA2">
            <w:pPr>
              <w:widowControl/>
              <w:kinsoku/>
              <w:autoSpaceDN/>
              <w:bidi w:val="0"/>
              <w:spacing w:line="560" w:lineRule="exact"/>
              <w:jc w:val="center"/>
              <w:rPr>
                <w:rFonts w:hint="eastAsia" w:ascii="宋体" w:hAnsi="宋体" w:cs="宋体"/>
                <w:color w:val="auto"/>
                <w:kern w:val="0"/>
                <w:szCs w:val="21"/>
              </w:rPr>
            </w:pPr>
          </w:p>
        </w:tc>
        <w:tc>
          <w:tcPr>
            <w:tcW w:w="930" w:type="pct"/>
            <w:vAlign w:val="center"/>
          </w:tcPr>
          <w:p w14:paraId="563C5DE3">
            <w:pPr>
              <w:widowControl/>
              <w:kinsoku/>
              <w:autoSpaceDN/>
              <w:bidi w:val="0"/>
              <w:spacing w:line="560" w:lineRule="exact"/>
              <w:jc w:val="center"/>
              <w:rPr>
                <w:rFonts w:hint="eastAsia" w:ascii="宋体" w:hAnsi="宋体" w:cs="宋体"/>
                <w:color w:val="auto"/>
                <w:kern w:val="0"/>
                <w:szCs w:val="21"/>
              </w:rPr>
            </w:pPr>
          </w:p>
        </w:tc>
        <w:tc>
          <w:tcPr>
            <w:tcW w:w="693" w:type="pct"/>
            <w:vAlign w:val="center"/>
          </w:tcPr>
          <w:p w14:paraId="64EAA5BA">
            <w:pPr>
              <w:widowControl/>
              <w:kinsoku/>
              <w:autoSpaceDN/>
              <w:bidi w:val="0"/>
              <w:spacing w:line="560" w:lineRule="exact"/>
              <w:jc w:val="center"/>
              <w:rPr>
                <w:rFonts w:hint="eastAsia" w:ascii="宋体" w:hAnsi="宋体" w:cs="宋体"/>
                <w:color w:val="auto"/>
                <w:kern w:val="0"/>
                <w:szCs w:val="21"/>
              </w:rPr>
            </w:pPr>
          </w:p>
        </w:tc>
      </w:tr>
      <w:tr w14:paraId="5ECA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 w:type="pct"/>
            <w:vAlign w:val="center"/>
          </w:tcPr>
          <w:p w14:paraId="1D01CF6A">
            <w:pPr>
              <w:widowControl/>
              <w:kinsoku/>
              <w:autoSpaceDN/>
              <w:bidi w:val="0"/>
              <w:spacing w:line="560" w:lineRule="exact"/>
              <w:jc w:val="center"/>
              <w:rPr>
                <w:rFonts w:hint="eastAsia" w:ascii="宋体" w:hAnsi="宋体" w:cs="宋体"/>
                <w:color w:val="auto"/>
                <w:kern w:val="0"/>
                <w:szCs w:val="21"/>
              </w:rPr>
            </w:pPr>
          </w:p>
        </w:tc>
        <w:tc>
          <w:tcPr>
            <w:tcW w:w="678" w:type="pct"/>
            <w:vAlign w:val="center"/>
          </w:tcPr>
          <w:p w14:paraId="697EDBDD">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42C59CA1">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3216A32E">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297EFB9F">
            <w:pPr>
              <w:widowControl/>
              <w:kinsoku/>
              <w:autoSpaceDN/>
              <w:bidi w:val="0"/>
              <w:spacing w:line="560" w:lineRule="exact"/>
              <w:jc w:val="center"/>
              <w:rPr>
                <w:rFonts w:hint="eastAsia" w:ascii="宋体" w:hAnsi="宋体" w:cs="宋体"/>
                <w:color w:val="auto"/>
                <w:kern w:val="0"/>
                <w:szCs w:val="21"/>
              </w:rPr>
            </w:pPr>
          </w:p>
        </w:tc>
        <w:tc>
          <w:tcPr>
            <w:tcW w:w="562" w:type="pct"/>
            <w:vAlign w:val="center"/>
          </w:tcPr>
          <w:p w14:paraId="0787C96C">
            <w:pPr>
              <w:widowControl/>
              <w:kinsoku/>
              <w:autoSpaceDN/>
              <w:bidi w:val="0"/>
              <w:spacing w:line="560" w:lineRule="exact"/>
              <w:jc w:val="center"/>
              <w:rPr>
                <w:rFonts w:hint="eastAsia" w:ascii="宋体" w:hAnsi="宋体" w:cs="宋体"/>
                <w:color w:val="auto"/>
                <w:kern w:val="0"/>
                <w:szCs w:val="21"/>
              </w:rPr>
            </w:pPr>
          </w:p>
        </w:tc>
        <w:tc>
          <w:tcPr>
            <w:tcW w:w="930" w:type="pct"/>
            <w:vAlign w:val="center"/>
          </w:tcPr>
          <w:p w14:paraId="7F46F2B9">
            <w:pPr>
              <w:widowControl/>
              <w:kinsoku/>
              <w:autoSpaceDN/>
              <w:bidi w:val="0"/>
              <w:spacing w:line="560" w:lineRule="exact"/>
              <w:jc w:val="center"/>
              <w:rPr>
                <w:rFonts w:hint="eastAsia" w:ascii="宋体" w:hAnsi="宋体" w:cs="宋体"/>
                <w:color w:val="auto"/>
                <w:kern w:val="0"/>
                <w:szCs w:val="21"/>
              </w:rPr>
            </w:pPr>
          </w:p>
        </w:tc>
        <w:tc>
          <w:tcPr>
            <w:tcW w:w="693" w:type="pct"/>
            <w:vAlign w:val="center"/>
          </w:tcPr>
          <w:p w14:paraId="5FDA8FC7">
            <w:pPr>
              <w:widowControl/>
              <w:kinsoku/>
              <w:autoSpaceDN/>
              <w:bidi w:val="0"/>
              <w:spacing w:line="560" w:lineRule="exact"/>
              <w:jc w:val="center"/>
              <w:rPr>
                <w:rFonts w:hint="eastAsia" w:ascii="宋体" w:hAnsi="宋体" w:cs="宋体"/>
                <w:color w:val="auto"/>
                <w:kern w:val="0"/>
                <w:szCs w:val="21"/>
              </w:rPr>
            </w:pPr>
          </w:p>
        </w:tc>
      </w:tr>
    </w:tbl>
    <w:p w14:paraId="2ED3C96B">
      <w:pPr>
        <w:pStyle w:val="19"/>
        <w:widowControl/>
        <w:kinsoku/>
        <w:autoSpaceDN/>
        <w:bidi w:val="0"/>
        <w:spacing w:line="560" w:lineRule="exact"/>
        <w:rPr>
          <w:color w:val="auto"/>
        </w:rPr>
      </w:pPr>
      <w:r>
        <w:rPr>
          <w:rStyle w:val="168"/>
          <w:rFonts w:ascii="Times New Roman" w:hAnsi="Times New Roman" w:eastAsia="仿宋_GB2312" w:cs="仿宋_GB2312"/>
          <w:color w:val="auto"/>
          <w:sz w:val="32"/>
          <w:szCs w:val="32"/>
        </w:rPr>
        <w:t>说明：本表后附拟派服务人员响应截止之日前倒推3个月的连续社保缴纳记录证明；特殊情况（如退休返聘、外籍员工等）需提供相关证明材料。未提供或提供不全的，此项不得分。</w:t>
      </w:r>
    </w:p>
    <w:p w14:paraId="0DE2DBF3">
      <w:pPr>
        <w:pStyle w:val="167"/>
        <w:widowControl/>
        <w:kinsoku/>
        <w:autoSpaceDN/>
        <w:bidi w:val="0"/>
        <w:spacing w:line="560" w:lineRule="exact"/>
        <w:ind w:firstLine="0" w:firstLineChars="0"/>
        <w:jc w:val="both"/>
        <w:rPr>
          <w:color w:val="auto"/>
        </w:rPr>
      </w:pPr>
    </w:p>
    <w:p w14:paraId="531CB718">
      <w:pPr>
        <w:pStyle w:val="167"/>
        <w:widowControl/>
        <w:kinsoku/>
        <w:autoSpaceDN/>
        <w:bidi w:val="0"/>
        <w:spacing w:line="560" w:lineRule="exact"/>
        <w:ind w:firstLine="0" w:firstLineChars="0"/>
        <w:jc w:val="both"/>
        <w:rPr>
          <w:color w:val="auto"/>
        </w:rPr>
      </w:pPr>
    </w:p>
    <w:p w14:paraId="0FA8E7F1">
      <w:pPr>
        <w:pStyle w:val="167"/>
        <w:widowControl/>
        <w:kinsoku/>
        <w:autoSpaceDN/>
        <w:bidi w:val="0"/>
        <w:spacing w:line="560" w:lineRule="exact"/>
        <w:ind w:firstLine="0" w:firstLineChars="0"/>
        <w:jc w:val="right"/>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 xml:space="preserve">                              供应商名称（盖单位公章）：</w:t>
      </w:r>
    </w:p>
    <w:p w14:paraId="5DD6C252">
      <w:pPr>
        <w:pStyle w:val="167"/>
        <w:widowControl/>
        <w:kinsoku/>
        <w:autoSpaceDN/>
        <w:bidi w:val="0"/>
        <w:spacing w:line="560" w:lineRule="exact"/>
        <w:ind w:firstLine="5120"/>
        <w:jc w:val="right"/>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pacing w:val="6"/>
          <w:sz w:val="32"/>
          <w:szCs w:val="32"/>
        </w:rPr>
        <w:t>授权代表（签字或</w:t>
      </w:r>
      <w:r>
        <w:rPr>
          <w:rFonts w:hint="eastAsia" w:ascii="Times New Roman" w:hAnsi="Times New Roman" w:eastAsia="仿宋_GB2312" w:cs="仿宋_GB2312"/>
          <w:color w:val="auto"/>
          <w:sz w:val="32"/>
          <w:szCs w:val="32"/>
        </w:rPr>
        <w:t>盖章）：</w:t>
      </w:r>
    </w:p>
    <w:p w14:paraId="5113B0C5">
      <w:pPr>
        <w:pStyle w:val="167"/>
        <w:widowControl/>
        <w:kinsoku/>
        <w:autoSpaceDN/>
        <w:bidi w:val="0"/>
        <w:spacing w:line="560" w:lineRule="exact"/>
        <w:ind w:firstLine="5312" w:firstLineChars="1600"/>
        <w:jc w:val="right"/>
        <w:rPr>
          <w:rFonts w:hint="eastAsia" w:ascii="仿宋_GB2312" w:hAnsi="仿宋_GB2312" w:eastAsia="仿宋_GB2312" w:cs="仿宋_GB2312"/>
          <w:color w:val="auto"/>
          <w:sz w:val="32"/>
          <w:szCs w:val="32"/>
        </w:rPr>
      </w:pPr>
      <w:r>
        <w:rPr>
          <w:rFonts w:hint="eastAsia" w:ascii="Times New Roman" w:hAnsi="Times New Roman" w:eastAsia="仿宋_GB2312" w:cs="仿宋_GB2312"/>
          <w:color w:val="auto"/>
          <w:sz w:val="32"/>
          <w:szCs w:val="32"/>
        </w:rPr>
        <w:t>年   月   日</w:t>
      </w:r>
    </w:p>
    <w:p w14:paraId="448D1FA0">
      <w:pPr>
        <w:pStyle w:val="19"/>
        <w:widowControl/>
        <w:kinsoku/>
        <w:autoSpaceDN/>
        <w:bidi w:val="0"/>
        <w:spacing w:line="560" w:lineRule="exact"/>
        <w:rPr>
          <w:rFonts w:ascii="Times New Roman" w:hAnsi="Times New Roman" w:eastAsia="仿宋_GB2312" w:cs="仿宋_GB2312"/>
          <w:color w:val="auto"/>
          <w:sz w:val="32"/>
          <w:szCs w:val="32"/>
        </w:rPr>
      </w:pPr>
      <w:bookmarkStart w:id="0" w:name="_GoBack"/>
      <w:r>
        <w:rPr>
          <w:rFonts w:hint="eastAsia" w:ascii="黑体" w:hAnsi="黑体" w:eastAsia="黑体" w:cs="黑体"/>
          <w:b/>
          <w:color w:val="auto"/>
          <w:sz w:val="32"/>
          <w:szCs w:val="32"/>
        </w:rPr>
        <w:t>七、</w:t>
      </w:r>
      <w:r>
        <w:rPr>
          <w:rFonts w:ascii="Times New Roman" w:hAnsi="Times New Roman" w:eastAsia="仿宋_GB2312" w:cs="仿宋_GB2312"/>
          <w:color w:val="auto"/>
          <w:sz w:val="32"/>
          <w:szCs w:val="32"/>
        </w:rPr>
        <w:t>营业执照等资质证明文件</w:t>
      </w:r>
    </w:p>
    <w:p w14:paraId="7503220D">
      <w:pPr>
        <w:pStyle w:val="19"/>
        <w:widowControl/>
        <w:kinsoku/>
        <w:autoSpaceDN/>
        <w:bidi w:val="0"/>
        <w:spacing w:line="560" w:lineRule="exact"/>
        <w:rPr>
          <w:rFonts w:hint="eastAsia" w:ascii="Times New Roman" w:hAnsi="Times New Roman" w:eastAsia="仿宋_GB2312" w:cs="仿宋_GB2312"/>
          <w:color w:val="auto"/>
          <w:sz w:val="32"/>
          <w:szCs w:val="32"/>
        </w:rPr>
      </w:pPr>
      <w:r>
        <w:rPr>
          <w:rFonts w:hint="eastAsia" w:ascii="黑体" w:hAnsi="黑体" w:eastAsia="黑体" w:cs="黑体"/>
          <w:b/>
          <w:color w:val="auto"/>
          <w:sz w:val="32"/>
          <w:szCs w:val="32"/>
        </w:rPr>
        <w:t>八、</w:t>
      </w:r>
      <w:r>
        <w:rPr>
          <w:rFonts w:hint="eastAsia" w:ascii="Times New Roman" w:hAnsi="Times New Roman" w:eastAsia="仿宋_GB2312" w:cs="仿宋_GB2312"/>
          <w:color w:val="auto"/>
          <w:sz w:val="32"/>
          <w:szCs w:val="32"/>
        </w:rPr>
        <w:t>项目实施方案（格式自定）</w:t>
      </w:r>
    </w:p>
    <w:p w14:paraId="143E4044">
      <w:pPr>
        <w:pStyle w:val="19"/>
        <w:widowControl/>
        <w:kinsoku/>
        <w:autoSpaceDN/>
        <w:bidi w:val="0"/>
        <w:spacing w:line="560" w:lineRule="exact"/>
        <w:rPr>
          <w:rFonts w:hint="eastAsia" w:ascii="黑体" w:hAnsi="黑体" w:eastAsia="黑体" w:cs="黑体"/>
          <w:b/>
          <w:color w:val="auto"/>
          <w:sz w:val="32"/>
          <w:szCs w:val="32"/>
        </w:rPr>
      </w:pPr>
      <w:r>
        <w:rPr>
          <w:rFonts w:hint="eastAsia" w:ascii="黑体" w:hAnsi="黑体" w:eastAsia="黑体" w:cs="黑体"/>
          <w:b/>
          <w:color w:val="auto"/>
          <w:sz w:val="32"/>
          <w:szCs w:val="32"/>
        </w:rPr>
        <w:t>九、</w:t>
      </w:r>
      <w:r>
        <w:rPr>
          <w:rFonts w:hint="eastAsia" w:ascii="Times New Roman" w:hAnsi="Times New Roman" w:eastAsia="仿宋_GB2312" w:cs="仿宋_GB2312"/>
          <w:color w:val="auto"/>
          <w:sz w:val="32"/>
          <w:szCs w:val="32"/>
        </w:rPr>
        <w:t>供应商认为需要加以说明的其他内容（格式自定）</w:t>
      </w:r>
    </w:p>
    <w:p w14:paraId="48A58CCD">
      <w:pPr>
        <w:pStyle w:val="19"/>
        <w:widowControl/>
        <w:kinsoku/>
        <w:autoSpaceDN/>
        <w:bidi w:val="0"/>
        <w:spacing w:line="560" w:lineRule="exact"/>
        <w:rPr>
          <w:rFonts w:hint="eastAsia" w:ascii="黑体" w:hAnsi="黑体" w:eastAsia="黑体" w:cs="黑体"/>
          <w:b/>
          <w:color w:val="auto"/>
          <w:sz w:val="32"/>
          <w:szCs w:val="32"/>
        </w:rPr>
      </w:pPr>
    </w:p>
    <w:bookmarkEnd w:id="0"/>
    <w:sectPr>
      <w:headerReference r:id="rId9" w:type="default"/>
      <w:footerReference r:id="rId10" w:type="default"/>
      <w:pgSz w:w="11906" w:h="16838"/>
      <w:pgMar w:top="2098" w:right="1474" w:bottom="1984" w:left="1587" w:header="851" w:footer="1417" w:gutter="0"/>
      <w:pgBorders>
        <w:top w:val="none" w:sz="0" w:space="0"/>
        <w:left w:val="none" w:sz="0" w:space="0"/>
        <w:bottom w:val="none" w:sz="0" w:space="0"/>
        <w:right w:val="none" w:sz="0" w:space="0"/>
      </w:pgBorders>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2D1723-B26E-4CC2-ACC6-0AF101EC6D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F54B0FB-1904-4B43-96BD-9A4BA4A2189D}"/>
  </w:font>
  <w:font w:name="仿宋">
    <w:panose1 w:val="02010609060101010101"/>
    <w:charset w:val="86"/>
    <w:family w:val="auto"/>
    <w:pitch w:val="default"/>
    <w:sig w:usb0="800002BF" w:usb1="38CF7CFA" w:usb2="00000016" w:usb3="00000000" w:csb0="00040001" w:csb1="00000000"/>
    <w:embedRegular r:id="rId3" w:fontKey="{7BBE1A1E-EFBB-4FD1-A269-1E2B223D379E}"/>
  </w:font>
  <w:font w:name="仿宋_GB2312">
    <w:panose1 w:val="02010609030101010101"/>
    <w:charset w:val="86"/>
    <w:family w:val="auto"/>
    <w:pitch w:val="default"/>
    <w:sig w:usb0="00000001" w:usb1="080E0000" w:usb2="00000000" w:usb3="00000000" w:csb0="00040000" w:csb1="00000000"/>
    <w:embedRegular r:id="rId4" w:fontKey="{43CBEB5B-87CC-4891-ADE8-5E2A2F394EE3}"/>
  </w:font>
  <w:font w:name="楷体_GB2312">
    <w:panose1 w:val="02010609030101010101"/>
    <w:charset w:val="86"/>
    <w:family w:val="auto"/>
    <w:pitch w:val="default"/>
    <w:sig w:usb0="00000001" w:usb1="080E0000" w:usb2="00000000" w:usb3="00000000" w:csb0="00040000" w:csb1="00000000"/>
    <w:embedRegular r:id="rId5" w:fontKey="{0BB4F672-2EE4-48CC-843C-49755C788031}"/>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MS Gothic">
    <w:panose1 w:val="020B0609070205080204"/>
    <w:charset w:val="80"/>
    <w:family w:val="auto"/>
    <w:pitch w:val="default"/>
    <w:sig w:usb0="E00002FF" w:usb1="6AC7FDFB" w:usb2="08000012" w:usb3="00000000" w:csb0="4002009F" w:csb1="DFD70000"/>
  </w:font>
  <w:font w:name="方正仿宋_GB2312">
    <w:panose1 w:val="02000000000000000000"/>
    <w:charset w:val="86"/>
    <w:family w:val="auto"/>
    <w:pitch w:val="default"/>
    <w:sig w:usb0="A00002BF" w:usb1="184F6CFA" w:usb2="00000012" w:usb3="00000000" w:csb0="00040001" w:csb1="00000000"/>
    <w:embedRegular r:id="rId6" w:fontKey="{78B53E72-A199-4023-8D06-0EB0253F3CA1}"/>
  </w:font>
  <w:font w:name="楷体">
    <w:panose1 w:val="02010609060101010101"/>
    <w:charset w:val="86"/>
    <w:family w:val="auto"/>
    <w:pitch w:val="default"/>
    <w:sig w:usb0="800002BF" w:usb1="38CF7CFA" w:usb2="00000016" w:usb3="00000000" w:csb0="00040001" w:csb1="00000000"/>
    <w:embedRegular r:id="rId7" w:fontKey="{7FA1BB66-3AD9-40D3-AA55-F85AC64893CF}"/>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6ADC7">
    <w:pPr>
      <w:pStyle w:val="24"/>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42FDB6">
                          <w:pPr>
                            <w:pStyle w:val="2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qVKztYAAAAGAQAADwAAAAAAAAABACAAAAAiAAAAZHJzL2Rvd25y&#10;ZXYueG1sUEsBAhQAFAAAAAgAh07iQCYyPdY5AgAAawQAAA4AAAAAAAAAAQAgAAAAJQEAAGRycy9l&#10;Mm9Eb2MueG1sUEsFBgAAAAAGAAYAWQEAANAFAAAAAA==&#10;">
              <v:fill on="f" focussize="0,0"/>
              <v:stroke on="f" weight="0.5pt"/>
              <v:imagedata o:title=""/>
              <o:lock v:ext="edit" aspectratio="f"/>
              <v:textbox inset="16pt,0mm,16pt,0mm" style="mso-fit-shape-to-text:t;">
                <w:txbxContent>
                  <w:p w14:paraId="7C42FDB6">
                    <w:pPr>
                      <w:pStyle w:val="2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C941B">
    <w:pPr>
      <w:pStyle w:val="24"/>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573D8A">
                          <w:pPr>
                            <w:pStyle w:val="2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1312;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BZwnhgNwIAAGsEAAAOAAAAAAAAAAEAIAAAACUBAABkcnMvZTJv&#10;RG9jLnhtbFBLBQYAAAAABgAGAFkBAADOBQAAAAA=&#10;">
              <v:fill on="f" focussize="0,0"/>
              <v:stroke on="f" weight="0.5pt"/>
              <v:imagedata o:title=""/>
              <o:lock v:ext="edit" aspectratio="f"/>
              <v:textbox inset="16pt,0mm,16pt,0mm" style="mso-fit-shape-to-text:t;">
                <w:txbxContent>
                  <w:p w14:paraId="37573D8A">
                    <w:pPr>
                      <w:pStyle w:val="2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D3945">
    <w:pPr>
      <w:pStyle w:val="24"/>
      <w:tabs>
        <w:tab w:val="center" w:pos="4153"/>
        <w:tab w:val="right" w:pos="8306"/>
        <w:tab w:val="clear" w:pos="4680"/>
        <w:tab w:val="clear" w:pos="9360"/>
      </w:tabs>
      <w:jc w:val="right"/>
      <w:rPr>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0090EE">
                          <w:pPr>
                            <w:pStyle w:val="2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25</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2336;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s29ruzgCAABrBAAADgAAAAAAAAABACAAAAAlAQAAZHJzL2Uy&#10;b0RvYy54bWxQSwUGAAAAAAYABgBZAQAAzwUAAAAA&#10;">
              <v:fill on="f" focussize="0,0"/>
              <v:stroke on="f" weight="0.5pt"/>
              <v:imagedata o:title=""/>
              <o:lock v:ext="edit" aspectratio="f"/>
              <v:textbox inset="16pt,0mm,16pt,0mm" style="mso-fit-shape-to-text:t;">
                <w:txbxContent>
                  <w:p w14:paraId="5F0090EE">
                    <w:pPr>
                      <w:pStyle w:val="2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25</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1D991D">
                          <w:pPr>
                            <w:pStyle w:val="24"/>
                            <w:tabs>
                              <w:tab w:val="center" w:pos="4153"/>
                              <w:tab w:val="right" w:pos="8306"/>
                              <w:tab w:val="clear" w:pos="4680"/>
                              <w:tab w:val="clear" w:pos="9360"/>
                            </w:tabs>
                            <w:jc w:val="right"/>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551D991D">
                    <w:pPr>
                      <w:pStyle w:val="24"/>
                      <w:tabs>
                        <w:tab w:val="center" w:pos="4153"/>
                        <w:tab w:val="right" w:pos="8306"/>
                        <w:tab w:val="clear" w:pos="4680"/>
                        <w:tab w:val="clear" w:pos="9360"/>
                      </w:tabs>
                      <w:jc w:val="right"/>
                    </w:pPr>
                  </w:p>
                </w:txbxContent>
              </v:textbox>
            </v:shape>
          </w:pict>
        </mc:Fallback>
      </mc:AlternateContent>
    </w:r>
  </w:p>
  <w:p w14:paraId="4CEAB234">
    <w:pPr>
      <w:pStyle w:val="24"/>
      <w:tabs>
        <w:tab w:val="clear" w:pos="4680"/>
        <w:tab w:val="clear" w:pos="9360"/>
      </w:tabs>
      <w:ind w:right="360"/>
      <w:jc w:val="cen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214E5">
    <w:pPr>
      <w:pStyle w:val="2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6E199">
    <w:pPr>
      <w:pStyle w:val="2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F529F">
    <w:pPr>
      <w:pStyle w:val="25"/>
      <w:pBdr>
        <w:bottom w:val="none" w:color="auto" w:sz="0" w:space="0"/>
      </w:pBdr>
      <w:tabs>
        <w:tab w:val="center" w:pos="4153"/>
        <w:tab w:val="right" w:pos="8306"/>
        <w:tab w:val="clear" w:pos="4680"/>
        <w:tab w:val="clear" w:pos="9360"/>
      </w:tabs>
      <w:jc w:val="both"/>
    </w:pPr>
  </w:p>
  <w:p w14:paraId="00D14ED8">
    <w:pPr>
      <w:pStyle w:val="25"/>
      <w:pBdr>
        <w:bottom w:val="none" w:color="auto" w:sz="0" w:space="0"/>
      </w:pBdr>
      <w:tabs>
        <w:tab w:val="center" w:pos="4153"/>
        <w:tab w:val="right" w:pos="8306"/>
        <w:tab w:val="clear" w:pos="4680"/>
        <w:tab w:val="clear"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TrueTypeFonts/>
  <w:saveSubsetFonts/>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8D313A"/>
    <w:rsid w:val="00AA1D8D"/>
    <w:rsid w:val="00B47730"/>
    <w:rsid w:val="00CB0664"/>
    <w:rsid w:val="00FC693F"/>
    <w:rsid w:val="02F91BBE"/>
    <w:rsid w:val="036A079C"/>
    <w:rsid w:val="038A1428"/>
    <w:rsid w:val="07481B68"/>
    <w:rsid w:val="08762705"/>
    <w:rsid w:val="0B595BFA"/>
    <w:rsid w:val="0CDF351D"/>
    <w:rsid w:val="0D2E2CAE"/>
    <w:rsid w:val="0FEF460A"/>
    <w:rsid w:val="11256218"/>
    <w:rsid w:val="12C33AC5"/>
    <w:rsid w:val="133343AC"/>
    <w:rsid w:val="135E44C2"/>
    <w:rsid w:val="13F526CC"/>
    <w:rsid w:val="14131750"/>
    <w:rsid w:val="14E530ED"/>
    <w:rsid w:val="16414353"/>
    <w:rsid w:val="17B74954"/>
    <w:rsid w:val="18504D21"/>
    <w:rsid w:val="1A2577BE"/>
    <w:rsid w:val="1AB377E9"/>
    <w:rsid w:val="1F6220A1"/>
    <w:rsid w:val="1FA6791C"/>
    <w:rsid w:val="201D1582"/>
    <w:rsid w:val="244B35CC"/>
    <w:rsid w:val="2565389C"/>
    <w:rsid w:val="28F33BD2"/>
    <w:rsid w:val="2B30704F"/>
    <w:rsid w:val="2F792619"/>
    <w:rsid w:val="301937F3"/>
    <w:rsid w:val="31C51CC7"/>
    <w:rsid w:val="323A4620"/>
    <w:rsid w:val="32BF68D3"/>
    <w:rsid w:val="32FD73FC"/>
    <w:rsid w:val="34D94227"/>
    <w:rsid w:val="35B11430"/>
    <w:rsid w:val="372D5A13"/>
    <w:rsid w:val="3949339B"/>
    <w:rsid w:val="3967048F"/>
    <w:rsid w:val="39EF7882"/>
    <w:rsid w:val="3B0C029D"/>
    <w:rsid w:val="3E261EFC"/>
    <w:rsid w:val="3E8F4721"/>
    <w:rsid w:val="3EED0A03"/>
    <w:rsid w:val="40777C86"/>
    <w:rsid w:val="4102333F"/>
    <w:rsid w:val="427D6A3C"/>
    <w:rsid w:val="44D22496"/>
    <w:rsid w:val="477E7D41"/>
    <w:rsid w:val="4A196EAA"/>
    <w:rsid w:val="4CE865CF"/>
    <w:rsid w:val="50A41776"/>
    <w:rsid w:val="50CF3D2E"/>
    <w:rsid w:val="56F271B4"/>
    <w:rsid w:val="58D42829"/>
    <w:rsid w:val="5E7B247E"/>
    <w:rsid w:val="5FE5531C"/>
    <w:rsid w:val="60965359"/>
    <w:rsid w:val="67890C82"/>
    <w:rsid w:val="694E10E2"/>
    <w:rsid w:val="6A585B4A"/>
    <w:rsid w:val="6E7837FF"/>
    <w:rsid w:val="709A7A5C"/>
    <w:rsid w:val="75FA2D4B"/>
    <w:rsid w:val="76001E35"/>
    <w:rsid w:val="76962A74"/>
    <w:rsid w:val="790A599B"/>
    <w:rsid w:val="7ABE65D0"/>
    <w:rsid w:val="7CA13F2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0" w:after="0" w:line="560" w:lineRule="exact"/>
    </w:pPr>
    <w:rPr>
      <w:rFonts w:ascii="仿宋_GB2312" w:hAnsi="仿宋_GB2312" w:eastAsia="仿宋_GB2312" w:cstheme="minorBidi"/>
      <w:sz w:val="32"/>
      <w:szCs w:val="22"/>
      <w:lang w:val="en-US" w:eastAsia="en-US" w:bidi="ar-SA"/>
    </w:rPr>
  </w:style>
  <w:style w:type="paragraph" w:styleId="3">
    <w:name w:val="heading 1"/>
    <w:next w:val="1"/>
    <w:qFormat/>
    <w:uiPriority w:val="9"/>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4">
    <w:name w:val="heading 2"/>
    <w:next w:val="1"/>
    <w:unhideWhenUsed/>
    <w:qFormat/>
    <w:uiPriority w:val="9"/>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5">
    <w:name w:val="heading 3"/>
    <w:next w:val="1"/>
    <w:unhideWhenUsed/>
    <w:qFormat/>
    <w:uiPriority w:val="9"/>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6">
    <w:name w:val="heading 4"/>
    <w:next w:val="1"/>
    <w:link w:val="173"/>
    <w:unhideWhenUsed/>
    <w:qFormat/>
    <w:uiPriority w:val="9"/>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7">
    <w:name w:val="heading 5"/>
    <w:next w:val="1"/>
    <w:semiHidden/>
    <w:unhideWhenUsed/>
    <w:qFormat/>
    <w:uiPriority w:val="9"/>
    <w:pPr>
      <w:spacing w:line="560" w:lineRule="exact"/>
      <w:ind w:firstLine="894" w:firstLineChars="200"/>
      <w:outlineLvl w:val="4"/>
    </w:pPr>
    <w:rPr>
      <w:rFonts w:ascii="Times New Roman" w:hAnsi="Times New Roman" w:eastAsia="仿宋_GB2312" w:cs="仿宋_GB2312"/>
      <w:sz w:val="32"/>
      <w:szCs w:val="32"/>
    </w:rPr>
  </w:style>
  <w:style w:type="paragraph" w:styleId="8">
    <w:name w:val="heading 6"/>
    <w:next w:val="1"/>
    <w:semiHidden/>
    <w:unhideWhenUsed/>
    <w:qFormat/>
    <w:uiPriority w:val="9"/>
    <w:pPr>
      <w:spacing w:line="560" w:lineRule="exact"/>
      <w:ind w:firstLine="894" w:firstLineChars="200"/>
      <w:outlineLvl w:val="5"/>
    </w:pPr>
    <w:rPr>
      <w:rFonts w:ascii="Times New Roman" w:hAnsi="Times New Roman" w:eastAsia="仿宋_GB2312" w:cs="仿宋_GB2312"/>
      <w:sz w:val="32"/>
      <w:szCs w:val="32"/>
    </w:rPr>
  </w:style>
  <w:style w:type="paragraph" w:styleId="9">
    <w:name w:val="heading 7"/>
    <w:next w:val="1"/>
    <w:semiHidden/>
    <w:unhideWhenUsed/>
    <w:qFormat/>
    <w:uiPriority w:val="9"/>
    <w:pPr>
      <w:spacing w:line="560" w:lineRule="exact"/>
      <w:ind w:firstLine="894" w:firstLineChars="200"/>
      <w:outlineLvl w:val="6"/>
    </w:pPr>
    <w:rPr>
      <w:rFonts w:ascii="Times New Roman" w:hAnsi="Times New Roman" w:eastAsia="仿宋_GB2312" w:cs="仿宋_GB2312"/>
      <w:sz w:val="32"/>
      <w:szCs w:val="32"/>
    </w:rPr>
  </w:style>
  <w:style w:type="paragraph" w:styleId="10">
    <w:name w:val="heading 8"/>
    <w:next w:val="1"/>
    <w:semiHidden/>
    <w:unhideWhenUsed/>
    <w:qFormat/>
    <w:uiPriority w:val="9"/>
    <w:pPr>
      <w:spacing w:line="560" w:lineRule="exact"/>
      <w:ind w:firstLine="894" w:firstLineChars="200"/>
      <w:outlineLvl w:val="7"/>
    </w:pPr>
    <w:rPr>
      <w:rFonts w:ascii="Times New Roman" w:hAnsi="Times New Roman" w:eastAsia="仿宋_GB2312" w:cs="仿宋_GB2312"/>
      <w:sz w:val="32"/>
      <w:szCs w:val="32"/>
    </w:rPr>
  </w:style>
  <w:style w:type="paragraph" w:styleId="11">
    <w:name w:val="heading 9"/>
    <w:next w:val="1"/>
    <w:semiHidden/>
    <w:unhideWhenUsed/>
    <w:qFormat/>
    <w:uiPriority w:val="9"/>
    <w:pPr>
      <w:spacing w:line="560" w:lineRule="exact"/>
      <w:ind w:firstLine="894" w:firstLineChars="200"/>
      <w:outlineLvl w:val="8"/>
    </w:pPr>
    <w:rPr>
      <w:rFonts w:ascii="Times New Roman" w:hAnsi="Times New Roman" w:eastAsia="仿宋_GB2312" w:cs="仿宋_GB2312"/>
      <w:sz w:val="32"/>
      <w:szCs w:val="32"/>
    </w:rPr>
  </w:style>
  <w:style w:type="character" w:default="1" w:styleId="134">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8"/>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link w:val="146"/>
    <w:unhideWhenUsed/>
    <w:qFormat/>
    <w:uiPriority w:val="99"/>
    <w:pPr>
      <w:spacing w:line="560" w:lineRule="exact"/>
      <w:ind w:firstLine="630" w:firstLineChars="200"/>
      <w:jc w:val="both"/>
    </w:pPr>
    <w:rPr>
      <w:rFonts w:ascii="Times New Roman" w:hAnsi="Times New Roman" w:eastAsia="仿宋_GB2312" w:cs="仿宋_GB2312"/>
      <w:spacing w:val="-6"/>
      <w:sz w:val="32"/>
      <w:szCs w:val="32"/>
    </w:r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8"/>
    <w:unhideWhenUsed/>
    <w:qFormat/>
    <w:uiPriority w:val="99"/>
    <w:pPr>
      <w:tabs>
        <w:tab w:val="center" w:pos="4680"/>
        <w:tab w:val="right" w:pos="9360"/>
      </w:tabs>
      <w:spacing w:after="0" w:line="240" w:lineRule="auto"/>
    </w:pPr>
  </w:style>
  <w:style w:type="paragraph" w:styleId="25">
    <w:name w:val="header"/>
    <w:basedOn w:val="1"/>
    <w:link w:val="137"/>
    <w:unhideWhenUsed/>
    <w:qFormat/>
    <w:uiPriority w:val="99"/>
    <w:pPr>
      <w:tabs>
        <w:tab w:val="center" w:pos="4680"/>
        <w:tab w:val="right" w:pos="9360"/>
      </w:tabs>
      <w:spacing w:after="0" w:line="240" w:lineRule="auto"/>
    </w:pPr>
  </w:style>
  <w:style w:type="paragraph" w:styleId="26">
    <w:name w:val="Subtitle"/>
    <w:next w:val="1"/>
    <w:qFormat/>
    <w:uiPriority w:val="11"/>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27">
    <w:name w:val="List"/>
    <w:basedOn w:val="1"/>
    <w:unhideWhenUsed/>
    <w:qFormat/>
    <w:uiPriority w:val="99"/>
    <w:pPr>
      <w:ind w:left="360" w:hanging="360"/>
      <w:contextualSpacing/>
    </w:pPr>
  </w:style>
  <w:style w:type="paragraph" w:styleId="28">
    <w:name w:val="toc 2"/>
    <w:basedOn w:val="1"/>
    <w:next w:val="1"/>
    <w:unhideWhenUsed/>
    <w:qFormat/>
    <w:uiPriority w:val="39"/>
    <w:pPr>
      <w:widowControl/>
      <w:spacing w:after="100" w:line="259" w:lineRule="auto"/>
      <w:ind w:left="220"/>
      <w:jc w:val="left"/>
    </w:pPr>
    <w:rPr>
      <w:kern w:val="0"/>
      <w:sz w:val="22"/>
    </w:rPr>
  </w:style>
  <w:style w:type="paragraph" w:styleId="29">
    <w:name w:val="Body Text 2"/>
    <w:basedOn w:val="1"/>
    <w:link w:val="147"/>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2">
    <w:name w:val="List Continue 3"/>
    <w:basedOn w:val="1"/>
    <w:unhideWhenUsed/>
    <w:qFormat/>
    <w:uiPriority w:val="99"/>
    <w:pPr>
      <w:spacing w:after="120"/>
      <w:ind w:left="1080"/>
      <w:contextualSpacing/>
    </w:pPr>
  </w:style>
  <w:style w:type="paragraph" w:styleId="33">
    <w:name w:val="Title"/>
    <w:next w:val="1"/>
    <w:link w:val="143"/>
    <w:qFormat/>
    <w:uiPriority w:val="10"/>
    <w:pPr>
      <w:spacing w:line="720" w:lineRule="exact"/>
      <w:jc w:val="center"/>
      <w:outlineLvl w:val="9"/>
    </w:pPr>
    <w:rPr>
      <w:rFonts w:ascii="方正小标宋简体" w:hAnsi="方正小标宋简体" w:eastAsia="方正小标宋简体" w:cs="方正小标宋简体"/>
      <w:sz w:val="44"/>
      <w:szCs w:val="44"/>
    </w:rPr>
  </w:style>
  <w:style w:type="table" w:styleId="35">
    <w:name w:val="Table Grid"/>
    <w:basedOn w:val="3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customStyle="1" w:styleId="137">
    <w:name w:val="Header Char"/>
    <w:basedOn w:val="134"/>
    <w:link w:val="25"/>
    <w:qFormat/>
    <w:uiPriority w:val="99"/>
  </w:style>
  <w:style w:type="character" w:customStyle="1" w:styleId="138">
    <w:name w:val="Footer Char"/>
    <w:basedOn w:val="134"/>
    <w:link w:val="24"/>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4"/>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link w:val="33"/>
    <w:qFormat/>
    <w:uiPriority w:val="10"/>
    <w:rPr>
      <w:rFonts w:ascii="ＭＳ 明朝" w:hAnsi="ＭＳ 明朝" w:eastAsia="ＭＳ 明朝" w:cs="ＭＳ 明朝"/>
      <w:sz w:val="44"/>
      <w:szCs w:val="44"/>
      <w:lang w:val="zh-CN"/>
    </w:rPr>
  </w:style>
  <w:style w:type="character" w:customStyle="1" w:styleId="144">
    <w:name w:val="Subtitle Char"/>
    <w:basedOn w:val="1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link w:val="19"/>
    <w:qFormat/>
    <w:uiPriority w:val="99"/>
    <w:rPr>
      <w:rFonts w:ascii="Times New Roman" w:hAnsi="Times New Roman" w:eastAsia="ＭＳ 明朝" w:cs="ＭＳ 明朝"/>
      <w:spacing w:val="-6"/>
      <w:sz w:val="32"/>
      <w:szCs w:val="32"/>
    </w:rPr>
  </w:style>
  <w:style w:type="character" w:customStyle="1" w:styleId="147">
    <w:name w:val="Body Text 2 Char"/>
    <w:basedOn w:val="134"/>
    <w:link w:val="29"/>
    <w:qFormat/>
    <w:uiPriority w:val="99"/>
  </w:style>
  <w:style w:type="character" w:customStyle="1" w:styleId="148">
    <w:name w:val="Body Text 3 Char"/>
    <w:basedOn w:val="134"/>
    <w:link w:val="17"/>
    <w:qFormat/>
    <w:uiPriority w:val="99"/>
    <w:rPr>
      <w:sz w:val="16"/>
      <w:szCs w:val="16"/>
    </w:rPr>
  </w:style>
  <w:style w:type="character" w:customStyle="1" w:styleId="149">
    <w:name w:val="Macro Text Char"/>
    <w:basedOn w:val="134"/>
    <w:link w:val="2"/>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4"/>
    <w:link w:val="150"/>
    <w:qFormat/>
    <w:uiPriority w:val="29"/>
    <w:rPr>
      <w:i/>
      <w:iCs/>
      <w:color w:val="000000" w:themeColor="text1"/>
      <w14:textFill>
        <w14:solidFill>
          <w14:schemeClr w14:val="tx1"/>
        </w14:solidFill>
      </w14:textFill>
    </w:rPr>
  </w:style>
  <w:style w:type="character" w:customStyle="1" w:styleId="152">
    <w:name w:val="Heading 4 Char"/>
    <w:basedOn w:val="134"/>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4"/>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4"/>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4"/>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4"/>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4"/>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4"/>
    <w:link w:val="158"/>
    <w:qFormat/>
    <w:uiPriority w:val="30"/>
    <w:rPr>
      <w:b/>
      <w:bCs/>
      <w:i/>
      <w:iCs/>
      <w:color w:val="4F81BD" w:themeColor="accent1"/>
      <w14:textFill>
        <w14:solidFill>
          <w14:schemeClr w14:val="accent1"/>
        </w14:solidFill>
      </w14:textFill>
    </w:rPr>
  </w:style>
  <w:style w:type="character" w:customStyle="1" w:styleId="160">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4"/>
    <w:qFormat/>
    <w:uiPriority w:val="21"/>
    <w:rPr>
      <w:b/>
      <w:bCs/>
      <w:i/>
      <w:iCs/>
      <w:color w:val="4F81BD" w:themeColor="accent1"/>
      <w14:textFill>
        <w14:solidFill>
          <w14:schemeClr w14:val="accent1"/>
        </w14:solidFill>
      </w14:textFill>
    </w:rPr>
  </w:style>
  <w:style w:type="character" w:customStyle="1" w:styleId="162">
    <w:name w:val="Subtle Reference"/>
    <w:basedOn w:val="134"/>
    <w:qFormat/>
    <w:uiPriority w:val="31"/>
    <w:rPr>
      <w:smallCaps/>
      <w:color w:val="C0504D" w:themeColor="accent2"/>
      <w:u w:val="single"/>
      <w14:textFill>
        <w14:solidFill>
          <w14:schemeClr w14:val="accent2"/>
        </w14:solidFill>
      </w14:textFill>
    </w:rPr>
  </w:style>
  <w:style w:type="character" w:customStyle="1" w:styleId="163">
    <w:name w:val="Intense Reference"/>
    <w:basedOn w:val="134"/>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4"/>
    <w:qFormat/>
    <w:uiPriority w:val="33"/>
    <w:rPr>
      <w:b/>
      <w:bCs/>
      <w:smallCaps/>
      <w:spacing w:val="5"/>
    </w:rPr>
  </w:style>
  <w:style w:type="paragraph" w:customStyle="1" w:styleId="165">
    <w:name w:val="TOC Heading"/>
    <w:basedOn w:val="3"/>
    <w:next w:val="1"/>
    <w:semiHidden/>
    <w:unhideWhenUsed/>
    <w:qFormat/>
    <w:uiPriority w:val="39"/>
    <w:pPr>
      <w:outlineLvl w:val="9"/>
    </w:pPr>
  </w:style>
  <w:style w:type="table" w:customStyle="1" w:styleId="166">
    <w:name w:val="Table Normal1"/>
    <w:qFormat/>
    <w:uiPriority w:val="0"/>
    <w:tblPr>
      <w:tblCellMar>
        <w:top w:w="0" w:type="dxa"/>
        <w:left w:w="0" w:type="dxa"/>
        <w:bottom w:w="0" w:type="dxa"/>
        <w:right w:w="0" w:type="dxa"/>
      </w:tblCellMar>
    </w:tblPr>
  </w:style>
  <w:style w:type="paragraph" w:customStyle="1" w:styleId="167">
    <w:name w:val="样式9 Char"/>
    <w:basedOn w:val="1"/>
    <w:qFormat/>
    <w:uiPriority w:val="99"/>
    <w:pPr>
      <w:widowControl/>
      <w:spacing w:line="440" w:lineRule="exact"/>
      <w:ind w:firstLine="200" w:firstLineChars="200"/>
      <w:jc w:val="left"/>
    </w:pPr>
    <w:rPr>
      <w:spacing w:val="6"/>
      <w:sz w:val="24"/>
      <w:szCs w:val="20"/>
    </w:rPr>
  </w:style>
  <w:style w:type="character" w:customStyle="1" w:styleId="168">
    <w:name w:val="fontstyle01"/>
    <w:qFormat/>
    <w:uiPriority w:val="0"/>
    <w:rPr>
      <w:rFonts w:hint="eastAsia" w:ascii="宋体" w:hAnsi="宋体" w:eastAsia="宋体"/>
      <w:color w:val="000000"/>
      <w:sz w:val="24"/>
      <w:szCs w:val="24"/>
    </w:rPr>
  </w:style>
  <w:style w:type="paragraph" w:customStyle="1" w:styleId="169">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paragraph" w:customStyle="1" w:styleId="170">
    <w:name w:val="表格标题"/>
    <w:next w:val="1"/>
    <w:qFormat/>
    <w:uiPriority w:val="0"/>
    <w:pPr>
      <w:overflowPunct w:val="0"/>
      <w:topLinePunct/>
      <w:spacing w:line="560" w:lineRule="exact"/>
      <w:jc w:val="center"/>
      <w:outlineLvl w:val="9"/>
    </w:pPr>
    <w:rPr>
      <w:rFonts w:ascii="Times New Roman" w:hAnsi="Times New Roman" w:eastAsia="仿宋_GB2312" w:cs="仿宋_GB2312"/>
      <w:spacing w:val="-6"/>
      <w:kern w:val="0"/>
      <w:sz w:val="32"/>
      <w:szCs w:val="32"/>
    </w:rPr>
  </w:style>
  <w:style w:type="character" w:customStyle="1" w:styleId="171">
    <w:name w:val="标题 5 Char"/>
    <w:qFormat/>
    <w:uiPriority w:val="9"/>
    <w:rPr>
      <w:rFonts w:ascii="Times New Roman" w:hAnsi="Times New Roman" w:eastAsia="仿宋_GB2312" w:cs="仿宋_GB2312"/>
      <w:sz w:val="32"/>
      <w:szCs w:val="32"/>
    </w:rPr>
  </w:style>
  <w:style w:type="paragraph" w:customStyle="1" w:styleId="172">
    <w:name w:val="章标题"/>
    <w:next w:val="1"/>
    <w:qFormat/>
    <w:uiPriority w:val="0"/>
    <w:pPr>
      <w:widowControl w:val="0"/>
      <w:spacing w:line="560" w:lineRule="exact"/>
      <w:jc w:val="center"/>
      <w:outlineLvl w:val="0"/>
    </w:pPr>
    <w:rPr>
      <w:rFonts w:ascii="黑体" w:hAnsi="黑体" w:eastAsia="黑体" w:cs="黑体"/>
      <w:bCs/>
      <w:spacing w:val="-6"/>
      <w:kern w:val="44"/>
      <w:sz w:val="32"/>
      <w:szCs w:val="32"/>
      <w:lang w:bidi="ar-SA"/>
    </w:rPr>
  </w:style>
  <w:style w:type="character" w:customStyle="1" w:styleId="173">
    <w:name w:val="标题 4 Char"/>
    <w:link w:val="6"/>
    <w:qFormat/>
    <w:uiPriority w:val="9"/>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b448af58-be4a-4371-84b5-2322e396072b</errorID>
      <errorWord>实验田</errorWord>
      <group>L1_Word</group>
      <groupName>字词问题</groupName>
      <ability>L2_Alias</ability>
      <abilityName>也作/曾用词</abilityName>
      <candidateList>
        <item>试验田</item>
      </candidateList>
      <explain>词汇[实验田]为不规范表述或旧称，其规范书面表述为[试验田]。</explain>
      <paraID>1C4B46A4</paraID>
      <start>111</start>
      <end>114</end>
      <status>unmodified</status>
      <modifiedWord/>
      <trackRevisions>false</trackRevisions>
    </reviewItem>
    <reviewItem>
      <errorID>b1cc3003-a12e-47a6-9018-687d76f8e8bf</errorID>
      <errorWord>实验田</errorWord>
      <group>L1_Word</group>
      <groupName>字词问题</groupName>
      <ability>L2_Alias</ability>
      <abilityName>也作/曾用词</abilityName>
      <candidateList>
        <item>试验田</item>
      </candidateList>
      <explain>词汇[实验田]为不规范表述或旧称，其规范书面表述为[试验田]。</explain>
      <paraID>7CD862D8</paraID>
      <start>3</start>
      <end>6</end>
      <status>unmodified</status>
      <modifiedWord/>
      <trackRevisions>false</trackRevisions>
    </reviewItem>
    <reviewItem>
      <errorID>3fb83cc7-da72-48fa-8383-927b63a31e20</errorID>
      <errorWord>实验田</errorWord>
      <group>L1_Word</group>
      <groupName>字词问题</groupName>
      <ability>L2_Alias</ability>
      <abilityName>也作/曾用词</abilityName>
      <candidateList>
        <item>试验田</item>
      </candidateList>
      <explain>词汇[实验田]为不规范表述或旧称，其规范书面表述为[试验田]。</explain>
      <paraID>27974A07</paraID>
      <start>41</start>
      <end>44</end>
      <status>unmodified</status>
      <modifiedWord/>
      <trackRevisions>false</trackRevisions>
    </reviewItem>
    <reviewItem>
      <errorID>42d02331-38de-4f51-ace1-f2f773bbf6ba</errorID>
      <errorWord>应报含</errorWord>
      <group>L1_Word</group>
      <groupName>字词问题</groupName>
      <ability>L2_Typo</ability>
      <abilityName>字词错误</abilityName>
      <candidateList>
        <item>应包含</item>
      </candidateList>
      <explain/>
      <paraID>2EB3CE2D</paraID>
      <start>20</start>
      <end>23</end>
      <status>unmodified</status>
      <modifiedWord/>
      <trackRevisions>false</trackRevisions>
    </reviewItem>
    <reviewItem>
      <errorID>3bdf9d18-0de6-410a-a775-254a5f0f06e3</errorID>
      <errorWord>作出</errorWord>
      <group>L1_AI</group>
      <groupName>深度校对</groupName>
      <ability>L2_AI_Word</ability>
      <abilityName>字词纠错</abilityName>
      <candidateList>
        <item>收到</item>
      </candidateList>
      <explain/>
      <paraID>6156E53C</paraID>
      <start>52</start>
      <end>54</end>
      <status>unmodified</status>
      <modifiedWord/>
      <trackRevisions>false</trackRevisions>
    </reviewItem>
    <reviewItem>
      <errorID>4e3be4e6-2425-4ba5-9fe6-840e8569cfef</errorID>
      <errorWord>后</errorWord>
      <group>L1_AI</group>
      <groupName>深度校对</groupName>
      <ability>L2_AI_Grammar</ability>
      <abilityName>语法纠错</abilityName>
      <candidateList>
        <item>决定后</item>
      </candidateList>
      <explain/>
      <paraID>6156E53C</paraID>
      <start>58</start>
      <end>59</end>
      <status>unmodified</status>
      <modifiedWord/>
      <trackRevisions>false</trackRevisions>
    </reviewItem>
    <reviewItem>
      <errorID>d312252e-4f21-46c6-a194-029f73962a83</errorID>
      <errorWord>实验田</errorWord>
      <group>L1_Word</group>
      <groupName>字词问题</groupName>
      <ability>L2_Alias</ability>
      <abilityName>也作/曾用词</abilityName>
      <candidateList>
        <item>试验田</item>
      </candidateList>
      <explain>词汇[实验田]为不规范表述或旧称，其规范书面表述为[试验田]。</explain>
      <paraID>  151F04</paraID>
      <start>17</start>
      <end>20</end>
      <status>unmodified</status>
      <modifiedWord/>
      <trackRevisions>false</trackRevisions>
    </reviewItem>
    <reviewItem>
      <errorID>0f5d4900-dc8b-4529-ba2b-4998523ff7bf</errorID>
      <errorWord>实验田</errorWord>
      <group>L1_Word</group>
      <groupName>字词问题</groupName>
      <ability>L2_Alias</ability>
      <abilityName>也作/曾用词</abilityName>
      <candidateList>
        <item>试验田</item>
      </candidateList>
      <explain>词汇[实验田]为不规范表述或旧称，其规范书面表述为[试验田]。</explain>
      <paraID>5F9F2270</paraID>
      <start>19</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customXml/itemProps3.xml><?xml version="1.0" encoding="utf-8"?>
<ds:datastoreItem xmlns:ds="http://schemas.openxmlformats.org/officeDocument/2006/customXml" ds:itemID="{0b89415c-e006-4d98-ab95-c5c58efab092}">
  <ds:schemaRefs/>
</ds:datastoreItem>
</file>

<file path=docProps/app.xml><?xml version="1.0" encoding="utf-8"?>
<Properties xmlns="http://schemas.openxmlformats.org/officeDocument/2006/extended-properties" xmlns:vt="http://schemas.openxmlformats.org/officeDocument/2006/docPropsVTypes">
  <Template>Normal.dotm</Template>
  <Pages>37</Pages>
  <Words>8042</Words>
  <Characters>8241</Characters>
  <Lines>0</Lines>
  <Paragraphs>0</Paragraphs>
  <TotalTime>19</TotalTime>
  <ScaleCrop>false</ScaleCrop>
  <LinksUpToDate>false</LinksUpToDate>
  <CharactersWithSpaces>8327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深圳深莓农业科技有限公司综合管理部</dc:creator>
  <dc:description>generated by python-docx</dc:description>
  <cp:lastModifiedBy>米卡</cp:lastModifiedBy>
  <dcterms:modified xsi:type="dcterms:W3CDTF">2026-08-18T09:07:08Z</dcterms:modified>
  <dc:subject>知识产权代理服务采购</dc:subject>
  <dc:title>深圳深莓农业科技有限公司知识产权代理服务采购项目公开询价文件（修订净稿）</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eyJoZGlkIjoiYjJjYmU4ODdmNWM4ZTA3NmU2YzIyYmQ3OGQ3N2Y3NmMiLCJ1c2VySWQiOiIxMjE1NjUxMzg3In0=</vt:lpwstr>
  </property>
  <property fmtid="{D5CDD505-2E9C-101B-9397-08002B2CF9AE}" pid="3" name="KSOProductBuildVer">
    <vt:lpwstr>2052-12.1.0.28043</vt:lpwstr>
  </property>
  <property fmtid="{D5CDD505-2E9C-101B-9397-08002B2CF9AE}" pid="4" name="ICV">
    <vt:lpwstr>DEF077AF132E41FD97712C710D81C958_13</vt:lpwstr>
  </property>
</Properties>
</file>