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F9A8">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50E710DB">
      <w:pPr>
        <w:pStyle w:val="2"/>
        <w:ind w:firstLine="420"/>
      </w:pPr>
    </w:p>
    <w:p w14:paraId="22F674A4">
      <w:pPr>
        <w:widowControl w:val="0"/>
        <w:autoSpaceDE w:val="0"/>
        <w:autoSpaceDN w:val="0"/>
        <w:adjustRightInd w:val="0"/>
        <w:snapToGrid w:val="0"/>
        <w:ind w:firstLine="0" w:firstLineChars="0"/>
        <w:rPr>
          <w:rFonts w:ascii="宋体" w:hAnsi="宋体"/>
          <w:sz w:val="48"/>
          <w:szCs w:val="48"/>
        </w:rPr>
      </w:pPr>
    </w:p>
    <w:p w14:paraId="2951B16F">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深圳</w:t>
      </w:r>
      <w:r>
        <w:rPr>
          <w:rFonts w:ascii="宋体" w:hAnsi="宋体"/>
          <w:b/>
          <w:sz w:val="84"/>
          <w:szCs w:val="84"/>
        </w:rPr>
        <w:t>阳光采购平台</w:t>
      </w:r>
    </w:p>
    <w:p w14:paraId="1F965165">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竞价</w:t>
      </w:r>
      <w:r>
        <w:rPr>
          <w:rFonts w:ascii="宋体" w:hAnsi="宋体"/>
          <w:b/>
          <w:sz w:val="84"/>
          <w:szCs w:val="84"/>
        </w:rPr>
        <w:t>采购</w:t>
      </w:r>
      <w:r>
        <w:rPr>
          <w:rFonts w:hint="eastAsia" w:ascii="宋体" w:hAnsi="宋体"/>
          <w:b/>
          <w:sz w:val="84"/>
          <w:szCs w:val="84"/>
        </w:rPr>
        <w:t>文件</w:t>
      </w:r>
    </w:p>
    <w:p w14:paraId="35EB2A1D">
      <w:pPr>
        <w:pStyle w:val="2"/>
        <w:ind w:firstLine="420"/>
      </w:pPr>
    </w:p>
    <w:p w14:paraId="41671897">
      <w:pPr>
        <w:pStyle w:val="2"/>
        <w:ind w:firstLine="420"/>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F290C53">
        <w:tblPrEx>
          <w:tblCellMar>
            <w:top w:w="0" w:type="dxa"/>
            <w:left w:w="108" w:type="dxa"/>
            <w:bottom w:w="0" w:type="dxa"/>
            <w:right w:w="108" w:type="dxa"/>
          </w:tblCellMar>
        </w:tblPrEx>
        <w:tc>
          <w:tcPr>
            <w:tcW w:w="2173" w:type="dxa"/>
            <w:shd w:val="clear" w:color="auto" w:fill="auto"/>
          </w:tcPr>
          <w:p w14:paraId="615CF6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88C5DA9">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eastAsia="zh-CN"/>
              </w:rPr>
              <w:t>东部公交13台纯电动公交车辆报废处置服务采购（第三批）</w:t>
            </w:r>
          </w:p>
        </w:tc>
      </w:tr>
      <w:tr w14:paraId="5774FD11">
        <w:tblPrEx>
          <w:tblCellMar>
            <w:top w:w="0" w:type="dxa"/>
            <w:left w:w="108" w:type="dxa"/>
            <w:bottom w:w="0" w:type="dxa"/>
            <w:right w:w="108" w:type="dxa"/>
          </w:tblCellMar>
        </w:tblPrEx>
        <w:tc>
          <w:tcPr>
            <w:tcW w:w="2173" w:type="dxa"/>
            <w:shd w:val="clear" w:color="auto" w:fill="auto"/>
          </w:tcPr>
          <w:p w14:paraId="6BEF306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5B3C441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default" w:ascii="宋体" w:hAnsi="宋体" w:eastAsia="宋体"/>
                <w:b/>
                <w:sz w:val="32"/>
                <w:szCs w:val="32"/>
                <w:u w:val="single"/>
                <w:lang w:val="en-US" w:eastAsia="zh-CN"/>
              </w:rPr>
              <w:t>YG26QJ0043088</w:t>
            </w:r>
          </w:p>
        </w:tc>
      </w:tr>
      <w:tr w14:paraId="106366BD">
        <w:tblPrEx>
          <w:tblCellMar>
            <w:top w:w="0" w:type="dxa"/>
            <w:left w:w="108" w:type="dxa"/>
            <w:bottom w:w="0" w:type="dxa"/>
            <w:right w:w="108" w:type="dxa"/>
          </w:tblCellMar>
        </w:tblPrEx>
        <w:trPr>
          <w:trHeight w:val="637" w:hRule="atLeast"/>
        </w:trPr>
        <w:tc>
          <w:tcPr>
            <w:tcW w:w="2173" w:type="dxa"/>
            <w:shd w:val="clear" w:color="auto" w:fill="auto"/>
          </w:tcPr>
          <w:p w14:paraId="104E4C2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56F2F39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u w:val="single"/>
              </w:rPr>
              <w:t>深圳市东部公共交通有限公司</w:t>
            </w:r>
          </w:p>
        </w:tc>
      </w:tr>
      <w:tr w14:paraId="5B93867F">
        <w:tblPrEx>
          <w:tblCellMar>
            <w:top w:w="0" w:type="dxa"/>
            <w:left w:w="108" w:type="dxa"/>
            <w:bottom w:w="0" w:type="dxa"/>
            <w:right w:w="108" w:type="dxa"/>
          </w:tblCellMar>
        </w:tblPrEx>
        <w:trPr>
          <w:trHeight w:val="637" w:hRule="atLeast"/>
        </w:trPr>
        <w:tc>
          <w:tcPr>
            <w:tcW w:w="2173" w:type="dxa"/>
            <w:shd w:val="clear" w:color="auto" w:fill="auto"/>
          </w:tcPr>
          <w:p w14:paraId="389F65C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采购代理：</w:t>
            </w:r>
          </w:p>
        </w:tc>
        <w:tc>
          <w:tcPr>
            <w:tcW w:w="6683" w:type="dxa"/>
            <w:shd w:val="clear" w:color="auto" w:fill="auto"/>
          </w:tcPr>
          <w:p w14:paraId="308BA67C">
            <w:pPr>
              <w:widowControl w:val="0"/>
              <w:autoSpaceDE w:val="0"/>
              <w:autoSpaceDN w:val="0"/>
              <w:adjustRightInd w:val="0"/>
              <w:snapToGrid w:val="0"/>
              <w:ind w:firstLine="0" w:firstLineChars="0"/>
              <w:rPr>
                <w:rFonts w:hint="eastAsia" w:ascii="宋体" w:hAnsi="宋体" w:eastAsia="宋体"/>
                <w:b/>
                <w:sz w:val="32"/>
                <w:szCs w:val="32"/>
                <w:lang w:eastAsia="zh-CN"/>
              </w:rPr>
            </w:pPr>
            <w:r>
              <w:rPr>
                <w:rFonts w:hint="eastAsia" w:ascii="宋体" w:hAnsi="宋体"/>
                <w:b/>
                <w:sz w:val="32"/>
                <w:szCs w:val="32"/>
                <w:u w:val="single"/>
                <w:lang w:eastAsia="zh-CN"/>
              </w:rPr>
              <w:t>深圳国际招标咨询有限公司</w:t>
            </w:r>
          </w:p>
        </w:tc>
      </w:tr>
    </w:tbl>
    <w:p w14:paraId="2161F898">
      <w:pPr>
        <w:widowControl w:val="0"/>
        <w:tabs>
          <w:tab w:val="left" w:pos="2512"/>
        </w:tabs>
        <w:autoSpaceDE w:val="0"/>
        <w:autoSpaceDN w:val="0"/>
        <w:adjustRightInd w:val="0"/>
        <w:snapToGrid w:val="0"/>
        <w:ind w:firstLine="0" w:firstLineChars="0"/>
        <w:rPr>
          <w:rFonts w:ascii="宋体" w:hAnsi="宋体"/>
          <w:b/>
          <w:sz w:val="32"/>
          <w:szCs w:val="32"/>
        </w:rPr>
      </w:pPr>
      <w:r>
        <w:rPr>
          <w:rFonts w:hint="eastAsia" w:ascii="宋体" w:hAnsi="宋体"/>
          <w:b/>
          <w:sz w:val="32"/>
          <w:szCs w:val="32"/>
        </w:rPr>
        <w:t xml:space="preserve"> </w:t>
      </w:r>
    </w:p>
    <w:p w14:paraId="203EF54C">
      <w:pPr>
        <w:widowControl w:val="0"/>
        <w:tabs>
          <w:tab w:val="left" w:pos="2512"/>
        </w:tabs>
        <w:autoSpaceDE w:val="0"/>
        <w:autoSpaceDN w:val="0"/>
        <w:adjustRightInd w:val="0"/>
        <w:snapToGrid w:val="0"/>
        <w:ind w:firstLine="0" w:firstLineChars="0"/>
        <w:jc w:val="center"/>
        <w:rPr>
          <w:rFonts w:hint="eastAsia" w:ascii="宋体" w:hAnsi="宋体"/>
          <w:b/>
          <w:sz w:val="32"/>
          <w:szCs w:val="32"/>
        </w:rPr>
      </w:pPr>
    </w:p>
    <w:p w14:paraId="654CAA1B">
      <w:pPr>
        <w:widowControl w:val="0"/>
        <w:tabs>
          <w:tab w:val="left" w:pos="2512"/>
        </w:tabs>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七</w:t>
      </w:r>
      <w:r>
        <w:rPr>
          <w:rFonts w:hint="eastAsia" w:ascii="宋体" w:hAnsi="宋体"/>
          <w:b/>
          <w:sz w:val="32"/>
          <w:szCs w:val="32"/>
        </w:rPr>
        <w:t>月</w:t>
      </w:r>
    </w:p>
    <w:p w14:paraId="6937FA94">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4665"/>
      <w:r>
        <w:rPr>
          <w:rFonts w:hint="eastAsia" w:ascii="宋体" w:hAnsi="宋体"/>
          <w:b/>
          <w:sz w:val="44"/>
          <w:szCs w:val="44"/>
        </w:rPr>
        <w:t>目录</w:t>
      </w:r>
      <w:bookmarkEnd w:id="2"/>
    </w:p>
    <w:p w14:paraId="7A8FD190">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_Toc24665 </w:instrText>
      </w:r>
      <w:r>
        <w:rPr>
          <w:highlight w:val="none"/>
        </w:rPr>
        <w:fldChar w:fldCharType="separate"/>
      </w:r>
      <w:r>
        <w:rPr>
          <w:rFonts w:hint="eastAsia" w:ascii="宋体" w:hAnsi="宋体"/>
          <w:szCs w:val="44"/>
        </w:rPr>
        <w:t>目录</w:t>
      </w:r>
      <w:r>
        <w:tab/>
      </w:r>
      <w:r>
        <w:fldChar w:fldCharType="begin"/>
      </w:r>
      <w:r>
        <w:instrText xml:space="preserve"> PAGEREF _Toc24665 \h </w:instrText>
      </w:r>
      <w:r>
        <w:fldChar w:fldCharType="separate"/>
      </w:r>
      <w:r>
        <w:t>2</w:t>
      </w:r>
      <w:r>
        <w:fldChar w:fldCharType="end"/>
      </w:r>
      <w:r>
        <w:rPr>
          <w:highlight w:val="none"/>
        </w:rPr>
        <w:fldChar w:fldCharType="end"/>
      </w:r>
    </w:p>
    <w:p w14:paraId="6D9E71B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_Toc25481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_Toc25481 \h </w:instrText>
      </w:r>
      <w:r>
        <w:fldChar w:fldCharType="separate"/>
      </w:r>
      <w:r>
        <w:t>3</w:t>
      </w:r>
      <w:r>
        <w:fldChar w:fldCharType="end"/>
      </w:r>
      <w:r>
        <w:rPr>
          <w:rFonts w:hAnsi="宋体"/>
          <w:kern w:val="0"/>
          <w:highlight w:val="none"/>
          <w:lang w:eastAsia="en-US"/>
        </w:rPr>
        <w:fldChar w:fldCharType="end"/>
      </w:r>
    </w:p>
    <w:p w14:paraId="09ADC68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_Toc23924 </w:instrText>
      </w:r>
      <w:r>
        <w:rPr>
          <w:rFonts w:hAnsi="宋体"/>
          <w:kern w:val="0"/>
          <w:highlight w:val="none"/>
          <w:lang w:eastAsia="en-US"/>
        </w:rPr>
        <w:fldChar w:fldCharType="separate"/>
      </w:r>
      <w:r>
        <w:rPr>
          <w:rFonts w:hint="eastAsia" w:ascii="宋体" w:hAnsi="宋体"/>
          <w:bCs/>
          <w:szCs w:val="52"/>
        </w:rPr>
        <w:t>第一章 竞价人须知</w:t>
      </w:r>
      <w:r>
        <w:tab/>
      </w:r>
      <w:r>
        <w:fldChar w:fldCharType="begin"/>
      </w:r>
      <w:r>
        <w:instrText xml:space="preserve"> PAGEREF _Toc23924 \h </w:instrText>
      </w:r>
      <w:r>
        <w:fldChar w:fldCharType="separate"/>
      </w:r>
      <w:r>
        <w:t>6</w:t>
      </w:r>
      <w:r>
        <w:fldChar w:fldCharType="end"/>
      </w:r>
      <w:r>
        <w:rPr>
          <w:rFonts w:hAnsi="宋体"/>
          <w:kern w:val="0"/>
          <w:highlight w:val="none"/>
          <w:lang w:eastAsia="en-US"/>
        </w:rPr>
        <w:fldChar w:fldCharType="end"/>
      </w:r>
    </w:p>
    <w:p w14:paraId="2FCB291A">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_Toc29812 </w:instrText>
      </w:r>
      <w:r>
        <w:rPr>
          <w:rFonts w:hAnsi="宋体"/>
          <w:kern w:val="0"/>
          <w:highlight w:val="none"/>
          <w:lang w:eastAsia="en-US"/>
        </w:rPr>
        <w:fldChar w:fldCharType="separate"/>
      </w:r>
      <w:r>
        <w:rPr>
          <w:rFonts w:hint="eastAsia" w:ascii="宋体" w:hAnsi="宋体"/>
          <w:bCs/>
          <w:szCs w:val="52"/>
        </w:rPr>
        <w:t>第二章 合同条款及格式</w:t>
      </w:r>
      <w:r>
        <w:tab/>
      </w:r>
      <w:r>
        <w:fldChar w:fldCharType="begin"/>
      </w:r>
      <w:r>
        <w:instrText xml:space="preserve"> PAGEREF _Toc29812 \h </w:instrText>
      </w:r>
      <w:r>
        <w:fldChar w:fldCharType="separate"/>
      </w:r>
      <w:r>
        <w:t>19</w:t>
      </w:r>
      <w:r>
        <w:fldChar w:fldCharType="end"/>
      </w:r>
      <w:r>
        <w:rPr>
          <w:rFonts w:hAnsi="宋体"/>
          <w:kern w:val="0"/>
          <w:highlight w:val="none"/>
          <w:lang w:eastAsia="en-US"/>
        </w:rPr>
        <w:fldChar w:fldCharType="end"/>
      </w:r>
    </w:p>
    <w:p w14:paraId="2D95E920">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_Toc13214 </w:instrText>
      </w:r>
      <w:r>
        <w:rPr>
          <w:rFonts w:hAnsi="宋体"/>
          <w:kern w:val="0"/>
          <w:highlight w:val="none"/>
          <w:lang w:eastAsia="en-US"/>
        </w:rPr>
        <w:fldChar w:fldCharType="separate"/>
      </w:r>
      <w:r>
        <w:rPr>
          <w:rFonts w:hint="eastAsia" w:ascii="宋体" w:hAnsi="宋体"/>
          <w:bCs/>
          <w:szCs w:val="52"/>
        </w:rPr>
        <w:t>第三章 项目需求</w:t>
      </w:r>
      <w:r>
        <w:tab/>
      </w:r>
      <w:r>
        <w:fldChar w:fldCharType="begin"/>
      </w:r>
      <w:r>
        <w:instrText xml:space="preserve"> PAGEREF _Toc13214 \h </w:instrText>
      </w:r>
      <w:r>
        <w:fldChar w:fldCharType="separate"/>
      </w:r>
      <w:r>
        <w:t>27</w:t>
      </w:r>
      <w:r>
        <w:fldChar w:fldCharType="end"/>
      </w:r>
      <w:r>
        <w:rPr>
          <w:rFonts w:hAnsi="宋体"/>
          <w:kern w:val="0"/>
          <w:highlight w:val="none"/>
          <w:lang w:eastAsia="en-US"/>
        </w:rPr>
        <w:fldChar w:fldCharType="end"/>
      </w:r>
    </w:p>
    <w:p w14:paraId="3D9AFAC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_Toc29266 </w:instrText>
      </w:r>
      <w:r>
        <w:rPr>
          <w:rFonts w:hAnsi="宋体"/>
          <w:kern w:val="0"/>
          <w:highlight w:val="none"/>
          <w:lang w:eastAsia="en-US"/>
        </w:rPr>
        <w:fldChar w:fldCharType="separate"/>
      </w:r>
      <w:r>
        <w:rPr>
          <w:rFonts w:hint="eastAsia" w:ascii="宋体" w:hAnsi="宋体"/>
          <w:bCs/>
          <w:szCs w:val="52"/>
        </w:rPr>
        <w:t>第四章 报名文件格式</w:t>
      </w:r>
      <w:r>
        <w:tab/>
      </w:r>
      <w:r>
        <w:fldChar w:fldCharType="begin"/>
      </w:r>
      <w:r>
        <w:instrText xml:space="preserve"> PAGEREF _Toc29266 \h </w:instrText>
      </w:r>
      <w:r>
        <w:fldChar w:fldCharType="separate"/>
      </w:r>
      <w:r>
        <w:t>30</w:t>
      </w:r>
      <w:r>
        <w:fldChar w:fldCharType="end"/>
      </w:r>
      <w:r>
        <w:rPr>
          <w:rFonts w:hAnsi="宋体"/>
          <w:kern w:val="0"/>
          <w:highlight w:val="none"/>
          <w:lang w:eastAsia="en-US"/>
        </w:rPr>
        <w:fldChar w:fldCharType="end"/>
      </w:r>
    </w:p>
    <w:p w14:paraId="15575746">
      <w:pPr>
        <w:widowControl w:val="0"/>
        <w:autoSpaceDE w:val="0"/>
        <w:autoSpaceDN w:val="0"/>
        <w:adjustRightInd w:val="0"/>
        <w:snapToGrid w:val="0"/>
        <w:ind w:firstLine="0" w:firstLineChars="0"/>
        <w:jc w:val="center"/>
        <w:outlineLvl w:val="0"/>
        <w:rPr>
          <w:rFonts w:ascii="宋体" w:hAnsi="宋体" w:cs="宋体"/>
          <w:b/>
          <w:bCs/>
          <w:sz w:val="36"/>
          <w:szCs w:val="36"/>
          <w:highlight w:val="none"/>
        </w:rPr>
      </w:pPr>
      <w:r>
        <w:rPr>
          <w:rFonts w:hAnsi="宋体"/>
          <w:kern w:val="0"/>
          <w:highlight w:val="none"/>
          <w:lang w:eastAsia="en-US"/>
        </w:rPr>
        <w:fldChar w:fldCharType="end"/>
      </w:r>
      <w:bookmarkStart w:id="3" w:name="_Toc25481"/>
      <w:r>
        <w:rPr>
          <w:rStyle w:val="56"/>
          <w:rFonts w:hAnsi="宋体"/>
          <w:b/>
          <w:sz w:val="36"/>
          <w:szCs w:val="36"/>
        </w:rPr>
        <w:br w:type="page"/>
      </w:r>
      <w:bookmarkEnd w:id="0"/>
      <w:bookmarkEnd w:id="1"/>
      <w:bookmarkStart w:id="4" w:name="_Toc49191644"/>
      <w:bookmarkStart w:id="5" w:name="_Toc48685272"/>
      <w:bookmarkStart w:id="6" w:name="_Toc48719849"/>
      <w:bookmarkStart w:id="7" w:name="_Toc43330101"/>
      <w:bookmarkStart w:id="8" w:name="_Toc40769325"/>
      <w:bookmarkStart w:id="9" w:name="_Toc152045511"/>
      <w:bookmarkStart w:id="10" w:name="_Toc144974479"/>
      <w:bookmarkStart w:id="11" w:name="_Toc152042287"/>
      <w:r>
        <w:rPr>
          <w:rFonts w:hint="eastAsia" w:ascii="宋体" w:hAnsi="宋体" w:cs="宋体"/>
          <w:b/>
          <w:bCs/>
          <w:sz w:val="36"/>
          <w:szCs w:val="36"/>
          <w:highlight w:val="none"/>
        </w:rPr>
        <w:t>“深圳阳光采购平台”相关说明</w:t>
      </w:r>
      <w:bookmarkEnd w:id="3"/>
      <w:bookmarkEnd w:id="4"/>
    </w:p>
    <w:p w14:paraId="4C330B9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前言</w:t>
      </w:r>
    </w:p>
    <w:p w14:paraId="39229C1F">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szCs w:val="21"/>
          <w:highlight w:val="none"/>
        </w:rPr>
        <w:t>竞价人在深圳阳光采购平台参与响应和</w:t>
      </w:r>
      <w:r>
        <w:rPr>
          <w:rFonts w:ascii="宋体" w:hAnsi="宋体" w:cs="宋体"/>
          <w:szCs w:val="21"/>
          <w:highlight w:val="none"/>
        </w:rPr>
        <w:t>报价</w:t>
      </w:r>
      <w:r>
        <w:rPr>
          <w:rFonts w:hint="eastAsia" w:ascii="宋体" w:hAnsi="宋体" w:cs="宋体"/>
          <w:szCs w:val="21"/>
          <w:highlight w:val="none"/>
        </w:rPr>
        <w:t>，支付电子交易服务费获取本文件后，应仔细阅读本说明的全部内容，本说明与采购文件、采购文件附件具有同等效力。</w:t>
      </w:r>
    </w:p>
    <w:p w14:paraId="0E967AC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竞价人与采购人之间的信息交流须以数据电文形式（或书面形式），通过深圳阳光</w:t>
      </w:r>
      <w:r>
        <w:rPr>
          <w:rFonts w:ascii="宋体" w:hAnsi="宋体" w:cs="宋体"/>
          <w:szCs w:val="21"/>
          <w:highlight w:val="none"/>
        </w:rPr>
        <w:t>采购平台</w:t>
      </w:r>
      <w:r>
        <w:rPr>
          <w:rFonts w:hint="eastAsia" w:ascii="宋体" w:hAnsi="宋体" w:cs="宋体"/>
          <w:szCs w:val="21"/>
          <w:highlight w:val="none"/>
        </w:rPr>
        <w:t>（网址</w:t>
      </w:r>
      <w:r>
        <w:rPr>
          <w:rFonts w:ascii="宋体" w:hAnsi="宋体" w:cs="宋体"/>
          <w:szCs w:val="21"/>
          <w:highlight w:val="none"/>
        </w:rPr>
        <w:t>：</w:t>
      </w:r>
      <w:r>
        <w:rPr>
          <w:rFonts w:hint="eastAsia" w:ascii="宋体" w:hAnsi="宋体" w:cs="宋体"/>
          <w:szCs w:val="21"/>
          <w:highlight w:val="none"/>
        </w:rPr>
        <w:t>https://ygcg.szexgrp.com/，</w:t>
      </w:r>
      <w:r>
        <w:rPr>
          <w:rFonts w:ascii="宋体" w:hAnsi="宋体" w:cs="宋体"/>
          <w:szCs w:val="21"/>
          <w:highlight w:val="none"/>
        </w:rPr>
        <w:t>以下</w:t>
      </w:r>
      <w:r>
        <w:rPr>
          <w:rFonts w:hint="eastAsia" w:ascii="宋体" w:hAnsi="宋体" w:cs="宋体"/>
          <w:szCs w:val="21"/>
          <w:highlight w:val="none"/>
        </w:rPr>
        <w:t>简称</w:t>
      </w:r>
      <w:r>
        <w:rPr>
          <w:rFonts w:ascii="宋体" w:hAnsi="宋体" w:cs="宋体"/>
          <w:szCs w:val="21"/>
          <w:highlight w:val="none"/>
        </w:rPr>
        <w:t>“</w:t>
      </w:r>
      <w:r>
        <w:rPr>
          <w:rFonts w:hint="eastAsia" w:ascii="宋体" w:hAnsi="宋体" w:cs="宋体"/>
          <w:szCs w:val="21"/>
          <w:highlight w:val="none"/>
        </w:rPr>
        <w:t>本平台</w:t>
      </w:r>
      <w:r>
        <w:rPr>
          <w:rFonts w:ascii="宋体" w:hAnsi="宋体" w:cs="宋体"/>
          <w:szCs w:val="21"/>
          <w:highlight w:val="none"/>
        </w:rPr>
        <w:t>”</w:t>
      </w:r>
      <w:r>
        <w:rPr>
          <w:rFonts w:hint="eastAsia" w:ascii="宋体" w:hAnsi="宋体" w:cs="宋体"/>
          <w:szCs w:val="21"/>
          <w:highlight w:val="none"/>
        </w:rPr>
        <w:t>）进行，采购人以其他形式作出的解释、答复而产生的推论、结果的责任由竞价人自行承担。</w:t>
      </w:r>
    </w:p>
    <w:p w14:paraId="7254EFEA">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507FEFE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 xml:space="preserve"> “深圳阳光采购平台”的功能</w:t>
      </w:r>
    </w:p>
    <w:p w14:paraId="638E3D08">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电子招投标平台</w:t>
      </w:r>
    </w:p>
    <w:p w14:paraId="15678BD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w:t>
      </w:r>
      <w:r>
        <w:rPr>
          <w:rFonts w:ascii="宋体" w:hAnsi="宋体" w:cs="宋体"/>
          <w:szCs w:val="21"/>
          <w:highlight w:val="none"/>
        </w:rPr>
        <w:t>与竞价人</w:t>
      </w:r>
      <w:r>
        <w:rPr>
          <w:rFonts w:hint="eastAsia" w:ascii="宋体" w:hAnsi="宋体" w:cs="宋体"/>
          <w:szCs w:val="21"/>
          <w:highlight w:val="none"/>
        </w:rPr>
        <w:t>以“深圳阳光采购平台数字证书”（以下</w:t>
      </w:r>
      <w:r>
        <w:rPr>
          <w:rFonts w:ascii="宋体" w:hAnsi="宋体" w:cs="宋体"/>
          <w:szCs w:val="21"/>
          <w:highlight w:val="none"/>
        </w:rPr>
        <w:t>简称“</w:t>
      </w:r>
      <w:r>
        <w:rPr>
          <w:rFonts w:hint="eastAsia" w:ascii="宋体" w:hAnsi="宋体" w:cs="宋体"/>
          <w:szCs w:val="21"/>
          <w:highlight w:val="none"/>
        </w:rPr>
        <w:t>数字证书</w:t>
      </w:r>
      <w:r>
        <w:rPr>
          <w:rFonts w:ascii="宋体" w:hAnsi="宋体" w:cs="宋体"/>
          <w:szCs w:val="21"/>
          <w:highlight w:val="none"/>
        </w:rPr>
        <w:t>”</w:t>
      </w:r>
      <w:r>
        <w:rPr>
          <w:rFonts w:hint="eastAsia" w:ascii="宋体" w:hAnsi="宋体" w:cs="宋体"/>
          <w:szCs w:val="21"/>
          <w:highlight w:val="none"/>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highlight w:val="none"/>
        </w:rPr>
        <w:t>文件</w:t>
      </w:r>
      <w:r>
        <w:rPr>
          <w:rFonts w:hint="eastAsia" w:ascii="宋体" w:hAnsi="宋体" w:cs="宋体"/>
          <w:szCs w:val="21"/>
          <w:highlight w:val="none"/>
        </w:rPr>
        <w:t>即时信息、查看结果公示等内容。</w:t>
      </w:r>
    </w:p>
    <w:p w14:paraId="304BE0C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采购文件的澄清与修改</w:t>
      </w:r>
    </w:p>
    <w:p w14:paraId="48D8BCD0">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p>
    <w:p w14:paraId="69936A3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竞价人应仔细阅读和检查采购文件的全部内容，如发现缺页或附件不全，应及时向采购人提出，以便补齐。如有疑问，竞价人应在采购文件规定的时间内，向采购人提出。</w:t>
      </w:r>
    </w:p>
    <w:p w14:paraId="6394F10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r>
        <w:rPr>
          <w:rFonts w:ascii="宋体" w:hAnsi="宋体" w:cs="宋体"/>
          <w:szCs w:val="21"/>
          <w:highlight w:val="none"/>
        </w:rPr>
        <w:t>在本平台通过</w:t>
      </w:r>
      <w:r>
        <w:rPr>
          <w:rFonts w:hint="eastAsia" w:ascii="宋体" w:hAnsi="宋体" w:cs="宋体"/>
          <w:szCs w:val="21"/>
          <w:highlight w:val="none"/>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highlight w:val="none"/>
        </w:rPr>
        <w:t>文件截止时间</w:t>
      </w:r>
      <w:r>
        <w:rPr>
          <w:rFonts w:hint="eastAsia" w:ascii="宋体" w:hAnsi="宋体" w:cs="宋体"/>
          <w:szCs w:val="21"/>
          <w:highlight w:val="none"/>
        </w:rPr>
        <w:t>。</w:t>
      </w:r>
    </w:p>
    <w:p w14:paraId="1EBC0B8E">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竞价人可在【我的项目】页面找到参与的项目【采购文件】--下载/查看采购文件，页面回复内容，以及查看、下载回复内容附件。</w:t>
      </w:r>
    </w:p>
    <w:p w14:paraId="631EB0A5">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采购文件的修改</w:t>
      </w:r>
    </w:p>
    <w:p w14:paraId="779BBA4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在竞价开启时间前，采购人可通过平台公告变更的方式发布澄清文件修改采购文件，并通知所有已获取采购文件的竞价人，通知方式不限于数据</w:t>
      </w:r>
      <w:r>
        <w:rPr>
          <w:rFonts w:ascii="宋体" w:hAnsi="宋体" w:cs="宋体"/>
          <w:szCs w:val="21"/>
          <w:highlight w:val="none"/>
        </w:rPr>
        <w:t>电文或</w:t>
      </w:r>
      <w:r>
        <w:rPr>
          <w:rFonts w:hint="eastAsia" w:ascii="宋体" w:hAnsi="宋体" w:cs="宋体"/>
          <w:szCs w:val="21"/>
          <w:highlight w:val="none"/>
        </w:rPr>
        <w:t>短信通知等形式。竞价人可以在【我的项目】找到对应的项目，下载最新采购文件。</w:t>
      </w:r>
    </w:p>
    <w:p w14:paraId="69FC095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电子采购文件的</w:t>
      </w:r>
      <w:r>
        <w:rPr>
          <w:rFonts w:ascii="宋体" w:hAnsi="宋体" w:cs="宋体"/>
          <w:b/>
          <w:szCs w:val="21"/>
          <w:highlight w:val="none"/>
        </w:rPr>
        <w:t>编制</w:t>
      </w:r>
    </w:p>
    <w:p w14:paraId="4C15C79B">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“深圳阳光采购招标文件编制工具”是采购人进行采购文件编制的主要工具。采用数字证书进行电子签名，保证采购文件的法律效力和不可篡改性。</w:t>
      </w:r>
    </w:p>
    <w:p w14:paraId="58797769">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费用的缴纳与票据的开具</w:t>
      </w:r>
    </w:p>
    <w:p w14:paraId="47892AE3">
      <w:pPr>
        <w:widowControl w:val="0"/>
        <w:tabs>
          <w:tab w:val="left" w:pos="567"/>
          <w:tab w:val="left" w:pos="993"/>
        </w:tabs>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3CA59BB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电子交易服务费</w:t>
      </w:r>
    </w:p>
    <w:p w14:paraId="05ADFE47">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陆投标平台后，左侧菜单中【采购公告】中找到要参与的项目。支付成功、项目开标结束后财务人员会在1-3个工作日内开具发票，开具之后竞价人可在【订单与发票管理】中下载电子发票。</w:t>
      </w:r>
    </w:p>
    <w:p w14:paraId="2D9FCFF1">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有关电子交易服务费支付相关事宜的咨询请联系：</w:t>
      </w:r>
      <w:r>
        <w:rPr>
          <w:rFonts w:ascii="宋体" w:hAnsi="宋体" w:cs="Arial"/>
          <w:szCs w:val="21"/>
          <w:highlight w:val="none"/>
        </w:rPr>
        <w:t xml:space="preserve">010-86392341 </w:t>
      </w:r>
      <w:r>
        <w:rPr>
          <w:rFonts w:hint="eastAsia" w:ascii="宋体" w:hAnsi="宋体" w:cs="宋体"/>
          <w:szCs w:val="21"/>
          <w:highlight w:val="none"/>
        </w:rPr>
        <w:t>。</w:t>
      </w:r>
    </w:p>
    <w:p w14:paraId="73E83AB2">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响应保证金</w:t>
      </w:r>
    </w:p>
    <w:p w14:paraId="140E2374">
      <w:pPr>
        <w:widowControl w:val="0"/>
        <w:numPr>
          <w:ilvl w:val="3"/>
          <w:numId w:val="1"/>
        </w:numPr>
        <w:tabs>
          <w:tab w:val="left" w:pos="567"/>
        </w:tabs>
        <w:autoSpaceDE w:val="0"/>
        <w:autoSpaceDN w:val="0"/>
        <w:adjustRightInd w:val="0"/>
        <w:snapToGrid w:val="0"/>
        <w:ind w:left="0" w:firstLineChars="0"/>
        <w:jc w:val="left"/>
        <w:rPr>
          <w:rFonts w:ascii="宋体" w:hAnsi="宋体"/>
          <w:szCs w:val="21"/>
          <w:highlight w:val="none"/>
        </w:rPr>
      </w:pPr>
      <w:r>
        <w:rPr>
          <w:rFonts w:hint="eastAsia" w:ascii="宋体" w:hAnsi="宋体" w:cs="宋体"/>
          <w:szCs w:val="21"/>
          <w:highlight w:val="none"/>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5FA3319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采购结果的发布</w:t>
      </w:r>
    </w:p>
    <w:p w14:paraId="36B20B4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深圳阳光采购平台（https://ygcg.szexgrp.com/）及中国招标投标公共服务平台（http://www.cebpubservice.com）等相关</w:t>
      </w:r>
      <w:r>
        <w:rPr>
          <w:rFonts w:ascii="宋体" w:hAnsi="宋体" w:cs="宋体"/>
          <w:szCs w:val="21"/>
          <w:highlight w:val="none"/>
        </w:rPr>
        <w:t>网站</w:t>
      </w:r>
      <w:r>
        <w:rPr>
          <w:rFonts w:hint="eastAsia" w:ascii="宋体" w:hAnsi="宋体" w:cs="宋体"/>
          <w:szCs w:val="21"/>
          <w:highlight w:val="none"/>
        </w:rPr>
        <w:t>发布采购结果公告；</w:t>
      </w:r>
    </w:p>
    <w:p w14:paraId="33065A5E">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竞价人登陆平台后，左侧菜单中点击【我的项目】找到参与的项目点击【成交】--【成交结果公告】进行查看。公告一经发布即视为交易活动各参与方已获悉。</w:t>
      </w:r>
    </w:p>
    <w:p w14:paraId="52F2F534">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0ED0264F">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重要提示</w:t>
      </w:r>
    </w:p>
    <w:p w14:paraId="2AB681A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电子采购文件获取方式</w:t>
      </w:r>
    </w:p>
    <w:p w14:paraId="1EB612E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本平台是竞价人获取采购文件的唯一合法渠道。竞价人需要随时关注“深圳阳光采购平台”，确认所参与的项目采购文件（*.ZBJ</w:t>
      </w:r>
      <w:r>
        <w:rPr>
          <w:rFonts w:ascii="宋体" w:hAnsi="宋体" w:cs="宋体"/>
          <w:szCs w:val="21"/>
          <w:highlight w:val="none"/>
        </w:rPr>
        <w:t>/*.doc</w:t>
      </w:r>
      <w:r>
        <w:rPr>
          <w:rFonts w:hint="eastAsia" w:ascii="宋体" w:hAnsi="宋体" w:cs="宋体"/>
          <w:szCs w:val="21"/>
          <w:highlight w:val="none"/>
        </w:rPr>
        <w:t>）是否更新。如果有更新，务必下载最新的采购文件，否则后果自负。</w:t>
      </w:r>
    </w:p>
    <w:p w14:paraId="06F98185">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采购人注意事项</w:t>
      </w:r>
    </w:p>
    <w:p w14:paraId="29361B22">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采购人提交的电子采购文件格式为*.ZBJ，该文件格式必须是“深圳阳光采购平台（https://ygcg.szexgrp.com/）”网站下载的最新版本的“深圳阳光采购招标文件编制工具”生成。</w:t>
      </w:r>
    </w:p>
    <w:p w14:paraId="747FB578">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电子采购文件必须有数字证书签名方为合法的采购文件，未对电子文件进行数字证书签名的，将不予备案与发布。</w:t>
      </w:r>
    </w:p>
    <w:p w14:paraId="6271C44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采购文件中如需修改竞价方法、竞价人资格要求等采购文件中关键条款和内容的，须重新发布完整的采购文件。</w:t>
      </w:r>
    </w:p>
    <w:p w14:paraId="4FEEEA63">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联系方式</w:t>
      </w:r>
    </w:p>
    <w:p w14:paraId="58D9690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网络支持：https://ygcg.szexgrp.com/。点击网页右下角白色机器人图标。</w:t>
      </w:r>
    </w:p>
    <w:p w14:paraId="3C40AA35">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szCs w:val="21"/>
          <w:highlight w:val="none"/>
        </w:rPr>
        <w:t>流程操作QQ咨询：4006164365</w:t>
      </w:r>
    </w:p>
    <w:p w14:paraId="354A20F1">
      <w:pPr>
        <w:widowControl w:val="0"/>
        <w:numPr>
          <w:ilvl w:val="2"/>
          <w:numId w:val="1"/>
        </w:numPr>
        <w:tabs>
          <w:tab w:val="left" w:pos="567"/>
          <w:tab w:val="left" w:pos="993"/>
        </w:tabs>
        <w:autoSpaceDE w:val="0"/>
        <w:autoSpaceDN w:val="0"/>
        <w:adjustRightInd w:val="0"/>
        <w:snapToGrid w:val="0"/>
        <w:ind w:left="0" w:firstLineChars="0"/>
        <w:jc w:val="left"/>
        <w:rPr>
          <w:rStyle w:val="56"/>
          <w:rFonts w:ascii="宋体" w:hAnsi="宋体" w:cs="宋体"/>
          <w:highlight w:val="none"/>
        </w:rPr>
      </w:pPr>
      <w:r>
        <w:rPr>
          <w:rFonts w:hint="eastAsia" w:ascii="宋体" w:hAnsi="宋体"/>
          <w:szCs w:val="21"/>
          <w:highlight w:val="none"/>
        </w:rPr>
        <w:t>流程操作电话咨询：010-86392341</w:t>
      </w:r>
    </w:p>
    <w:bookmarkEnd w:id="5"/>
    <w:bookmarkEnd w:id="6"/>
    <w:p w14:paraId="211EE411">
      <w:pPr>
        <w:widowControl w:val="0"/>
        <w:autoSpaceDE w:val="0"/>
        <w:autoSpaceDN w:val="0"/>
        <w:adjustRightInd w:val="0"/>
        <w:snapToGrid w:val="0"/>
        <w:ind w:firstLine="0" w:firstLineChars="0"/>
        <w:outlineLvl w:val="9"/>
        <w:rPr>
          <w:rFonts w:ascii="宋体" w:hAnsi="宋体" w:cs="宋体"/>
          <w:szCs w:val="21"/>
          <w:highlight w:val="none"/>
        </w:rPr>
      </w:pPr>
    </w:p>
    <w:p w14:paraId="4CBCE55A">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797192D3">
      <w:pPr>
        <w:widowControl w:val="0"/>
        <w:autoSpaceDE w:val="0"/>
        <w:autoSpaceDN w:val="0"/>
        <w:adjustRightInd w:val="0"/>
        <w:snapToGrid w:val="0"/>
        <w:ind w:firstLine="0" w:firstLineChars="0"/>
        <w:rPr>
          <w:rFonts w:ascii="宋体" w:hAnsi="宋体"/>
          <w:kern w:val="0"/>
          <w:sz w:val="84"/>
          <w:szCs w:val="84"/>
        </w:rPr>
      </w:pPr>
    </w:p>
    <w:p w14:paraId="4D9AFFB2">
      <w:pPr>
        <w:widowControl w:val="0"/>
        <w:autoSpaceDE w:val="0"/>
        <w:autoSpaceDN w:val="0"/>
        <w:adjustRightInd w:val="0"/>
        <w:snapToGrid w:val="0"/>
        <w:ind w:firstLine="0" w:firstLineChars="0"/>
        <w:rPr>
          <w:rFonts w:ascii="宋体" w:hAnsi="宋体"/>
          <w:kern w:val="0"/>
          <w:sz w:val="84"/>
          <w:szCs w:val="84"/>
        </w:rPr>
      </w:pPr>
    </w:p>
    <w:p w14:paraId="599CC9F8">
      <w:pPr>
        <w:widowControl w:val="0"/>
        <w:autoSpaceDE w:val="0"/>
        <w:autoSpaceDN w:val="0"/>
        <w:adjustRightInd w:val="0"/>
        <w:snapToGrid w:val="0"/>
        <w:ind w:firstLine="0" w:firstLineChars="0"/>
        <w:rPr>
          <w:rFonts w:ascii="宋体" w:hAnsi="宋体"/>
          <w:kern w:val="0"/>
          <w:sz w:val="84"/>
          <w:szCs w:val="84"/>
        </w:rPr>
      </w:pPr>
    </w:p>
    <w:p w14:paraId="0F0269E3">
      <w:pPr>
        <w:widowControl w:val="0"/>
        <w:autoSpaceDE w:val="0"/>
        <w:autoSpaceDN w:val="0"/>
        <w:adjustRightInd w:val="0"/>
        <w:snapToGrid w:val="0"/>
        <w:ind w:firstLine="0" w:firstLineChars="0"/>
        <w:jc w:val="center"/>
        <w:outlineLvl w:val="0"/>
        <w:rPr>
          <w:rFonts w:ascii="宋体" w:hAnsi="宋体"/>
          <w:bCs/>
          <w:sz w:val="52"/>
          <w:szCs w:val="52"/>
        </w:rPr>
      </w:pPr>
      <w:bookmarkStart w:id="12" w:name="_Toc23924"/>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4EF091A2">
      <w:pPr>
        <w:widowControl w:val="0"/>
        <w:autoSpaceDE w:val="0"/>
        <w:autoSpaceDN w:val="0"/>
        <w:adjustRightInd w:val="0"/>
        <w:snapToGrid w:val="0"/>
        <w:ind w:firstLine="0" w:firstLineChars="0"/>
        <w:jc w:val="center"/>
        <w:rPr>
          <w:rFonts w:ascii="宋体" w:hAnsi="宋体"/>
          <w:szCs w:val="21"/>
        </w:rPr>
      </w:pPr>
      <w:r>
        <w:rPr>
          <w:rFonts w:ascii="宋体" w:hAnsi="宋体"/>
          <w:szCs w:val="21"/>
        </w:rPr>
        <w:br w:type="page"/>
      </w:r>
      <w:bookmarkStart w:id="13" w:name="_Toc40769326"/>
      <w:bookmarkStart w:id="14" w:name="_Toc43750101"/>
      <w:r>
        <w:rPr>
          <w:rFonts w:hint="eastAsia" w:ascii="宋体" w:hAnsi="宋体"/>
          <w:b/>
          <w:sz w:val="32"/>
          <w:szCs w:val="32"/>
        </w:rPr>
        <w:t>第一节 竞价人须知前附表</w:t>
      </w:r>
      <w:bookmarkEnd w:id="13"/>
      <w:bookmarkEnd w:id="14"/>
    </w:p>
    <w:p w14:paraId="0CF7FB37">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0CB85729">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4FE8B90">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45687174">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0C4BAA56">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7520590">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130"/>
        <w:gridCol w:w="5488"/>
        <w:gridCol w:w="20"/>
      </w:tblGrid>
      <w:tr w14:paraId="40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3"/>
            <w:tcBorders>
              <w:top w:val="single" w:color="auto" w:sz="4" w:space="0"/>
            </w:tcBorders>
            <w:shd w:val="clear" w:color="auto" w:fill="DEEAF6"/>
            <w:vAlign w:val="center"/>
          </w:tcPr>
          <w:p w14:paraId="29BDF05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竞价人须知前附表（一）</w:t>
            </w:r>
          </w:p>
        </w:tc>
      </w:tr>
      <w:tr w14:paraId="6046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shd w:val="clear" w:color="auto" w:fill="auto"/>
            <w:vAlign w:val="center"/>
          </w:tcPr>
          <w:p w14:paraId="51D292D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条款号</w:t>
            </w:r>
          </w:p>
        </w:tc>
        <w:tc>
          <w:tcPr>
            <w:tcW w:w="2130" w:type="dxa"/>
            <w:shd w:val="clear" w:color="auto" w:fill="auto"/>
            <w:vAlign w:val="center"/>
          </w:tcPr>
          <w:p w14:paraId="5D918EE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名称</w:t>
            </w:r>
          </w:p>
        </w:tc>
        <w:tc>
          <w:tcPr>
            <w:tcW w:w="5488" w:type="dxa"/>
            <w:shd w:val="clear" w:color="auto" w:fill="auto"/>
            <w:vAlign w:val="center"/>
          </w:tcPr>
          <w:p w14:paraId="0A316B4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ascii="宋体" w:hAnsi="宋体"/>
                <w:b/>
                <w:szCs w:val="21"/>
              </w:rPr>
              <w:t>编列内容</w:t>
            </w:r>
          </w:p>
        </w:tc>
      </w:tr>
      <w:tr w14:paraId="275D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699" w:hRule="atLeast"/>
          <w:jc w:val="center"/>
        </w:trPr>
        <w:tc>
          <w:tcPr>
            <w:tcW w:w="1059" w:type="dxa"/>
            <w:vMerge w:val="restart"/>
            <w:vAlign w:val="center"/>
          </w:tcPr>
          <w:p w14:paraId="587CC2F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2.1.1</w:t>
            </w:r>
          </w:p>
        </w:tc>
        <w:tc>
          <w:tcPr>
            <w:tcW w:w="2130" w:type="dxa"/>
            <w:vAlign w:val="center"/>
          </w:tcPr>
          <w:p w14:paraId="206E233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采购人</w:t>
            </w:r>
          </w:p>
        </w:tc>
        <w:tc>
          <w:tcPr>
            <w:tcW w:w="5488" w:type="dxa"/>
            <w:vAlign w:val="center"/>
          </w:tcPr>
          <w:p w14:paraId="2D355EB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名称：深圳市东部公共交通有限公司</w:t>
            </w:r>
          </w:p>
          <w:p w14:paraId="03AD079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联系地址：龙岗区龙城街道飞扬路东部公交大厦</w:t>
            </w:r>
          </w:p>
          <w:p w14:paraId="7BB88E3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周工</w:t>
            </w:r>
          </w:p>
          <w:p w14:paraId="29D0D8D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rPr>
              <w:t>联系电话：</w:t>
            </w:r>
            <w:r>
              <w:rPr>
                <w:rFonts w:hint="eastAsia" w:ascii="宋体" w:hAnsi="宋体"/>
                <w:szCs w:val="21"/>
                <w:highlight w:val="none"/>
                <w:lang w:val="en-US" w:eastAsia="zh-CN"/>
              </w:rPr>
              <w:t>19076192488</w:t>
            </w:r>
          </w:p>
          <w:p w14:paraId="19773F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lang w:val="en-US" w:eastAsia="zh-CN"/>
              </w:rPr>
              <w:t>现场看车联系人：罗先生</w:t>
            </w:r>
          </w:p>
          <w:p w14:paraId="3018C4F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szCs w:val="21"/>
                <w:highlight w:val="none"/>
                <w:lang w:val="en-US" w:eastAsia="zh-CN"/>
              </w:rPr>
            </w:pPr>
            <w:r>
              <w:rPr>
                <w:rFonts w:hint="eastAsia" w:ascii="宋体" w:hAnsi="宋体"/>
                <w:szCs w:val="21"/>
                <w:highlight w:val="none"/>
                <w:lang w:val="en-US" w:eastAsia="zh-CN"/>
              </w:rPr>
              <w:t>联系电话：13316997921</w:t>
            </w:r>
          </w:p>
        </w:tc>
      </w:tr>
      <w:tr w14:paraId="4507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503" w:hRule="atLeast"/>
          <w:jc w:val="center"/>
        </w:trPr>
        <w:tc>
          <w:tcPr>
            <w:tcW w:w="1059" w:type="dxa"/>
            <w:vMerge w:val="continue"/>
            <w:vAlign w:val="center"/>
          </w:tcPr>
          <w:p w14:paraId="570BA8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BE9D5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采购代理</w:t>
            </w:r>
          </w:p>
        </w:tc>
        <w:tc>
          <w:tcPr>
            <w:tcW w:w="5488" w:type="dxa"/>
            <w:vAlign w:val="center"/>
          </w:tcPr>
          <w:p w14:paraId="5EAD70E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宋体" w:hAnsi="宋体" w:eastAsia="宋体"/>
                <w:szCs w:val="21"/>
                <w:lang w:eastAsia="zh-CN"/>
              </w:rPr>
            </w:pPr>
            <w:r>
              <w:rPr>
                <w:rFonts w:hint="eastAsia" w:ascii="宋体" w:hAnsi="宋体"/>
                <w:szCs w:val="21"/>
              </w:rPr>
              <w:t>名称：</w:t>
            </w:r>
            <w:r>
              <w:rPr>
                <w:rFonts w:hint="eastAsia" w:ascii="宋体" w:hAnsi="宋体"/>
                <w:szCs w:val="21"/>
                <w:u w:val="single"/>
                <w:lang w:eastAsia="zh-CN"/>
              </w:rPr>
              <w:t>深圳国际招标咨询有限公司</w:t>
            </w:r>
          </w:p>
          <w:p w14:paraId="525F7A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深圳市南山区智谷产业园深圳交易集团总部大楼21楼</w:t>
            </w:r>
          </w:p>
          <w:p w14:paraId="1B6A2FAC">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联系人：</w:t>
            </w:r>
            <w:r>
              <w:rPr>
                <w:rFonts w:hint="eastAsia" w:ascii="宋体" w:hAnsi="宋体"/>
                <w:szCs w:val="21"/>
                <w:u w:val="single"/>
              </w:rPr>
              <w:t>舒龙、洪瑄翊</w:t>
            </w:r>
          </w:p>
          <w:p w14:paraId="14A4D3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联系电话：</w:t>
            </w:r>
            <w:r>
              <w:rPr>
                <w:rFonts w:hint="eastAsia" w:ascii="宋体" w:hAnsi="宋体"/>
                <w:szCs w:val="21"/>
                <w:u w:val="single"/>
              </w:rPr>
              <w:t>18165729017、18718933913</w:t>
            </w:r>
          </w:p>
          <w:p w14:paraId="3CAF2B6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332751464@qq.com </w:t>
            </w:r>
          </w:p>
        </w:tc>
      </w:tr>
      <w:tr w14:paraId="3DCC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0B605FA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2.1.2</w:t>
            </w:r>
          </w:p>
        </w:tc>
        <w:tc>
          <w:tcPr>
            <w:tcW w:w="2130" w:type="dxa"/>
            <w:vAlign w:val="center"/>
          </w:tcPr>
          <w:p w14:paraId="5619290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项目名称</w:t>
            </w:r>
          </w:p>
        </w:tc>
        <w:tc>
          <w:tcPr>
            <w:tcW w:w="5488" w:type="dxa"/>
            <w:vAlign w:val="center"/>
          </w:tcPr>
          <w:p w14:paraId="30BC96C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eastAsia="楷体_GB2312"/>
              </w:rPr>
            </w:pPr>
            <w:r>
              <w:rPr>
                <w:rFonts w:hint="eastAsia" w:ascii="宋体" w:hAnsi="宋体"/>
                <w:szCs w:val="21"/>
                <w:lang w:eastAsia="zh-CN"/>
              </w:rPr>
              <w:t>东部公交13台纯电动公交车辆报废处置服务采购（第三批）</w:t>
            </w:r>
          </w:p>
        </w:tc>
      </w:tr>
      <w:tr w14:paraId="176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A911F1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5E7509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w:t>
            </w:r>
            <w:r>
              <w:rPr>
                <w:rFonts w:ascii="宋体" w:hAnsi="宋体"/>
                <w:szCs w:val="21"/>
              </w:rPr>
              <w:t>编号</w:t>
            </w:r>
          </w:p>
        </w:tc>
        <w:tc>
          <w:tcPr>
            <w:tcW w:w="5488" w:type="dxa"/>
            <w:vAlign w:val="center"/>
          </w:tcPr>
          <w:p w14:paraId="3546985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b/>
                <w:bCs/>
                <w:szCs w:val="21"/>
                <w:lang w:val="en-US" w:eastAsia="zh-CN"/>
              </w:rPr>
            </w:pPr>
            <w:r>
              <w:rPr>
                <w:rFonts w:hint="default" w:ascii="宋体" w:hAnsi="宋体" w:eastAsia="宋体"/>
                <w:b w:val="0"/>
                <w:bCs w:val="0"/>
                <w:szCs w:val="21"/>
                <w:lang w:val="en-US" w:eastAsia="zh-CN"/>
              </w:rPr>
              <w:t>YG26QJ0043088</w:t>
            </w:r>
          </w:p>
        </w:tc>
      </w:tr>
      <w:tr w14:paraId="6A9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08E9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691EF30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公告</w:t>
            </w:r>
            <w:r>
              <w:rPr>
                <w:rFonts w:ascii="宋体" w:hAnsi="宋体"/>
                <w:szCs w:val="21"/>
              </w:rPr>
              <w:t>日期</w:t>
            </w:r>
          </w:p>
        </w:tc>
        <w:tc>
          <w:tcPr>
            <w:tcW w:w="5488" w:type="dxa"/>
            <w:vAlign w:val="center"/>
          </w:tcPr>
          <w:p w14:paraId="645E71E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3854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77AC63C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9713F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项目类别</w:t>
            </w:r>
          </w:p>
        </w:tc>
        <w:tc>
          <w:tcPr>
            <w:tcW w:w="5488" w:type="dxa"/>
            <w:vAlign w:val="center"/>
          </w:tcPr>
          <w:p w14:paraId="61D175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货物</w:t>
            </w:r>
          </w:p>
        </w:tc>
      </w:tr>
      <w:tr w14:paraId="7F6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7E8C158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2.1.4</w:t>
            </w:r>
          </w:p>
        </w:tc>
        <w:tc>
          <w:tcPr>
            <w:tcW w:w="2130" w:type="dxa"/>
            <w:vAlign w:val="center"/>
          </w:tcPr>
          <w:p w14:paraId="59A20D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w:t>
            </w:r>
            <w:r>
              <w:rPr>
                <w:rFonts w:ascii="宋体" w:hAnsi="宋体"/>
                <w:szCs w:val="21"/>
              </w:rPr>
              <w:t>方式</w:t>
            </w:r>
          </w:p>
        </w:tc>
        <w:tc>
          <w:tcPr>
            <w:tcW w:w="5488" w:type="dxa"/>
            <w:vAlign w:val="center"/>
          </w:tcPr>
          <w:p w14:paraId="6747D61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竞价</w:t>
            </w:r>
            <w:r>
              <w:rPr>
                <w:rFonts w:ascii="宋体" w:hAnsi="宋体"/>
                <w:szCs w:val="21"/>
              </w:rPr>
              <w:t>采购</w:t>
            </w:r>
          </w:p>
        </w:tc>
      </w:tr>
      <w:tr w14:paraId="75A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73" w:hRule="atLeast"/>
          <w:jc w:val="center"/>
        </w:trPr>
        <w:tc>
          <w:tcPr>
            <w:tcW w:w="1059" w:type="dxa"/>
            <w:vMerge w:val="continue"/>
            <w:vAlign w:val="center"/>
          </w:tcPr>
          <w:p w14:paraId="4F7A685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tcPr>
          <w:p w14:paraId="6057772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hint="eastAsia" w:ascii="宋体" w:hAnsi="宋体"/>
                <w:kern w:val="0"/>
                <w:szCs w:val="21"/>
              </w:rPr>
            </w:pPr>
            <w:r>
              <w:rPr>
                <w:rFonts w:hint="eastAsia" w:ascii="宋体" w:hAnsi="宋体"/>
                <w:kern w:val="0"/>
                <w:szCs w:val="21"/>
              </w:rPr>
              <w:t>竞价人征集方式</w:t>
            </w:r>
          </w:p>
        </w:tc>
        <w:tc>
          <w:tcPr>
            <w:tcW w:w="5488" w:type="dxa"/>
          </w:tcPr>
          <w:p w14:paraId="57C20D7C">
            <w:pPr>
              <w:keepNext w:val="0"/>
              <w:keepLines w:val="0"/>
              <w:pageBreakBefore w:val="0"/>
              <w:widowControl w:val="0"/>
              <w:kinsoku/>
              <w:wordWrap w:val="0"/>
              <w:topLinePunct w:val="0"/>
              <w:autoSpaceDE w:val="0"/>
              <w:autoSpaceDN w:val="0"/>
              <w:bidi w:val="0"/>
              <w:adjustRightInd/>
              <w:snapToGrid/>
              <w:ind w:firstLine="0" w:firstLineChars="0"/>
              <w:jc w:val="both"/>
              <w:textAlignment w:val="auto"/>
              <w:rPr>
                <w:rFonts w:hint="eastAsia" w:ascii="宋体" w:hAnsi="宋体"/>
                <w:kern w:val="0"/>
                <w:szCs w:val="21"/>
              </w:rPr>
            </w:pPr>
            <w:r>
              <w:rPr>
                <w:rFonts w:hint="eastAsia" w:ascii="宋体" w:hAnsi="宋体"/>
                <w:kern w:val="0"/>
                <w:szCs w:val="21"/>
              </w:rPr>
              <w:t>☑公开  □邀请</w:t>
            </w:r>
          </w:p>
        </w:tc>
      </w:tr>
      <w:tr w14:paraId="36A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B13BB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2.1.5</w:t>
            </w:r>
          </w:p>
        </w:tc>
        <w:tc>
          <w:tcPr>
            <w:tcW w:w="2130" w:type="dxa"/>
            <w:vAlign w:val="center"/>
          </w:tcPr>
          <w:p w14:paraId="17DA4AC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488" w:type="dxa"/>
            <w:vAlign w:val="center"/>
          </w:tcPr>
          <w:p w14:paraId="66A7CC2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shd w:val="clear" w:color="auto" w:fill="FFFFFF"/>
              </w:rPr>
            </w:pPr>
            <w:r>
              <w:rPr>
                <w:rFonts w:hint="eastAsia" w:ascii="宋体" w:hAnsi="宋体"/>
                <w:szCs w:val="21"/>
              </w:rPr>
              <w:t>通过深圳阳光采购平台获取</w:t>
            </w:r>
          </w:p>
        </w:tc>
      </w:tr>
      <w:tr w14:paraId="5740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07813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06D1AF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488" w:type="dxa"/>
            <w:vAlign w:val="center"/>
          </w:tcPr>
          <w:p w14:paraId="787543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6D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60" w:hRule="atLeast"/>
          <w:jc w:val="center"/>
        </w:trPr>
        <w:tc>
          <w:tcPr>
            <w:tcW w:w="1059" w:type="dxa"/>
            <w:vMerge w:val="continue"/>
            <w:vAlign w:val="center"/>
          </w:tcPr>
          <w:p w14:paraId="51F862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254B6E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是否需要提交</w:t>
            </w:r>
          </w:p>
          <w:p w14:paraId="1474CF4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lang w:val="en-US" w:eastAsia="zh-CN"/>
              </w:rPr>
              <w:t>申请</w:t>
            </w:r>
            <w:r>
              <w:rPr>
                <w:rFonts w:hint="eastAsia" w:ascii="宋体" w:hAnsi="宋体"/>
                <w:kern w:val="0"/>
                <w:szCs w:val="21"/>
              </w:rPr>
              <w:t>资料</w:t>
            </w:r>
          </w:p>
        </w:tc>
        <w:tc>
          <w:tcPr>
            <w:tcW w:w="5488" w:type="dxa"/>
            <w:vAlign w:val="center"/>
          </w:tcPr>
          <w:p w14:paraId="1292E7D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MS Mincho" w:hAnsi="MS Mincho" w:eastAsia="MS Mincho" w:cs="MS Mincho"/>
                <w:szCs w:val="21"/>
              </w:rPr>
              <w:t>☑</w:t>
            </w:r>
            <w:r>
              <w:rPr>
                <w:rFonts w:hint="eastAsia" w:ascii="宋体" w:hAnsi="宋体"/>
                <w:szCs w:val="21"/>
              </w:rPr>
              <w:t>是</w:t>
            </w:r>
          </w:p>
          <w:p w14:paraId="6BE8448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需要竞价人提交</w:t>
            </w:r>
            <w:r>
              <w:rPr>
                <w:rFonts w:hint="eastAsia" w:ascii="宋体" w:hAnsi="宋体"/>
                <w:szCs w:val="21"/>
                <w:lang w:val="en-US" w:eastAsia="zh-CN"/>
              </w:rPr>
              <w:t>申请</w:t>
            </w:r>
            <w:r>
              <w:rPr>
                <w:rFonts w:hint="eastAsia" w:ascii="宋体" w:hAnsi="宋体"/>
                <w:szCs w:val="21"/>
              </w:rPr>
              <w:t>资料，且</w:t>
            </w:r>
            <w:r>
              <w:rPr>
                <w:rFonts w:hint="eastAsia" w:ascii="宋体" w:hAnsi="宋体"/>
                <w:szCs w:val="21"/>
                <w:lang w:val="en-US" w:eastAsia="zh-CN"/>
              </w:rPr>
              <w:t>申请</w:t>
            </w:r>
            <w:r>
              <w:rPr>
                <w:rFonts w:hint="eastAsia" w:ascii="宋体" w:hAnsi="宋体"/>
                <w:szCs w:val="21"/>
              </w:rPr>
              <w:t>资料确认通过后并缴纳</w:t>
            </w:r>
            <w:r>
              <w:rPr>
                <w:rFonts w:ascii="宋体" w:hAnsi="宋体"/>
                <w:szCs w:val="21"/>
              </w:rPr>
              <w:t>电子交易服务费</w:t>
            </w:r>
            <w:r>
              <w:rPr>
                <w:rFonts w:hint="eastAsia" w:ascii="宋体" w:hAnsi="宋体"/>
                <w:szCs w:val="21"/>
              </w:rPr>
              <w:t>，</w:t>
            </w:r>
            <w:r>
              <w:rPr>
                <w:rFonts w:ascii="宋体" w:hAnsi="宋体"/>
                <w:szCs w:val="21"/>
              </w:rPr>
              <w:t>方可参与后续竞价</w:t>
            </w:r>
            <w:r>
              <w:rPr>
                <w:rFonts w:hint="eastAsia" w:ascii="宋体" w:hAnsi="宋体"/>
                <w:szCs w:val="21"/>
              </w:rPr>
              <w:t>活动。</w:t>
            </w:r>
          </w:p>
          <w:p w14:paraId="45590BF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所需资料：</w:t>
            </w:r>
          </w:p>
          <w:p w14:paraId="55102F1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1）法定代表人/单位负责人证明书、法定代表人/单位负责人授权委托书；</w:t>
            </w:r>
          </w:p>
          <w:p w14:paraId="74D8B6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2）竞价人营业执照；</w:t>
            </w:r>
          </w:p>
          <w:p w14:paraId="2D2ABC9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p>
          <w:p w14:paraId="3B02D84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4ADB28B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w:t>
            </w:r>
            <w:r>
              <w:rPr>
                <w:rFonts w:hint="eastAsia" w:ascii="宋体" w:hAnsi="宋体"/>
                <w:szCs w:val="21"/>
              </w:rPr>
              <w:t>依据之一。</w:t>
            </w:r>
          </w:p>
          <w:p w14:paraId="46E68F2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8D9D3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E995CC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Segoe UI Symbol" w:hAnsi="Segoe UI Symbol" w:cs="Segoe UI Symbol"/>
                <w:szCs w:val="21"/>
              </w:rPr>
              <w:t>□</w:t>
            </w:r>
            <w:r>
              <w:rPr>
                <w:rFonts w:ascii="宋体" w:hAnsi="宋体"/>
                <w:szCs w:val="21"/>
              </w:rPr>
              <w:t>否</w:t>
            </w:r>
          </w:p>
        </w:tc>
      </w:tr>
      <w:tr w14:paraId="1F2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3666A9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2.1.6</w:t>
            </w:r>
          </w:p>
        </w:tc>
        <w:tc>
          <w:tcPr>
            <w:tcW w:w="2130" w:type="dxa"/>
            <w:vAlign w:val="center"/>
          </w:tcPr>
          <w:p w14:paraId="0AD5914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采购范围及相关要求</w:t>
            </w:r>
          </w:p>
        </w:tc>
        <w:tc>
          <w:tcPr>
            <w:tcW w:w="5488" w:type="dxa"/>
            <w:vAlign w:val="center"/>
          </w:tcPr>
          <w:p w14:paraId="31ECCCE2">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highlight w:val="none"/>
              </w:rPr>
            </w:pPr>
            <w:r>
              <w:rPr>
                <w:rFonts w:hint="eastAsia" w:ascii="宋体" w:hAnsi="宋体"/>
                <w:highlight w:val="none"/>
              </w:rPr>
              <w:t>采购范围：</w:t>
            </w:r>
            <w:r>
              <w:rPr>
                <w:rFonts w:hint="eastAsia" w:ascii="宋体" w:hAnsi="宋体"/>
                <w:highlight w:val="none"/>
                <w:lang w:eastAsia="zh-CN"/>
              </w:rPr>
              <w:t>东部公交13台纯电动公交车辆报废处置服务采购（第三批）</w:t>
            </w:r>
            <w:r>
              <w:rPr>
                <w:rFonts w:hint="eastAsia" w:ascii="宋体" w:hAnsi="宋体"/>
                <w:highlight w:val="none"/>
              </w:rPr>
              <w:t>，</w:t>
            </w:r>
            <w:r>
              <w:rPr>
                <w:rFonts w:ascii="宋体" w:hAnsi="宋体"/>
                <w:highlight w:val="none"/>
              </w:rPr>
              <w:t>具体型号及参数详见</w:t>
            </w:r>
            <w:r>
              <w:rPr>
                <w:rFonts w:hint="eastAsia" w:ascii="宋体" w:hAnsi="宋体"/>
                <w:highlight w:val="none"/>
              </w:rPr>
              <w:t>采购</w:t>
            </w:r>
            <w:r>
              <w:rPr>
                <w:rFonts w:ascii="宋体" w:hAnsi="宋体"/>
                <w:highlight w:val="none"/>
              </w:rPr>
              <w:t>文件</w:t>
            </w:r>
            <w:r>
              <w:rPr>
                <w:rFonts w:hint="eastAsia" w:ascii="宋体" w:hAnsi="宋体"/>
                <w:highlight w:val="none"/>
              </w:rPr>
              <w:t>《</w:t>
            </w:r>
            <w:r>
              <w:rPr>
                <w:rFonts w:ascii="宋体" w:hAnsi="宋体"/>
                <w:highlight w:val="none"/>
              </w:rPr>
              <w:t>第三章</w:t>
            </w:r>
            <w:r>
              <w:rPr>
                <w:rFonts w:hint="eastAsia" w:ascii="宋体" w:hAnsi="宋体"/>
                <w:highlight w:val="none"/>
                <w:lang w:val="en-US" w:eastAsia="zh-CN"/>
              </w:rPr>
              <w:t xml:space="preserve"> </w:t>
            </w:r>
            <w:r>
              <w:rPr>
                <w:rFonts w:ascii="宋体" w:hAnsi="宋体"/>
                <w:highlight w:val="none"/>
              </w:rPr>
              <w:t>项目需求</w:t>
            </w:r>
            <w:r>
              <w:rPr>
                <w:rFonts w:hint="eastAsia" w:ascii="宋体" w:hAnsi="宋体"/>
                <w:highlight w:val="none"/>
              </w:rPr>
              <w:t xml:space="preserve"> 一、 标的物数量及明细》</w:t>
            </w:r>
            <w:r>
              <w:rPr>
                <w:rFonts w:ascii="宋体" w:hAnsi="宋体"/>
                <w:highlight w:val="none"/>
              </w:rPr>
              <w:t>。</w:t>
            </w:r>
          </w:p>
          <w:p w14:paraId="3E63E74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highlight w:val="none"/>
              </w:rPr>
              <w:t>项目地点：采购人指定地点。</w:t>
            </w:r>
          </w:p>
        </w:tc>
      </w:tr>
      <w:tr w14:paraId="046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3B766E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2.1.7</w:t>
            </w:r>
          </w:p>
        </w:tc>
        <w:tc>
          <w:tcPr>
            <w:tcW w:w="2130" w:type="dxa"/>
            <w:vAlign w:val="center"/>
          </w:tcPr>
          <w:p w14:paraId="4FDE920D">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竞价人资格要求</w:t>
            </w:r>
          </w:p>
        </w:tc>
        <w:tc>
          <w:tcPr>
            <w:tcW w:w="5488" w:type="dxa"/>
            <w:vAlign w:val="center"/>
          </w:tcPr>
          <w:p w14:paraId="5160E71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（一）竞价人须是在中华人民共和国境内（港、澳、台地区除外）依法注册、具备独立法人资格的单位（提供营业执照或其他主体资格证书、工商信息查询单或工商部门相关证明文件）。</w:t>
            </w:r>
          </w:p>
          <w:p w14:paraId="106F65C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（二）竞价人须具备有效的报废机动车回收拆解企业资质认定证书（应包含新能源汽车回收拆解业务，提供资质认定证书文件）。</w:t>
            </w:r>
          </w:p>
          <w:p w14:paraId="4AFB0F2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竞价人须在近三年内（自公告之日起往前推算，企业注册成立时间不足三年的，按实际经营年限计算）未被列入被执行人（须提供在中国执行信息公开网（zxgk.court.gov.cn/shixin）中“全部省份”的查询截图，上述查询结果须在全国范围内无不良记录，并加盖投标人公章）。</w:t>
            </w:r>
          </w:p>
          <w:p w14:paraId="66CE47F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竞价人在近三年内（自公告之日起往前推算，企业注册成立时间不足三年的，按实际经营年限计算）无严重失信记录（须提供在信用中国（https://www.creditchina.gov.cn/xinyongfuwu/?navPage=4）中严重失信主体名单的查询截图，上述查询结果无不良记录，并加盖投标人公章）。</w:t>
            </w:r>
          </w:p>
          <w:p w14:paraId="7815948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单位负责人（含法定代表人）为同一人或存在控股、管理关系的不同单位，不得同时参加同一标段投标或者未划分标段的同一采购项目报名（须提供国家企业信用信息公示系统[https://www.gsxt.gov.cn/index.html]股东查询截图；若股东信息尚未公布的供应商，请提供格式自拟的股东构成表，并加盖投标人公章）。</w:t>
            </w:r>
          </w:p>
          <w:p w14:paraId="12B7F35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（六）本项目不允许联合体报价。</w:t>
            </w:r>
          </w:p>
        </w:tc>
      </w:tr>
      <w:tr w14:paraId="341F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vAlign w:val="center"/>
          </w:tcPr>
          <w:p w14:paraId="763CE87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3</w:t>
            </w:r>
            <w:r>
              <w:rPr>
                <w:rFonts w:hint="eastAsia" w:ascii="宋体" w:hAnsi="宋体"/>
                <w:szCs w:val="21"/>
              </w:rPr>
              <w:t>.2.1</w:t>
            </w:r>
          </w:p>
        </w:tc>
        <w:tc>
          <w:tcPr>
            <w:tcW w:w="2130" w:type="dxa"/>
            <w:vAlign w:val="center"/>
          </w:tcPr>
          <w:p w14:paraId="7849337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竞价人要求澄清</w:t>
            </w:r>
          </w:p>
          <w:p w14:paraId="6ABB3AC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采购文件</w:t>
            </w:r>
            <w:r>
              <w:rPr>
                <w:rFonts w:hint="eastAsia" w:ascii="宋体" w:hAnsi="宋体"/>
                <w:szCs w:val="21"/>
              </w:rPr>
              <w:t>截止时间</w:t>
            </w:r>
          </w:p>
        </w:tc>
        <w:tc>
          <w:tcPr>
            <w:tcW w:w="5488" w:type="dxa"/>
            <w:vAlign w:val="center"/>
          </w:tcPr>
          <w:p w14:paraId="4DB515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详见采购</w:t>
            </w:r>
            <w:r>
              <w:rPr>
                <w:rFonts w:ascii="宋体" w:hAnsi="宋体"/>
                <w:szCs w:val="21"/>
                <w:shd w:val="clear" w:color="auto" w:fill="FFFFFF"/>
              </w:rPr>
              <w:t>公告</w:t>
            </w:r>
          </w:p>
        </w:tc>
      </w:tr>
      <w:tr w14:paraId="441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vMerge w:val="restart"/>
            <w:vAlign w:val="center"/>
          </w:tcPr>
          <w:p w14:paraId="2EB29E2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4.3.1</w:t>
            </w:r>
          </w:p>
        </w:tc>
        <w:tc>
          <w:tcPr>
            <w:tcW w:w="2130" w:type="dxa"/>
            <w:vMerge w:val="restart"/>
            <w:vAlign w:val="center"/>
          </w:tcPr>
          <w:p w14:paraId="188E641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r>
              <w:rPr>
                <w:rFonts w:hint="eastAsia" w:ascii="宋体" w:hAnsi="宋体"/>
                <w:color w:val="0D0D0D" w:themeColor="text1" w:themeTint="F2"/>
                <w:szCs w:val="21"/>
                <w:shd w:val="clear" w:color="auto" w:fill="FFFFFF"/>
                <w14:textFill>
                  <w14:solidFill>
                    <w14:schemeClr w14:val="tx1">
                      <w14:lumMod w14:val="95000"/>
                      <w14:lumOff w14:val="5000"/>
                    </w14:schemeClr>
                  </w14:solidFill>
                </w14:textFill>
              </w:rPr>
              <w:t>竞价保证金</w:t>
            </w:r>
          </w:p>
        </w:tc>
        <w:tc>
          <w:tcPr>
            <w:tcW w:w="5488" w:type="dxa"/>
            <w:vAlign w:val="center"/>
          </w:tcPr>
          <w:p w14:paraId="10AF41A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sym w:font="Wingdings 2" w:char="00A3"/>
            </w:r>
            <w:r>
              <w:rPr>
                <w:rFonts w:hint="eastAsia" w:ascii="宋体" w:hAnsi="宋体"/>
                <w:szCs w:val="21"/>
                <w:shd w:val="clear" w:color="auto" w:fill="FFFFFF"/>
              </w:rPr>
              <w:t>不要求递交</w:t>
            </w:r>
          </w:p>
          <w:p w14:paraId="5488158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☑要求递交</w:t>
            </w:r>
          </w:p>
          <w:p w14:paraId="391ADC2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shd w:val="clear" w:color="auto" w:fill="FFFFFF"/>
                <w:lang w:val="en-US" w:eastAsia="zh-CN"/>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szCs w:val="21"/>
                <w:shd w:val="clear" w:color="auto" w:fill="FFFFFF"/>
                <w:lang w:val="en-US" w:eastAsia="zh-CN"/>
              </w:rPr>
              <w:t>人民币</w:t>
            </w:r>
            <w:r>
              <w:rPr>
                <w:rFonts w:hint="eastAsia" w:ascii="宋体" w:hAnsi="宋体"/>
                <w:szCs w:val="21"/>
                <w:u w:val="single"/>
                <w:shd w:val="clear" w:color="auto" w:fill="FFFFFF"/>
                <w:lang w:val="en-US" w:eastAsia="zh-CN"/>
              </w:rPr>
              <w:t xml:space="preserve">  20,000  </w:t>
            </w:r>
            <w:r>
              <w:rPr>
                <w:rFonts w:hint="eastAsia" w:ascii="宋体" w:hAnsi="宋体"/>
                <w:szCs w:val="21"/>
                <w:shd w:val="clear" w:color="auto" w:fill="FFFFFF"/>
                <w:lang w:val="en-US" w:eastAsia="zh-CN"/>
              </w:rPr>
              <w:t>元；</w:t>
            </w:r>
          </w:p>
          <w:p w14:paraId="661370A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s="Segoe UI Symbol"/>
                <w:kern w:val="0"/>
                <w:szCs w:val="21"/>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 xml:space="preserve">银行保函 </w:t>
            </w:r>
          </w:p>
          <w:p w14:paraId="1DF0B5F8">
            <w:pPr>
              <w:keepNext w:val="0"/>
              <w:keepLines w:val="0"/>
              <w:pageBreakBefore w:val="0"/>
              <w:widowControl w:val="0"/>
              <w:kinsoku/>
              <w:wordWrap w:val="0"/>
              <w:topLinePunct w:val="0"/>
              <w:autoSpaceDE w:val="0"/>
              <w:autoSpaceDN w:val="0"/>
              <w:bidi w:val="0"/>
              <w:adjustRightInd/>
              <w:snapToGrid/>
              <w:ind w:firstLine="1470" w:firstLineChars="700"/>
              <w:jc w:val="left"/>
              <w:textAlignment w:val="auto"/>
              <w:rPr>
                <w:rFonts w:hint="default" w:ascii="宋体" w:hAnsi="宋体" w:eastAsia="宋体"/>
                <w:szCs w:val="21"/>
                <w:shd w:val="clear" w:color="auto" w:fill="FFFFFF"/>
                <w:lang w:val="en-US" w:eastAsia="zh-CN"/>
              </w:rPr>
            </w:pPr>
            <w:r>
              <w:rPr>
                <w:rFonts w:hint="eastAsia" w:ascii="宋体" w:hAnsi="宋体" w:cs="Segoe UI Symbol"/>
                <w:kern w:val="0"/>
                <w:szCs w:val="21"/>
              </w:rPr>
              <w:t xml:space="preserve">□担保保函 </w:t>
            </w:r>
            <w:r>
              <w:rPr>
                <w:rFonts w:ascii="宋体" w:hAnsi="宋体" w:cs="Segoe UI Symbol"/>
                <w:kern w:val="0"/>
                <w:szCs w:val="21"/>
              </w:rPr>
              <w:t xml:space="preserve"> </w:t>
            </w:r>
            <w:r>
              <w:rPr>
                <w:rFonts w:hint="eastAsia" w:ascii="宋体" w:hAnsi="宋体" w:cs="Segoe UI Symbol"/>
                <w:kern w:val="0"/>
                <w:szCs w:val="21"/>
              </w:rPr>
              <w:t>□保险保单</w:t>
            </w:r>
          </w:p>
        </w:tc>
      </w:tr>
      <w:tr w14:paraId="49D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vMerge w:val="continue"/>
            <w:vAlign w:val="center"/>
          </w:tcPr>
          <w:p w14:paraId="4784817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Merge w:val="continue"/>
            <w:vAlign w:val="center"/>
          </w:tcPr>
          <w:p w14:paraId="0D7F297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p>
        </w:tc>
        <w:tc>
          <w:tcPr>
            <w:tcW w:w="5488" w:type="dxa"/>
            <w:vAlign w:val="center"/>
          </w:tcPr>
          <w:p w14:paraId="5AE443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45FA611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（一）中信银行</w:t>
            </w:r>
          </w:p>
          <w:p w14:paraId="77D636E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0A1DDE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4AF6B06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30BB25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（二）民生银行</w:t>
            </w:r>
          </w:p>
          <w:p w14:paraId="7A3A956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2828AC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AA386F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5E4EF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4F7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vMerge w:val="continue"/>
            <w:vAlign w:val="center"/>
          </w:tcPr>
          <w:p w14:paraId="05D4CEF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A174260">
            <w:pPr>
              <w:keepNext w:val="0"/>
              <w:keepLines w:val="0"/>
              <w:pageBreakBefore w:val="0"/>
              <w:widowControl w:val="0"/>
              <w:kinsoku/>
              <w:wordWrap w:val="0"/>
              <w:topLinePunct w:val="0"/>
              <w:autoSpaceDE w:val="0"/>
              <w:autoSpaceDN w:val="0"/>
              <w:bidi w:val="0"/>
              <w:adjustRightInd/>
              <w:snapToGrid/>
              <w:ind w:leftChars="-18" w:firstLine="0" w:firstLineChars="0"/>
              <w:jc w:val="center"/>
              <w:textAlignment w:val="auto"/>
              <w:rPr>
                <w:rFonts w:ascii="宋体" w:hAnsi="宋体"/>
                <w:szCs w:val="21"/>
                <w:shd w:val="clear" w:color="auto" w:fill="FFFFFF"/>
              </w:rPr>
            </w:pPr>
            <w:r>
              <w:rPr>
                <w:rFonts w:hint="eastAsia" w:ascii="宋体" w:hAnsi="宋体"/>
                <w:szCs w:val="21"/>
                <w:shd w:val="clear" w:color="auto" w:fill="FFFFFF"/>
              </w:rPr>
              <w:t>其他可以扣除响应及</w:t>
            </w:r>
            <w:r>
              <w:rPr>
                <w:rFonts w:ascii="宋体" w:hAnsi="宋体"/>
                <w:szCs w:val="21"/>
                <w:shd w:val="clear" w:color="auto" w:fill="FFFFFF"/>
              </w:rPr>
              <w:t>交易</w:t>
            </w:r>
            <w:r>
              <w:rPr>
                <w:rFonts w:hint="eastAsia" w:ascii="宋体" w:hAnsi="宋体"/>
                <w:szCs w:val="21"/>
                <w:shd w:val="clear" w:color="auto" w:fill="FFFFFF"/>
              </w:rPr>
              <w:t>保证金的情形：</w:t>
            </w:r>
          </w:p>
        </w:tc>
        <w:tc>
          <w:tcPr>
            <w:tcW w:w="5488" w:type="dxa"/>
            <w:vAlign w:val="center"/>
          </w:tcPr>
          <w:p w14:paraId="0706D94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1.竞价人一旦报名且确认资格并</w:t>
            </w:r>
            <w:r>
              <w:rPr>
                <w:rFonts w:ascii="宋体" w:hAnsi="宋体"/>
                <w:szCs w:val="21"/>
                <w:shd w:val="clear" w:color="auto" w:fill="FFFFFF"/>
              </w:rPr>
              <w:t>提交</w:t>
            </w:r>
            <w:r>
              <w:rPr>
                <w:rFonts w:hint="eastAsia" w:ascii="宋体" w:hAnsi="宋体"/>
                <w:szCs w:val="21"/>
                <w:shd w:val="clear" w:color="auto" w:fill="FFFFFF"/>
              </w:rPr>
              <w:t>响应及</w:t>
            </w:r>
            <w:r>
              <w:rPr>
                <w:rFonts w:ascii="宋体" w:hAnsi="宋体"/>
                <w:szCs w:val="21"/>
                <w:shd w:val="clear" w:color="auto" w:fill="FFFFFF"/>
              </w:rPr>
              <w:t>交易保证金</w:t>
            </w:r>
            <w:r>
              <w:rPr>
                <w:rFonts w:hint="eastAsia" w:ascii="宋体" w:hAnsi="宋体"/>
                <w:szCs w:val="21"/>
                <w:shd w:val="clear" w:color="auto" w:fill="FFFFFF"/>
              </w:rPr>
              <w:t>后，单方面要求退出</w:t>
            </w:r>
            <w:r>
              <w:rPr>
                <w:rFonts w:ascii="宋体" w:hAnsi="宋体"/>
                <w:szCs w:val="21"/>
                <w:shd w:val="clear" w:color="auto" w:fill="FFFFFF"/>
              </w:rPr>
              <w:t>本项目</w:t>
            </w:r>
            <w:r>
              <w:rPr>
                <w:rFonts w:hint="eastAsia" w:ascii="宋体" w:hAnsi="宋体"/>
                <w:szCs w:val="21"/>
                <w:shd w:val="clear" w:color="auto" w:fill="FFFFFF"/>
              </w:rPr>
              <w:t>的；</w:t>
            </w:r>
          </w:p>
          <w:p w14:paraId="452B3A8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2</w:t>
            </w:r>
            <w:r>
              <w:rPr>
                <w:rFonts w:hint="eastAsia" w:ascii="宋体" w:hAnsi="宋体"/>
                <w:szCs w:val="21"/>
                <w:shd w:val="clear" w:color="auto" w:fill="FFFFFF"/>
              </w:rPr>
              <w:t>.竞价人被确定为成交竞价人后，未在规定期限内与</w:t>
            </w:r>
            <w:r>
              <w:rPr>
                <w:rFonts w:ascii="宋体" w:hAnsi="宋体"/>
                <w:szCs w:val="21"/>
                <w:shd w:val="clear" w:color="auto" w:fill="FFFFFF"/>
              </w:rPr>
              <w:t>采购人</w:t>
            </w:r>
            <w:r>
              <w:rPr>
                <w:rFonts w:hint="eastAsia" w:ascii="宋体" w:hAnsi="宋体"/>
                <w:szCs w:val="21"/>
                <w:shd w:val="clear" w:color="auto" w:fill="FFFFFF"/>
              </w:rPr>
              <w:t>签订合同的；</w:t>
            </w:r>
          </w:p>
          <w:p w14:paraId="3C2BA0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3</w:t>
            </w:r>
            <w:r>
              <w:rPr>
                <w:rFonts w:hint="eastAsia" w:ascii="宋体" w:hAnsi="宋体"/>
                <w:szCs w:val="21"/>
                <w:shd w:val="clear" w:color="auto" w:fill="FFFFFF"/>
              </w:rPr>
              <w:t>. 竞价人被确定为成交竞价人后，未按约定支付</w:t>
            </w:r>
            <w:r>
              <w:rPr>
                <w:rFonts w:hint="eastAsia" w:ascii="宋体" w:hAnsi="宋体" w:cs="Segoe UI Symbol"/>
                <w:kern w:val="0"/>
                <w:szCs w:val="21"/>
              </w:rPr>
              <w:t>采购代理服务费</w:t>
            </w:r>
            <w:r>
              <w:rPr>
                <w:rFonts w:hint="eastAsia" w:ascii="宋体" w:hAnsi="宋体"/>
                <w:szCs w:val="21"/>
                <w:shd w:val="clear" w:color="auto" w:fill="FFFFFF"/>
              </w:rPr>
              <w:t>的；</w:t>
            </w:r>
          </w:p>
          <w:p w14:paraId="0A07D0E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4</w:t>
            </w:r>
            <w:r>
              <w:rPr>
                <w:rFonts w:hint="eastAsia" w:ascii="宋体" w:hAnsi="宋体"/>
                <w:szCs w:val="21"/>
                <w:shd w:val="clear" w:color="auto" w:fill="FFFFFF"/>
              </w:rPr>
              <w:t>.竞价人中选后未履行采购文件中规定全部义务的；</w:t>
            </w:r>
          </w:p>
          <w:p w14:paraId="41B0240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5</w:t>
            </w:r>
            <w:r>
              <w:rPr>
                <w:rFonts w:hint="eastAsia" w:ascii="宋体" w:hAnsi="宋体"/>
                <w:szCs w:val="21"/>
                <w:shd w:val="clear" w:color="auto" w:fill="FFFFFF"/>
              </w:rPr>
              <w:t>.签订协议后擅自转包他人的；</w:t>
            </w:r>
          </w:p>
          <w:p w14:paraId="0146155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6</w:t>
            </w:r>
            <w:r>
              <w:rPr>
                <w:rFonts w:hint="eastAsia" w:ascii="宋体" w:hAnsi="宋体"/>
                <w:szCs w:val="21"/>
                <w:shd w:val="clear" w:color="auto" w:fill="FFFFFF"/>
              </w:rPr>
              <w:t>.未按时按要求完成处置工作的；</w:t>
            </w:r>
          </w:p>
          <w:p w14:paraId="55512B9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7.成交竞价人存在其他违约情形的。</w:t>
            </w:r>
          </w:p>
        </w:tc>
      </w:tr>
      <w:tr w14:paraId="3F7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EC71A6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 xml:space="preserve"> 4.2.1</w:t>
            </w:r>
          </w:p>
        </w:tc>
        <w:tc>
          <w:tcPr>
            <w:tcW w:w="2130" w:type="dxa"/>
            <w:vAlign w:val="center"/>
          </w:tcPr>
          <w:p w14:paraId="31A6DD7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报价有效期</w:t>
            </w:r>
          </w:p>
        </w:tc>
        <w:tc>
          <w:tcPr>
            <w:tcW w:w="5488" w:type="dxa"/>
            <w:vAlign w:val="center"/>
          </w:tcPr>
          <w:p w14:paraId="445D029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kern w:val="0"/>
                <w:szCs w:val="21"/>
                <w:u w:val="single"/>
              </w:rPr>
              <w:t xml:space="preserve"> </w:t>
            </w:r>
            <w:r>
              <w:rPr>
                <w:rFonts w:ascii="宋体" w:hAnsi="宋体"/>
                <w:kern w:val="0"/>
                <w:szCs w:val="21"/>
                <w:u w:val="single"/>
              </w:rPr>
              <w:t>1</w:t>
            </w:r>
            <w:r>
              <w:rPr>
                <w:rFonts w:hint="eastAsia" w:ascii="宋体" w:hAnsi="宋体"/>
                <w:kern w:val="0"/>
                <w:szCs w:val="21"/>
                <w:u w:val="single"/>
              </w:rPr>
              <w:t xml:space="preserve">20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35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11CB565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4.4.1</w:t>
            </w:r>
          </w:p>
        </w:tc>
        <w:tc>
          <w:tcPr>
            <w:tcW w:w="2130" w:type="dxa"/>
            <w:vAlign w:val="center"/>
          </w:tcPr>
          <w:p w14:paraId="577C4D5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开始时间</w:t>
            </w:r>
          </w:p>
        </w:tc>
        <w:tc>
          <w:tcPr>
            <w:tcW w:w="5488" w:type="dxa"/>
            <w:vAlign w:val="center"/>
          </w:tcPr>
          <w:p w14:paraId="114BAD2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00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074B420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60855D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方法</w:t>
            </w:r>
          </w:p>
        </w:tc>
        <w:tc>
          <w:tcPr>
            <w:tcW w:w="5488" w:type="dxa"/>
            <w:vAlign w:val="center"/>
          </w:tcPr>
          <w:p w14:paraId="624869E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自由竞价+延时竞价：</w:t>
            </w:r>
          </w:p>
          <w:p w14:paraId="762D8C3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自由竞价时间：</w:t>
            </w:r>
            <w:r>
              <w:rPr>
                <w:rFonts w:hint="eastAsia" w:ascii="宋体" w:hAnsi="宋体"/>
                <w:szCs w:val="21"/>
                <w:u w:val="single"/>
              </w:rPr>
              <w:t xml:space="preserve">  </w:t>
            </w:r>
            <w:r>
              <w:rPr>
                <w:rFonts w:ascii="宋体" w:hAnsi="宋体"/>
                <w:szCs w:val="21"/>
                <w:u w:val="single"/>
              </w:rPr>
              <w:t xml:space="preserve"> 10  </w:t>
            </w:r>
            <w:r>
              <w:rPr>
                <w:rFonts w:hint="eastAsia" w:ascii="宋体" w:hAnsi="宋体"/>
                <w:szCs w:val="21"/>
                <w:u w:val="single"/>
              </w:rPr>
              <w:t xml:space="preserve">   </w:t>
            </w:r>
            <w:r>
              <w:rPr>
                <w:rFonts w:hint="eastAsia" w:ascii="宋体" w:hAnsi="宋体"/>
                <w:szCs w:val="21"/>
              </w:rPr>
              <w:t>分钟</w:t>
            </w:r>
          </w:p>
          <w:p w14:paraId="56BE390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延时竞价时间：</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分钟</w:t>
            </w:r>
          </w:p>
        </w:tc>
      </w:tr>
      <w:tr w14:paraId="4BE4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1A1C0C8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2683A62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网址</w:t>
            </w:r>
          </w:p>
        </w:tc>
        <w:tc>
          <w:tcPr>
            <w:tcW w:w="5488" w:type="dxa"/>
            <w:vAlign w:val="center"/>
          </w:tcPr>
          <w:p w14:paraId="1B879D2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Cs/>
                <w:szCs w:val="21"/>
              </w:rPr>
              <w:t>深圳阳光采购平台（https://ygcg.szexgrp.com/）</w:t>
            </w:r>
          </w:p>
        </w:tc>
      </w:tr>
      <w:tr w14:paraId="1991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1B568F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95C921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签到时间</w:t>
            </w:r>
          </w:p>
        </w:tc>
        <w:tc>
          <w:tcPr>
            <w:tcW w:w="5488" w:type="dxa"/>
            <w:vAlign w:val="center"/>
          </w:tcPr>
          <w:p w14:paraId="042D766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highlight w:val="yellow"/>
              </w:rPr>
            </w:pPr>
            <w:r>
              <w:rPr>
                <w:rFonts w:ascii="宋体" w:hAnsi="宋体"/>
                <w:b/>
                <w:bCs/>
                <w:szCs w:val="21"/>
                <w:highlight w:val="yellow"/>
              </w:rPr>
              <w:t>202</w:t>
            </w:r>
            <w:r>
              <w:rPr>
                <w:rFonts w:hint="eastAsia" w:ascii="宋体" w:hAnsi="宋体"/>
                <w:b/>
                <w:bCs/>
                <w:szCs w:val="21"/>
                <w:highlight w:val="yellow"/>
                <w:lang w:val="en-US" w:eastAsia="zh-CN"/>
              </w:rPr>
              <w:t>6</w:t>
            </w:r>
            <w:r>
              <w:rPr>
                <w:rFonts w:ascii="宋体" w:hAnsi="宋体"/>
                <w:b/>
                <w:bCs/>
                <w:szCs w:val="21"/>
                <w:highlight w:val="yellow"/>
              </w:rPr>
              <w:t>年</w:t>
            </w:r>
            <w:r>
              <w:rPr>
                <w:rFonts w:hint="eastAsia" w:ascii="宋体" w:hAnsi="宋体"/>
                <w:b/>
                <w:bCs/>
                <w:szCs w:val="21"/>
                <w:highlight w:val="yellow"/>
                <w:lang w:val="en-US" w:eastAsia="zh-CN"/>
              </w:rPr>
              <w:t>7</w:t>
            </w:r>
            <w:r>
              <w:rPr>
                <w:rFonts w:ascii="宋体" w:hAnsi="宋体"/>
                <w:b/>
                <w:bCs/>
                <w:szCs w:val="21"/>
                <w:highlight w:val="yellow"/>
              </w:rPr>
              <w:t>月</w:t>
            </w:r>
            <w:r>
              <w:rPr>
                <w:rFonts w:hint="eastAsia" w:ascii="宋体" w:hAnsi="宋体"/>
                <w:b/>
                <w:bCs/>
                <w:szCs w:val="21"/>
                <w:highlight w:val="yellow"/>
                <w:lang w:val="en-US" w:eastAsia="zh-CN"/>
              </w:rPr>
              <w:t>17</w:t>
            </w:r>
            <w:r>
              <w:rPr>
                <w:rFonts w:ascii="宋体" w:hAnsi="宋体"/>
                <w:b/>
                <w:bCs/>
                <w:szCs w:val="21"/>
                <w:highlight w:val="yellow"/>
              </w:rPr>
              <w:t>日</w:t>
            </w:r>
            <w:r>
              <w:rPr>
                <w:rFonts w:hint="eastAsia" w:ascii="宋体" w:hAnsi="宋体"/>
                <w:b/>
                <w:bCs/>
                <w:szCs w:val="21"/>
                <w:highlight w:val="yellow"/>
                <w:lang w:val="en-US" w:eastAsia="zh-CN"/>
              </w:rPr>
              <w:t>10:00</w:t>
            </w:r>
            <w:r>
              <w:rPr>
                <w:rFonts w:hint="eastAsia" w:ascii="宋体" w:hAnsi="宋体"/>
                <w:b/>
                <w:bCs/>
                <w:szCs w:val="21"/>
                <w:highlight w:val="yellow"/>
              </w:rPr>
              <w:t xml:space="preserve">时 （北京时间） </w:t>
            </w:r>
          </w:p>
          <w:p w14:paraId="2C2333C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highlight w:val="yellow"/>
              </w:rPr>
              <w:t>(</w:t>
            </w:r>
            <w:r>
              <w:rPr>
                <w:rFonts w:hint="eastAsia" w:ascii="宋体" w:hAnsi="宋体"/>
                <w:szCs w:val="21"/>
                <w:highlight w:val="yellow"/>
              </w:rPr>
              <w:t>请</w:t>
            </w:r>
            <w:r>
              <w:rPr>
                <w:rFonts w:ascii="宋体" w:hAnsi="宋体"/>
                <w:szCs w:val="21"/>
                <w:highlight w:val="yellow"/>
              </w:rPr>
              <w:t>竞价人</w:t>
            </w:r>
            <w:r>
              <w:rPr>
                <w:rFonts w:hint="eastAsia" w:ascii="宋体" w:hAnsi="宋体"/>
                <w:szCs w:val="21"/>
                <w:highlight w:val="yellow"/>
              </w:rPr>
              <w:t>在以上</w:t>
            </w:r>
            <w:r>
              <w:rPr>
                <w:rFonts w:ascii="宋体" w:hAnsi="宋体"/>
                <w:szCs w:val="21"/>
                <w:highlight w:val="yellow"/>
              </w:rPr>
              <w:t>时间内</w:t>
            </w:r>
            <w:r>
              <w:rPr>
                <w:rFonts w:hint="eastAsia" w:ascii="宋体" w:hAnsi="宋体"/>
                <w:szCs w:val="21"/>
                <w:highlight w:val="yellow"/>
              </w:rPr>
              <w:t>提前准备进入竞价会，竞价时间自动开启</w:t>
            </w:r>
            <w:r>
              <w:rPr>
                <w:rFonts w:ascii="宋体" w:hAnsi="宋体"/>
                <w:szCs w:val="21"/>
                <w:highlight w:val="yellow"/>
              </w:rPr>
              <w:t>)</w:t>
            </w:r>
          </w:p>
        </w:tc>
      </w:tr>
      <w:tr w14:paraId="086E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8EE7C8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4710044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地址</w:t>
            </w:r>
          </w:p>
        </w:tc>
        <w:tc>
          <w:tcPr>
            <w:tcW w:w="5488" w:type="dxa"/>
            <w:vAlign w:val="center"/>
          </w:tcPr>
          <w:p w14:paraId="359277A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
                <w:bCs/>
                <w:szCs w:val="21"/>
                <w:highlight w:val="yellow"/>
              </w:rPr>
              <w:t>线上竞价</w:t>
            </w:r>
          </w:p>
        </w:tc>
      </w:tr>
      <w:tr w14:paraId="263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E53634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4.1.1</w:t>
            </w:r>
          </w:p>
        </w:tc>
        <w:tc>
          <w:tcPr>
            <w:tcW w:w="2130" w:type="dxa"/>
            <w:vAlign w:val="center"/>
          </w:tcPr>
          <w:p w14:paraId="1D4936C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起始</w:t>
            </w:r>
            <w:r>
              <w:rPr>
                <w:rFonts w:hint="eastAsia" w:ascii="宋体" w:hAnsi="宋体"/>
                <w:szCs w:val="21"/>
              </w:rPr>
              <w:t>价</w:t>
            </w:r>
          </w:p>
        </w:tc>
        <w:tc>
          <w:tcPr>
            <w:tcW w:w="5488" w:type="dxa"/>
            <w:vAlign w:val="center"/>
          </w:tcPr>
          <w:p w14:paraId="4599981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szCs w:val="21"/>
                <w:shd w:val="clear" w:color="auto" w:fill="FFFFFF"/>
              </w:rPr>
              <w:t>☑</w:t>
            </w:r>
            <w:r>
              <w:rPr>
                <w:rFonts w:hint="eastAsia" w:ascii="宋体" w:hAnsi="宋体" w:cs="Segoe UI Symbol"/>
                <w:kern w:val="0"/>
                <w:szCs w:val="21"/>
              </w:rPr>
              <w:t>起始价：</w:t>
            </w:r>
          </w:p>
          <w:p w14:paraId="20EABC0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shd w:val="clear" w:color="auto" w:fill="FFFFFF"/>
              </w:rPr>
            </w:pPr>
            <w:r>
              <w:rPr>
                <w:rFonts w:hint="eastAsia" w:ascii="宋体" w:hAnsi="宋体"/>
                <w:b/>
                <w:bCs/>
                <w:szCs w:val="21"/>
                <w:shd w:val="clear" w:color="auto" w:fill="FFFFFF"/>
              </w:rPr>
              <w:t>详见附表《标的信息》</w:t>
            </w:r>
          </w:p>
          <w:p w14:paraId="23AC92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□起始价说明或其计算方法：</w:t>
            </w:r>
            <w:r>
              <w:rPr>
                <w:rFonts w:hint="eastAsia" w:ascii="宋体" w:hAnsi="宋体" w:cs="Segoe UI Symbol"/>
                <w:kern w:val="0"/>
                <w:szCs w:val="21"/>
                <w:u w:val="single"/>
              </w:rPr>
              <w:t xml:space="preserve">      </w:t>
            </w:r>
          </w:p>
        </w:tc>
      </w:tr>
      <w:tr w14:paraId="4D9D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B7A5FF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62BF2D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方式</w:t>
            </w:r>
          </w:p>
        </w:tc>
        <w:tc>
          <w:tcPr>
            <w:tcW w:w="5488" w:type="dxa"/>
            <w:vAlign w:val="center"/>
          </w:tcPr>
          <w:p w14:paraId="0D71F8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Segoe UI Symbol" w:hAnsi="Segoe UI Symbol" w:cs="Segoe UI Symbol"/>
                <w:szCs w:val="21"/>
                <w:shd w:val="clear" w:color="auto" w:fill="FFFFFF"/>
              </w:rPr>
              <w:t>☑</w:t>
            </w:r>
            <w:r>
              <w:rPr>
                <w:rFonts w:hint="eastAsia" w:ascii="宋体" w:hAnsi="宋体"/>
                <w:szCs w:val="21"/>
              </w:rPr>
              <w:t>向上竞价</w:t>
            </w:r>
            <w:r>
              <w:rPr>
                <w:rFonts w:ascii="宋体" w:hAnsi="宋体"/>
                <w:szCs w:val="21"/>
              </w:rPr>
              <w:t xml:space="preserve">  </w:t>
            </w:r>
            <w:r>
              <w:rPr>
                <w:rFonts w:hint="eastAsia" w:ascii="宋体" w:hAnsi="宋体" w:cs="Segoe UI Symbol"/>
                <w:kern w:val="0"/>
                <w:szCs w:val="21"/>
              </w:rPr>
              <w:t>□</w:t>
            </w:r>
            <w:r>
              <w:rPr>
                <w:rFonts w:hint="eastAsia" w:ascii="宋体" w:hAnsi="宋体"/>
                <w:szCs w:val="21"/>
              </w:rPr>
              <w:t>向下竞价</w:t>
            </w:r>
          </w:p>
        </w:tc>
      </w:tr>
      <w:tr w14:paraId="140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2DE56F6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D94300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竞价幅度</w:t>
            </w:r>
          </w:p>
        </w:tc>
        <w:tc>
          <w:tcPr>
            <w:tcW w:w="5488" w:type="dxa"/>
            <w:vAlign w:val="center"/>
          </w:tcPr>
          <w:p w14:paraId="51317A2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各标的每次加价的幅度均为</w:t>
            </w:r>
            <w:r>
              <w:rPr>
                <w:rFonts w:hint="eastAsia" w:ascii="宋体" w:hAnsi="宋体" w:cs="Segoe UI Symbol"/>
                <w:kern w:val="0"/>
                <w:szCs w:val="21"/>
                <w:u w:val="single"/>
              </w:rPr>
              <w:t>100</w:t>
            </w:r>
            <w:r>
              <w:rPr>
                <w:rFonts w:hint="eastAsia" w:ascii="宋体" w:hAnsi="宋体" w:cs="Segoe UI Symbol"/>
                <w:kern w:val="0"/>
                <w:szCs w:val="21"/>
              </w:rPr>
              <w:t>元的整数倍</w:t>
            </w:r>
          </w:p>
        </w:tc>
      </w:tr>
      <w:tr w14:paraId="44B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1D74C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6.2.1</w:t>
            </w:r>
          </w:p>
        </w:tc>
        <w:tc>
          <w:tcPr>
            <w:tcW w:w="2130" w:type="dxa"/>
            <w:vAlign w:val="center"/>
          </w:tcPr>
          <w:p w14:paraId="16C13AD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488" w:type="dxa"/>
            <w:vAlign w:val="center"/>
          </w:tcPr>
          <w:p w14:paraId="7D617F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u w:val="single"/>
              </w:rPr>
            </w:pPr>
            <w:r>
              <w:rPr>
                <w:rFonts w:hint="eastAsia" w:ascii="宋体" w:hAnsi="宋体" w:cs="Segoe UI Symbol"/>
                <w:kern w:val="0"/>
                <w:szCs w:val="21"/>
                <w:u w:val="single"/>
              </w:rPr>
              <w:t>1名成交供应商</w:t>
            </w:r>
          </w:p>
        </w:tc>
      </w:tr>
      <w:tr w14:paraId="777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vAlign w:val="center"/>
          </w:tcPr>
          <w:p w14:paraId="15B6AF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2816A1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采购公告</w:t>
            </w:r>
          </w:p>
        </w:tc>
        <w:tc>
          <w:tcPr>
            <w:tcW w:w="5488" w:type="dxa"/>
            <w:vMerge w:val="restart"/>
            <w:vAlign w:val="center"/>
          </w:tcPr>
          <w:p w14:paraId="18991A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公示/公告媒介：</w:t>
            </w:r>
          </w:p>
          <w:p w14:paraId="64D2CD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bCs/>
                <w:szCs w:val="21"/>
              </w:rPr>
            </w:pPr>
            <w:r>
              <w:rPr>
                <w:rFonts w:hint="eastAsia" w:ascii="宋体" w:hAnsi="宋体"/>
                <w:bCs/>
                <w:szCs w:val="21"/>
              </w:rPr>
              <w:t>1、深圳阳光采购平台（https://ygcg.szexgrp.com/）</w:t>
            </w:r>
          </w:p>
          <w:p w14:paraId="66F9EE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宋体"/>
                <w:szCs w:val="21"/>
              </w:rPr>
            </w:pPr>
            <w:r>
              <w:rPr>
                <w:rFonts w:hint="eastAsia" w:ascii="宋体" w:hAnsi="宋体" w:cs="宋体"/>
                <w:szCs w:val="21"/>
              </w:rPr>
              <w:t>2、中国招标投标公共服务平台（www.cebpubservice.com）</w:t>
            </w:r>
          </w:p>
        </w:tc>
      </w:tr>
      <w:tr w14:paraId="44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861B82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6.3.1</w:t>
            </w:r>
          </w:p>
        </w:tc>
        <w:tc>
          <w:tcPr>
            <w:tcW w:w="2130" w:type="dxa"/>
            <w:vAlign w:val="center"/>
          </w:tcPr>
          <w:p w14:paraId="569828E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kern w:val="0"/>
                <w:szCs w:val="21"/>
              </w:rPr>
              <w:t>成交候选人公示</w:t>
            </w:r>
          </w:p>
        </w:tc>
        <w:tc>
          <w:tcPr>
            <w:tcW w:w="5488" w:type="dxa"/>
            <w:vMerge w:val="continue"/>
            <w:vAlign w:val="center"/>
          </w:tcPr>
          <w:p w14:paraId="0F97CDE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p>
        </w:tc>
      </w:tr>
      <w:tr w14:paraId="33A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0BCF004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130" w:type="dxa"/>
            <w:vAlign w:val="center"/>
          </w:tcPr>
          <w:p w14:paraId="79EF59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履约</w:t>
            </w:r>
            <w:r>
              <w:rPr>
                <w:rFonts w:hint="eastAsia" w:ascii="宋体" w:hAnsi="宋体"/>
                <w:szCs w:val="21"/>
              </w:rPr>
              <w:t>担保</w:t>
            </w:r>
          </w:p>
        </w:tc>
        <w:tc>
          <w:tcPr>
            <w:tcW w:w="5488" w:type="dxa"/>
            <w:vAlign w:val="center"/>
          </w:tcPr>
          <w:p w14:paraId="788BA1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 不要求递交</w:t>
            </w:r>
          </w:p>
          <w:p w14:paraId="006A811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kern w:val="0"/>
                <w:szCs w:val="21"/>
              </w:rPr>
              <w:t>☑</w:t>
            </w:r>
            <w:r>
              <w:rPr>
                <w:rFonts w:hint="eastAsia" w:ascii="宋体" w:hAnsi="宋体" w:cs="Segoe UI Symbol"/>
                <w:kern w:val="0"/>
                <w:szCs w:val="21"/>
              </w:rPr>
              <w:t>要求</w:t>
            </w:r>
            <w:r>
              <w:rPr>
                <w:rFonts w:ascii="宋体" w:hAnsi="宋体" w:cs="Segoe UI Symbol"/>
                <w:kern w:val="0"/>
                <w:szCs w:val="21"/>
              </w:rPr>
              <w:t>递交</w:t>
            </w:r>
          </w:p>
          <w:p w14:paraId="23500A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u w:val="single"/>
                <w:lang w:val="en-US" w:eastAsia="zh-CN"/>
              </w:rPr>
            </w:pPr>
            <w:r>
              <w:rPr>
                <w:rFonts w:hint="eastAsia" w:ascii="宋体" w:hAnsi="宋体" w:cs="Segoe UI Symbol"/>
                <w:kern w:val="0"/>
                <w:szCs w:val="21"/>
              </w:rPr>
              <w:t>履约保证金金额</w:t>
            </w:r>
            <w:r>
              <w:rPr>
                <w:rFonts w:ascii="宋体" w:hAnsi="宋体" w:cs="Segoe UI Symbol"/>
                <w:kern w:val="0"/>
                <w:szCs w:val="21"/>
              </w:rPr>
              <w:t>：</w:t>
            </w:r>
            <w:r>
              <w:rPr>
                <w:rFonts w:ascii="宋体" w:hAnsi="宋体" w:cs="Segoe UI Symbol"/>
                <w:kern w:val="0"/>
                <w:szCs w:val="21"/>
                <w:u w:val="single"/>
              </w:rPr>
              <w:t xml:space="preserve"> </w:t>
            </w:r>
            <w:r>
              <w:rPr>
                <w:rFonts w:hint="eastAsia" w:ascii="宋体" w:hAnsi="宋体"/>
                <w:szCs w:val="21"/>
                <w:u w:val="single"/>
                <w:shd w:val="clear" w:color="auto" w:fill="FFFFFF"/>
              </w:rPr>
              <w:t>成交金额的10%</w:t>
            </w:r>
            <w:r>
              <w:rPr>
                <w:rFonts w:hint="eastAsia" w:ascii="宋体" w:hAnsi="宋体"/>
                <w:szCs w:val="21"/>
                <w:u w:val="single"/>
                <w:shd w:val="clear" w:color="auto" w:fill="FFFFFF"/>
                <w:lang w:val="en-US" w:eastAsia="zh-CN"/>
              </w:rPr>
              <w:t xml:space="preserve"> </w:t>
            </w:r>
          </w:p>
          <w:p w14:paraId="56F15A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cs="Segoe UI Symbol"/>
                <w:kern w:val="0"/>
                <w:szCs w:val="21"/>
                <w:lang w:val="en-US"/>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竞价人确定为</w:t>
            </w:r>
            <w:r>
              <w:rPr>
                <w:rFonts w:hint="eastAsia" w:ascii="宋体" w:hAnsi="宋体"/>
                <w:szCs w:val="21"/>
                <w:shd w:val="clear" w:color="auto" w:fill="FFFFFF"/>
              </w:rPr>
              <w:t>成交竞价人</w:t>
            </w:r>
            <w:r>
              <w:rPr>
                <w:rFonts w:hint="eastAsia" w:ascii="宋体" w:hAnsi="宋体" w:cs="Segoe UI Symbol"/>
                <w:kern w:val="0"/>
                <w:szCs w:val="21"/>
              </w:rPr>
              <w:t>后，</w:t>
            </w:r>
            <w:r>
              <w:rPr>
                <w:rFonts w:hint="eastAsia" w:ascii="宋体" w:hAnsi="宋体" w:cs="Segoe UI Symbol"/>
                <w:kern w:val="0"/>
                <w:szCs w:val="21"/>
                <w:lang w:val="en-US" w:eastAsia="zh-CN"/>
              </w:rPr>
              <w:t>以银行保函或者转账等方式缴纳，具体方式以合同约定为准。</w:t>
            </w:r>
          </w:p>
        </w:tc>
      </w:tr>
      <w:tr w14:paraId="034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4FE41C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130" w:type="dxa"/>
            <w:vAlign w:val="center"/>
          </w:tcPr>
          <w:p w14:paraId="5494D3A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highlight w:val="none"/>
              </w:rPr>
            </w:pPr>
            <w:r>
              <w:rPr>
                <w:rFonts w:hint="eastAsia" w:ascii="宋体" w:hAnsi="宋体"/>
                <w:szCs w:val="21"/>
                <w:highlight w:val="none"/>
              </w:rPr>
              <w:t>签订</w:t>
            </w:r>
            <w:r>
              <w:rPr>
                <w:rFonts w:ascii="宋体" w:hAnsi="宋体"/>
                <w:szCs w:val="21"/>
                <w:highlight w:val="none"/>
              </w:rPr>
              <w:t>合同</w:t>
            </w:r>
            <w:r>
              <w:rPr>
                <w:rFonts w:hint="eastAsia" w:ascii="宋体" w:hAnsi="宋体"/>
                <w:szCs w:val="21"/>
                <w:highlight w:val="none"/>
              </w:rPr>
              <w:t>时间</w:t>
            </w:r>
          </w:p>
        </w:tc>
        <w:tc>
          <w:tcPr>
            <w:tcW w:w="5488" w:type="dxa"/>
            <w:vAlign w:val="center"/>
          </w:tcPr>
          <w:p w14:paraId="1A4B04B6">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kern w:val="0"/>
                <w:szCs w:val="21"/>
                <w:highlight w:val="none"/>
              </w:rPr>
            </w:pPr>
            <w:r>
              <w:rPr>
                <w:rFonts w:hint="eastAsia" w:ascii="宋体" w:hAnsi="宋体"/>
                <w:kern w:val="0"/>
                <w:szCs w:val="21"/>
                <w:highlight w:val="none"/>
              </w:rPr>
              <w:t>成交通知书发出次日起3个</w:t>
            </w:r>
            <w:r>
              <w:rPr>
                <w:rFonts w:ascii="宋体" w:hAnsi="宋体"/>
                <w:kern w:val="0"/>
                <w:szCs w:val="21"/>
                <w:highlight w:val="none"/>
              </w:rPr>
              <w:t>工作</w:t>
            </w:r>
            <w:r>
              <w:rPr>
                <w:rFonts w:hint="eastAsia" w:ascii="宋体" w:hAnsi="宋体"/>
                <w:kern w:val="0"/>
                <w:szCs w:val="21"/>
                <w:highlight w:val="none"/>
              </w:rPr>
              <w:t>日内。</w:t>
            </w:r>
          </w:p>
        </w:tc>
      </w:tr>
      <w:tr w14:paraId="13B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5407960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w:t>
            </w:r>
          </w:p>
        </w:tc>
        <w:tc>
          <w:tcPr>
            <w:tcW w:w="2130" w:type="dxa"/>
            <w:vAlign w:val="center"/>
          </w:tcPr>
          <w:p w14:paraId="6AF2ABF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kern w:val="0"/>
                <w:szCs w:val="21"/>
              </w:rPr>
              <w:t>交易相关费用</w:t>
            </w:r>
          </w:p>
        </w:tc>
        <w:tc>
          <w:tcPr>
            <w:tcW w:w="5488" w:type="dxa"/>
            <w:vAlign w:val="center"/>
          </w:tcPr>
          <w:p w14:paraId="384FF024">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Segoe UI Symbol" w:hAnsi="Segoe UI Symbol"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平台交易服务费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Segoe UI Symbol" w:hAnsi="Segoe UI Symbol" w:eastAsia="宋体" w:cs="Segoe UI Symbol"/>
                <w:kern w:val="0"/>
                <w:szCs w:val="21"/>
              </w:rPr>
              <w:t>成交供应商缴纳</w:t>
            </w:r>
          </w:p>
          <w:p w14:paraId="3539E69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收费标准：</w:t>
            </w:r>
          </w:p>
          <w:p w14:paraId="121F72CC">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（一）以项目包(标段)中标价为基数，按下列收费标准执行：</w:t>
            </w:r>
          </w:p>
          <w:p w14:paraId="5194CB1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（1）按中标价的1‰收取。</w:t>
            </w:r>
          </w:p>
          <w:p w14:paraId="54053489">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（2）单个项目包（标段）最低收费5000元，最高收费25万元。</w:t>
            </w:r>
          </w:p>
          <w:p w14:paraId="1F035F3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（二）收费标准的补充说明</w:t>
            </w:r>
          </w:p>
          <w:p w14:paraId="416986E2">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（1）对于报总价的采购类项目，中标价为中标（成交）金额；对于报单价或折扣或费率的采购类项目，中标价为预算金额。</w:t>
            </w:r>
          </w:p>
          <w:p w14:paraId="12236A93">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（2）以单一来源方式成交的项目，平台交易服务费下浮70%。</w:t>
            </w:r>
          </w:p>
          <w:p w14:paraId="7F58C5C8">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（3）采购失败的项目，不收取平台交易服务费。</w:t>
            </w:r>
          </w:p>
          <w:p w14:paraId="6473391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采购代理服务费：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宋体" w:hAnsi="宋体" w:eastAsia="宋体" w:cs="Segoe UI Symbol"/>
                <w:kern w:val="0"/>
                <w:szCs w:val="21"/>
              </w:rPr>
              <w:t>成交供应商缴纳</w:t>
            </w:r>
          </w:p>
          <w:p w14:paraId="39901F10">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ascii="Times New Roman" w:hAnsi="Times New Roman" w:eastAsia="宋体" w:cs="Times New Roman"/>
              </w:rPr>
            </w:pPr>
            <w:r>
              <w:rPr>
                <w:rFonts w:hint="eastAsia" w:ascii="宋体" w:hAnsi="宋体" w:eastAsia="宋体" w:cs="Times New Roman"/>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eastAsia="宋体" w:cs="Times New Roman"/>
              </w:rPr>
              <w:t>0.8</w:t>
            </w:r>
            <w:r>
              <w:rPr>
                <w:rFonts w:hint="eastAsia" w:ascii="宋体" w:hAnsi="宋体" w:eastAsia="宋体" w:cs="Times New Roman"/>
              </w:rPr>
              <w:t>收取采购代理服务费。</w:t>
            </w:r>
          </w:p>
          <w:p w14:paraId="5906123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eastAsia="宋体" w:cs="Times New Roman"/>
                <w:kern w:val="0"/>
                <w:szCs w:val="21"/>
              </w:rPr>
              <w:t>□其他费用：</w:t>
            </w:r>
            <w:r>
              <w:rPr>
                <w:rFonts w:ascii="宋体" w:hAnsi="宋体" w:eastAsia="宋体" w:cs="Segoe UI Symbol"/>
                <w:kern w:val="0"/>
                <w:szCs w:val="21"/>
                <w:u w:val="single"/>
              </w:rPr>
              <w:t xml:space="preserve">                        </w:t>
            </w:r>
          </w:p>
        </w:tc>
      </w:tr>
      <w:tr w14:paraId="24D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4"/>
            <w:shd w:val="clear" w:color="auto" w:fill="DEEAF6"/>
            <w:vAlign w:val="center"/>
          </w:tcPr>
          <w:p w14:paraId="725A4D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763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9" w:type="dxa"/>
            <w:vAlign w:val="center"/>
          </w:tcPr>
          <w:p w14:paraId="4DCD2A2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Segoe UI Symbol"/>
                <w:kern w:val="0"/>
                <w:szCs w:val="21"/>
              </w:rPr>
            </w:pPr>
            <w:r>
              <w:rPr>
                <w:rFonts w:ascii="宋体" w:hAnsi="宋体" w:cs="Segoe UI Symbol"/>
                <w:kern w:val="0"/>
                <w:szCs w:val="21"/>
              </w:rPr>
              <w:t>7.4</w:t>
            </w:r>
          </w:p>
        </w:tc>
        <w:tc>
          <w:tcPr>
            <w:tcW w:w="7638" w:type="dxa"/>
            <w:gridSpan w:val="3"/>
            <w:vAlign w:val="center"/>
          </w:tcPr>
          <w:p w14:paraId="28D20912">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rPr>
              <w:t>采购失</w:t>
            </w:r>
            <w:r>
              <w:rPr>
                <w:rFonts w:hint="eastAsia" w:asciiTheme="minorEastAsia" w:hAnsiTheme="minorEastAsia" w:eastAsiaTheme="minorEastAsia" w:cstheme="minorEastAsia"/>
              </w:rPr>
              <w:t>败的后续处理办法</w:t>
            </w:r>
            <w:r>
              <w:rPr>
                <w:rFonts w:hint="eastAsia" w:asciiTheme="minorEastAsia" w:hAnsiTheme="minorEastAsia" w:eastAsiaTheme="minorEastAsia" w:cstheme="minorEastAsia"/>
                <w:lang w:eastAsia="zh-CN"/>
              </w:rPr>
              <w:t>：</w:t>
            </w:r>
          </w:p>
          <w:p w14:paraId="3F02114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29503E87">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DEF2155">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tc>
      </w:tr>
    </w:tbl>
    <w:p w14:paraId="3C330E07">
      <w:pPr>
        <w:ind w:firstLine="643"/>
        <w:rPr>
          <w:rFonts w:ascii="宋体" w:hAnsi="宋体"/>
          <w:b/>
          <w:sz w:val="32"/>
          <w:szCs w:val="32"/>
        </w:rPr>
      </w:pPr>
      <w:bookmarkStart w:id="15" w:name="_Hlk532141677"/>
      <w:r>
        <w:rPr>
          <w:rFonts w:hint="eastAsia" w:ascii="宋体" w:hAnsi="宋体"/>
          <w:b/>
          <w:sz w:val="32"/>
          <w:szCs w:val="32"/>
        </w:rPr>
        <w:br w:type="page"/>
      </w:r>
    </w:p>
    <w:p w14:paraId="2B71EC4A">
      <w:pPr>
        <w:ind w:firstLine="0" w:firstLineChars="0"/>
        <w:rPr>
          <w:rFonts w:ascii="宋体" w:hAnsi="宋体"/>
          <w:b/>
          <w:sz w:val="32"/>
          <w:szCs w:val="32"/>
        </w:rPr>
      </w:pPr>
      <w:r>
        <w:rPr>
          <w:rFonts w:hint="eastAsia" w:ascii="宋体"/>
          <w:b/>
          <w:sz w:val="24"/>
        </w:rPr>
        <w:t>附表</w:t>
      </w:r>
    </w:p>
    <w:tbl>
      <w:tblPr>
        <w:tblStyle w:val="50"/>
        <w:tblW w:w="52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2438"/>
        <w:gridCol w:w="1700"/>
        <w:gridCol w:w="1237"/>
        <w:gridCol w:w="2140"/>
      </w:tblGrid>
      <w:tr w14:paraId="2096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C7DAF1" w:themeFill="text2" w:themeFillTint="32"/>
          </w:tcPr>
          <w:p w14:paraId="5361A756">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ascii="宋体" w:hAnsi="宋体" w:cs="宋体"/>
                <w:b/>
                <w:sz w:val="22"/>
                <w:szCs w:val="22"/>
                <w:highlight w:val="none"/>
              </w:rPr>
            </w:pPr>
            <w:r>
              <w:rPr>
                <w:rFonts w:hint="eastAsia" w:ascii="宋体" w:hAnsi="宋体" w:cs="宋体"/>
                <w:b/>
                <w:sz w:val="28"/>
                <w:szCs w:val="28"/>
                <w:highlight w:val="none"/>
              </w:rPr>
              <w:t>标的信息</w:t>
            </w:r>
          </w:p>
        </w:tc>
      </w:tr>
      <w:tr w14:paraId="6C34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pct"/>
            <w:shd w:val="clear" w:color="auto" w:fill="C7DAF1" w:themeFill="text2" w:themeFillTint="32"/>
            <w:vAlign w:val="center"/>
          </w:tcPr>
          <w:p w14:paraId="7DB89D0C">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1311" w:type="pct"/>
            <w:shd w:val="clear" w:color="auto" w:fill="C7DAF1" w:themeFill="text2" w:themeFillTint="32"/>
            <w:vAlign w:val="center"/>
          </w:tcPr>
          <w:p w14:paraId="3AAB3631">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标的物名称</w:t>
            </w:r>
          </w:p>
        </w:tc>
        <w:tc>
          <w:tcPr>
            <w:tcW w:w="914" w:type="pct"/>
            <w:shd w:val="clear" w:color="auto" w:fill="C7DAF1" w:themeFill="text2" w:themeFillTint="32"/>
            <w:vAlign w:val="center"/>
          </w:tcPr>
          <w:p w14:paraId="30D886C2">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665" w:type="pct"/>
            <w:shd w:val="clear" w:color="auto" w:fill="C7DAF1" w:themeFill="text2" w:themeFillTint="32"/>
            <w:vAlign w:val="center"/>
          </w:tcPr>
          <w:p w14:paraId="3DD4A4B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车辆数</w:t>
            </w:r>
          </w:p>
          <w:p w14:paraId="22122B1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（台）</w:t>
            </w:r>
          </w:p>
        </w:tc>
        <w:tc>
          <w:tcPr>
            <w:tcW w:w="1151" w:type="pct"/>
            <w:shd w:val="clear" w:color="auto" w:fill="C7DAF1" w:themeFill="text2" w:themeFillTint="32"/>
            <w:vAlign w:val="center"/>
          </w:tcPr>
          <w:p w14:paraId="7F0DC5C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681C1EBB">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ascii="宋体" w:hAnsi="宋体" w:cs="宋体"/>
                <w:b/>
                <w:sz w:val="22"/>
                <w:szCs w:val="22"/>
                <w:highlight w:val="none"/>
              </w:rPr>
            </w:pPr>
            <w:r>
              <w:rPr>
                <w:rFonts w:hint="eastAsia" w:ascii="宋体" w:hAnsi="宋体" w:cs="宋体"/>
                <w:b/>
                <w:bCs/>
                <w:color w:val="000000"/>
                <w:kern w:val="0"/>
                <w:szCs w:val="21"/>
                <w:highlight w:val="none"/>
                <w:lang w:bidi="ar"/>
              </w:rPr>
              <w:t>（元/台，含税）</w:t>
            </w:r>
          </w:p>
        </w:tc>
      </w:tr>
      <w:tr w14:paraId="27B8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956" w:type="pct"/>
            <w:vAlign w:val="center"/>
          </w:tcPr>
          <w:p w14:paraId="205A9D91">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eastAsia"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YG26QJ0043088</w:t>
            </w:r>
          </w:p>
        </w:tc>
        <w:tc>
          <w:tcPr>
            <w:tcW w:w="1311" w:type="pct"/>
            <w:vAlign w:val="center"/>
          </w:tcPr>
          <w:p w14:paraId="58632E5A">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比亚迪纯</w:t>
            </w:r>
            <w:bookmarkStart w:id="45" w:name="_GoBack"/>
            <w:bookmarkEnd w:id="45"/>
            <w:r>
              <w:rPr>
                <w:rFonts w:hint="eastAsia" w:ascii="宋体" w:hAnsi="宋体" w:cs="宋体"/>
                <w:color w:val="000000"/>
                <w:kern w:val="0"/>
                <w:sz w:val="21"/>
                <w:szCs w:val="21"/>
                <w:highlight w:val="none"/>
                <w:lang w:val="en-US" w:eastAsia="zh-CN" w:bidi="ar"/>
              </w:rPr>
              <w:t>电动公交车辆报废处置（K8）</w:t>
            </w:r>
          </w:p>
        </w:tc>
        <w:tc>
          <w:tcPr>
            <w:tcW w:w="914" w:type="pct"/>
            <w:vAlign w:val="center"/>
          </w:tcPr>
          <w:p w14:paraId="4E9ED8E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CK6100LGEV2</w:t>
            </w:r>
          </w:p>
        </w:tc>
        <w:tc>
          <w:tcPr>
            <w:tcW w:w="665" w:type="pct"/>
            <w:vAlign w:val="center"/>
          </w:tcPr>
          <w:p w14:paraId="4BE224D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13</w:t>
            </w:r>
          </w:p>
        </w:tc>
        <w:tc>
          <w:tcPr>
            <w:tcW w:w="1151" w:type="pct"/>
            <w:vAlign w:val="center"/>
          </w:tcPr>
          <w:p w14:paraId="4A26530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cs="宋体"/>
                <w:color w:val="000000"/>
                <w:kern w:val="0"/>
                <w:sz w:val="21"/>
                <w:szCs w:val="21"/>
                <w:highlight w:val="none"/>
                <w:lang w:val="en-US" w:eastAsia="zh-CN" w:bidi="ar"/>
              </w:rPr>
            </w:pPr>
            <w:r>
              <w:rPr>
                <w:rFonts w:hint="default" w:ascii="宋体" w:hAnsi="宋体" w:cs="宋体"/>
                <w:color w:val="000000"/>
                <w:kern w:val="0"/>
                <w:sz w:val="21"/>
                <w:szCs w:val="21"/>
                <w:highlight w:val="none"/>
                <w:lang w:val="en-US" w:eastAsia="zh-CN" w:bidi="ar"/>
              </w:rPr>
              <w:t>86,400.00</w:t>
            </w:r>
          </w:p>
        </w:tc>
      </w:tr>
    </w:tbl>
    <w:p w14:paraId="42B3EBE5">
      <w:pPr>
        <w:pStyle w:val="2"/>
        <w:spacing w:line="360" w:lineRule="auto"/>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情况说明</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该批13台标的车辆中，有1台车牌号为粤B28068D的车辆属于事故车辆，车辆有部分零部件受损，建议到现场查看车辆。</w:t>
      </w:r>
    </w:p>
    <w:p w14:paraId="48080FC3">
      <w:pPr>
        <w:ind w:firstLine="643"/>
        <w:rPr>
          <w:rFonts w:ascii="宋体" w:hAnsi="宋体"/>
          <w:b/>
          <w:sz w:val="32"/>
          <w:szCs w:val="32"/>
        </w:rPr>
      </w:pPr>
      <w:r>
        <w:rPr>
          <w:rFonts w:hint="eastAsia" w:ascii="宋体" w:hAnsi="宋体"/>
          <w:b/>
          <w:sz w:val="32"/>
          <w:szCs w:val="32"/>
        </w:rPr>
        <w:br w:type="page"/>
      </w:r>
    </w:p>
    <w:p w14:paraId="36050CF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第二节 总则</w:t>
      </w:r>
    </w:p>
    <w:p w14:paraId="3931D43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3C96EEC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7D57E45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52FF49C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306D3DD0">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1A89F66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1814C67">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48F456B1">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4354432F">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45D648CA">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5D6A96C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540575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2EB55F0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1F22AAB3">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05EAA1BB">
      <w:pPr>
        <w:widowControl w:val="0"/>
        <w:autoSpaceDE w:val="0"/>
        <w:autoSpaceDN w:val="0"/>
        <w:adjustRightInd w:val="0"/>
        <w:snapToGrid w:val="0"/>
        <w:ind w:firstLine="0" w:firstLineChars="0"/>
        <w:rPr>
          <w:rFonts w:ascii="宋体" w:hAnsi="宋体"/>
          <w:b/>
          <w:szCs w:val="21"/>
        </w:rPr>
      </w:pPr>
    </w:p>
    <w:p w14:paraId="3143484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0B23026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30EE3EE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5451269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006F04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00E59FA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72D85FA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1AFD595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F68549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2DE4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6522C9B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594CA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D3EF98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4D96E6B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443A6A7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50DD269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49ED3D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77DF57D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65AAD2E1">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143FB2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107FA0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1D183BE">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14A5D95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568E9CDF">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27B2D29D">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43ABAB3B">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22A1397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2FC77A2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登陆深圳阳光采购平台—电子采购平台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C1F456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2DE7BF6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57F817D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7052D2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5635FCF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4020D8D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0E53BDB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F79E5E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73ACD02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01A49F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3F280C3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1842B511">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0E59D8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8FFA236">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385E0CA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7590492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7389582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09030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2DE63F0D">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4E4AB05">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6A8BBD1E">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6FE0D8C7">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E7EC3D6">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0AD4382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5756F5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4DB2DBD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1E80D9">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5A9A2A8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7D58A7F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7751931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1473BE1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0A05C4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7B3A1D1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15863B3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0004594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5"/>
    <w:p w14:paraId="1B6340C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6" w:name="_Toc144974521"/>
      <w:bookmarkStart w:id="17" w:name="_Toc330213968"/>
      <w:bookmarkStart w:id="18" w:name="_Toc152042329"/>
      <w:bookmarkStart w:id="19" w:name="_Toc403513515"/>
      <w:bookmarkStart w:id="20" w:name="_Toc332121736"/>
      <w:bookmarkStart w:id="21" w:name="_Toc152045553"/>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57FC3602">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6"/>
    <w:bookmarkEnd w:id="17"/>
    <w:bookmarkEnd w:id="18"/>
    <w:bookmarkEnd w:id="19"/>
    <w:bookmarkEnd w:id="20"/>
    <w:bookmarkEnd w:id="21"/>
    <w:p w14:paraId="0086FF86">
      <w:pPr>
        <w:widowControl w:val="0"/>
        <w:numPr>
          <w:ilvl w:val="0"/>
          <w:numId w:val="0"/>
        </w:numPr>
        <w:tabs>
          <w:tab w:val="left" w:pos="567"/>
        </w:tabs>
        <w:autoSpaceDE w:val="0"/>
        <w:autoSpaceDN w:val="0"/>
        <w:adjustRightInd w:val="0"/>
        <w:snapToGrid w:val="0"/>
        <w:rPr>
          <w:rFonts w:ascii="宋体"/>
          <w:szCs w:val="21"/>
        </w:rPr>
      </w:pPr>
      <w:bookmarkStart w:id="22" w:name="_Toc144974577"/>
      <w:bookmarkStart w:id="23" w:name="_Toc403513554"/>
      <w:bookmarkStart w:id="24" w:name="_Toc152045609"/>
      <w:bookmarkStart w:id="25" w:name="_Toc152042387"/>
      <w:r>
        <w:rPr>
          <w:rFonts w:hint="eastAsia" w:ascii="宋体" w:hAnsi="宋体"/>
          <w:b/>
          <w:szCs w:val="21"/>
          <w:lang w:val="en-US" w:eastAsia="zh-CN"/>
        </w:rPr>
        <w:t>8、</w:t>
      </w:r>
      <w:r>
        <w:rPr>
          <w:rFonts w:hint="eastAsia" w:ascii="宋体" w:hAnsi="宋体"/>
          <w:b/>
          <w:szCs w:val="21"/>
        </w:rPr>
        <w:t>采购代理服务费</w:t>
      </w:r>
    </w:p>
    <w:p w14:paraId="756D90FC">
      <w:pPr>
        <w:widowControl w:val="0"/>
        <w:wordWrap w:val="0"/>
        <w:autoSpaceDE w:val="0"/>
        <w:autoSpaceDN w:val="0"/>
        <w:adjustRightInd w:val="0"/>
        <w:snapToGrid w:val="0"/>
        <w:rPr>
          <w:rFonts w:ascii="宋体" w:hAnsi="宋体"/>
        </w:rPr>
      </w:pPr>
      <w:r>
        <w:rPr>
          <w:rFonts w:hint="eastAsia" w:ascii="宋体" w:hAnsi="宋体"/>
        </w:rPr>
        <w:t>根据国家计委《招标代理服务收费管理暂时办法》（计价格【</w:t>
      </w:r>
      <w:r>
        <w:rPr>
          <w:rFonts w:ascii="宋体" w:hAnsi="宋体"/>
        </w:rPr>
        <w:t>2002</w:t>
      </w:r>
      <w:r>
        <w:rPr>
          <w:rFonts w:hint="eastAsia" w:ascii="宋体" w:hAnsi="宋体"/>
        </w:rPr>
        <w:t>】</w:t>
      </w:r>
      <w:r>
        <w:rPr>
          <w:rFonts w:ascii="宋体" w:hAnsi="宋体"/>
        </w:rPr>
        <w:t>1980</w:t>
      </w:r>
      <w:r>
        <w:rPr>
          <w:rFonts w:hint="eastAsia" w:ascii="宋体" w:hAnsi="宋体"/>
        </w:rPr>
        <w:t>号）及《国家发展改革委关于降低部分建设项目收费标准规范收费标准规范收费行为等有关问题的通知（计价格【</w:t>
      </w:r>
      <w:r>
        <w:rPr>
          <w:rFonts w:ascii="宋体" w:hAnsi="宋体"/>
        </w:rPr>
        <w:t>2011</w:t>
      </w:r>
      <w:r>
        <w:rPr>
          <w:rFonts w:hint="eastAsia" w:ascii="宋体" w:hAnsi="宋体"/>
        </w:rPr>
        <w:t>】</w:t>
      </w:r>
      <w:r>
        <w:rPr>
          <w:rFonts w:ascii="宋体" w:hAnsi="宋体"/>
        </w:rPr>
        <w:t>534</w:t>
      </w:r>
      <w:r>
        <w:rPr>
          <w:rFonts w:hint="eastAsia" w:ascii="宋体" w:hAnsi="宋体"/>
        </w:rPr>
        <w:t>号）》规定的费率打八折向成交</w:t>
      </w:r>
      <w:r>
        <w:rPr>
          <w:rFonts w:ascii="宋体" w:hAnsi="宋体"/>
        </w:rPr>
        <w:t>供应商</w:t>
      </w:r>
      <w:r>
        <w:rPr>
          <w:rFonts w:hint="eastAsia" w:ascii="宋体" w:hAnsi="宋体"/>
        </w:rPr>
        <w:t>收取采购代理服务费，（最低收费人民币7500元），收取对象详见供应商须知前附表。</w:t>
      </w:r>
    </w:p>
    <w:p w14:paraId="46454B63">
      <w:pPr>
        <w:widowControl w:val="0"/>
        <w:wordWrap w:val="0"/>
        <w:autoSpaceDE w:val="0"/>
        <w:autoSpaceDN w:val="0"/>
        <w:adjustRightInd w:val="0"/>
        <w:snapToGrid w:val="0"/>
        <w:rPr>
          <w:rFonts w:ascii="宋体"/>
        </w:rPr>
      </w:pPr>
      <w:r>
        <w:rPr>
          <w:rFonts w:hint="eastAsia" w:ascii="宋体" w:hAnsi="宋体"/>
        </w:rPr>
        <w:t>本项目采购代理采购代理服务费＝（成交金额×收费费率＋速算增加数）×</w:t>
      </w:r>
      <w:r>
        <w:rPr>
          <w:rFonts w:ascii="宋体"/>
        </w:rPr>
        <w:t>0.</w:t>
      </w:r>
      <w:r>
        <w:rPr>
          <w:rFonts w:ascii="宋体" w:hAnsi="宋体"/>
        </w:rPr>
        <w:t>8</w:t>
      </w:r>
    </w:p>
    <w:p w14:paraId="32ACB26E">
      <w:pPr>
        <w:widowControl w:val="0"/>
        <w:wordWrap w:val="0"/>
        <w:autoSpaceDE w:val="0"/>
        <w:autoSpaceDN w:val="0"/>
        <w:adjustRightInd w:val="0"/>
        <w:snapToGrid w:val="0"/>
        <w:jc w:val="both"/>
        <w:rPr>
          <w:rFonts w:ascii="宋体"/>
        </w:rPr>
      </w:pPr>
      <w:r>
        <w:rPr>
          <w:rFonts w:hint="eastAsia" w:ascii="宋体" w:hAnsi="宋体"/>
        </w:rPr>
        <w:t>若本项目采购代理服务费金额超过收费上限，则按收费上限收费。本项目采购代理服务费按标段收取，按标准及单个标段的成交金额进行计算。</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2553"/>
        <w:gridCol w:w="2789"/>
      </w:tblGrid>
      <w:tr w14:paraId="189E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2ED00E3">
            <w:pPr>
              <w:widowControl w:val="0"/>
              <w:adjustRightInd w:val="0"/>
              <w:snapToGrid w:val="0"/>
              <w:jc w:val="center"/>
              <w:rPr>
                <w:rFonts w:ascii="宋体"/>
                <w:kern w:val="0"/>
                <w:szCs w:val="21"/>
              </w:rPr>
            </w:pPr>
            <w:r>
              <w:rPr>
                <w:rFonts w:hint="eastAsia" w:ascii="宋体" w:hAnsi="宋体"/>
                <w:kern w:val="0"/>
                <w:szCs w:val="21"/>
              </w:rPr>
              <w:t>成交金额</w:t>
            </w:r>
          </w:p>
          <w:p w14:paraId="01A7465D">
            <w:pPr>
              <w:widowControl w:val="0"/>
              <w:adjustRightInd w:val="0"/>
              <w:snapToGrid w:val="0"/>
              <w:jc w:val="center"/>
              <w:rPr>
                <w:rFonts w:ascii="宋体"/>
                <w:kern w:val="0"/>
                <w:szCs w:val="21"/>
              </w:rPr>
            </w:pPr>
            <w:r>
              <w:rPr>
                <w:rFonts w:hint="eastAsia" w:ascii="宋体" w:hAnsi="宋体"/>
                <w:kern w:val="0"/>
                <w:szCs w:val="21"/>
              </w:rPr>
              <w:t>（万元）</w:t>
            </w:r>
          </w:p>
        </w:tc>
        <w:tc>
          <w:tcPr>
            <w:tcW w:w="1498" w:type="pct"/>
            <w:vAlign w:val="center"/>
          </w:tcPr>
          <w:p w14:paraId="7C384443">
            <w:pPr>
              <w:widowControl w:val="0"/>
              <w:adjustRightInd w:val="0"/>
              <w:snapToGrid w:val="0"/>
              <w:jc w:val="center"/>
              <w:rPr>
                <w:rFonts w:ascii="宋体"/>
                <w:kern w:val="0"/>
                <w:szCs w:val="21"/>
              </w:rPr>
            </w:pPr>
            <w:r>
              <w:rPr>
                <w:rFonts w:hint="eastAsia" w:ascii="宋体" w:hAnsi="宋体"/>
                <w:kern w:val="0"/>
                <w:szCs w:val="21"/>
              </w:rPr>
              <w:t>货物采购</w:t>
            </w:r>
          </w:p>
          <w:p w14:paraId="7158D65A">
            <w:pPr>
              <w:widowControl w:val="0"/>
              <w:adjustRightInd w:val="0"/>
              <w:snapToGrid w:val="0"/>
              <w:jc w:val="center"/>
              <w:rPr>
                <w:rFonts w:ascii="宋体"/>
                <w:kern w:val="0"/>
                <w:szCs w:val="21"/>
              </w:rPr>
            </w:pPr>
            <w:r>
              <w:rPr>
                <w:rFonts w:hint="eastAsia" w:ascii="宋体" w:hAnsi="宋体"/>
                <w:kern w:val="0"/>
                <w:szCs w:val="21"/>
              </w:rPr>
              <w:t>收费费率</w:t>
            </w:r>
          </w:p>
        </w:tc>
        <w:tc>
          <w:tcPr>
            <w:tcW w:w="1636" w:type="pct"/>
            <w:vAlign w:val="center"/>
          </w:tcPr>
          <w:p w14:paraId="5C9B2E01">
            <w:pPr>
              <w:widowControl w:val="0"/>
              <w:adjustRightInd w:val="0"/>
              <w:snapToGrid w:val="0"/>
              <w:jc w:val="center"/>
              <w:rPr>
                <w:rFonts w:ascii="宋体"/>
                <w:kern w:val="0"/>
                <w:szCs w:val="21"/>
              </w:rPr>
            </w:pPr>
            <w:r>
              <w:rPr>
                <w:rFonts w:hint="eastAsia" w:ascii="宋体" w:hAnsi="宋体"/>
                <w:kern w:val="0"/>
                <w:szCs w:val="21"/>
              </w:rPr>
              <w:t>速算增加数</w:t>
            </w:r>
          </w:p>
          <w:p w14:paraId="23AAC80D">
            <w:pPr>
              <w:widowControl w:val="0"/>
              <w:adjustRightInd w:val="0"/>
              <w:snapToGrid w:val="0"/>
              <w:jc w:val="center"/>
              <w:rPr>
                <w:rFonts w:ascii="宋体"/>
                <w:kern w:val="0"/>
                <w:szCs w:val="21"/>
              </w:rPr>
            </w:pPr>
            <w:r>
              <w:rPr>
                <w:rFonts w:hint="eastAsia" w:ascii="宋体" w:hAnsi="宋体"/>
                <w:kern w:val="0"/>
                <w:szCs w:val="21"/>
              </w:rPr>
              <w:t>（万元）</w:t>
            </w:r>
          </w:p>
        </w:tc>
      </w:tr>
      <w:tr w14:paraId="50D7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042CB3C">
            <w:pPr>
              <w:widowControl w:val="0"/>
              <w:adjustRightInd w:val="0"/>
              <w:snapToGrid w:val="0"/>
              <w:jc w:val="center"/>
              <w:rPr>
                <w:rFonts w:ascii="宋体"/>
                <w:kern w:val="0"/>
                <w:szCs w:val="21"/>
              </w:rPr>
            </w:pPr>
            <w:r>
              <w:rPr>
                <w:rFonts w:ascii="宋体" w:hAnsi="宋体"/>
                <w:kern w:val="0"/>
                <w:szCs w:val="21"/>
              </w:rPr>
              <w:t>100</w:t>
            </w:r>
            <w:r>
              <w:rPr>
                <w:rFonts w:hint="eastAsia" w:ascii="宋体" w:hAnsi="宋体"/>
                <w:kern w:val="0"/>
                <w:szCs w:val="21"/>
              </w:rPr>
              <w:t>以下</w:t>
            </w:r>
          </w:p>
        </w:tc>
        <w:tc>
          <w:tcPr>
            <w:tcW w:w="1498" w:type="pct"/>
            <w:vAlign w:val="center"/>
          </w:tcPr>
          <w:p w14:paraId="243F9C32">
            <w:pPr>
              <w:widowControl w:val="0"/>
              <w:adjustRightInd w:val="0"/>
              <w:snapToGrid w:val="0"/>
              <w:jc w:val="center"/>
              <w:rPr>
                <w:rFonts w:ascii="宋体" w:hAnsi="宋体"/>
                <w:kern w:val="0"/>
                <w:szCs w:val="21"/>
              </w:rPr>
            </w:pPr>
            <w:r>
              <w:rPr>
                <w:rFonts w:ascii="宋体" w:hAnsi="宋体"/>
                <w:kern w:val="0"/>
                <w:szCs w:val="21"/>
              </w:rPr>
              <w:t>1.50%</w:t>
            </w:r>
          </w:p>
        </w:tc>
        <w:tc>
          <w:tcPr>
            <w:tcW w:w="1636" w:type="pct"/>
            <w:vAlign w:val="center"/>
          </w:tcPr>
          <w:p w14:paraId="5A0B8A3B">
            <w:pPr>
              <w:widowControl w:val="0"/>
              <w:adjustRightInd w:val="0"/>
              <w:snapToGrid w:val="0"/>
              <w:jc w:val="center"/>
              <w:rPr>
                <w:rFonts w:ascii="宋体" w:hAnsi="宋体"/>
                <w:kern w:val="0"/>
                <w:szCs w:val="21"/>
              </w:rPr>
            </w:pPr>
            <w:r>
              <w:rPr>
                <w:rFonts w:ascii="宋体" w:hAnsi="宋体"/>
                <w:kern w:val="0"/>
                <w:szCs w:val="21"/>
              </w:rPr>
              <w:t>0</w:t>
            </w:r>
          </w:p>
        </w:tc>
      </w:tr>
      <w:tr w14:paraId="17AA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CFCF93E">
            <w:pPr>
              <w:widowControl w:val="0"/>
              <w:adjustRightInd w:val="0"/>
              <w:snapToGrid w:val="0"/>
              <w:jc w:val="center"/>
              <w:rPr>
                <w:rFonts w:ascii="宋体" w:hAnsi="宋体"/>
                <w:kern w:val="0"/>
                <w:szCs w:val="21"/>
              </w:rPr>
            </w:pPr>
            <w:r>
              <w:rPr>
                <w:rFonts w:ascii="宋体" w:hAnsi="宋体"/>
                <w:kern w:val="0"/>
                <w:szCs w:val="21"/>
              </w:rPr>
              <w:t>100-500</w:t>
            </w:r>
          </w:p>
        </w:tc>
        <w:tc>
          <w:tcPr>
            <w:tcW w:w="1498" w:type="pct"/>
            <w:vAlign w:val="center"/>
          </w:tcPr>
          <w:p w14:paraId="2E4A57F9">
            <w:pPr>
              <w:widowControl w:val="0"/>
              <w:adjustRightInd w:val="0"/>
              <w:snapToGrid w:val="0"/>
              <w:jc w:val="center"/>
              <w:rPr>
                <w:rFonts w:ascii="宋体" w:hAnsi="宋体"/>
                <w:kern w:val="0"/>
                <w:szCs w:val="21"/>
              </w:rPr>
            </w:pPr>
            <w:r>
              <w:rPr>
                <w:rFonts w:ascii="宋体" w:hAnsi="宋体"/>
                <w:kern w:val="0"/>
                <w:szCs w:val="21"/>
              </w:rPr>
              <w:t>1.10%</w:t>
            </w:r>
          </w:p>
        </w:tc>
        <w:tc>
          <w:tcPr>
            <w:tcW w:w="1636" w:type="pct"/>
            <w:vAlign w:val="center"/>
          </w:tcPr>
          <w:p w14:paraId="61F6A96F">
            <w:pPr>
              <w:widowControl w:val="0"/>
              <w:adjustRightInd w:val="0"/>
              <w:snapToGrid w:val="0"/>
              <w:jc w:val="center"/>
              <w:rPr>
                <w:rFonts w:ascii="宋体" w:hAnsi="宋体"/>
                <w:kern w:val="0"/>
                <w:szCs w:val="21"/>
              </w:rPr>
            </w:pPr>
            <w:r>
              <w:rPr>
                <w:rFonts w:ascii="宋体" w:hAnsi="宋体"/>
                <w:kern w:val="0"/>
                <w:szCs w:val="21"/>
              </w:rPr>
              <w:t>0.4</w:t>
            </w:r>
          </w:p>
        </w:tc>
      </w:tr>
      <w:tr w14:paraId="1F0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04D5863E">
            <w:pPr>
              <w:widowControl w:val="0"/>
              <w:adjustRightInd w:val="0"/>
              <w:snapToGrid w:val="0"/>
              <w:jc w:val="center"/>
              <w:rPr>
                <w:rFonts w:ascii="宋体" w:hAnsi="宋体"/>
                <w:kern w:val="0"/>
                <w:szCs w:val="21"/>
              </w:rPr>
            </w:pPr>
            <w:r>
              <w:rPr>
                <w:rFonts w:ascii="宋体" w:hAnsi="宋体"/>
                <w:kern w:val="0"/>
                <w:szCs w:val="21"/>
              </w:rPr>
              <w:t>500-1000</w:t>
            </w:r>
          </w:p>
        </w:tc>
        <w:tc>
          <w:tcPr>
            <w:tcW w:w="1498" w:type="pct"/>
            <w:vAlign w:val="center"/>
          </w:tcPr>
          <w:p w14:paraId="676E66BF">
            <w:pPr>
              <w:widowControl w:val="0"/>
              <w:adjustRightInd w:val="0"/>
              <w:snapToGrid w:val="0"/>
              <w:jc w:val="center"/>
              <w:rPr>
                <w:rFonts w:ascii="宋体" w:hAnsi="宋体"/>
                <w:kern w:val="0"/>
                <w:szCs w:val="21"/>
              </w:rPr>
            </w:pPr>
            <w:r>
              <w:rPr>
                <w:rFonts w:ascii="宋体" w:hAnsi="宋体"/>
                <w:kern w:val="0"/>
                <w:szCs w:val="21"/>
              </w:rPr>
              <w:t>0.80%</w:t>
            </w:r>
          </w:p>
        </w:tc>
        <w:tc>
          <w:tcPr>
            <w:tcW w:w="1636" w:type="pct"/>
            <w:vAlign w:val="center"/>
          </w:tcPr>
          <w:p w14:paraId="0E01D91D">
            <w:pPr>
              <w:widowControl w:val="0"/>
              <w:adjustRightInd w:val="0"/>
              <w:snapToGrid w:val="0"/>
              <w:jc w:val="center"/>
              <w:rPr>
                <w:rFonts w:ascii="宋体" w:hAnsi="宋体"/>
                <w:kern w:val="0"/>
                <w:szCs w:val="21"/>
              </w:rPr>
            </w:pPr>
            <w:r>
              <w:rPr>
                <w:rFonts w:ascii="宋体" w:hAnsi="宋体"/>
                <w:kern w:val="0"/>
                <w:szCs w:val="21"/>
              </w:rPr>
              <w:t>1.9</w:t>
            </w:r>
          </w:p>
        </w:tc>
      </w:tr>
      <w:tr w14:paraId="67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73FF9F3">
            <w:pPr>
              <w:widowControl w:val="0"/>
              <w:adjustRightInd w:val="0"/>
              <w:snapToGrid w:val="0"/>
              <w:jc w:val="center"/>
              <w:rPr>
                <w:rFonts w:ascii="宋体" w:hAnsi="宋体"/>
                <w:kern w:val="0"/>
                <w:szCs w:val="21"/>
              </w:rPr>
            </w:pPr>
            <w:r>
              <w:rPr>
                <w:rFonts w:ascii="宋体" w:hAnsi="宋体"/>
                <w:kern w:val="0"/>
                <w:szCs w:val="21"/>
              </w:rPr>
              <w:t>1000-5000</w:t>
            </w:r>
          </w:p>
        </w:tc>
        <w:tc>
          <w:tcPr>
            <w:tcW w:w="1498" w:type="pct"/>
            <w:vAlign w:val="center"/>
          </w:tcPr>
          <w:p w14:paraId="3C3B6936">
            <w:pPr>
              <w:widowControl w:val="0"/>
              <w:adjustRightInd w:val="0"/>
              <w:snapToGrid w:val="0"/>
              <w:jc w:val="center"/>
              <w:rPr>
                <w:rFonts w:ascii="宋体" w:hAnsi="宋体"/>
                <w:kern w:val="0"/>
                <w:szCs w:val="21"/>
              </w:rPr>
            </w:pPr>
            <w:r>
              <w:rPr>
                <w:rFonts w:ascii="宋体" w:hAnsi="宋体"/>
                <w:kern w:val="0"/>
                <w:szCs w:val="21"/>
              </w:rPr>
              <w:t>0.50%</w:t>
            </w:r>
          </w:p>
        </w:tc>
        <w:tc>
          <w:tcPr>
            <w:tcW w:w="1636" w:type="pct"/>
            <w:vAlign w:val="center"/>
          </w:tcPr>
          <w:p w14:paraId="2027517C">
            <w:pPr>
              <w:widowControl w:val="0"/>
              <w:adjustRightInd w:val="0"/>
              <w:snapToGrid w:val="0"/>
              <w:jc w:val="center"/>
              <w:rPr>
                <w:rFonts w:ascii="宋体" w:hAnsi="宋体"/>
                <w:kern w:val="0"/>
                <w:szCs w:val="21"/>
              </w:rPr>
            </w:pPr>
            <w:r>
              <w:rPr>
                <w:rFonts w:ascii="宋体" w:hAnsi="宋体"/>
                <w:kern w:val="0"/>
                <w:szCs w:val="21"/>
              </w:rPr>
              <w:t>4.9</w:t>
            </w:r>
          </w:p>
        </w:tc>
      </w:tr>
      <w:tr w14:paraId="5C75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18E47D2">
            <w:pPr>
              <w:widowControl w:val="0"/>
              <w:adjustRightInd w:val="0"/>
              <w:snapToGrid w:val="0"/>
              <w:jc w:val="center"/>
              <w:rPr>
                <w:rFonts w:ascii="宋体" w:hAnsi="宋体"/>
                <w:kern w:val="0"/>
                <w:szCs w:val="21"/>
              </w:rPr>
            </w:pPr>
            <w:r>
              <w:rPr>
                <w:rFonts w:ascii="宋体" w:hAnsi="宋体"/>
                <w:kern w:val="0"/>
                <w:szCs w:val="21"/>
              </w:rPr>
              <w:t>5000-10000</w:t>
            </w:r>
          </w:p>
        </w:tc>
        <w:tc>
          <w:tcPr>
            <w:tcW w:w="1498" w:type="pct"/>
            <w:vAlign w:val="center"/>
          </w:tcPr>
          <w:p w14:paraId="5F4526A8">
            <w:pPr>
              <w:widowControl w:val="0"/>
              <w:adjustRightInd w:val="0"/>
              <w:snapToGrid w:val="0"/>
              <w:jc w:val="center"/>
              <w:rPr>
                <w:rFonts w:ascii="宋体" w:hAnsi="宋体"/>
                <w:kern w:val="0"/>
                <w:szCs w:val="21"/>
              </w:rPr>
            </w:pPr>
            <w:r>
              <w:rPr>
                <w:rFonts w:ascii="宋体" w:hAnsi="宋体"/>
                <w:kern w:val="0"/>
                <w:szCs w:val="21"/>
              </w:rPr>
              <w:t>0.25%</w:t>
            </w:r>
          </w:p>
        </w:tc>
        <w:tc>
          <w:tcPr>
            <w:tcW w:w="1636" w:type="pct"/>
            <w:vAlign w:val="center"/>
          </w:tcPr>
          <w:p w14:paraId="53DB5BC0">
            <w:pPr>
              <w:widowControl w:val="0"/>
              <w:adjustRightInd w:val="0"/>
              <w:snapToGrid w:val="0"/>
              <w:jc w:val="center"/>
              <w:rPr>
                <w:rFonts w:ascii="宋体" w:hAnsi="宋体"/>
                <w:kern w:val="0"/>
                <w:szCs w:val="21"/>
              </w:rPr>
            </w:pPr>
            <w:r>
              <w:rPr>
                <w:rFonts w:ascii="宋体" w:hAnsi="宋体"/>
                <w:kern w:val="0"/>
                <w:szCs w:val="21"/>
              </w:rPr>
              <w:t>17.4</w:t>
            </w:r>
          </w:p>
        </w:tc>
      </w:tr>
      <w:tr w14:paraId="055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32673230">
            <w:pPr>
              <w:widowControl w:val="0"/>
              <w:adjustRightInd w:val="0"/>
              <w:snapToGrid w:val="0"/>
              <w:jc w:val="center"/>
              <w:rPr>
                <w:rFonts w:ascii="宋体" w:hAnsi="宋体"/>
                <w:kern w:val="0"/>
                <w:szCs w:val="21"/>
              </w:rPr>
            </w:pPr>
            <w:r>
              <w:rPr>
                <w:rFonts w:ascii="宋体" w:hAnsi="宋体"/>
                <w:kern w:val="0"/>
                <w:szCs w:val="21"/>
              </w:rPr>
              <w:t>10000-50000</w:t>
            </w:r>
          </w:p>
        </w:tc>
        <w:tc>
          <w:tcPr>
            <w:tcW w:w="1498" w:type="pct"/>
            <w:vAlign w:val="center"/>
          </w:tcPr>
          <w:p w14:paraId="55987F20">
            <w:pPr>
              <w:widowControl w:val="0"/>
              <w:adjustRightInd w:val="0"/>
              <w:snapToGrid w:val="0"/>
              <w:jc w:val="center"/>
              <w:rPr>
                <w:rFonts w:ascii="宋体" w:hAnsi="宋体"/>
                <w:kern w:val="0"/>
                <w:szCs w:val="21"/>
              </w:rPr>
            </w:pPr>
            <w:r>
              <w:rPr>
                <w:rFonts w:ascii="宋体" w:hAnsi="宋体"/>
                <w:kern w:val="0"/>
                <w:szCs w:val="21"/>
              </w:rPr>
              <w:t>0.05%</w:t>
            </w:r>
          </w:p>
        </w:tc>
        <w:tc>
          <w:tcPr>
            <w:tcW w:w="1636" w:type="pct"/>
            <w:vAlign w:val="center"/>
          </w:tcPr>
          <w:p w14:paraId="3E11C995">
            <w:pPr>
              <w:widowControl w:val="0"/>
              <w:adjustRightInd w:val="0"/>
              <w:snapToGrid w:val="0"/>
              <w:jc w:val="center"/>
              <w:rPr>
                <w:rFonts w:ascii="宋体" w:hAnsi="宋体"/>
                <w:kern w:val="0"/>
                <w:szCs w:val="21"/>
              </w:rPr>
            </w:pPr>
            <w:r>
              <w:rPr>
                <w:rFonts w:ascii="宋体" w:hAnsi="宋体"/>
                <w:kern w:val="0"/>
                <w:szCs w:val="21"/>
              </w:rPr>
              <w:t>37.4</w:t>
            </w:r>
          </w:p>
        </w:tc>
      </w:tr>
      <w:tr w14:paraId="56D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EB08D13">
            <w:pPr>
              <w:widowControl w:val="0"/>
              <w:adjustRightInd w:val="0"/>
              <w:snapToGrid w:val="0"/>
              <w:jc w:val="center"/>
              <w:rPr>
                <w:rFonts w:ascii="宋体"/>
                <w:kern w:val="0"/>
                <w:szCs w:val="21"/>
              </w:rPr>
            </w:pPr>
            <w:r>
              <w:rPr>
                <w:rFonts w:ascii="宋体" w:hAnsi="宋体"/>
                <w:kern w:val="0"/>
                <w:szCs w:val="21"/>
              </w:rPr>
              <w:t>50000-100000</w:t>
            </w:r>
          </w:p>
        </w:tc>
        <w:tc>
          <w:tcPr>
            <w:tcW w:w="1498" w:type="pct"/>
            <w:vAlign w:val="center"/>
          </w:tcPr>
          <w:p w14:paraId="60A6874A">
            <w:pPr>
              <w:widowControl w:val="0"/>
              <w:adjustRightInd w:val="0"/>
              <w:snapToGrid w:val="0"/>
              <w:jc w:val="center"/>
              <w:rPr>
                <w:rFonts w:ascii="宋体" w:hAnsi="宋体"/>
                <w:kern w:val="0"/>
                <w:szCs w:val="21"/>
              </w:rPr>
            </w:pPr>
            <w:r>
              <w:rPr>
                <w:rFonts w:ascii="宋体" w:hAnsi="宋体"/>
                <w:kern w:val="0"/>
                <w:szCs w:val="21"/>
              </w:rPr>
              <w:t>0.035%</w:t>
            </w:r>
          </w:p>
        </w:tc>
        <w:tc>
          <w:tcPr>
            <w:tcW w:w="1636" w:type="pct"/>
            <w:vAlign w:val="center"/>
          </w:tcPr>
          <w:p w14:paraId="16059F97">
            <w:pPr>
              <w:widowControl w:val="0"/>
              <w:adjustRightInd w:val="0"/>
              <w:snapToGrid w:val="0"/>
              <w:jc w:val="center"/>
              <w:rPr>
                <w:rFonts w:ascii="宋体" w:hAnsi="宋体"/>
                <w:kern w:val="0"/>
                <w:szCs w:val="21"/>
              </w:rPr>
            </w:pPr>
            <w:r>
              <w:rPr>
                <w:rFonts w:ascii="宋体" w:hAnsi="宋体"/>
                <w:kern w:val="0"/>
                <w:szCs w:val="21"/>
              </w:rPr>
              <w:t>44.9</w:t>
            </w:r>
          </w:p>
        </w:tc>
      </w:tr>
      <w:tr w14:paraId="681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1AF1DE48">
            <w:pPr>
              <w:widowControl w:val="0"/>
              <w:adjustRightInd w:val="0"/>
              <w:snapToGrid w:val="0"/>
              <w:jc w:val="center"/>
              <w:rPr>
                <w:rFonts w:ascii="宋体"/>
                <w:kern w:val="0"/>
                <w:szCs w:val="21"/>
              </w:rPr>
            </w:pPr>
            <w:r>
              <w:rPr>
                <w:rFonts w:hint="eastAsia" w:ascii="宋体" w:hAnsi="宋体"/>
                <w:kern w:val="0"/>
                <w:szCs w:val="21"/>
              </w:rPr>
              <w:t>最高限额</w:t>
            </w:r>
          </w:p>
        </w:tc>
        <w:tc>
          <w:tcPr>
            <w:tcW w:w="3134" w:type="pct"/>
            <w:gridSpan w:val="2"/>
            <w:vAlign w:val="center"/>
          </w:tcPr>
          <w:p w14:paraId="3584D681">
            <w:pPr>
              <w:widowControl w:val="0"/>
              <w:adjustRightInd w:val="0"/>
              <w:snapToGrid w:val="0"/>
              <w:jc w:val="center"/>
              <w:rPr>
                <w:rFonts w:ascii="宋体"/>
                <w:kern w:val="0"/>
                <w:szCs w:val="21"/>
              </w:rPr>
            </w:pPr>
            <w:r>
              <w:rPr>
                <w:rFonts w:ascii="宋体" w:hAnsi="宋体"/>
                <w:kern w:val="0"/>
                <w:szCs w:val="21"/>
              </w:rPr>
              <w:t>350</w:t>
            </w:r>
            <w:r>
              <w:rPr>
                <w:rFonts w:hint="eastAsia" w:ascii="宋体" w:hAnsi="宋体"/>
                <w:kern w:val="0"/>
                <w:szCs w:val="21"/>
              </w:rPr>
              <w:t>万元</w:t>
            </w:r>
          </w:p>
        </w:tc>
      </w:tr>
    </w:tbl>
    <w:p w14:paraId="49E69746">
      <w:pPr>
        <w:rPr>
          <w:rFonts w:ascii="宋体" w:hAnsi="宋体"/>
          <w:b/>
          <w:bCs/>
          <w:sz w:val="84"/>
          <w:szCs w:val="84"/>
        </w:rPr>
      </w:pPr>
      <w:r>
        <w:rPr>
          <w:rFonts w:ascii="宋体" w:hAnsi="宋体"/>
          <w:b/>
          <w:bCs/>
          <w:sz w:val="84"/>
          <w:szCs w:val="84"/>
        </w:rPr>
        <w:br w:type="page"/>
      </w:r>
    </w:p>
    <w:p w14:paraId="31D39810">
      <w:pPr>
        <w:widowControl w:val="0"/>
        <w:autoSpaceDE w:val="0"/>
        <w:autoSpaceDN w:val="0"/>
        <w:adjustRightInd w:val="0"/>
        <w:snapToGrid w:val="0"/>
        <w:ind w:firstLine="0" w:firstLineChars="0"/>
        <w:outlineLvl w:val="9"/>
        <w:rPr>
          <w:rFonts w:ascii="宋体" w:hAnsi="宋体"/>
          <w:b/>
          <w:bCs/>
          <w:sz w:val="84"/>
          <w:szCs w:val="84"/>
        </w:rPr>
      </w:pPr>
    </w:p>
    <w:p w14:paraId="60CBD3E0">
      <w:pPr>
        <w:widowControl w:val="0"/>
        <w:autoSpaceDE w:val="0"/>
        <w:autoSpaceDN w:val="0"/>
        <w:adjustRightInd w:val="0"/>
        <w:snapToGrid w:val="0"/>
        <w:ind w:firstLine="0" w:firstLineChars="0"/>
        <w:outlineLvl w:val="9"/>
        <w:rPr>
          <w:rFonts w:ascii="宋体" w:hAnsi="宋体"/>
          <w:b/>
          <w:bCs/>
          <w:sz w:val="84"/>
          <w:szCs w:val="84"/>
        </w:rPr>
      </w:pPr>
    </w:p>
    <w:p w14:paraId="14126FD5">
      <w:pPr>
        <w:widowControl w:val="0"/>
        <w:autoSpaceDE w:val="0"/>
        <w:autoSpaceDN w:val="0"/>
        <w:adjustRightInd w:val="0"/>
        <w:snapToGrid w:val="0"/>
        <w:ind w:firstLine="0" w:firstLineChars="0"/>
        <w:outlineLvl w:val="9"/>
        <w:rPr>
          <w:rFonts w:ascii="宋体" w:hAnsi="宋体"/>
          <w:b/>
          <w:bCs/>
          <w:sz w:val="84"/>
          <w:szCs w:val="84"/>
        </w:rPr>
      </w:pPr>
    </w:p>
    <w:p w14:paraId="1AFBC011">
      <w:pPr>
        <w:widowControl w:val="0"/>
        <w:autoSpaceDE w:val="0"/>
        <w:autoSpaceDN w:val="0"/>
        <w:adjustRightInd w:val="0"/>
        <w:snapToGrid w:val="0"/>
        <w:ind w:firstLine="0" w:firstLineChars="0"/>
        <w:jc w:val="center"/>
        <w:outlineLvl w:val="9"/>
        <w:rPr>
          <w:rFonts w:ascii="宋体" w:hAnsi="宋体"/>
          <w:b/>
          <w:bCs/>
          <w:sz w:val="52"/>
          <w:szCs w:val="52"/>
        </w:rPr>
      </w:pPr>
    </w:p>
    <w:p w14:paraId="62FAA509">
      <w:pPr>
        <w:widowControl w:val="0"/>
        <w:autoSpaceDE w:val="0"/>
        <w:autoSpaceDN w:val="0"/>
        <w:adjustRightInd w:val="0"/>
        <w:snapToGrid w:val="0"/>
        <w:ind w:firstLine="0" w:firstLineChars="0"/>
        <w:jc w:val="center"/>
        <w:outlineLvl w:val="0"/>
        <w:rPr>
          <w:rFonts w:ascii="宋体" w:hAnsi="宋体"/>
          <w:b/>
          <w:bCs/>
          <w:sz w:val="52"/>
          <w:szCs w:val="52"/>
        </w:rPr>
      </w:pPr>
      <w:bookmarkStart w:id="26" w:name="_Toc29812"/>
      <w:r>
        <w:rPr>
          <w:rFonts w:hint="eastAsia" w:ascii="宋体" w:hAnsi="宋体"/>
          <w:b/>
          <w:bCs/>
          <w:sz w:val="52"/>
          <w:szCs w:val="52"/>
        </w:rPr>
        <w:t>第二章 合同条款及格式</w:t>
      </w:r>
      <w:bookmarkEnd w:id="22"/>
      <w:bookmarkEnd w:id="23"/>
      <w:bookmarkEnd w:id="24"/>
      <w:bookmarkEnd w:id="25"/>
      <w:bookmarkEnd w:id="26"/>
      <w:bookmarkStart w:id="27" w:name="_Toc406669470"/>
      <w:bookmarkStart w:id="28" w:name="_Toc403513619"/>
    </w:p>
    <w:p w14:paraId="64EA7E50">
      <w:pPr>
        <w:spacing w:line="560" w:lineRule="exact"/>
        <w:ind w:firstLine="480"/>
        <w:outlineLvl w:val="9"/>
        <w:rPr>
          <w:rFonts w:ascii="仿宋_GB2312" w:hAnsi="仿宋_GB2312" w:eastAsia="仿宋_GB2312" w:cs="仿宋_GB2312"/>
          <w:sz w:val="24"/>
        </w:rPr>
      </w:pPr>
    </w:p>
    <w:p w14:paraId="0C58EE6D">
      <w:pPr>
        <w:spacing w:line="560" w:lineRule="exact"/>
        <w:ind w:firstLine="480"/>
        <w:outlineLvl w:val="9"/>
        <w:rPr>
          <w:rFonts w:ascii="仿宋_GB2312" w:hAnsi="仿宋_GB2312" w:eastAsia="仿宋_GB2312" w:cs="仿宋_GB2312"/>
          <w:sz w:val="24"/>
        </w:rPr>
      </w:pPr>
    </w:p>
    <w:p w14:paraId="285C701D">
      <w:pPr>
        <w:spacing w:line="560" w:lineRule="exact"/>
        <w:ind w:firstLine="480"/>
        <w:outlineLvl w:val="9"/>
        <w:rPr>
          <w:rFonts w:ascii="仿宋_GB2312" w:hAnsi="仿宋_GB2312" w:eastAsia="仿宋_GB2312" w:cs="仿宋_GB2312"/>
          <w:sz w:val="24"/>
        </w:rPr>
      </w:pPr>
    </w:p>
    <w:p w14:paraId="0228EC3B">
      <w:pPr>
        <w:spacing w:line="560" w:lineRule="exact"/>
        <w:ind w:firstLine="480"/>
        <w:outlineLvl w:val="9"/>
        <w:rPr>
          <w:rFonts w:ascii="仿宋_GB2312" w:hAnsi="仿宋_GB2312" w:eastAsia="仿宋_GB2312" w:cs="仿宋_GB2312"/>
          <w:sz w:val="24"/>
        </w:rPr>
      </w:pPr>
    </w:p>
    <w:p w14:paraId="0514C6D8">
      <w:pPr>
        <w:spacing w:line="560" w:lineRule="exact"/>
        <w:ind w:firstLine="480"/>
        <w:outlineLvl w:val="9"/>
        <w:rPr>
          <w:rFonts w:ascii="仿宋_GB2312" w:hAnsi="仿宋_GB2312" w:eastAsia="仿宋_GB2312" w:cs="仿宋_GB2312"/>
          <w:sz w:val="24"/>
        </w:rPr>
      </w:pPr>
    </w:p>
    <w:p w14:paraId="55538979">
      <w:pPr>
        <w:spacing w:line="560" w:lineRule="exact"/>
        <w:ind w:firstLine="480"/>
        <w:outlineLvl w:val="9"/>
        <w:rPr>
          <w:rFonts w:ascii="仿宋_GB2312" w:hAnsi="仿宋_GB2312" w:eastAsia="仿宋_GB2312" w:cs="仿宋_GB2312"/>
          <w:sz w:val="24"/>
        </w:rPr>
      </w:pPr>
    </w:p>
    <w:p w14:paraId="798B88DD">
      <w:pPr>
        <w:spacing w:line="560" w:lineRule="exact"/>
        <w:ind w:firstLine="480"/>
        <w:outlineLvl w:val="9"/>
        <w:rPr>
          <w:rFonts w:ascii="仿宋_GB2312" w:hAnsi="仿宋_GB2312" w:eastAsia="仿宋_GB2312" w:cs="仿宋_GB2312"/>
          <w:sz w:val="24"/>
        </w:rPr>
      </w:pPr>
    </w:p>
    <w:p w14:paraId="14C08B3B">
      <w:pPr>
        <w:spacing w:line="560" w:lineRule="exact"/>
        <w:ind w:firstLine="480"/>
        <w:outlineLvl w:val="9"/>
        <w:rPr>
          <w:rFonts w:ascii="仿宋_GB2312" w:hAnsi="仿宋_GB2312" w:eastAsia="仿宋_GB2312" w:cs="仿宋_GB2312"/>
          <w:sz w:val="24"/>
        </w:rPr>
      </w:pPr>
    </w:p>
    <w:p w14:paraId="6753370A">
      <w:pPr>
        <w:spacing w:line="560" w:lineRule="exact"/>
        <w:ind w:firstLine="480"/>
        <w:outlineLvl w:val="9"/>
        <w:rPr>
          <w:rFonts w:ascii="仿宋_GB2312" w:hAnsi="仿宋_GB2312" w:eastAsia="仿宋_GB2312" w:cs="仿宋_GB2312"/>
          <w:sz w:val="24"/>
        </w:rPr>
      </w:pPr>
    </w:p>
    <w:p w14:paraId="08FD8B7D">
      <w:pPr>
        <w:spacing w:line="560" w:lineRule="exact"/>
        <w:ind w:firstLine="480"/>
        <w:outlineLvl w:val="9"/>
        <w:rPr>
          <w:rFonts w:ascii="仿宋_GB2312" w:hAnsi="仿宋_GB2312" w:eastAsia="仿宋_GB2312" w:cs="仿宋_GB2312"/>
          <w:sz w:val="24"/>
        </w:rPr>
      </w:pPr>
    </w:p>
    <w:p w14:paraId="31EB224F">
      <w:pPr>
        <w:spacing w:line="560" w:lineRule="exact"/>
        <w:ind w:firstLine="480"/>
        <w:outlineLvl w:val="9"/>
        <w:rPr>
          <w:rFonts w:ascii="仿宋_GB2312" w:hAnsi="仿宋_GB2312" w:eastAsia="仿宋_GB2312" w:cs="仿宋_GB2312"/>
          <w:sz w:val="24"/>
        </w:rPr>
      </w:pPr>
    </w:p>
    <w:p w14:paraId="4D6451FC">
      <w:pPr>
        <w:spacing w:line="560" w:lineRule="exact"/>
        <w:ind w:firstLine="480"/>
        <w:outlineLvl w:val="9"/>
        <w:rPr>
          <w:rFonts w:ascii="仿宋_GB2312" w:hAnsi="仿宋_GB2312" w:eastAsia="仿宋_GB2312" w:cs="仿宋_GB2312"/>
          <w:sz w:val="24"/>
        </w:rPr>
      </w:pPr>
    </w:p>
    <w:p w14:paraId="7DACC18B">
      <w:pPr>
        <w:spacing w:line="660" w:lineRule="exact"/>
        <w:ind w:firstLine="0" w:firstLineChars="0"/>
        <w:rPr>
          <w:rFonts w:asciiTheme="minorEastAsia" w:hAnsiTheme="minorEastAsia" w:eastAsiaTheme="minorEastAsia" w:cstheme="minorEastAsia"/>
          <w:szCs w:val="21"/>
        </w:rPr>
      </w:pPr>
    </w:p>
    <w:p w14:paraId="662F3DE8">
      <w:pPr>
        <w:widowControl w:val="0"/>
        <w:spacing w:line="660" w:lineRule="exact"/>
        <w:ind w:firstLine="0" w:firstLineChars="0"/>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车辆报废处置服务项目合同</w:t>
      </w:r>
    </w:p>
    <w:p w14:paraId="73F007AE">
      <w:pPr>
        <w:widowControl w:val="0"/>
        <w:spacing w:line="240" w:lineRule="auto"/>
        <w:ind w:firstLine="0" w:firstLineChars="0"/>
        <w:jc w:val="both"/>
        <w:rPr>
          <w:rFonts w:hint="eastAsia" w:ascii="仿宋_GB2312" w:hAnsi="仿宋_GB2312" w:eastAsia="仿宋_GB2312" w:cs="仿宋_GB2312"/>
          <w:sz w:val="28"/>
          <w:szCs w:val="28"/>
          <w:highlight w:val="none"/>
          <w:lang w:val="en-US" w:eastAsia="zh-CN"/>
        </w:rPr>
      </w:pPr>
    </w:p>
    <w:p w14:paraId="5B6DC9A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      方：</w:t>
      </w:r>
    </w:p>
    <w:p w14:paraId="0771491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1797E2B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69ED3CE0">
      <w:pPr>
        <w:keepNext w:val="0"/>
        <w:keepLines w:val="0"/>
        <w:pageBreakBefore w:val="0"/>
        <w:widowControl w:val="0"/>
        <w:kinsoku/>
        <w:wordWrap/>
        <w:overflowPunct/>
        <w:topLinePunct w:val="0"/>
        <w:autoSpaceDE/>
        <w:autoSpaceDN/>
        <w:bidi w:val="0"/>
        <w:adjustRightInd/>
        <w:snapToGrid/>
        <w:spacing w:line="560" w:lineRule="exact"/>
        <w:ind w:left="168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598E324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185B281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      方：</w:t>
      </w:r>
    </w:p>
    <w:p w14:paraId="317F4B7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3E4988B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3E2FF9FE">
      <w:pPr>
        <w:keepNext w:val="0"/>
        <w:keepLines w:val="0"/>
        <w:pageBreakBefore w:val="0"/>
        <w:widowControl w:val="0"/>
        <w:kinsoku/>
        <w:wordWrap/>
        <w:overflowPunct/>
        <w:topLinePunct w:val="0"/>
        <w:autoSpaceDE/>
        <w:autoSpaceDN/>
        <w:bidi w:val="0"/>
        <w:adjustRightInd/>
        <w:snapToGrid/>
        <w:spacing w:line="560" w:lineRule="exact"/>
        <w:ind w:left="192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6C988BC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4DEFDFC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根据《机动车登记规定》《报废机动车回收管理办法》等相关法律法规规定，为保障甲、乙双方合法权益，现就甲方委托乙方回收处理报废车辆事宜，经甲、乙双方友好协商签订本合同，以兹共同遵照执行。</w:t>
      </w:r>
    </w:p>
    <w:p w14:paraId="60A0D65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第一条 服务内容</w:t>
      </w:r>
    </w:p>
    <w:p w14:paraId="4ED6AA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辆纯电动公交车辆及依法办理此批车辆报废和注销登记手续（车辆信息详见附件）。</w:t>
      </w:r>
    </w:p>
    <w:p w14:paraId="2CD50C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（二）乙方负责到甲方指定地点回收车辆，并承担车辆交接后产生的一切费用，包括但不限于租赁费、服务费、拖车费、过路过桥费、油（电）费、人工费、称重费等。</w:t>
      </w:r>
    </w:p>
    <w:p w14:paraId="7EBC75E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第二条 价格及结算方式</w:t>
      </w:r>
    </w:p>
    <w:p w14:paraId="2E31556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（一）乙方回收甲方</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品牌（车型：</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r>
        <w:rPr>
          <w:rFonts w:hint="eastAsia" w:ascii="仿宋_GB2312" w:hAnsi="仿宋_GB2312" w:eastAsia="仿宋_GB2312" w:cs="仿宋_GB2312"/>
          <w:color w:val="auto"/>
          <w:sz w:val="28"/>
          <w:szCs w:val="28"/>
          <w:highlight w:val="none"/>
          <w:lang w:val="en-US" w:eastAsia="zh-CN"/>
        </w:rPr>
        <w:t>纯电动公交车辆的含税收购单价为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元/辆，共计</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辆收购总金额合计为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w:t>
      </w:r>
    </w:p>
    <w:p w14:paraId="27E6880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（二）乙方按照以下方式及本合同约定的收购总金额通过银行转账形式向甲方指定银行账户支付报废车辆收购款。</w:t>
      </w:r>
    </w:p>
    <w:p w14:paraId="0156749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1.自甲乙双方签订合同之日起10个工作日内一次性向甲方支付收购总金额100%的款项共</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w:t>
      </w:r>
    </w:p>
    <w:p w14:paraId="59C9146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2.甲方收到乙方支付的全额履约保证金和收购款后，乙方才可接收甲方车辆。</w:t>
      </w:r>
    </w:p>
    <w:p w14:paraId="0ECDA2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（三）甲方向乙方开具增值税专用发票。</w:t>
      </w:r>
    </w:p>
    <w:p w14:paraId="63EB87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（四）甲方指定银行账户信息：</w:t>
      </w:r>
    </w:p>
    <w:p w14:paraId="15776C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账户名称：</w:t>
      </w:r>
    </w:p>
    <w:p w14:paraId="772CFA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开户银行：</w:t>
      </w:r>
    </w:p>
    <w:p w14:paraId="2BFA83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    号：</w:t>
      </w:r>
    </w:p>
    <w:p w14:paraId="569756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第三条 履约保证金</w:t>
      </w:r>
    </w:p>
    <w:p w14:paraId="2F0B937F">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一）</w:t>
      </w:r>
      <w:r>
        <w:rPr>
          <w:rFonts w:hint="eastAsia" w:ascii="仿宋_GB2312" w:hAnsi="仿宋_GB2312" w:eastAsia="仿宋_GB2312" w:cs="仿宋_GB2312"/>
          <w:color w:val="auto"/>
          <w:sz w:val="28"/>
          <w:szCs w:val="28"/>
          <w:highlight w:val="none"/>
        </w:rPr>
        <w:t>保证金</w:t>
      </w:r>
      <w:r>
        <w:rPr>
          <w:rFonts w:hint="eastAsia" w:ascii="仿宋_GB2312" w:hAnsi="仿宋_GB2312" w:eastAsia="仿宋_GB2312" w:cs="仿宋_GB2312"/>
          <w:color w:val="auto"/>
          <w:sz w:val="28"/>
          <w:szCs w:val="28"/>
          <w:highlight w:val="none"/>
          <w:lang w:val="en-US" w:eastAsia="zh-CN"/>
        </w:rPr>
        <w:t>金</w:t>
      </w:r>
      <w:r>
        <w:rPr>
          <w:rFonts w:hint="eastAsia" w:ascii="仿宋_GB2312" w:hAnsi="仿宋_GB2312" w:eastAsia="仿宋_GB2312" w:cs="仿宋_GB2312"/>
          <w:color w:val="auto"/>
          <w:sz w:val="28"/>
          <w:szCs w:val="28"/>
          <w:highlight w:val="none"/>
        </w:rPr>
        <w:t>额</w:t>
      </w:r>
    </w:p>
    <w:p w14:paraId="0AD82551">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本合同约定乙方向甲方缴纳的履约保证金为人民币</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w:t>
      </w:r>
    </w:p>
    <w:p w14:paraId="41ED746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二）</w:t>
      </w:r>
      <w:r>
        <w:rPr>
          <w:rFonts w:hint="eastAsia" w:ascii="仿宋_GB2312" w:hAnsi="仿宋_GB2312" w:eastAsia="仿宋_GB2312" w:cs="仿宋_GB2312"/>
          <w:color w:val="auto"/>
          <w:sz w:val="28"/>
          <w:szCs w:val="28"/>
          <w:highlight w:val="none"/>
        </w:rPr>
        <w:t>缴纳方式与时限</w:t>
      </w:r>
    </w:p>
    <w:p w14:paraId="3C592683">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乙方应通过以下第【</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】种方式完成履约保证金的缴纳：</w:t>
      </w:r>
    </w:p>
    <w:p w14:paraId="35923280">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1.现金担保：</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在本项目合同生效后5个工作日内以银行转账方式，将保证金一次性支付至</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指定</w:t>
      </w:r>
      <w:r>
        <w:rPr>
          <w:rFonts w:hint="eastAsia" w:ascii="仿宋_GB2312" w:hAnsi="仿宋_GB2312" w:eastAsia="仿宋_GB2312" w:cs="仿宋_GB2312"/>
          <w:color w:val="auto"/>
          <w:sz w:val="28"/>
          <w:szCs w:val="28"/>
          <w:highlight w:val="none"/>
          <w:lang w:val="en-US" w:eastAsia="zh-CN"/>
        </w:rPr>
        <w:t>银行</w:t>
      </w:r>
      <w:r>
        <w:rPr>
          <w:rFonts w:hint="eastAsia" w:ascii="仿宋_GB2312" w:hAnsi="仿宋_GB2312" w:eastAsia="仿宋_GB2312" w:cs="仿宋_GB2312"/>
          <w:color w:val="auto"/>
          <w:sz w:val="28"/>
          <w:szCs w:val="28"/>
          <w:highlight w:val="none"/>
        </w:rPr>
        <w:t>账户。</w:t>
      </w:r>
    </w:p>
    <w:p w14:paraId="2E9EBB12">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2.银行保函：</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在本项目合同生效后15个工作日内向</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提交一份覆盖合同有效期，且符合法律规定、不可撤销的银行保函正本。</w:t>
      </w:r>
    </w:p>
    <w:p w14:paraId="0C832DC4">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收款证明</w:t>
      </w:r>
    </w:p>
    <w:p w14:paraId="3C9A5DBB">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甲方在收到乙方足额保证金款项或符合条件的保函后</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个工作日内，应向乙方开具等额的收款凭证或保函/保险单收讫证明。</w:t>
      </w:r>
    </w:p>
    <w:p w14:paraId="085E8593">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w:t>
      </w:r>
      <w:r>
        <w:rPr>
          <w:rFonts w:hint="eastAsia" w:ascii="仿宋_GB2312" w:hAnsi="仿宋_GB2312" w:eastAsia="仿宋_GB2312" w:cs="仿宋_GB2312"/>
          <w:color w:val="auto"/>
          <w:sz w:val="28"/>
          <w:szCs w:val="28"/>
          <w:highlight w:val="none"/>
        </w:rPr>
        <w:t>保证金的返还与保函解除</w:t>
      </w:r>
    </w:p>
    <w:p w14:paraId="6270B7F6">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在本合同正常履行完毕，或因非乙方原因导致合同解除，且乙方已完全履行完毕其全部合同义务后</w:t>
      </w: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rPr>
        <w:t>个工作日内，甲方应将保证金本金无息全额退还至乙方账户，或配合办理解除手续。</w:t>
      </w:r>
    </w:p>
    <w:p w14:paraId="7C20B63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五）</w:t>
      </w:r>
      <w:r>
        <w:rPr>
          <w:rFonts w:hint="eastAsia" w:ascii="仿宋_GB2312" w:hAnsi="仿宋_GB2312" w:eastAsia="仿宋_GB2312" w:cs="仿宋_GB2312"/>
          <w:color w:val="auto"/>
          <w:sz w:val="28"/>
          <w:szCs w:val="28"/>
          <w:highlight w:val="none"/>
        </w:rPr>
        <w:t>保证金的扣除与索赔</w:t>
      </w:r>
    </w:p>
    <w:p w14:paraId="64B3BF10">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若因乙方违约行为给甲方造成损失或产生违约金、赔偿金，甲方有权依据本合同约定及有效法律文书，从履约保证金中直接扣除相应款项，或依据保函/保险单向担保方索赔。</w:t>
      </w:r>
    </w:p>
    <w:p w14:paraId="0C047618">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扣除后保证金仍有剩余的，甲方按本条第</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四）项</w:t>
      </w:r>
      <w:r>
        <w:rPr>
          <w:rFonts w:hint="eastAsia" w:ascii="仿宋_GB2312" w:hAnsi="仿宋_GB2312" w:eastAsia="仿宋_GB2312" w:cs="仿宋_GB2312"/>
          <w:color w:val="auto"/>
          <w:sz w:val="28"/>
          <w:szCs w:val="28"/>
          <w:highlight w:val="none"/>
        </w:rPr>
        <w:t>约定退还。扣除后保证金不足以弥补甲方损失的，甲方有权要求乙方在收到书面通知后</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个工作日内补足差额。</w:t>
      </w:r>
    </w:p>
    <w:p w14:paraId="5B571B37">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六）</w:t>
      </w:r>
      <w:r>
        <w:rPr>
          <w:rFonts w:hint="eastAsia" w:ascii="仿宋_GB2312" w:hAnsi="仿宋_GB2312" w:eastAsia="仿宋_GB2312" w:cs="仿宋_GB2312"/>
          <w:color w:val="auto"/>
          <w:sz w:val="28"/>
          <w:szCs w:val="28"/>
          <w:highlight w:val="none"/>
        </w:rPr>
        <w:t>逾期处理</w:t>
      </w:r>
    </w:p>
    <w:p w14:paraId="5613E90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若乙方未按本条约定按时足额缴纳保证金或提交合格保函，每逾期一日，应按保证金总额的</w:t>
      </w:r>
      <w:r>
        <w:rPr>
          <w:rFonts w:hint="eastAsia" w:ascii="仿宋_GB2312" w:hAnsi="仿宋_GB2312" w:eastAsia="仿宋_GB2312" w:cs="仿宋_GB2312"/>
          <w:color w:val="auto"/>
          <w:sz w:val="28"/>
          <w:szCs w:val="28"/>
          <w:highlight w:val="none"/>
          <w:lang w:val="en-US" w:eastAsia="zh-CN"/>
        </w:rPr>
        <w:t>万分之五</w:t>
      </w:r>
      <w:r>
        <w:rPr>
          <w:rFonts w:hint="eastAsia" w:ascii="仿宋_GB2312" w:hAnsi="仿宋_GB2312" w:eastAsia="仿宋_GB2312" w:cs="仿宋_GB2312"/>
          <w:color w:val="auto"/>
          <w:sz w:val="28"/>
          <w:szCs w:val="28"/>
          <w:highlight w:val="none"/>
        </w:rPr>
        <w:t>向甲方支付违约金；逾期超过</w:t>
      </w: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lang w:val="en-US" w:eastAsia="zh-CN"/>
        </w:rPr>
        <w:t>0天</w:t>
      </w:r>
      <w:r>
        <w:rPr>
          <w:rFonts w:hint="eastAsia" w:ascii="仿宋_GB2312" w:hAnsi="仿宋_GB2312" w:eastAsia="仿宋_GB2312" w:cs="仿宋_GB2312"/>
          <w:color w:val="auto"/>
          <w:sz w:val="28"/>
          <w:szCs w:val="28"/>
          <w:highlight w:val="none"/>
        </w:rPr>
        <w:t>的，甲方有权单方解除本合同。</w:t>
      </w:r>
    </w:p>
    <w:p w14:paraId="0996170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第四条 甲方权利和义务</w:t>
      </w:r>
    </w:p>
    <w:p w14:paraId="2D9A38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（一）甲方授权委托乙方回收甲方的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辆纯电动公交车辆及办理此批车辆报废和注销登记手续。</w:t>
      </w:r>
    </w:p>
    <w:p w14:paraId="15D171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甲方应确保交付给乙方的公交车辆属于甲方资产，无任何产权纠纷，无未处理完毕的道路交通安全违法行为和交通事故等，并确保在深圳市公安机关交通管理部门登记的车辆档案状态正常，满足深圳市车辆管理所办理报废和注销登记手续的条件。</w:t>
      </w:r>
    </w:p>
    <w:p w14:paraId="3558386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（三）甲方应在合同签订完成并收到乙方支付的全额履约保证金及收购款后起60日内将车辆移交给乙方</w:t>
      </w:r>
      <w:r>
        <w:rPr>
          <w:rFonts w:hint="eastAsia" w:ascii="仿宋_GB2312" w:hAnsi="仿宋_GB2312" w:eastAsia="仿宋_GB2312" w:cs="仿宋_GB2312"/>
          <w:color w:val="auto"/>
          <w:sz w:val="28"/>
          <w:szCs w:val="28"/>
          <w:highlight w:val="none"/>
          <w:u w:val="none"/>
          <w:lang w:val="en-US" w:eastAsia="zh-CN"/>
        </w:rPr>
        <w:t>。</w:t>
      </w:r>
    </w:p>
    <w:p w14:paraId="39FB37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黑体" w:hAnsi="黑体" w:eastAsia="黑体" w:cs="黑体"/>
          <w:sz w:val="28"/>
          <w:szCs w:val="28"/>
          <w:highlight w:val="none"/>
          <w:lang w:val="en-US" w:eastAsia="zh-CN"/>
        </w:rPr>
        <w:t>第五条 乙方权利和义务</w:t>
      </w:r>
    </w:p>
    <w:p w14:paraId="582BE22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（一）乙方拆解报废车辆的操作流程、设备、场地应符合安全管理和环境保护等相关法律法规和强制性标准要求，因乙方违法拆解甲方车辆造成的法律风险及经济损失责任由乙方承担。</w:t>
      </w:r>
    </w:p>
    <w:p w14:paraId="22E4AB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（二）乙方须自行承担使用场地、工具设备、专用车辆、工作人员等产生的租赁费、服务费、拖车费、过路过桥费、油（电）费、人工费等一切附加费用。</w:t>
      </w:r>
    </w:p>
    <w:p w14:paraId="5EEFD1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（三）乙方接到甲方发出的回收车辆通知，该通知形式包括但不限于书面、电话或即时通讯软件通知，须在5日内完成回收甲方指定地点的车辆并拖离甲方指定场站及承担拖车费用。</w:t>
      </w:r>
    </w:p>
    <w:p w14:paraId="16BF32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从甲方指定地点拖离车辆后30日内须办理完机动车报废和注销登记手续，并在上述期限内向甲方交付《报废汽车回收证明》及《机动车注销证明书》的原件及电子扫描件（每车逐份扫描，扫描件以车牌号命名）。</w:t>
      </w:r>
    </w:p>
    <w:p w14:paraId="7E440C83">
      <w:pPr>
        <w:widowControl w:val="0"/>
        <w:spacing w:line="560" w:lineRule="exact"/>
        <w:ind w:firstLine="560" w:firstLineChars="200"/>
        <w:rPr>
          <w:rFonts w:hint="eastAsia" w:eastAsia="仿宋_GB2312"/>
          <w:lang w:val="en-US" w:eastAsia="zh-CN"/>
        </w:rPr>
      </w:pP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rPr>
        <w:t>乙方应向甲方出具</w:t>
      </w:r>
      <w:r>
        <w:rPr>
          <w:rFonts w:hint="eastAsia" w:ascii="仿宋_GB2312" w:hAnsi="仿宋_GB2312" w:eastAsia="仿宋_GB2312" w:cs="仿宋_GB2312"/>
          <w:sz w:val="28"/>
          <w:szCs w:val="28"/>
          <w:highlight w:val="none"/>
          <w:lang w:val="en-US" w:eastAsia="zh-CN"/>
        </w:rPr>
        <w:t>动力蓄</w:t>
      </w:r>
      <w:r>
        <w:rPr>
          <w:rFonts w:hint="eastAsia" w:ascii="仿宋_GB2312" w:hAnsi="仿宋_GB2312" w:eastAsia="仿宋_GB2312" w:cs="仿宋_GB2312"/>
          <w:sz w:val="28"/>
          <w:szCs w:val="28"/>
          <w:highlight w:val="none"/>
        </w:rPr>
        <w:t>电池回收证明</w:t>
      </w:r>
      <w:r>
        <w:rPr>
          <w:rFonts w:hint="eastAsia" w:ascii="仿宋_GB2312" w:hAnsi="仿宋_GB2312" w:eastAsia="仿宋_GB2312" w:cs="仿宋_GB2312"/>
          <w:sz w:val="28"/>
          <w:szCs w:val="28"/>
          <w:highlight w:val="none"/>
          <w:lang w:eastAsia="zh-CN"/>
        </w:rPr>
        <w:t>。</w:t>
      </w:r>
    </w:p>
    <w:p w14:paraId="6C02C091">
      <w:pPr>
        <w:widowControl w:val="0"/>
        <w:spacing w:after="120" w:line="560" w:lineRule="exact"/>
        <w:ind w:firstLine="560" w:firstLineChars="200"/>
        <w:jc w:val="both"/>
        <w:rPr>
          <w:rFonts w:hint="eastAsia" w:ascii="Times New Roman" w:hAnsi="Times New Roman" w:eastAsia="宋体" w:cs="Times New Roman"/>
          <w:kern w:val="0"/>
          <w:sz w:val="28"/>
          <w:szCs w:val="28"/>
          <w:lang w:val="en-US" w:eastAsia="zh-CN" w:bidi="ar-SA"/>
        </w:rPr>
      </w:pPr>
      <w:r>
        <w:rPr>
          <w:rFonts w:hint="eastAsia" w:ascii="仿宋_GB2312" w:hAnsi="仿宋_GB2312" w:eastAsia="仿宋_GB2312" w:cs="仿宋_GB2312"/>
          <w:kern w:val="0"/>
          <w:sz w:val="28"/>
          <w:szCs w:val="28"/>
          <w:lang w:val="en-US" w:eastAsia="zh-CN" w:bidi="ar-SA"/>
        </w:rPr>
        <w:t>（六）乙方委托本合同外第三方到甲方指定地点交接车辆的，乙方应出具书面委托或其他证明文件，第三方的一切行为将被甲方视为等同乙方自身行为，并且乙方对此负全部责任。</w:t>
      </w:r>
    </w:p>
    <w:p w14:paraId="049961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（七）乙方或乙方委托的第三方</w:t>
      </w:r>
      <w:r>
        <w:rPr>
          <w:rFonts w:hint="eastAsia" w:ascii="仿宋_GB2312" w:hAnsi="仿宋_GB2312" w:eastAsia="仿宋_GB2312" w:cs="仿宋_GB2312"/>
          <w:sz w:val="28"/>
          <w:szCs w:val="28"/>
          <w:lang w:val="en-US" w:eastAsia="zh-CN"/>
        </w:rPr>
        <w:t>进入甲方指定地点回收车辆的，应遵守甲方的安全管理制度，在场站内文明作业，不得影响甲方的正常经营生产活动，若因</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委托的第三方原因造成人员伤亡或财产损失的，由乙方承担一切法律及经济损失责任。</w:t>
      </w:r>
    </w:p>
    <w:p w14:paraId="348C7F1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八）乙方或乙方委托的第三方单位回收甲方车辆须配合甲方做好移交登记手续，甲乙双方已完成交接签字或乙方对甲方车辆实施了拖（吊）车作业的，即视为该车辆资产已移交给乙方，由乙方承担所有因后续车辆装卸、运输、拆解等过程中引发的安全法律和经济损失责任。</w:t>
      </w:r>
    </w:p>
    <w:p w14:paraId="5711A8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第六条 违约责任</w:t>
      </w:r>
    </w:p>
    <w:p w14:paraId="1F98768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（一）任何一方不履行、不完全履行或不当履行本合同义务的，均构成违约，应向守约方赔偿实际损失、可得利益损失及维权合理费用（含律师费、诉讼费）。</w:t>
      </w:r>
    </w:p>
    <w:p w14:paraId="7682FC17">
      <w:pPr>
        <w:widowControl w:val="0"/>
        <w:spacing w:after="120" w:line="560" w:lineRule="exact"/>
        <w:ind w:firstLine="560" w:firstLineChars="200"/>
        <w:jc w:val="both"/>
        <w:rPr>
          <w:rFonts w:hint="eastAsia" w:ascii="Times New Roman" w:hAnsi="Times New Roman" w:eastAsia="宋体" w:cs="Times New Roman"/>
          <w:kern w:val="0"/>
          <w:sz w:val="20"/>
          <w:szCs w:val="24"/>
          <w:lang w:val="en-US" w:eastAsia="zh-CN" w:bidi="ar-SA"/>
        </w:rPr>
      </w:pPr>
      <w:r>
        <w:rPr>
          <w:rFonts w:hint="eastAsia" w:ascii="仿宋_GB2312" w:hAnsi="仿宋_GB2312" w:eastAsia="仿宋_GB2312" w:cs="仿宋_GB2312"/>
          <w:kern w:val="0"/>
          <w:sz w:val="28"/>
          <w:szCs w:val="28"/>
          <w:lang w:val="en-US" w:eastAsia="zh-CN" w:bidi="ar-SA"/>
        </w:rPr>
        <w:t>（二）本合同约定报废处置的车辆为甲方申领2026年新能源城市公交车更新补贴的车辆，因乙方任一原因（包括但不限于逾期签订合同、逾期缴纳履约保证金、逾期支付足额成交款、逾期回收车辆、逾期交付报废证明文件或交付的报废证明文件上载明的信息错误等）导致甲方无法申领到2026年新能源城市公交车更新补贴的，乙方应按照《2026年新能源城市公交车及动力电池更新补贴实施细则》的补贴标准全额补偿甲方补贴损失，且该追偿权不受合同期限限制。</w:t>
      </w:r>
    </w:p>
    <w:p w14:paraId="5A3EFDB2">
      <w:pPr>
        <w:widowControl w:val="0"/>
        <w:spacing w:line="24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（三）甲方逾期未将车辆（不包括车辆行驶证、登记证书等证件）移交给乙方的，从逾期之日起，逾期未移交的车辆按照每天每辆车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元的标准向乙方支付违约金，如因不可抗力或乙方因素造成逾期交接车辆的，甲方不承担逾期交车责任。</w:t>
      </w:r>
    </w:p>
    <w:p w14:paraId="253867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接收到甲方发出的回收车辆通知后，该通知形式包括但不限于书面、电话或即时通讯软件通知，未能在规定期限内完成指定车辆回收时，即视为乙方逾期未完成车辆回收。从逾期之日起，逾期未回收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元的标准扣除履约保证金；逾期超过30天的，甲方有权单方解除合同，没收全部履约保证金，同时保留对乙方追究违约责任的权利。</w:t>
      </w:r>
    </w:p>
    <w:p w14:paraId="4E37056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（五）乙方逾期未办理完车辆报废和注销登记手续的，除不可抗力因素外，从逾期之日起，每天每辆车扣除履约保证金</w:t>
      </w:r>
      <w:r>
        <w:rPr>
          <w:rFonts w:hint="eastAsia" w:ascii="仿宋_GB2312" w:hAnsi="仿宋_GB2312" w:eastAsia="仿宋_GB2312" w:cs="仿宋_GB2312"/>
          <w:sz w:val="28"/>
          <w:szCs w:val="28"/>
          <w:highlight w:val="none"/>
          <w:u w:val="single"/>
          <w:lang w:val="en-US" w:eastAsia="zh-CN"/>
        </w:rPr>
        <w:t>200</w:t>
      </w:r>
      <w:r>
        <w:rPr>
          <w:rFonts w:hint="eastAsia" w:ascii="仿宋_GB2312" w:hAnsi="仿宋_GB2312" w:eastAsia="仿宋_GB2312" w:cs="仿宋_GB2312"/>
          <w:sz w:val="28"/>
          <w:szCs w:val="28"/>
          <w:highlight w:val="none"/>
          <w:lang w:val="en-US" w:eastAsia="zh-CN"/>
        </w:rPr>
        <w:t>元，逾期超过10天的，甲方有权单方解除合同，没收全部履约保证金，同时保留对乙方追究违约责任的权利。</w:t>
      </w:r>
    </w:p>
    <w:p w14:paraId="4460876E">
      <w:pPr>
        <w:widowControl w:val="0"/>
        <w:spacing w:line="560" w:lineRule="exact"/>
        <w:ind w:firstLine="560" w:firstLineChars="200"/>
        <w:rPr>
          <w:rFonts w:hint="eastAsia"/>
          <w:lang w:val="en-US" w:eastAsia="zh-CN"/>
        </w:rPr>
      </w:pPr>
      <w:r>
        <w:rPr>
          <w:rFonts w:hint="eastAsia" w:ascii="仿宋_GB2312" w:hAnsi="仿宋_GB2312" w:eastAsia="仿宋_GB2312" w:cs="仿宋_GB2312"/>
          <w:sz w:val="28"/>
          <w:szCs w:val="28"/>
          <w:highlight w:val="none"/>
          <w:lang w:val="en-US" w:eastAsia="zh-CN"/>
        </w:rPr>
        <w:t>（六）乙方未在约定期限内向甲方全额支付收购款的，从逾期之日起，每天向甲方支付剩余未付收购款万分之五的滞纳金（从乙方履约保证金中扣除），直至乙方付清收购款为止。逾期超过30天的，甲方有权单方解除合同，没收全部履约保证金，同时保留对乙方追究违约责任的权利。</w:t>
      </w:r>
    </w:p>
    <w:p w14:paraId="1BA3023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（七）乙方有下列行为之一的，甲方有权单方解除合同，没收全部履约保证金，并追究乙方的违约或违法责任：</w:t>
      </w:r>
    </w:p>
    <w:p w14:paraId="3FA2FF9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1.乙方在拖运甲方公交车辆离开甲方场站后，驾驶甲方公交车辆上路行驶的。</w:t>
      </w:r>
    </w:p>
    <w:p w14:paraId="40D230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2.乙方回收甲方公交车辆后，非法改装变卖车辆的。</w:t>
      </w:r>
    </w:p>
    <w:p w14:paraId="0AED8E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3.乙方回收甲方公交车辆后，存在其他违反法律法规强制性规定的行为的。</w:t>
      </w:r>
    </w:p>
    <w:p w14:paraId="58DCA1D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第七条 不可抗力</w:t>
      </w:r>
    </w:p>
    <w:p w14:paraId="218F3D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因地震、台风、水灾、战争等不能预见、不能避免且不能克服的不可抗力导致不能履行合同的，受影响方应立即书面通知另一方，并在15日内提供有效证明。双方根据影响程度协商是否解除、部分免除责任或延期履行。</w:t>
      </w:r>
    </w:p>
    <w:p w14:paraId="20E095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（二）任何一方因不可抗力导致未能按期履行本合同约定义务的，不视为违约。</w:t>
      </w:r>
    </w:p>
    <w:p w14:paraId="125A8A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第八条 争议解决</w:t>
      </w:r>
    </w:p>
    <w:p w14:paraId="406B7E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凡因执行本合同所发生的或与本合同有关的一切争议、纠纷，双方应当通过友好协商方式解决。协商不成的，双方同意将争议提请甲方所在地有管辖权的人民法院依法裁决。</w:t>
      </w:r>
    </w:p>
    <w:p w14:paraId="1D1645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第九条 合同的变更与解除</w:t>
      </w:r>
    </w:p>
    <w:p w14:paraId="38A1AFA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（一）本合同未尽事宜，需进行修改、补充或完善的，由双方另行协商后签署补充协议约定，补充协议与本合同具有同等法律效力。</w:t>
      </w:r>
    </w:p>
    <w:p w14:paraId="1D662E6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（二）存在下列情形之一的，一方有权提出解除本合同：</w:t>
      </w:r>
    </w:p>
    <w:p w14:paraId="2D214F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1.一方违反本合同，造成订立本合同的基本目的已经无法实现。</w:t>
      </w:r>
    </w:p>
    <w:p w14:paraId="36D5AF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2.一方在本合同约定的期限内，没有履行合同的主要义务，在对方提出要求履行的合理期限内仍未履行的。</w:t>
      </w:r>
    </w:p>
    <w:p w14:paraId="2E50D2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第十条 合同期限</w:t>
      </w:r>
    </w:p>
    <w:p w14:paraId="2FB0F8E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本合同有效期，自签订之日起至甲乙双方履行完毕全部权利义务且无违约责任后合同即终止。</w:t>
      </w:r>
    </w:p>
    <w:p w14:paraId="67F2AF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第十一条 合同生效</w:t>
      </w:r>
    </w:p>
    <w:p w14:paraId="70BAE62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（一）本合同经双方法定代表人或授权代表签字并加盖公章后生效。</w:t>
      </w:r>
    </w:p>
    <w:p w14:paraId="6B64EE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（二）本合同一式贰份，双方各执壹份，具有同等法律效力。</w:t>
      </w:r>
    </w:p>
    <w:p w14:paraId="4680786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22E1F65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144213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甲方：（签章）                                                   </w:t>
      </w:r>
    </w:p>
    <w:p w14:paraId="1460D4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127665D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624117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0D4F617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22CEF0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乙方：（签章）</w:t>
      </w:r>
    </w:p>
    <w:p w14:paraId="4124A83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6975476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0EBBD3A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56C64D11">
      <w:pPr>
        <w:widowControl w:val="0"/>
        <w:spacing w:line="560" w:lineRule="exact"/>
        <w:ind w:firstLine="0" w:firstLineChars="0"/>
        <w:rPr>
          <w:rFonts w:hint="eastAsia" w:ascii="仿宋_GB2312" w:hAnsi="仿宋_GB2312" w:eastAsia="仿宋_GB2312" w:cs="仿宋_GB2312"/>
          <w:sz w:val="28"/>
          <w:szCs w:val="28"/>
          <w:highlight w:val="none"/>
          <w:lang w:val="en-US" w:eastAsia="zh-CN"/>
        </w:rPr>
      </w:pPr>
    </w:p>
    <w:p w14:paraId="73840D86">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本合同由甲方与乙方于     年   月   日在深圳市龙岗区订立。</w:t>
      </w:r>
    </w:p>
    <w:p w14:paraId="73DC1389">
      <w:pPr>
        <w:rPr>
          <w:rFonts w:asciiTheme="minorEastAsia" w:hAnsiTheme="minorEastAsia" w:eastAsiaTheme="minorEastAsia" w:cstheme="minorEastAsia"/>
          <w:szCs w:val="21"/>
        </w:rPr>
      </w:pPr>
      <w:r>
        <w:rPr>
          <w:rFonts w:asciiTheme="minorEastAsia" w:hAnsiTheme="minorEastAsia" w:eastAsiaTheme="minorEastAsia" w:cstheme="minorEastAsia"/>
          <w:szCs w:val="21"/>
        </w:rPr>
        <w:br w:type="page"/>
      </w:r>
    </w:p>
    <w:p w14:paraId="5FD6588C">
      <w:pPr>
        <w:pStyle w:val="2"/>
      </w:pPr>
    </w:p>
    <w:p w14:paraId="2F97C429">
      <w:pPr>
        <w:widowControl w:val="0"/>
        <w:autoSpaceDE w:val="0"/>
        <w:autoSpaceDN w:val="0"/>
        <w:adjustRightInd w:val="0"/>
        <w:snapToGrid w:val="0"/>
        <w:ind w:firstLine="0" w:firstLineChars="0"/>
        <w:jc w:val="center"/>
        <w:outlineLvl w:val="9"/>
        <w:rPr>
          <w:rFonts w:ascii="宋体" w:hAnsi="宋体"/>
          <w:b/>
          <w:bCs/>
          <w:sz w:val="52"/>
          <w:szCs w:val="52"/>
        </w:rPr>
      </w:pPr>
    </w:p>
    <w:p w14:paraId="33BAEFF8">
      <w:pPr>
        <w:widowControl w:val="0"/>
        <w:autoSpaceDE w:val="0"/>
        <w:autoSpaceDN w:val="0"/>
        <w:adjustRightInd w:val="0"/>
        <w:snapToGrid w:val="0"/>
        <w:ind w:firstLine="0" w:firstLineChars="0"/>
        <w:jc w:val="center"/>
        <w:outlineLvl w:val="9"/>
        <w:rPr>
          <w:rFonts w:ascii="宋体" w:hAnsi="宋体"/>
          <w:b/>
          <w:bCs/>
          <w:sz w:val="52"/>
          <w:szCs w:val="52"/>
        </w:rPr>
      </w:pPr>
    </w:p>
    <w:p w14:paraId="3508DD61">
      <w:pPr>
        <w:widowControl w:val="0"/>
        <w:autoSpaceDE w:val="0"/>
        <w:autoSpaceDN w:val="0"/>
        <w:adjustRightInd w:val="0"/>
        <w:snapToGrid w:val="0"/>
        <w:ind w:firstLine="0" w:firstLineChars="0"/>
        <w:jc w:val="center"/>
        <w:outlineLvl w:val="9"/>
        <w:rPr>
          <w:rFonts w:ascii="宋体" w:hAnsi="宋体"/>
          <w:b/>
          <w:bCs/>
          <w:sz w:val="52"/>
          <w:szCs w:val="52"/>
        </w:rPr>
      </w:pPr>
    </w:p>
    <w:p w14:paraId="1333DFFF">
      <w:pPr>
        <w:widowControl w:val="0"/>
        <w:autoSpaceDE w:val="0"/>
        <w:autoSpaceDN w:val="0"/>
        <w:adjustRightInd w:val="0"/>
        <w:snapToGrid w:val="0"/>
        <w:ind w:firstLine="0" w:firstLineChars="0"/>
        <w:jc w:val="center"/>
        <w:outlineLvl w:val="9"/>
        <w:rPr>
          <w:rFonts w:ascii="宋体" w:hAnsi="宋体"/>
          <w:b/>
          <w:bCs/>
          <w:sz w:val="52"/>
          <w:szCs w:val="52"/>
        </w:rPr>
      </w:pPr>
    </w:p>
    <w:p w14:paraId="6E466D24">
      <w:pPr>
        <w:widowControl w:val="0"/>
        <w:autoSpaceDE w:val="0"/>
        <w:autoSpaceDN w:val="0"/>
        <w:adjustRightInd w:val="0"/>
        <w:snapToGrid w:val="0"/>
        <w:ind w:firstLine="0" w:firstLineChars="0"/>
        <w:jc w:val="both"/>
        <w:outlineLvl w:val="9"/>
        <w:rPr>
          <w:rFonts w:hint="eastAsia" w:ascii="宋体" w:hAnsi="宋体"/>
          <w:b/>
          <w:bCs/>
          <w:sz w:val="52"/>
          <w:szCs w:val="52"/>
        </w:rPr>
      </w:pPr>
      <w:bookmarkStart w:id="29" w:name="_Toc13214"/>
    </w:p>
    <w:p w14:paraId="0EFAEA6E">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461CD020">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bookmarkEnd w:id="29"/>
    </w:p>
    <w:p w14:paraId="7D49998E">
      <w:pPr>
        <w:widowControl w:val="0"/>
        <w:autoSpaceDE w:val="0"/>
        <w:autoSpaceDN w:val="0"/>
        <w:adjustRightInd w:val="0"/>
        <w:snapToGrid w:val="0"/>
        <w:ind w:firstLine="0" w:firstLineChars="0"/>
        <w:jc w:val="center"/>
        <w:rPr>
          <w:rFonts w:ascii="宋体" w:hAnsi="宋体"/>
          <w:b/>
          <w:sz w:val="52"/>
          <w:szCs w:val="52"/>
        </w:rPr>
      </w:pPr>
      <w:bookmarkStart w:id="30" w:name="_Toc77858945"/>
      <w:r>
        <w:rPr>
          <w:rFonts w:hint="eastAsia" w:ascii="宋体" w:hAnsi="宋体"/>
          <w:b/>
          <w:sz w:val="52"/>
          <w:szCs w:val="52"/>
        </w:rPr>
        <w:t>（商务</w:t>
      </w:r>
      <w:r>
        <w:rPr>
          <w:rFonts w:ascii="宋体" w:hAnsi="宋体"/>
          <w:b/>
          <w:sz w:val="52"/>
          <w:szCs w:val="52"/>
        </w:rPr>
        <w:t>、技术要求</w:t>
      </w:r>
      <w:r>
        <w:rPr>
          <w:rFonts w:hint="eastAsia" w:ascii="宋体" w:hAnsi="宋体"/>
          <w:b/>
          <w:sz w:val="52"/>
          <w:szCs w:val="52"/>
        </w:rPr>
        <w:t>）</w:t>
      </w:r>
      <w:bookmarkEnd w:id="30"/>
    </w:p>
    <w:p w14:paraId="1ECA59C3">
      <w:pPr>
        <w:spacing w:line="240" w:lineRule="auto"/>
        <w:ind w:firstLine="0" w:firstLineChars="0"/>
        <w:jc w:val="left"/>
        <w:rPr>
          <w:rFonts w:ascii="宋体" w:hAnsi="宋体"/>
          <w:b/>
          <w:sz w:val="52"/>
          <w:szCs w:val="52"/>
        </w:rPr>
      </w:pPr>
      <w:r>
        <w:rPr>
          <w:rFonts w:ascii="宋体" w:hAnsi="宋体"/>
          <w:b/>
          <w:sz w:val="52"/>
          <w:szCs w:val="52"/>
        </w:rPr>
        <w:br w:type="page"/>
      </w:r>
    </w:p>
    <w:p w14:paraId="0B5442AA">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b/>
          <w:szCs w:val="21"/>
        </w:rPr>
      </w:pPr>
      <w:bookmarkStart w:id="31" w:name="_Toc77858946"/>
      <w:r>
        <w:rPr>
          <w:rFonts w:hint="eastAsia" w:asciiTheme="minorEastAsia" w:hAnsiTheme="minorEastAsia" w:eastAsiaTheme="minorEastAsia" w:cstheme="minorEastAsia"/>
          <w:b/>
          <w:szCs w:val="21"/>
        </w:rPr>
        <w:t xml:space="preserve">一、 </w:t>
      </w:r>
      <w:bookmarkEnd w:id="31"/>
      <w:r>
        <w:rPr>
          <w:rFonts w:hint="eastAsia" w:asciiTheme="minorEastAsia" w:hAnsiTheme="minorEastAsia" w:eastAsiaTheme="minorEastAsia" w:cstheme="minorEastAsia"/>
          <w:b/>
          <w:szCs w:val="21"/>
        </w:rPr>
        <w:t xml:space="preserve">标的物数量及明细  </w:t>
      </w:r>
    </w:p>
    <w:p w14:paraId="01B1F325">
      <w:pPr>
        <w:widowControl w:val="0"/>
        <w:spacing w:after="120" w:line="360" w:lineRule="auto"/>
        <w:ind w:left="0" w:leftChars="0" w:firstLine="0" w:firstLineChars="0"/>
        <w:jc w:val="both"/>
        <w:rPr>
          <w:rFonts w:hint="eastAsia" w:ascii="宋体" w:hAnsi="宋体" w:eastAsia="宋体" w:cs="宋体"/>
          <w:kern w:val="0"/>
          <w:sz w:val="28"/>
          <w:szCs w:val="28"/>
          <w:lang w:val="en-US" w:eastAsia="zh-CN" w:bidi="ar-SA"/>
        </w:rPr>
      </w:pPr>
      <w:r>
        <w:rPr>
          <w:rFonts w:hint="eastAsia" w:ascii="宋体" w:hAnsi="宋体" w:cs="宋体"/>
          <w:kern w:val="0"/>
          <w:sz w:val="21"/>
          <w:szCs w:val="21"/>
          <w:lang w:val="en-US" w:eastAsia="zh-CN" w:bidi="ar-SA"/>
        </w:rPr>
        <w:t>13</w:t>
      </w:r>
      <w:r>
        <w:rPr>
          <w:rFonts w:hint="eastAsia" w:ascii="宋体" w:hAnsi="宋体" w:eastAsia="宋体" w:cs="宋体"/>
          <w:kern w:val="0"/>
          <w:sz w:val="21"/>
          <w:szCs w:val="21"/>
          <w:lang w:val="en-US" w:eastAsia="zh-CN" w:bidi="ar-SA"/>
        </w:rPr>
        <w:t>台纯电动公交车辆报废处置服务，具体标的明细如下</w:t>
      </w:r>
      <w:r>
        <w:rPr>
          <w:rFonts w:hint="eastAsia" w:ascii="宋体" w:hAnsi="宋体" w:eastAsia="宋体" w:cs="宋体"/>
          <w:kern w:val="0"/>
          <w:sz w:val="28"/>
          <w:szCs w:val="28"/>
          <w:lang w:val="en-US" w:eastAsia="zh-CN" w:bidi="ar-SA"/>
        </w:rPr>
        <w:t>：</w:t>
      </w:r>
    </w:p>
    <w:tbl>
      <w:tblPr>
        <w:tblStyle w:val="49"/>
        <w:tblW w:w="7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55"/>
        <w:gridCol w:w="759"/>
        <w:gridCol w:w="750"/>
        <w:gridCol w:w="1080"/>
        <w:gridCol w:w="915"/>
        <w:gridCol w:w="825"/>
        <w:gridCol w:w="1695"/>
      </w:tblGrid>
      <w:tr w14:paraId="7C75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366F7">
            <w:pPr>
              <w:keepNext w:val="0"/>
              <w:keepLines w:val="0"/>
              <w:widowControl/>
              <w:suppressLineNumbers w:val="0"/>
              <w:spacing w:line="36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标的物名称</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48CA">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车辆数</w:t>
            </w:r>
          </w:p>
          <w:p w14:paraId="7308599B">
            <w:pPr>
              <w:widowControl w:val="0"/>
              <w:spacing w:after="120" w:line="360" w:lineRule="auto"/>
              <w:ind w:left="0" w:leftChars="0" w:firstLine="0" w:firstLineChars="0"/>
              <w:jc w:val="center"/>
              <w:rPr>
                <w:rFonts w:hint="default" w:ascii="Calibri" w:hAnsi="Calibri" w:eastAsia="宋体" w:cs="Times New Roman"/>
                <w:kern w:val="0"/>
                <w:sz w:val="18"/>
                <w:szCs w:val="18"/>
                <w:lang w:val="en-US" w:eastAsia="zh-CN" w:bidi="ar-SA"/>
              </w:rPr>
            </w:pPr>
            <w:r>
              <w:rPr>
                <w:rFonts w:hint="eastAsia" w:ascii="宋体" w:hAnsi="宋体" w:eastAsia="宋体" w:cs="宋体"/>
                <w:i w:val="0"/>
                <w:color w:val="000000"/>
                <w:kern w:val="0"/>
                <w:sz w:val="18"/>
                <w:szCs w:val="18"/>
                <w:u w:val="none"/>
                <w:lang w:val="en-US" w:eastAsia="zh-CN" w:bidi="ar-SA"/>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4CB19">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w:t>
            </w:r>
          </w:p>
          <w:p w14:paraId="36778EC5">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2FD34">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12A35">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电池</w:t>
            </w:r>
          </w:p>
          <w:p w14:paraId="5AF3ABB4">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品牌</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D920C">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电池</w:t>
            </w:r>
          </w:p>
          <w:p w14:paraId="6F4C6F79">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类型</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0A48">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动力蓄电池组总电（能）量（kw·h/台）</w:t>
            </w:r>
          </w:p>
        </w:tc>
      </w:tr>
      <w:tr w14:paraId="4457F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6" w:hRule="atLeast"/>
          <w:jc w:val="center"/>
        </w:trPr>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33F21EF">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A8ADE">
            <w:pPr>
              <w:keepNext w:val="0"/>
              <w:keepLines w:val="0"/>
              <w:widowControl/>
              <w:suppressLineNumbers w:val="0"/>
              <w:spacing w:line="36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13</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96062">
            <w:pPr>
              <w:keepNext w:val="0"/>
              <w:keepLines w:val="0"/>
              <w:widowControl/>
              <w:suppressLineNumbers w:val="0"/>
              <w:spacing w:line="36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09D4E">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CK6100LGEV2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E47A4">
            <w:pPr>
              <w:keepNext w:val="0"/>
              <w:keepLines w:val="0"/>
              <w:widowControl/>
              <w:suppressLineNumbers w:val="0"/>
              <w:spacing w:line="36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511DF">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磷酸</w:t>
            </w:r>
          </w:p>
          <w:p w14:paraId="212F2609">
            <w:pPr>
              <w:keepNext w:val="0"/>
              <w:keepLines w:val="0"/>
              <w:widowControl/>
              <w:suppressLineNumbers w:val="0"/>
              <w:spacing w:line="36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15449">
            <w:pPr>
              <w:keepNext w:val="0"/>
              <w:keepLines w:val="0"/>
              <w:widowControl/>
              <w:suppressLineNumbers w:val="0"/>
              <w:spacing w:line="36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291.6</w:t>
            </w:r>
          </w:p>
        </w:tc>
      </w:tr>
    </w:tbl>
    <w:p w14:paraId="4FE524C1">
      <w:pPr>
        <w:pStyle w:val="2"/>
        <w:spacing w:line="360" w:lineRule="auto"/>
        <w:ind w:firstLine="420"/>
      </w:pPr>
      <w:r>
        <w:rPr>
          <w:rFonts w:hint="eastAsia"/>
          <w:b/>
          <w:bCs/>
        </w:rPr>
        <w:t>情况说明</w:t>
      </w:r>
      <w:r>
        <w:rPr>
          <w:rFonts w:hint="eastAsia"/>
          <w:b/>
          <w:bCs/>
          <w:lang w:eastAsia="zh-CN"/>
        </w:rPr>
        <w:t>：</w:t>
      </w:r>
      <w:r>
        <w:rPr>
          <w:rFonts w:hint="eastAsia"/>
        </w:rPr>
        <w:t>该批13台标的车辆中，有1台车牌号为粤B28068D的车辆属于事故车辆，车辆有部分零部件受损，建议到现场查看车辆。</w:t>
      </w:r>
    </w:p>
    <w:p w14:paraId="5DEDA546">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二、项目技术要求</w:t>
      </w:r>
    </w:p>
    <w:p w14:paraId="5189E6E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（一）响应人须自行承担回收拆解采购人报废车辆以及办理注销登记等所产生的租赁费、服务费、拖车费、过路过桥费、油（电）费、人工费、称重费等一切附加费用。</w:t>
      </w:r>
    </w:p>
    <w:p w14:paraId="24B711F5">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（二）响应人与采购人签订合同之日起10个工作日内，响应人应严格按照合同所规定的价格条款，全额向采购人支付合同约定的总金额，即成交总金额的百分之百。</w:t>
      </w:r>
    </w:p>
    <w:p w14:paraId="71A39C7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（三）响应人向采购人全额支付合同约定款项后，方能接收采购人报废车辆。</w:t>
      </w:r>
    </w:p>
    <w:p w14:paraId="4A55EE7A">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（四）响应人中标后需向采购人缴纳成交金额10%的合同履约保证金，缴纳方式以合同约定为准。</w:t>
      </w:r>
    </w:p>
    <w:p w14:paraId="3A335460">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三、质量与服务要求</w:t>
      </w:r>
    </w:p>
    <w:p w14:paraId="41CAE679">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（一）响应人接到采购人通知后，须在5日内完成回收采购人指定地点的车辆，并由响应人负责将车辆从采购人指定地点拖至报废车辆回收拆解场地及承担拖车费用。</w:t>
      </w:r>
    </w:p>
    <w:p w14:paraId="6F89436C">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（二）响应人从采购人指定地点拖离车辆后30日内须办理完车辆报废和注销登记手续，并向采购人交付《报废汽车回收证明》和《机动车注销证明书》及相应的电子版本。</w:t>
      </w:r>
    </w:p>
    <w:p w14:paraId="5F426E8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（三）响应人委托本项目合同外第三方到采购人指定地点交接车辆的，响应人应出具书面委托或其他证明文件，第三方的一切行为将被采购人视为等同响应人自身行为，并且响应人对此负全部责任。</w:t>
      </w:r>
    </w:p>
    <w:p w14:paraId="68B2F338">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相关人员及专项作业车辆进入采购人指定地点回收车辆，应遵守采购人的安全管理制度，在场站内文明作业，不得影响采购人的正常经营生产活动，若因响应人原因造成人员伤亡或财产损失的，由响应人承担一切法律及经济损失责任。</w:t>
      </w:r>
    </w:p>
    <w:p w14:paraId="24E88FC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回收采购人报废车辆须配合采购人做好移交登记手续，双方已完成交接登记或者响应人已对车辆实施拖（吊）车作业的，即视为该车辆资产已移交给响应人，由响应人承担所有因后续车辆装卸、运输、拆解等过程中引发的安全法律和经济损失责任。</w:t>
      </w:r>
    </w:p>
    <w:p w14:paraId="38CC25F3">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四、考核标准</w:t>
      </w:r>
    </w:p>
    <w:p w14:paraId="6988B258">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（一）响应人中标并收到成交通知书后30日内不与采购人签订合同的，采购人有权取消响应人成交资格和启用备选供应商。</w:t>
      </w:r>
    </w:p>
    <w:p w14:paraId="7614D6E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（二）响应人未在约定期限内足额缴纳保证金或提交合格保函的，每逾期一日，按保证金总额的万分之五向采购人支付违约金；逾期超过30天的，采购人有权取消响应人成交资格或单方解除合同。</w:t>
      </w:r>
    </w:p>
    <w:p w14:paraId="25BD3872">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未在约定期限及约定支付比例内向采购人足额支付成交款项的，从逾期之日起，每天向采购人支付剩余未付成交款万分之五的滞纳金，直至响应人付清成交款为止。逾期超过30天的，采购人有权没收全部履约保证金及单方解除合同。</w:t>
      </w:r>
    </w:p>
    <w:p w14:paraId="51270A0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逾期未完成车辆回收的，从逾期之日起，逾期未回收的车辆按照每天每辆车1000元的标准扣除履约保证金；逾期超过30天的，采购人有权单方解除合同，没收全部履约保证金，同时保留对响应人追究违约责任的权利。</w:t>
      </w:r>
    </w:p>
    <w:p w14:paraId="6F334C13">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逾期未办理完车辆报废和注销登记手续的，除不可抗力因素外，从逾期之日起，每天每辆车扣除履约保证金200元，逾期超过10天的，采购人有权单方解除合同，没收全部履约保证金，同时保留对响应人追究违约责任的权利。</w:t>
      </w:r>
    </w:p>
    <w:p w14:paraId="50214D69">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六）本项目标的车辆为采购人申领2026年新能源城市公交车更新补贴的车辆，因响应人任一原因（包括但不限于逾期签订合同、逾期缴纳履约保证金、逾期支付足额成交款、逾期回收车辆、逾期交付报废证明文件或交付的报废证明文件上载明的信息错误等）导致采购人无法申领到2026年新能源城市公交车更新补贴的，响应人应按照《2026年新能源城市公交车及动力电池更新补贴实施细则》的补贴标准全额补偿采购人补贴损失，且该追偿权不受合同期限限制。</w:t>
      </w:r>
    </w:p>
    <w:p w14:paraId="73E1932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（七）响应人有下列行为之一的，采购人有权单方解除合同，没收全部履约保证金，并追究响应人的违约或违法责任：</w:t>
      </w:r>
    </w:p>
    <w:p w14:paraId="7C6AD8B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1.响应人在拖运采购人公交车辆离开采购人场站后，违法上路驾驶采购人公交车辆的。</w:t>
      </w:r>
    </w:p>
    <w:p w14:paraId="0DF0E2C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2.响应人回收采购人公交车辆后，非法改装变卖车辆的。</w:t>
      </w:r>
    </w:p>
    <w:p w14:paraId="7AFB94A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3.响应人回收采购人公交车辆后存在其他违反法律法规强制性规定的行为的。</w:t>
      </w:r>
    </w:p>
    <w:p w14:paraId="6B4FCFD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val="en-US" w:eastAsia="zh-CN"/>
        </w:rPr>
        <w:t>五</w:t>
      </w:r>
      <w:r>
        <w:rPr>
          <w:rFonts w:hint="eastAsia" w:asciiTheme="minorEastAsia" w:hAnsiTheme="minorEastAsia" w:eastAsiaTheme="minorEastAsia" w:cstheme="minorEastAsia"/>
          <w:b/>
          <w:szCs w:val="21"/>
        </w:rPr>
        <w:t>、合同年限</w:t>
      </w:r>
    </w:p>
    <w:p w14:paraId="41EE8242">
      <w:pPr>
        <w:pStyle w:val="2"/>
        <w:ind w:left="0" w:leftChars="0" w:firstLine="0" w:firstLineChars="0"/>
      </w:pPr>
      <w:r>
        <w:rPr>
          <w:rFonts w:hint="eastAsia"/>
        </w:rPr>
        <w:t>建议合同年限一年，同时明确，回收单位结清车辆收购款，完成车辆报废及注销登记手续且无违约责任后合同即终止。</w:t>
      </w:r>
    </w:p>
    <w:p w14:paraId="2313432F">
      <w:pPr>
        <w:pStyle w:val="2"/>
      </w:pPr>
    </w:p>
    <w:p w14:paraId="7AA18809">
      <w:pPr>
        <w:widowControl w:val="0"/>
        <w:autoSpaceDE w:val="0"/>
        <w:autoSpaceDN w:val="0"/>
        <w:adjustRightInd w:val="0"/>
        <w:snapToGrid w:val="0"/>
        <w:ind w:firstLine="0" w:firstLineChars="0"/>
        <w:jc w:val="left"/>
        <w:outlineLvl w:val="9"/>
        <w:rPr>
          <w:rFonts w:ascii="宋体" w:hAnsi="宋体"/>
          <w:b/>
          <w:sz w:val="28"/>
        </w:rPr>
      </w:pPr>
    </w:p>
    <w:bookmarkEnd w:id="27"/>
    <w:bookmarkEnd w:id="28"/>
    <w:p w14:paraId="2AF01307">
      <w:pPr>
        <w:widowControl w:val="0"/>
        <w:autoSpaceDE w:val="0"/>
        <w:autoSpaceDN w:val="0"/>
        <w:adjustRightInd w:val="0"/>
        <w:snapToGrid w:val="0"/>
        <w:ind w:firstLine="0" w:firstLineChars="0"/>
        <w:jc w:val="center"/>
        <w:outlineLvl w:val="9"/>
        <w:rPr>
          <w:rFonts w:ascii="宋体" w:hAnsi="宋体"/>
          <w:b/>
          <w:bCs/>
          <w:sz w:val="52"/>
          <w:szCs w:val="52"/>
        </w:rPr>
      </w:pPr>
      <w:bookmarkStart w:id="32" w:name="_Toc144974855"/>
      <w:bookmarkStart w:id="33" w:name="_Toc152042575"/>
      <w:bookmarkStart w:id="34" w:name="_Toc152045786"/>
    </w:p>
    <w:p w14:paraId="0055D7CD">
      <w:pPr>
        <w:widowControl w:val="0"/>
        <w:autoSpaceDE w:val="0"/>
        <w:autoSpaceDN w:val="0"/>
        <w:adjustRightInd w:val="0"/>
        <w:snapToGrid w:val="0"/>
        <w:ind w:firstLine="0" w:firstLineChars="0"/>
        <w:jc w:val="center"/>
        <w:outlineLvl w:val="9"/>
        <w:rPr>
          <w:rFonts w:ascii="宋体" w:hAnsi="宋体"/>
          <w:b/>
          <w:bCs/>
          <w:sz w:val="52"/>
          <w:szCs w:val="52"/>
        </w:rPr>
      </w:pPr>
    </w:p>
    <w:p w14:paraId="3D119579">
      <w:pPr>
        <w:widowControl w:val="0"/>
        <w:autoSpaceDE w:val="0"/>
        <w:autoSpaceDN w:val="0"/>
        <w:adjustRightInd w:val="0"/>
        <w:snapToGrid w:val="0"/>
        <w:ind w:firstLine="0" w:firstLineChars="0"/>
        <w:jc w:val="center"/>
        <w:outlineLvl w:val="9"/>
        <w:rPr>
          <w:rFonts w:ascii="宋体" w:hAnsi="宋体"/>
          <w:b/>
          <w:bCs/>
          <w:sz w:val="52"/>
          <w:szCs w:val="52"/>
        </w:rPr>
      </w:pPr>
    </w:p>
    <w:p w14:paraId="19B48CC7">
      <w:pPr>
        <w:widowControl w:val="0"/>
        <w:autoSpaceDE w:val="0"/>
        <w:autoSpaceDN w:val="0"/>
        <w:adjustRightInd w:val="0"/>
        <w:snapToGrid w:val="0"/>
        <w:ind w:firstLine="0" w:firstLineChars="0"/>
        <w:jc w:val="center"/>
        <w:outlineLvl w:val="9"/>
        <w:rPr>
          <w:rFonts w:ascii="宋体" w:hAnsi="宋体"/>
          <w:b/>
          <w:bCs/>
          <w:sz w:val="52"/>
          <w:szCs w:val="52"/>
        </w:rPr>
      </w:pPr>
    </w:p>
    <w:p w14:paraId="0940BC03">
      <w:pPr>
        <w:widowControl w:val="0"/>
        <w:autoSpaceDE w:val="0"/>
        <w:autoSpaceDN w:val="0"/>
        <w:adjustRightInd w:val="0"/>
        <w:snapToGrid w:val="0"/>
        <w:ind w:firstLine="0" w:firstLineChars="0"/>
        <w:jc w:val="center"/>
        <w:outlineLvl w:val="9"/>
        <w:rPr>
          <w:rFonts w:ascii="宋体" w:hAnsi="宋体"/>
          <w:b/>
          <w:bCs/>
          <w:sz w:val="52"/>
          <w:szCs w:val="52"/>
        </w:rPr>
      </w:pPr>
    </w:p>
    <w:p w14:paraId="3E2D47FA">
      <w:pPr>
        <w:widowControl w:val="0"/>
        <w:autoSpaceDE w:val="0"/>
        <w:autoSpaceDN w:val="0"/>
        <w:adjustRightInd w:val="0"/>
        <w:snapToGrid w:val="0"/>
        <w:ind w:firstLine="0" w:firstLineChars="0"/>
        <w:jc w:val="center"/>
        <w:outlineLvl w:val="9"/>
        <w:rPr>
          <w:rFonts w:ascii="宋体" w:hAnsi="宋体"/>
          <w:b/>
          <w:bCs/>
          <w:sz w:val="52"/>
          <w:szCs w:val="52"/>
        </w:rPr>
      </w:pPr>
    </w:p>
    <w:p w14:paraId="7458FBD5">
      <w:pPr>
        <w:widowControl w:val="0"/>
        <w:autoSpaceDE w:val="0"/>
        <w:autoSpaceDN w:val="0"/>
        <w:adjustRightInd w:val="0"/>
        <w:snapToGrid w:val="0"/>
        <w:ind w:firstLine="0" w:firstLineChars="0"/>
        <w:jc w:val="center"/>
        <w:outlineLvl w:val="9"/>
        <w:rPr>
          <w:rFonts w:hint="eastAsia" w:ascii="宋体" w:hAnsi="宋体"/>
          <w:b/>
          <w:bCs/>
          <w:sz w:val="52"/>
          <w:szCs w:val="52"/>
        </w:rPr>
      </w:pPr>
      <w:bookmarkStart w:id="35" w:name="_Toc29266"/>
    </w:p>
    <w:p w14:paraId="5CA139C5">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18070AAF">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6BC78657">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753DB39E">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第四章 报名文件格式</w:t>
      </w:r>
      <w:bookmarkEnd w:id="32"/>
      <w:bookmarkEnd w:id="33"/>
      <w:bookmarkEnd w:id="34"/>
      <w:bookmarkEnd w:id="35"/>
    </w:p>
    <w:p w14:paraId="2EF61A4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6" w:name="_Toc277844084"/>
      <w:bookmarkStart w:id="37" w:name="_Toc277844085"/>
    </w:p>
    <w:p w14:paraId="31D6E0E2">
      <w:pPr>
        <w:widowControl w:val="0"/>
        <w:autoSpaceDE w:val="0"/>
        <w:autoSpaceDN w:val="0"/>
        <w:adjustRightInd w:val="0"/>
        <w:snapToGrid w:val="0"/>
        <w:ind w:firstLine="0" w:firstLineChars="0"/>
        <w:jc w:val="center"/>
        <w:rPr>
          <w:rFonts w:hint="eastAsia" w:ascii="宋体" w:hAnsi="宋体" w:cs="Courier New"/>
          <w:b/>
          <w:bCs/>
          <w:sz w:val="84"/>
          <w:szCs w:val="84"/>
        </w:rPr>
      </w:pPr>
    </w:p>
    <w:p w14:paraId="49A6B346">
      <w:pPr>
        <w:widowControl w:val="0"/>
        <w:autoSpaceDE w:val="0"/>
        <w:autoSpaceDN w:val="0"/>
        <w:adjustRightInd w:val="0"/>
        <w:snapToGrid w:val="0"/>
        <w:ind w:firstLine="0" w:firstLineChars="0"/>
        <w:jc w:val="center"/>
        <w:rPr>
          <w:rFonts w:hint="eastAsia" w:ascii="宋体" w:hAnsi="宋体" w:cs="Courier New"/>
          <w:b/>
          <w:bCs/>
          <w:sz w:val="84"/>
          <w:szCs w:val="84"/>
        </w:rPr>
      </w:pPr>
    </w:p>
    <w:p w14:paraId="18D0047A">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6AD21FE0">
      <w:pPr>
        <w:widowControl w:val="0"/>
        <w:autoSpaceDE w:val="0"/>
        <w:autoSpaceDN w:val="0"/>
        <w:adjustRightInd w:val="0"/>
        <w:snapToGrid w:val="0"/>
        <w:ind w:firstLine="0" w:firstLineChars="0"/>
        <w:jc w:val="center"/>
        <w:rPr>
          <w:rFonts w:ascii="宋体" w:hAnsi="宋体"/>
          <w:sz w:val="28"/>
          <w:szCs w:val="28"/>
        </w:rPr>
      </w:pPr>
    </w:p>
    <w:p w14:paraId="4BB9E1A2">
      <w:pPr>
        <w:widowControl w:val="0"/>
        <w:autoSpaceDE w:val="0"/>
        <w:autoSpaceDN w:val="0"/>
        <w:adjustRightInd w:val="0"/>
        <w:snapToGrid w:val="0"/>
        <w:ind w:firstLine="0" w:firstLineChars="0"/>
        <w:jc w:val="center"/>
        <w:rPr>
          <w:rFonts w:ascii="宋体" w:hAnsi="宋体"/>
          <w:sz w:val="28"/>
          <w:szCs w:val="28"/>
        </w:rPr>
      </w:pPr>
    </w:p>
    <w:p w14:paraId="3629C92D">
      <w:pPr>
        <w:widowControl w:val="0"/>
        <w:autoSpaceDE w:val="0"/>
        <w:autoSpaceDN w:val="0"/>
        <w:adjustRightInd w:val="0"/>
        <w:snapToGrid w:val="0"/>
        <w:ind w:firstLine="0" w:firstLineChars="0"/>
        <w:jc w:val="center"/>
        <w:rPr>
          <w:rFonts w:ascii="宋体" w:hAnsi="宋体"/>
          <w:sz w:val="28"/>
          <w:szCs w:val="28"/>
        </w:rPr>
      </w:pPr>
    </w:p>
    <w:p w14:paraId="111AE343">
      <w:pPr>
        <w:widowControl w:val="0"/>
        <w:autoSpaceDE w:val="0"/>
        <w:autoSpaceDN w:val="0"/>
        <w:adjustRightInd w:val="0"/>
        <w:snapToGrid w:val="0"/>
        <w:ind w:firstLine="0" w:firstLineChars="0"/>
        <w:jc w:val="center"/>
        <w:rPr>
          <w:rFonts w:ascii="宋体" w:hAnsi="宋体"/>
          <w:sz w:val="28"/>
          <w:szCs w:val="28"/>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489FA6F7">
        <w:tblPrEx>
          <w:tblCellMar>
            <w:top w:w="0" w:type="dxa"/>
            <w:left w:w="108" w:type="dxa"/>
            <w:bottom w:w="0" w:type="dxa"/>
            <w:right w:w="108" w:type="dxa"/>
          </w:tblCellMar>
        </w:tblPrEx>
        <w:tc>
          <w:tcPr>
            <w:tcW w:w="3650" w:type="dxa"/>
            <w:shd w:val="clear" w:color="auto" w:fill="auto"/>
            <w:vAlign w:val="center"/>
          </w:tcPr>
          <w:p w14:paraId="4357B7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7778A804">
            <w:pPr>
              <w:widowControl w:val="0"/>
              <w:autoSpaceDE w:val="0"/>
              <w:autoSpaceDN w:val="0"/>
              <w:adjustRightInd w:val="0"/>
              <w:snapToGrid w:val="0"/>
              <w:ind w:firstLine="0" w:firstLineChars="0"/>
              <w:jc w:val="left"/>
              <w:rPr>
                <w:rFonts w:ascii="宋体" w:hAnsi="宋体"/>
                <w:b/>
                <w:sz w:val="32"/>
                <w:szCs w:val="32"/>
                <w:u w:val="single"/>
              </w:rPr>
            </w:pPr>
            <w:r>
              <w:rPr>
                <w:rFonts w:hint="eastAsia" w:ascii="宋体" w:hAnsi="宋体"/>
                <w:b/>
                <w:sz w:val="32"/>
                <w:szCs w:val="32"/>
                <w:u w:val="single"/>
                <w:lang w:eastAsia="zh-CN"/>
              </w:rPr>
              <w:t>东部公交13台纯电动公交车辆报废处置服务采购（第三批）</w:t>
            </w:r>
          </w:p>
        </w:tc>
      </w:tr>
      <w:tr w14:paraId="03DB9807">
        <w:tblPrEx>
          <w:tblCellMar>
            <w:top w:w="0" w:type="dxa"/>
            <w:left w:w="108" w:type="dxa"/>
            <w:bottom w:w="0" w:type="dxa"/>
            <w:right w:w="108" w:type="dxa"/>
          </w:tblCellMar>
        </w:tblPrEx>
        <w:tc>
          <w:tcPr>
            <w:tcW w:w="3650" w:type="dxa"/>
            <w:shd w:val="clear" w:color="auto" w:fill="auto"/>
            <w:vAlign w:val="center"/>
          </w:tcPr>
          <w:p w14:paraId="130A2D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05288D25">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eastAsia="宋体"/>
                <w:b/>
                <w:sz w:val="32"/>
                <w:szCs w:val="32"/>
                <w:u w:val="single"/>
                <w:lang w:eastAsia="zh-CN"/>
              </w:rPr>
              <w:t>YG26QJ0043088</w:t>
            </w:r>
          </w:p>
        </w:tc>
      </w:tr>
      <w:tr w14:paraId="3D14C58A">
        <w:tblPrEx>
          <w:tblCellMar>
            <w:top w:w="0" w:type="dxa"/>
            <w:left w:w="108" w:type="dxa"/>
            <w:bottom w:w="0" w:type="dxa"/>
            <w:right w:w="108" w:type="dxa"/>
          </w:tblCellMar>
        </w:tblPrEx>
        <w:tc>
          <w:tcPr>
            <w:tcW w:w="3650" w:type="dxa"/>
            <w:shd w:val="clear" w:color="auto" w:fill="auto"/>
            <w:vAlign w:val="center"/>
          </w:tcPr>
          <w:p w14:paraId="27C97C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7844027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6E8EDA4">
        <w:tblPrEx>
          <w:tblCellMar>
            <w:top w:w="0" w:type="dxa"/>
            <w:left w:w="108" w:type="dxa"/>
            <w:bottom w:w="0" w:type="dxa"/>
            <w:right w:w="108" w:type="dxa"/>
          </w:tblCellMar>
        </w:tblPrEx>
        <w:tc>
          <w:tcPr>
            <w:tcW w:w="3650" w:type="dxa"/>
            <w:shd w:val="clear" w:color="auto" w:fill="auto"/>
            <w:vAlign w:val="center"/>
          </w:tcPr>
          <w:p w14:paraId="45B1AD9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166D57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267E96F4">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172F85A9">
        <w:tblPrEx>
          <w:tblCellMar>
            <w:top w:w="0" w:type="dxa"/>
            <w:left w:w="108" w:type="dxa"/>
            <w:bottom w:w="0" w:type="dxa"/>
            <w:right w:w="108" w:type="dxa"/>
          </w:tblCellMar>
        </w:tblPrEx>
        <w:tc>
          <w:tcPr>
            <w:tcW w:w="3650" w:type="dxa"/>
            <w:shd w:val="clear" w:color="auto" w:fill="auto"/>
            <w:vAlign w:val="center"/>
          </w:tcPr>
          <w:p w14:paraId="49E8932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7435A0F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3DBABC39">
      <w:pPr>
        <w:widowControl w:val="0"/>
        <w:autoSpaceDE w:val="0"/>
        <w:autoSpaceDN w:val="0"/>
        <w:adjustRightInd w:val="0"/>
        <w:snapToGrid w:val="0"/>
        <w:ind w:firstLine="0" w:firstLineChars="0"/>
        <w:jc w:val="left"/>
        <w:rPr>
          <w:rFonts w:ascii="宋体" w:hAnsi="宋体"/>
          <w:b/>
          <w:sz w:val="44"/>
          <w:szCs w:val="44"/>
        </w:rPr>
      </w:pPr>
    </w:p>
    <w:p w14:paraId="17D04488">
      <w:pPr>
        <w:widowControl w:val="0"/>
        <w:autoSpaceDE w:val="0"/>
        <w:autoSpaceDN w:val="0"/>
        <w:adjustRightInd w:val="0"/>
        <w:snapToGrid w:val="0"/>
        <w:ind w:firstLine="0" w:firstLineChars="0"/>
        <w:rPr>
          <w:rFonts w:ascii="宋体" w:hAnsi="宋体"/>
        </w:rPr>
      </w:pPr>
    </w:p>
    <w:p w14:paraId="3E8B49E6">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38" w:name="_Toc280341017"/>
      <w:bookmarkStart w:id="39" w:name="_Toc390444140"/>
      <w:r>
        <w:rPr>
          <w:rFonts w:hint="eastAsia" w:ascii="宋体" w:hAnsi="宋体"/>
          <w:b/>
        </w:rPr>
        <w:t>1、营业执照</w:t>
      </w:r>
    </w:p>
    <w:p w14:paraId="1034EAFB">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40" w:name="_Toc278892899"/>
      <w:bookmarkStart w:id="41" w:name="_Toc280341016"/>
      <w:bookmarkStart w:id="42" w:name="_Toc390444141"/>
      <w:bookmarkStart w:id="43"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40"/>
      <w:bookmarkEnd w:id="41"/>
      <w:bookmarkEnd w:id="42"/>
      <w:r>
        <w:rPr>
          <w:rFonts w:hint="eastAsia" w:ascii="宋体" w:hAnsi="宋体"/>
          <w:b/>
          <w:szCs w:val="21"/>
        </w:rPr>
        <w:t>（仅供参考）</w:t>
      </w:r>
    </w:p>
    <w:p w14:paraId="3D96DBAF">
      <w:pPr>
        <w:widowControl w:val="0"/>
        <w:autoSpaceDE w:val="0"/>
        <w:autoSpaceDN w:val="0"/>
        <w:adjustRightInd w:val="0"/>
        <w:snapToGrid w:val="0"/>
        <w:ind w:firstLine="0" w:firstLineChars="0"/>
        <w:jc w:val="left"/>
        <w:rPr>
          <w:rFonts w:ascii="宋体" w:hAnsi="宋体"/>
          <w:szCs w:val="21"/>
        </w:rPr>
      </w:pPr>
    </w:p>
    <w:bookmarkEnd w:id="43"/>
    <w:p w14:paraId="7AB6D6FE">
      <w:pPr>
        <w:widowControl w:val="0"/>
        <w:autoSpaceDE w:val="0"/>
        <w:autoSpaceDN w:val="0"/>
        <w:adjustRightInd w:val="0"/>
        <w:snapToGrid w:val="0"/>
        <w:ind w:firstLine="0" w:firstLineChars="0"/>
        <w:jc w:val="center"/>
        <w:rPr>
          <w:rFonts w:ascii="宋体" w:hAnsi="宋体"/>
          <w:b/>
          <w:sz w:val="32"/>
          <w:szCs w:val="32"/>
        </w:rPr>
      </w:pPr>
      <w:bookmarkStart w:id="44" w:name="_Hlk532142471"/>
      <w:r>
        <w:rPr>
          <w:rFonts w:hint="eastAsia" w:ascii="宋体" w:hAnsi="宋体"/>
          <w:b/>
          <w:sz w:val="32"/>
          <w:szCs w:val="32"/>
        </w:rPr>
        <w:t>法定代表人/单位负责人资格证明书</w:t>
      </w:r>
    </w:p>
    <w:p w14:paraId="38A95471">
      <w:pPr>
        <w:widowControl w:val="0"/>
        <w:autoSpaceDE w:val="0"/>
        <w:autoSpaceDN w:val="0"/>
        <w:adjustRightInd w:val="0"/>
        <w:snapToGrid w:val="0"/>
        <w:ind w:firstLine="0" w:firstLineChars="0"/>
        <w:jc w:val="left"/>
        <w:rPr>
          <w:rFonts w:ascii="宋体" w:hAnsi="宋体"/>
          <w:szCs w:val="21"/>
        </w:rPr>
      </w:pPr>
    </w:p>
    <w:p w14:paraId="307AFC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C69D81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CBEB6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07A882F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7054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09101C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FA52F1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85878C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E7A4E7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AEA4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45463E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2C436860">
      <w:pPr>
        <w:widowControl w:val="0"/>
        <w:autoSpaceDE w:val="0"/>
        <w:autoSpaceDN w:val="0"/>
        <w:adjustRightInd w:val="0"/>
        <w:snapToGrid w:val="0"/>
        <w:ind w:firstLine="0" w:firstLineChars="0"/>
        <w:jc w:val="left"/>
        <w:rPr>
          <w:rFonts w:ascii="宋体" w:hAnsi="宋体"/>
          <w:bCs/>
          <w:szCs w:val="21"/>
        </w:rPr>
      </w:pPr>
    </w:p>
    <w:p w14:paraId="27B1929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84A4B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0E13AD">
      <w:pPr>
        <w:widowControl w:val="0"/>
        <w:autoSpaceDE w:val="0"/>
        <w:autoSpaceDN w:val="0"/>
        <w:adjustRightInd w:val="0"/>
        <w:snapToGrid w:val="0"/>
        <w:ind w:firstLine="0" w:firstLineChars="0"/>
        <w:jc w:val="left"/>
        <w:rPr>
          <w:rFonts w:ascii="宋体" w:hAnsi="宋体"/>
          <w:szCs w:val="21"/>
        </w:rPr>
      </w:pPr>
    </w:p>
    <w:p w14:paraId="5C80F02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6022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7025744A">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67CA0B29">
      <w:pPr>
        <w:widowControl w:val="0"/>
        <w:autoSpaceDE w:val="0"/>
        <w:autoSpaceDN w:val="0"/>
        <w:adjustRightInd w:val="0"/>
        <w:snapToGrid w:val="0"/>
        <w:ind w:firstLine="0" w:firstLineChars="0"/>
        <w:jc w:val="left"/>
        <w:rPr>
          <w:rFonts w:ascii="宋体" w:hAnsi="宋体"/>
          <w:b/>
          <w:szCs w:val="21"/>
        </w:rPr>
      </w:pPr>
    </w:p>
    <w:bookmarkEnd w:id="44"/>
    <w:p w14:paraId="3AF49FC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93D11C6">
      <w:pPr>
        <w:widowControl w:val="0"/>
        <w:autoSpaceDE w:val="0"/>
        <w:autoSpaceDN w:val="0"/>
        <w:adjustRightInd w:val="0"/>
        <w:snapToGrid w:val="0"/>
        <w:ind w:firstLine="0" w:firstLineChars="0"/>
        <w:jc w:val="left"/>
        <w:rPr>
          <w:rFonts w:ascii="宋体" w:hAnsi="宋体"/>
          <w:szCs w:val="21"/>
        </w:rPr>
      </w:pPr>
    </w:p>
    <w:p w14:paraId="45751E59">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（深圳市东部公共交通有限公司)  </w:t>
      </w:r>
    </w:p>
    <w:p w14:paraId="765482EB">
      <w:pPr>
        <w:widowControl w:val="0"/>
        <w:autoSpaceDE w:val="0"/>
        <w:autoSpaceDN w:val="0"/>
        <w:adjustRightInd w:val="0"/>
        <w:snapToGrid w:val="0"/>
        <w:ind w:firstLine="0" w:firstLineChars="0"/>
        <w:jc w:val="left"/>
        <w:rPr>
          <w:rFonts w:ascii="宋体" w:hAnsi="宋体"/>
          <w:szCs w:val="21"/>
        </w:rPr>
      </w:pPr>
    </w:p>
    <w:p w14:paraId="36AF53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为我单位授权代理人，该授权代理人有权在的响应活动中，以我单位的名义签署竞价函和文件、与采购人协商、谈判、签订合同协议以及全权处理与此有关的一切事项，其法律后果由我单位承担。</w:t>
      </w:r>
    </w:p>
    <w:p w14:paraId="4B923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D4F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6A2614D">
      <w:pPr>
        <w:widowControl w:val="0"/>
        <w:autoSpaceDE w:val="0"/>
        <w:autoSpaceDN w:val="0"/>
        <w:adjustRightInd w:val="0"/>
        <w:snapToGrid w:val="0"/>
        <w:ind w:firstLine="0" w:firstLineChars="0"/>
        <w:jc w:val="left"/>
        <w:rPr>
          <w:rFonts w:ascii="宋体" w:hAnsi="宋体"/>
          <w:szCs w:val="21"/>
        </w:rPr>
      </w:pPr>
    </w:p>
    <w:p w14:paraId="6D1CB29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p>
    <w:p w14:paraId="07388E8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（签字或盖私章）     </w:t>
      </w:r>
      <w:r>
        <w:rPr>
          <w:rFonts w:ascii="宋体" w:hAnsi="宋体"/>
          <w:szCs w:val="21"/>
          <w:u w:val="single"/>
        </w:rPr>
        <w:t xml:space="preserve">           </w:t>
      </w:r>
    </w:p>
    <w:p w14:paraId="65260CC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079331C">
      <w:pPr>
        <w:widowControl w:val="0"/>
        <w:autoSpaceDE w:val="0"/>
        <w:autoSpaceDN w:val="0"/>
        <w:adjustRightInd w:val="0"/>
        <w:snapToGrid w:val="0"/>
        <w:ind w:firstLine="0" w:firstLineChars="0"/>
        <w:jc w:val="left"/>
        <w:rPr>
          <w:rFonts w:ascii="宋体" w:hAnsi="宋体"/>
          <w:szCs w:val="21"/>
        </w:rPr>
      </w:pPr>
    </w:p>
    <w:p w14:paraId="021212BF">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3F81BC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51557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065BA4B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r>
        <w:rPr>
          <w:rFonts w:ascii="宋体" w:hAnsi="宋体"/>
          <w:b/>
        </w:rPr>
        <w:t>4</w:t>
      </w:r>
      <w:r>
        <w:rPr>
          <w:rFonts w:hint="eastAsia" w:ascii="宋体" w:hAnsi="宋体"/>
          <w:b/>
          <w:szCs w:val="21"/>
        </w:rPr>
        <w:t>、竞价函</w:t>
      </w:r>
      <w:bookmarkEnd w:id="38"/>
      <w:bookmarkEnd w:id="39"/>
    </w:p>
    <w:p w14:paraId="3E24B41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竞价函</w:t>
      </w:r>
    </w:p>
    <w:p w14:paraId="49DED8D7">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致：</w:t>
      </w:r>
      <w:r>
        <w:rPr>
          <w:rFonts w:hint="eastAsia" w:ascii="宋体" w:hAnsi="宋体"/>
          <w:u w:val="single"/>
        </w:rPr>
        <w:t>（深圳市东部公共交通有限公司）</w:t>
      </w:r>
    </w:p>
    <w:p w14:paraId="502A4C6B">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根据贵方</w:t>
      </w:r>
      <w:r>
        <w:rPr>
          <w:rFonts w:hint="eastAsia" w:ascii="宋体" w:hAnsi="宋体"/>
          <w:color w:val="000000" w:themeColor="text1"/>
          <w14:textFill>
            <w14:solidFill>
              <w14:schemeClr w14:val="tx1"/>
            </w14:solidFill>
          </w14:textFill>
        </w:rPr>
        <w:t>为</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东部公交13台纯电动公交车辆报废处置服务采购（第三批）</w:t>
      </w:r>
      <w:r>
        <w:rPr>
          <w:rFonts w:hint="eastAsia" w:ascii="宋体" w:hAnsi="宋体"/>
        </w:rPr>
        <w:t>（项目编号：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46364948">
      <w:pPr>
        <w:widowControl w:val="0"/>
        <w:autoSpaceDE w:val="0"/>
        <w:autoSpaceDN w:val="0"/>
        <w:adjustRightInd w:val="0"/>
        <w:snapToGrid w:val="0"/>
        <w:spacing w:line="380" w:lineRule="atLeast"/>
        <w:ind w:firstLine="0" w:firstLineChars="0"/>
        <w:jc w:val="left"/>
        <w:rPr>
          <w:rFonts w:ascii="宋体" w:hAnsi="宋体"/>
          <w:b/>
          <w:bCs/>
          <w:szCs w:val="21"/>
        </w:rPr>
      </w:pPr>
      <w:r>
        <w:rPr>
          <w:rFonts w:hint="eastAsia" w:ascii="宋体" w:hAnsi="宋体"/>
          <w:b/>
          <w:bCs/>
          <w:szCs w:val="21"/>
        </w:rPr>
        <w:t>我公司谨此承诺并声明：</w:t>
      </w:r>
    </w:p>
    <w:p w14:paraId="1A6E41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2FAE5BDE">
      <w:pPr>
        <w:widowControl w:val="0"/>
        <w:autoSpaceDE w:val="0"/>
        <w:autoSpaceDN w:val="0"/>
        <w:adjustRightInd w:val="0"/>
        <w:snapToGrid w:val="0"/>
        <w:spacing w:line="380" w:lineRule="atLeast"/>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43571B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5BF4141D">
      <w:pPr>
        <w:widowControl w:val="0"/>
        <w:autoSpaceDE w:val="0"/>
        <w:autoSpaceDN w:val="0"/>
        <w:adjustRightInd w:val="0"/>
        <w:snapToGrid w:val="0"/>
        <w:spacing w:line="380" w:lineRule="atLeast"/>
        <w:ind w:firstLine="0" w:firstLineChars="0"/>
        <w:rPr>
          <w:rFonts w:ascii="宋体" w:hAnsi="宋体"/>
        </w:rPr>
      </w:pPr>
      <w:r>
        <w:rPr>
          <w:rFonts w:ascii="宋体" w:hAnsi="宋体"/>
        </w:rPr>
        <w:t>4</w:t>
      </w:r>
      <w:r>
        <w:rPr>
          <w:rFonts w:hint="eastAsia" w:ascii="宋体" w:hAnsi="宋体"/>
        </w:rPr>
        <w:t>、我方承诺按照采购文件规定的时间，缴纳响应保证金及</w:t>
      </w:r>
      <w:r>
        <w:rPr>
          <w:rFonts w:ascii="宋体" w:hAnsi="宋体"/>
        </w:rPr>
        <w:t>交易保证金</w:t>
      </w:r>
      <w:r>
        <w:rPr>
          <w:rFonts w:hint="eastAsia" w:ascii="宋体" w:hAnsi="宋体"/>
        </w:rPr>
        <w:t>，并在规定时间内到达指定账户；</w:t>
      </w:r>
    </w:p>
    <w:p w14:paraId="2AA611E3">
      <w:pPr>
        <w:widowControl w:val="0"/>
        <w:autoSpaceDE w:val="0"/>
        <w:autoSpaceDN w:val="0"/>
        <w:adjustRightInd w:val="0"/>
        <w:snapToGrid w:val="0"/>
        <w:spacing w:line="380" w:lineRule="atLeast"/>
        <w:ind w:firstLine="0" w:firstLineChars="0"/>
        <w:rPr>
          <w:rFonts w:ascii="宋体" w:hAnsi="宋体"/>
        </w:rPr>
      </w:pPr>
      <w:r>
        <w:rPr>
          <w:rFonts w:ascii="宋体" w:hAnsi="宋体"/>
        </w:rPr>
        <w:t>5</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2D23377A">
      <w:pPr>
        <w:widowControl w:val="0"/>
        <w:autoSpaceDE w:val="0"/>
        <w:autoSpaceDN w:val="0"/>
        <w:adjustRightInd w:val="0"/>
        <w:snapToGrid w:val="0"/>
        <w:spacing w:line="380" w:lineRule="atLeast"/>
        <w:ind w:firstLine="0" w:firstLineChars="0"/>
        <w:rPr>
          <w:rFonts w:ascii="宋体" w:hAnsi="宋体"/>
        </w:rPr>
      </w:pPr>
      <w:r>
        <w:rPr>
          <w:rFonts w:ascii="宋体" w:hAnsi="宋体"/>
        </w:rPr>
        <w:t>6</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05B859F4">
      <w:pPr>
        <w:widowControl w:val="0"/>
        <w:autoSpaceDE w:val="0"/>
        <w:autoSpaceDN w:val="0"/>
        <w:adjustRightInd w:val="0"/>
        <w:snapToGrid w:val="0"/>
        <w:spacing w:line="380" w:lineRule="atLeast"/>
        <w:ind w:firstLine="0" w:firstLineChars="0"/>
        <w:rPr>
          <w:rFonts w:ascii="宋体" w:hAnsi="宋体"/>
        </w:rPr>
      </w:pPr>
      <w:r>
        <w:rPr>
          <w:rFonts w:ascii="宋体" w:hAnsi="宋体"/>
        </w:rPr>
        <w:t>7</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727E7C16">
      <w:pPr>
        <w:widowControl w:val="0"/>
        <w:autoSpaceDE w:val="0"/>
        <w:autoSpaceDN w:val="0"/>
        <w:adjustRightInd w:val="0"/>
        <w:snapToGrid w:val="0"/>
        <w:spacing w:line="380" w:lineRule="atLeast"/>
        <w:ind w:firstLine="0" w:firstLineChars="0"/>
        <w:rPr>
          <w:rFonts w:ascii="宋体" w:hAnsi="宋体"/>
        </w:rPr>
      </w:pPr>
      <w:r>
        <w:rPr>
          <w:rFonts w:ascii="宋体" w:hAnsi="宋体"/>
        </w:rPr>
        <w:t>8</w:t>
      </w:r>
      <w:r>
        <w:rPr>
          <w:rFonts w:hint="eastAsia" w:ascii="宋体" w:hAnsi="宋体"/>
        </w:rPr>
        <w:t>、我方承诺，在签署及执行正式合同之前，本《竞价函》连同你们发出的《采购文件》及《成交通知书》等有关文件将作为我们双方之间有约束力的法律文件；</w:t>
      </w:r>
    </w:p>
    <w:p w14:paraId="6E3DD17D">
      <w:pPr>
        <w:widowControl w:val="0"/>
        <w:autoSpaceDE w:val="0"/>
        <w:autoSpaceDN w:val="0"/>
        <w:adjustRightInd w:val="0"/>
        <w:snapToGrid w:val="0"/>
        <w:spacing w:line="380" w:lineRule="atLeast"/>
        <w:ind w:firstLine="0" w:firstLineChars="0"/>
        <w:rPr>
          <w:rFonts w:ascii="宋体" w:hAnsi="宋体"/>
        </w:rPr>
      </w:pPr>
      <w:r>
        <w:rPr>
          <w:rFonts w:ascii="宋体" w:hAnsi="宋体"/>
        </w:rPr>
        <w:t>9</w:t>
      </w:r>
      <w:r>
        <w:rPr>
          <w:rFonts w:hint="eastAsia" w:ascii="宋体" w:hAnsi="宋体"/>
        </w:rPr>
        <w:t>、我方同意按采购文件的规定缴纳相关</w:t>
      </w:r>
      <w:r>
        <w:rPr>
          <w:rFonts w:ascii="宋体" w:hAnsi="宋体"/>
        </w:rPr>
        <w:t>费用</w:t>
      </w:r>
      <w:r>
        <w:rPr>
          <w:rFonts w:hint="eastAsia" w:ascii="宋体" w:hAnsi="宋体"/>
        </w:rPr>
        <w:t>；</w:t>
      </w:r>
    </w:p>
    <w:p w14:paraId="0FD0D192">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10</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D7F2DB8">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12</w:t>
      </w:r>
      <w:r>
        <w:rPr>
          <w:rFonts w:hint="eastAsia" w:ascii="宋体" w:hAnsi="宋体"/>
        </w:rPr>
        <w:t>、如果我方成交，我方保证在成交通知书发出前支付竞价人须知前附表中代理服务费等交易相关费用，代理服务费等交易相关费用未按时缴纳的，同意从我方竞价保证金中扣除，不足部分予以补交。</w:t>
      </w:r>
    </w:p>
    <w:p w14:paraId="6B98A709">
      <w:pPr>
        <w:widowControl w:val="0"/>
        <w:tabs>
          <w:tab w:val="left" w:pos="-3780"/>
        </w:tabs>
        <w:autoSpaceDE w:val="0"/>
        <w:autoSpaceDN w:val="0"/>
        <w:adjustRightInd w:val="0"/>
        <w:snapToGrid w:val="0"/>
        <w:spacing w:line="380" w:lineRule="atLeast"/>
        <w:ind w:firstLine="0" w:firstLineChars="0"/>
        <w:rPr>
          <w:rFonts w:ascii="宋体" w:hAnsi="宋体"/>
        </w:rPr>
      </w:pPr>
      <w:r>
        <w:rPr>
          <w:rFonts w:hint="eastAsia" w:ascii="宋体" w:hAnsi="宋体"/>
        </w:rPr>
        <w:t>1</w:t>
      </w:r>
      <w:r>
        <w:rPr>
          <w:rFonts w:ascii="宋体" w:hAnsi="宋体"/>
        </w:rPr>
        <w:t>3</w:t>
      </w:r>
      <w:r>
        <w:rPr>
          <w:rFonts w:hint="eastAsia" w:ascii="宋体" w:hAnsi="宋体"/>
        </w:rPr>
        <w:t>、我方若违反上述承诺之一的，愿承担一切责任并接受竞价人须知中的相关处罚。</w:t>
      </w:r>
    </w:p>
    <w:p w14:paraId="406C20E1">
      <w:pPr>
        <w:widowControl w:val="0"/>
        <w:autoSpaceDE w:val="0"/>
        <w:autoSpaceDN w:val="0"/>
        <w:adjustRightInd w:val="0"/>
        <w:snapToGrid w:val="0"/>
        <w:spacing w:line="380" w:lineRule="atLeast"/>
        <w:ind w:firstLine="0" w:firstLineChars="0"/>
        <w:jc w:val="left"/>
        <w:rPr>
          <w:rFonts w:ascii="宋体" w:hAnsi="宋体"/>
          <w:bCs/>
          <w:u w:val="single"/>
        </w:rPr>
      </w:pPr>
      <w:r>
        <w:rPr>
          <w:rFonts w:ascii="宋体" w:hAnsi="宋体"/>
          <w:bCs/>
        </w:rPr>
        <w:t>14</w:t>
      </w:r>
      <w:r>
        <w:rPr>
          <w:rFonts w:hint="eastAsia" w:ascii="宋体" w:hAnsi="宋体"/>
          <w:bCs/>
        </w:rPr>
        <w:t>、与本响应有关的一切正式往来通讯请发往：</w:t>
      </w:r>
    </w:p>
    <w:p w14:paraId="632B60DC">
      <w:pPr>
        <w:widowControl w:val="0"/>
        <w:autoSpaceDE w:val="0"/>
        <w:autoSpaceDN w:val="0"/>
        <w:adjustRightInd w:val="0"/>
        <w:snapToGrid w:val="0"/>
        <w:spacing w:line="380" w:lineRule="atLeast"/>
        <w:ind w:firstLine="0" w:firstLineChars="0"/>
        <w:jc w:val="left"/>
        <w:rPr>
          <w:rFonts w:ascii="宋体" w:hAnsi="宋体"/>
          <w:szCs w:val="21"/>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A3F35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u w:val="single"/>
        </w:rPr>
        <w:t xml:space="preserve"> </w:t>
      </w:r>
      <w:r>
        <w:rPr>
          <w:rFonts w:ascii="宋体" w:hAnsi="宋体"/>
          <w:szCs w:val="21"/>
          <w:u w:val="single"/>
        </w:rPr>
        <w:t xml:space="preserve">                     </w:t>
      </w:r>
    </w:p>
    <w:p w14:paraId="12227E0C">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5A1D5A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94DD44">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09107263">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6A970C8">
      <w:pPr>
        <w:widowControl w:val="0"/>
        <w:autoSpaceDE w:val="0"/>
        <w:autoSpaceDN w:val="0"/>
        <w:adjustRightInd w:val="0"/>
        <w:snapToGrid w:val="0"/>
        <w:spacing w:line="380" w:lineRule="atLeast"/>
        <w:ind w:firstLine="0" w:firstLineChars="0"/>
        <w:jc w:val="left"/>
        <w:rPr>
          <w:rFonts w:ascii="宋体" w:hAnsi="宋体"/>
          <w:szCs w:val="21"/>
          <w:u w:val="single"/>
        </w:rPr>
        <w:sectPr>
          <w:pgSz w:w="11907" w:h="16840"/>
          <w:pgMar w:top="1276" w:right="1800" w:bottom="1135" w:left="1800" w:header="567" w:footer="567" w:gutter="0"/>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p>
    <w:bookmarkEnd w:id="36"/>
    <w:bookmarkEnd w:id="37"/>
    <w:p w14:paraId="34160F9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5、竞价人资格证明文件</w:t>
      </w:r>
    </w:p>
    <w:p w14:paraId="186BBC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符合第一章 竞价人须知/竞价人资格要求的相关</w:t>
      </w:r>
      <w:r>
        <w:rPr>
          <w:rFonts w:ascii="宋体" w:hAnsi="宋体"/>
          <w:szCs w:val="21"/>
        </w:rPr>
        <w:t>证明材料</w:t>
      </w:r>
    </w:p>
    <w:p w14:paraId="3E634B87">
      <w:pPr>
        <w:ind w:firstLine="420"/>
        <w:rPr>
          <w:rFonts w:ascii="宋体" w:hAnsi="宋体"/>
          <w:szCs w:val="21"/>
        </w:rPr>
      </w:pPr>
      <w:r>
        <w:rPr>
          <w:rFonts w:ascii="宋体" w:hAnsi="宋体"/>
          <w:szCs w:val="21"/>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6</w:t>
      </w:r>
      <w:r>
        <w:rPr>
          <w:rFonts w:ascii="宋体" w:hAnsi="宋体"/>
          <w:b/>
          <w:bCs/>
          <w:szCs w:val="21"/>
        </w:rPr>
        <w:t>、</w:t>
      </w:r>
      <w:r>
        <w:rPr>
          <w:rFonts w:hint="eastAsia" w:ascii="宋体" w:hAnsi="宋体"/>
          <w:b/>
          <w:bCs/>
          <w:szCs w:val="21"/>
        </w:rPr>
        <w:t>承诺书（仅供参考，格式自拟）</w:t>
      </w:r>
    </w:p>
    <w:p w14:paraId="3648C311">
      <w:pPr>
        <w:widowControl w:val="0"/>
        <w:wordWrap w:val="0"/>
        <w:autoSpaceDE w:val="0"/>
        <w:autoSpaceDN w:val="0"/>
        <w:adjustRightInd w:val="0"/>
        <w:snapToGrid w:val="0"/>
        <w:ind w:firstLine="0" w:firstLineChars="0"/>
        <w:jc w:val="left"/>
        <w:rPr>
          <w:rFonts w:ascii="宋体" w:hAnsi="宋体"/>
        </w:rPr>
      </w:pPr>
    </w:p>
    <w:p w14:paraId="43058F2C">
      <w:pPr>
        <w:widowControl w:val="0"/>
        <w:wordWrap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44D25B51">
      <w:pPr>
        <w:widowControl w:val="0"/>
        <w:wordWrap w:val="0"/>
        <w:autoSpaceDE w:val="0"/>
        <w:autoSpaceDN w:val="0"/>
        <w:adjustRightInd w:val="0"/>
        <w:snapToGrid w:val="0"/>
        <w:ind w:firstLine="0" w:firstLineChars="0"/>
        <w:jc w:val="left"/>
        <w:rPr>
          <w:rFonts w:ascii="宋体" w:hAnsi="宋体"/>
          <w:szCs w:val="21"/>
        </w:rPr>
      </w:pPr>
    </w:p>
    <w:p w14:paraId="2BFBB22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采购</w:t>
      </w:r>
      <w:r>
        <w:rPr>
          <w:rFonts w:hint="eastAsia" w:ascii="宋体" w:hAnsi="宋体"/>
          <w:szCs w:val="21"/>
          <w:u w:val="single"/>
        </w:rPr>
        <w:t xml:space="preserve">人）  </w:t>
      </w:r>
    </w:p>
    <w:p w14:paraId="67BDF3A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rPr>
      </w:pPr>
      <w:r>
        <w:rPr>
          <w:rFonts w:hint="eastAsia" w:ascii="宋体" w:hAnsi="宋体"/>
          <w:szCs w:val="21"/>
        </w:rPr>
        <w:t>1、我方非联合体竞价。</w:t>
      </w:r>
    </w:p>
    <w:p w14:paraId="1013073A">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ascii="宋体" w:hAnsi="宋体"/>
          <w:szCs w:val="21"/>
        </w:rPr>
        <w:t>……</w:t>
      </w:r>
    </w:p>
    <w:p w14:paraId="23202CE8">
      <w:pPr>
        <w:widowControl w:val="0"/>
        <w:wordWrap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rPr>
      </w:pPr>
    </w:p>
    <w:p w14:paraId="528A79B5">
      <w:pPr>
        <w:widowControl w:val="0"/>
        <w:wordWrap w:val="0"/>
        <w:autoSpaceDE w:val="0"/>
        <w:autoSpaceDN w:val="0"/>
        <w:adjustRightInd w:val="0"/>
        <w:snapToGrid w:val="0"/>
        <w:ind w:firstLine="0" w:firstLineChars="0"/>
        <w:jc w:val="left"/>
        <w:rPr>
          <w:rFonts w:ascii="宋体" w:hAnsi="宋体"/>
          <w:b/>
          <w:szCs w:val="21"/>
        </w:rPr>
      </w:pPr>
    </w:p>
    <w:p w14:paraId="6B67745A">
      <w:pPr>
        <w:widowControl w:val="0"/>
        <w:wordWrap w:val="0"/>
        <w:autoSpaceDE w:val="0"/>
        <w:autoSpaceDN w:val="0"/>
        <w:adjustRightInd w:val="0"/>
        <w:snapToGrid w:val="0"/>
        <w:ind w:firstLine="0" w:firstLineChars="0"/>
        <w:jc w:val="left"/>
        <w:rPr>
          <w:rFonts w:ascii="宋体" w:hAnsi="宋体"/>
          <w:b/>
          <w:szCs w:val="21"/>
        </w:rPr>
      </w:pPr>
    </w:p>
    <w:p w14:paraId="11A11E09">
      <w:pPr>
        <w:widowControl w:val="0"/>
        <w:wordWrap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0E355DF">
      <w:pPr>
        <w:pStyle w:val="2"/>
        <w:ind w:firstLine="420"/>
      </w:pPr>
    </w:p>
    <w:p w14:paraId="0798394B">
      <w:pPr>
        <w:widowControl w:val="0"/>
        <w:autoSpaceDE w:val="0"/>
        <w:autoSpaceDN w:val="0"/>
        <w:adjustRightInd w:val="0"/>
        <w:snapToGrid w:val="0"/>
        <w:ind w:firstLine="0" w:firstLineChars="0"/>
        <w:jc w:val="left"/>
        <w:rPr>
          <w:rFonts w:ascii="宋体" w:hAnsi="宋体"/>
          <w:szCs w:val="21"/>
        </w:rPr>
      </w:pPr>
    </w:p>
    <w:p w14:paraId="5080C221">
      <w:pPr>
        <w:widowControl w:val="0"/>
        <w:autoSpaceDE w:val="0"/>
        <w:autoSpaceDN w:val="0"/>
        <w:adjustRightInd w:val="0"/>
        <w:snapToGrid w:val="0"/>
        <w:ind w:firstLine="0" w:firstLineChars="0"/>
        <w:jc w:val="left"/>
        <w:rPr>
          <w:rFonts w:ascii="宋体" w:hAnsi="宋体"/>
          <w:szCs w:val="21"/>
        </w:rPr>
      </w:pPr>
    </w:p>
    <w:p w14:paraId="25CBA821">
      <w:pPr>
        <w:widowControl w:val="0"/>
        <w:autoSpaceDE w:val="0"/>
        <w:autoSpaceDN w:val="0"/>
        <w:adjustRightInd w:val="0"/>
        <w:snapToGrid w:val="0"/>
        <w:ind w:firstLine="0" w:firstLineChars="0"/>
        <w:jc w:val="left"/>
        <w:rPr>
          <w:rFonts w:ascii="宋体" w:hAnsi="宋体"/>
          <w:szCs w:val="21"/>
        </w:rPr>
      </w:pPr>
    </w:p>
    <w:p w14:paraId="092DDA92">
      <w:pPr>
        <w:widowControl w:val="0"/>
        <w:autoSpaceDE w:val="0"/>
        <w:autoSpaceDN w:val="0"/>
        <w:adjustRightInd w:val="0"/>
        <w:snapToGrid w:val="0"/>
        <w:ind w:firstLine="0" w:firstLineChars="0"/>
        <w:jc w:val="left"/>
        <w:rPr>
          <w:rFonts w:ascii="宋体" w:hAnsi="宋体"/>
          <w:szCs w:val="21"/>
        </w:rPr>
      </w:pPr>
    </w:p>
    <w:p w14:paraId="06AAEB69">
      <w:pPr>
        <w:widowControl w:val="0"/>
        <w:autoSpaceDE w:val="0"/>
        <w:autoSpaceDN w:val="0"/>
        <w:adjustRightInd w:val="0"/>
        <w:snapToGrid w:val="0"/>
        <w:ind w:firstLine="0" w:firstLineChars="0"/>
        <w:jc w:val="left"/>
        <w:rPr>
          <w:rFonts w:ascii="宋体" w:hAnsi="宋体"/>
          <w:szCs w:val="21"/>
        </w:rPr>
      </w:pPr>
    </w:p>
    <w:p w14:paraId="6587CBF0">
      <w:pPr>
        <w:widowControl w:val="0"/>
        <w:autoSpaceDE w:val="0"/>
        <w:autoSpaceDN w:val="0"/>
        <w:adjustRightInd w:val="0"/>
        <w:snapToGrid w:val="0"/>
        <w:ind w:firstLine="0" w:firstLineChars="0"/>
        <w:jc w:val="left"/>
        <w:rPr>
          <w:rFonts w:ascii="宋体" w:hAnsi="宋体"/>
          <w:szCs w:val="21"/>
        </w:rPr>
      </w:pPr>
    </w:p>
    <w:p w14:paraId="40B790DE">
      <w:pPr>
        <w:widowControl w:val="0"/>
        <w:autoSpaceDE w:val="0"/>
        <w:autoSpaceDN w:val="0"/>
        <w:adjustRightInd w:val="0"/>
        <w:snapToGrid w:val="0"/>
        <w:ind w:firstLine="0" w:firstLineChars="0"/>
        <w:jc w:val="left"/>
        <w:rPr>
          <w:rFonts w:ascii="宋体" w:hAnsi="宋体"/>
          <w:szCs w:val="21"/>
        </w:rPr>
      </w:pPr>
    </w:p>
    <w:p w14:paraId="54E88CBD">
      <w:pPr>
        <w:widowControl w:val="0"/>
        <w:autoSpaceDE w:val="0"/>
        <w:autoSpaceDN w:val="0"/>
        <w:adjustRightInd w:val="0"/>
        <w:snapToGrid w:val="0"/>
        <w:ind w:firstLine="0" w:firstLineChars="0"/>
        <w:jc w:val="left"/>
        <w:rPr>
          <w:rFonts w:ascii="宋体" w:hAnsi="宋体"/>
          <w:szCs w:val="21"/>
        </w:rPr>
      </w:pPr>
    </w:p>
    <w:p w14:paraId="46178971">
      <w:pPr>
        <w:widowControl w:val="0"/>
        <w:autoSpaceDE w:val="0"/>
        <w:autoSpaceDN w:val="0"/>
        <w:adjustRightInd w:val="0"/>
        <w:snapToGrid w:val="0"/>
        <w:ind w:firstLine="0" w:firstLineChars="0"/>
        <w:jc w:val="left"/>
        <w:rPr>
          <w:rFonts w:ascii="宋体" w:hAnsi="宋体"/>
          <w:szCs w:val="21"/>
        </w:rPr>
      </w:pPr>
    </w:p>
    <w:p w14:paraId="6A5C1C1C">
      <w:pPr>
        <w:widowControl w:val="0"/>
        <w:autoSpaceDE w:val="0"/>
        <w:autoSpaceDN w:val="0"/>
        <w:adjustRightInd w:val="0"/>
        <w:snapToGrid w:val="0"/>
        <w:ind w:firstLine="0" w:firstLineChars="0"/>
        <w:jc w:val="left"/>
        <w:rPr>
          <w:rFonts w:ascii="宋体" w:hAnsi="宋体"/>
          <w:szCs w:val="21"/>
        </w:rPr>
      </w:pPr>
    </w:p>
    <w:p w14:paraId="539811AE">
      <w:pPr>
        <w:widowControl w:val="0"/>
        <w:autoSpaceDE w:val="0"/>
        <w:autoSpaceDN w:val="0"/>
        <w:adjustRightInd w:val="0"/>
        <w:snapToGrid w:val="0"/>
        <w:ind w:firstLine="0" w:firstLineChars="0"/>
        <w:jc w:val="left"/>
        <w:rPr>
          <w:rFonts w:ascii="宋体" w:hAnsi="宋体"/>
          <w:szCs w:val="21"/>
        </w:rPr>
      </w:pPr>
    </w:p>
    <w:p w14:paraId="11192B8E">
      <w:pPr>
        <w:widowControl w:val="0"/>
        <w:autoSpaceDE w:val="0"/>
        <w:autoSpaceDN w:val="0"/>
        <w:adjustRightInd w:val="0"/>
        <w:snapToGrid w:val="0"/>
        <w:ind w:firstLine="0" w:firstLineChars="0"/>
        <w:jc w:val="left"/>
        <w:rPr>
          <w:rFonts w:ascii="宋体" w:hAnsi="宋体"/>
          <w:szCs w:val="21"/>
        </w:rPr>
      </w:pPr>
    </w:p>
    <w:p w14:paraId="7B7678D1">
      <w:pPr>
        <w:widowControl w:val="0"/>
        <w:autoSpaceDE w:val="0"/>
        <w:autoSpaceDN w:val="0"/>
        <w:adjustRightInd w:val="0"/>
        <w:snapToGrid w:val="0"/>
        <w:ind w:firstLine="0" w:firstLineChars="0"/>
        <w:jc w:val="left"/>
        <w:rPr>
          <w:rFonts w:ascii="宋体" w:hAnsi="宋体"/>
          <w:szCs w:val="21"/>
        </w:rPr>
      </w:pPr>
    </w:p>
    <w:p w14:paraId="42ED489E">
      <w:pPr>
        <w:widowControl w:val="0"/>
        <w:autoSpaceDE w:val="0"/>
        <w:autoSpaceDN w:val="0"/>
        <w:adjustRightInd w:val="0"/>
        <w:snapToGrid w:val="0"/>
        <w:ind w:firstLine="0" w:firstLineChars="0"/>
        <w:jc w:val="left"/>
        <w:rPr>
          <w:rFonts w:ascii="宋体" w:hAnsi="宋体"/>
          <w:szCs w:val="21"/>
        </w:rPr>
      </w:pPr>
    </w:p>
    <w:p w14:paraId="3E902D41">
      <w:pPr>
        <w:widowControl w:val="0"/>
        <w:autoSpaceDE w:val="0"/>
        <w:autoSpaceDN w:val="0"/>
        <w:adjustRightInd w:val="0"/>
        <w:snapToGrid w:val="0"/>
        <w:ind w:firstLine="0" w:firstLineChars="0"/>
        <w:jc w:val="left"/>
        <w:rPr>
          <w:rFonts w:ascii="宋体" w:hAnsi="宋体"/>
          <w:szCs w:val="21"/>
        </w:rPr>
      </w:pPr>
    </w:p>
    <w:p w14:paraId="085F8C5A">
      <w:pPr>
        <w:widowControl w:val="0"/>
        <w:autoSpaceDE w:val="0"/>
        <w:autoSpaceDN w:val="0"/>
        <w:adjustRightInd w:val="0"/>
        <w:snapToGrid w:val="0"/>
        <w:ind w:firstLine="0" w:firstLineChars="0"/>
        <w:jc w:val="left"/>
        <w:rPr>
          <w:rFonts w:ascii="宋体" w:hAnsi="宋体"/>
          <w:szCs w:val="21"/>
        </w:rPr>
      </w:pPr>
    </w:p>
    <w:p w14:paraId="74DB51BD">
      <w:pPr>
        <w:widowControl w:val="0"/>
        <w:autoSpaceDE w:val="0"/>
        <w:autoSpaceDN w:val="0"/>
        <w:adjustRightInd w:val="0"/>
        <w:snapToGrid w:val="0"/>
        <w:ind w:firstLine="0" w:firstLineChars="0"/>
        <w:jc w:val="left"/>
        <w:rPr>
          <w:rFonts w:ascii="宋体" w:hAnsi="宋体"/>
          <w:szCs w:val="21"/>
        </w:rPr>
      </w:pPr>
    </w:p>
    <w:p w14:paraId="3F54E25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7、诚信情况承诺函</w:t>
      </w:r>
    </w:p>
    <w:p w14:paraId="0F875784">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诚信情况承诺函</w:t>
      </w:r>
    </w:p>
    <w:p w14:paraId="3BFEA3A1">
      <w:pPr>
        <w:pStyle w:val="44"/>
        <w:ind w:firstLine="0" w:firstLineChars="0"/>
        <w:rPr>
          <w:rFonts w:asciiTheme="minorEastAsia" w:hAnsiTheme="minorEastAsia" w:eastAsiaTheme="minorEastAsia" w:cstheme="minorEastAsia"/>
        </w:rPr>
      </w:pPr>
    </w:p>
    <w:p w14:paraId="616D851B">
      <w:pPr>
        <w:pStyle w:val="44"/>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致：深圳市东部公共交通有限公司</w:t>
      </w:r>
    </w:p>
    <w:p w14:paraId="7D41A60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我司参加贵司</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u w:val="single"/>
          <w:lang w:eastAsia="zh-CN"/>
        </w:rPr>
        <w:t>东部公交13台纯电动公交车辆报废处置服务采购（第三批）</w:t>
      </w:r>
      <w:r>
        <w:rPr>
          <w:rFonts w:hint="eastAsia" w:asciiTheme="minorEastAsia" w:hAnsiTheme="minorEastAsia" w:eastAsiaTheme="minorEastAsia" w:cstheme="minorEastAsia"/>
          <w:u w:val="single"/>
        </w:rPr>
        <w:t>（项目编号</w:t>
      </w:r>
      <w:r>
        <w:rPr>
          <w:rFonts w:hint="eastAsia" w:asciiTheme="minorEastAsia" w:hAnsiTheme="minorEastAsia" w:eastAsiaTheme="minorEastAsia" w:cstheme="minorEastAsia"/>
          <w:u w:val="single"/>
          <w:lang w:eastAsia="zh-CN"/>
        </w:rPr>
        <w:t>：</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u w:val="single"/>
        </w:rPr>
        <w:t>）</w:t>
      </w:r>
      <w:r>
        <w:rPr>
          <w:rFonts w:hint="eastAsia" w:asciiTheme="minorEastAsia" w:hAnsiTheme="minorEastAsia" w:eastAsiaTheme="minorEastAsia" w:cstheme="minorEastAsia"/>
        </w:rPr>
        <w:t>投标，在此郑重承诺：</w:t>
      </w:r>
    </w:p>
    <w:p w14:paraId="5BB8042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1.我司不存在下列情形：</w:t>
      </w:r>
    </w:p>
    <w:p w14:paraId="7A7C078F">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（1）被纪检监察部门立案调查，违法违规事实成立的；</w:t>
      </w:r>
    </w:p>
    <w:p w14:paraId="72A5CBA3">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（2）未按规定签订、履行采购合同，造成严重后果的；</w:t>
      </w:r>
    </w:p>
    <w:p w14:paraId="370134D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（3）隐瞒真实情况，提供虚假资料的；</w:t>
      </w:r>
    </w:p>
    <w:p w14:paraId="6D95ED26">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（4）以非法手段排斥其他供应商参与竞争的；</w:t>
      </w:r>
    </w:p>
    <w:p w14:paraId="38FF098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（5）与其他采购参加人串通投标的；</w:t>
      </w:r>
    </w:p>
    <w:p w14:paraId="35084FB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（6）在采购活动中应当回避而未回避的；</w:t>
      </w:r>
    </w:p>
    <w:p w14:paraId="50258E5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（7）恶意投诉的；</w:t>
      </w:r>
    </w:p>
    <w:p w14:paraId="6409EA7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（8）向采购项目相关人员行贿或者提供其他不当利益的；</w:t>
      </w:r>
    </w:p>
    <w:p w14:paraId="5CF5D51C">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（9）阻碍、抗拒主管部门监督检查的；</w:t>
      </w:r>
    </w:p>
    <w:p w14:paraId="0B8892D9">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（10）履约检查不及格或评价为差的；</w:t>
      </w:r>
    </w:p>
    <w:p w14:paraId="0678FE3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（11）主管部门认定的其他情形。</w:t>
      </w:r>
    </w:p>
    <w:p w14:paraId="26A25115">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我司已清楚理解：如我司作出虚假承诺，我司的投标将被作废，投标保证金将被没收，同时还会被贵司列入不良记录名单并在网上曝光。此外，贵司还有权提请政府采购监督管理部门给予我司一定年限内禁止参与政府采购活动或其他处罚。</w:t>
      </w:r>
    </w:p>
    <w:p w14:paraId="58974E21">
      <w:pPr>
        <w:pStyle w:val="44"/>
        <w:ind w:firstLine="420"/>
        <w:rPr>
          <w:rFonts w:asciiTheme="minorEastAsia" w:hAnsiTheme="minorEastAsia" w:eastAsiaTheme="minorEastAsia" w:cstheme="minorEastAsia"/>
        </w:rPr>
      </w:pPr>
    </w:p>
    <w:p w14:paraId="5232EEAC">
      <w:pPr>
        <w:pStyle w:val="44"/>
        <w:ind w:firstLine="420"/>
        <w:rPr>
          <w:rFonts w:asciiTheme="minorEastAsia" w:hAnsiTheme="minorEastAsia" w:eastAsiaTheme="minorEastAsia" w:cstheme="minorEastAsia"/>
        </w:rPr>
      </w:pPr>
    </w:p>
    <w:p w14:paraId="32BCFAD7">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投标人名称及盖章： </w:t>
      </w:r>
    </w:p>
    <w:p w14:paraId="6C3342D0">
      <w:pPr>
        <w:pStyle w:val="44"/>
        <w:ind w:firstLine="420"/>
        <w:rPr>
          <w:rFonts w:asciiTheme="minorEastAsia" w:hAnsiTheme="minorEastAsia" w:eastAsiaTheme="minorEastAsia" w:cstheme="minorEastAsia"/>
        </w:rPr>
      </w:pPr>
    </w:p>
    <w:p w14:paraId="6C7055C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投标人授权代表签字： </w:t>
      </w:r>
    </w:p>
    <w:p w14:paraId="2CF733D4">
      <w:pPr>
        <w:pStyle w:val="44"/>
        <w:ind w:firstLine="420"/>
        <w:rPr>
          <w:rFonts w:asciiTheme="minorEastAsia" w:hAnsiTheme="minorEastAsia" w:eastAsiaTheme="minorEastAsia" w:cstheme="minorEastAsia"/>
        </w:rPr>
      </w:pPr>
    </w:p>
    <w:p w14:paraId="7317801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注：本格式不得擅自更改。</w:t>
      </w:r>
    </w:p>
    <w:p w14:paraId="4421A76E">
      <w:pPr>
        <w:pStyle w:val="44"/>
        <w:ind w:firstLine="420"/>
        <w:rPr>
          <w:rFonts w:ascii="宋体"/>
        </w:rPr>
      </w:pPr>
    </w:p>
    <w:p w14:paraId="2560F8BE">
      <w:pPr>
        <w:pStyle w:val="44"/>
        <w:ind w:firstLine="420"/>
        <w:rPr>
          <w:rFonts w:ascii="宋体"/>
        </w:rPr>
      </w:pPr>
    </w:p>
    <w:p w14:paraId="7DA721FC">
      <w:pPr>
        <w:pStyle w:val="44"/>
        <w:ind w:firstLine="0" w:firstLineChars="0"/>
        <w:rPr>
          <w:rFonts w:ascii="宋体"/>
        </w:rPr>
      </w:pPr>
    </w:p>
    <w:p w14:paraId="6AD4BF59">
      <w:pPr>
        <w:widowControl w:val="0"/>
        <w:autoSpaceDE w:val="0"/>
        <w:autoSpaceDN w:val="0"/>
        <w:adjustRightInd w:val="0"/>
        <w:snapToGrid w:val="0"/>
        <w:ind w:firstLine="0" w:firstLineChars="0"/>
        <w:jc w:val="left"/>
        <w:rPr>
          <w:rFonts w:ascii="宋体" w:hAnsi="宋体"/>
          <w:b/>
          <w:szCs w:val="21"/>
        </w:rPr>
      </w:pPr>
    </w:p>
    <w:p w14:paraId="42B8BE94">
      <w:pPr>
        <w:widowControl w:val="0"/>
        <w:autoSpaceDE w:val="0"/>
        <w:autoSpaceDN w:val="0"/>
        <w:adjustRightInd w:val="0"/>
        <w:snapToGrid w:val="0"/>
        <w:ind w:firstLine="0" w:firstLineChars="0"/>
        <w:jc w:val="left"/>
        <w:rPr>
          <w:rFonts w:ascii="宋体" w:hAnsi="宋体"/>
          <w:b/>
          <w:szCs w:val="21"/>
        </w:rPr>
      </w:pPr>
    </w:p>
    <w:p w14:paraId="2191344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8、廉洁承诺书</w:t>
      </w:r>
    </w:p>
    <w:p w14:paraId="3BBEF72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廉洁承诺书</w:t>
      </w:r>
    </w:p>
    <w:p w14:paraId="725022B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为了有效遏制不公平竞争和违法违规违纪问题的发生，确保采购工作的公平、公正公开，特向采购人郑重承诺，在参与项目采购过程中严格遵守下列行为准则:</w:t>
      </w:r>
    </w:p>
    <w:p w14:paraId="200030D1">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1、严格遵守国家有关法律法规及相关政策，以及廉洁从业的各项规定。</w:t>
      </w:r>
    </w:p>
    <w:p w14:paraId="4611E57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2、不以任何理由、任何形式向采购人相关工作人员或其亲戚、朋友等利益相关人提供宴请或馈赠礼金、购物卡、会员卡、电子礼卡、有价证券、贵重物品 及好处费、感谢费等。</w:t>
      </w:r>
    </w:p>
    <w:p w14:paraId="780A578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3、不以任何名义为采购人相关工作人员或其亲戚、朋友等利益相关人支付、报销应由其个人支付的费用。</w:t>
      </w:r>
    </w:p>
    <w:p w14:paraId="24D1D8F5">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4、不以任何理由安排采购人相关工作人员或其亲戚、朋友等利益相关人参加健身、娱乐和旅游等活动。</w:t>
      </w:r>
    </w:p>
    <w:p w14:paraId="31CDED1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5.不为采购人的业务部门、关联企业或人员购置或提供通讯工具、交通工具、高档办公用品或为装修住房、配偶子女的工作安排以及出国(境)等提供方便。</w:t>
      </w:r>
    </w:p>
    <w:p w14:paraId="376043E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6、不以任何方式拉拢采购方相关工作人员，使其违背公平、公开、公正竞争原则，帮助实现中标目的。</w:t>
      </w:r>
    </w:p>
    <w:p w14:paraId="019DB864">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7、不在非公务场合</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谈业务，不一对一</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谈业务，不许诺事后给予采购人相关工作人员利益。</w:t>
      </w:r>
    </w:p>
    <w:p w14:paraId="4DF57C2A">
      <w:pPr>
        <w:widowControl w:val="0"/>
        <w:spacing w:line="440" w:lineRule="exact"/>
        <w:ind w:firstLine="420"/>
        <w:rPr>
          <w:rFonts w:asciiTheme="minorEastAsia" w:hAnsiTheme="minorEastAsia" w:eastAsiaTheme="minorEastAsia" w:cstheme="minorEastAsia"/>
          <w:szCs w:val="21"/>
        </w:rPr>
      </w:pPr>
    </w:p>
    <w:p w14:paraId="6E758092">
      <w:pPr>
        <w:widowControl w:val="0"/>
        <w:spacing w:line="440" w:lineRule="exact"/>
        <w:ind w:firstLine="420"/>
        <w:rPr>
          <w:rFonts w:asciiTheme="minorEastAsia" w:hAnsiTheme="minorEastAsia" w:eastAsiaTheme="minorEastAsia" w:cstheme="minorEastAsia"/>
          <w:szCs w:val="21"/>
        </w:rPr>
      </w:pPr>
    </w:p>
    <w:p w14:paraId="5CE81F3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承诺人：（加盖公司公章）</w:t>
      </w:r>
    </w:p>
    <w:p w14:paraId="11D8B929">
      <w:pPr>
        <w:pStyle w:val="2"/>
        <w:ind w:firstLine="0" w:firstLineChars="0"/>
      </w:pPr>
    </w:p>
    <w:p w14:paraId="0BDA6DD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25B76EE">
      <w:pPr>
        <w:ind w:left="0" w:leftChars="0" w:firstLine="0" w:firstLineChars="0"/>
        <w:rPr>
          <w:rFonts w:ascii="宋体"/>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F6FC76-1C51-46D4-953B-E362F982E125}"/>
  </w:font>
  <w:font w:name="黑体">
    <w:panose1 w:val="02010609060101010101"/>
    <w:charset w:val="86"/>
    <w:family w:val="auto"/>
    <w:pitch w:val="default"/>
    <w:sig w:usb0="800002BF" w:usb1="38CF7CFA" w:usb2="00000016" w:usb3="00000000" w:csb0="00040001" w:csb1="00000000"/>
    <w:embedRegular r:id="rId2" w:fontKey="{FA64350F-428B-4682-99D3-8CFA4BF129FD}"/>
  </w:font>
  <w:font w:name="Courier New">
    <w:panose1 w:val="02070309020205020404"/>
    <w:charset w:val="01"/>
    <w:family w:val="modern"/>
    <w:pitch w:val="default"/>
    <w:sig w:usb0="E0002EFF" w:usb1="C0007843" w:usb2="00000009" w:usb3="00000000" w:csb0="400001FF" w:csb1="FFFF0000"/>
    <w:embedRegular r:id="rId3" w:fontKey="{8FF76B4A-DDE1-4B35-B460-886804B3CC2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4" w:fontKey="{56F2D1CE-431E-4530-B3BA-2E40E8A906DC}"/>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826C613F-8814-4833-9B59-3DA27A2092EC}"/>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6" w:fontKey="{96821AE8-A2DC-405A-9D53-E15CFA63D864}"/>
  </w:font>
  <w:font w:name="Palatino">
    <w:altName w:val="Book Antiqua"/>
    <w:panose1 w:val="00000000000000000000"/>
    <w:charset w:val="00"/>
    <w:family w:val="modern"/>
    <w:pitch w:val="default"/>
    <w:sig w:usb0="00000000" w:usb1="00000000" w:usb2="00000000" w:usb3="00000000" w:csb0="00000093" w:csb1="00000000"/>
  </w:font>
  <w:font w:name="Book Antiqua">
    <w:panose1 w:val="02040602050305030304"/>
    <w:charset w:val="00"/>
    <w:family w:val="auto"/>
    <w:pitch w:val="default"/>
    <w:sig w:usb0="00000287" w:usb1="00000000" w:usb2="00000000" w:usb3="00000000" w:csb0="2000009F" w:csb1="DFD7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7" w:fontKey="{1DB21600-E734-416D-963B-F9260EE98048}"/>
  </w:font>
  <w:font w:name="MS Mincho">
    <w:altName w:val="Yu Gothic UI"/>
    <w:panose1 w:val="02020609040205080304"/>
    <w:charset w:val="80"/>
    <w:family w:val="modern"/>
    <w:pitch w:val="default"/>
    <w:sig w:usb0="00000000" w:usb1="00000000" w:usb2="08000012" w:usb3="00000000" w:csb0="0002009F" w:csb1="00000000"/>
    <w:embedRegular r:id="rId8" w:fontKey="{014F3470-244C-4751-A465-EAAC88188BFC}"/>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embedRegular r:id="rId9" w:fontKey="{CF1E255A-3478-4CC3-8EF1-355C625838E6}"/>
  </w:font>
  <w:font w:name="方正小标宋简体">
    <w:panose1 w:val="03000509000000000000"/>
    <w:charset w:val="86"/>
    <w:family w:val="auto"/>
    <w:pitch w:val="default"/>
    <w:sig w:usb0="00000001" w:usb1="080E0000" w:usb2="00000000" w:usb3="00000000" w:csb0="00040000" w:csb1="00000000"/>
    <w:embedRegular r:id="rId10" w:fontKey="{558735D1-5EA2-48D5-B054-3317EF4E7A77}"/>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4B5">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2615EC55">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82AF">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E2B4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2C0E4FB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78B2">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D5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6689">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2EC7"/>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2611"/>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6A8"/>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11B"/>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3A"/>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732"/>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B91D0C"/>
    <w:rsid w:val="01CD5B3A"/>
    <w:rsid w:val="02954528"/>
    <w:rsid w:val="02B42E7F"/>
    <w:rsid w:val="02CF1145"/>
    <w:rsid w:val="033329F4"/>
    <w:rsid w:val="05342DCA"/>
    <w:rsid w:val="05F57A3F"/>
    <w:rsid w:val="063040F2"/>
    <w:rsid w:val="06C12E7B"/>
    <w:rsid w:val="07796682"/>
    <w:rsid w:val="0800304A"/>
    <w:rsid w:val="083B347B"/>
    <w:rsid w:val="084C5688"/>
    <w:rsid w:val="084E1866"/>
    <w:rsid w:val="08534C69"/>
    <w:rsid w:val="089374F4"/>
    <w:rsid w:val="09EB2136"/>
    <w:rsid w:val="0A1B3564"/>
    <w:rsid w:val="0A986FEA"/>
    <w:rsid w:val="0ADA4045"/>
    <w:rsid w:val="0B2C27CD"/>
    <w:rsid w:val="0B9B1707"/>
    <w:rsid w:val="0CE56E38"/>
    <w:rsid w:val="0D211151"/>
    <w:rsid w:val="0DA23A73"/>
    <w:rsid w:val="0DB6395A"/>
    <w:rsid w:val="0DD623AE"/>
    <w:rsid w:val="0DF11C32"/>
    <w:rsid w:val="0E1844EE"/>
    <w:rsid w:val="0E61310A"/>
    <w:rsid w:val="0ED65CAC"/>
    <w:rsid w:val="0F89083D"/>
    <w:rsid w:val="0FF161F7"/>
    <w:rsid w:val="11AF0294"/>
    <w:rsid w:val="125D0629"/>
    <w:rsid w:val="12E80694"/>
    <w:rsid w:val="132541A5"/>
    <w:rsid w:val="1409446E"/>
    <w:rsid w:val="144162BD"/>
    <w:rsid w:val="14C21E9D"/>
    <w:rsid w:val="14E60C13"/>
    <w:rsid w:val="151D3C77"/>
    <w:rsid w:val="154B1B50"/>
    <w:rsid w:val="157955E3"/>
    <w:rsid w:val="15802DCC"/>
    <w:rsid w:val="15896A68"/>
    <w:rsid w:val="15F94494"/>
    <w:rsid w:val="15FA6A93"/>
    <w:rsid w:val="16585B40"/>
    <w:rsid w:val="16BA7CDA"/>
    <w:rsid w:val="16F83A74"/>
    <w:rsid w:val="17032A4E"/>
    <w:rsid w:val="17C0003C"/>
    <w:rsid w:val="18585984"/>
    <w:rsid w:val="18947E83"/>
    <w:rsid w:val="18954296"/>
    <w:rsid w:val="18B352B0"/>
    <w:rsid w:val="18C63235"/>
    <w:rsid w:val="199A59BC"/>
    <w:rsid w:val="1A1B310D"/>
    <w:rsid w:val="1A304E0A"/>
    <w:rsid w:val="1AD60E4A"/>
    <w:rsid w:val="1AE3458F"/>
    <w:rsid w:val="1B721452"/>
    <w:rsid w:val="1B7C407F"/>
    <w:rsid w:val="1B9F6E12"/>
    <w:rsid w:val="1C785082"/>
    <w:rsid w:val="1DED69F8"/>
    <w:rsid w:val="1E0C793C"/>
    <w:rsid w:val="1EBF3830"/>
    <w:rsid w:val="1EDF2427"/>
    <w:rsid w:val="204053B7"/>
    <w:rsid w:val="207C1CAA"/>
    <w:rsid w:val="20DB75CF"/>
    <w:rsid w:val="21890D0F"/>
    <w:rsid w:val="22373BB6"/>
    <w:rsid w:val="23291528"/>
    <w:rsid w:val="23761D1E"/>
    <w:rsid w:val="243E497C"/>
    <w:rsid w:val="249661B1"/>
    <w:rsid w:val="24AC174C"/>
    <w:rsid w:val="24D97E4C"/>
    <w:rsid w:val="2509221B"/>
    <w:rsid w:val="25687E50"/>
    <w:rsid w:val="25CE35D5"/>
    <w:rsid w:val="25F50FA5"/>
    <w:rsid w:val="265E2A29"/>
    <w:rsid w:val="28692EE5"/>
    <w:rsid w:val="28754330"/>
    <w:rsid w:val="28ED6A0B"/>
    <w:rsid w:val="28F14A7D"/>
    <w:rsid w:val="294837F2"/>
    <w:rsid w:val="29795D3D"/>
    <w:rsid w:val="297B4032"/>
    <w:rsid w:val="299D58EC"/>
    <w:rsid w:val="29D94377"/>
    <w:rsid w:val="2A41655D"/>
    <w:rsid w:val="2A675B5E"/>
    <w:rsid w:val="2BCC1C69"/>
    <w:rsid w:val="2BE92273"/>
    <w:rsid w:val="2C59534F"/>
    <w:rsid w:val="2C842D93"/>
    <w:rsid w:val="2D763ADC"/>
    <w:rsid w:val="2EAD4823"/>
    <w:rsid w:val="2F590507"/>
    <w:rsid w:val="2FA635E2"/>
    <w:rsid w:val="2FC02334"/>
    <w:rsid w:val="313A710B"/>
    <w:rsid w:val="322546D1"/>
    <w:rsid w:val="322F5A53"/>
    <w:rsid w:val="32A10AFD"/>
    <w:rsid w:val="3431735D"/>
    <w:rsid w:val="34CE0236"/>
    <w:rsid w:val="34DF6185"/>
    <w:rsid w:val="35303AB8"/>
    <w:rsid w:val="353C447E"/>
    <w:rsid w:val="35D001EC"/>
    <w:rsid w:val="36E9368B"/>
    <w:rsid w:val="36F212F6"/>
    <w:rsid w:val="37337B0F"/>
    <w:rsid w:val="374F2B62"/>
    <w:rsid w:val="37E76AA3"/>
    <w:rsid w:val="39235FCF"/>
    <w:rsid w:val="394A2C6F"/>
    <w:rsid w:val="3950297B"/>
    <w:rsid w:val="39D50A08"/>
    <w:rsid w:val="3A1E65D5"/>
    <w:rsid w:val="3A4E57F4"/>
    <w:rsid w:val="3A554F8A"/>
    <w:rsid w:val="3AD60585"/>
    <w:rsid w:val="3B765EA1"/>
    <w:rsid w:val="3BC772B6"/>
    <w:rsid w:val="3BCE7B87"/>
    <w:rsid w:val="3BFD165F"/>
    <w:rsid w:val="3D033860"/>
    <w:rsid w:val="3D302827"/>
    <w:rsid w:val="3D393726"/>
    <w:rsid w:val="3D5D72ED"/>
    <w:rsid w:val="3ED30323"/>
    <w:rsid w:val="3F3C0C4C"/>
    <w:rsid w:val="3FA67A04"/>
    <w:rsid w:val="3FB05F21"/>
    <w:rsid w:val="3FC609E4"/>
    <w:rsid w:val="3FFE22BF"/>
    <w:rsid w:val="40153FD6"/>
    <w:rsid w:val="407E56F3"/>
    <w:rsid w:val="409978C4"/>
    <w:rsid w:val="40A3502A"/>
    <w:rsid w:val="40C308F5"/>
    <w:rsid w:val="40D83A48"/>
    <w:rsid w:val="41F8595E"/>
    <w:rsid w:val="44421112"/>
    <w:rsid w:val="44BE2B5D"/>
    <w:rsid w:val="45F84521"/>
    <w:rsid w:val="462D72B0"/>
    <w:rsid w:val="46494BC4"/>
    <w:rsid w:val="46B97AE5"/>
    <w:rsid w:val="47890E8D"/>
    <w:rsid w:val="47CA0235"/>
    <w:rsid w:val="48117653"/>
    <w:rsid w:val="48CE5DDA"/>
    <w:rsid w:val="490074BB"/>
    <w:rsid w:val="492B15C9"/>
    <w:rsid w:val="49437E06"/>
    <w:rsid w:val="49534F6A"/>
    <w:rsid w:val="498D1081"/>
    <w:rsid w:val="49EC3FFA"/>
    <w:rsid w:val="4A2A68D0"/>
    <w:rsid w:val="4A7B537E"/>
    <w:rsid w:val="4AFB201B"/>
    <w:rsid w:val="4B741B04"/>
    <w:rsid w:val="4C1560B3"/>
    <w:rsid w:val="4C48746A"/>
    <w:rsid w:val="4C9A41A0"/>
    <w:rsid w:val="4CBC40C3"/>
    <w:rsid w:val="4D2031C8"/>
    <w:rsid w:val="4DEC77E0"/>
    <w:rsid w:val="4E230ECA"/>
    <w:rsid w:val="4E833473"/>
    <w:rsid w:val="4F65219F"/>
    <w:rsid w:val="4F784B91"/>
    <w:rsid w:val="4FD62ED6"/>
    <w:rsid w:val="506F14E1"/>
    <w:rsid w:val="50722D7F"/>
    <w:rsid w:val="50A96FF5"/>
    <w:rsid w:val="51165E00"/>
    <w:rsid w:val="51183EB0"/>
    <w:rsid w:val="51D57C3C"/>
    <w:rsid w:val="52613607"/>
    <w:rsid w:val="528D5CD9"/>
    <w:rsid w:val="53083527"/>
    <w:rsid w:val="53130849"/>
    <w:rsid w:val="531D3476"/>
    <w:rsid w:val="532838FB"/>
    <w:rsid w:val="538E3623"/>
    <w:rsid w:val="53E960D4"/>
    <w:rsid w:val="53F046E7"/>
    <w:rsid w:val="548E5012"/>
    <w:rsid w:val="552108D6"/>
    <w:rsid w:val="55851DF3"/>
    <w:rsid w:val="568B6949"/>
    <w:rsid w:val="569274B0"/>
    <w:rsid w:val="56F03A2E"/>
    <w:rsid w:val="58825CDD"/>
    <w:rsid w:val="58A579B4"/>
    <w:rsid w:val="58F23E6A"/>
    <w:rsid w:val="592F4560"/>
    <w:rsid w:val="59352859"/>
    <w:rsid w:val="599D779C"/>
    <w:rsid w:val="59E674C0"/>
    <w:rsid w:val="5A151902"/>
    <w:rsid w:val="5A9658BC"/>
    <w:rsid w:val="5B155A7C"/>
    <w:rsid w:val="5B435A44"/>
    <w:rsid w:val="5B6234AA"/>
    <w:rsid w:val="5B7C4881"/>
    <w:rsid w:val="5BE72873"/>
    <w:rsid w:val="5BF00C02"/>
    <w:rsid w:val="5C9C18B0"/>
    <w:rsid w:val="5CDA26CD"/>
    <w:rsid w:val="5E4E0EDB"/>
    <w:rsid w:val="5E8341E0"/>
    <w:rsid w:val="5E8A0D41"/>
    <w:rsid w:val="5EFE661C"/>
    <w:rsid w:val="5F3D5A75"/>
    <w:rsid w:val="5F994755"/>
    <w:rsid w:val="5FAA1D8F"/>
    <w:rsid w:val="5FAB3BB8"/>
    <w:rsid w:val="5FBD0003"/>
    <w:rsid w:val="5FFB68ED"/>
    <w:rsid w:val="602D0A71"/>
    <w:rsid w:val="60AD570E"/>
    <w:rsid w:val="60B41EC4"/>
    <w:rsid w:val="60DC5176"/>
    <w:rsid w:val="617A5155"/>
    <w:rsid w:val="618522C0"/>
    <w:rsid w:val="62CE653B"/>
    <w:rsid w:val="62F82823"/>
    <w:rsid w:val="62F82F07"/>
    <w:rsid w:val="63237CD4"/>
    <w:rsid w:val="63A15A4A"/>
    <w:rsid w:val="648B3FB8"/>
    <w:rsid w:val="649A3992"/>
    <w:rsid w:val="649C61C5"/>
    <w:rsid w:val="658857B6"/>
    <w:rsid w:val="6598698C"/>
    <w:rsid w:val="65B01F28"/>
    <w:rsid w:val="66185388"/>
    <w:rsid w:val="661F70AE"/>
    <w:rsid w:val="664535CE"/>
    <w:rsid w:val="66E16111"/>
    <w:rsid w:val="67277FC8"/>
    <w:rsid w:val="68333474"/>
    <w:rsid w:val="68C9511D"/>
    <w:rsid w:val="69070598"/>
    <w:rsid w:val="69224EEB"/>
    <w:rsid w:val="6A304232"/>
    <w:rsid w:val="6A890F99"/>
    <w:rsid w:val="6BD01D72"/>
    <w:rsid w:val="6CF45FB1"/>
    <w:rsid w:val="6E105A03"/>
    <w:rsid w:val="6E873A42"/>
    <w:rsid w:val="6EC922AC"/>
    <w:rsid w:val="6EED1A53"/>
    <w:rsid w:val="6F062BB9"/>
    <w:rsid w:val="6F475C37"/>
    <w:rsid w:val="6F7E452A"/>
    <w:rsid w:val="704052CB"/>
    <w:rsid w:val="70760A7F"/>
    <w:rsid w:val="713D49FD"/>
    <w:rsid w:val="728D4703"/>
    <w:rsid w:val="72C214EC"/>
    <w:rsid w:val="731E379F"/>
    <w:rsid w:val="73334198"/>
    <w:rsid w:val="734207A0"/>
    <w:rsid w:val="73AD64F5"/>
    <w:rsid w:val="73D54764"/>
    <w:rsid w:val="740F42BD"/>
    <w:rsid w:val="741D3046"/>
    <w:rsid w:val="743557FA"/>
    <w:rsid w:val="744C59E1"/>
    <w:rsid w:val="74786307"/>
    <w:rsid w:val="75357D54"/>
    <w:rsid w:val="75995B66"/>
    <w:rsid w:val="76C25C04"/>
    <w:rsid w:val="772D7053"/>
    <w:rsid w:val="77CE4490"/>
    <w:rsid w:val="79714EE9"/>
    <w:rsid w:val="79CA0B5C"/>
    <w:rsid w:val="79FC440F"/>
    <w:rsid w:val="7A0D30A2"/>
    <w:rsid w:val="7AC06E37"/>
    <w:rsid w:val="7AF17A57"/>
    <w:rsid w:val="7BDA78A7"/>
    <w:rsid w:val="7C4F6E9D"/>
    <w:rsid w:val="7C591322"/>
    <w:rsid w:val="7D0050EB"/>
    <w:rsid w:val="7D126BCC"/>
    <w:rsid w:val="7D387A1A"/>
    <w:rsid w:val="7D882AC8"/>
    <w:rsid w:val="7E6F5960"/>
    <w:rsid w:val="7E796341"/>
    <w:rsid w:val="7ECB6E9B"/>
    <w:rsid w:val="7EDC56AF"/>
    <w:rsid w:val="7F172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9"/>
    <w:autoRedefine/>
    <w:qFormat/>
    <w:uiPriority w:val="1"/>
    <w:pPr>
      <w:spacing w:after="120"/>
    </w:p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Indent"/>
    <w:basedOn w:val="1"/>
    <w:link w:val="318"/>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autoRedefine/>
    <w:qFormat/>
    <w:uiPriority w:val="0"/>
    <w:pPr>
      <w:tabs>
        <w:tab w:val="left" w:pos="780"/>
      </w:tabs>
      <w:ind w:left="840" w:hanging="420"/>
    </w:pPr>
  </w:style>
  <w:style w:type="paragraph" w:styleId="23">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34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0"/>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5"/>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5"/>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0"/>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5"/>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5"/>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2442</Words>
  <Characters>2706</Characters>
  <Lines>132</Lines>
  <Paragraphs>37</Paragraphs>
  <TotalTime>5</TotalTime>
  <ScaleCrop>false</ScaleCrop>
  <LinksUpToDate>false</LinksUpToDate>
  <CharactersWithSpaces>2723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2025-06-18T10:54:00Z</dcterms:created>
  <dc:creator>1</dc:creator>
  <cp:lastModifiedBy>xy</cp:lastModifiedBy>
  <cp:lastPrinted>2024-08-26T01:16:00Z</cp:lastPrinted>
  <dcterms:modified xsi:type="dcterms:W3CDTF">2026-07-07T01:25:10Z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3585BAD18A404F48B0774C5BB1956091_13</vt:lpwstr>
  </property>
  <property fmtid="{D5CDD505-2E9C-101B-9397-08002B2CF9AE}" pid="4" name="KSOTemplateDocerSaveRecord">
    <vt:lpwstr>eyJoZGlkIjoiYjhmZjllZGFlY2M4MWFhMjJkOWU0ZjkwNjQ0N2NmYzYiLCJ1c2VySWQiOiIyNDMzOTQ3NDAifQ==</vt:lpwstr>
  </property>
</Properties>
</file>