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1"/>
        <w:widowControl/>
        <w:numPr>
          <w:ilvl w:val="0"/>
          <w:numId w:val="1"/>
        </w:numPr>
        <w:spacing w:line="360" w:lineRule="auto"/>
        <w:jc w:val="left"/>
        <w:rPr>
          <w:rFonts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30CBC62D">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项目名称：神经肌肉刺激器（智能无线电刺激系统）    </w:t>
      </w:r>
    </w:p>
    <w:p w14:paraId="3159F1BD">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项目预算： 9.9万元/台，合计19.8万元   </w:t>
      </w:r>
    </w:p>
    <w:p w14:paraId="752E2AC0">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项目报价类型：总价</w:t>
      </w:r>
    </w:p>
    <w:p w14:paraId="43A2033A">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资金来源：单位资金</w:t>
      </w:r>
    </w:p>
    <w:p w14:paraId="0444FBD3">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采购类别（货物/服务/工程）：货物</w:t>
      </w:r>
    </w:p>
    <w:p w14:paraId="394FBE4B">
      <w:pPr>
        <w:pStyle w:val="11"/>
        <w:widowControl/>
        <w:numPr>
          <w:ilvl w:val="0"/>
          <w:numId w:val="1"/>
        </w:numPr>
        <w:spacing w:line="360" w:lineRule="auto"/>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项目采购需求：</w:t>
      </w:r>
    </w:p>
    <w:p w14:paraId="4A1E28FF">
      <w:pPr>
        <w:pStyle w:val="15"/>
        <w:ind w:left="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（一）采购项目需实现的功能和目标： 神经康复患者面临肌张力过高、肌肉力量不足、严重肌肉萎缩等问题，这些问题严重影响患者的抓握及步行等重要生活能力，从而严重影响患者康复进展。</w:t>
      </w:r>
    </w:p>
    <w:p w14:paraId="2140196B">
      <w:pPr>
        <w:pStyle w:val="15"/>
        <w:ind w:left="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通过神经肌肉刺激器技术的引进，可以有效的改善患者以上问题，帮助患者寻找正确的肌肉发力方法，强化肌肉力量，改善患者功能性康复效果，抓握、坐站、步行等能力。</w:t>
      </w:r>
    </w:p>
    <w:p w14:paraId="5365D9CC">
      <w:pPr>
        <w:pStyle w:val="11"/>
        <w:widowControl/>
        <w:spacing w:line="360" w:lineRule="auto"/>
        <w:ind w:left="0" w:firstLine="0"/>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w:t>
      </w:r>
    </w:p>
    <w:p w14:paraId="18BB3F1B">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6270BB29">
      <w:pPr>
        <w:numPr>
          <w:ilvl w:val="0"/>
          <w:numId w:val="3"/>
        </w:num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19C8F142">
      <w:pPr>
        <w:numPr>
          <w:ilvl w:val="0"/>
          <w:numId w:val="4"/>
        </w:num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41D03029">
      <w:pPr>
        <w:numPr>
          <w:ilvl w:val="0"/>
          <w:numId w:val="4"/>
        </w:numPr>
        <w:spacing w:line="360" w:lineRule="auto"/>
        <w:rPr>
          <w:rFonts w:ascii="仿宋" w:hAnsi="仿宋" w:eastAsia="仿宋"/>
          <w:sz w:val="28"/>
          <w:szCs w:val="28"/>
          <w:highlight w:val="none"/>
          <w:u w:val="single"/>
        </w:rPr>
      </w:pPr>
      <w:r>
        <w:rPr>
          <w:rFonts w:hint="eastAsia" w:ascii="仿宋_GB2312" w:hAnsi="仿宋_GB2312" w:eastAsia="仿宋_GB2312" w:cs="仿宋_GB2312"/>
          <w:sz w:val="28"/>
          <w:szCs w:val="28"/>
          <w:highlight w:val="none"/>
        </w:rPr>
        <w:t>☑否，原因说明：</w:t>
      </w:r>
      <w:r>
        <w:rPr>
          <w:rFonts w:hint="eastAsia" w:ascii="仿宋" w:hAnsi="仿宋" w:eastAsia="仿宋"/>
          <w:sz w:val="28"/>
          <w:szCs w:val="28"/>
          <w:highlight w:val="none"/>
          <w:u w:val="single"/>
        </w:rPr>
        <w:t>按照办法规定预留采购份额无法确保充分供应、充分竞争，或者存在可能影响政府采购目标实现的情形。</w:t>
      </w:r>
    </w:p>
    <w:p w14:paraId="55EE44AB">
      <w:pPr>
        <w:numPr>
          <w:ilvl w:val="0"/>
          <w:numId w:val="5"/>
        </w:numP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是否接受联合体投标</w:t>
      </w:r>
      <w:r>
        <w:rPr>
          <w:rFonts w:hint="eastAsia" w:ascii="仿宋_GB2312" w:hAnsi="仿宋_GB2312" w:eastAsia="仿宋_GB2312" w:cs="仿宋_GB2312"/>
          <w:sz w:val="28"/>
          <w:szCs w:val="28"/>
          <w:highlight w:val="none"/>
        </w:rPr>
        <w:t>：  □是    ☑否</w:t>
      </w:r>
    </w:p>
    <w:p w14:paraId="364C7258">
      <w:pPr>
        <w:spacing w:line="360" w:lineRule="auto"/>
        <w:rPr>
          <w:rFonts w:ascii="仿宋_GB2312" w:hAnsi="仿宋_GB2312" w:eastAsia="仿宋_GB2312" w:cs="仿宋_GB2312"/>
          <w:b/>
          <w:bCs/>
          <w:sz w:val="28"/>
          <w:szCs w:val="28"/>
          <w:highlight w:val="none"/>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rPr>
        <w:t>四）采购标的汇总表：</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总预算（元）</w:t>
            </w:r>
          </w:p>
        </w:tc>
        <w:tc>
          <w:tcPr>
            <w:tcW w:w="2065" w:type="dxa"/>
            <w:shd w:val="clear" w:color="auto" w:fill="FFFFFF"/>
            <w:tcMar>
              <w:top w:w="0" w:type="dxa"/>
              <w:right w:w="0" w:type="dxa"/>
            </w:tcMar>
            <w:vAlign w:val="center"/>
          </w:tcPr>
          <w:p w14:paraId="0B1CE406">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      （货物类提供）</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ascii="仿宋_GB2312" w:hAnsi="仿宋_GB2312" w:eastAsia="仿宋_GB2312" w:cs="仿宋_GB2312"/>
                <w:color w:val="5E6B87"/>
                <w:kern w:val="0"/>
                <w:sz w:val="28"/>
                <w:szCs w:val="28"/>
                <w:highlight w:val="none"/>
              </w:rPr>
            </w:pPr>
            <w:r>
              <w:rPr>
                <w:rFonts w:hint="eastAsia" w:ascii="仿宋_GB2312" w:hAnsi="仿宋_GB2312" w:eastAsia="仿宋_GB2312" w:cs="仿宋_GB2312"/>
                <w:color w:val="5E6B87"/>
                <w:kern w:val="0"/>
                <w:sz w:val="28"/>
                <w:szCs w:val="28"/>
                <w:highlight w:val="none"/>
              </w:rPr>
              <w:t xml:space="preserve">  神经肌肉刺激器（智能无线电刺激系统） </w:t>
            </w:r>
          </w:p>
        </w:tc>
        <w:tc>
          <w:tcPr>
            <w:tcW w:w="2331" w:type="dxa"/>
            <w:shd w:val="clear" w:color="auto" w:fill="FFFFFF"/>
            <w:tcMar>
              <w:top w:w="0" w:type="dxa"/>
              <w:right w:w="0" w:type="dxa"/>
            </w:tcMar>
            <w:vAlign w:val="center"/>
          </w:tcPr>
          <w:p w14:paraId="0794CEF9">
            <w:pPr>
              <w:autoSpaceDE w:val="0"/>
              <w:autoSpaceDN w:val="0"/>
              <w:adjustRightInd w:val="0"/>
              <w:jc w:val="center"/>
              <w:rPr>
                <w:rFonts w:ascii="仿宋_GB2312" w:hAnsi="仿宋_GB2312" w:eastAsia="仿宋_GB2312" w:cs="仿宋_GB2312"/>
                <w:color w:val="5E6B87"/>
                <w:kern w:val="0"/>
                <w:sz w:val="28"/>
                <w:szCs w:val="28"/>
                <w:highlight w:val="none"/>
              </w:rPr>
            </w:pPr>
            <w:r>
              <w:rPr>
                <w:rFonts w:hint="eastAsia" w:ascii="仿宋_GB2312" w:hAnsi="仿宋_GB2312" w:eastAsia="仿宋_GB2312" w:cs="仿宋_GB2312"/>
                <w:color w:val="5E6B87"/>
                <w:kern w:val="0"/>
                <w:sz w:val="28"/>
                <w:szCs w:val="28"/>
                <w:highlight w:val="none"/>
              </w:rPr>
              <w:t>A02320800、物理治疗、康复及体育治疗仪器设备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台  </w:t>
            </w:r>
          </w:p>
        </w:tc>
        <w:tc>
          <w:tcPr>
            <w:tcW w:w="968" w:type="dxa"/>
            <w:shd w:val="clear" w:color="auto" w:fill="FFFFFF"/>
            <w:vAlign w:val="center"/>
          </w:tcPr>
          <w:p w14:paraId="6888F0B6">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2  </w:t>
            </w:r>
          </w:p>
        </w:tc>
        <w:tc>
          <w:tcPr>
            <w:tcW w:w="1200" w:type="dxa"/>
            <w:shd w:val="clear" w:color="auto" w:fill="FFFFFF"/>
            <w:vAlign w:val="center"/>
          </w:tcPr>
          <w:p w14:paraId="4C305FEB">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19.8万元  </w:t>
            </w:r>
          </w:p>
        </w:tc>
        <w:tc>
          <w:tcPr>
            <w:tcW w:w="2065" w:type="dxa"/>
            <w:shd w:val="clear" w:color="auto" w:fill="FFFFFF"/>
            <w:tcMar>
              <w:top w:w="0" w:type="dxa"/>
              <w:right w:w="0" w:type="dxa"/>
            </w:tcMar>
            <w:vAlign w:val="center"/>
          </w:tcPr>
          <w:p w14:paraId="6562782E">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否  </w:t>
            </w:r>
          </w:p>
        </w:tc>
      </w:tr>
    </w:tbl>
    <w:p w14:paraId="0E3F5DE1">
      <w:pPr>
        <w:rPr>
          <w:b/>
          <w:bCs/>
          <w:highlight w:val="none"/>
        </w:rPr>
      </w:pPr>
      <w:r>
        <w:rPr>
          <w:rFonts w:hint="eastAsia" w:ascii="仿宋_GB2312" w:hAnsi="仿宋_GB2312" w:eastAsia="仿宋_GB2312" w:cs="仿宋_GB2312"/>
          <w:b/>
          <w:bCs/>
          <w:sz w:val="28"/>
          <w:szCs w:val="28"/>
          <w:highlight w:val="none"/>
        </w:rPr>
        <w:t>（五）按照规定及项目情况设置投标供应商资格要求：</w:t>
      </w:r>
    </w:p>
    <w:p w14:paraId="2926FFA3">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19D18C19">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2F1B00F6">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7C57DB44">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7FC0503C">
      <w:pPr>
        <w:ind w:firstLine="480" w:firstLineChars="200"/>
        <w:rPr>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4EEEB5CB">
      <w:pP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（六）技术、服务要求与商务要求：</w:t>
      </w:r>
    </w:p>
    <w:p w14:paraId="3FEA7243">
      <w:pPr>
        <w:numPr>
          <w:ilvl w:val="0"/>
          <w:numId w:val="6"/>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p>
    <w:p w14:paraId="72FA744B">
      <w:p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（包括性能、材料、结构、外观、安全或服务内容和服务标准）</w:t>
      </w:r>
    </w:p>
    <w:tbl>
      <w:tblPr>
        <w:tblStyle w:val="6"/>
        <w:tblW w:w="10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9685"/>
      </w:tblGrid>
      <w:tr w14:paraId="4BC3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54D01BF1">
            <w:pPr>
              <w:keepNext w:val="0"/>
              <w:keepLines w:val="0"/>
              <w:widowControl/>
              <w:suppressLineNumbers w:val="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序号</w:t>
            </w:r>
          </w:p>
        </w:tc>
        <w:tc>
          <w:tcPr>
            <w:tcW w:w="9685" w:type="dxa"/>
            <w:tcBorders>
              <w:top w:val="nil"/>
              <w:left w:val="nil"/>
              <w:bottom w:val="nil"/>
              <w:right w:val="nil"/>
            </w:tcBorders>
            <w:shd w:val="clear" w:color="auto" w:fill="auto"/>
            <w:noWrap/>
            <w:vAlign w:val="center"/>
          </w:tcPr>
          <w:p w14:paraId="54D02C95">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技术要求</w:t>
            </w:r>
          </w:p>
        </w:tc>
      </w:tr>
      <w:tr w14:paraId="0D42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19CA95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685" w:type="dxa"/>
            <w:tcBorders>
              <w:top w:val="nil"/>
              <w:left w:val="nil"/>
              <w:bottom w:val="nil"/>
              <w:right w:val="nil"/>
            </w:tcBorders>
            <w:shd w:val="clear" w:color="auto" w:fill="auto"/>
            <w:noWrap/>
            <w:vAlign w:val="center"/>
          </w:tcPr>
          <w:p w14:paraId="02053E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通道数量：≥4对独立通道，支持独立参数调节。</w:t>
            </w:r>
          </w:p>
        </w:tc>
      </w:tr>
      <w:tr w14:paraId="09BE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B17BD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685" w:type="dxa"/>
            <w:tcBorders>
              <w:top w:val="nil"/>
              <w:left w:val="nil"/>
              <w:bottom w:val="nil"/>
              <w:right w:val="nil"/>
            </w:tcBorders>
            <w:shd w:val="clear" w:color="auto" w:fill="auto"/>
            <w:noWrap/>
            <w:vAlign w:val="center"/>
          </w:tcPr>
          <w:p w14:paraId="5A51BD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治疗程序：≥20个预设程序，含调频TENS、调脉宽TENS等防疲劳模式。</w:t>
            </w:r>
          </w:p>
        </w:tc>
      </w:tr>
      <w:tr w14:paraId="14ED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68206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685" w:type="dxa"/>
            <w:tcBorders>
              <w:top w:val="nil"/>
              <w:left w:val="nil"/>
              <w:bottom w:val="nil"/>
              <w:right w:val="nil"/>
            </w:tcBorders>
            <w:shd w:val="clear" w:color="auto" w:fill="auto"/>
            <w:noWrap/>
            <w:vAlign w:val="center"/>
          </w:tcPr>
          <w:p w14:paraId="11DB83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自定义功能：支持PC端编辑治疗程序，可设置频率、脉宽、强度等参数。</w:t>
            </w:r>
          </w:p>
        </w:tc>
      </w:tr>
      <w:tr w14:paraId="5379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59A85D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685" w:type="dxa"/>
            <w:tcBorders>
              <w:top w:val="nil"/>
              <w:left w:val="nil"/>
              <w:bottom w:val="nil"/>
              <w:right w:val="nil"/>
            </w:tcBorders>
            <w:shd w:val="clear" w:color="auto" w:fill="auto"/>
            <w:noWrap/>
            <w:vAlign w:val="center"/>
          </w:tcPr>
          <w:p w14:paraId="4D94C2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100Hz TENS程序（临床止痛）；</w:t>
            </w:r>
          </w:p>
        </w:tc>
      </w:tr>
      <w:tr w14:paraId="28CB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C8EEE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685" w:type="dxa"/>
            <w:tcBorders>
              <w:top w:val="nil"/>
              <w:left w:val="nil"/>
              <w:bottom w:val="nil"/>
              <w:right w:val="nil"/>
            </w:tcBorders>
            <w:shd w:val="clear" w:color="auto" w:fill="auto"/>
            <w:noWrap/>
            <w:vAlign w:val="center"/>
          </w:tcPr>
          <w:p w14:paraId="6842E0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1Hz 程序（去肌肉张力，神经活性诊断）；</w:t>
            </w:r>
          </w:p>
        </w:tc>
      </w:tr>
      <w:tr w14:paraId="5F3A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FBD04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685" w:type="dxa"/>
            <w:tcBorders>
              <w:top w:val="nil"/>
              <w:left w:val="nil"/>
              <w:bottom w:val="nil"/>
              <w:right w:val="nil"/>
            </w:tcBorders>
            <w:shd w:val="clear" w:color="auto" w:fill="auto"/>
            <w:noWrap/>
            <w:vAlign w:val="center"/>
          </w:tcPr>
          <w:p w14:paraId="54870A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运动点笔诊断程序。</w:t>
            </w:r>
          </w:p>
        </w:tc>
      </w:tr>
      <w:tr w14:paraId="02DB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3A61B9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685" w:type="dxa"/>
            <w:tcBorders>
              <w:top w:val="nil"/>
              <w:left w:val="nil"/>
              <w:bottom w:val="nil"/>
              <w:right w:val="nil"/>
            </w:tcBorders>
            <w:shd w:val="clear" w:color="auto" w:fill="auto"/>
            <w:noWrap/>
            <w:vAlign w:val="center"/>
          </w:tcPr>
          <w:p w14:paraId="7CBA22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包含“预热、运行、放松”三序列程序；</w:t>
            </w:r>
          </w:p>
        </w:tc>
      </w:tr>
      <w:tr w14:paraId="78C8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9F218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685" w:type="dxa"/>
            <w:tcBorders>
              <w:top w:val="nil"/>
              <w:left w:val="nil"/>
              <w:bottom w:val="nil"/>
              <w:right w:val="nil"/>
            </w:tcBorders>
            <w:shd w:val="clear" w:color="auto" w:fill="auto"/>
            <w:noWrap/>
            <w:vAlign w:val="center"/>
          </w:tcPr>
          <w:p w14:paraId="19E5A11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带连续序列的程序架构。</w:t>
            </w:r>
          </w:p>
        </w:tc>
      </w:tr>
      <w:tr w14:paraId="5A5E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319550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685" w:type="dxa"/>
            <w:tcBorders>
              <w:top w:val="nil"/>
              <w:left w:val="nil"/>
              <w:bottom w:val="nil"/>
              <w:right w:val="nil"/>
            </w:tcBorders>
            <w:shd w:val="clear" w:color="auto" w:fill="auto"/>
            <w:noWrap/>
            <w:vAlign w:val="center"/>
          </w:tcPr>
          <w:p w14:paraId="4B8880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脉冲频率：1~150Hz连续可调，步进精度≤1Hz。</w:t>
            </w:r>
          </w:p>
        </w:tc>
      </w:tr>
      <w:tr w14:paraId="2480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83B5F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685" w:type="dxa"/>
            <w:tcBorders>
              <w:top w:val="nil"/>
              <w:left w:val="nil"/>
              <w:bottom w:val="nil"/>
              <w:right w:val="nil"/>
            </w:tcBorders>
            <w:shd w:val="clear" w:color="auto" w:fill="auto"/>
            <w:noWrap/>
            <w:vAlign w:val="center"/>
          </w:tcPr>
          <w:p w14:paraId="215E3F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脉冲波形：对称双相方波。</w:t>
            </w:r>
          </w:p>
        </w:tc>
      </w:tr>
      <w:tr w14:paraId="5D34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37BB4E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9685" w:type="dxa"/>
            <w:tcBorders>
              <w:top w:val="nil"/>
              <w:left w:val="nil"/>
              <w:bottom w:val="nil"/>
              <w:right w:val="nil"/>
            </w:tcBorders>
            <w:shd w:val="clear" w:color="auto" w:fill="auto"/>
            <w:noWrap/>
            <w:vAlign w:val="center"/>
          </w:tcPr>
          <w:p w14:paraId="647F98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脉宽：30~400μs可调，步进精度≤5μs。</w:t>
            </w:r>
          </w:p>
        </w:tc>
      </w:tr>
      <w:tr w14:paraId="6CA6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1D3F90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685" w:type="dxa"/>
            <w:tcBorders>
              <w:top w:val="nil"/>
              <w:left w:val="nil"/>
              <w:bottom w:val="nil"/>
              <w:right w:val="nil"/>
            </w:tcBorders>
            <w:shd w:val="clear" w:color="auto" w:fill="auto"/>
            <w:noWrap/>
            <w:vAlign w:val="center"/>
          </w:tcPr>
          <w:p w14:paraId="73F736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脉冲强度：0~120mA可调，最小增量≤0.3mA。</w:t>
            </w:r>
          </w:p>
        </w:tc>
      </w:tr>
      <w:tr w14:paraId="5CD5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43DA7F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9685" w:type="dxa"/>
            <w:tcBorders>
              <w:top w:val="nil"/>
              <w:left w:val="nil"/>
              <w:bottom w:val="nil"/>
              <w:right w:val="nil"/>
            </w:tcBorders>
            <w:shd w:val="clear" w:color="auto" w:fill="auto"/>
            <w:noWrap/>
            <w:vAlign w:val="center"/>
          </w:tcPr>
          <w:p w14:paraId="25931E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模式：恒电流输出模式。</w:t>
            </w:r>
          </w:p>
        </w:tc>
      </w:tr>
      <w:tr w14:paraId="1F55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47013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9685" w:type="dxa"/>
            <w:tcBorders>
              <w:top w:val="nil"/>
              <w:left w:val="nil"/>
              <w:bottom w:val="nil"/>
              <w:right w:val="nil"/>
            </w:tcBorders>
            <w:shd w:val="clear" w:color="auto" w:fill="auto"/>
            <w:noWrap/>
            <w:vAlign w:val="center"/>
          </w:tcPr>
          <w:p w14:paraId="3DB0A3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治疗时间：1~240分钟可调。</w:t>
            </w:r>
          </w:p>
        </w:tc>
      </w:tr>
      <w:tr w14:paraId="6BE6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40698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685" w:type="dxa"/>
            <w:tcBorders>
              <w:top w:val="nil"/>
              <w:left w:val="nil"/>
              <w:bottom w:val="nil"/>
              <w:right w:val="nil"/>
            </w:tcBorders>
            <w:shd w:val="clear" w:color="auto" w:fill="auto"/>
            <w:noWrap/>
            <w:vAlign w:val="center"/>
          </w:tcPr>
          <w:p w14:paraId="3721AC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肌肉智能技术：自动优化电刺激参数，智能匹配最佳脉宽。</w:t>
            </w:r>
          </w:p>
        </w:tc>
      </w:tr>
      <w:tr w14:paraId="42B0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04957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9685" w:type="dxa"/>
            <w:tcBorders>
              <w:top w:val="nil"/>
              <w:left w:val="nil"/>
              <w:bottom w:val="nil"/>
              <w:right w:val="nil"/>
            </w:tcBorders>
            <w:shd w:val="clear" w:color="auto" w:fill="auto"/>
            <w:noWrap/>
            <w:vAlign w:val="center"/>
          </w:tcPr>
          <w:p w14:paraId="51EAE6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智能识别TENS模式下的肌肉抖动，自动降低治疗强度；</w:t>
            </w:r>
          </w:p>
        </w:tc>
      </w:tr>
      <w:tr w14:paraId="1A66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A0667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9685" w:type="dxa"/>
            <w:tcBorders>
              <w:top w:val="nil"/>
              <w:left w:val="nil"/>
              <w:bottom w:val="nil"/>
              <w:right w:val="nil"/>
            </w:tcBorders>
            <w:shd w:val="clear" w:color="auto" w:fill="auto"/>
            <w:noWrap/>
            <w:vAlign w:val="center"/>
          </w:tcPr>
          <w:p w14:paraId="146432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智能识别肌肉收缩状态，触发电刺激强直收缩。</w:t>
            </w:r>
          </w:p>
        </w:tc>
      </w:tr>
      <w:tr w14:paraId="2C33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A1D0F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9685" w:type="dxa"/>
            <w:tcBorders>
              <w:top w:val="nil"/>
              <w:left w:val="nil"/>
              <w:bottom w:val="nil"/>
              <w:right w:val="nil"/>
            </w:tcBorders>
            <w:shd w:val="clear" w:color="auto" w:fill="auto"/>
            <w:noWrap/>
            <w:vAlign w:val="center"/>
          </w:tcPr>
          <w:p w14:paraId="3D7074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精准定位：配备运动点笔，支持运动点诊断。</w:t>
            </w:r>
          </w:p>
        </w:tc>
      </w:tr>
      <w:tr w14:paraId="474B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F0FC0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9685" w:type="dxa"/>
            <w:tcBorders>
              <w:top w:val="nil"/>
              <w:left w:val="nil"/>
              <w:bottom w:val="nil"/>
              <w:right w:val="nil"/>
            </w:tcBorders>
            <w:shd w:val="clear" w:color="auto" w:fill="auto"/>
            <w:noWrap/>
            <w:vAlign w:val="center"/>
          </w:tcPr>
          <w:p w14:paraId="06E729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屏幕：全彩液晶屏，显示治疗参数及电极贴片示意图。</w:t>
            </w:r>
          </w:p>
        </w:tc>
      </w:tr>
      <w:tr w14:paraId="71AA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3EF3B1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685" w:type="dxa"/>
            <w:tcBorders>
              <w:top w:val="nil"/>
              <w:left w:val="nil"/>
              <w:bottom w:val="nil"/>
              <w:right w:val="nil"/>
            </w:tcBorders>
            <w:shd w:val="clear" w:color="auto" w:fill="auto"/>
            <w:noWrap/>
            <w:vAlign w:val="center"/>
          </w:tcPr>
          <w:p w14:paraId="517B58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连接方式：电极盘、遥控器无线连接（蓝牙/Wi-Fi）。</w:t>
            </w:r>
          </w:p>
        </w:tc>
      </w:tr>
      <w:tr w14:paraId="2950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206F1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9685" w:type="dxa"/>
            <w:tcBorders>
              <w:top w:val="nil"/>
              <w:left w:val="nil"/>
              <w:bottom w:val="nil"/>
              <w:right w:val="nil"/>
            </w:tcBorders>
            <w:shd w:val="clear" w:color="auto" w:fill="auto"/>
            <w:noWrap/>
            <w:vAlign w:val="center"/>
          </w:tcPr>
          <w:p w14:paraId="2E7F19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电池：可充电锂电池，续航≥8小时。</w:t>
            </w:r>
          </w:p>
        </w:tc>
      </w:tr>
      <w:tr w14:paraId="5451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6191D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9685" w:type="dxa"/>
            <w:tcBorders>
              <w:top w:val="nil"/>
              <w:left w:val="nil"/>
              <w:bottom w:val="nil"/>
              <w:right w:val="nil"/>
            </w:tcBorders>
            <w:shd w:val="clear" w:color="auto" w:fill="auto"/>
            <w:noWrap/>
            <w:vAlign w:val="center"/>
          </w:tcPr>
          <w:p w14:paraId="55DE54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体积≤20,000 cm³；</w:t>
            </w:r>
          </w:p>
        </w:tc>
      </w:tr>
      <w:tr w14:paraId="61D5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16B862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9685" w:type="dxa"/>
            <w:tcBorders>
              <w:top w:val="nil"/>
              <w:left w:val="nil"/>
              <w:bottom w:val="nil"/>
              <w:right w:val="nil"/>
            </w:tcBorders>
            <w:shd w:val="clear" w:color="auto" w:fill="auto"/>
            <w:noWrap/>
            <w:vAlign w:val="center"/>
          </w:tcPr>
          <w:p w14:paraId="770365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净重≤3kg。</w:t>
            </w:r>
          </w:p>
        </w:tc>
      </w:tr>
    </w:tbl>
    <w:p w14:paraId="23D7B002">
      <w:pPr>
        <w:jc w:val="left"/>
        <w:rPr>
          <w:rFonts w:ascii="仿宋_GB2312" w:hAnsi="仿宋_GB2312" w:eastAsia="仿宋_GB2312" w:cs="仿宋_GB2312"/>
          <w:sz w:val="28"/>
          <w:szCs w:val="28"/>
          <w:highlight w:val="none"/>
        </w:rPr>
      </w:pPr>
    </w:p>
    <w:p w14:paraId="028B3791">
      <w:p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单台</w:t>
      </w:r>
      <w:r>
        <w:rPr>
          <w:rFonts w:hint="eastAsia" w:ascii="仿宋_GB2312" w:hAnsi="仿宋_GB2312" w:eastAsia="仿宋_GB2312" w:cs="仿宋_GB2312"/>
          <w:sz w:val="28"/>
          <w:szCs w:val="28"/>
          <w:highlight w:val="none"/>
        </w:rPr>
        <w:t>配置清单</w:t>
      </w:r>
    </w:p>
    <w:p w14:paraId="76688FBC">
      <w:pPr>
        <w:pStyle w:val="11"/>
        <w:numPr>
          <w:ilvl w:val="0"/>
          <w:numId w:val="7"/>
        </w:numPr>
        <w:spacing w:line="360" w:lineRule="auto"/>
        <w:rPr>
          <w:rFonts w:ascii="宋体" w:hAnsi="宋体" w:cs="Times"/>
          <w:sz w:val="24"/>
          <w:highlight w:val="none"/>
        </w:rPr>
      </w:pPr>
      <w:r>
        <w:rPr>
          <w:rFonts w:hint="eastAsia" w:ascii="宋体" w:hAnsi="宋体" w:cs="Times"/>
          <w:sz w:val="24"/>
          <w:highlight w:val="none"/>
          <w:lang w:val="en-US" w:eastAsia="zh-CN"/>
        </w:rPr>
        <w:t>主机</w:t>
      </w:r>
    </w:p>
    <w:p w14:paraId="60512280">
      <w:pPr>
        <w:pStyle w:val="11"/>
        <w:numPr>
          <w:ilvl w:val="0"/>
          <w:numId w:val="7"/>
        </w:numPr>
        <w:spacing w:line="360" w:lineRule="auto"/>
        <w:rPr>
          <w:rFonts w:ascii="宋体" w:hAnsi="宋体" w:cs="Times"/>
          <w:sz w:val="24"/>
          <w:highlight w:val="none"/>
        </w:rPr>
      </w:pPr>
      <w:r>
        <w:rPr>
          <w:rFonts w:hint="eastAsia" w:ascii="宋体" w:hAnsi="宋体" w:cs="Times"/>
          <w:sz w:val="24"/>
          <w:highlight w:val="none"/>
        </w:rPr>
        <w:t>遥控器</w:t>
      </w:r>
      <w:r>
        <w:rPr>
          <w:rFonts w:ascii="宋体" w:hAnsi="宋体" w:cs="Times"/>
          <w:sz w:val="24"/>
          <w:highlight w:val="none"/>
        </w:rPr>
        <w:t xml:space="preserve">  1</w:t>
      </w:r>
      <w:r>
        <w:rPr>
          <w:rFonts w:hint="eastAsia" w:ascii="宋体" w:hAnsi="宋体" w:cs="Times"/>
          <w:sz w:val="24"/>
          <w:highlight w:val="none"/>
        </w:rPr>
        <w:t>个</w:t>
      </w:r>
    </w:p>
    <w:p w14:paraId="5542E55F">
      <w:pPr>
        <w:pStyle w:val="11"/>
        <w:numPr>
          <w:ilvl w:val="0"/>
          <w:numId w:val="7"/>
        </w:numPr>
        <w:spacing w:line="360" w:lineRule="auto"/>
        <w:rPr>
          <w:rFonts w:ascii="宋体" w:hAnsi="宋体" w:cs="Times"/>
          <w:sz w:val="24"/>
          <w:highlight w:val="none"/>
        </w:rPr>
      </w:pPr>
      <w:r>
        <w:rPr>
          <w:rFonts w:hint="eastAsia" w:ascii="宋体" w:hAnsi="宋体" w:cs="Times"/>
          <w:sz w:val="24"/>
          <w:highlight w:val="none"/>
        </w:rPr>
        <w:t>电极盘</w:t>
      </w:r>
      <w:r>
        <w:rPr>
          <w:rFonts w:ascii="宋体" w:hAnsi="宋体" w:cs="Times"/>
          <w:sz w:val="24"/>
          <w:highlight w:val="none"/>
        </w:rPr>
        <w:t xml:space="preserve"> 4</w:t>
      </w:r>
      <w:r>
        <w:rPr>
          <w:rFonts w:hint="eastAsia" w:ascii="宋体" w:hAnsi="宋体" w:cs="Times"/>
          <w:sz w:val="24"/>
          <w:highlight w:val="none"/>
        </w:rPr>
        <w:t>组</w:t>
      </w:r>
    </w:p>
    <w:p w14:paraId="7A7F58C4">
      <w:pPr>
        <w:pStyle w:val="11"/>
        <w:numPr>
          <w:ilvl w:val="0"/>
          <w:numId w:val="7"/>
        </w:numPr>
        <w:spacing w:line="360" w:lineRule="auto"/>
        <w:rPr>
          <w:rFonts w:ascii="宋体" w:hAnsi="宋体" w:cs="Times"/>
          <w:sz w:val="24"/>
          <w:highlight w:val="none"/>
        </w:rPr>
      </w:pPr>
      <w:r>
        <w:rPr>
          <w:rFonts w:hint="eastAsia" w:ascii="宋体" w:hAnsi="宋体" w:cs="宋体"/>
          <w:sz w:val="24"/>
          <w:highlight w:val="none"/>
        </w:rPr>
        <w:t>智能拓展充电底座</w:t>
      </w:r>
      <w:r>
        <w:rPr>
          <w:rFonts w:ascii="宋体" w:hAnsi="宋体" w:cs="Times"/>
          <w:sz w:val="24"/>
          <w:highlight w:val="none"/>
        </w:rPr>
        <w:t xml:space="preserve"> 1</w:t>
      </w:r>
      <w:r>
        <w:rPr>
          <w:rFonts w:hint="eastAsia" w:ascii="宋体" w:hAnsi="宋体" w:cs="Times"/>
          <w:sz w:val="24"/>
          <w:highlight w:val="none"/>
          <w:lang w:val="en-US" w:eastAsia="zh-CN"/>
        </w:rPr>
        <w:t>套</w:t>
      </w:r>
    </w:p>
    <w:p w14:paraId="54F3A84A">
      <w:pPr>
        <w:pStyle w:val="11"/>
        <w:numPr>
          <w:ilvl w:val="0"/>
          <w:numId w:val="7"/>
        </w:numPr>
        <w:spacing w:line="360" w:lineRule="auto"/>
        <w:rPr>
          <w:rFonts w:ascii="宋体" w:hAnsi="宋体" w:cs="Times"/>
          <w:sz w:val="24"/>
          <w:highlight w:val="none"/>
        </w:rPr>
      </w:pPr>
      <w:r>
        <w:rPr>
          <w:rFonts w:hint="eastAsia" w:ascii="宋体" w:hAnsi="宋体" w:cs="Times"/>
          <w:sz w:val="24"/>
          <w:highlight w:val="none"/>
        </w:rPr>
        <w:t>电极</w:t>
      </w:r>
      <w:r>
        <w:rPr>
          <w:rFonts w:hint="eastAsia" w:ascii="宋体" w:hAnsi="宋体" w:cs="Times"/>
          <w:sz w:val="24"/>
          <w:highlight w:val="none"/>
          <w:lang w:val="en-US" w:eastAsia="zh-CN"/>
        </w:rPr>
        <w:t>片</w:t>
      </w:r>
      <w:r>
        <w:rPr>
          <w:rFonts w:ascii="宋体" w:hAnsi="宋体" w:cs="Times"/>
          <w:sz w:val="24"/>
          <w:highlight w:val="none"/>
        </w:rPr>
        <w:t xml:space="preserve"> </w:t>
      </w:r>
      <w:r>
        <w:rPr>
          <w:rFonts w:hint="eastAsia" w:ascii="宋体" w:hAnsi="宋体" w:cs="Times"/>
          <w:sz w:val="24"/>
          <w:highlight w:val="none"/>
          <w:lang w:val="en-US" w:eastAsia="zh-CN"/>
        </w:rPr>
        <w:t>6</w:t>
      </w:r>
      <w:r>
        <w:rPr>
          <w:rFonts w:hint="eastAsia" w:ascii="宋体" w:hAnsi="宋体" w:cs="Times"/>
          <w:sz w:val="24"/>
          <w:highlight w:val="none"/>
        </w:rPr>
        <w:t>袋</w:t>
      </w:r>
    </w:p>
    <w:p w14:paraId="53739AF0">
      <w:pPr>
        <w:pStyle w:val="11"/>
        <w:numPr>
          <w:ilvl w:val="0"/>
          <w:numId w:val="7"/>
        </w:numPr>
        <w:spacing w:line="360" w:lineRule="auto"/>
        <w:rPr>
          <w:rFonts w:ascii="宋体" w:hAnsi="宋体" w:cs="Times"/>
          <w:highlight w:val="none"/>
        </w:rPr>
      </w:pPr>
      <w:r>
        <w:rPr>
          <w:rFonts w:hint="eastAsia" w:ascii="宋体" w:hAnsi="宋体" w:cs="Times"/>
          <w:sz w:val="24"/>
          <w:highlight w:val="none"/>
        </w:rPr>
        <w:t>运动点笔</w:t>
      </w:r>
      <w:r>
        <w:rPr>
          <w:rFonts w:ascii="宋体" w:hAnsi="宋体" w:cs="Times"/>
          <w:sz w:val="24"/>
          <w:highlight w:val="none"/>
        </w:rPr>
        <w:t xml:space="preserve"> 1</w:t>
      </w:r>
      <w:r>
        <w:rPr>
          <w:rFonts w:hint="eastAsia" w:ascii="宋体" w:hAnsi="宋体" w:cs="Times"/>
          <w:sz w:val="24"/>
          <w:highlight w:val="none"/>
        </w:rPr>
        <w:t>个</w:t>
      </w:r>
    </w:p>
    <w:p w14:paraId="468B8797">
      <w:pPr>
        <w:pStyle w:val="11"/>
        <w:numPr>
          <w:ilvl w:val="0"/>
          <w:numId w:val="7"/>
        </w:numPr>
        <w:spacing w:line="360" w:lineRule="auto"/>
        <w:rPr>
          <w:rFonts w:ascii="宋体" w:hAnsi="宋体" w:cs="Times"/>
          <w:highlight w:val="none"/>
        </w:rPr>
      </w:pPr>
      <w:r>
        <w:rPr>
          <w:rFonts w:hint="eastAsia" w:ascii="宋体" w:hAnsi="宋体" w:cs="Times"/>
          <w:sz w:val="24"/>
          <w:highlight w:val="none"/>
          <w:lang w:val="en-US" w:eastAsia="zh-CN"/>
        </w:rPr>
        <w:t>配件包1套</w:t>
      </w:r>
    </w:p>
    <w:p w14:paraId="21230C9A">
      <w:pPr>
        <w:numPr>
          <w:ilvl w:val="0"/>
          <w:numId w:val="6"/>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6"/>
        <w:tblW w:w="10365" w:type="dxa"/>
        <w:jc w:val="center"/>
        <w:tblLayout w:type="autofit"/>
        <w:tblCellMar>
          <w:top w:w="0" w:type="dxa"/>
          <w:left w:w="108" w:type="dxa"/>
          <w:bottom w:w="0" w:type="dxa"/>
          <w:right w:w="108" w:type="dxa"/>
        </w:tblCellMar>
      </w:tblPr>
      <w:tblGrid>
        <w:gridCol w:w="525"/>
        <w:gridCol w:w="735"/>
        <w:gridCol w:w="1020"/>
        <w:gridCol w:w="8085"/>
      </w:tblGrid>
      <w:tr w14:paraId="74E6B5B0">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81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57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F9F">
            <w:pPr>
              <w:widowControl/>
              <w:jc w:val="center"/>
              <w:textAlignment w:val="center"/>
              <w:rPr>
                <w:rFonts w:ascii="仿宋_GB2312" w:hAnsi="宋体" w:eastAsia="仿宋_GB2312" w:cs="仿宋_GB2312"/>
                <w:b/>
                <w:bCs/>
                <w:color w:val="000000"/>
                <w:sz w:val="28"/>
                <w:szCs w:val="28"/>
                <w:highlight w:val="none"/>
              </w:rPr>
            </w:pPr>
            <w:r>
              <w:rPr>
                <w:rFonts w:hint="eastAsia" w:ascii="微软雅黑" w:hAnsi="微软雅黑" w:eastAsia="微软雅黑" w:cs="微软雅黑"/>
                <w:color w:val="000000"/>
                <w:kern w:val="0"/>
                <w:sz w:val="28"/>
                <w:szCs w:val="28"/>
                <w:lang w:eastAsia="zh-CN" w:bidi="ar"/>
              </w:rPr>
              <w:t>★</w:t>
            </w:r>
            <w:r>
              <w:rPr>
                <w:rFonts w:hint="eastAsia" w:ascii="仿宋_GB2312" w:hAnsi="宋体" w:eastAsia="仿宋_GB2312" w:cs="仿宋_GB2312"/>
                <w:b/>
                <w:bCs/>
                <w:color w:val="000000"/>
                <w:kern w:val="0"/>
                <w:sz w:val="28"/>
                <w:szCs w:val="28"/>
                <w:highlight w:val="none"/>
                <w:lang w:bidi="ar"/>
              </w:rPr>
              <w:t>商务要求</w:t>
            </w:r>
          </w:p>
        </w:tc>
      </w:tr>
      <w:tr w14:paraId="22B3F8CC">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F87B9">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（一）免费保修期内售后服务要求</w:t>
            </w:r>
          </w:p>
        </w:tc>
      </w:tr>
      <w:tr w14:paraId="51105293">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29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332B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D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E2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设备原厂（含附件）免费保修期为</w:t>
            </w:r>
            <w:r>
              <w:rPr>
                <w:rStyle w:val="13"/>
                <w:rFonts w:hint="default"/>
                <w:highlight w:val="none"/>
              </w:rPr>
              <w:t>5</w:t>
            </w:r>
            <w:r>
              <w:rPr>
                <w:rStyle w:val="14"/>
                <w:rFonts w:hint="default" w:hAnsi="宋体"/>
                <w:highlight w:val="none"/>
                <w:lang w:bidi="ar"/>
              </w:rPr>
              <w:t>年，自验收报告签字之日开始计算。</w:t>
            </w:r>
          </w:p>
        </w:tc>
      </w:tr>
      <w:tr w14:paraId="7072B8BA">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35C9">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9AA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3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43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822E24E">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601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92E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80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E7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投标人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5985F53A">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D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8E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65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8E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投标人应按其投标文件中的承诺，进行其他售后服务工作。</w:t>
            </w:r>
          </w:p>
        </w:tc>
      </w:tr>
      <w:tr w14:paraId="7BE287CC">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CD59B">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（二）免费保修期外售后服务要求</w:t>
            </w:r>
          </w:p>
        </w:tc>
      </w:tr>
      <w:tr w14:paraId="72AA3265">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9C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A6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F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31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免费保修期结束后的维修只按优惠价格收取材料费，不收取人工费及差旅费，投标人须在签订合同前提供该设备免费保修期结束后的年度维保方案和报价，以作为采购人购买后续服务的基本保证。</w:t>
            </w:r>
          </w:p>
        </w:tc>
      </w:tr>
      <w:tr w14:paraId="1C83C9A0">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78408">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（三）其他商务要求</w:t>
            </w:r>
          </w:p>
        </w:tc>
      </w:tr>
      <w:tr w14:paraId="3D245C77">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E2C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069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92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C9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3"/>
                <w:rFonts w:hint="default" w:hAnsi="宋体"/>
                <w:highlight w:val="none"/>
                <w:lang w:bidi="ar"/>
              </w:rPr>
              <w:t>30</w:t>
            </w:r>
            <w:r>
              <w:rPr>
                <w:rStyle w:val="14"/>
                <w:rFonts w:hint="default" w:hAnsi="宋体"/>
                <w:highlight w:val="none"/>
                <w:lang w:bidi="ar"/>
              </w:rPr>
              <w:t>日历天内交货。</w:t>
            </w:r>
          </w:p>
        </w:tc>
      </w:tr>
      <w:tr w14:paraId="77F09181">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7308">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8B2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4E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78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地点：采购人指定地点。</w:t>
            </w:r>
          </w:p>
        </w:tc>
      </w:tr>
      <w:tr w14:paraId="60648ED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3AA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8D5D">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57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0FA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投标人必须在交货之日起</w:t>
            </w:r>
            <w:r>
              <w:rPr>
                <w:rStyle w:val="13"/>
                <w:rFonts w:hint="default" w:hAnsi="宋体"/>
                <w:b w:val="0"/>
                <w:bCs w:val="0"/>
                <w:highlight w:val="none"/>
                <w:lang w:bidi="ar"/>
              </w:rPr>
              <w:t>60</w:t>
            </w:r>
            <w:r>
              <w:rPr>
                <w:rStyle w:val="14"/>
                <w:rFonts w:hint="default" w:hAnsi="宋体"/>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5D4D1DEE">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6C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263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89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62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包装运输：投标人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7AC7D13E">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A7CC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5D7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B5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82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投标人货物经过双方检验认可后，签署验收报告，产品保修期自验收合格之日起算，由投标人提供产品保修文件。</w:t>
            </w:r>
          </w:p>
        </w:tc>
      </w:tr>
      <w:tr w14:paraId="15567E62">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BC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5BD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3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93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当满足以下条件时，采购人才向投标人签发货物验收报告：投标人已按照合同规定提供了全部产品及完整的技术资料。货物符合招标文件技术要求，性能满足要求。国产货物必须具备产品合格证。</w:t>
            </w:r>
          </w:p>
        </w:tc>
      </w:tr>
      <w:tr w14:paraId="7F8F78A3">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4B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84D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9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A2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凡属于国家规定强制检测的设备项目，都必须具备计量质检部门的检测合格证。</w:t>
            </w:r>
          </w:p>
        </w:tc>
      </w:tr>
      <w:tr w14:paraId="736DE94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F6F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C584">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B0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3B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验收过程中，如采购人拟对货物质量进行实质验收时，有权邀请第三方检测机构对货物进行检测或测试，因此所需的费用由投标人承担。</w:t>
            </w:r>
          </w:p>
        </w:tc>
      </w:tr>
      <w:tr w14:paraId="5DDD1A7C">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706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8E7E">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B6F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90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E270621">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34E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959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C3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AF3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在验收过程中，中标人需出具与设备制造商签订的与原合同条款一致的维保合同或原厂维保承诺函。</w:t>
            </w:r>
          </w:p>
        </w:tc>
      </w:tr>
      <w:tr w14:paraId="07CD4A3B">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8E87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9DD3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B9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2D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须支持物联网协议，便于与医院信息系统的对接，按采购人要求无条件开放数据交换接口，并提供技术支持（中标投标人不得向采购人收取额外的费用），并保证所使用软件的合法性，任何知识产权纠纷与采购人无关。</w:t>
            </w:r>
          </w:p>
        </w:tc>
      </w:tr>
      <w:tr w14:paraId="46849CDB">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C8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EC8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65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1B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04224C1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A317">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342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9B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42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1DA8D88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13B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959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87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D4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3844ADCD">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A5E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2C9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4C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C22">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531EA40B">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1C1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DB9B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A5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3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合同生效后，货到指定地点，安装验收合格后，采购人收到投标人提供的相应金额合法有效发票后，支付合同总金额的100%。</w:t>
            </w:r>
          </w:p>
        </w:tc>
      </w:tr>
      <w:tr w14:paraId="3AE679F3">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84A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701A">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B8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CA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BFDD1AF">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EA5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AD6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26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15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3FCCCDE9">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D28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2FDD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A4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BF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32ECD3">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39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FB8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00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8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7FACE48B">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3C1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6355">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2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6A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spacing w:before="0" w:after="0" w:line="240" w:lineRule="auto"/>
        <w:rPr>
          <w:rFonts w:ascii="仿宋" w:hAnsi="仿宋" w:eastAsia="仿宋"/>
          <w:sz w:val="28"/>
          <w:szCs w:val="28"/>
          <w:highlight w:val="none"/>
        </w:rPr>
      </w:pPr>
      <w:r>
        <w:rPr>
          <w:rFonts w:hint="eastAsia" w:ascii="仿宋_GB2312" w:hAnsi="仿宋_GB2312" w:eastAsia="仿宋_GB2312" w:cs="仿宋_GB2312"/>
          <w:sz w:val="28"/>
          <w:szCs w:val="28"/>
          <w:highlight w:val="none"/>
        </w:rPr>
        <w:t>（七）</w:t>
      </w:r>
      <w:r>
        <w:rPr>
          <w:rFonts w:hint="eastAsia" w:ascii="仿宋" w:hAnsi="仿宋" w:eastAsia="仿宋"/>
          <w:sz w:val="28"/>
          <w:szCs w:val="28"/>
          <w:highlight w:val="none"/>
        </w:rPr>
        <w:t>评审规则：</w:t>
      </w:r>
    </w:p>
    <w:p w14:paraId="7D98FF9F">
      <w:pPr>
        <w:adjustRightInd w:val="0"/>
        <w:snapToGrid w:val="0"/>
        <w:jc w:val="left"/>
        <w:rPr>
          <w:rFonts w:ascii="仿宋" w:hAnsi="仿宋" w:eastAsia="仿宋"/>
          <w:sz w:val="28"/>
          <w:szCs w:val="28"/>
          <w:highlight w:val="none"/>
        </w:rPr>
      </w:pPr>
      <w:r>
        <w:rPr>
          <w:rFonts w:hint="eastAsia" w:ascii="仿宋" w:hAnsi="仿宋" w:eastAsia="仿宋"/>
          <w:sz w:val="28"/>
          <w:szCs w:val="28"/>
          <w:highlight w:val="none"/>
        </w:rPr>
        <w:t>1.评标方法：综合评分法</w:t>
      </w:r>
      <w:bookmarkStart w:id="0" w:name="_GoBack"/>
      <w:bookmarkEnd w:id="0"/>
    </w:p>
    <w:p w14:paraId="7F8446B4">
      <w:pPr>
        <w:adjustRightInd w:val="0"/>
        <w:snapToGrid w:val="0"/>
        <w:jc w:val="left"/>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B0604020202020204"/>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5C72464A"/>
    <w:multiLevelType w:val="multilevel"/>
    <w:tmpl w:val="5C7246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1A086F"/>
    <w:rsid w:val="00216720"/>
    <w:rsid w:val="002277A4"/>
    <w:rsid w:val="002617DB"/>
    <w:rsid w:val="00681410"/>
    <w:rsid w:val="0078244A"/>
    <w:rsid w:val="008914B7"/>
    <w:rsid w:val="00A53741"/>
    <w:rsid w:val="00B23CB3"/>
    <w:rsid w:val="00B97AED"/>
    <w:rsid w:val="00C9106E"/>
    <w:rsid w:val="00F43941"/>
    <w:rsid w:val="013F1E53"/>
    <w:rsid w:val="092B34AD"/>
    <w:rsid w:val="0A9A30C7"/>
    <w:rsid w:val="0C6A7D1D"/>
    <w:rsid w:val="0D532C76"/>
    <w:rsid w:val="1C4A5F2B"/>
    <w:rsid w:val="1D3E161D"/>
    <w:rsid w:val="268A3AF4"/>
    <w:rsid w:val="2B033E75"/>
    <w:rsid w:val="2CBA4A07"/>
    <w:rsid w:val="312A0667"/>
    <w:rsid w:val="31BC3D81"/>
    <w:rsid w:val="345D1B1D"/>
    <w:rsid w:val="386B2CF7"/>
    <w:rsid w:val="3BE455FD"/>
    <w:rsid w:val="3DA24B99"/>
    <w:rsid w:val="3F786788"/>
    <w:rsid w:val="418F2299"/>
    <w:rsid w:val="47946129"/>
    <w:rsid w:val="4C4243A5"/>
    <w:rsid w:val="4F624D5E"/>
    <w:rsid w:val="51D9166A"/>
    <w:rsid w:val="539D45B7"/>
    <w:rsid w:val="541170FC"/>
    <w:rsid w:val="582D25AE"/>
    <w:rsid w:val="59266DFD"/>
    <w:rsid w:val="5AE92A11"/>
    <w:rsid w:val="61A96E48"/>
    <w:rsid w:val="67D46F8C"/>
    <w:rsid w:val="6C70102E"/>
    <w:rsid w:val="6D282CEC"/>
    <w:rsid w:val="6E0472B5"/>
    <w:rsid w:val="715278CE"/>
    <w:rsid w:val="74974D88"/>
    <w:rsid w:val="74B15375"/>
    <w:rsid w:val="75AE135E"/>
    <w:rsid w:val="7B2F2690"/>
    <w:rsid w:val="FBB59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 w:type="character" w:customStyle="1" w:styleId="13">
    <w:name w:val="font21"/>
    <w:basedOn w:val="8"/>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8"/>
    <w:autoRedefine/>
    <w:qFormat/>
    <w:uiPriority w:val="0"/>
    <w:rPr>
      <w:rFonts w:hint="eastAsia" w:ascii="仿宋_GB2312" w:eastAsia="仿宋_GB2312" w:cs="仿宋_GB2312"/>
      <w:color w:val="000000"/>
      <w:sz w:val="28"/>
      <w:szCs w:val="28"/>
      <w:u w:val="none"/>
    </w:rPr>
  </w:style>
  <w:style w:type="paragraph" w:customStyle="1" w:styleId="15">
    <w:name w:val="样式 样式 左侧:  2 字符 + 左侧:  0.85 厘米 首行缩进:  2 字符1"/>
    <w:basedOn w:val="1"/>
    <w:qFormat/>
    <w:uiPriority w:val="0"/>
    <w:pPr>
      <w:ind w:left="482" w:firstLine="200" w:firstLineChars="200"/>
    </w:pPr>
    <w:rPr>
      <w:rFonts w:ascii="Times New Roman" w:hAnsi="Times New Roman" w:eastAsia="宋体"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1803</Words>
  <Characters>1911</Characters>
  <Lines>38</Lines>
  <Paragraphs>10</Paragraphs>
  <TotalTime>1</TotalTime>
  <ScaleCrop>false</ScaleCrop>
  <LinksUpToDate>false</LinksUpToDate>
  <CharactersWithSpaces>1972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2025-06-11T11:09:07Z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754075BE6D9B44C89918B379B3096618_13</vt:lpwstr>
  </property>
  <property fmtid="{D5CDD505-2E9C-101B-9397-08002B2CF9AE}" pid="4" name="KSOTemplateDocerSaveRecord">
    <vt:lpwstr>eyJoZGlkIjoiOTgxNzhhZWVjZDVjYzFiNzUyN2FlYmU1YTIwNTA2N2MiLCJ1c2VySWQiOiIxMTI2ODg3MDA2In0=</vt:lpwstr>
  </property>
</Properties>
</file>