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EE786F">
      <w:pPr>
        <w:widowControl/>
        <w:spacing w:beforeAutospacing="1" w:afterAutospacing="1"/>
        <w:jc w:val="center"/>
        <w:outlineLvl w:val="1"/>
        <w:rPr>
          <w:rFonts w:hint="eastAsia" w:ascii="黑体" w:hAnsi="宋体" w:eastAsia="黑体" w:cs="黑体"/>
          <w:kern w:val="0"/>
          <w:sz w:val="40"/>
          <w:szCs w:val="40"/>
        </w:rPr>
      </w:pPr>
    </w:p>
    <w:p w14:paraId="648B597D">
      <w:pPr>
        <w:ind w:firstLine="3654" w:firstLineChars="1300"/>
        <w:rPr>
          <w:rFonts w:ascii="宋体" w:hAnsi="宋体"/>
          <w:color w:val="FF0000"/>
          <w:szCs w:val="21"/>
        </w:rPr>
      </w:pPr>
      <w:r>
        <w:rPr>
          <w:rFonts w:hint="eastAsia" w:ascii="宋体" w:hAnsi="宋体" w:eastAsia="黑体"/>
          <w:b/>
          <w:bCs/>
          <w:color w:val="FF0000"/>
          <w:kern w:val="44"/>
          <w:sz w:val="28"/>
          <w:szCs w:val="44"/>
          <w:lang w:val="en-US" w:eastAsia="zh-CN"/>
        </w:rPr>
        <w:t>特别</w:t>
      </w:r>
      <w:r>
        <w:rPr>
          <w:rFonts w:hint="eastAsia" w:ascii="宋体" w:hAnsi="宋体" w:eastAsia="黑体"/>
          <w:b/>
          <w:bCs/>
          <w:color w:val="FF0000"/>
          <w:kern w:val="44"/>
          <w:sz w:val="28"/>
          <w:szCs w:val="44"/>
        </w:rPr>
        <w:t>警示条款</w:t>
      </w:r>
    </w:p>
    <w:p w14:paraId="29452F9F">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after="313" w:afterLines="100" w:line="400" w:lineRule="exact"/>
        <w:ind w:firstLine="422" w:firstLineChars="200"/>
        <w:jc w:val="both"/>
        <w:textAlignment w:val="auto"/>
        <w:rPr>
          <w:rFonts w:hint="eastAsia" w:ascii="宋体" w:hAnsi="宋体" w:eastAsia="宋体" w:cs="宋体"/>
          <w:b/>
          <w:bCs/>
          <w:color w:val="FF0000"/>
          <w:sz w:val="21"/>
          <w:szCs w:val="21"/>
          <w:highlight w:val="yellow"/>
          <w:lang w:val="en-US" w:eastAsia="zh-CN"/>
        </w:rPr>
      </w:pPr>
      <w:r>
        <w:rPr>
          <w:rFonts w:hint="eastAsia" w:ascii="宋体" w:hAnsi="宋体" w:eastAsia="宋体" w:cs="宋体"/>
          <w:b/>
          <w:bCs/>
          <w:color w:val="FF0000"/>
          <w:sz w:val="21"/>
          <w:szCs w:val="21"/>
          <w:highlight w:val="yellow"/>
          <w:lang w:val="en-US" w:eastAsia="zh-CN"/>
        </w:rPr>
        <w:t>参与本项目政府采购活动的供应商应认真阅读以下特别警示条款，不得存在以下所列禁止情形，一旦发现，将被处以记入供应商诚信档案、罚款、取消参与政府采购资格、吊销营业执照等处罚；构成犯罪的，依法追究刑事责任。</w:t>
      </w:r>
    </w:p>
    <w:tbl>
      <w:tblPr>
        <w:tblStyle w:val="4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1"/>
        <w:gridCol w:w="7711"/>
      </w:tblGrid>
      <w:tr w14:paraId="63182B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811" w:type="dxa"/>
            <w:tcBorders>
              <w:tl2br w:val="nil"/>
              <w:tr2bl w:val="nil"/>
            </w:tcBorders>
            <w:noWrap w:val="0"/>
            <w:vAlign w:val="center"/>
          </w:tcPr>
          <w:p w14:paraId="744E1F58">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FF0000"/>
                <w:sz w:val="21"/>
                <w:szCs w:val="21"/>
                <w:highlight w:val="none"/>
                <w:lang w:val="en-US" w:eastAsia="zh-CN"/>
              </w:rPr>
            </w:pPr>
            <w:r>
              <w:rPr>
                <w:rFonts w:hint="eastAsia" w:ascii="宋体" w:hAnsi="宋体" w:eastAsia="宋体" w:cs="宋体"/>
                <w:color w:val="FF0000"/>
                <w:sz w:val="21"/>
                <w:szCs w:val="21"/>
                <w:highlight w:val="none"/>
                <w:lang w:val="en-US" w:eastAsia="zh-CN"/>
              </w:rPr>
              <w:t>序号</w:t>
            </w:r>
          </w:p>
        </w:tc>
        <w:tc>
          <w:tcPr>
            <w:tcW w:w="7711" w:type="dxa"/>
            <w:tcBorders>
              <w:tl2br w:val="nil"/>
              <w:tr2bl w:val="nil"/>
            </w:tcBorders>
            <w:noWrap w:val="0"/>
            <w:vAlign w:val="center"/>
          </w:tcPr>
          <w:p w14:paraId="7334C724">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FF0000"/>
                <w:sz w:val="21"/>
                <w:szCs w:val="21"/>
                <w:highlight w:val="none"/>
                <w:lang w:val="en-US" w:eastAsia="zh-CN"/>
              </w:rPr>
            </w:pPr>
            <w:r>
              <w:rPr>
                <w:rFonts w:hint="eastAsia" w:ascii="宋体" w:hAnsi="宋体" w:eastAsia="宋体" w:cs="宋体"/>
                <w:b/>
                <w:bCs/>
                <w:color w:val="FF0000"/>
                <w:sz w:val="21"/>
                <w:szCs w:val="21"/>
                <w:highlight w:val="none"/>
                <w:lang w:val="en-US" w:eastAsia="zh-CN"/>
              </w:rPr>
              <w:t>供应商参与投标禁止情形</w:t>
            </w:r>
          </w:p>
        </w:tc>
      </w:tr>
      <w:tr w14:paraId="1B850D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1" w:type="dxa"/>
            <w:tcBorders>
              <w:tl2br w:val="nil"/>
              <w:tr2bl w:val="nil"/>
            </w:tcBorders>
            <w:noWrap w:val="0"/>
            <w:vAlign w:val="center"/>
          </w:tcPr>
          <w:p w14:paraId="3F9EB4AB">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FF0000"/>
                <w:sz w:val="21"/>
                <w:szCs w:val="21"/>
                <w:highlight w:val="none"/>
                <w:lang w:val="en-US" w:eastAsia="zh-CN"/>
              </w:rPr>
            </w:pPr>
            <w:r>
              <w:rPr>
                <w:rFonts w:hint="eastAsia" w:ascii="宋体" w:hAnsi="宋体" w:eastAsia="宋体" w:cs="宋体"/>
                <w:color w:val="FF0000"/>
                <w:sz w:val="21"/>
                <w:szCs w:val="21"/>
                <w:highlight w:val="none"/>
                <w:lang w:val="en-US" w:eastAsia="zh-CN"/>
              </w:rPr>
              <w:t>1</w:t>
            </w:r>
          </w:p>
        </w:tc>
        <w:tc>
          <w:tcPr>
            <w:tcW w:w="7711" w:type="dxa"/>
            <w:tcBorders>
              <w:tl2br w:val="nil"/>
              <w:tr2bl w:val="nil"/>
            </w:tcBorders>
            <w:noWrap w:val="0"/>
            <w:vAlign w:val="center"/>
          </w:tcPr>
          <w:p w14:paraId="735E4819">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FF0000"/>
                <w:sz w:val="21"/>
                <w:szCs w:val="21"/>
                <w:highlight w:val="none"/>
                <w:lang w:val="en-US" w:eastAsia="zh-CN"/>
              </w:rPr>
            </w:pPr>
            <w:r>
              <w:rPr>
                <w:rFonts w:hint="eastAsia" w:ascii="宋体" w:hAnsi="宋体" w:eastAsia="宋体" w:cs="宋体"/>
                <w:color w:val="FF0000"/>
                <w:sz w:val="21"/>
                <w:szCs w:val="21"/>
                <w:highlight w:val="none"/>
                <w:lang w:val="en-US" w:eastAsia="zh-CN"/>
              </w:rPr>
              <w:t>与其他投标供应商的法定代表人、主要经营负责人、投标授权代表人、项目负责人、主要技术人员为</w:t>
            </w:r>
            <w:r>
              <w:rPr>
                <w:rFonts w:hint="eastAsia" w:ascii="宋体" w:hAnsi="宋体" w:eastAsia="宋体" w:cs="宋体"/>
                <w:b/>
                <w:bCs/>
                <w:color w:val="FF0000"/>
                <w:sz w:val="21"/>
                <w:szCs w:val="21"/>
                <w:highlight w:val="none"/>
                <w:lang w:val="en-US" w:eastAsia="zh-CN"/>
              </w:rPr>
              <w:t>同一人、属同一单位或者在同一单位缴纳社会保险</w:t>
            </w:r>
            <w:r>
              <w:rPr>
                <w:rFonts w:hint="eastAsia" w:ascii="宋体" w:hAnsi="宋体" w:eastAsia="宋体" w:cs="宋体"/>
                <w:color w:val="FF0000"/>
                <w:sz w:val="21"/>
                <w:szCs w:val="21"/>
                <w:highlight w:val="none"/>
                <w:lang w:val="en-US" w:eastAsia="zh-CN"/>
              </w:rPr>
              <w:t>。</w:t>
            </w:r>
          </w:p>
        </w:tc>
      </w:tr>
      <w:tr w14:paraId="465BFA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11" w:type="dxa"/>
            <w:tcBorders>
              <w:tl2br w:val="nil"/>
              <w:tr2bl w:val="nil"/>
            </w:tcBorders>
            <w:noWrap w:val="0"/>
            <w:vAlign w:val="center"/>
          </w:tcPr>
          <w:p w14:paraId="34B2F47D">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FF0000"/>
                <w:sz w:val="21"/>
                <w:szCs w:val="21"/>
                <w:highlight w:val="none"/>
                <w:lang w:val="en-US" w:eastAsia="zh-CN"/>
              </w:rPr>
            </w:pPr>
            <w:r>
              <w:rPr>
                <w:rFonts w:hint="eastAsia" w:ascii="宋体" w:hAnsi="宋体" w:eastAsia="宋体" w:cs="宋体"/>
                <w:color w:val="FF0000"/>
                <w:sz w:val="21"/>
                <w:szCs w:val="21"/>
                <w:highlight w:val="none"/>
                <w:lang w:val="en-US" w:eastAsia="zh-CN"/>
              </w:rPr>
              <w:t>2</w:t>
            </w:r>
          </w:p>
        </w:tc>
        <w:tc>
          <w:tcPr>
            <w:tcW w:w="7711" w:type="dxa"/>
            <w:tcBorders>
              <w:tl2br w:val="nil"/>
              <w:tr2bl w:val="nil"/>
            </w:tcBorders>
            <w:noWrap w:val="0"/>
            <w:vAlign w:val="center"/>
          </w:tcPr>
          <w:p w14:paraId="11E0CEB2">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FF0000"/>
                <w:sz w:val="21"/>
                <w:szCs w:val="21"/>
                <w:highlight w:val="none"/>
                <w:lang w:val="en-US" w:eastAsia="zh-CN"/>
              </w:rPr>
            </w:pPr>
            <w:r>
              <w:rPr>
                <w:rFonts w:hint="eastAsia" w:ascii="宋体" w:hAnsi="宋体" w:eastAsia="宋体" w:cs="宋体"/>
                <w:color w:val="FF0000"/>
                <w:sz w:val="21"/>
                <w:szCs w:val="21"/>
                <w:highlight w:val="none"/>
                <w:lang w:val="en-US" w:eastAsia="zh-CN"/>
              </w:rPr>
              <w:t>参与本项目政府采购活动时，与其他投标供应商存在单位负责人为</w:t>
            </w:r>
            <w:r>
              <w:rPr>
                <w:rFonts w:hint="eastAsia" w:ascii="宋体" w:hAnsi="宋体" w:eastAsia="宋体" w:cs="宋体"/>
                <w:b/>
                <w:bCs/>
                <w:color w:val="FF0000"/>
                <w:sz w:val="21"/>
                <w:szCs w:val="21"/>
                <w:highlight w:val="none"/>
                <w:lang w:val="en-US" w:eastAsia="zh-CN"/>
              </w:rPr>
              <w:t>同一人或直接控股、管理关系</w:t>
            </w:r>
            <w:r>
              <w:rPr>
                <w:rFonts w:hint="eastAsia" w:ascii="宋体" w:hAnsi="宋体" w:eastAsia="宋体" w:cs="宋体"/>
                <w:color w:val="FF0000"/>
                <w:sz w:val="21"/>
                <w:szCs w:val="21"/>
                <w:highlight w:val="none"/>
                <w:lang w:val="en-US" w:eastAsia="zh-CN"/>
              </w:rPr>
              <w:t>。</w:t>
            </w:r>
          </w:p>
        </w:tc>
      </w:tr>
      <w:tr w14:paraId="0E385E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1" w:type="dxa"/>
            <w:tcBorders>
              <w:tl2br w:val="nil"/>
              <w:tr2bl w:val="nil"/>
            </w:tcBorders>
            <w:noWrap w:val="0"/>
            <w:vAlign w:val="center"/>
          </w:tcPr>
          <w:p w14:paraId="0817D1B7">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FF0000"/>
                <w:sz w:val="21"/>
                <w:szCs w:val="21"/>
                <w:highlight w:val="none"/>
                <w:lang w:val="en-US" w:eastAsia="zh-CN"/>
              </w:rPr>
            </w:pPr>
            <w:r>
              <w:rPr>
                <w:rFonts w:hint="eastAsia" w:ascii="宋体" w:hAnsi="宋体" w:eastAsia="宋体" w:cs="宋体"/>
                <w:color w:val="FF0000"/>
                <w:sz w:val="21"/>
                <w:szCs w:val="21"/>
                <w:highlight w:val="none"/>
                <w:lang w:val="en-US" w:eastAsia="zh-CN"/>
              </w:rPr>
              <w:t>3</w:t>
            </w:r>
          </w:p>
        </w:tc>
        <w:tc>
          <w:tcPr>
            <w:tcW w:w="7711" w:type="dxa"/>
            <w:tcBorders>
              <w:tl2br w:val="nil"/>
              <w:tr2bl w:val="nil"/>
            </w:tcBorders>
            <w:noWrap w:val="0"/>
            <w:vAlign w:val="center"/>
          </w:tcPr>
          <w:p w14:paraId="74565F4F">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FF0000"/>
                <w:sz w:val="21"/>
                <w:szCs w:val="21"/>
                <w:highlight w:val="none"/>
                <w:lang w:val="en-US" w:eastAsia="zh-CN"/>
              </w:rPr>
            </w:pPr>
            <w:r>
              <w:rPr>
                <w:rFonts w:hint="eastAsia" w:ascii="宋体" w:hAnsi="宋体" w:eastAsia="宋体" w:cs="宋体"/>
                <w:color w:val="FF0000"/>
                <w:sz w:val="21"/>
                <w:szCs w:val="21"/>
                <w:highlight w:val="none"/>
                <w:lang w:val="en-US" w:eastAsia="zh-CN"/>
              </w:rPr>
              <w:t>与其他投标供应商的投标文件或部分投标文件</w:t>
            </w:r>
            <w:r>
              <w:rPr>
                <w:rFonts w:hint="eastAsia" w:ascii="宋体" w:hAnsi="宋体" w:eastAsia="宋体" w:cs="宋体"/>
                <w:b/>
                <w:bCs/>
                <w:color w:val="FF0000"/>
                <w:sz w:val="21"/>
                <w:szCs w:val="21"/>
                <w:highlight w:val="none"/>
                <w:lang w:val="en-US" w:eastAsia="zh-CN"/>
              </w:rPr>
              <w:t>相互混装或存在非正常一致</w:t>
            </w:r>
            <w:r>
              <w:rPr>
                <w:rFonts w:hint="eastAsia" w:ascii="宋体" w:hAnsi="宋体" w:eastAsia="宋体" w:cs="宋体"/>
                <w:color w:val="FF0000"/>
                <w:sz w:val="21"/>
                <w:szCs w:val="21"/>
                <w:highlight w:val="none"/>
                <w:lang w:val="en-US" w:eastAsia="zh-CN"/>
              </w:rPr>
              <w:t>。</w:t>
            </w:r>
          </w:p>
        </w:tc>
      </w:tr>
      <w:tr w14:paraId="226D0E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5" w:hRule="atLeast"/>
        </w:trPr>
        <w:tc>
          <w:tcPr>
            <w:tcW w:w="811" w:type="dxa"/>
            <w:tcBorders>
              <w:tl2br w:val="nil"/>
              <w:tr2bl w:val="nil"/>
            </w:tcBorders>
            <w:noWrap w:val="0"/>
            <w:vAlign w:val="center"/>
          </w:tcPr>
          <w:p w14:paraId="32A5973C">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FF0000"/>
                <w:sz w:val="21"/>
                <w:szCs w:val="21"/>
                <w:highlight w:val="none"/>
                <w:lang w:val="en-US" w:eastAsia="zh-CN"/>
              </w:rPr>
            </w:pPr>
            <w:r>
              <w:rPr>
                <w:rFonts w:hint="eastAsia" w:ascii="宋体" w:hAnsi="宋体" w:eastAsia="宋体" w:cs="宋体"/>
                <w:color w:val="FF0000"/>
                <w:sz w:val="21"/>
                <w:szCs w:val="21"/>
                <w:highlight w:val="none"/>
                <w:lang w:val="en-US" w:eastAsia="zh-CN"/>
              </w:rPr>
              <w:t>4</w:t>
            </w:r>
          </w:p>
        </w:tc>
        <w:tc>
          <w:tcPr>
            <w:tcW w:w="7711" w:type="dxa"/>
            <w:tcBorders>
              <w:tl2br w:val="nil"/>
              <w:tr2bl w:val="nil"/>
            </w:tcBorders>
            <w:noWrap w:val="0"/>
            <w:vAlign w:val="center"/>
          </w:tcPr>
          <w:p w14:paraId="195EDA49">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FF0000"/>
                <w:kern w:val="2"/>
                <w:sz w:val="21"/>
                <w:szCs w:val="21"/>
                <w:highlight w:val="none"/>
                <w:lang w:val="en-US" w:eastAsia="zh-CN" w:bidi="ar-SA"/>
              </w:rPr>
            </w:pPr>
            <w:r>
              <w:rPr>
                <w:rFonts w:hint="eastAsia" w:ascii="宋体" w:hAnsi="宋体" w:eastAsia="宋体" w:cs="宋体"/>
                <w:color w:val="FF0000"/>
                <w:sz w:val="21"/>
                <w:szCs w:val="21"/>
                <w:highlight w:val="none"/>
                <w:lang w:val="en-US" w:eastAsia="zh-CN"/>
              </w:rPr>
              <w:t>与其他投标供应商的投标文件由</w:t>
            </w:r>
            <w:r>
              <w:rPr>
                <w:rFonts w:hint="eastAsia" w:ascii="宋体" w:hAnsi="宋体" w:eastAsia="宋体" w:cs="宋体"/>
                <w:b/>
                <w:bCs/>
                <w:color w:val="FF0000"/>
                <w:sz w:val="21"/>
                <w:szCs w:val="21"/>
                <w:highlight w:val="none"/>
                <w:lang w:val="en-US" w:eastAsia="zh-CN"/>
              </w:rPr>
              <w:t>同一单位或者同一人编制</w:t>
            </w:r>
            <w:r>
              <w:rPr>
                <w:rFonts w:hint="eastAsia" w:ascii="宋体" w:hAnsi="宋体" w:eastAsia="宋体" w:cs="宋体"/>
                <w:color w:val="FF0000"/>
                <w:sz w:val="21"/>
                <w:szCs w:val="21"/>
                <w:highlight w:val="none"/>
                <w:lang w:val="en-US" w:eastAsia="zh-CN"/>
              </w:rPr>
              <w:t>，或者使用</w:t>
            </w:r>
            <w:r>
              <w:rPr>
                <w:rFonts w:hint="eastAsia" w:ascii="宋体" w:hAnsi="宋体" w:eastAsia="宋体" w:cs="宋体"/>
                <w:b/>
                <w:bCs/>
                <w:color w:val="FF0000"/>
                <w:sz w:val="21"/>
                <w:szCs w:val="21"/>
                <w:highlight w:val="none"/>
                <w:lang w:val="en-US" w:eastAsia="zh-CN"/>
              </w:rPr>
              <w:t>同一设备编制</w:t>
            </w:r>
            <w:r>
              <w:rPr>
                <w:rFonts w:hint="eastAsia" w:ascii="宋体" w:hAnsi="宋体" w:eastAsia="宋体" w:cs="宋体"/>
                <w:color w:val="FF0000"/>
                <w:sz w:val="21"/>
                <w:szCs w:val="21"/>
                <w:highlight w:val="none"/>
                <w:lang w:val="en-US" w:eastAsia="zh-CN"/>
              </w:rPr>
              <w:t>（“文件制作机器码”“文件创建标识码”一致）。</w:t>
            </w:r>
          </w:p>
        </w:tc>
      </w:tr>
      <w:tr w14:paraId="4EB1C1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5" w:hRule="atLeast"/>
        </w:trPr>
        <w:tc>
          <w:tcPr>
            <w:tcW w:w="811" w:type="dxa"/>
            <w:tcBorders>
              <w:tl2br w:val="nil"/>
              <w:tr2bl w:val="nil"/>
            </w:tcBorders>
            <w:noWrap w:val="0"/>
            <w:vAlign w:val="center"/>
          </w:tcPr>
          <w:p w14:paraId="1B247F82">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FF0000"/>
                <w:sz w:val="21"/>
                <w:szCs w:val="21"/>
                <w:highlight w:val="none"/>
                <w:lang w:val="en-US" w:eastAsia="zh-CN"/>
              </w:rPr>
            </w:pPr>
            <w:r>
              <w:rPr>
                <w:rFonts w:hint="eastAsia" w:ascii="宋体" w:hAnsi="宋体" w:eastAsia="宋体" w:cs="宋体"/>
                <w:color w:val="FF0000"/>
                <w:sz w:val="21"/>
                <w:szCs w:val="21"/>
                <w:highlight w:val="none"/>
                <w:lang w:val="en-US" w:eastAsia="zh-CN"/>
              </w:rPr>
              <w:t>5</w:t>
            </w:r>
          </w:p>
        </w:tc>
        <w:tc>
          <w:tcPr>
            <w:tcW w:w="7711" w:type="dxa"/>
            <w:tcBorders>
              <w:tl2br w:val="nil"/>
              <w:tr2bl w:val="nil"/>
            </w:tcBorders>
            <w:noWrap w:val="0"/>
            <w:vAlign w:val="center"/>
          </w:tcPr>
          <w:p w14:paraId="0871CFFF">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FF0000"/>
                <w:sz w:val="21"/>
                <w:szCs w:val="21"/>
                <w:highlight w:val="none"/>
                <w:lang w:val="en-US" w:eastAsia="zh-CN"/>
              </w:rPr>
            </w:pPr>
            <w:r>
              <w:rPr>
                <w:rFonts w:hint="eastAsia" w:ascii="宋体" w:hAnsi="宋体" w:eastAsia="宋体" w:cs="宋体"/>
                <w:color w:val="FF0000"/>
                <w:sz w:val="21"/>
                <w:szCs w:val="21"/>
                <w:highlight w:val="none"/>
                <w:lang w:val="en-US" w:eastAsia="zh-CN"/>
              </w:rPr>
              <w:t>提供</w:t>
            </w:r>
            <w:r>
              <w:rPr>
                <w:rFonts w:hint="eastAsia" w:ascii="宋体" w:hAnsi="宋体" w:eastAsia="宋体" w:cs="宋体"/>
                <w:b/>
                <w:bCs/>
                <w:color w:val="FF0000"/>
                <w:sz w:val="21"/>
                <w:szCs w:val="21"/>
                <w:highlight w:val="none"/>
                <w:lang w:val="en-US" w:eastAsia="zh-CN"/>
              </w:rPr>
              <w:t>未经出具机构核实</w:t>
            </w:r>
            <w:r>
              <w:rPr>
                <w:rFonts w:hint="eastAsia" w:ascii="宋体" w:hAnsi="宋体" w:eastAsia="宋体" w:cs="宋体"/>
                <w:color w:val="FF0000"/>
                <w:sz w:val="21"/>
                <w:szCs w:val="21"/>
                <w:highlight w:val="none"/>
                <w:lang w:val="en-US" w:eastAsia="zh-CN"/>
              </w:rPr>
              <w:t>的虚假的检验检测报告、业绩材料、社保缴纳证明、学历学位证书、职称认证证书等材料。</w:t>
            </w:r>
          </w:p>
        </w:tc>
      </w:tr>
      <w:tr w14:paraId="4BDF61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811" w:type="dxa"/>
            <w:tcBorders>
              <w:tl2br w:val="nil"/>
              <w:tr2bl w:val="nil"/>
            </w:tcBorders>
            <w:noWrap w:val="0"/>
            <w:vAlign w:val="center"/>
          </w:tcPr>
          <w:p w14:paraId="28BDEF67">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FF0000"/>
                <w:sz w:val="21"/>
                <w:szCs w:val="21"/>
                <w:highlight w:val="none"/>
                <w:lang w:val="en-US" w:eastAsia="zh-CN"/>
              </w:rPr>
            </w:pPr>
            <w:r>
              <w:rPr>
                <w:rFonts w:hint="eastAsia" w:ascii="宋体" w:hAnsi="宋体" w:eastAsia="宋体" w:cs="宋体"/>
                <w:color w:val="FF0000"/>
                <w:sz w:val="21"/>
                <w:szCs w:val="21"/>
                <w:highlight w:val="none"/>
                <w:lang w:val="en-US" w:eastAsia="zh-CN"/>
              </w:rPr>
              <w:t>6</w:t>
            </w:r>
          </w:p>
        </w:tc>
        <w:tc>
          <w:tcPr>
            <w:tcW w:w="7711" w:type="dxa"/>
            <w:tcBorders>
              <w:tl2br w:val="nil"/>
              <w:tr2bl w:val="nil"/>
            </w:tcBorders>
            <w:noWrap w:val="0"/>
            <w:vAlign w:val="center"/>
          </w:tcPr>
          <w:p w14:paraId="15B50E18">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FF0000"/>
                <w:kern w:val="2"/>
                <w:sz w:val="21"/>
                <w:szCs w:val="21"/>
                <w:highlight w:val="none"/>
                <w:lang w:val="en-US" w:eastAsia="zh-CN" w:bidi="ar-SA"/>
              </w:rPr>
            </w:pPr>
            <w:r>
              <w:rPr>
                <w:rFonts w:hint="eastAsia" w:ascii="宋体" w:hAnsi="宋体" w:eastAsia="宋体" w:cs="宋体"/>
                <w:color w:val="FF0000"/>
                <w:sz w:val="21"/>
                <w:szCs w:val="21"/>
                <w:highlight w:val="none"/>
                <w:lang w:val="en-US" w:eastAsia="zh-CN"/>
              </w:rPr>
              <w:t>擅自将投标密钥</w:t>
            </w:r>
            <w:r>
              <w:rPr>
                <w:rFonts w:hint="eastAsia" w:ascii="宋体" w:hAnsi="宋体" w:eastAsia="宋体" w:cs="宋体"/>
                <w:color w:val="FF0000"/>
                <w:sz w:val="21"/>
                <w:szCs w:val="21"/>
                <w:highlight w:val="none"/>
                <w:lang w:eastAsia="zh-CN"/>
              </w:rPr>
              <w:t>或</w:t>
            </w:r>
            <w:r>
              <w:rPr>
                <w:rFonts w:hint="eastAsia" w:ascii="宋体" w:hAnsi="宋体" w:eastAsia="宋体" w:cs="宋体"/>
                <w:color w:val="FF0000"/>
                <w:sz w:val="21"/>
                <w:szCs w:val="21"/>
                <w:highlight w:val="none"/>
                <w:lang w:val="en-US" w:eastAsia="zh-CN"/>
              </w:rPr>
              <w:t>电子营业执照出借他人使用或未妥善保管。</w:t>
            </w:r>
          </w:p>
        </w:tc>
      </w:tr>
    </w:tbl>
    <w:p w14:paraId="73A840C0">
      <w:pPr>
        <w:keepNext w:val="0"/>
        <w:keepLines w:val="0"/>
        <w:pageBreakBefore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ind w:firstLine="400" w:firstLineChars="200"/>
        <w:textAlignment w:val="auto"/>
        <w:rPr>
          <w:rFonts w:hint="eastAsia" w:ascii="宋体" w:hAnsi="宋体"/>
          <w:color w:val="FF0000"/>
          <w:sz w:val="20"/>
          <w:szCs w:val="20"/>
        </w:rPr>
      </w:pPr>
    </w:p>
    <w:p w14:paraId="3B81DFD4">
      <w:pPr>
        <w:keepNext w:val="0"/>
        <w:keepLines w:val="0"/>
        <w:pageBreakBefore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ind w:firstLine="400" w:firstLineChars="200"/>
        <w:textAlignment w:val="auto"/>
        <w:rPr>
          <w:rFonts w:ascii="宋体" w:hAnsi="宋体"/>
          <w:color w:val="FF0000"/>
          <w:sz w:val="20"/>
          <w:szCs w:val="20"/>
        </w:rPr>
      </w:pPr>
      <w:r>
        <w:rPr>
          <w:rFonts w:hint="eastAsia" w:ascii="宋体" w:hAnsi="宋体"/>
          <w:color w:val="FF0000"/>
          <w:sz w:val="20"/>
          <w:szCs w:val="20"/>
        </w:rPr>
        <w:t>一、</w:t>
      </w:r>
      <w:r>
        <w:rPr>
          <w:rFonts w:hint="eastAsia" w:ascii="宋体" w:hAnsi="宋体"/>
          <w:b/>
          <w:bCs/>
          <w:color w:val="FF0000"/>
          <w:sz w:val="20"/>
          <w:szCs w:val="20"/>
        </w:rPr>
        <w:t>《深圳经济特区政府采购条例》第五十七条</w:t>
      </w:r>
      <w:r>
        <w:rPr>
          <w:rFonts w:hint="eastAsia" w:ascii="宋体" w:hAnsi="宋体"/>
          <w:color w:val="FF0000"/>
          <w:sz w:val="20"/>
          <w:szCs w:val="20"/>
        </w:rPr>
        <w:t xml:space="preserve"> 供应商在政府采购中，有下列行为之一的，一至三年内禁止其参与本市政府采购，并由主管部门记入供应商诚信档案，处采购金额千分之十以上千分之二十以下的罚款；情节严重的，取消其参与本市政府采购资格，处采购金额千分之二十以上千分之三十以下的罚款，并由市场监管部门依法吊销其营业执照；给他人造成损失的，依法承担赔偿责任；构成犯罪的，依法追究刑事责任：</w:t>
      </w:r>
    </w:p>
    <w:p w14:paraId="2456CDC1">
      <w:pPr>
        <w:keepNext w:val="0"/>
        <w:keepLines w:val="0"/>
        <w:pageBreakBefore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ind w:firstLine="400" w:firstLineChars="200"/>
        <w:textAlignment w:val="auto"/>
        <w:rPr>
          <w:rFonts w:ascii="宋体" w:hAnsi="宋体"/>
          <w:color w:val="FF0000"/>
          <w:sz w:val="20"/>
          <w:szCs w:val="20"/>
        </w:rPr>
      </w:pPr>
      <w:r>
        <w:rPr>
          <w:rFonts w:hint="eastAsia" w:ascii="宋体" w:hAnsi="宋体"/>
          <w:color w:val="FF0000"/>
          <w:sz w:val="20"/>
          <w:szCs w:val="20"/>
        </w:rPr>
        <w:t>（一）在采购活动中应当回避而未回避的；</w:t>
      </w:r>
    </w:p>
    <w:p w14:paraId="0DE2B2D6">
      <w:pPr>
        <w:keepNext w:val="0"/>
        <w:keepLines w:val="0"/>
        <w:pageBreakBefore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ind w:firstLine="400" w:firstLineChars="200"/>
        <w:textAlignment w:val="auto"/>
        <w:rPr>
          <w:rFonts w:ascii="宋体" w:hAnsi="宋体"/>
          <w:color w:val="FF0000"/>
          <w:sz w:val="20"/>
          <w:szCs w:val="20"/>
        </w:rPr>
      </w:pPr>
      <w:r>
        <w:rPr>
          <w:rFonts w:hint="eastAsia" w:ascii="宋体" w:hAnsi="宋体"/>
          <w:color w:val="FF0000"/>
          <w:sz w:val="20"/>
          <w:szCs w:val="20"/>
        </w:rPr>
        <w:t>（二）未按本条例规定签订、履行采购合同，造成严重后果的；</w:t>
      </w:r>
    </w:p>
    <w:p w14:paraId="2D81ECDB">
      <w:pPr>
        <w:keepNext w:val="0"/>
        <w:keepLines w:val="0"/>
        <w:pageBreakBefore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ind w:firstLine="400" w:firstLineChars="200"/>
        <w:textAlignment w:val="auto"/>
        <w:rPr>
          <w:rFonts w:ascii="宋体" w:hAnsi="宋体"/>
          <w:color w:val="FF0000"/>
          <w:sz w:val="20"/>
          <w:szCs w:val="20"/>
        </w:rPr>
      </w:pPr>
      <w:r>
        <w:rPr>
          <w:rFonts w:hint="eastAsia" w:ascii="宋体" w:hAnsi="宋体"/>
          <w:color w:val="FF0000"/>
          <w:sz w:val="20"/>
          <w:szCs w:val="20"/>
        </w:rPr>
        <w:t>（三）隐瞒真实情况，提供虚假资料的；</w:t>
      </w:r>
    </w:p>
    <w:p w14:paraId="63EFD05E">
      <w:pPr>
        <w:keepNext w:val="0"/>
        <w:keepLines w:val="0"/>
        <w:pageBreakBefore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ind w:firstLine="400" w:firstLineChars="200"/>
        <w:textAlignment w:val="auto"/>
        <w:rPr>
          <w:rFonts w:ascii="宋体" w:hAnsi="宋体"/>
          <w:color w:val="FF0000"/>
          <w:sz w:val="20"/>
          <w:szCs w:val="20"/>
        </w:rPr>
      </w:pPr>
      <w:r>
        <w:rPr>
          <w:rFonts w:hint="eastAsia" w:ascii="宋体" w:hAnsi="宋体"/>
          <w:color w:val="FF0000"/>
          <w:sz w:val="20"/>
          <w:szCs w:val="20"/>
        </w:rPr>
        <w:t>（四）以非法手段排斥其他供应商参与竞争的；</w:t>
      </w:r>
    </w:p>
    <w:p w14:paraId="5CC177BE">
      <w:pPr>
        <w:keepNext w:val="0"/>
        <w:keepLines w:val="0"/>
        <w:pageBreakBefore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ind w:firstLine="400" w:firstLineChars="200"/>
        <w:textAlignment w:val="auto"/>
        <w:rPr>
          <w:rFonts w:ascii="宋体" w:hAnsi="宋体"/>
          <w:color w:val="FF0000"/>
          <w:sz w:val="20"/>
          <w:szCs w:val="20"/>
        </w:rPr>
      </w:pPr>
      <w:r>
        <w:rPr>
          <w:rFonts w:hint="eastAsia" w:ascii="宋体" w:hAnsi="宋体"/>
          <w:color w:val="FF0000"/>
          <w:sz w:val="20"/>
          <w:szCs w:val="20"/>
        </w:rPr>
        <w:t>（五）与其他采购参加人串通投标的；</w:t>
      </w:r>
    </w:p>
    <w:p w14:paraId="53DA6B0D">
      <w:pPr>
        <w:keepNext w:val="0"/>
        <w:keepLines w:val="0"/>
        <w:pageBreakBefore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ind w:firstLine="400" w:firstLineChars="200"/>
        <w:textAlignment w:val="auto"/>
        <w:rPr>
          <w:rFonts w:ascii="宋体" w:hAnsi="宋体"/>
          <w:color w:val="FF0000"/>
          <w:sz w:val="20"/>
          <w:szCs w:val="20"/>
        </w:rPr>
      </w:pPr>
      <w:r>
        <w:rPr>
          <w:rFonts w:hint="eastAsia" w:ascii="宋体" w:hAnsi="宋体"/>
          <w:color w:val="FF0000"/>
          <w:sz w:val="20"/>
          <w:szCs w:val="20"/>
        </w:rPr>
        <w:t>（六）恶意投诉的；</w:t>
      </w:r>
    </w:p>
    <w:p w14:paraId="35A8C3D2">
      <w:pPr>
        <w:keepNext w:val="0"/>
        <w:keepLines w:val="0"/>
        <w:pageBreakBefore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ind w:firstLine="400" w:firstLineChars="200"/>
        <w:textAlignment w:val="auto"/>
        <w:rPr>
          <w:rFonts w:ascii="宋体" w:hAnsi="宋体"/>
          <w:color w:val="FF0000"/>
          <w:sz w:val="20"/>
          <w:szCs w:val="20"/>
        </w:rPr>
      </w:pPr>
      <w:r>
        <w:rPr>
          <w:rFonts w:hint="eastAsia" w:ascii="宋体" w:hAnsi="宋体"/>
          <w:color w:val="FF0000"/>
          <w:sz w:val="20"/>
          <w:szCs w:val="20"/>
        </w:rPr>
        <w:t>（七）向采购项目相关人行贿或者提供其他不当利益的；</w:t>
      </w:r>
    </w:p>
    <w:p w14:paraId="4CCDC11A">
      <w:pPr>
        <w:keepNext w:val="0"/>
        <w:keepLines w:val="0"/>
        <w:pageBreakBefore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ind w:firstLine="400" w:firstLineChars="200"/>
        <w:textAlignment w:val="auto"/>
        <w:rPr>
          <w:rFonts w:ascii="宋体" w:hAnsi="宋体"/>
          <w:color w:val="FF0000"/>
          <w:sz w:val="20"/>
          <w:szCs w:val="20"/>
        </w:rPr>
      </w:pPr>
      <w:r>
        <w:rPr>
          <w:rFonts w:hint="eastAsia" w:ascii="宋体" w:hAnsi="宋体"/>
          <w:color w:val="FF0000"/>
          <w:sz w:val="20"/>
          <w:szCs w:val="20"/>
        </w:rPr>
        <w:t>（八）阻碍、抗拒主管部门监督检查的；</w:t>
      </w:r>
    </w:p>
    <w:p w14:paraId="6B84B919">
      <w:pPr>
        <w:keepNext w:val="0"/>
        <w:keepLines w:val="0"/>
        <w:pageBreakBefore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ind w:firstLine="400" w:firstLineChars="200"/>
        <w:textAlignment w:val="auto"/>
        <w:rPr>
          <w:rFonts w:ascii="宋体" w:hAnsi="宋体"/>
          <w:color w:val="FF0000"/>
          <w:sz w:val="20"/>
          <w:szCs w:val="20"/>
        </w:rPr>
      </w:pPr>
      <w:r>
        <w:rPr>
          <w:rFonts w:hint="eastAsia" w:ascii="宋体" w:hAnsi="宋体"/>
          <w:color w:val="FF0000"/>
          <w:sz w:val="20"/>
          <w:szCs w:val="20"/>
        </w:rPr>
        <w:t>（九）其他违反本条例规定的行为。</w:t>
      </w:r>
    </w:p>
    <w:p w14:paraId="787E9D07">
      <w:pPr>
        <w:keepNext w:val="0"/>
        <w:keepLines w:val="0"/>
        <w:pageBreakBefore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ind w:firstLine="402" w:firstLineChars="200"/>
        <w:textAlignment w:val="auto"/>
        <w:rPr>
          <w:rFonts w:ascii="宋体" w:hAnsi="宋体"/>
          <w:color w:val="FF0000"/>
          <w:sz w:val="20"/>
          <w:szCs w:val="20"/>
        </w:rPr>
      </w:pPr>
      <w:r>
        <w:rPr>
          <w:rFonts w:hint="eastAsia" w:ascii="宋体" w:hAnsi="宋体"/>
          <w:b/>
          <w:bCs/>
          <w:color w:val="FF0000"/>
          <w:sz w:val="20"/>
          <w:szCs w:val="20"/>
        </w:rPr>
        <w:t>二、《深圳经济特区政府采购条例实施细则》第七十五条</w:t>
      </w:r>
      <w:r>
        <w:rPr>
          <w:rFonts w:hint="eastAsia" w:ascii="宋体" w:hAnsi="宋体"/>
          <w:b/>
          <w:bCs/>
          <w:color w:val="FF0000"/>
          <w:sz w:val="20"/>
          <w:szCs w:val="20"/>
          <w:lang w:val="en-US" w:eastAsia="zh-CN"/>
        </w:rPr>
        <w:t xml:space="preserve"> </w:t>
      </w:r>
      <w:r>
        <w:rPr>
          <w:rFonts w:hint="eastAsia" w:ascii="宋体" w:hAnsi="宋体"/>
          <w:color w:val="FF0000"/>
          <w:sz w:val="20"/>
          <w:szCs w:val="20"/>
        </w:rPr>
        <w:t>供应商有下列情形</w:t>
      </w:r>
      <w:r>
        <w:rPr>
          <w:rFonts w:hint="eastAsia" w:ascii="宋体" w:hAnsi="宋体"/>
          <w:color w:val="FF0000"/>
          <w:sz w:val="20"/>
          <w:szCs w:val="20"/>
          <w:lang w:val="en-US" w:eastAsia="zh-CN"/>
        </w:rPr>
        <w:t>之一</w:t>
      </w:r>
      <w:r>
        <w:rPr>
          <w:rFonts w:hint="eastAsia" w:ascii="宋体" w:hAnsi="宋体"/>
          <w:color w:val="FF0000"/>
          <w:sz w:val="20"/>
          <w:szCs w:val="20"/>
        </w:rPr>
        <w:t>的，属于采购条例所称的串通投标行为，按照采购条例第五十七条有关规定处理：（一）投标供应商之间相互约定给予未中标的供应商利益补偿</w:t>
      </w:r>
      <w:r>
        <w:rPr>
          <w:rFonts w:hint="eastAsia" w:ascii="宋体" w:hAnsi="宋体"/>
          <w:color w:val="FF0000"/>
          <w:sz w:val="20"/>
          <w:szCs w:val="20"/>
          <w:lang w:eastAsia="zh-CN"/>
        </w:rPr>
        <w:t>。</w:t>
      </w:r>
      <w:r>
        <w:rPr>
          <w:rFonts w:hint="eastAsia" w:ascii="宋体" w:hAnsi="宋体"/>
          <w:color w:val="FF0000"/>
          <w:sz w:val="20"/>
          <w:szCs w:val="20"/>
        </w:rPr>
        <w:t>（二）不同投标供应商的法定代表人、主要经营负责人、项目投标授权代表人、项目负责人、主要技术人员为同一人、属同一单位或者在同一单位缴纳社会保险</w:t>
      </w:r>
      <w:r>
        <w:rPr>
          <w:rFonts w:hint="eastAsia" w:ascii="宋体" w:hAnsi="宋体"/>
          <w:color w:val="FF0000"/>
          <w:sz w:val="20"/>
          <w:szCs w:val="20"/>
          <w:lang w:eastAsia="zh-CN"/>
        </w:rPr>
        <w:t>。</w:t>
      </w:r>
      <w:r>
        <w:rPr>
          <w:rFonts w:hint="eastAsia" w:ascii="宋体" w:hAnsi="宋体"/>
          <w:color w:val="FF0000"/>
          <w:sz w:val="20"/>
          <w:szCs w:val="20"/>
        </w:rPr>
        <w:t>（三）不同投标供应商的投标文件由同一单位或者同一人编制，或者由同一人分阶段参与编制的</w:t>
      </w:r>
      <w:r>
        <w:rPr>
          <w:rFonts w:hint="eastAsia" w:ascii="宋体" w:hAnsi="宋体"/>
          <w:color w:val="FF0000"/>
          <w:sz w:val="20"/>
          <w:szCs w:val="20"/>
          <w:lang w:eastAsia="zh-CN"/>
        </w:rPr>
        <w:t>。</w:t>
      </w:r>
      <w:r>
        <w:rPr>
          <w:rFonts w:hint="eastAsia" w:ascii="宋体" w:hAnsi="宋体"/>
          <w:color w:val="FF0000"/>
          <w:sz w:val="20"/>
          <w:szCs w:val="20"/>
        </w:rPr>
        <w:t>（四）不同投标供应商的投标文件或部分投标文件相互混装</w:t>
      </w:r>
      <w:r>
        <w:rPr>
          <w:rFonts w:hint="eastAsia" w:ascii="宋体" w:hAnsi="宋体"/>
          <w:color w:val="FF0000"/>
          <w:sz w:val="20"/>
          <w:szCs w:val="20"/>
          <w:lang w:eastAsia="zh-CN"/>
        </w:rPr>
        <w:t>。</w:t>
      </w:r>
      <w:r>
        <w:rPr>
          <w:rFonts w:hint="eastAsia" w:ascii="宋体" w:hAnsi="宋体"/>
          <w:color w:val="FF0000"/>
          <w:sz w:val="20"/>
          <w:szCs w:val="20"/>
        </w:rPr>
        <w:t>（五）不同投标供应商的投标文件内容存在非正常一致</w:t>
      </w:r>
      <w:r>
        <w:rPr>
          <w:rFonts w:hint="eastAsia" w:ascii="宋体" w:hAnsi="宋体"/>
          <w:color w:val="FF0000"/>
          <w:sz w:val="20"/>
          <w:szCs w:val="20"/>
          <w:lang w:eastAsia="zh-CN"/>
        </w:rPr>
        <w:t>。</w:t>
      </w:r>
      <w:r>
        <w:rPr>
          <w:rFonts w:hint="eastAsia" w:ascii="宋体" w:hAnsi="宋体"/>
          <w:color w:val="FF0000"/>
          <w:sz w:val="20"/>
          <w:szCs w:val="20"/>
        </w:rPr>
        <w:t>（六）由同一单位工作人员为两家以上（含两家）供应商进行同一项投标活动的</w:t>
      </w:r>
      <w:r>
        <w:rPr>
          <w:rFonts w:hint="eastAsia" w:ascii="宋体" w:hAnsi="宋体"/>
          <w:color w:val="FF0000"/>
          <w:sz w:val="20"/>
          <w:szCs w:val="20"/>
          <w:lang w:eastAsia="zh-CN"/>
        </w:rPr>
        <w:t>。</w:t>
      </w:r>
      <w:r>
        <w:rPr>
          <w:rFonts w:hint="eastAsia" w:ascii="宋体" w:hAnsi="宋体"/>
          <w:color w:val="FF0000"/>
          <w:sz w:val="20"/>
          <w:szCs w:val="20"/>
        </w:rPr>
        <w:t>（七）主管部门依照法律、法规认定的其他情形。</w:t>
      </w:r>
    </w:p>
    <w:p w14:paraId="77D7840E">
      <w:pPr>
        <w:keepNext w:val="0"/>
        <w:keepLines w:val="0"/>
        <w:pageBreakBefore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ind w:firstLine="402" w:firstLineChars="200"/>
        <w:textAlignment w:val="auto"/>
        <w:rPr>
          <w:rFonts w:ascii="宋体" w:hAnsi="宋体"/>
          <w:color w:val="FF0000"/>
          <w:sz w:val="20"/>
          <w:szCs w:val="20"/>
        </w:rPr>
      </w:pPr>
      <w:r>
        <w:rPr>
          <w:rFonts w:hint="eastAsia" w:ascii="宋体" w:hAnsi="宋体"/>
          <w:b/>
          <w:bCs/>
          <w:color w:val="FF0000"/>
          <w:sz w:val="20"/>
          <w:szCs w:val="20"/>
        </w:rPr>
        <w:t>三、《深圳经济特区政府采购条例实施细则》第七十七条</w:t>
      </w:r>
      <w:r>
        <w:rPr>
          <w:rFonts w:hint="eastAsia" w:ascii="宋体" w:hAnsi="宋体"/>
          <w:b/>
          <w:bCs/>
          <w:color w:val="FF0000"/>
          <w:sz w:val="20"/>
          <w:szCs w:val="20"/>
          <w:lang w:val="en-US" w:eastAsia="zh-CN"/>
        </w:rPr>
        <w:t xml:space="preserve"> </w:t>
      </w:r>
      <w:r>
        <w:rPr>
          <w:rFonts w:hint="eastAsia" w:ascii="宋体" w:hAnsi="宋体"/>
          <w:color w:val="FF0000"/>
          <w:sz w:val="20"/>
          <w:szCs w:val="20"/>
        </w:rPr>
        <w:t>供应商有下列情形之一的，属于隐瞒真实情况，提供虚假资料，按照采购条例第五十七</w:t>
      </w:r>
      <w:r>
        <w:rPr>
          <w:rFonts w:hint="eastAsia" w:ascii="宋体" w:hAnsi="宋体"/>
          <w:color w:val="FF0000"/>
          <w:sz w:val="20"/>
          <w:szCs w:val="20"/>
          <w:lang w:val="en-US" w:eastAsia="zh-CN"/>
        </w:rPr>
        <w:t>条</w:t>
      </w:r>
      <w:r>
        <w:rPr>
          <w:rFonts w:hint="eastAsia" w:ascii="宋体" w:hAnsi="宋体"/>
          <w:color w:val="FF0000"/>
          <w:sz w:val="20"/>
          <w:szCs w:val="20"/>
        </w:rPr>
        <w:t>的有关规定处理：（一）通过转让或者租借等方式从其他单位获取资格或者资质证书投标的</w:t>
      </w:r>
      <w:r>
        <w:rPr>
          <w:rFonts w:hint="eastAsia" w:ascii="宋体" w:hAnsi="宋体"/>
          <w:color w:val="FF0000"/>
          <w:sz w:val="20"/>
          <w:szCs w:val="20"/>
          <w:lang w:eastAsia="zh-CN"/>
        </w:rPr>
        <w:t>。</w:t>
      </w:r>
      <w:r>
        <w:rPr>
          <w:rFonts w:hint="eastAsia" w:ascii="宋体" w:hAnsi="宋体"/>
          <w:color w:val="FF0000"/>
          <w:sz w:val="20"/>
          <w:szCs w:val="20"/>
        </w:rPr>
        <w:t>（二）由其他单位或者其他单位负责人在投标供应商编制的投标文件上加盖印章或者签字的</w:t>
      </w:r>
      <w:r>
        <w:rPr>
          <w:rFonts w:hint="eastAsia" w:ascii="宋体" w:hAnsi="宋体"/>
          <w:color w:val="FF0000"/>
          <w:sz w:val="20"/>
          <w:szCs w:val="20"/>
          <w:lang w:eastAsia="zh-CN"/>
        </w:rPr>
        <w:t>。</w:t>
      </w:r>
      <w:r>
        <w:rPr>
          <w:rFonts w:hint="eastAsia" w:ascii="宋体" w:hAnsi="宋体"/>
          <w:color w:val="FF0000"/>
          <w:sz w:val="20"/>
          <w:szCs w:val="20"/>
        </w:rPr>
        <w:t>（三）项目负责人或者主要技术人员不是本单位人员的</w:t>
      </w:r>
      <w:r>
        <w:rPr>
          <w:rFonts w:hint="eastAsia" w:ascii="宋体" w:hAnsi="宋体"/>
          <w:color w:val="FF0000"/>
          <w:sz w:val="20"/>
          <w:szCs w:val="20"/>
          <w:lang w:eastAsia="zh-CN"/>
        </w:rPr>
        <w:t>。</w:t>
      </w:r>
      <w:r>
        <w:rPr>
          <w:rFonts w:hint="eastAsia" w:ascii="宋体" w:hAnsi="宋体"/>
          <w:color w:val="FF0000"/>
          <w:sz w:val="20"/>
          <w:szCs w:val="20"/>
        </w:rPr>
        <w:t>（四）投标保证金不是从投标供应商基本账户转出的</w:t>
      </w:r>
      <w:r>
        <w:rPr>
          <w:rFonts w:hint="eastAsia" w:ascii="宋体" w:hAnsi="宋体"/>
          <w:color w:val="FF0000"/>
          <w:sz w:val="20"/>
          <w:szCs w:val="20"/>
          <w:lang w:eastAsia="zh-CN"/>
        </w:rPr>
        <w:t>。</w:t>
      </w:r>
      <w:r>
        <w:rPr>
          <w:rFonts w:hint="eastAsia" w:ascii="宋体" w:hAnsi="宋体"/>
          <w:color w:val="FF0000"/>
          <w:sz w:val="20"/>
          <w:szCs w:val="20"/>
        </w:rPr>
        <w:t>（五）其他隐瞒真实情况、提供虚假资料的行为。</w:t>
      </w:r>
    </w:p>
    <w:p w14:paraId="60B0CCC3">
      <w:pPr>
        <w:keepNext w:val="0"/>
        <w:keepLines w:val="0"/>
        <w:pageBreakBefore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ind w:firstLine="400" w:firstLineChars="200"/>
        <w:textAlignment w:val="auto"/>
        <w:rPr>
          <w:rFonts w:ascii="宋体" w:hAnsi="宋体"/>
          <w:color w:val="FF0000"/>
          <w:sz w:val="20"/>
          <w:szCs w:val="20"/>
        </w:rPr>
      </w:pPr>
      <w:r>
        <w:rPr>
          <w:rFonts w:hint="eastAsia" w:ascii="宋体" w:hAnsi="宋体"/>
          <w:color w:val="FF0000"/>
          <w:sz w:val="20"/>
          <w:szCs w:val="20"/>
        </w:rPr>
        <w:t>投标供应商不能提供项目负责人或者主要技术人员的劳动合同、社会保险等劳动关系证明材料的，视为存在前款第（三）项规定的情形。</w:t>
      </w:r>
    </w:p>
    <w:p w14:paraId="4403DA0B">
      <w:pPr>
        <w:keepNext w:val="0"/>
        <w:keepLines w:val="0"/>
        <w:pageBreakBefore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ind w:firstLine="400" w:firstLineChars="200"/>
        <w:textAlignment w:val="auto"/>
        <w:rPr>
          <w:rFonts w:hint="eastAsia"/>
          <w:lang w:val="en-US" w:eastAsia="zh-CN"/>
        </w:rPr>
      </w:pPr>
      <w:r>
        <w:rPr>
          <w:rFonts w:hint="eastAsia"/>
          <w:b w:val="0"/>
          <w:bCs/>
          <w:color w:val="FF0000"/>
          <w:sz w:val="20"/>
          <w:szCs w:val="20"/>
          <w:lang w:val="en-US" w:eastAsia="zh-CN"/>
        </w:rPr>
        <w:t>四</w:t>
      </w:r>
      <w:r>
        <w:rPr>
          <w:rFonts w:hint="eastAsia" w:ascii="Times New Roman" w:eastAsia="宋体"/>
          <w:b w:val="0"/>
          <w:bCs/>
          <w:color w:val="FF0000"/>
          <w:sz w:val="20"/>
          <w:szCs w:val="20"/>
          <w:lang w:val="en-US" w:eastAsia="zh-CN"/>
        </w:rPr>
        <w:t>、</w:t>
      </w:r>
      <w:r>
        <w:rPr>
          <w:rFonts w:hint="eastAsia"/>
          <w:b/>
          <w:color w:val="FF0000"/>
        </w:rPr>
        <w:t>请投标供应商阅读《政府采购违法行为风险知悉确认书》（内容详见“投标文件附件（信息不公开部分）”中节点“投标人认为需要加以说明的其他内容（格式自定）”），并经各投标供应商负责人签字并加盖单位公章后，扫描上传至投标文件一并提交。</w:t>
      </w:r>
    </w:p>
    <w:p w14:paraId="4470F332">
      <w:pPr>
        <w:pStyle w:val="50"/>
        <w:keepNext w:val="0"/>
        <w:keepLines w:val="0"/>
        <w:pageBreakBefore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textAlignment w:val="auto"/>
        <w:rPr>
          <w:rFonts w:hint="eastAsia"/>
          <w:b w:val="0"/>
          <w:bCs/>
          <w:color w:val="FF0000"/>
          <w:sz w:val="20"/>
          <w:szCs w:val="20"/>
          <w:lang w:val="en-US" w:eastAsia="zh-CN"/>
        </w:rPr>
      </w:pPr>
    </w:p>
    <w:p w14:paraId="5FD65B52">
      <w:pPr>
        <w:keepNext w:val="0"/>
        <w:keepLines w:val="0"/>
        <w:pageBreakBefore w:val="0"/>
        <w:widowControl/>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beforeAutospacing="1" w:afterAutospacing="1"/>
        <w:jc w:val="both"/>
        <w:textAlignment w:val="auto"/>
        <w:outlineLvl w:val="1"/>
        <w:rPr>
          <w:rFonts w:hint="eastAsia" w:ascii="Times New Roman" w:hAnsi="Times New Roman" w:eastAsia="宋体" w:cs="Times New Roman"/>
          <w:b/>
          <w:color w:val="FF0000"/>
          <w:kern w:val="2"/>
          <w:sz w:val="21"/>
          <w:szCs w:val="24"/>
          <w:lang w:val="en-US" w:eastAsia="zh-CN" w:bidi="ar-SA"/>
        </w:rPr>
      </w:pPr>
      <w:r>
        <w:rPr>
          <w:rFonts w:hint="eastAsia" w:ascii="Times New Roman" w:hAnsi="Times New Roman" w:eastAsia="宋体" w:cs="Times New Roman"/>
          <w:b/>
          <w:color w:val="FF0000"/>
          <w:kern w:val="2"/>
          <w:sz w:val="21"/>
          <w:szCs w:val="24"/>
          <w:lang w:val="en-US" w:eastAsia="zh-CN" w:bidi="ar-SA"/>
        </w:rPr>
        <w:t>注：“特别警示条款”和《政府采购违法行为风险知悉确认书》用于对供应商违法行为的提醒，不作为供应商资格性审查及符合性审查条件。</w:t>
      </w:r>
    </w:p>
    <w:p w14:paraId="454D60FA">
      <w:pPr>
        <w:widowControl/>
        <w:spacing w:beforeAutospacing="1" w:afterAutospacing="1"/>
        <w:jc w:val="center"/>
        <w:outlineLvl w:val="1"/>
        <w:rPr>
          <w:rFonts w:hint="eastAsia" w:ascii="黑体" w:hAnsi="宋体" w:eastAsia="黑体" w:cs="黑体"/>
          <w:kern w:val="0"/>
          <w:sz w:val="40"/>
          <w:szCs w:val="40"/>
        </w:rPr>
      </w:pPr>
    </w:p>
    <w:p w14:paraId="3F79DA67">
      <w:pPr>
        <w:widowControl/>
        <w:spacing w:beforeAutospacing="1" w:afterAutospacing="1"/>
        <w:jc w:val="center"/>
        <w:outlineLvl w:val="1"/>
        <w:rPr>
          <w:rFonts w:hint="eastAsia" w:ascii="黑体" w:hAnsi="宋体" w:eastAsia="黑体" w:cs="黑体"/>
          <w:kern w:val="0"/>
          <w:sz w:val="40"/>
          <w:szCs w:val="40"/>
        </w:rPr>
      </w:pPr>
    </w:p>
    <w:p w14:paraId="77B043EB">
      <w:pPr>
        <w:widowControl/>
        <w:spacing w:beforeAutospacing="1" w:afterAutospacing="1"/>
        <w:jc w:val="center"/>
        <w:outlineLvl w:val="1"/>
        <w:rPr>
          <w:rFonts w:hint="eastAsia" w:ascii="黑体" w:hAnsi="宋体" w:eastAsia="黑体" w:cs="黑体"/>
          <w:kern w:val="0"/>
          <w:sz w:val="40"/>
          <w:szCs w:val="40"/>
        </w:rPr>
        <w:sectPr>
          <w:headerReference r:id="rId3" w:type="first"/>
          <w:footerReference r:id="rId4" w:type="default"/>
          <w:footerReference r:id="rId5" w:type="even"/>
          <w:pgSz w:w="11907" w:h="16840"/>
          <w:pgMar w:top="1440" w:right="2090" w:bottom="1440" w:left="1417" w:header="851" w:footer="992" w:gutter="0"/>
          <w:cols w:space="425" w:num="1"/>
          <w:titlePg/>
          <w:docGrid w:linePitch="462" w:charSpace="0"/>
        </w:sectPr>
      </w:pPr>
    </w:p>
    <w:p w14:paraId="4DD59606">
      <w:pPr>
        <w:pStyle w:val="50"/>
        <w:rPr>
          <w:rFonts w:hint="eastAsia"/>
        </w:rPr>
      </w:pPr>
    </w:p>
    <w:p w14:paraId="4050152A">
      <w:pPr>
        <w:widowControl/>
        <w:spacing w:beforeAutospacing="1" w:afterAutospacing="1"/>
        <w:jc w:val="center"/>
        <w:outlineLvl w:val="1"/>
        <w:rPr>
          <w:rFonts w:ascii="黑体" w:hAnsi="宋体" w:eastAsia="黑体" w:cs="黑体"/>
          <w:kern w:val="0"/>
          <w:sz w:val="40"/>
          <w:szCs w:val="40"/>
        </w:rPr>
      </w:pPr>
      <w:r>
        <w:rPr>
          <w:rFonts w:hint="eastAsia" w:ascii="黑体" w:hAnsi="宋体" w:eastAsia="黑体" w:cs="黑体"/>
          <w:kern w:val="0"/>
          <w:sz w:val="40"/>
          <w:szCs w:val="40"/>
        </w:rPr>
        <w:t>招标文件信息</w:t>
      </w:r>
    </w:p>
    <w:p w14:paraId="0959B994">
      <w:pPr>
        <w:pStyle w:val="37"/>
        <w:widowControl/>
        <w:ind w:firstLine="2400" w:firstLineChars="800"/>
        <w:jc w:val="both"/>
        <w:outlineLvl w:val="1"/>
        <w:rPr>
          <w:rFonts w:hint="eastAsia" w:asciiTheme="minorEastAsia" w:hAnsiTheme="minorEastAsia" w:eastAsiaTheme="minorEastAsia" w:cstheme="minorEastAsia"/>
          <w:b w:val="0"/>
          <w:bCs w:val="0"/>
          <w:sz w:val="30"/>
          <w:szCs w:val="30"/>
          <w:lang w:val="en-US" w:eastAsia="zh-CN"/>
        </w:rPr>
      </w:pPr>
      <w:r>
        <w:rPr>
          <w:rFonts w:hint="eastAsia" w:asciiTheme="minorEastAsia" w:hAnsiTheme="minorEastAsia" w:eastAsiaTheme="minorEastAsia" w:cstheme="minorEastAsia"/>
          <w:b w:val="0"/>
          <w:bCs w:val="0"/>
          <w:sz w:val="30"/>
          <w:szCs w:val="30"/>
        </w:rPr>
        <w:t>项目编号：</w:t>
      </w:r>
      <w:r>
        <w:rPr>
          <w:sz w:val="30"/>
          <w:szCs w:val="30"/>
        </w:rPr>
        <w:t>FTZXCG-2025-00019</w:t>
      </w:r>
    </w:p>
    <w:p w14:paraId="6DB742C6">
      <w:pPr>
        <w:pStyle w:val="37"/>
        <w:widowControl/>
        <w:jc w:val="center"/>
        <w:outlineLvl w:val="1"/>
        <w:rPr>
          <w:rFonts w:hint="eastAsia" w:asciiTheme="minorEastAsia" w:hAnsiTheme="minorEastAsia" w:eastAsiaTheme="minorEastAsia" w:cstheme="minorEastAsia"/>
          <w:b w:val="0"/>
          <w:bCs w:val="0"/>
          <w:sz w:val="30"/>
          <w:szCs w:val="30"/>
          <w:lang w:val="en-US" w:eastAsia="zh-CN"/>
        </w:rPr>
      </w:pPr>
    </w:p>
    <w:p w14:paraId="5FADF066">
      <w:pPr>
        <w:pStyle w:val="37"/>
        <w:widowControl/>
        <w:ind w:firstLine="2400" w:firstLineChars="800"/>
        <w:jc w:val="both"/>
        <w:outlineLvl w:val="1"/>
        <w:rPr>
          <w:rFonts w:hint="eastAsia" w:asciiTheme="minorEastAsia" w:hAnsiTheme="minorEastAsia" w:eastAsiaTheme="minorEastAsia" w:cstheme="minorEastAsia"/>
          <w:b w:val="0"/>
          <w:bCs w:val="0"/>
          <w:sz w:val="30"/>
          <w:szCs w:val="30"/>
        </w:rPr>
      </w:pPr>
      <w:r>
        <w:rPr>
          <w:rFonts w:hint="eastAsia" w:asciiTheme="minorEastAsia" w:hAnsiTheme="minorEastAsia" w:eastAsiaTheme="minorEastAsia" w:cstheme="minorEastAsia"/>
          <w:b w:val="0"/>
          <w:bCs w:val="0"/>
          <w:sz w:val="30"/>
          <w:szCs w:val="30"/>
        </w:rPr>
        <w:t>项目名称：福田区教育科学研究院福田教育智能应用平台建设项目</w:t>
      </w:r>
    </w:p>
    <w:p w14:paraId="2109622B">
      <w:pPr>
        <w:pStyle w:val="37"/>
        <w:widowControl/>
        <w:ind w:firstLine="2400" w:firstLineChars="800"/>
        <w:jc w:val="both"/>
        <w:outlineLvl w:val="1"/>
        <w:rPr>
          <w:rFonts w:hint="eastAsia" w:asciiTheme="minorEastAsia" w:hAnsiTheme="minorEastAsia" w:eastAsiaTheme="minorEastAsia" w:cstheme="minorEastAsia"/>
          <w:b w:val="0"/>
          <w:bCs w:val="0"/>
          <w:sz w:val="30"/>
          <w:szCs w:val="30"/>
        </w:rPr>
      </w:pPr>
    </w:p>
    <w:p w14:paraId="7AB1EC62">
      <w:pPr>
        <w:pStyle w:val="37"/>
        <w:widowControl/>
        <w:ind w:firstLine="2400" w:firstLineChars="800"/>
        <w:jc w:val="both"/>
        <w:outlineLvl w:val="1"/>
        <w:rPr>
          <w:rFonts w:hint="eastAsia" w:asciiTheme="minorEastAsia" w:hAnsiTheme="minorEastAsia" w:eastAsiaTheme="minorEastAsia" w:cstheme="minorEastAsia"/>
          <w:b w:val="0"/>
          <w:bCs w:val="0"/>
          <w:sz w:val="30"/>
          <w:szCs w:val="30"/>
        </w:rPr>
      </w:pPr>
      <w:r>
        <w:rPr>
          <w:rFonts w:hint="eastAsia" w:asciiTheme="minorEastAsia" w:hAnsiTheme="minorEastAsia" w:eastAsiaTheme="minorEastAsia" w:cstheme="minorEastAsia"/>
          <w:b w:val="0"/>
          <w:bCs w:val="0"/>
          <w:sz w:val="30"/>
          <w:szCs w:val="30"/>
        </w:rPr>
        <w:t>包 号：</w:t>
      </w:r>
      <w:r>
        <w:rPr>
          <w:rFonts w:hint="eastAsia" w:asciiTheme="minorEastAsia" w:hAnsiTheme="minorEastAsia" w:eastAsiaTheme="minorEastAsia" w:cstheme="minorEastAsia"/>
          <w:b w:val="0"/>
          <w:bCs w:val="0"/>
          <w:sz w:val="30"/>
          <w:szCs w:val="30"/>
        </w:rPr>
        <w:tab/>
      </w:r>
      <w:r>
        <w:rPr>
          <w:rFonts w:hint="eastAsia" w:asciiTheme="minorEastAsia" w:hAnsiTheme="minorEastAsia" w:eastAsiaTheme="minorEastAsia" w:cstheme="minorEastAsia"/>
          <w:b w:val="0"/>
          <w:bCs w:val="0"/>
          <w:sz w:val="30"/>
          <w:szCs w:val="30"/>
        </w:rPr>
        <w:t>A</w:t>
      </w:r>
    </w:p>
    <w:p w14:paraId="51FBEEB8">
      <w:pPr>
        <w:pStyle w:val="37"/>
        <w:widowControl/>
        <w:ind w:firstLine="2400" w:firstLineChars="800"/>
        <w:jc w:val="both"/>
        <w:outlineLvl w:val="1"/>
        <w:rPr>
          <w:rFonts w:hint="eastAsia" w:asciiTheme="minorEastAsia" w:hAnsiTheme="minorEastAsia" w:eastAsiaTheme="minorEastAsia" w:cstheme="minorEastAsia"/>
          <w:b w:val="0"/>
          <w:bCs w:val="0"/>
          <w:sz w:val="30"/>
          <w:szCs w:val="30"/>
        </w:rPr>
      </w:pPr>
    </w:p>
    <w:p w14:paraId="0D7D0DAF">
      <w:pPr>
        <w:pStyle w:val="37"/>
        <w:widowControl/>
        <w:ind w:firstLine="2400" w:firstLineChars="800"/>
        <w:jc w:val="both"/>
        <w:outlineLvl w:val="1"/>
        <w:rPr>
          <w:rFonts w:hint="eastAsia" w:asciiTheme="minorEastAsia" w:hAnsiTheme="minorEastAsia" w:eastAsiaTheme="minorEastAsia" w:cstheme="minorEastAsia"/>
          <w:b w:val="0"/>
          <w:bCs w:val="0"/>
          <w:sz w:val="30"/>
          <w:szCs w:val="30"/>
        </w:rPr>
      </w:pPr>
      <w:r>
        <w:rPr>
          <w:rFonts w:hint="eastAsia" w:asciiTheme="minorEastAsia" w:hAnsiTheme="minorEastAsia" w:eastAsiaTheme="minorEastAsia" w:cstheme="minorEastAsia"/>
          <w:b w:val="0"/>
          <w:bCs w:val="0"/>
          <w:sz w:val="30"/>
          <w:szCs w:val="30"/>
        </w:rPr>
        <w:t>项目类型：</w:t>
      </w:r>
      <w:r>
        <w:rPr>
          <w:rFonts w:hint="eastAsia" w:asciiTheme="minorEastAsia" w:hAnsiTheme="minorEastAsia" w:eastAsiaTheme="minorEastAsia" w:cstheme="minorEastAsia"/>
          <w:b w:val="0"/>
          <w:bCs w:val="0"/>
          <w:sz w:val="30"/>
          <w:szCs w:val="30"/>
        </w:rPr>
        <w:tab/>
      </w:r>
      <w:r>
        <w:rPr>
          <w:rFonts w:hint="eastAsia" w:asciiTheme="minorEastAsia" w:hAnsiTheme="minorEastAsia" w:eastAsiaTheme="minorEastAsia" w:cstheme="minorEastAsia"/>
          <w:b w:val="0"/>
          <w:bCs w:val="0"/>
          <w:sz w:val="30"/>
          <w:szCs w:val="30"/>
          <w:lang w:val="en-US" w:eastAsia="zh-CN"/>
        </w:rPr>
        <w:t>服务</w:t>
      </w:r>
      <w:r>
        <w:rPr>
          <w:rFonts w:hint="eastAsia" w:asciiTheme="minorEastAsia" w:hAnsiTheme="minorEastAsia" w:eastAsiaTheme="minorEastAsia" w:cstheme="minorEastAsia"/>
          <w:b w:val="0"/>
          <w:bCs w:val="0"/>
          <w:sz w:val="30"/>
          <w:szCs w:val="30"/>
        </w:rPr>
        <w:t>类</w:t>
      </w:r>
    </w:p>
    <w:p w14:paraId="4DE7D6E1">
      <w:pPr>
        <w:pStyle w:val="37"/>
        <w:widowControl/>
        <w:ind w:firstLine="2400" w:firstLineChars="800"/>
        <w:jc w:val="both"/>
        <w:outlineLvl w:val="1"/>
        <w:rPr>
          <w:rFonts w:hint="eastAsia" w:asciiTheme="minorEastAsia" w:hAnsiTheme="minorEastAsia" w:eastAsiaTheme="minorEastAsia" w:cstheme="minorEastAsia"/>
          <w:b w:val="0"/>
          <w:bCs w:val="0"/>
          <w:sz w:val="30"/>
          <w:szCs w:val="30"/>
        </w:rPr>
      </w:pPr>
    </w:p>
    <w:p w14:paraId="2862F810">
      <w:pPr>
        <w:pStyle w:val="37"/>
        <w:widowControl/>
        <w:ind w:firstLine="2400" w:firstLineChars="800"/>
        <w:jc w:val="both"/>
        <w:outlineLvl w:val="1"/>
        <w:rPr>
          <w:rFonts w:hint="eastAsia" w:asciiTheme="minorEastAsia" w:hAnsiTheme="minorEastAsia" w:eastAsiaTheme="minorEastAsia" w:cstheme="minorEastAsia"/>
          <w:b w:val="0"/>
          <w:bCs w:val="0"/>
          <w:sz w:val="30"/>
          <w:szCs w:val="30"/>
        </w:rPr>
      </w:pPr>
      <w:r>
        <w:rPr>
          <w:rFonts w:hint="eastAsia" w:asciiTheme="minorEastAsia" w:hAnsiTheme="minorEastAsia" w:eastAsiaTheme="minorEastAsia" w:cstheme="minorEastAsia"/>
          <w:b w:val="0"/>
          <w:bCs w:val="0"/>
          <w:sz w:val="30"/>
          <w:szCs w:val="30"/>
        </w:rPr>
        <w:t>采购方式：</w:t>
      </w:r>
      <w:r>
        <w:rPr>
          <w:rFonts w:hint="eastAsia" w:asciiTheme="minorEastAsia" w:hAnsiTheme="minorEastAsia" w:eastAsiaTheme="minorEastAsia" w:cstheme="minorEastAsia"/>
          <w:b w:val="0"/>
          <w:bCs w:val="0"/>
          <w:sz w:val="30"/>
          <w:szCs w:val="30"/>
        </w:rPr>
        <w:tab/>
      </w:r>
      <w:r>
        <w:rPr>
          <w:rFonts w:hint="eastAsia" w:asciiTheme="minorEastAsia" w:hAnsiTheme="minorEastAsia" w:eastAsiaTheme="minorEastAsia" w:cstheme="minorEastAsia"/>
          <w:b w:val="0"/>
          <w:bCs w:val="0"/>
          <w:sz w:val="30"/>
          <w:szCs w:val="30"/>
        </w:rPr>
        <w:t>公开招标</w:t>
      </w:r>
    </w:p>
    <w:p w14:paraId="12F86EC0">
      <w:pPr>
        <w:pStyle w:val="37"/>
        <w:widowControl/>
        <w:ind w:firstLine="2400" w:firstLineChars="800"/>
        <w:jc w:val="both"/>
        <w:outlineLvl w:val="1"/>
        <w:rPr>
          <w:rFonts w:hint="eastAsia" w:asciiTheme="minorEastAsia" w:hAnsiTheme="minorEastAsia" w:eastAsiaTheme="minorEastAsia" w:cstheme="minorEastAsia"/>
          <w:b w:val="0"/>
          <w:bCs w:val="0"/>
          <w:sz w:val="30"/>
          <w:szCs w:val="30"/>
        </w:rPr>
      </w:pPr>
    </w:p>
    <w:p w14:paraId="578D7709">
      <w:pPr>
        <w:pStyle w:val="37"/>
        <w:widowControl/>
        <w:ind w:firstLine="2400" w:firstLineChars="800"/>
        <w:jc w:val="both"/>
        <w:outlineLvl w:val="1"/>
        <w:rPr>
          <w:rFonts w:hint="eastAsia" w:asciiTheme="minorEastAsia" w:hAnsiTheme="minorEastAsia" w:eastAsiaTheme="minorEastAsia" w:cstheme="minorEastAsia"/>
          <w:b w:val="0"/>
          <w:bCs w:val="0"/>
          <w:sz w:val="30"/>
          <w:szCs w:val="30"/>
        </w:rPr>
      </w:pPr>
      <w:r>
        <w:rPr>
          <w:rFonts w:hint="eastAsia" w:asciiTheme="minorEastAsia" w:hAnsiTheme="minorEastAsia" w:eastAsiaTheme="minorEastAsia" w:cstheme="minorEastAsia"/>
          <w:b w:val="0"/>
          <w:bCs w:val="0"/>
          <w:sz w:val="30"/>
          <w:szCs w:val="30"/>
        </w:rPr>
        <w:t>货币类型：</w:t>
      </w:r>
      <w:r>
        <w:rPr>
          <w:rFonts w:hint="eastAsia" w:asciiTheme="minorEastAsia" w:hAnsiTheme="minorEastAsia" w:eastAsiaTheme="minorEastAsia" w:cstheme="minorEastAsia"/>
          <w:b w:val="0"/>
          <w:bCs w:val="0"/>
          <w:sz w:val="30"/>
          <w:szCs w:val="30"/>
        </w:rPr>
        <w:tab/>
      </w:r>
      <w:r>
        <w:rPr>
          <w:rFonts w:hint="eastAsia" w:asciiTheme="minorEastAsia" w:hAnsiTheme="minorEastAsia" w:eastAsiaTheme="minorEastAsia" w:cstheme="minorEastAsia"/>
          <w:b w:val="0"/>
          <w:bCs w:val="0"/>
          <w:sz w:val="30"/>
          <w:szCs w:val="30"/>
        </w:rPr>
        <w:t>人民币</w:t>
      </w:r>
    </w:p>
    <w:p w14:paraId="1C5708C1">
      <w:pPr>
        <w:pStyle w:val="37"/>
        <w:widowControl/>
        <w:ind w:firstLine="2400" w:firstLineChars="800"/>
        <w:jc w:val="both"/>
        <w:outlineLvl w:val="1"/>
        <w:rPr>
          <w:rFonts w:hint="eastAsia" w:asciiTheme="minorEastAsia" w:hAnsiTheme="minorEastAsia" w:eastAsiaTheme="minorEastAsia" w:cstheme="minorEastAsia"/>
          <w:b w:val="0"/>
          <w:bCs w:val="0"/>
          <w:sz w:val="30"/>
          <w:szCs w:val="30"/>
        </w:rPr>
      </w:pPr>
    </w:p>
    <w:p w14:paraId="697DC2EE">
      <w:pPr>
        <w:pStyle w:val="37"/>
        <w:widowControl/>
        <w:ind w:firstLine="2400" w:firstLineChars="800"/>
        <w:jc w:val="both"/>
        <w:outlineLvl w:val="1"/>
        <w:rPr>
          <w:rFonts w:eastAsia="黑体"/>
          <w:sz w:val="40"/>
          <w:szCs w:val="40"/>
        </w:rPr>
      </w:pPr>
      <w:r>
        <w:rPr>
          <w:rFonts w:hint="eastAsia" w:asciiTheme="minorEastAsia" w:hAnsiTheme="minorEastAsia" w:eastAsiaTheme="minorEastAsia" w:cstheme="minorEastAsia"/>
          <w:b w:val="0"/>
          <w:bCs w:val="0"/>
          <w:sz w:val="30"/>
          <w:szCs w:val="30"/>
        </w:rPr>
        <w:t>评标方法：</w:t>
      </w:r>
      <w:r>
        <w:rPr>
          <w:rFonts w:hint="eastAsia" w:asciiTheme="minorEastAsia" w:hAnsiTheme="minorEastAsia" w:eastAsiaTheme="minorEastAsia" w:cstheme="minorEastAsia"/>
          <w:b w:val="0"/>
          <w:bCs w:val="0"/>
          <w:sz w:val="30"/>
          <w:szCs w:val="30"/>
        </w:rPr>
        <w:tab/>
      </w:r>
      <w:r>
        <w:rPr>
          <w:rFonts w:hint="eastAsia" w:asciiTheme="minorEastAsia" w:hAnsiTheme="minorEastAsia" w:eastAsiaTheme="minorEastAsia" w:cstheme="minorEastAsia"/>
          <w:b w:val="0"/>
          <w:bCs w:val="0"/>
          <w:sz w:val="30"/>
          <w:szCs w:val="30"/>
        </w:rPr>
        <w:t>综合评分法</w:t>
      </w:r>
    </w:p>
    <w:p w14:paraId="72AFB218">
      <w:pPr>
        <w:pStyle w:val="37"/>
        <w:jc w:val="center"/>
        <w:outlineLvl w:val="1"/>
        <w:rPr>
          <w:rFonts w:hint="eastAsia" w:ascii="黑体" w:hAnsi="黑体" w:eastAsia="黑体"/>
          <w:sz w:val="40"/>
          <w:szCs w:val="40"/>
        </w:rPr>
      </w:pPr>
    </w:p>
    <w:p w14:paraId="61AD1AFA">
      <w:pPr>
        <w:pStyle w:val="37"/>
        <w:jc w:val="center"/>
        <w:outlineLvl w:val="1"/>
        <w:rPr>
          <w:rFonts w:hint="eastAsia" w:ascii="黑体" w:hAnsi="黑体" w:eastAsia="黑体"/>
          <w:sz w:val="40"/>
          <w:szCs w:val="40"/>
        </w:rPr>
        <w:sectPr>
          <w:headerReference r:id="rId6" w:type="first"/>
          <w:footerReference r:id="rId7" w:type="default"/>
          <w:footerReference r:id="rId8" w:type="even"/>
          <w:pgSz w:w="11907" w:h="16840"/>
          <w:pgMar w:top="1440" w:right="2090" w:bottom="1440" w:left="1417" w:header="851" w:footer="992" w:gutter="0"/>
          <w:cols w:space="425" w:num="1"/>
          <w:titlePg/>
          <w:docGrid w:linePitch="462" w:charSpace="0"/>
        </w:sectPr>
      </w:pPr>
    </w:p>
    <w:p w14:paraId="4DBA8013">
      <w:pPr>
        <w:pStyle w:val="37"/>
        <w:jc w:val="center"/>
        <w:outlineLvl w:val="1"/>
        <w:rPr>
          <w:rFonts w:ascii="黑体" w:hAnsi="黑体" w:eastAsia="黑体"/>
          <w:sz w:val="40"/>
          <w:szCs w:val="40"/>
        </w:rPr>
      </w:pPr>
      <w:r>
        <w:rPr>
          <w:rFonts w:hint="eastAsia" w:ascii="黑体" w:hAnsi="黑体" w:eastAsia="黑体"/>
          <w:sz w:val="40"/>
          <w:szCs w:val="40"/>
        </w:rPr>
        <w:t>资格性审查表</w:t>
      </w:r>
    </w:p>
    <w:tbl>
      <w:tblPr>
        <w:tblStyle w:val="42"/>
        <w:tblW w:w="9072"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20" w:type="dxa"/>
          <w:left w:w="108" w:type="dxa"/>
          <w:bottom w:w="20" w:type="dxa"/>
          <w:right w:w="108" w:type="dxa"/>
        </w:tblCellMar>
      </w:tblPr>
      <w:tblGrid>
        <w:gridCol w:w="794"/>
        <w:gridCol w:w="8278"/>
      </w:tblGrid>
      <w:tr w14:paraId="4ADAC8F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shd w:val="clear" w:color="auto" w:fill="E6EFFA"/>
            <w:vAlign w:val="center"/>
          </w:tcPr>
          <w:p w14:paraId="38503335">
            <w:pPr>
              <w:jc w:val="center"/>
              <w:rPr>
                <w:rFonts w:ascii="宋体" w:hAnsi="宋体" w:cs="宋体"/>
                <w:sz w:val="28"/>
                <w:szCs w:val="28"/>
              </w:rPr>
            </w:pPr>
            <w:r>
              <w:rPr>
                <w:sz w:val="28"/>
                <w:szCs w:val="28"/>
              </w:rPr>
              <w:t>序号</w:t>
            </w:r>
          </w:p>
        </w:tc>
        <w:tc>
          <w:tcPr>
            <w:tcW w:w="8278" w:type="dxa"/>
            <w:tcBorders>
              <w:top w:val="single" w:color="000000" w:sz="8" w:space="0"/>
              <w:left w:val="single" w:color="000000" w:sz="8" w:space="0"/>
              <w:bottom w:val="single" w:color="000000" w:sz="8" w:space="0"/>
              <w:right w:val="single" w:color="000000" w:sz="8" w:space="0"/>
            </w:tcBorders>
            <w:shd w:val="clear" w:color="auto" w:fill="E6EFFA"/>
            <w:vAlign w:val="center"/>
          </w:tcPr>
          <w:p w14:paraId="53C2F919">
            <w:pPr>
              <w:jc w:val="center"/>
              <w:rPr>
                <w:rFonts w:ascii="宋体" w:hAnsi="宋体" w:cs="宋体"/>
                <w:sz w:val="28"/>
                <w:szCs w:val="28"/>
              </w:rPr>
            </w:pPr>
            <w:r>
              <w:rPr>
                <w:sz w:val="28"/>
                <w:szCs w:val="28"/>
              </w:rPr>
              <w:t>内容</w:t>
            </w:r>
          </w:p>
        </w:tc>
      </w:tr>
      <w:tr w14:paraId="62154DF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tcPr>
          <w:p w14:paraId="4DD9DF04">
            <w:pPr>
              <w:jc w:val="center"/>
              <w:rPr>
                <w:rFonts w:ascii="宋体" w:hAnsi="宋体" w:cs="宋体"/>
                <w:szCs w:val="21"/>
              </w:rPr>
            </w:pPr>
            <w:r>
              <w:rPr>
                <w:szCs w:val="21"/>
              </w:rPr>
              <w:t>1</w:t>
            </w:r>
          </w:p>
        </w:tc>
        <w:tc>
          <w:tcPr>
            <w:tcW w:w="8278" w:type="dxa"/>
            <w:tcBorders>
              <w:top w:val="single" w:color="000000" w:sz="8" w:space="0"/>
              <w:left w:val="single" w:color="000000" w:sz="8" w:space="0"/>
              <w:bottom w:val="single" w:color="000000" w:sz="8" w:space="0"/>
              <w:right w:val="single" w:color="000000" w:sz="8" w:space="0"/>
            </w:tcBorders>
          </w:tcPr>
          <w:p w14:paraId="234CBB48">
            <w:pPr>
              <w:rPr>
                <w:rFonts w:ascii="宋体" w:hAnsi="宋体" w:cs="宋体"/>
                <w:szCs w:val="21"/>
              </w:rPr>
            </w:pPr>
            <w:r>
              <w:rPr>
                <w:rFonts w:ascii="宋体" w:hAnsi="宋体" w:cs="宋体"/>
                <w:kern w:val="0"/>
                <w:szCs w:val="21"/>
                <w:lang w:bidi="ar"/>
              </w:rPr>
              <w:t>投标人不</w:t>
            </w:r>
            <w:r>
              <w:rPr>
                <w:rFonts w:hint="eastAsia" w:ascii="宋体" w:hAnsi="宋体" w:cs="宋体"/>
                <w:kern w:val="0"/>
                <w:szCs w:val="21"/>
                <w:lang w:bidi="ar"/>
              </w:rPr>
              <w:t>符合</w:t>
            </w:r>
            <w:r>
              <w:rPr>
                <w:rFonts w:ascii="宋体" w:hAnsi="宋体" w:cs="宋体"/>
                <w:kern w:val="0"/>
                <w:szCs w:val="21"/>
                <w:lang w:bidi="ar"/>
              </w:rPr>
              <w:t>资格要求，或未提交相应的资格证明资料（详见招标公告</w:t>
            </w:r>
            <w:r>
              <w:rPr>
                <w:rFonts w:hint="eastAsia" w:ascii="宋体" w:hAnsi="宋体"/>
                <w:szCs w:val="21"/>
              </w:rPr>
              <w:t>投标人资格要求，即申请人的资格要求</w:t>
            </w:r>
            <w:r>
              <w:rPr>
                <w:rFonts w:ascii="宋体" w:hAnsi="宋体" w:cs="宋体"/>
                <w:kern w:val="0"/>
                <w:szCs w:val="21"/>
                <w:lang w:bidi="ar"/>
              </w:rPr>
              <w:t>）</w:t>
            </w:r>
          </w:p>
        </w:tc>
      </w:tr>
    </w:tbl>
    <w:p w14:paraId="4C1D891E">
      <w:pPr>
        <w:pStyle w:val="37"/>
        <w:spacing w:before="280"/>
        <w:jc w:val="center"/>
        <w:outlineLvl w:val="1"/>
        <w:rPr>
          <w:rFonts w:ascii="黑体" w:hAnsi="黑体" w:eastAsia="黑体"/>
          <w:sz w:val="40"/>
          <w:szCs w:val="40"/>
        </w:rPr>
      </w:pPr>
      <w:r>
        <w:rPr>
          <w:rFonts w:hint="eastAsia" w:ascii="黑体" w:hAnsi="黑体" w:eastAsia="黑体"/>
          <w:sz w:val="40"/>
          <w:szCs w:val="40"/>
        </w:rPr>
        <w:t>符合性审查表</w:t>
      </w:r>
    </w:p>
    <w:tbl>
      <w:tblPr>
        <w:tblStyle w:val="42"/>
        <w:tblW w:w="9072"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20" w:type="dxa"/>
          <w:left w:w="108" w:type="dxa"/>
          <w:bottom w:w="20" w:type="dxa"/>
          <w:right w:w="108" w:type="dxa"/>
        </w:tblCellMar>
      </w:tblPr>
      <w:tblGrid>
        <w:gridCol w:w="794"/>
        <w:gridCol w:w="8278"/>
      </w:tblGrid>
      <w:tr w14:paraId="682CAD1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shd w:val="clear" w:color="auto" w:fill="E6EFFA"/>
            <w:vAlign w:val="center"/>
          </w:tcPr>
          <w:p w14:paraId="5091243F">
            <w:pPr>
              <w:jc w:val="center"/>
              <w:rPr>
                <w:rFonts w:ascii="宋体" w:hAnsi="宋体" w:cs="宋体"/>
                <w:sz w:val="28"/>
                <w:szCs w:val="28"/>
              </w:rPr>
            </w:pPr>
            <w:r>
              <w:rPr>
                <w:sz w:val="28"/>
                <w:szCs w:val="28"/>
              </w:rPr>
              <w:t>序号</w:t>
            </w:r>
          </w:p>
        </w:tc>
        <w:tc>
          <w:tcPr>
            <w:tcW w:w="8278" w:type="dxa"/>
            <w:tcBorders>
              <w:top w:val="single" w:color="000000" w:sz="8" w:space="0"/>
              <w:left w:val="single" w:color="000000" w:sz="8" w:space="0"/>
              <w:bottom w:val="single" w:color="000000" w:sz="8" w:space="0"/>
              <w:right w:val="single" w:color="000000" w:sz="8" w:space="0"/>
            </w:tcBorders>
            <w:shd w:val="clear" w:color="auto" w:fill="E6EFFA"/>
            <w:vAlign w:val="center"/>
          </w:tcPr>
          <w:p w14:paraId="70FF4DBB">
            <w:pPr>
              <w:jc w:val="center"/>
              <w:rPr>
                <w:rFonts w:ascii="宋体" w:hAnsi="宋体" w:cs="宋体"/>
                <w:sz w:val="28"/>
                <w:szCs w:val="28"/>
              </w:rPr>
            </w:pPr>
            <w:r>
              <w:rPr>
                <w:sz w:val="28"/>
                <w:szCs w:val="28"/>
              </w:rPr>
              <w:t>内容</w:t>
            </w:r>
          </w:p>
        </w:tc>
      </w:tr>
      <w:tr w14:paraId="2E378AC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tcPr>
          <w:p w14:paraId="28C67E12">
            <w:pPr>
              <w:jc w:val="center"/>
              <w:rPr>
                <w:rFonts w:ascii="宋体" w:hAnsi="宋体" w:cs="宋体"/>
                <w:szCs w:val="21"/>
              </w:rPr>
            </w:pPr>
            <w:r>
              <w:rPr>
                <w:szCs w:val="21"/>
              </w:rPr>
              <w:t>1</w:t>
            </w:r>
          </w:p>
        </w:tc>
        <w:tc>
          <w:tcPr>
            <w:tcW w:w="8278" w:type="dxa"/>
            <w:tcBorders>
              <w:top w:val="single" w:color="000000" w:sz="8" w:space="0"/>
              <w:left w:val="single" w:color="000000" w:sz="8" w:space="0"/>
              <w:bottom w:val="single" w:color="000000" w:sz="8" w:space="0"/>
              <w:right w:val="single" w:color="000000" w:sz="8" w:space="0"/>
            </w:tcBorders>
          </w:tcPr>
          <w:p w14:paraId="44D7BA9B">
            <w:pPr>
              <w:rPr>
                <w:rFonts w:ascii="宋体" w:hAnsi="宋体" w:cs="宋体"/>
                <w:szCs w:val="21"/>
              </w:rPr>
            </w:pPr>
            <w:r>
              <w:rPr>
                <w:rFonts w:hint="eastAsia"/>
                <w:lang w:val="en-US" w:eastAsia="zh-CN"/>
              </w:rPr>
              <w:t>不得</w:t>
            </w:r>
            <w:r>
              <w:rPr>
                <w:rFonts w:hint="eastAsia"/>
              </w:rPr>
              <w:t>将一个包的内容拆开投标；</w:t>
            </w:r>
          </w:p>
        </w:tc>
      </w:tr>
      <w:tr w14:paraId="486DDDD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tcPr>
          <w:p w14:paraId="175AF421">
            <w:pPr>
              <w:jc w:val="center"/>
              <w:rPr>
                <w:rFonts w:ascii="宋体" w:hAnsi="宋体" w:cs="宋体"/>
                <w:szCs w:val="21"/>
              </w:rPr>
            </w:pPr>
            <w:r>
              <w:rPr>
                <w:szCs w:val="21"/>
              </w:rPr>
              <w:t>2</w:t>
            </w:r>
          </w:p>
        </w:tc>
        <w:tc>
          <w:tcPr>
            <w:tcW w:w="8278" w:type="dxa"/>
            <w:tcBorders>
              <w:top w:val="single" w:color="000000" w:sz="8" w:space="0"/>
              <w:left w:val="single" w:color="000000" w:sz="8" w:space="0"/>
              <w:bottom w:val="single" w:color="000000" w:sz="8" w:space="0"/>
              <w:right w:val="single" w:color="000000" w:sz="8" w:space="0"/>
            </w:tcBorders>
          </w:tcPr>
          <w:p w14:paraId="7B9DC57F">
            <w:pPr>
              <w:rPr>
                <w:rFonts w:ascii="宋体" w:hAnsi="宋体" w:cs="宋体"/>
                <w:szCs w:val="21"/>
              </w:rPr>
            </w:pPr>
            <w:r>
              <w:rPr>
                <w:rFonts w:hint="eastAsia"/>
              </w:rPr>
              <w:t>对同一项目投标时，</w:t>
            </w:r>
            <w:r>
              <w:rPr>
                <w:rFonts w:hint="eastAsia"/>
                <w:lang w:val="en-US" w:eastAsia="zh-CN"/>
              </w:rPr>
              <w:t>不得</w:t>
            </w:r>
            <w:r>
              <w:rPr>
                <w:rFonts w:hint="eastAsia"/>
              </w:rPr>
              <w:t>提供两套以上的投标方案（招标文件另有规定的除外）；</w:t>
            </w:r>
          </w:p>
        </w:tc>
      </w:tr>
      <w:tr w14:paraId="41A8AED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tcPr>
          <w:p w14:paraId="52638E93">
            <w:pPr>
              <w:jc w:val="center"/>
              <w:rPr>
                <w:rFonts w:ascii="宋体" w:hAnsi="宋体" w:cs="宋体"/>
                <w:szCs w:val="21"/>
              </w:rPr>
            </w:pPr>
            <w:r>
              <w:rPr>
                <w:szCs w:val="21"/>
              </w:rPr>
              <w:t>3</w:t>
            </w:r>
          </w:p>
        </w:tc>
        <w:tc>
          <w:tcPr>
            <w:tcW w:w="8278" w:type="dxa"/>
            <w:tcBorders>
              <w:top w:val="single" w:color="000000" w:sz="8" w:space="0"/>
              <w:left w:val="single" w:color="000000" w:sz="8" w:space="0"/>
              <w:bottom w:val="single" w:color="000000" w:sz="8" w:space="0"/>
              <w:right w:val="single" w:color="000000" w:sz="8" w:space="0"/>
            </w:tcBorders>
          </w:tcPr>
          <w:p w14:paraId="1402775E">
            <w:pPr>
              <w:rPr>
                <w:rFonts w:ascii="宋体" w:hAnsi="宋体" w:cs="宋体"/>
                <w:szCs w:val="21"/>
              </w:rPr>
            </w:pPr>
            <w:r>
              <w:rPr>
                <w:rFonts w:hint="eastAsia"/>
              </w:rPr>
              <w:t>分项报价或投标总价</w:t>
            </w:r>
            <w:r>
              <w:rPr>
                <w:rFonts w:hint="eastAsia"/>
                <w:lang w:val="en-US" w:eastAsia="zh-CN"/>
              </w:rPr>
              <w:t>不得</w:t>
            </w:r>
            <w:r>
              <w:rPr>
                <w:rFonts w:hint="eastAsia"/>
              </w:rPr>
              <w:t>高于相应预算金额（或设定的预算金额下的最高限价）；</w:t>
            </w:r>
          </w:p>
        </w:tc>
      </w:tr>
      <w:tr w14:paraId="459AE7A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tcPr>
          <w:p w14:paraId="6AB288B3">
            <w:pPr>
              <w:jc w:val="center"/>
              <w:rPr>
                <w:rFonts w:ascii="宋体" w:hAnsi="宋体" w:cs="宋体"/>
                <w:szCs w:val="21"/>
              </w:rPr>
            </w:pPr>
            <w:r>
              <w:rPr>
                <w:szCs w:val="21"/>
              </w:rPr>
              <w:t>4</w:t>
            </w:r>
          </w:p>
        </w:tc>
        <w:tc>
          <w:tcPr>
            <w:tcW w:w="8278" w:type="dxa"/>
            <w:tcBorders>
              <w:top w:val="single" w:color="000000" w:sz="8" w:space="0"/>
              <w:left w:val="single" w:color="000000" w:sz="8" w:space="0"/>
              <w:bottom w:val="single" w:color="000000" w:sz="8" w:space="0"/>
              <w:right w:val="single" w:color="000000" w:sz="8" w:space="0"/>
            </w:tcBorders>
          </w:tcPr>
          <w:p w14:paraId="50EE4B6D">
            <w:pPr>
              <w:rPr>
                <w:rFonts w:ascii="宋体" w:hAnsi="宋体" w:cs="宋体"/>
                <w:szCs w:val="21"/>
              </w:rPr>
            </w:pPr>
            <w:r>
              <w:rPr>
                <w:rFonts w:hint="eastAsia"/>
              </w:rPr>
              <w:t>评审委员会认为投标人的报价明显低于其他通过符合性审查投标人的报价，有可能影响产品质量或者不能诚信履约的，应当要求其在评审现场合理的时间内提供书面说明，必要时提交相关证明材料；在此情况下，投标人仍不能证明其报价合理性的（评审委员会成员对投标人提供的说明材料判断不一致的，按照“少数服从多数”的原则确定评审委员会的意见）；</w:t>
            </w:r>
          </w:p>
        </w:tc>
      </w:tr>
      <w:tr w14:paraId="49B3605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tcPr>
          <w:p w14:paraId="1705E33D">
            <w:pPr>
              <w:jc w:val="center"/>
              <w:rPr>
                <w:rFonts w:ascii="宋体" w:hAnsi="宋体" w:cs="宋体"/>
                <w:szCs w:val="21"/>
              </w:rPr>
            </w:pPr>
            <w:r>
              <w:rPr>
                <w:szCs w:val="21"/>
              </w:rPr>
              <w:t>5</w:t>
            </w:r>
          </w:p>
        </w:tc>
        <w:tc>
          <w:tcPr>
            <w:tcW w:w="8278" w:type="dxa"/>
            <w:tcBorders>
              <w:top w:val="single" w:color="000000" w:sz="8" w:space="0"/>
              <w:left w:val="single" w:color="000000" w:sz="8" w:space="0"/>
              <w:bottom w:val="single" w:color="000000" w:sz="8" w:space="0"/>
              <w:right w:val="single" w:color="000000" w:sz="8" w:space="0"/>
            </w:tcBorders>
          </w:tcPr>
          <w:p w14:paraId="32BA10F1">
            <w:pPr>
              <w:rPr>
                <w:rFonts w:ascii="宋体" w:hAnsi="宋体" w:cs="宋体"/>
                <w:szCs w:val="21"/>
              </w:rPr>
            </w:pPr>
            <w:r>
              <w:rPr>
                <w:rFonts w:hint="eastAsia"/>
              </w:rPr>
              <w:t>所投货物、服务在技术、商务等方面没有实质性满足招标文件要求的（是否实质性满足招标文件要求，由评审委员会根据实质性条款响应情况做出评判；若招标文件未设置实质性条款，不得据此做投标无效处理）；</w:t>
            </w:r>
          </w:p>
        </w:tc>
      </w:tr>
      <w:tr w14:paraId="1301EB4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tcPr>
          <w:p w14:paraId="620F0845">
            <w:pPr>
              <w:jc w:val="center"/>
              <w:rPr>
                <w:rFonts w:ascii="宋体" w:hAnsi="宋体" w:cs="宋体"/>
                <w:szCs w:val="21"/>
              </w:rPr>
            </w:pPr>
            <w:r>
              <w:rPr>
                <w:szCs w:val="21"/>
              </w:rPr>
              <w:t>6</w:t>
            </w:r>
          </w:p>
        </w:tc>
        <w:tc>
          <w:tcPr>
            <w:tcW w:w="8278" w:type="dxa"/>
            <w:tcBorders>
              <w:top w:val="single" w:color="000000" w:sz="8" w:space="0"/>
              <w:left w:val="single" w:color="000000" w:sz="8" w:space="0"/>
              <w:bottom w:val="single" w:color="000000" w:sz="8" w:space="0"/>
              <w:right w:val="single" w:color="000000" w:sz="8" w:space="0"/>
            </w:tcBorders>
          </w:tcPr>
          <w:p w14:paraId="3F7DCF7A">
            <w:pPr>
              <w:rPr>
                <w:rFonts w:ascii="宋体" w:hAnsi="宋体" w:cs="宋体"/>
                <w:szCs w:val="21"/>
              </w:rPr>
            </w:pPr>
            <w:r>
              <w:rPr>
                <w:rFonts w:hint="eastAsia"/>
              </w:rPr>
              <w:t>未按招标文件所提供的样式填写《投标函》；未按招标文件所提供的《政府采购投标及履约承诺函》进行承诺；未按招标文件对投标文件组成的要求提供投标文件；</w:t>
            </w:r>
          </w:p>
        </w:tc>
      </w:tr>
      <w:tr w14:paraId="0640A92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tcPr>
          <w:p w14:paraId="18B3188B">
            <w:pPr>
              <w:jc w:val="center"/>
              <w:rPr>
                <w:rFonts w:ascii="宋体" w:hAnsi="宋体" w:cs="宋体"/>
                <w:szCs w:val="21"/>
              </w:rPr>
            </w:pPr>
            <w:r>
              <w:rPr>
                <w:szCs w:val="21"/>
              </w:rPr>
              <w:t>7</w:t>
            </w:r>
          </w:p>
        </w:tc>
        <w:tc>
          <w:tcPr>
            <w:tcW w:w="8278" w:type="dxa"/>
            <w:tcBorders>
              <w:top w:val="single" w:color="000000" w:sz="8" w:space="0"/>
              <w:left w:val="single" w:color="000000" w:sz="8" w:space="0"/>
              <w:bottom w:val="single" w:color="000000" w:sz="8" w:space="0"/>
              <w:right w:val="single" w:color="000000" w:sz="8" w:space="0"/>
            </w:tcBorders>
          </w:tcPr>
          <w:p w14:paraId="6FB907E3">
            <w:pPr>
              <w:rPr>
                <w:rFonts w:ascii="宋体" w:hAnsi="宋体" w:cs="宋体"/>
                <w:szCs w:val="21"/>
              </w:rPr>
            </w:pPr>
            <w:r>
              <w:rPr>
                <w:rFonts w:hint="eastAsia"/>
                <w:color w:val="FF0000"/>
                <w:lang w:val="en-US" w:eastAsia="zh-CN"/>
              </w:rPr>
              <w:t>采购标的/服务</w:t>
            </w:r>
            <w:r>
              <w:rPr>
                <w:rFonts w:hint="eastAsia" w:ascii="Times New Roman" w:eastAsia="宋体"/>
                <w:color w:val="FF0000"/>
                <w:lang w:val="en-US" w:eastAsia="zh-CN"/>
              </w:rPr>
              <w:t>清单</w:t>
            </w:r>
            <w:r>
              <w:rPr>
                <w:rFonts w:hint="eastAsia"/>
                <w:color w:val="FF0000"/>
                <w:lang w:val="en-US" w:eastAsia="zh-CN"/>
              </w:rPr>
              <w:t>/报价等任意一类</w:t>
            </w:r>
            <w:r>
              <w:rPr>
                <w:rFonts w:hint="eastAsia" w:ascii="Times New Roman" w:eastAsia="宋体"/>
                <w:color w:val="FF0000"/>
                <w:lang w:val="en-US" w:eastAsia="zh-CN"/>
              </w:rPr>
              <w:t>有缺漏项或响应不全</w:t>
            </w:r>
            <w:r>
              <w:rPr>
                <w:rFonts w:hint="eastAsia"/>
                <w:color w:val="auto"/>
                <w:lang w:val="en-US" w:eastAsia="zh-CN"/>
              </w:rPr>
              <w:t>，</w:t>
            </w:r>
            <w:r>
              <w:rPr>
                <w:rFonts w:hint="eastAsia"/>
              </w:rPr>
              <w:t>或者对招标文件规定的项目需求内容或者需求数量进行修改</w:t>
            </w:r>
            <w:r>
              <w:rPr>
                <w:rFonts w:hint="eastAsia"/>
                <w:szCs w:val="21"/>
              </w:rPr>
              <w:t>，评审委员会判定投标响应不满足采购需求</w:t>
            </w:r>
            <w:r>
              <w:rPr>
                <w:rFonts w:hint="eastAsia"/>
              </w:rPr>
              <w:t>；</w:t>
            </w:r>
          </w:p>
        </w:tc>
      </w:tr>
      <w:tr w14:paraId="1CC806E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tcPr>
          <w:p w14:paraId="667C9750">
            <w:pPr>
              <w:jc w:val="center"/>
              <w:rPr>
                <w:rFonts w:ascii="宋体" w:hAnsi="宋体" w:cs="宋体"/>
                <w:szCs w:val="21"/>
              </w:rPr>
            </w:pPr>
            <w:r>
              <w:rPr>
                <w:szCs w:val="21"/>
              </w:rPr>
              <w:t>8</w:t>
            </w:r>
          </w:p>
        </w:tc>
        <w:tc>
          <w:tcPr>
            <w:tcW w:w="8278" w:type="dxa"/>
            <w:tcBorders>
              <w:top w:val="single" w:color="000000" w:sz="8" w:space="0"/>
              <w:left w:val="single" w:color="000000" w:sz="8" w:space="0"/>
              <w:bottom w:val="single" w:color="000000" w:sz="8" w:space="0"/>
              <w:right w:val="single" w:color="000000" w:sz="8" w:space="0"/>
            </w:tcBorders>
          </w:tcPr>
          <w:p w14:paraId="32061083">
            <w:pPr>
              <w:rPr>
                <w:rFonts w:ascii="宋体" w:hAnsi="宋体" w:cs="宋体"/>
                <w:szCs w:val="21"/>
              </w:rPr>
            </w:pPr>
            <w:r>
              <w:rPr>
                <w:rFonts w:hint="eastAsia"/>
              </w:rPr>
              <w:t>投标文件存在列放位置错误，导致属于信息公开情形的没有被公开；</w:t>
            </w:r>
          </w:p>
        </w:tc>
      </w:tr>
      <w:tr w14:paraId="5D510B3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tcPr>
          <w:p w14:paraId="3532C0CF">
            <w:pPr>
              <w:jc w:val="center"/>
              <w:rPr>
                <w:rFonts w:ascii="宋体" w:hAnsi="宋体" w:cs="宋体"/>
                <w:szCs w:val="21"/>
              </w:rPr>
            </w:pPr>
            <w:r>
              <w:rPr>
                <w:szCs w:val="21"/>
              </w:rPr>
              <w:t>9</w:t>
            </w:r>
          </w:p>
        </w:tc>
        <w:tc>
          <w:tcPr>
            <w:tcW w:w="8278" w:type="dxa"/>
            <w:tcBorders>
              <w:top w:val="single" w:color="000000" w:sz="8" w:space="0"/>
              <w:left w:val="single" w:color="000000" w:sz="8" w:space="0"/>
              <w:bottom w:val="single" w:color="000000" w:sz="8" w:space="0"/>
              <w:right w:val="single" w:color="000000" w:sz="8" w:space="0"/>
            </w:tcBorders>
          </w:tcPr>
          <w:p w14:paraId="401B07AD">
            <w:pPr>
              <w:rPr>
                <w:rFonts w:ascii="宋体" w:hAnsi="宋体" w:cs="宋体"/>
                <w:szCs w:val="21"/>
              </w:rPr>
            </w:pPr>
            <w:r>
              <w:rPr>
                <w:rFonts w:hint="eastAsia"/>
              </w:rPr>
              <w:t>投标文件电子文档</w:t>
            </w:r>
            <w:r>
              <w:rPr>
                <w:rFonts w:hint="eastAsia"/>
                <w:lang w:val="en-US" w:eastAsia="zh-CN"/>
              </w:rPr>
              <w:t>不得</w:t>
            </w:r>
            <w:r>
              <w:rPr>
                <w:rFonts w:hint="eastAsia"/>
              </w:rPr>
              <w:t>带病毒；</w:t>
            </w:r>
          </w:p>
        </w:tc>
      </w:tr>
      <w:tr w14:paraId="1882AF5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tcPr>
          <w:p w14:paraId="5C825D66">
            <w:pPr>
              <w:jc w:val="center"/>
              <w:rPr>
                <w:rFonts w:ascii="宋体" w:hAnsi="宋体" w:cs="宋体"/>
                <w:szCs w:val="21"/>
              </w:rPr>
            </w:pPr>
            <w:r>
              <w:rPr>
                <w:szCs w:val="21"/>
              </w:rPr>
              <w:t>10</w:t>
            </w:r>
          </w:p>
        </w:tc>
        <w:tc>
          <w:tcPr>
            <w:tcW w:w="8278" w:type="dxa"/>
            <w:tcBorders>
              <w:top w:val="single" w:color="000000" w:sz="8" w:space="0"/>
              <w:left w:val="single" w:color="000000" w:sz="8" w:space="0"/>
              <w:bottom w:val="single" w:color="000000" w:sz="8" w:space="0"/>
              <w:right w:val="single" w:color="000000" w:sz="8" w:space="0"/>
            </w:tcBorders>
          </w:tcPr>
          <w:p w14:paraId="4540E7EE">
            <w:pPr>
              <w:rPr>
                <w:rFonts w:ascii="宋体" w:hAnsi="宋体" w:cs="宋体"/>
                <w:szCs w:val="21"/>
              </w:rPr>
            </w:pPr>
            <w:r>
              <w:rPr>
                <w:rFonts w:hint="eastAsia"/>
              </w:rPr>
              <w:t>投标文件用不属于本公司的电子密钥或电子营业执照进行加密的；</w:t>
            </w:r>
          </w:p>
        </w:tc>
      </w:tr>
      <w:tr w14:paraId="1BD2FA8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vAlign w:val="top"/>
          </w:tcPr>
          <w:p w14:paraId="5EEADC0B">
            <w:pPr>
              <w:widowControl/>
              <w:jc w:val="center"/>
              <w:textAlignment w:val="top"/>
              <w:rPr>
                <w:rFonts w:ascii="宋体" w:hAnsi="宋体" w:cs="宋体"/>
                <w:szCs w:val="21"/>
              </w:rPr>
            </w:pPr>
            <w:r>
              <w:rPr>
                <w:rFonts w:hint="eastAsia"/>
                <w:szCs w:val="24"/>
                <w:lang w:val="en-US" w:eastAsia="zh-CN"/>
              </w:rPr>
              <w:t>11</w:t>
            </w:r>
          </w:p>
        </w:tc>
        <w:tc>
          <w:tcPr>
            <w:tcW w:w="8278" w:type="dxa"/>
            <w:tcBorders>
              <w:top w:val="single" w:color="000000" w:sz="8" w:space="0"/>
              <w:left w:val="single" w:color="000000" w:sz="8" w:space="0"/>
              <w:bottom w:val="single" w:color="000000" w:sz="8" w:space="0"/>
              <w:right w:val="single" w:color="000000" w:sz="8" w:space="0"/>
            </w:tcBorders>
            <w:vAlign w:val="top"/>
          </w:tcPr>
          <w:p w14:paraId="42A8BF83">
            <w:pPr>
              <w:widowControl/>
              <w:jc w:val="left"/>
              <w:textAlignment w:val="top"/>
            </w:pPr>
            <w:r>
              <w:rPr>
                <w:rFonts w:hint="eastAsia" w:ascii="Times New Roman" w:hAnsi="Times New Roman" w:eastAsia="宋体" w:cs="Times New Roman"/>
                <w:szCs w:val="24"/>
              </w:rPr>
              <w:t>经核实，不同投标供应商的投标文件由同一电子设备编制、加密或者上传的；</w:t>
            </w:r>
          </w:p>
        </w:tc>
      </w:tr>
      <w:tr w14:paraId="316F403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tcPr>
          <w:p w14:paraId="75C527BD">
            <w:pPr>
              <w:jc w:val="center"/>
              <w:rPr>
                <w:rFonts w:hint="eastAsia" w:ascii="宋体" w:hAnsi="宋体" w:eastAsia="宋体" w:cs="宋体"/>
                <w:szCs w:val="21"/>
                <w:lang w:eastAsia="zh-CN"/>
              </w:rPr>
            </w:pPr>
            <w:r>
              <w:rPr>
                <w:szCs w:val="21"/>
              </w:rPr>
              <w:t>1</w:t>
            </w:r>
            <w:r>
              <w:rPr>
                <w:rFonts w:hint="eastAsia"/>
                <w:szCs w:val="21"/>
                <w:lang w:val="en-US" w:eastAsia="zh-CN"/>
              </w:rPr>
              <w:t>2</w:t>
            </w:r>
          </w:p>
        </w:tc>
        <w:tc>
          <w:tcPr>
            <w:tcW w:w="8278" w:type="dxa"/>
            <w:tcBorders>
              <w:top w:val="single" w:color="000000" w:sz="8" w:space="0"/>
              <w:left w:val="single" w:color="000000" w:sz="8" w:space="0"/>
              <w:bottom w:val="single" w:color="000000" w:sz="8" w:space="0"/>
              <w:right w:val="single" w:color="000000" w:sz="8" w:space="0"/>
            </w:tcBorders>
          </w:tcPr>
          <w:p w14:paraId="0CCC86AB">
            <w:pPr>
              <w:rPr>
                <w:rFonts w:ascii="宋体" w:hAnsi="宋体" w:cs="宋体"/>
                <w:szCs w:val="21"/>
              </w:rPr>
            </w:pPr>
            <w:r>
              <w:rPr>
                <w:rFonts w:hint="eastAsia"/>
              </w:rPr>
              <w:t>法律、法规、规章、规范性文件规定的其他情形。</w:t>
            </w:r>
          </w:p>
        </w:tc>
      </w:tr>
    </w:tbl>
    <w:p w14:paraId="0E62D825">
      <w:pPr>
        <w:pStyle w:val="37"/>
        <w:jc w:val="center"/>
        <w:outlineLvl w:val="1"/>
        <w:rPr>
          <w:rFonts w:hint="eastAsia" w:ascii="黑体" w:hAnsi="黑体" w:eastAsia="黑体"/>
          <w:sz w:val="40"/>
          <w:szCs w:val="40"/>
        </w:rPr>
      </w:pPr>
    </w:p>
    <w:p w14:paraId="6471C9F4">
      <w:pPr>
        <w:pStyle w:val="37"/>
        <w:jc w:val="center"/>
        <w:outlineLvl w:val="1"/>
        <w:rPr>
          <w:rFonts w:hint="eastAsia" w:ascii="黑体" w:hAnsi="黑体" w:eastAsia="黑体"/>
          <w:sz w:val="40"/>
          <w:szCs w:val="40"/>
        </w:rPr>
        <w:sectPr>
          <w:pgSz w:w="11907" w:h="16840"/>
          <w:pgMar w:top="1440" w:right="1417" w:bottom="1440" w:left="1417" w:header="851" w:footer="992" w:gutter="0"/>
          <w:cols w:space="425" w:num="1"/>
          <w:titlePg/>
          <w:docGrid w:linePitch="462" w:charSpace="0"/>
        </w:sectPr>
      </w:pPr>
    </w:p>
    <w:p w14:paraId="529E1182">
      <w:pPr>
        <w:pStyle w:val="37"/>
        <w:jc w:val="center"/>
        <w:outlineLvl w:val="1"/>
        <w:rPr>
          <w:rFonts w:ascii="黑体" w:hAnsi="黑体" w:eastAsia="黑体"/>
          <w:sz w:val="40"/>
          <w:szCs w:val="40"/>
        </w:rPr>
      </w:pPr>
      <w:r>
        <w:rPr>
          <w:rFonts w:hint="eastAsia" w:ascii="黑体" w:hAnsi="黑体" w:eastAsia="黑体"/>
          <w:sz w:val="40"/>
          <w:szCs w:val="40"/>
        </w:rPr>
        <w:t>评标信息</w:t>
      </w:r>
    </w:p>
    <w:tbl>
      <w:tblPr>
        <w:tblStyle w:val="42"/>
        <w:tblW w:w="9113" w:type="dxa"/>
        <w:jc w:val="center"/>
        <w:tblCellSpacing w:w="0"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45" w:type="dxa"/>
          <w:left w:w="45" w:type="dxa"/>
          <w:bottom w:w="45" w:type="dxa"/>
          <w:right w:w="45" w:type="dxa"/>
        </w:tblCellMar>
      </w:tblPr>
      <w:tblGrid>
        <w:gridCol w:w="8873"/>
        <w:gridCol w:w="240"/>
      </w:tblGrid>
      <w:tr w14:paraId="3A039FEE">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PrEx>
        <w:trPr>
          <w:tblCellSpacing w:w="0" w:type="dxa"/>
          <w:jc w:val="center"/>
        </w:trPr>
        <w:tc>
          <w:tcPr>
            <w:tcW w:w="8873" w:type="dxa"/>
            <w:shd w:val="clear" w:color="auto" w:fill="auto"/>
            <w:vAlign w:val="center"/>
          </w:tcPr>
          <w:p w14:paraId="0F762D64">
            <w:pPr>
              <w:widowControl/>
              <w:jc w:val="left"/>
              <w:rPr>
                <w:b/>
                <w:bCs/>
                <w:sz w:val="24"/>
              </w:rPr>
            </w:pPr>
            <w:r>
              <w:rPr>
                <w:b/>
                <w:bCs/>
              </w:rPr>
              <w:t>评标方法：</w:t>
            </w:r>
            <w:r>
              <w:rPr>
                <w:rFonts w:hint="eastAsia"/>
                <w:b/>
                <w:bCs/>
                <w:strike w:val="0"/>
                <w:dstrike w:val="0"/>
              </w:rPr>
              <w:t>最低价法/</w:t>
            </w:r>
            <w:r>
              <w:rPr>
                <w:b/>
                <w:bCs/>
                <w:strike w:val="0"/>
                <w:dstrike w:val="0"/>
              </w:rPr>
              <w:t>综合评分法</w:t>
            </w:r>
          </w:p>
        </w:tc>
        <w:tc>
          <w:tcPr>
            <w:tcW w:w="240" w:type="dxa"/>
            <w:shd w:val="clear" w:color="auto" w:fill="auto"/>
            <w:vAlign w:val="center"/>
          </w:tcPr>
          <w:p w14:paraId="028B765D">
            <w:pPr>
              <w:jc w:val="right"/>
              <w:rPr>
                <w:rFonts w:ascii="宋体"/>
                <w:b/>
                <w:bCs/>
                <w:sz w:val="24"/>
              </w:rPr>
            </w:pPr>
          </w:p>
        </w:tc>
      </w:tr>
      <w:tr w14:paraId="0B759CC1">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45" w:type="dxa"/>
            <w:left w:w="45" w:type="dxa"/>
            <w:bottom w:w="45" w:type="dxa"/>
            <w:right w:w="45" w:type="dxa"/>
          </w:tblCellMar>
        </w:tblPrEx>
        <w:trPr>
          <w:tblCellSpacing w:w="0" w:type="dxa"/>
          <w:jc w:val="center"/>
        </w:trPr>
        <w:tc>
          <w:tcPr>
            <w:tcW w:w="9113" w:type="dxa"/>
            <w:gridSpan w:val="2"/>
            <w:shd w:val="clear" w:color="auto" w:fill="auto"/>
            <w:vAlign w:val="center"/>
          </w:tcPr>
          <w:p w14:paraId="7F59F0BA">
            <w:pPr>
              <w:keepNext w:val="0"/>
              <w:keepLines w:val="0"/>
              <w:pageBreakBefore w:val="0"/>
              <w:kinsoku/>
              <w:wordWrap/>
              <w:overflowPunct/>
              <w:topLinePunct w:val="0"/>
              <w:autoSpaceDE/>
              <w:autoSpaceDN/>
              <w:bidi w:val="0"/>
              <w:adjustRightInd/>
              <w:snapToGrid/>
              <w:spacing w:beforeAutospacing="0" w:afterAutospacing="0" w:line="240" w:lineRule="auto"/>
              <w:ind w:firstLine="420"/>
              <w:textAlignment w:val="auto"/>
              <w:rPr>
                <w:sz w:val="21"/>
                <w:szCs w:val="21"/>
              </w:rPr>
            </w:pPr>
            <w:r>
              <w:rPr>
                <w:sz w:val="21"/>
                <w:szCs w:val="21"/>
              </w:rPr>
              <w:t>综合评分法，是指</w:t>
            </w:r>
            <w:r>
              <w:rPr>
                <w:rFonts w:hint="eastAsia" w:ascii="Times New Roman" w:hAnsi="Times New Roman" w:eastAsia="宋体" w:cs="Times New Roman"/>
                <w:kern w:val="0"/>
                <w:sz w:val="21"/>
                <w:szCs w:val="21"/>
                <w:lang w:val="en-US" w:eastAsia="zh-CN" w:bidi="ar-SA"/>
              </w:rPr>
              <w:t>投标文件满足招标文件全部实质性要求</w:t>
            </w:r>
            <w:r>
              <w:rPr>
                <w:sz w:val="21"/>
                <w:szCs w:val="21"/>
              </w:rPr>
              <w:t>，且按照</w:t>
            </w:r>
            <w:r>
              <w:rPr>
                <w:rFonts w:hint="eastAsia" w:ascii="Times New Roman" w:eastAsia="宋体"/>
                <w:sz w:val="21"/>
                <w:szCs w:val="21"/>
                <w:lang w:val="en-US" w:eastAsia="zh-CN"/>
              </w:rPr>
              <w:t>招标文件规定的各项因素进行综合评审，评标总得分排名前列</w:t>
            </w:r>
            <w:r>
              <w:rPr>
                <w:sz w:val="21"/>
                <w:szCs w:val="21"/>
              </w:rPr>
              <w:t>的投标人为中标候选人的评标方法。</w:t>
            </w:r>
          </w:p>
          <w:p w14:paraId="271B6D6A">
            <w:pPr>
              <w:keepNext w:val="0"/>
              <w:keepLines w:val="0"/>
              <w:pageBreakBefore w:val="0"/>
              <w:kinsoku/>
              <w:wordWrap/>
              <w:overflowPunct/>
              <w:topLinePunct w:val="0"/>
              <w:autoSpaceDE/>
              <w:autoSpaceDN/>
              <w:bidi w:val="0"/>
              <w:adjustRightInd/>
              <w:snapToGrid/>
              <w:spacing w:beforeAutospacing="0" w:afterAutospacing="0" w:line="240" w:lineRule="auto"/>
              <w:ind w:firstLine="420"/>
              <w:textAlignment w:val="auto"/>
              <w:rPr>
                <w:sz w:val="21"/>
                <w:szCs w:val="21"/>
              </w:rPr>
            </w:pPr>
            <w:r>
              <w:rPr>
                <w:sz w:val="21"/>
                <w:szCs w:val="21"/>
              </w:rPr>
              <w:t>价格分计算方法：</w:t>
            </w:r>
          </w:p>
          <w:p w14:paraId="0C498CDA">
            <w:pPr>
              <w:keepNext w:val="0"/>
              <w:keepLines w:val="0"/>
              <w:pageBreakBefore w:val="0"/>
              <w:widowControl/>
              <w:kinsoku/>
              <w:wordWrap/>
              <w:overflowPunct/>
              <w:topLinePunct w:val="0"/>
              <w:autoSpaceDE/>
              <w:autoSpaceDN/>
              <w:bidi w:val="0"/>
              <w:adjustRightInd/>
              <w:snapToGrid/>
              <w:spacing w:beforeAutospacing="0" w:afterAutospacing="0" w:line="240" w:lineRule="auto"/>
              <w:ind w:left="420"/>
              <w:jc w:val="left"/>
              <w:textAlignment w:val="auto"/>
              <w:rPr>
                <w:rFonts w:ascii="Times New Roman" w:hAnsi="Times New Roman" w:eastAsia="宋体" w:cs="Times New Roman"/>
                <w:kern w:val="2"/>
                <w:sz w:val="21"/>
                <w:szCs w:val="21"/>
                <w:lang w:val="en-US" w:eastAsia="zh-CN" w:bidi="ar-SA"/>
              </w:rPr>
            </w:pPr>
            <w:r>
              <w:rPr>
                <w:rFonts w:ascii="Times New Roman" w:hAnsi="Times New Roman" w:eastAsia="宋体" w:cs="Times New Roman"/>
                <w:kern w:val="2"/>
                <w:sz w:val="21"/>
                <w:szCs w:val="21"/>
                <w:lang w:val="en-US" w:eastAsia="zh-CN" w:bidi="ar-SA"/>
              </w:rPr>
              <w:t xml:space="preserve">采用低价优先法计算，即满足招标文件要求且投标价格最低的投标报价为评标基准价，其价格分为满分。其他投标人的价格分统一按照下列公式计算： </w:t>
            </w:r>
            <w:r>
              <w:rPr>
                <w:rFonts w:ascii="Times New Roman" w:hAnsi="Times New Roman" w:eastAsia="宋体" w:cs="Times New Roman"/>
                <w:kern w:val="2"/>
                <w:sz w:val="21"/>
                <w:szCs w:val="21"/>
                <w:lang w:val="en-US" w:eastAsia="zh-CN" w:bidi="ar-SA"/>
              </w:rPr>
              <w:br w:type="textWrapping"/>
            </w:r>
            <w:r>
              <w:rPr>
                <w:rFonts w:ascii="Times New Roman" w:hAnsi="Times New Roman" w:eastAsia="宋体" w:cs="Times New Roman"/>
                <w:kern w:val="2"/>
                <w:sz w:val="21"/>
                <w:szCs w:val="21"/>
                <w:lang w:val="en-US" w:eastAsia="zh-CN" w:bidi="ar-SA"/>
              </w:rPr>
              <w:t xml:space="preserve">投标报价得分=(评标基准价／投标报价)×100 </w:t>
            </w:r>
            <w:r>
              <w:rPr>
                <w:rFonts w:ascii="Times New Roman" w:hAnsi="Times New Roman" w:eastAsia="宋体" w:cs="Times New Roman"/>
                <w:kern w:val="2"/>
                <w:sz w:val="21"/>
                <w:szCs w:val="21"/>
                <w:lang w:val="en-US" w:eastAsia="zh-CN" w:bidi="ar-SA"/>
              </w:rPr>
              <w:br w:type="textWrapping"/>
            </w:r>
            <w:r>
              <w:rPr>
                <w:rFonts w:ascii="Times New Roman" w:hAnsi="Times New Roman" w:eastAsia="宋体" w:cs="Times New Roman"/>
                <w:kern w:val="2"/>
                <w:sz w:val="21"/>
                <w:szCs w:val="21"/>
                <w:lang w:val="en-US" w:eastAsia="zh-CN" w:bidi="ar-SA"/>
              </w:rPr>
              <w:t xml:space="preserve">评标总得分＝F1×A1＋F2×A2＋……＋Fn×An </w:t>
            </w:r>
            <w:r>
              <w:rPr>
                <w:rFonts w:ascii="Times New Roman" w:hAnsi="Times New Roman" w:eastAsia="宋体" w:cs="Times New Roman"/>
                <w:kern w:val="2"/>
                <w:sz w:val="21"/>
                <w:szCs w:val="21"/>
                <w:lang w:val="en-US" w:eastAsia="zh-CN" w:bidi="ar-SA"/>
              </w:rPr>
              <w:br w:type="textWrapping"/>
            </w:r>
            <w:r>
              <w:rPr>
                <w:rFonts w:ascii="Times New Roman" w:hAnsi="Times New Roman" w:eastAsia="宋体" w:cs="Times New Roman"/>
                <w:kern w:val="2"/>
                <w:sz w:val="21"/>
                <w:szCs w:val="21"/>
                <w:lang w:val="en-US" w:eastAsia="zh-CN" w:bidi="ar-SA"/>
              </w:rPr>
              <w:t xml:space="preserve">F1、F2……Fn分别为各项评审因素的得分； </w:t>
            </w:r>
            <w:r>
              <w:rPr>
                <w:rFonts w:ascii="Times New Roman" w:hAnsi="Times New Roman" w:eastAsia="宋体" w:cs="Times New Roman"/>
                <w:kern w:val="2"/>
                <w:sz w:val="21"/>
                <w:szCs w:val="21"/>
                <w:lang w:val="en-US" w:eastAsia="zh-CN" w:bidi="ar-SA"/>
              </w:rPr>
              <w:br w:type="textWrapping"/>
            </w:r>
            <w:r>
              <w:rPr>
                <w:rFonts w:ascii="Times New Roman" w:hAnsi="Times New Roman" w:eastAsia="宋体" w:cs="Times New Roman"/>
                <w:kern w:val="2"/>
                <w:sz w:val="21"/>
                <w:szCs w:val="21"/>
                <w:lang w:val="en-US" w:eastAsia="zh-CN" w:bidi="ar-SA"/>
              </w:rPr>
              <w:t xml:space="preserve">A1、A2、……An 分别为各项评审因素所占的权重(A1＋A2＋……＋An＝1)。 </w:t>
            </w:r>
            <w:r>
              <w:rPr>
                <w:rFonts w:ascii="Times New Roman" w:hAnsi="Times New Roman" w:eastAsia="宋体" w:cs="Times New Roman"/>
                <w:kern w:val="2"/>
                <w:sz w:val="21"/>
                <w:szCs w:val="21"/>
                <w:lang w:val="en-US" w:eastAsia="zh-CN" w:bidi="ar-SA"/>
              </w:rPr>
              <w:br w:type="textWrapping"/>
            </w:r>
            <w:r>
              <w:rPr>
                <w:rFonts w:ascii="Times New Roman" w:hAnsi="Times New Roman" w:eastAsia="宋体" w:cs="Times New Roman"/>
                <w:kern w:val="2"/>
                <w:sz w:val="21"/>
                <w:szCs w:val="21"/>
                <w:lang w:val="en-US" w:eastAsia="zh-CN" w:bidi="ar-SA"/>
              </w:rPr>
              <w:t>评标过程中，不得去掉报价中的最高报价和最低报价。</w:t>
            </w:r>
          </w:p>
          <w:p w14:paraId="5EB1911E">
            <w:pPr>
              <w:keepNext w:val="0"/>
              <w:keepLines w:val="0"/>
              <w:pageBreakBefore w:val="0"/>
              <w:widowControl/>
              <w:kinsoku/>
              <w:wordWrap/>
              <w:overflowPunct/>
              <w:topLinePunct w:val="0"/>
              <w:autoSpaceDE/>
              <w:autoSpaceDN/>
              <w:bidi w:val="0"/>
              <w:adjustRightInd/>
              <w:snapToGrid/>
              <w:spacing w:beforeAutospacing="0" w:afterAutospacing="0" w:line="240" w:lineRule="auto"/>
              <w:ind w:left="420"/>
              <w:jc w:val="left"/>
              <w:textAlignment w:val="auto"/>
              <w:rPr>
                <w:rFonts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因落实政府采购政策进行价格调整的，以调整后的价格计算评标基准价和投标报价。</w:t>
            </w:r>
          </w:p>
          <w:p w14:paraId="0D8B33FC">
            <w:pPr>
              <w:keepNext w:val="0"/>
              <w:keepLines w:val="0"/>
              <w:pageBreakBefore w:val="0"/>
              <w:widowControl/>
              <w:kinsoku/>
              <w:wordWrap/>
              <w:overflowPunct/>
              <w:topLinePunct w:val="0"/>
              <w:autoSpaceDE/>
              <w:autoSpaceDN/>
              <w:bidi w:val="0"/>
              <w:adjustRightInd/>
              <w:snapToGrid/>
              <w:spacing w:beforeAutospacing="0" w:afterAutospacing="0" w:line="240" w:lineRule="auto"/>
              <w:ind w:left="420"/>
              <w:jc w:val="left"/>
              <w:textAlignment w:val="auto"/>
              <w:rPr>
                <w:rFonts w:ascii="Times New Roman" w:hAnsi="Times New Roman" w:eastAsia="宋体" w:cs="Times New Roman"/>
                <w:kern w:val="0"/>
                <w:sz w:val="24"/>
                <w:szCs w:val="24"/>
                <w:lang w:val="en-US" w:eastAsia="zh-CN" w:bidi="ar-SA"/>
              </w:rPr>
            </w:pPr>
          </w:p>
        </w:tc>
      </w:tr>
    </w:tbl>
    <w:p w14:paraId="7827AA07">
      <w:pPr>
        <w:rPr>
          <w:vanish/>
        </w:rPr>
      </w:pPr>
    </w:p>
    <w:tbl>
      <w:tblPr>
        <w:tblStyle w:val="42"/>
        <w:tblpPr w:leftFromText="180" w:rightFromText="180" w:vertAnchor="text" w:horzAnchor="page" w:tblpX="1509" w:tblpY="228"/>
        <w:tblOverlap w:val="never"/>
        <w:tblW w:w="9049" w:type="dxa"/>
        <w:tblCellSpacing w:w="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20" w:type="dxa"/>
          <w:left w:w="108" w:type="dxa"/>
          <w:bottom w:w="20" w:type="dxa"/>
          <w:right w:w="108" w:type="dxa"/>
        </w:tblCellMar>
      </w:tblPr>
      <w:tblGrid>
        <w:gridCol w:w="685"/>
        <w:gridCol w:w="548"/>
        <w:gridCol w:w="2264"/>
        <w:gridCol w:w="696"/>
        <w:gridCol w:w="4856"/>
      </w:tblGrid>
      <w:tr w14:paraId="4EA46A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0" w:type="dxa"/>
            <w:left w:w="108" w:type="dxa"/>
            <w:bottom w:w="20" w:type="dxa"/>
            <w:right w:w="108" w:type="dxa"/>
          </w:tblCellMar>
        </w:tblPrEx>
        <w:trPr>
          <w:tblCellSpacing w:w="0" w:type="dxa"/>
        </w:trPr>
        <w:tc>
          <w:tcPr>
            <w:tcW w:w="685" w:type="dxa"/>
            <w:tcBorders>
              <w:tl2br w:val="nil"/>
              <w:tr2bl w:val="nil"/>
            </w:tcBorders>
            <w:shd w:val="clear" w:color="auto" w:fill="E6EFFA"/>
            <w:vAlign w:val="center"/>
          </w:tcPr>
          <w:p w14:paraId="313C0EAB">
            <w:pPr>
              <w:wordWrap w:val="0"/>
              <w:adjustRightInd w:val="0"/>
              <w:snapToGrid w:val="0"/>
              <w:spacing w:line="320" w:lineRule="exact"/>
              <w:jc w:val="center"/>
              <w:rPr>
                <w:rFonts w:ascii="宋体" w:hAnsi="宋体" w:cs="宋体"/>
                <w:b/>
                <w:bCs/>
                <w:szCs w:val="21"/>
              </w:rPr>
            </w:pPr>
            <w:r>
              <w:rPr>
                <w:rFonts w:hint="eastAsia" w:ascii="宋体" w:hAnsi="宋体" w:cs="宋体"/>
                <w:b/>
                <w:bCs/>
                <w:szCs w:val="21"/>
              </w:rPr>
              <w:t>序号</w:t>
            </w:r>
          </w:p>
        </w:tc>
        <w:tc>
          <w:tcPr>
            <w:tcW w:w="3508" w:type="dxa"/>
            <w:gridSpan w:val="3"/>
            <w:tcBorders>
              <w:tl2br w:val="nil"/>
              <w:tr2bl w:val="nil"/>
            </w:tcBorders>
            <w:shd w:val="clear" w:color="auto" w:fill="E6EFFA"/>
            <w:vAlign w:val="center"/>
          </w:tcPr>
          <w:p w14:paraId="0CC10798">
            <w:pPr>
              <w:wordWrap w:val="0"/>
              <w:adjustRightInd w:val="0"/>
              <w:snapToGrid w:val="0"/>
              <w:spacing w:line="320" w:lineRule="exact"/>
              <w:jc w:val="center"/>
              <w:rPr>
                <w:rFonts w:ascii="宋体" w:hAnsi="宋体" w:cs="宋体"/>
                <w:b/>
                <w:bCs/>
                <w:szCs w:val="21"/>
              </w:rPr>
            </w:pPr>
            <w:r>
              <w:rPr>
                <w:rFonts w:hint="eastAsia" w:ascii="宋体" w:hAnsi="宋体" w:cs="宋体"/>
                <w:b/>
                <w:bCs/>
                <w:szCs w:val="21"/>
              </w:rPr>
              <w:t>评分项</w:t>
            </w:r>
          </w:p>
        </w:tc>
        <w:tc>
          <w:tcPr>
            <w:tcW w:w="4856" w:type="dxa"/>
            <w:tcBorders>
              <w:tl2br w:val="nil"/>
              <w:tr2bl w:val="nil"/>
            </w:tcBorders>
            <w:shd w:val="clear" w:color="auto" w:fill="E6EFFA"/>
            <w:vAlign w:val="center"/>
          </w:tcPr>
          <w:p w14:paraId="76A863AF">
            <w:pPr>
              <w:wordWrap w:val="0"/>
              <w:adjustRightInd w:val="0"/>
              <w:snapToGrid w:val="0"/>
              <w:spacing w:line="320" w:lineRule="exact"/>
              <w:jc w:val="center"/>
              <w:rPr>
                <w:rFonts w:ascii="宋体" w:hAnsi="宋体" w:cs="宋体"/>
                <w:b/>
                <w:bCs/>
                <w:szCs w:val="21"/>
              </w:rPr>
            </w:pPr>
            <w:r>
              <w:rPr>
                <w:rFonts w:hint="eastAsia" w:ascii="宋体" w:hAnsi="宋体" w:cs="宋体"/>
                <w:b/>
                <w:bCs/>
                <w:szCs w:val="21"/>
              </w:rPr>
              <w:t>权重(%)</w:t>
            </w:r>
          </w:p>
        </w:tc>
      </w:tr>
      <w:tr w14:paraId="4195EC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0" w:type="dxa"/>
            <w:left w:w="108" w:type="dxa"/>
            <w:bottom w:w="20" w:type="dxa"/>
            <w:right w:w="108" w:type="dxa"/>
          </w:tblCellMar>
        </w:tblPrEx>
        <w:trPr>
          <w:tblCellSpacing w:w="0" w:type="dxa"/>
        </w:trPr>
        <w:tc>
          <w:tcPr>
            <w:tcW w:w="685" w:type="dxa"/>
            <w:vMerge w:val="restart"/>
            <w:tcBorders>
              <w:tl2br w:val="nil"/>
              <w:tr2bl w:val="nil"/>
            </w:tcBorders>
          </w:tcPr>
          <w:p w14:paraId="0793AEED">
            <w:pPr>
              <w:wordWrap w:val="0"/>
              <w:adjustRightInd w:val="0"/>
              <w:snapToGrid w:val="0"/>
              <w:spacing w:line="320" w:lineRule="exact"/>
              <w:jc w:val="center"/>
              <w:rPr>
                <w:rFonts w:ascii="宋体" w:hAnsi="宋体" w:cs="宋体"/>
                <w:b/>
                <w:bCs/>
                <w:color w:val="0000FF"/>
                <w:szCs w:val="21"/>
              </w:rPr>
            </w:pPr>
            <w:r>
              <w:rPr>
                <w:rFonts w:hint="eastAsia" w:ascii="宋体" w:hAnsi="宋体" w:cs="宋体"/>
                <w:b/>
                <w:bCs/>
                <w:color w:val="0000FF"/>
                <w:szCs w:val="21"/>
              </w:rPr>
              <w:t>1</w:t>
            </w:r>
          </w:p>
        </w:tc>
        <w:tc>
          <w:tcPr>
            <w:tcW w:w="3508" w:type="dxa"/>
            <w:gridSpan w:val="3"/>
            <w:tcBorders>
              <w:tl2br w:val="nil"/>
              <w:tr2bl w:val="nil"/>
            </w:tcBorders>
          </w:tcPr>
          <w:p w14:paraId="5D3C878E">
            <w:pPr>
              <w:wordWrap w:val="0"/>
              <w:adjustRightInd w:val="0"/>
              <w:snapToGrid w:val="0"/>
              <w:spacing w:line="320" w:lineRule="exact"/>
              <w:jc w:val="center"/>
              <w:rPr>
                <w:rFonts w:ascii="宋体" w:hAnsi="宋体" w:cs="宋体"/>
                <w:b/>
                <w:bCs/>
                <w:color w:val="0000FF"/>
                <w:szCs w:val="21"/>
              </w:rPr>
            </w:pPr>
            <w:r>
              <w:rPr>
                <w:rFonts w:hint="eastAsia" w:ascii="宋体" w:hAnsi="宋体" w:cs="宋体"/>
                <w:b/>
                <w:bCs/>
                <w:color w:val="0000FF"/>
                <w:szCs w:val="21"/>
              </w:rPr>
              <w:t>价格</w:t>
            </w:r>
          </w:p>
        </w:tc>
        <w:tc>
          <w:tcPr>
            <w:tcW w:w="4856" w:type="dxa"/>
            <w:tcBorders>
              <w:tl2br w:val="nil"/>
              <w:tr2bl w:val="nil"/>
            </w:tcBorders>
          </w:tcPr>
          <w:p w14:paraId="3A10C303">
            <w:pPr>
              <w:wordWrap w:val="0"/>
              <w:adjustRightInd w:val="0"/>
              <w:snapToGrid w:val="0"/>
              <w:spacing w:line="320" w:lineRule="exact"/>
              <w:jc w:val="center"/>
              <w:rPr>
                <w:rFonts w:ascii="宋体" w:hAnsi="宋体" w:cs="宋体"/>
                <w:b/>
                <w:bCs/>
                <w:color w:val="0000FF"/>
                <w:szCs w:val="21"/>
              </w:rPr>
            </w:pPr>
            <w:r>
              <w:rPr>
                <w:rFonts w:hint="eastAsia" w:ascii="宋体" w:hAnsi="宋体" w:cs="宋体"/>
                <w:b/>
                <w:bCs/>
                <w:color w:val="0000FF"/>
                <w:szCs w:val="21"/>
              </w:rPr>
              <w:t>10</w:t>
            </w:r>
          </w:p>
        </w:tc>
      </w:tr>
      <w:tr w14:paraId="553F53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0" w:type="dxa"/>
            <w:left w:w="108" w:type="dxa"/>
            <w:bottom w:w="20" w:type="dxa"/>
            <w:right w:w="108" w:type="dxa"/>
          </w:tblCellMar>
        </w:tblPrEx>
        <w:trPr>
          <w:tblCellSpacing w:w="0" w:type="dxa"/>
        </w:trPr>
        <w:tc>
          <w:tcPr>
            <w:tcW w:w="685" w:type="dxa"/>
            <w:vMerge w:val="continue"/>
            <w:tcBorders>
              <w:tl2br w:val="nil"/>
              <w:tr2bl w:val="nil"/>
            </w:tcBorders>
            <w:vAlign w:val="center"/>
          </w:tcPr>
          <w:p w14:paraId="29D02F5F">
            <w:pPr>
              <w:adjustRightInd w:val="0"/>
              <w:snapToGrid w:val="0"/>
              <w:spacing w:line="320" w:lineRule="exact"/>
              <w:rPr>
                <w:rFonts w:ascii="宋体" w:hAnsi="宋体" w:cs="宋体"/>
                <w:b/>
                <w:bCs/>
                <w:color w:val="0000FF"/>
                <w:szCs w:val="21"/>
              </w:rPr>
            </w:pPr>
          </w:p>
        </w:tc>
        <w:tc>
          <w:tcPr>
            <w:tcW w:w="8364" w:type="dxa"/>
            <w:gridSpan w:val="4"/>
            <w:tcBorders>
              <w:tl2br w:val="nil"/>
              <w:tr2bl w:val="nil"/>
            </w:tcBorders>
          </w:tcPr>
          <w:p w14:paraId="68CC293E">
            <w:pPr>
              <w:wordWrap w:val="0"/>
              <w:adjustRightInd w:val="0"/>
              <w:snapToGrid w:val="0"/>
              <w:spacing w:line="320" w:lineRule="exact"/>
              <w:rPr>
                <w:rFonts w:ascii="宋体" w:hAnsi="宋体" w:cs="宋体"/>
                <w:szCs w:val="21"/>
              </w:rPr>
            </w:pPr>
          </w:p>
        </w:tc>
      </w:tr>
      <w:tr w14:paraId="42055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0" w:type="dxa"/>
            <w:left w:w="108" w:type="dxa"/>
            <w:bottom w:w="20" w:type="dxa"/>
            <w:right w:w="108" w:type="dxa"/>
          </w:tblCellMar>
        </w:tblPrEx>
        <w:trPr>
          <w:trHeight w:val="90" w:hRule="atLeast"/>
          <w:tblCellSpacing w:w="0" w:type="dxa"/>
        </w:trPr>
        <w:tc>
          <w:tcPr>
            <w:tcW w:w="685" w:type="dxa"/>
            <w:vMerge w:val="restart"/>
            <w:tcBorders>
              <w:tl2br w:val="nil"/>
              <w:tr2bl w:val="nil"/>
            </w:tcBorders>
          </w:tcPr>
          <w:p w14:paraId="662EB500">
            <w:pPr>
              <w:wordWrap w:val="0"/>
              <w:adjustRightInd w:val="0"/>
              <w:snapToGrid w:val="0"/>
              <w:spacing w:line="320" w:lineRule="exact"/>
              <w:jc w:val="center"/>
              <w:rPr>
                <w:rFonts w:ascii="宋体" w:hAnsi="宋体" w:cs="宋体"/>
                <w:b/>
                <w:bCs/>
                <w:color w:val="0000FF"/>
                <w:szCs w:val="21"/>
              </w:rPr>
            </w:pPr>
            <w:r>
              <w:rPr>
                <w:rFonts w:hint="eastAsia" w:ascii="宋体" w:hAnsi="宋体" w:cs="宋体"/>
                <w:b/>
                <w:bCs/>
                <w:color w:val="0000FF"/>
                <w:szCs w:val="21"/>
              </w:rPr>
              <w:t>2</w:t>
            </w:r>
          </w:p>
        </w:tc>
        <w:tc>
          <w:tcPr>
            <w:tcW w:w="3508" w:type="dxa"/>
            <w:gridSpan w:val="3"/>
            <w:tcBorders>
              <w:tl2br w:val="nil"/>
              <w:tr2bl w:val="nil"/>
            </w:tcBorders>
          </w:tcPr>
          <w:p w14:paraId="7F45E0C1">
            <w:pPr>
              <w:wordWrap w:val="0"/>
              <w:adjustRightInd w:val="0"/>
              <w:snapToGrid w:val="0"/>
              <w:spacing w:line="320" w:lineRule="exact"/>
              <w:jc w:val="center"/>
              <w:rPr>
                <w:rFonts w:ascii="宋体" w:hAnsi="宋体" w:cs="宋体"/>
                <w:b/>
                <w:bCs/>
                <w:color w:val="0000FF"/>
                <w:szCs w:val="21"/>
              </w:rPr>
            </w:pPr>
            <w:r>
              <w:rPr>
                <w:rFonts w:hint="eastAsia" w:ascii="宋体" w:hAnsi="宋体" w:cs="宋体"/>
                <w:b/>
                <w:bCs/>
                <w:color w:val="0000FF"/>
                <w:szCs w:val="21"/>
              </w:rPr>
              <w:t>技术部分</w:t>
            </w:r>
          </w:p>
        </w:tc>
        <w:tc>
          <w:tcPr>
            <w:tcW w:w="4856" w:type="dxa"/>
            <w:tcBorders>
              <w:tl2br w:val="nil"/>
              <w:tr2bl w:val="nil"/>
            </w:tcBorders>
          </w:tcPr>
          <w:p w14:paraId="363F0CA0">
            <w:pPr>
              <w:wordWrap w:val="0"/>
              <w:adjustRightInd w:val="0"/>
              <w:snapToGrid w:val="0"/>
              <w:spacing w:line="320" w:lineRule="exact"/>
              <w:jc w:val="center"/>
              <w:rPr>
                <w:rFonts w:hint="default" w:ascii="宋体" w:hAnsi="宋体" w:eastAsia="宋体" w:cs="宋体"/>
                <w:b/>
                <w:bCs/>
                <w:color w:val="0000FF"/>
                <w:szCs w:val="21"/>
                <w:lang w:val="en-US" w:eastAsia="zh-CN"/>
              </w:rPr>
            </w:pPr>
            <w:r>
              <w:rPr>
                <w:rFonts w:hint="eastAsia" w:ascii="宋体" w:hAnsi="宋体" w:cs="宋体"/>
                <w:b/>
                <w:bCs/>
                <w:color w:val="0000FF"/>
                <w:szCs w:val="21"/>
                <w:lang w:val="en-US" w:eastAsia="zh-CN"/>
              </w:rPr>
              <w:t>52</w:t>
            </w:r>
          </w:p>
        </w:tc>
      </w:tr>
      <w:tr w14:paraId="5E430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0" w:type="dxa"/>
            <w:left w:w="108" w:type="dxa"/>
            <w:bottom w:w="20" w:type="dxa"/>
            <w:right w:w="108" w:type="dxa"/>
          </w:tblCellMar>
        </w:tblPrEx>
        <w:trPr>
          <w:tblCellSpacing w:w="0" w:type="dxa"/>
        </w:trPr>
        <w:tc>
          <w:tcPr>
            <w:tcW w:w="685" w:type="dxa"/>
            <w:vMerge w:val="continue"/>
            <w:tcBorders>
              <w:tl2br w:val="nil"/>
              <w:tr2bl w:val="nil"/>
            </w:tcBorders>
            <w:vAlign w:val="center"/>
          </w:tcPr>
          <w:p w14:paraId="36BA08C9">
            <w:pPr>
              <w:adjustRightInd w:val="0"/>
              <w:snapToGrid w:val="0"/>
              <w:spacing w:line="320" w:lineRule="exact"/>
              <w:rPr>
                <w:rFonts w:ascii="宋体" w:hAnsi="宋体" w:cs="宋体"/>
                <w:b/>
                <w:bCs/>
                <w:color w:val="0000FF"/>
                <w:szCs w:val="21"/>
              </w:rPr>
            </w:pPr>
          </w:p>
        </w:tc>
        <w:tc>
          <w:tcPr>
            <w:tcW w:w="8364" w:type="dxa"/>
            <w:gridSpan w:val="4"/>
            <w:tcBorders>
              <w:tl2br w:val="nil"/>
              <w:tr2bl w:val="nil"/>
            </w:tcBorders>
          </w:tcPr>
          <w:p w14:paraId="0835CDC5">
            <w:pPr>
              <w:wordWrap w:val="0"/>
              <w:adjustRightInd w:val="0"/>
              <w:snapToGrid w:val="0"/>
              <w:spacing w:line="320" w:lineRule="exact"/>
              <w:rPr>
                <w:rFonts w:ascii="宋体" w:hAnsi="宋体" w:cs="宋体"/>
                <w:szCs w:val="21"/>
              </w:rPr>
            </w:pPr>
          </w:p>
        </w:tc>
      </w:tr>
      <w:tr w14:paraId="41D677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0" w:type="dxa"/>
            <w:left w:w="108" w:type="dxa"/>
            <w:bottom w:w="20" w:type="dxa"/>
            <w:right w:w="108" w:type="dxa"/>
          </w:tblCellMar>
        </w:tblPrEx>
        <w:trPr>
          <w:tblCellSpacing w:w="0" w:type="dxa"/>
        </w:trPr>
        <w:tc>
          <w:tcPr>
            <w:tcW w:w="685" w:type="dxa"/>
            <w:vMerge w:val="continue"/>
            <w:tcBorders>
              <w:tl2br w:val="nil"/>
              <w:tr2bl w:val="nil"/>
            </w:tcBorders>
            <w:shd w:val="clear" w:color="auto" w:fill="E6EFFA"/>
            <w:vAlign w:val="center"/>
          </w:tcPr>
          <w:p w14:paraId="2BEAF3DB">
            <w:pPr>
              <w:adjustRightInd w:val="0"/>
              <w:snapToGrid w:val="0"/>
              <w:spacing w:line="320" w:lineRule="exact"/>
              <w:rPr>
                <w:rFonts w:ascii="宋体" w:hAnsi="宋体" w:cs="宋体"/>
                <w:b/>
                <w:bCs/>
                <w:color w:val="0000FF"/>
                <w:szCs w:val="21"/>
              </w:rPr>
            </w:pPr>
          </w:p>
        </w:tc>
        <w:tc>
          <w:tcPr>
            <w:tcW w:w="548" w:type="dxa"/>
            <w:tcBorders>
              <w:tl2br w:val="nil"/>
              <w:tr2bl w:val="nil"/>
            </w:tcBorders>
            <w:shd w:val="clear" w:color="auto" w:fill="E6EFFA"/>
            <w:vAlign w:val="center"/>
          </w:tcPr>
          <w:p w14:paraId="4C3684ED">
            <w:pPr>
              <w:wordWrap w:val="0"/>
              <w:adjustRightInd w:val="0"/>
              <w:snapToGrid w:val="0"/>
              <w:spacing w:line="320" w:lineRule="exact"/>
              <w:jc w:val="center"/>
              <w:rPr>
                <w:rFonts w:ascii="宋体" w:hAnsi="宋体" w:cs="宋体"/>
                <w:szCs w:val="21"/>
              </w:rPr>
            </w:pPr>
            <w:r>
              <w:rPr>
                <w:rFonts w:hint="eastAsia" w:ascii="宋体" w:hAnsi="宋体" w:cs="宋体"/>
                <w:szCs w:val="21"/>
              </w:rPr>
              <w:t>序号</w:t>
            </w:r>
          </w:p>
        </w:tc>
        <w:tc>
          <w:tcPr>
            <w:tcW w:w="2264" w:type="dxa"/>
            <w:tcBorders>
              <w:tl2br w:val="nil"/>
              <w:tr2bl w:val="nil"/>
            </w:tcBorders>
            <w:shd w:val="clear" w:color="auto" w:fill="E6EFFA"/>
            <w:vAlign w:val="center"/>
          </w:tcPr>
          <w:p w14:paraId="06C56E73">
            <w:pPr>
              <w:wordWrap w:val="0"/>
              <w:adjustRightInd w:val="0"/>
              <w:snapToGrid w:val="0"/>
              <w:spacing w:line="320" w:lineRule="exact"/>
              <w:jc w:val="center"/>
              <w:rPr>
                <w:rFonts w:ascii="宋体" w:hAnsi="宋体" w:cs="宋体"/>
                <w:szCs w:val="21"/>
              </w:rPr>
            </w:pPr>
            <w:r>
              <w:rPr>
                <w:rFonts w:hint="eastAsia" w:ascii="宋体" w:hAnsi="宋体" w:cs="宋体"/>
                <w:szCs w:val="21"/>
              </w:rPr>
              <w:t>评分因素</w:t>
            </w:r>
          </w:p>
        </w:tc>
        <w:tc>
          <w:tcPr>
            <w:tcW w:w="696" w:type="dxa"/>
            <w:tcBorders>
              <w:tl2br w:val="nil"/>
              <w:tr2bl w:val="nil"/>
            </w:tcBorders>
            <w:shd w:val="clear" w:color="auto" w:fill="E6EFFA"/>
            <w:vAlign w:val="center"/>
          </w:tcPr>
          <w:p w14:paraId="5828DC06">
            <w:pPr>
              <w:wordWrap w:val="0"/>
              <w:adjustRightInd w:val="0"/>
              <w:snapToGrid w:val="0"/>
              <w:spacing w:line="320" w:lineRule="exact"/>
              <w:jc w:val="center"/>
              <w:rPr>
                <w:rFonts w:ascii="宋体" w:hAnsi="宋体" w:cs="宋体"/>
                <w:szCs w:val="21"/>
              </w:rPr>
            </w:pPr>
            <w:r>
              <w:rPr>
                <w:rFonts w:hint="eastAsia" w:ascii="宋体" w:hAnsi="宋体" w:cs="宋体"/>
                <w:szCs w:val="21"/>
              </w:rPr>
              <w:t>权重(%)</w:t>
            </w:r>
          </w:p>
        </w:tc>
        <w:tc>
          <w:tcPr>
            <w:tcW w:w="4856" w:type="dxa"/>
            <w:tcBorders>
              <w:tl2br w:val="nil"/>
              <w:tr2bl w:val="nil"/>
            </w:tcBorders>
            <w:shd w:val="clear" w:color="auto" w:fill="E6EFFA"/>
            <w:vAlign w:val="center"/>
          </w:tcPr>
          <w:p w14:paraId="75B5CF31">
            <w:pPr>
              <w:wordWrap w:val="0"/>
              <w:adjustRightInd w:val="0"/>
              <w:snapToGrid w:val="0"/>
              <w:spacing w:line="320" w:lineRule="exact"/>
              <w:jc w:val="center"/>
              <w:rPr>
                <w:rFonts w:ascii="宋体" w:hAnsi="宋体" w:cs="宋体"/>
                <w:szCs w:val="21"/>
              </w:rPr>
            </w:pPr>
            <w:r>
              <w:rPr>
                <w:rFonts w:hint="eastAsia" w:ascii="宋体" w:hAnsi="宋体" w:cs="宋体"/>
                <w:szCs w:val="21"/>
              </w:rPr>
              <w:t>评分准则</w:t>
            </w:r>
          </w:p>
        </w:tc>
      </w:tr>
      <w:tr w14:paraId="7AC975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0" w:type="dxa"/>
            <w:left w:w="108" w:type="dxa"/>
            <w:bottom w:w="20" w:type="dxa"/>
            <w:right w:w="108" w:type="dxa"/>
          </w:tblCellMar>
        </w:tblPrEx>
        <w:trPr>
          <w:tblCellSpacing w:w="0" w:type="dxa"/>
        </w:trPr>
        <w:tc>
          <w:tcPr>
            <w:tcW w:w="685" w:type="dxa"/>
            <w:vMerge w:val="continue"/>
            <w:tcBorders>
              <w:tl2br w:val="nil"/>
              <w:tr2bl w:val="nil"/>
            </w:tcBorders>
            <w:vAlign w:val="center"/>
          </w:tcPr>
          <w:p w14:paraId="50C70271">
            <w:pPr>
              <w:adjustRightInd w:val="0"/>
              <w:snapToGrid w:val="0"/>
              <w:spacing w:line="320" w:lineRule="exact"/>
              <w:rPr>
                <w:rFonts w:ascii="宋体" w:hAnsi="宋体" w:cs="宋体"/>
                <w:b/>
                <w:bCs/>
                <w:color w:val="0000FF"/>
                <w:szCs w:val="21"/>
              </w:rPr>
            </w:pPr>
          </w:p>
        </w:tc>
        <w:tc>
          <w:tcPr>
            <w:tcW w:w="548" w:type="dxa"/>
            <w:tcBorders>
              <w:tl2br w:val="nil"/>
              <w:tr2bl w:val="nil"/>
            </w:tcBorders>
            <w:vAlign w:val="center"/>
          </w:tcPr>
          <w:p w14:paraId="20092565">
            <w:pPr>
              <w:wordWrap w:val="0"/>
              <w:adjustRightInd w:val="0"/>
              <w:snapToGrid w:val="0"/>
              <w:spacing w:line="320" w:lineRule="exact"/>
              <w:jc w:val="center"/>
              <w:rPr>
                <w:rFonts w:ascii="宋体" w:hAnsi="宋体" w:cs="宋体"/>
                <w:szCs w:val="21"/>
              </w:rPr>
            </w:pPr>
            <w:r>
              <w:rPr>
                <w:rFonts w:hint="eastAsia" w:ascii="宋体" w:hAnsi="宋体" w:cs="宋体"/>
                <w:szCs w:val="21"/>
              </w:rPr>
              <w:t>1</w:t>
            </w:r>
          </w:p>
        </w:tc>
        <w:tc>
          <w:tcPr>
            <w:tcW w:w="2264" w:type="dxa"/>
            <w:tcBorders>
              <w:tl2br w:val="nil"/>
              <w:tr2bl w:val="nil"/>
            </w:tcBorders>
            <w:vAlign w:val="center"/>
          </w:tcPr>
          <w:p w14:paraId="2BE19B4D">
            <w:pPr>
              <w:wordWrap w:val="0"/>
              <w:adjustRightInd w:val="0"/>
              <w:snapToGrid w:val="0"/>
              <w:spacing w:line="320" w:lineRule="exact"/>
              <w:jc w:val="center"/>
              <w:rPr>
                <w:rFonts w:ascii="宋体" w:hAnsi="宋体" w:cs="宋体"/>
                <w:szCs w:val="21"/>
              </w:rPr>
            </w:pPr>
            <w:r>
              <w:rPr>
                <w:rFonts w:hint="eastAsia" w:ascii="宋体" w:hAnsi="宋体" w:cs="宋体"/>
                <w:szCs w:val="21"/>
              </w:rPr>
              <w:t>实施方案</w:t>
            </w:r>
          </w:p>
        </w:tc>
        <w:tc>
          <w:tcPr>
            <w:tcW w:w="696" w:type="dxa"/>
            <w:tcBorders>
              <w:tl2br w:val="nil"/>
              <w:tr2bl w:val="nil"/>
            </w:tcBorders>
            <w:vAlign w:val="center"/>
          </w:tcPr>
          <w:p w14:paraId="63486438">
            <w:pPr>
              <w:wordWrap w:val="0"/>
              <w:adjustRightInd w:val="0"/>
              <w:snapToGrid w:val="0"/>
              <w:spacing w:line="320" w:lineRule="exact"/>
              <w:jc w:val="center"/>
              <w:rPr>
                <w:rFonts w:hint="default" w:ascii="宋体" w:hAnsi="宋体" w:eastAsia="宋体" w:cs="宋体"/>
                <w:szCs w:val="21"/>
                <w:lang w:val="en-US" w:eastAsia="zh-CN"/>
              </w:rPr>
            </w:pPr>
            <w:r>
              <w:rPr>
                <w:rFonts w:hint="eastAsia" w:ascii="宋体" w:hAnsi="宋体" w:cs="宋体"/>
                <w:szCs w:val="21"/>
                <w:lang w:val="en-US" w:eastAsia="zh-CN"/>
              </w:rPr>
              <w:t>12</w:t>
            </w:r>
          </w:p>
        </w:tc>
        <w:tc>
          <w:tcPr>
            <w:tcW w:w="4856" w:type="dxa"/>
            <w:tcBorders>
              <w:tl2br w:val="nil"/>
              <w:tr2bl w:val="nil"/>
            </w:tcBorders>
          </w:tcPr>
          <w:p w14:paraId="6813DC50">
            <w:pPr>
              <w:wordWrap w:val="0"/>
              <w:adjustRightInd w:val="0"/>
              <w:snapToGrid w:val="0"/>
              <w:spacing w:line="320" w:lineRule="exact"/>
              <w:rPr>
                <w:rFonts w:ascii="宋体" w:hAnsi="宋体" w:cs="宋体"/>
                <w:b/>
                <w:bCs/>
                <w:szCs w:val="21"/>
              </w:rPr>
            </w:pPr>
            <w:r>
              <w:rPr>
                <w:rFonts w:hint="eastAsia" w:ascii="宋体" w:hAnsi="宋体" w:cs="宋体"/>
                <w:b/>
                <w:bCs/>
                <w:szCs w:val="21"/>
              </w:rPr>
              <w:t>（一）评分内容：</w:t>
            </w:r>
          </w:p>
          <w:p w14:paraId="26AEC75B">
            <w:pPr>
              <w:wordWrap w:val="0"/>
              <w:adjustRightInd w:val="0"/>
              <w:snapToGrid w:val="0"/>
              <w:spacing w:line="320" w:lineRule="exact"/>
              <w:rPr>
                <w:rFonts w:ascii="宋体" w:hAnsi="宋体" w:cs="宋体"/>
                <w:szCs w:val="21"/>
              </w:rPr>
            </w:pPr>
            <w:r>
              <w:rPr>
                <w:rFonts w:hint="eastAsia" w:ascii="宋体" w:hAnsi="宋体" w:cs="宋体"/>
                <w:szCs w:val="21"/>
              </w:rPr>
              <w:t>根据招标文件要求提供实施方案，内容应包括：</w:t>
            </w:r>
          </w:p>
          <w:p w14:paraId="7292317E">
            <w:pPr>
              <w:wordWrap w:val="0"/>
              <w:adjustRightInd w:val="0"/>
              <w:snapToGrid w:val="0"/>
              <w:spacing w:line="320" w:lineRule="exact"/>
              <w:rPr>
                <w:rFonts w:ascii="宋体" w:hAnsi="宋体" w:cs="宋体"/>
                <w:szCs w:val="21"/>
              </w:rPr>
            </w:pPr>
            <w:r>
              <w:rPr>
                <w:rFonts w:hint="eastAsia" w:ascii="宋体" w:hAnsi="宋体" w:cs="宋体"/>
                <w:szCs w:val="21"/>
              </w:rPr>
              <w:t>1.平台架构设计方案</w:t>
            </w:r>
          </w:p>
          <w:p w14:paraId="7292317F">
            <w:pPr>
              <w:wordWrap w:val="0"/>
              <w:adjustRightInd w:val="0"/>
              <w:snapToGrid w:val="0"/>
              <w:spacing w:line="320" w:lineRule="exact"/>
              <w:rPr>
                <w:rFonts w:ascii="宋体" w:hAnsi="宋体" w:cs="宋体"/>
                <w:szCs w:val="21"/>
              </w:rPr>
            </w:pPr>
            <w:r>
              <w:rPr>
                <w:rFonts w:hint="eastAsia" w:ascii="宋体" w:hAnsi="宋体" w:cs="宋体"/>
                <w:szCs w:val="21"/>
              </w:rPr>
              <w:t>2.平台性能分析</w:t>
            </w:r>
          </w:p>
          <w:p w14:paraId="72923183">
            <w:pPr>
              <w:rPr>
                <w:rFonts w:hint="eastAsia" w:ascii="宋体" w:hAnsi="宋体" w:cs="宋体"/>
                <w:szCs w:val="21"/>
              </w:rPr>
            </w:pPr>
            <w:r>
              <w:rPr>
                <w:rFonts w:hint="eastAsia" w:ascii="宋体" w:hAnsi="宋体" w:cs="宋体"/>
                <w:szCs w:val="21"/>
              </w:rPr>
              <w:t>3.</w:t>
            </w:r>
            <w:r>
              <w:rPr>
                <w:rFonts w:hint="eastAsia" w:ascii="宋体" w:hAnsi="宋体" w:cs="宋体"/>
                <w:szCs w:val="21"/>
                <w:lang w:val="en-US" w:eastAsia="zh-CN"/>
              </w:rPr>
              <w:t>详细功能设计</w:t>
            </w:r>
          </w:p>
          <w:p w14:paraId="00E11B80">
            <w:pPr>
              <w:jc w:val="left"/>
              <w:rPr>
                <w:rFonts w:hint="default" w:eastAsia="宋体"/>
                <w:lang w:val="en-US" w:eastAsia="zh-CN"/>
              </w:rPr>
            </w:pPr>
            <w:r>
              <w:rPr>
                <w:rFonts w:hint="eastAsia" w:ascii="宋体" w:hAnsi="宋体" w:cs="宋体"/>
                <w:szCs w:val="21"/>
                <w:lang w:val="en-US" w:eastAsia="zh-CN"/>
              </w:rPr>
              <w:t>4.</w:t>
            </w:r>
            <w:r>
              <w:rPr>
                <w:rFonts w:hint="eastAsia" w:ascii="宋体" w:hAnsi="宋体"/>
                <w:szCs w:val="21"/>
              </w:rPr>
              <w:t>信息安全保密方案</w:t>
            </w:r>
          </w:p>
          <w:p w14:paraId="57E61F3B">
            <w:pPr>
              <w:wordWrap w:val="0"/>
              <w:adjustRightInd w:val="0"/>
              <w:snapToGrid w:val="0"/>
              <w:spacing w:line="320" w:lineRule="exact"/>
              <w:rPr>
                <w:rFonts w:ascii="宋体" w:hAnsi="宋体" w:cs="宋体"/>
                <w:b/>
                <w:bCs/>
                <w:szCs w:val="21"/>
              </w:rPr>
            </w:pPr>
            <w:r>
              <w:rPr>
                <w:rFonts w:hint="eastAsia" w:ascii="宋体" w:hAnsi="宋体" w:cs="宋体"/>
                <w:b/>
                <w:bCs/>
                <w:szCs w:val="21"/>
              </w:rPr>
              <w:t>（二）评分依据：</w:t>
            </w:r>
          </w:p>
          <w:p w14:paraId="76BDE5F4">
            <w:pPr>
              <w:jc w:val="left"/>
              <w:rPr>
                <w:rFonts w:hint="eastAsia" w:ascii="宋体" w:hAnsi="宋体"/>
                <w:szCs w:val="21"/>
              </w:rPr>
            </w:pPr>
            <w:r>
              <w:rPr>
                <w:rFonts w:hint="eastAsia" w:ascii="宋体" w:hAnsi="宋体"/>
                <w:szCs w:val="21"/>
              </w:rPr>
              <w:t>投标人提供的服务方案满足四点得</w:t>
            </w:r>
            <w:r>
              <w:rPr>
                <w:rFonts w:ascii="宋体" w:hAnsi="宋体"/>
                <w:szCs w:val="21"/>
              </w:rPr>
              <w:t>60</w:t>
            </w:r>
            <w:r>
              <w:rPr>
                <w:rFonts w:hint="eastAsia" w:ascii="宋体" w:hAnsi="宋体"/>
                <w:szCs w:val="21"/>
              </w:rPr>
              <w:t>分，满足任意三点得</w:t>
            </w:r>
            <w:r>
              <w:rPr>
                <w:rFonts w:ascii="宋体" w:hAnsi="宋体"/>
                <w:szCs w:val="21"/>
              </w:rPr>
              <w:t>40</w:t>
            </w:r>
            <w:r>
              <w:rPr>
                <w:rFonts w:hint="eastAsia" w:ascii="宋体" w:hAnsi="宋体"/>
                <w:szCs w:val="21"/>
              </w:rPr>
              <w:t>分，满足任意两点得</w:t>
            </w:r>
            <w:r>
              <w:rPr>
                <w:rFonts w:ascii="宋体" w:hAnsi="宋体"/>
                <w:szCs w:val="21"/>
              </w:rPr>
              <w:t>20</w:t>
            </w:r>
            <w:r>
              <w:rPr>
                <w:rFonts w:hint="eastAsia" w:ascii="宋体" w:hAnsi="宋体"/>
                <w:szCs w:val="21"/>
              </w:rPr>
              <w:t>分，满足任意一点得</w:t>
            </w:r>
            <w:r>
              <w:rPr>
                <w:rFonts w:ascii="宋体" w:hAnsi="宋体"/>
                <w:szCs w:val="21"/>
              </w:rPr>
              <w:t>15</w:t>
            </w:r>
            <w:r>
              <w:rPr>
                <w:rFonts w:hint="eastAsia" w:ascii="宋体" w:hAnsi="宋体"/>
                <w:szCs w:val="21"/>
              </w:rPr>
              <w:t xml:space="preserve">分，在此基础上，根据供应商的具体响应内容按照量化的评审因素指标进一步评审： </w:t>
            </w:r>
          </w:p>
          <w:p w14:paraId="152567A3">
            <w:pPr>
              <w:jc w:val="left"/>
              <w:rPr>
                <w:rFonts w:hint="eastAsia" w:ascii="宋体" w:hAnsi="宋体"/>
                <w:szCs w:val="21"/>
              </w:rPr>
            </w:pPr>
            <w:r>
              <w:rPr>
                <w:rFonts w:hint="eastAsia" w:ascii="宋体" w:hAnsi="宋体"/>
                <w:szCs w:val="21"/>
              </w:rPr>
              <w:t xml:space="preserve">根据供应商的具体响应内容，进一步评审： </w:t>
            </w:r>
          </w:p>
          <w:p w14:paraId="2176EC5F">
            <w:pPr>
              <w:jc w:val="left"/>
              <w:rPr>
                <w:rFonts w:hint="eastAsia" w:ascii="宋体" w:hAnsi="宋体"/>
                <w:szCs w:val="21"/>
              </w:rPr>
            </w:pPr>
            <w:r>
              <w:rPr>
                <w:rFonts w:hint="eastAsia" w:ascii="宋体" w:hAnsi="宋体"/>
                <w:szCs w:val="21"/>
              </w:rPr>
              <w:t>优评分标准：内容合理性强；得</w:t>
            </w:r>
            <w:r>
              <w:rPr>
                <w:rFonts w:ascii="宋体" w:hAnsi="宋体"/>
                <w:szCs w:val="21"/>
              </w:rPr>
              <w:t>40</w:t>
            </w:r>
            <w:r>
              <w:rPr>
                <w:rFonts w:hint="eastAsia" w:ascii="宋体" w:hAnsi="宋体"/>
                <w:szCs w:val="21"/>
              </w:rPr>
              <w:t xml:space="preserve">分； </w:t>
            </w:r>
          </w:p>
          <w:p w14:paraId="7D6F9236">
            <w:pPr>
              <w:jc w:val="left"/>
              <w:rPr>
                <w:rFonts w:hint="eastAsia" w:ascii="宋体" w:hAnsi="宋体"/>
                <w:szCs w:val="21"/>
              </w:rPr>
            </w:pPr>
            <w:r>
              <w:rPr>
                <w:rFonts w:hint="eastAsia" w:ascii="宋体" w:hAnsi="宋体"/>
                <w:szCs w:val="21"/>
              </w:rPr>
              <w:t>良评分标准：内容合理性较强；得</w:t>
            </w:r>
            <w:r>
              <w:rPr>
                <w:rFonts w:ascii="宋体" w:hAnsi="宋体"/>
                <w:szCs w:val="21"/>
              </w:rPr>
              <w:t>20</w:t>
            </w:r>
            <w:r>
              <w:rPr>
                <w:rFonts w:hint="eastAsia" w:ascii="宋体" w:hAnsi="宋体"/>
                <w:szCs w:val="21"/>
              </w:rPr>
              <w:t xml:space="preserve">分； </w:t>
            </w:r>
          </w:p>
          <w:p w14:paraId="1C01467B">
            <w:pPr>
              <w:jc w:val="left"/>
              <w:rPr>
                <w:rFonts w:hint="eastAsia" w:ascii="宋体" w:hAnsi="宋体"/>
                <w:szCs w:val="21"/>
              </w:rPr>
            </w:pPr>
            <w:r>
              <w:rPr>
                <w:rFonts w:hint="eastAsia" w:ascii="宋体" w:hAnsi="宋体"/>
                <w:szCs w:val="21"/>
              </w:rPr>
              <w:t xml:space="preserve">中评分标准：内容合理性一般；得5分； </w:t>
            </w:r>
          </w:p>
          <w:p w14:paraId="710B3BB3">
            <w:pPr>
              <w:pStyle w:val="50"/>
              <w:rPr>
                <w:rFonts w:hint="eastAsia" w:ascii="宋体" w:hAnsi="宋体" w:cs="宋体"/>
                <w:szCs w:val="21"/>
              </w:rPr>
            </w:pPr>
            <w:r>
              <w:rPr>
                <w:rFonts w:hint="eastAsia" w:ascii="宋体" w:hAnsi="宋体"/>
                <w:szCs w:val="21"/>
              </w:rPr>
              <w:t>差评分标准：内容合理性较差；得0分。</w:t>
            </w:r>
          </w:p>
        </w:tc>
      </w:tr>
      <w:tr w14:paraId="155852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0" w:type="dxa"/>
            <w:left w:w="108" w:type="dxa"/>
            <w:bottom w:w="20" w:type="dxa"/>
            <w:right w:w="108" w:type="dxa"/>
          </w:tblCellMar>
        </w:tblPrEx>
        <w:trPr>
          <w:tblCellSpacing w:w="0" w:type="dxa"/>
        </w:trPr>
        <w:tc>
          <w:tcPr>
            <w:tcW w:w="685" w:type="dxa"/>
            <w:vMerge w:val="continue"/>
            <w:tcBorders>
              <w:tl2br w:val="nil"/>
              <w:tr2bl w:val="nil"/>
            </w:tcBorders>
            <w:vAlign w:val="center"/>
          </w:tcPr>
          <w:p w14:paraId="4F4F35EF">
            <w:pPr>
              <w:adjustRightInd w:val="0"/>
              <w:snapToGrid w:val="0"/>
              <w:spacing w:line="320" w:lineRule="exact"/>
              <w:rPr>
                <w:rFonts w:ascii="宋体" w:hAnsi="宋体" w:cs="宋体"/>
                <w:b/>
                <w:bCs/>
                <w:color w:val="0000FF"/>
                <w:szCs w:val="21"/>
              </w:rPr>
            </w:pPr>
          </w:p>
        </w:tc>
        <w:tc>
          <w:tcPr>
            <w:tcW w:w="548" w:type="dxa"/>
            <w:tcBorders>
              <w:tl2br w:val="nil"/>
              <w:tr2bl w:val="nil"/>
            </w:tcBorders>
            <w:vAlign w:val="center"/>
          </w:tcPr>
          <w:p w14:paraId="0F30B10C">
            <w:pPr>
              <w:wordWrap w:val="0"/>
              <w:adjustRightInd w:val="0"/>
              <w:snapToGrid w:val="0"/>
              <w:spacing w:line="320" w:lineRule="exact"/>
              <w:jc w:val="center"/>
              <w:rPr>
                <w:rFonts w:ascii="宋体" w:hAnsi="宋体" w:cs="宋体"/>
                <w:szCs w:val="21"/>
              </w:rPr>
            </w:pPr>
            <w:r>
              <w:rPr>
                <w:rFonts w:hint="eastAsia" w:ascii="宋体" w:hAnsi="宋体" w:cs="宋体"/>
                <w:szCs w:val="21"/>
              </w:rPr>
              <w:t>2</w:t>
            </w:r>
          </w:p>
        </w:tc>
        <w:tc>
          <w:tcPr>
            <w:tcW w:w="2264" w:type="dxa"/>
            <w:tcBorders>
              <w:tl2br w:val="nil"/>
              <w:tr2bl w:val="nil"/>
            </w:tcBorders>
            <w:vAlign w:val="center"/>
          </w:tcPr>
          <w:p w14:paraId="2EE46824">
            <w:pPr>
              <w:wordWrap w:val="0"/>
              <w:adjustRightInd w:val="0"/>
              <w:snapToGrid w:val="0"/>
              <w:spacing w:line="320" w:lineRule="exact"/>
              <w:jc w:val="center"/>
              <w:rPr>
                <w:rFonts w:ascii="宋体" w:hAnsi="宋体" w:cs="宋体"/>
                <w:szCs w:val="21"/>
              </w:rPr>
            </w:pPr>
            <w:r>
              <w:rPr>
                <w:rFonts w:hint="eastAsia" w:ascii="宋体" w:hAnsi="宋体" w:cs="宋体"/>
                <w:szCs w:val="21"/>
              </w:rPr>
              <w:t>项目重点难点分析、应对措施及相关的合理化建议</w:t>
            </w:r>
          </w:p>
        </w:tc>
        <w:tc>
          <w:tcPr>
            <w:tcW w:w="696" w:type="dxa"/>
            <w:tcBorders>
              <w:tl2br w:val="nil"/>
              <w:tr2bl w:val="nil"/>
            </w:tcBorders>
            <w:vAlign w:val="center"/>
          </w:tcPr>
          <w:p w14:paraId="3404EAA8">
            <w:pPr>
              <w:wordWrap w:val="0"/>
              <w:adjustRightInd w:val="0"/>
              <w:snapToGrid w:val="0"/>
              <w:spacing w:line="320" w:lineRule="exact"/>
              <w:jc w:val="center"/>
              <w:rPr>
                <w:rFonts w:hint="default" w:ascii="宋体" w:hAnsi="宋体" w:eastAsia="宋体" w:cs="宋体"/>
                <w:szCs w:val="21"/>
                <w:lang w:val="en-US" w:eastAsia="zh-CN"/>
              </w:rPr>
            </w:pPr>
            <w:r>
              <w:rPr>
                <w:rFonts w:hint="eastAsia" w:ascii="宋体" w:hAnsi="宋体" w:cs="宋体"/>
                <w:szCs w:val="21"/>
                <w:lang w:val="en-US" w:eastAsia="zh-CN"/>
              </w:rPr>
              <w:t>10</w:t>
            </w:r>
          </w:p>
        </w:tc>
        <w:tc>
          <w:tcPr>
            <w:tcW w:w="4856" w:type="dxa"/>
            <w:tcBorders>
              <w:tl2br w:val="nil"/>
              <w:tr2bl w:val="nil"/>
            </w:tcBorders>
            <w:vAlign w:val="center"/>
          </w:tcPr>
          <w:p w14:paraId="407AD722">
            <w:pPr>
              <w:wordWrap w:val="0"/>
              <w:adjustRightInd w:val="0"/>
              <w:snapToGrid w:val="0"/>
              <w:spacing w:line="320" w:lineRule="exact"/>
              <w:rPr>
                <w:rFonts w:hint="eastAsia" w:ascii="宋体" w:hAnsi="宋体" w:cs="宋体"/>
                <w:b/>
                <w:bCs/>
                <w:szCs w:val="21"/>
              </w:rPr>
            </w:pPr>
            <w:r>
              <w:rPr>
                <w:rFonts w:hint="eastAsia" w:ascii="宋体" w:hAnsi="宋体" w:cs="宋体"/>
                <w:b/>
                <w:bCs/>
                <w:szCs w:val="21"/>
              </w:rPr>
              <w:t>（一）评分内容：</w:t>
            </w:r>
          </w:p>
          <w:p w14:paraId="6ABC194B">
            <w:pPr>
              <w:jc w:val="left"/>
              <w:rPr>
                <w:rFonts w:hint="eastAsia" w:ascii="宋体" w:hAnsi="宋体"/>
                <w:szCs w:val="21"/>
              </w:rPr>
            </w:pPr>
            <w:r>
              <w:rPr>
                <w:rFonts w:hint="eastAsia" w:ascii="宋体" w:hAnsi="宋体"/>
                <w:szCs w:val="21"/>
              </w:rPr>
              <w:t>项目重点难点分析、应对措施及相关的合理化建议</w:t>
            </w:r>
          </w:p>
          <w:p w14:paraId="226978AE">
            <w:pPr>
              <w:jc w:val="left"/>
              <w:rPr>
                <w:rFonts w:hint="eastAsia" w:ascii="宋体" w:hAnsi="宋体"/>
                <w:szCs w:val="21"/>
              </w:rPr>
            </w:pPr>
            <w:r>
              <w:rPr>
                <w:rFonts w:hint="eastAsia" w:ascii="宋体" w:hAnsi="宋体"/>
                <w:szCs w:val="21"/>
              </w:rPr>
              <w:t xml:space="preserve">（1）项目重点分析及应对措施； </w:t>
            </w:r>
          </w:p>
          <w:p w14:paraId="4C81CE0F">
            <w:pPr>
              <w:jc w:val="left"/>
              <w:rPr>
                <w:rFonts w:hint="eastAsia" w:ascii="宋体" w:hAnsi="宋体"/>
                <w:szCs w:val="21"/>
              </w:rPr>
            </w:pPr>
            <w:r>
              <w:rPr>
                <w:rFonts w:hint="eastAsia" w:ascii="宋体" w:hAnsi="宋体"/>
                <w:szCs w:val="21"/>
              </w:rPr>
              <w:t xml:space="preserve">（2）技术风险、安全保密措施； </w:t>
            </w:r>
          </w:p>
          <w:p w14:paraId="2A3ADC25">
            <w:pPr>
              <w:wordWrap w:val="0"/>
              <w:adjustRightInd w:val="0"/>
              <w:snapToGrid w:val="0"/>
              <w:spacing w:line="320" w:lineRule="exact"/>
              <w:rPr>
                <w:rFonts w:hint="eastAsia" w:ascii="宋体" w:hAnsi="宋体" w:cs="宋体"/>
                <w:b/>
                <w:bCs/>
                <w:szCs w:val="21"/>
              </w:rPr>
            </w:pPr>
            <w:r>
              <w:rPr>
                <w:rFonts w:hint="eastAsia" w:ascii="宋体" w:hAnsi="宋体"/>
                <w:szCs w:val="21"/>
              </w:rPr>
              <w:t>（3）相关的合理化建议。</w:t>
            </w:r>
          </w:p>
          <w:p w14:paraId="23464E94">
            <w:pPr>
              <w:wordWrap w:val="0"/>
              <w:adjustRightInd w:val="0"/>
              <w:snapToGrid w:val="0"/>
              <w:spacing w:line="320" w:lineRule="exact"/>
              <w:rPr>
                <w:rFonts w:ascii="宋体" w:hAnsi="宋体" w:cs="宋体"/>
                <w:b/>
                <w:bCs/>
                <w:szCs w:val="21"/>
              </w:rPr>
            </w:pPr>
            <w:r>
              <w:rPr>
                <w:rFonts w:hint="eastAsia" w:ascii="宋体" w:hAnsi="宋体" w:cs="宋体"/>
                <w:b/>
                <w:bCs/>
                <w:szCs w:val="21"/>
              </w:rPr>
              <w:t>（二）评分依据：</w:t>
            </w:r>
          </w:p>
          <w:p w14:paraId="2490C58B">
            <w:pPr>
              <w:jc w:val="left"/>
              <w:rPr>
                <w:rFonts w:hint="eastAsia" w:ascii="宋体" w:hAnsi="宋体"/>
                <w:szCs w:val="21"/>
              </w:rPr>
            </w:pPr>
            <w:r>
              <w:rPr>
                <w:rFonts w:hint="eastAsia" w:ascii="宋体" w:hAnsi="宋体"/>
                <w:szCs w:val="21"/>
              </w:rPr>
              <w:t>投标人提供的项目重点难点分析、应对措施及相关的合理化建议满足三点得</w:t>
            </w:r>
            <w:r>
              <w:rPr>
                <w:rFonts w:ascii="宋体" w:hAnsi="宋体"/>
                <w:szCs w:val="21"/>
              </w:rPr>
              <w:t>6</w:t>
            </w:r>
            <w:r>
              <w:rPr>
                <w:rFonts w:hint="eastAsia" w:ascii="宋体" w:hAnsi="宋体"/>
                <w:szCs w:val="21"/>
              </w:rPr>
              <w:t>0分，满足任意两点得</w:t>
            </w:r>
            <w:r>
              <w:rPr>
                <w:rFonts w:ascii="宋体" w:hAnsi="宋体"/>
                <w:szCs w:val="21"/>
              </w:rPr>
              <w:t>4</w:t>
            </w:r>
            <w:r>
              <w:rPr>
                <w:rFonts w:hint="eastAsia" w:ascii="宋体" w:hAnsi="宋体"/>
                <w:szCs w:val="21"/>
              </w:rPr>
              <w:t>0分，满足任意一点得</w:t>
            </w:r>
            <w:r>
              <w:rPr>
                <w:rFonts w:ascii="宋体" w:hAnsi="宋体"/>
                <w:szCs w:val="21"/>
              </w:rPr>
              <w:t>2</w:t>
            </w:r>
            <w:r>
              <w:rPr>
                <w:rFonts w:hint="eastAsia" w:ascii="宋体" w:hAnsi="宋体"/>
                <w:szCs w:val="21"/>
              </w:rPr>
              <w:t xml:space="preserve">0分，在此基础上，根据供应商的具体响应内容按照量化的评审因素指标进一步评审： </w:t>
            </w:r>
          </w:p>
          <w:p w14:paraId="0A17C057">
            <w:pPr>
              <w:jc w:val="left"/>
              <w:rPr>
                <w:rFonts w:hint="eastAsia" w:ascii="宋体" w:hAnsi="宋体"/>
                <w:szCs w:val="21"/>
              </w:rPr>
            </w:pPr>
            <w:r>
              <w:rPr>
                <w:rFonts w:hint="eastAsia" w:ascii="宋体" w:hAnsi="宋体"/>
                <w:szCs w:val="21"/>
              </w:rPr>
              <w:t xml:space="preserve">根据供应商的具体响应内容，进一步评审： </w:t>
            </w:r>
          </w:p>
          <w:p w14:paraId="2877A303">
            <w:pPr>
              <w:jc w:val="left"/>
              <w:rPr>
                <w:rFonts w:hint="eastAsia" w:ascii="宋体" w:hAnsi="宋体"/>
                <w:szCs w:val="21"/>
              </w:rPr>
            </w:pPr>
            <w:r>
              <w:rPr>
                <w:rFonts w:hint="eastAsia" w:ascii="宋体" w:hAnsi="宋体"/>
                <w:szCs w:val="21"/>
              </w:rPr>
              <w:t>优评分标准：内容合理性强；得</w:t>
            </w:r>
            <w:r>
              <w:rPr>
                <w:rFonts w:ascii="宋体" w:hAnsi="宋体"/>
                <w:szCs w:val="21"/>
              </w:rPr>
              <w:t>4</w:t>
            </w:r>
            <w:r>
              <w:rPr>
                <w:rFonts w:hint="eastAsia" w:ascii="宋体" w:hAnsi="宋体"/>
                <w:szCs w:val="21"/>
              </w:rPr>
              <w:t xml:space="preserve">0分； </w:t>
            </w:r>
          </w:p>
          <w:p w14:paraId="7970A156">
            <w:pPr>
              <w:jc w:val="left"/>
              <w:rPr>
                <w:rFonts w:hint="eastAsia" w:ascii="宋体" w:hAnsi="宋体"/>
                <w:szCs w:val="21"/>
              </w:rPr>
            </w:pPr>
            <w:r>
              <w:rPr>
                <w:rFonts w:hint="eastAsia" w:ascii="宋体" w:hAnsi="宋体"/>
                <w:szCs w:val="21"/>
              </w:rPr>
              <w:t>良评分标准：内容合理性较强；得</w:t>
            </w:r>
            <w:r>
              <w:rPr>
                <w:rFonts w:ascii="宋体" w:hAnsi="宋体"/>
                <w:szCs w:val="21"/>
              </w:rPr>
              <w:t>2</w:t>
            </w:r>
            <w:r>
              <w:rPr>
                <w:rFonts w:hint="eastAsia" w:ascii="宋体" w:hAnsi="宋体"/>
                <w:szCs w:val="21"/>
              </w:rPr>
              <w:t xml:space="preserve">0分； </w:t>
            </w:r>
          </w:p>
          <w:p w14:paraId="6C215556">
            <w:pPr>
              <w:jc w:val="left"/>
              <w:rPr>
                <w:rFonts w:hint="eastAsia" w:ascii="宋体" w:hAnsi="宋体"/>
                <w:szCs w:val="21"/>
              </w:rPr>
            </w:pPr>
            <w:r>
              <w:rPr>
                <w:rFonts w:hint="eastAsia" w:ascii="宋体" w:hAnsi="宋体"/>
                <w:szCs w:val="21"/>
              </w:rPr>
              <w:t xml:space="preserve">中评分标准：内容合理性一般；得5分； </w:t>
            </w:r>
          </w:p>
          <w:p w14:paraId="343CDF56">
            <w:pPr>
              <w:wordWrap w:val="0"/>
              <w:adjustRightInd w:val="0"/>
              <w:snapToGrid w:val="0"/>
              <w:spacing w:line="320" w:lineRule="exact"/>
              <w:jc w:val="left"/>
              <w:rPr>
                <w:rFonts w:ascii="宋体" w:hAnsi="宋体" w:cs="宋体"/>
                <w:szCs w:val="21"/>
              </w:rPr>
            </w:pPr>
            <w:r>
              <w:rPr>
                <w:rFonts w:hint="eastAsia" w:hAnsi="宋体"/>
                <w:kern w:val="2"/>
                <w:sz w:val="21"/>
                <w:szCs w:val="21"/>
              </w:rPr>
              <w:t>差评分标准：内容合理性较差；得0分</w:t>
            </w:r>
          </w:p>
        </w:tc>
      </w:tr>
      <w:tr w14:paraId="766FE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0" w:type="dxa"/>
            <w:left w:w="108" w:type="dxa"/>
            <w:bottom w:w="20" w:type="dxa"/>
            <w:right w:w="108" w:type="dxa"/>
          </w:tblCellMar>
        </w:tblPrEx>
        <w:trPr>
          <w:tblCellSpacing w:w="0" w:type="dxa"/>
        </w:trPr>
        <w:tc>
          <w:tcPr>
            <w:tcW w:w="685" w:type="dxa"/>
            <w:vMerge w:val="continue"/>
            <w:tcBorders>
              <w:tl2br w:val="nil"/>
              <w:tr2bl w:val="nil"/>
            </w:tcBorders>
            <w:vAlign w:val="center"/>
          </w:tcPr>
          <w:p w14:paraId="3D6B9269">
            <w:pPr>
              <w:adjustRightInd w:val="0"/>
              <w:snapToGrid w:val="0"/>
              <w:spacing w:line="320" w:lineRule="exact"/>
              <w:rPr>
                <w:rFonts w:ascii="宋体" w:hAnsi="宋体" w:cs="宋体"/>
                <w:b/>
                <w:bCs/>
                <w:color w:val="0000FF"/>
                <w:szCs w:val="21"/>
              </w:rPr>
            </w:pPr>
          </w:p>
        </w:tc>
        <w:tc>
          <w:tcPr>
            <w:tcW w:w="548" w:type="dxa"/>
            <w:tcBorders>
              <w:tl2br w:val="nil"/>
              <w:tr2bl w:val="nil"/>
            </w:tcBorders>
            <w:vAlign w:val="center"/>
          </w:tcPr>
          <w:p w14:paraId="7404DFA1">
            <w:pPr>
              <w:wordWrap w:val="0"/>
              <w:adjustRightInd w:val="0"/>
              <w:snapToGrid w:val="0"/>
              <w:spacing w:line="320" w:lineRule="exact"/>
              <w:jc w:val="center"/>
              <w:rPr>
                <w:rFonts w:ascii="宋体" w:hAnsi="宋体" w:cs="宋体"/>
                <w:szCs w:val="21"/>
              </w:rPr>
            </w:pPr>
            <w:r>
              <w:rPr>
                <w:rFonts w:hint="eastAsia" w:ascii="宋体" w:hAnsi="宋体" w:cs="宋体"/>
                <w:szCs w:val="21"/>
              </w:rPr>
              <w:t>3</w:t>
            </w:r>
          </w:p>
        </w:tc>
        <w:tc>
          <w:tcPr>
            <w:tcW w:w="2264" w:type="dxa"/>
            <w:tcBorders>
              <w:tl2br w:val="nil"/>
              <w:tr2bl w:val="nil"/>
            </w:tcBorders>
            <w:vAlign w:val="center"/>
          </w:tcPr>
          <w:p w14:paraId="57CC7F12">
            <w:pPr>
              <w:wordWrap w:val="0"/>
              <w:adjustRightInd w:val="0"/>
              <w:snapToGrid w:val="0"/>
              <w:spacing w:line="320" w:lineRule="exact"/>
              <w:jc w:val="center"/>
              <w:rPr>
                <w:rFonts w:ascii="宋体" w:hAnsi="宋体" w:cs="宋体"/>
                <w:szCs w:val="21"/>
              </w:rPr>
            </w:pPr>
            <w:r>
              <w:rPr>
                <w:rFonts w:hint="eastAsia" w:ascii="宋体" w:hAnsi="宋体" w:cs="宋体"/>
                <w:szCs w:val="21"/>
              </w:rPr>
              <w:t>质量（完成时间、安全、环保）保障措施及方案</w:t>
            </w:r>
          </w:p>
        </w:tc>
        <w:tc>
          <w:tcPr>
            <w:tcW w:w="696" w:type="dxa"/>
            <w:tcBorders>
              <w:tl2br w:val="nil"/>
              <w:tr2bl w:val="nil"/>
            </w:tcBorders>
            <w:vAlign w:val="center"/>
          </w:tcPr>
          <w:p w14:paraId="1D9B5B3E">
            <w:pPr>
              <w:wordWrap w:val="0"/>
              <w:adjustRightInd w:val="0"/>
              <w:snapToGrid w:val="0"/>
              <w:spacing w:line="320" w:lineRule="exact"/>
              <w:jc w:val="center"/>
              <w:rPr>
                <w:rFonts w:hint="eastAsia" w:ascii="宋体" w:hAnsi="宋体" w:eastAsia="宋体" w:cs="宋体"/>
                <w:szCs w:val="21"/>
                <w:lang w:val="en-US" w:eastAsia="zh-CN"/>
              </w:rPr>
            </w:pPr>
            <w:r>
              <w:rPr>
                <w:rFonts w:hint="eastAsia" w:ascii="宋体" w:hAnsi="宋体" w:cs="宋体"/>
                <w:szCs w:val="21"/>
                <w:lang w:val="en-US" w:eastAsia="zh-CN"/>
              </w:rPr>
              <w:t>5</w:t>
            </w:r>
          </w:p>
        </w:tc>
        <w:tc>
          <w:tcPr>
            <w:tcW w:w="4856" w:type="dxa"/>
            <w:tcBorders>
              <w:tl2br w:val="nil"/>
              <w:tr2bl w:val="nil"/>
            </w:tcBorders>
            <w:vAlign w:val="center"/>
          </w:tcPr>
          <w:p w14:paraId="40E9287A">
            <w:pPr>
              <w:wordWrap w:val="0"/>
              <w:adjustRightInd w:val="0"/>
              <w:snapToGrid w:val="0"/>
              <w:spacing w:line="320" w:lineRule="exact"/>
              <w:rPr>
                <w:rFonts w:ascii="宋体" w:hAnsi="宋体" w:cs="宋体"/>
                <w:b/>
                <w:bCs/>
                <w:szCs w:val="21"/>
              </w:rPr>
            </w:pPr>
            <w:r>
              <w:rPr>
                <w:rFonts w:hint="eastAsia" w:ascii="宋体" w:hAnsi="宋体" w:cs="宋体"/>
                <w:b/>
                <w:bCs/>
                <w:szCs w:val="21"/>
              </w:rPr>
              <w:t>（一）评分内容：</w:t>
            </w:r>
          </w:p>
          <w:p w14:paraId="5CEF363C">
            <w:pPr>
              <w:jc w:val="left"/>
              <w:rPr>
                <w:rFonts w:hint="eastAsia" w:ascii="宋体" w:hAnsi="宋体"/>
                <w:szCs w:val="21"/>
              </w:rPr>
            </w:pPr>
            <w:r>
              <w:rPr>
                <w:rFonts w:hint="eastAsia" w:ascii="宋体" w:hAnsi="宋体"/>
                <w:szCs w:val="21"/>
              </w:rPr>
              <w:t xml:space="preserve">质量保障措施 </w:t>
            </w:r>
          </w:p>
          <w:p w14:paraId="42BC7105">
            <w:pPr>
              <w:jc w:val="left"/>
              <w:rPr>
                <w:rFonts w:hint="eastAsia" w:ascii="宋体" w:hAnsi="宋体"/>
                <w:szCs w:val="21"/>
              </w:rPr>
            </w:pPr>
            <w:r>
              <w:rPr>
                <w:rFonts w:hint="eastAsia" w:ascii="宋体" w:hAnsi="宋体"/>
                <w:szCs w:val="21"/>
              </w:rPr>
              <w:t xml:space="preserve">（1）服务质量保障方案； </w:t>
            </w:r>
          </w:p>
          <w:p w14:paraId="7B27ECF2">
            <w:pPr>
              <w:jc w:val="left"/>
              <w:rPr>
                <w:rFonts w:hint="eastAsia" w:ascii="宋体" w:hAnsi="宋体"/>
                <w:szCs w:val="21"/>
              </w:rPr>
            </w:pPr>
            <w:r>
              <w:rPr>
                <w:rFonts w:hint="eastAsia" w:ascii="宋体" w:hAnsi="宋体"/>
                <w:szCs w:val="21"/>
              </w:rPr>
              <w:t xml:space="preserve">（2）服务质量管理制度与措施； </w:t>
            </w:r>
          </w:p>
          <w:p w14:paraId="69557159">
            <w:pPr>
              <w:jc w:val="left"/>
              <w:rPr>
                <w:rFonts w:hint="eastAsia" w:ascii="宋体" w:hAnsi="宋体"/>
                <w:szCs w:val="21"/>
              </w:rPr>
            </w:pPr>
            <w:r>
              <w:rPr>
                <w:rFonts w:hint="eastAsia" w:ascii="宋体" w:hAnsi="宋体"/>
                <w:szCs w:val="21"/>
              </w:rPr>
              <w:t xml:space="preserve">（3）维修响应及故障解决时间； </w:t>
            </w:r>
          </w:p>
          <w:p w14:paraId="4C26FB8E">
            <w:pPr>
              <w:wordWrap w:val="0"/>
              <w:adjustRightInd w:val="0"/>
              <w:snapToGrid w:val="0"/>
              <w:spacing w:line="320" w:lineRule="exact"/>
              <w:rPr>
                <w:rFonts w:hint="eastAsia" w:ascii="宋体" w:hAnsi="宋体" w:cs="宋体"/>
                <w:b/>
                <w:bCs/>
                <w:szCs w:val="21"/>
              </w:rPr>
            </w:pPr>
            <w:r>
              <w:rPr>
                <w:rFonts w:hint="eastAsia" w:ascii="宋体" w:hAnsi="宋体"/>
                <w:szCs w:val="21"/>
              </w:rPr>
              <w:t>（4）运维管理支撑方案。</w:t>
            </w:r>
          </w:p>
          <w:p w14:paraId="37C8C89B">
            <w:pPr>
              <w:wordWrap w:val="0"/>
              <w:adjustRightInd w:val="0"/>
              <w:snapToGrid w:val="0"/>
              <w:spacing w:line="320" w:lineRule="exact"/>
              <w:rPr>
                <w:rFonts w:ascii="宋体" w:hAnsi="宋体" w:cs="宋体"/>
                <w:b/>
                <w:bCs/>
                <w:szCs w:val="21"/>
              </w:rPr>
            </w:pPr>
            <w:r>
              <w:rPr>
                <w:rFonts w:hint="eastAsia" w:ascii="宋体" w:hAnsi="宋体" w:cs="宋体"/>
                <w:b/>
                <w:bCs/>
                <w:szCs w:val="21"/>
              </w:rPr>
              <w:t>（二）评分依据：</w:t>
            </w:r>
          </w:p>
          <w:p w14:paraId="02F75204">
            <w:pPr>
              <w:jc w:val="left"/>
              <w:rPr>
                <w:rFonts w:hint="eastAsia" w:ascii="宋体" w:hAnsi="宋体"/>
                <w:szCs w:val="21"/>
              </w:rPr>
            </w:pPr>
            <w:r>
              <w:rPr>
                <w:rFonts w:hint="eastAsia" w:ascii="宋体" w:hAnsi="宋体"/>
                <w:szCs w:val="21"/>
              </w:rPr>
              <w:t>投标人提供的质量保障措施满足四点得</w:t>
            </w:r>
            <w:r>
              <w:rPr>
                <w:rFonts w:ascii="宋体" w:hAnsi="宋体"/>
                <w:szCs w:val="21"/>
              </w:rPr>
              <w:t>60</w:t>
            </w:r>
            <w:r>
              <w:rPr>
                <w:rFonts w:hint="eastAsia" w:ascii="宋体" w:hAnsi="宋体"/>
                <w:szCs w:val="21"/>
              </w:rPr>
              <w:t>分，满足任意三点得</w:t>
            </w:r>
            <w:r>
              <w:rPr>
                <w:rFonts w:ascii="宋体" w:hAnsi="宋体"/>
                <w:szCs w:val="21"/>
              </w:rPr>
              <w:t>4</w:t>
            </w:r>
            <w:r>
              <w:rPr>
                <w:rFonts w:hint="eastAsia" w:ascii="宋体" w:hAnsi="宋体"/>
                <w:szCs w:val="21"/>
              </w:rPr>
              <w:t>0分，满足任意两点得</w:t>
            </w:r>
            <w:r>
              <w:rPr>
                <w:rFonts w:ascii="宋体" w:hAnsi="宋体"/>
                <w:szCs w:val="21"/>
              </w:rPr>
              <w:t>2</w:t>
            </w:r>
            <w:r>
              <w:rPr>
                <w:rFonts w:hint="eastAsia" w:ascii="宋体" w:hAnsi="宋体"/>
                <w:szCs w:val="21"/>
              </w:rPr>
              <w:t>0分，满足任意一点得1</w:t>
            </w:r>
            <w:r>
              <w:rPr>
                <w:rFonts w:ascii="宋体" w:hAnsi="宋体"/>
                <w:szCs w:val="21"/>
              </w:rPr>
              <w:t>5</w:t>
            </w:r>
            <w:r>
              <w:rPr>
                <w:rFonts w:hint="eastAsia" w:ascii="宋体" w:hAnsi="宋体"/>
                <w:szCs w:val="21"/>
              </w:rPr>
              <w:t xml:space="preserve">分，在此基础上，根据供应商的具体响应内容按照量化的评审因素指标进一步评审： </w:t>
            </w:r>
          </w:p>
          <w:p w14:paraId="2AD5EC36">
            <w:pPr>
              <w:jc w:val="left"/>
              <w:rPr>
                <w:rFonts w:hint="eastAsia" w:ascii="宋体" w:hAnsi="宋体"/>
                <w:szCs w:val="21"/>
              </w:rPr>
            </w:pPr>
            <w:r>
              <w:rPr>
                <w:rFonts w:hint="eastAsia" w:ascii="宋体" w:hAnsi="宋体"/>
                <w:szCs w:val="21"/>
              </w:rPr>
              <w:t xml:space="preserve">根据供应商的具体响应内容，进一步评审： </w:t>
            </w:r>
          </w:p>
          <w:p w14:paraId="3D6E20F7">
            <w:pPr>
              <w:jc w:val="left"/>
              <w:rPr>
                <w:rFonts w:hint="eastAsia" w:ascii="宋体" w:hAnsi="宋体"/>
                <w:szCs w:val="21"/>
              </w:rPr>
            </w:pPr>
            <w:r>
              <w:rPr>
                <w:rFonts w:hint="eastAsia" w:ascii="宋体" w:hAnsi="宋体"/>
                <w:szCs w:val="21"/>
              </w:rPr>
              <w:t>优评分标准：内容合理性强；得</w:t>
            </w:r>
            <w:r>
              <w:rPr>
                <w:rFonts w:ascii="宋体" w:hAnsi="宋体"/>
                <w:szCs w:val="21"/>
              </w:rPr>
              <w:t>40</w:t>
            </w:r>
            <w:r>
              <w:rPr>
                <w:rFonts w:hint="eastAsia" w:ascii="宋体" w:hAnsi="宋体"/>
                <w:szCs w:val="21"/>
              </w:rPr>
              <w:t xml:space="preserve">分； </w:t>
            </w:r>
          </w:p>
          <w:p w14:paraId="2B8778D1">
            <w:pPr>
              <w:jc w:val="left"/>
              <w:rPr>
                <w:rFonts w:hint="eastAsia" w:ascii="宋体" w:hAnsi="宋体"/>
                <w:szCs w:val="21"/>
              </w:rPr>
            </w:pPr>
            <w:r>
              <w:rPr>
                <w:rFonts w:hint="eastAsia" w:ascii="宋体" w:hAnsi="宋体"/>
                <w:szCs w:val="21"/>
              </w:rPr>
              <w:t>良评分标准：内容合理性较强；得</w:t>
            </w:r>
            <w:r>
              <w:rPr>
                <w:rFonts w:ascii="宋体" w:hAnsi="宋体"/>
                <w:szCs w:val="21"/>
              </w:rPr>
              <w:t>2</w:t>
            </w:r>
            <w:r>
              <w:rPr>
                <w:rFonts w:hint="eastAsia" w:ascii="宋体" w:hAnsi="宋体"/>
                <w:szCs w:val="21"/>
              </w:rPr>
              <w:t xml:space="preserve">0分； </w:t>
            </w:r>
          </w:p>
          <w:p w14:paraId="107F3250">
            <w:pPr>
              <w:jc w:val="left"/>
              <w:rPr>
                <w:rFonts w:hint="eastAsia" w:ascii="宋体" w:hAnsi="宋体"/>
                <w:szCs w:val="21"/>
              </w:rPr>
            </w:pPr>
            <w:r>
              <w:rPr>
                <w:rFonts w:hint="eastAsia" w:ascii="宋体" w:hAnsi="宋体"/>
                <w:szCs w:val="21"/>
              </w:rPr>
              <w:t xml:space="preserve">中评分标准：内容合理性一般；得5分； </w:t>
            </w:r>
          </w:p>
          <w:p w14:paraId="273B8E31">
            <w:pPr>
              <w:wordWrap w:val="0"/>
              <w:adjustRightInd w:val="0"/>
              <w:snapToGrid w:val="0"/>
              <w:spacing w:line="320" w:lineRule="exact"/>
              <w:jc w:val="left"/>
              <w:rPr>
                <w:rFonts w:ascii="宋体" w:hAnsi="宋体" w:cs="宋体"/>
                <w:szCs w:val="21"/>
              </w:rPr>
            </w:pPr>
            <w:r>
              <w:rPr>
                <w:rFonts w:hint="eastAsia" w:ascii="宋体" w:hAnsi="宋体"/>
                <w:b w:val="0"/>
                <w:bCs w:val="0"/>
                <w:sz w:val="21"/>
                <w:szCs w:val="21"/>
              </w:rPr>
              <w:t>差评分标准：内容合理性较差；得0分。</w:t>
            </w:r>
          </w:p>
        </w:tc>
      </w:tr>
      <w:tr w14:paraId="78636C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0" w:type="dxa"/>
            <w:left w:w="108" w:type="dxa"/>
            <w:bottom w:w="20" w:type="dxa"/>
            <w:right w:w="108" w:type="dxa"/>
          </w:tblCellMar>
        </w:tblPrEx>
        <w:trPr>
          <w:tblCellSpacing w:w="0" w:type="dxa"/>
        </w:trPr>
        <w:tc>
          <w:tcPr>
            <w:tcW w:w="685" w:type="dxa"/>
            <w:vMerge w:val="continue"/>
            <w:tcBorders>
              <w:tl2br w:val="nil"/>
              <w:tr2bl w:val="nil"/>
            </w:tcBorders>
            <w:vAlign w:val="center"/>
          </w:tcPr>
          <w:p w14:paraId="76C1710D">
            <w:pPr>
              <w:adjustRightInd w:val="0"/>
              <w:snapToGrid w:val="0"/>
              <w:spacing w:line="320" w:lineRule="exact"/>
              <w:rPr>
                <w:rFonts w:ascii="宋体" w:hAnsi="宋体" w:cs="宋体"/>
                <w:b/>
                <w:bCs/>
                <w:color w:val="0000FF"/>
                <w:szCs w:val="21"/>
              </w:rPr>
            </w:pPr>
          </w:p>
        </w:tc>
        <w:tc>
          <w:tcPr>
            <w:tcW w:w="548" w:type="dxa"/>
            <w:tcBorders>
              <w:tl2br w:val="nil"/>
              <w:tr2bl w:val="nil"/>
            </w:tcBorders>
            <w:vAlign w:val="center"/>
          </w:tcPr>
          <w:p w14:paraId="0A5B4F81">
            <w:pPr>
              <w:wordWrap w:val="0"/>
              <w:adjustRightInd w:val="0"/>
              <w:snapToGrid w:val="0"/>
              <w:spacing w:line="320" w:lineRule="exact"/>
              <w:jc w:val="center"/>
              <w:rPr>
                <w:rFonts w:ascii="宋体" w:hAnsi="宋体" w:cs="宋体"/>
                <w:szCs w:val="21"/>
              </w:rPr>
            </w:pPr>
            <w:r>
              <w:rPr>
                <w:rFonts w:hint="eastAsia" w:ascii="宋体" w:hAnsi="宋体" w:cs="宋体"/>
                <w:szCs w:val="21"/>
              </w:rPr>
              <w:t>5</w:t>
            </w:r>
          </w:p>
        </w:tc>
        <w:tc>
          <w:tcPr>
            <w:tcW w:w="2264" w:type="dxa"/>
            <w:tcBorders>
              <w:tl2br w:val="nil"/>
              <w:tr2bl w:val="nil"/>
            </w:tcBorders>
            <w:vAlign w:val="center"/>
          </w:tcPr>
          <w:p w14:paraId="0752C9C1">
            <w:pPr>
              <w:wordWrap w:val="0"/>
              <w:adjustRightInd w:val="0"/>
              <w:snapToGrid w:val="0"/>
              <w:spacing w:line="320" w:lineRule="exact"/>
              <w:jc w:val="center"/>
              <w:rPr>
                <w:rFonts w:ascii="宋体" w:hAnsi="宋体" w:cs="宋体"/>
                <w:szCs w:val="21"/>
              </w:rPr>
            </w:pPr>
            <w:r>
              <w:rPr>
                <w:rFonts w:hint="eastAsia" w:ascii="宋体" w:hAnsi="宋体" w:cs="宋体"/>
                <w:szCs w:val="21"/>
              </w:rPr>
              <w:t>拟安排的项目负责人情况（仅限一人）</w:t>
            </w:r>
          </w:p>
        </w:tc>
        <w:tc>
          <w:tcPr>
            <w:tcW w:w="696" w:type="dxa"/>
            <w:tcBorders>
              <w:tl2br w:val="nil"/>
              <w:tr2bl w:val="nil"/>
            </w:tcBorders>
            <w:vAlign w:val="center"/>
          </w:tcPr>
          <w:p w14:paraId="1996522F">
            <w:pPr>
              <w:wordWrap w:val="0"/>
              <w:adjustRightInd w:val="0"/>
              <w:snapToGrid w:val="0"/>
              <w:spacing w:line="320" w:lineRule="exact"/>
              <w:jc w:val="center"/>
              <w:rPr>
                <w:rFonts w:hint="default" w:ascii="宋体" w:hAnsi="宋体" w:eastAsia="宋体" w:cs="宋体"/>
                <w:szCs w:val="21"/>
                <w:lang w:val="en-US" w:eastAsia="zh-CN"/>
              </w:rPr>
            </w:pPr>
            <w:r>
              <w:rPr>
                <w:rFonts w:hint="eastAsia" w:ascii="宋体" w:hAnsi="宋体" w:cs="宋体"/>
                <w:szCs w:val="21"/>
                <w:lang w:val="en-US" w:eastAsia="zh-CN"/>
              </w:rPr>
              <w:t>10</w:t>
            </w:r>
          </w:p>
        </w:tc>
        <w:tc>
          <w:tcPr>
            <w:tcW w:w="4856" w:type="dxa"/>
            <w:tcBorders>
              <w:tl2br w:val="nil"/>
              <w:tr2bl w:val="nil"/>
            </w:tcBorders>
            <w:vAlign w:val="top"/>
          </w:tcPr>
          <w:p w14:paraId="7A17C975">
            <w:pPr>
              <w:adjustRightInd w:val="0"/>
              <w:snapToGrid w:val="0"/>
              <w:spacing w:line="320" w:lineRule="exact"/>
              <w:rPr>
                <w:rFonts w:ascii="宋体" w:hAnsi="宋体" w:cs="宋体"/>
                <w:b/>
                <w:bCs/>
                <w:szCs w:val="21"/>
              </w:rPr>
            </w:pPr>
            <w:r>
              <w:rPr>
                <w:rFonts w:hint="eastAsia" w:ascii="宋体" w:hAnsi="宋体" w:cs="宋体"/>
                <w:b/>
                <w:bCs/>
                <w:szCs w:val="21"/>
              </w:rPr>
              <w:t>（一）评分内容：</w:t>
            </w:r>
          </w:p>
          <w:p w14:paraId="4553F96F">
            <w:pPr>
              <w:adjustRightInd w:val="0"/>
              <w:snapToGrid w:val="0"/>
              <w:spacing w:line="320" w:lineRule="exact"/>
              <w:rPr>
                <w:rFonts w:ascii="宋体" w:hAnsi="宋体" w:cs="宋体"/>
                <w:szCs w:val="21"/>
              </w:rPr>
            </w:pPr>
            <w:r>
              <w:rPr>
                <w:rFonts w:hint="eastAsia" w:ascii="宋体" w:hAnsi="宋体" w:cs="宋体"/>
                <w:color w:val="FF0000"/>
                <w:szCs w:val="21"/>
              </w:rPr>
              <w:t>按招标文件要求提供人员配备承诺（格式见招标文件第四章-投标文件附件-人员配备承诺），</w:t>
            </w:r>
            <w:r>
              <w:rPr>
                <w:rFonts w:hint="eastAsia" w:ascii="宋体" w:hAnsi="宋体" w:cs="宋体"/>
                <w:szCs w:val="21"/>
              </w:rPr>
              <w:t>且拟安排项目负责人为投标单位员工（以社保为准），否则本项不得分。在此基础上：</w:t>
            </w:r>
          </w:p>
          <w:p w14:paraId="55A7A724">
            <w:r>
              <w:rPr>
                <w:rFonts w:hint="eastAsia" w:ascii="宋体" w:hAnsi="宋体" w:cs="宋体"/>
                <w:szCs w:val="21"/>
              </w:rPr>
              <w:t>1.学历：本科或以上学历得10分。</w:t>
            </w:r>
          </w:p>
          <w:p w14:paraId="6C6D77A6">
            <w:pPr>
              <w:wordWrap w:val="0"/>
              <w:adjustRightInd w:val="0"/>
              <w:snapToGrid w:val="0"/>
              <w:spacing w:line="320" w:lineRule="exact"/>
              <w:rPr>
                <w:szCs w:val="21"/>
              </w:rPr>
            </w:pPr>
            <w:r>
              <w:rPr>
                <w:rFonts w:hint="eastAsia"/>
                <w:sz w:val="21"/>
                <w:szCs w:val="21"/>
                <w:lang w:val="en-US" w:eastAsia="zh-CN"/>
              </w:rPr>
              <w:t>2</w:t>
            </w:r>
            <w:r>
              <w:rPr>
                <w:rFonts w:hint="eastAsia"/>
                <w:sz w:val="21"/>
                <w:szCs w:val="21"/>
              </w:rPr>
              <w:t>.同类项目经验：</w:t>
            </w:r>
            <w:r>
              <w:rPr>
                <w:rFonts w:hint="eastAsia"/>
                <w:szCs w:val="21"/>
              </w:rPr>
              <w:t>承担并负责过大数据或人工智能项目经验的，每具有1个得30分，此项最高得90分。</w:t>
            </w:r>
          </w:p>
          <w:p w14:paraId="32989B24">
            <w:pPr>
              <w:pStyle w:val="8"/>
              <w:adjustRightInd w:val="0"/>
              <w:snapToGrid w:val="0"/>
              <w:spacing w:line="320" w:lineRule="exact"/>
              <w:jc w:val="left"/>
              <w:rPr>
                <w:rFonts w:ascii="宋体" w:hAnsi="宋体" w:cs="宋体"/>
                <w:b/>
                <w:bCs/>
                <w:szCs w:val="21"/>
              </w:rPr>
            </w:pPr>
            <w:r>
              <w:rPr>
                <w:rFonts w:hint="eastAsia" w:ascii="宋体" w:hAnsi="宋体" w:cs="宋体"/>
                <w:b/>
                <w:bCs/>
                <w:szCs w:val="21"/>
              </w:rPr>
              <w:t>（二）评分依据：</w:t>
            </w:r>
          </w:p>
          <w:p w14:paraId="217C1E56">
            <w:pPr>
              <w:adjustRightInd w:val="0"/>
              <w:snapToGrid w:val="0"/>
              <w:spacing w:line="320" w:lineRule="exact"/>
              <w:jc w:val="left"/>
              <w:rPr>
                <w:rFonts w:hint="eastAsia" w:ascii="宋体" w:hAnsi="宋体" w:cs="宋体"/>
                <w:kern w:val="0"/>
                <w:szCs w:val="21"/>
              </w:rPr>
            </w:pPr>
            <w:r>
              <w:rPr>
                <w:rFonts w:hint="eastAsia" w:ascii="宋体" w:hAnsi="宋体" w:cs="宋体"/>
                <w:szCs w:val="21"/>
              </w:rPr>
              <w:t>1.</w:t>
            </w:r>
            <w:r>
              <w:rPr>
                <w:rFonts w:hint="eastAsia" w:ascii="宋体" w:hAnsi="宋体" w:cs="宋体"/>
                <w:kern w:val="0"/>
                <w:szCs w:val="21"/>
              </w:rPr>
              <w:t>要求提供社会保险参保单位为投标人2024年12月至2025年2月中任意一个月的社保证明作为本单位员工的证明依据。若供应商成立不足三个月的，需提供成立情况说明函(格式自拟)，无需提供相关人员社保，亦可得分。</w:t>
            </w:r>
          </w:p>
          <w:p w14:paraId="2A0473E2">
            <w:pPr>
              <w:adjustRightInd w:val="0"/>
              <w:snapToGrid w:val="0"/>
              <w:spacing w:line="320" w:lineRule="exact"/>
              <w:jc w:val="left"/>
              <w:rPr>
                <w:rFonts w:hint="eastAsia" w:ascii="宋体" w:hAnsi="宋体" w:cs="宋体"/>
                <w:kern w:val="0"/>
                <w:szCs w:val="21"/>
              </w:rPr>
            </w:pPr>
            <w:r>
              <w:rPr>
                <w:rFonts w:hint="eastAsia" w:ascii="宋体" w:hAnsi="宋体" w:cs="宋体"/>
                <w:kern w:val="0"/>
                <w:szCs w:val="21"/>
              </w:rPr>
              <w:t>2.提供证书扫描件，若人员证书为协会颁发的，则还需要提供该协会在全国社会组织信用信息公示平台（网址https://xxgs.chinanpo.mca.gov.cn)的查询“正常”页面截图。</w:t>
            </w:r>
          </w:p>
          <w:p w14:paraId="29E77456">
            <w:pPr>
              <w:wordWrap w:val="0"/>
              <w:adjustRightInd w:val="0"/>
              <w:snapToGrid w:val="0"/>
              <w:spacing w:line="320" w:lineRule="exact"/>
              <w:jc w:val="left"/>
              <w:rPr>
                <w:rFonts w:ascii="宋体" w:hAnsi="宋体" w:cs="宋体"/>
                <w:szCs w:val="21"/>
              </w:rPr>
            </w:pPr>
            <w:r>
              <w:rPr>
                <w:rFonts w:hint="eastAsia" w:ascii="宋体" w:hAnsi="宋体" w:cs="宋体"/>
                <w:szCs w:val="21"/>
              </w:rPr>
              <w:t>2.提供学历证书及学信网查询记录。对于较早颁发的学历证书,学信网无法查询的,除要求提供证书扫描件,需要提供其他佐证材料(如毕业院校或人力资源和社会保障部等颁发机构或监管机构等单位出具的证明),在海外留学并取得学历的,学信网无法查询的,可提供教育部留学服务中心出具的国外学历认证证书扫描件【或教育部留学服务中心网站（http://zwfw.cscse.edu.cn/）在线查询截图】。</w:t>
            </w:r>
          </w:p>
          <w:p w14:paraId="5526A12F">
            <w:pPr>
              <w:wordWrap w:val="0"/>
              <w:adjustRightInd w:val="0"/>
              <w:snapToGrid w:val="0"/>
              <w:spacing w:line="320" w:lineRule="exact"/>
              <w:jc w:val="left"/>
              <w:rPr>
                <w:rFonts w:ascii="宋体" w:hAnsi="宋体" w:cs="宋体"/>
                <w:szCs w:val="21"/>
              </w:rPr>
            </w:pPr>
            <w:r>
              <w:rPr>
                <w:rFonts w:hint="eastAsia" w:ascii="宋体" w:hAnsi="宋体" w:cs="宋体"/>
                <w:szCs w:val="21"/>
              </w:rPr>
              <w:t>3.提供证书扫描件，若人员证书为协会颁发的，则还需要提供该协会在全国社会组织信用信息公示平台（网址https://xxgs.chinanpo.mca.gov.cn)的查询“正常”页面截图。</w:t>
            </w:r>
          </w:p>
          <w:p w14:paraId="7788E8EB">
            <w:pPr>
              <w:wordWrap w:val="0"/>
              <w:adjustRightInd w:val="0"/>
              <w:snapToGrid w:val="0"/>
              <w:spacing w:line="320" w:lineRule="exact"/>
              <w:jc w:val="left"/>
              <w:rPr>
                <w:rFonts w:ascii="宋体" w:hAnsi="宋体" w:cs="宋体"/>
                <w:szCs w:val="21"/>
              </w:rPr>
            </w:pPr>
            <w:r>
              <w:rPr>
                <w:rFonts w:hint="eastAsia" w:ascii="宋体" w:hAnsi="宋体" w:cs="宋体"/>
                <w:szCs w:val="21"/>
              </w:rPr>
              <w:t>4.要求提供项目合同关键信息作为得分依据，通过合同关键信息无法判断是否得分的，还须同时提供投标人承诺。</w:t>
            </w:r>
          </w:p>
          <w:p w14:paraId="112F8D21">
            <w:pPr>
              <w:wordWrap w:val="0"/>
              <w:adjustRightInd w:val="0"/>
              <w:snapToGrid w:val="0"/>
              <w:spacing w:line="320" w:lineRule="exact"/>
              <w:jc w:val="left"/>
              <w:rPr>
                <w:rFonts w:ascii="宋体" w:hAnsi="宋体" w:cs="宋体"/>
                <w:szCs w:val="21"/>
              </w:rPr>
            </w:pPr>
            <w:r>
              <w:rPr>
                <w:rFonts w:hint="eastAsia" w:ascii="宋体" w:hAnsi="宋体" w:cs="宋体"/>
                <w:szCs w:val="21"/>
              </w:rPr>
              <w:t>5.评分中出现无证明资料或者专家无法凭所提供资料判断是否得分的情况，一律做不得分处理。</w:t>
            </w:r>
          </w:p>
        </w:tc>
      </w:tr>
      <w:tr w14:paraId="62C31D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0" w:type="dxa"/>
            <w:left w:w="108" w:type="dxa"/>
            <w:bottom w:w="20" w:type="dxa"/>
            <w:right w:w="108" w:type="dxa"/>
          </w:tblCellMar>
        </w:tblPrEx>
        <w:trPr>
          <w:tblCellSpacing w:w="0" w:type="dxa"/>
        </w:trPr>
        <w:tc>
          <w:tcPr>
            <w:tcW w:w="685" w:type="dxa"/>
            <w:vMerge w:val="continue"/>
            <w:tcBorders>
              <w:tl2br w:val="nil"/>
              <w:tr2bl w:val="nil"/>
            </w:tcBorders>
            <w:vAlign w:val="center"/>
          </w:tcPr>
          <w:p w14:paraId="0EAF2EBB">
            <w:pPr>
              <w:adjustRightInd w:val="0"/>
              <w:snapToGrid w:val="0"/>
              <w:spacing w:line="320" w:lineRule="exact"/>
              <w:rPr>
                <w:rFonts w:ascii="宋体" w:hAnsi="宋体" w:cs="宋体"/>
                <w:b/>
                <w:bCs/>
                <w:color w:val="0000FF"/>
                <w:szCs w:val="21"/>
              </w:rPr>
            </w:pPr>
          </w:p>
        </w:tc>
        <w:tc>
          <w:tcPr>
            <w:tcW w:w="548" w:type="dxa"/>
            <w:tcBorders>
              <w:tl2br w:val="nil"/>
              <w:tr2bl w:val="nil"/>
            </w:tcBorders>
            <w:vAlign w:val="center"/>
          </w:tcPr>
          <w:p w14:paraId="14D472A9">
            <w:pPr>
              <w:wordWrap w:val="0"/>
              <w:adjustRightInd w:val="0"/>
              <w:snapToGrid w:val="0"/>
              <w:spacing w:line="320" w:lineRule="exact"/>
              <w:jc w:val="center"/>
              <w:rPr>
                <w:rFonts w:ascii="宋体" w:hAnsi="宋体" w:cs="宋体"/>
                <w:szCs w:val="21"/>
              </w:rPr>
            </w:pPr>
            <w:r>
              <w:rPr>
                <w:rFonts w:hint="eastAsia" w:ascii="宋体" w:hAnsi="宋体" w:cs="宋体"/>
                <w:szCs w:val="21"/>
              </w:rPr>
              <w:t>6</w:t>
            </w:r>
          </w:p>
        </w:tc>
        <w:tc>
          <w:tcPr>
            <w:tcW w:w="2264" w:type="dxa"/>
            <w:tcBorders>
              <w:tl2br w:val="nil"/>
              <w:tr2bl w:val="nil"/>
            </w:tcBorders>
            <w:vAlign w:val="center"/>
          </w:tcPr>
          <w:p w14:paraId="31CBB84E">
            <w:pPr>
              <w:wordWrap w:val="0"/>
              <w:adjustRightInd w:val="0"/>
              <w:snapToGrid w:val="0"/>
              <w:spacing w:line="320" w:lineRule="exact"/>
              <w:jc w:val="center"/>
              <w:rPr>
                <w:rFonts w:ascii="宋体" w:hAnsi="宋体" w:cs="宋体"/>
                <w:szCs w:val="21"/>
              </w:rPr>
            </w:pPr>
            <w:r>
              <w:rPr>
                <w:rFonts w:hint="eastAsia" w:ascii="宋体" w:hAnsi="宋体" w:cs="宋体"/>
                <w:szCs w:val="21"/>
              </w:rPr>
              <w:t>拟安排的项目主要团队成员（主要技术人员）情况（项目负责人除外）</w:t>
            </w:r>
          </w:p>
        </w:tc>
        <w:tc>
          <w:tcPr>
            <w:tcW w:w="696" w:type="dxa"/>
            <w:tcBorders>
              <w:tl2br w:val="nil"/>
              <w:tr2bl w:val="nil"/>
            </w:tcBorders>
            <w:vAlign w:val="center"/>
          </w:tcPr>
          <w:p w14:paraId="6ADF87AE">
            <w:pPr>
              <w:wordWrap w:val="0"/>
              <w:adjustRightInd w:val="0"/>
              <w:snapToGrid w:val="0"/>
              <w:spacing w:line="320" w:lineRule="exact"/>
              <w:jc w:val="center"/>
              <w:rPr>
                <w:rFonts w:hint="default" w:ascii="宋体" w:hAnsi="宋体" w:eastAsia="宋体" w:cs="宋体"/>
                <w:szCs w:val="21"/>
                <w:lang w:val="en-US" w:eastAsia="zh-CN"/>
              </w:rPr>
            </w:pPr>
            <w:r>
              <w:rPr>
                <w:rFonts w:hint="eastAsia" w:ascii="宋体" w:hAnsi="宋体" w:cs="宋体"/>
                <w:szCs w:val="21"/>
                <w:lang w:val="en-US" w:eastAsia="zh-CN"/>
              </w:rPr>
              <w:t>20</w:t>
            </w:r>
          </w:p>
        </w:tc>
        <w:tc>
          <w:tcPr>
            <w:tcW w:w="4856" w:type="dxa"/>
            <w:tcBorders>
              <w:tl2br w:val="nil"/>
              <w:tr2bl w:val="nil"/>
            </w:tcBorders>
            <w:vAlign w:val="top"/>
          </w:tcPr>
          <w:p w14:paraId="17E91E12">
            <w:pPr>
              <w:adjustRightInd w:val="0"/>
              <w:snapToGrid w:val="0"/>
              <w:spacing w:line="320" w:lineRule="exact"/>
              <w:rPr>
                <w:rFonts w:ascii="宋体" w:hAnsi="宋体" w:cs="宋体"/>
                <w:b/>
                <w:bCs/>
                <w:szCs w:val="21"/>
              </w:rPr>
            </w:pPr>
            <w:r>
              <w:rPr>
                <w:rFonts w:hint="eastAsia" w:ascii="宋体" w:hAnsi="宋体" w:cs="宋体"/>
                <w:b/>
                <w:bCs/>
                <w:szCs w:val="21"/>
              </w:rPr>
              <w:t>（一）评分内容：</w:t>
            </w:r>
          </w:p>
          <w:p w14:paraId="4B5FD1F1">
            <w:pPr>
              <w:adjustRightInd w:val="0"/>
              <w:snapToGrid w:val="0"/>
              <w:spacing w:line="320" w:lineRule="exact"/>
              <w:rPr>
                <w:rFonts w:ascii="宋体" w:hAnsi="宋体" w:cs="宋体"/>
                <w:szCs w:val="21"/>
              </w:rPr>
            </w:pPr>
            <w:r>
              <w:rPr>
                <w:rFonts w:hint="eastAsia" w:ascii="宋体" w:hAnsi="宋体" w:cs="宋体"/>
                <w:color w:val="FF0000"/>
                <w:szCs w:val="21"/>
              </w:rPr>
              <w:t>按招标文件要求提供人员配备承诺（格式见招标文件第四章-投标文件附件-人员配备承诺），否则本项不得分；</w:t>
            </w:r>
            <w:r>
              <w:rPr>
                <w:rFonts w:hint="eastAsia" w:ascii="宋体" w:hAnsi="宋体" w:cs="宋体"/>
                <w:szCs w:val="21"/>
              </w:rPr>
              <w:t>拟安排项目团队成员为投标单位员工（以社保为准），否则该人员本项不得分。在此基础上：</w:t>
            </w:r>
          </w:p>
          <w:p w14:paraId="6F47A63A">
            <w:pPr>
              <w:wordWrap w:val="0"/>
              <w:adjustRightInd w:val="0"/>
              <w:snapToGrid w:val="0"/>
              <w:spacing w:line="320" w:lineRule="exact"/>
              <w:rPr>
                <w:rFonts w:ascii="宋体" w:hAnsi="宋体" w:cs="宋体"/>
                <w:szCs w:val="21"/>
              </w:rPr>
            </w:pPr>
            <w:r>
              <w:rPr>
                <w:rFonts w:hint="eastAsia" w:ascii="宋体" w:hAnsi="宋体" w:cs="宋体"/>
                <w:szCs w:val="21"/>
              </w:rPr>
              <w:t>1.学历：本科或以上学历，每一个人得</w:t>
            </w:r>
            <w:r>
              <w:rPr>
                <w:rFonts w:hint="eastAsia" w:ascii="宋体" w:hAnsi="宋体" w:cs="宋体"/>
                <w:szCs w:val="21"/>
                <w:lang w:val="en-US" w:eastAsia="zh-CN"/>
              </w:rPr>
              <w:t>10</w:t>
            </w:r>
            <w:r>
              <w:rPr>
                <w:rFonts w:hint="eastAsia" w:ascii="宋体" w:hAnsi="宋体" w:cs="宋体"/>
                <w:szCs w:val="21"/>
              </w:rPr>
              <w:t>分。</w:t>
            </w:r>
          </w:p>
          <w:p w14:paraId="2D3B7F88">
            <w:pPr>
              <w:numPr>
                <w:ilvl w:val="0"/>
                <w:numId w:val="7"/>
              </w:numPr>
              <w:adjustRightInd w:val="0"/>
              <w:snapToGrid w:val="0"/>
              <w:spacing w:line="320" w:lineRule="exact"/>
              <w:jc w:val="left"/>
              <w:rPr>
                <w:rFonts w:ascii="宋体" w:hAnsi="宋体" w:cs="宋体"/>
                <w:b/>
                <w:bCs/>
                <w:szCs w:val="21"/>
              </w:rPr>
            </w:pPr>
            <w:r>
              <w:rPr>
                <w:rFonts w:hint="eastAsia" w:ascii="宋体" w:hAnsi="宋体" w:cs="宋体"/>
                <w:b/>
                <w:bCs/>
                <w:szCs w:val="21"/>
              </w:rPr>
              <w:t>评分依据：</w:t>
            </w:r>
          </w:p>
          <w:p w14:paraId="0452CE21">
            <w:pPr>
              <w:adjustRightInd w:val="0"/>
              <w:snapToGrid w:val="0"/>
              <w:spacing w:line="320" w:lineRule="exact"/>
              <w:jc w:val="left"/>
              <w:rPr>
                <w:rFonts w:hint="eastAsia" w:ascii="宋体" w:hAnsi="宋体" w:cs="宋体"/>
                <w:kern w:val="0"/>
                <w:szCs w:val="21"/>
              </w:rPr>
            </w:pPr>
            <w:r>
              <w:rPr>
                <w:rFonts w:hint="eastAsia" w:ascii="宋体" w:hAnsi="宋体" w:cs="宋体"/>
                <w:szCs w:val="21"/>
              </w:rPr>
              <w:t>1.</w:t>
            </w:r>
            <w:r>
              <w:rPr>
                <w:rFonts w:hint="eastAsia" w:ascii="宋体" w:hAnsi="宋体" w:cs="宋体"/>
                <w:kern w:val="0"/>
                <w:szCs w:val="21"/>
              </w:rPr>
              <w:t>要求提供社会保险参保单位为投标人2024年12月至2025年2月中任意一个月的社保证明作为本单位员工的证明依据。若供应商成立不足三个月的，需提供成立情况说明函(格式自拟)，无需提供相关人员社保，亦可得分。</w:t>
            </w:r>
          </w:p>
          <w:p w14:paraId="507262C0">
            <w:pPr>
              <w:adjustRightInd w:val="0"/>
              <w:snapToGrid w:val="0"/>
              <w:spacing w:line="320" w:lineRule="exact"/>
              <w:jc w:val="left"/>
              <w:rPr>
                <w:rFonts w:hint="eastAsia" w:ascii="宋体" w:hAnsi="宋体" w:cs="宋体"/>
                <w:kern w:val="0"/>
                <w:szCs w:val="21"/>
              </w:rPr>
            </w:pPr>
            <w:r>
              <w:rPr>
                <w:rFonts w:hint="eastAsia" w:ascii="宋体" w:hAnsi="宋体" w:cs="宋体"/>
                <w:kern w:val="0"/>
                <w:szCs w:val="21"/>
              </w:rPr>
              <w:t>2.提供证书扫描件，若人员证书为协会颁发的，则还需要提供该协会在全国社会组织信用信息公示平台（网址https://xxgs.chinanpo.mca.gov.cn)的查询“正常”页面截图。</w:t>
            </w:r>
          </w:p>
          <w:p w14:paraId="44CA8671">
            <w:pPr>
              <w:wordWrap w:val="0"/>
              <w:adjustRightInd w:val="0"/>
              <w:snapToGrid w:val="0"/>
              <w:spacing w:line="320" w:lineRule="exact"/>
              <w:jc w:val="left"/>
              <w:rPr>
                <w:rFonts w:ascii="宋体" w:hAnsi="宋体" w:cs="宋体"/>
                <w:szCs w:val="21"/>
              </w:rPr>
            </w:pPr>
            <w:r>
              <w:rPr>
                <w:rFonts w:hint="eastAsia" w:ascii="宋体" w:hAnsi="宋体" w:cs="宋体"/>
                <w:szCs w:val="21"/>
              </w:rPr>
              <w:t>2.提供学历证书及学信网查询记录。对于较早颁发的学历证书,学信网无法查询的,除要求提供证书扫描件,需要提供其他佐证材料(如毕业院校或人力资源和社会保障部等颁发机构或监管机构等单位出具的证明),在海外留学并取得学历的,学信网无法查询的,可提供教育部留学服务中心出具的国外学历认证证书扫描件【或教育部留学服务中心网站（http://zwfw.cscse.edu.cn/）在线查询截图】。</w:t>
            </w:r>
          </w:p>
          <w:p w14:paraId="54E16FA4">
            <w:pPr>
              <w:wordWrap w:val="0"/>
              <w:adjustRightInd w:val="0"/>
              <w:snapToGrid w:val="0"/>
              <w:spacing w:line="320" w:lineRule="exact"/>
              <w:jc w:val="left"/>
              <w:rPr>
                <w:rFonts w:ascii="宋体" w:hAnsi="宋体" w:cs="宋体"/>
                <w:szCs w:val="21"/>
              </w:rPr>
            </w:pPr>
            <w:r>
              <w:rPr>
                <w:rFonts w:hint="eastAsia" w:ascii="宋体" w:hAnsi="宋体" w:cs="宋体"/>
                <w:szCs w:val="21"/>
              </w:rPr>
              <w:t>3.提供证书扫描件，若人员证书为协会颁发的，则还需要提供该协会在全国社会组织信用信息公示平台（网址https://xxgs.chinanpo.mca.gov.cn)的查询“正常”页面截图。</w:t>
            </w:r>
          </w:p>
          <w:p w14:paraId="2A6EE0E8">
            <w:pPr>
              <w:wordWrap w:val="0"/>
              <w:adjustRightInd w:val="0"/>
              <w:snapToGrid w:val="0"/>
              <w:spacing w:line="320" w:lineRule="exact"/>
              <w:jc w:val="left"/>
              <w:rPr>
                <w:rFonts w:ascii="宋体" w:hAnsi="宋体" w:cs="宋体"/>
                <w:szCs w:val="21"/>
              </w:rPr>
            </w:pPr>
            <w:r>
              <w:rPr>
                <w:rFonts w:hint="eastAsia" w:ascii="宋体" w:hAnsi="宋体" w:cs="宋体"/>
                <w:szCs w:val="21"/>
              </w:rPr>
              <w:t>4.要求提供项目合同关键信息作为得分依据，通过合同关键信息无法判断是否得分的，还须同时提供投标人承诺。</w:t>
            </w:r>
          </w:p>
          <w:p w14:paraId="4483D3E0">
            <w:pPr>
              <w:wordWrap w:val="0"/>
              <w:adjustRightInd w:val="0"/>
              <w:snapToGrid w:val="0"/>
              <w:spacing w:line="320" w:lineRule="exact"/>
              <w:rPr>
                <w:rFonts w:ascii="宋体" w:hAnsi="宋体" w:cs="宋体"/>
                <w:szCs w:val="21"/>
              </w:rPr>
            </w:pPr>
            <w:r>
              <w:rPr>
                <w:rFonts w:hint="eastAsia" w:ascii="宋体" w:hAnsi="宋体" w:cs="宋体"/>
                <w:szCs w:val="21"/>
              </w:rPr>
              <w:t>5.评分中出现无证明资料或者专家无法凭所提供资料判断是否得分的情况，一律做不得分处理。</w:t>
            </w:r>
          </w:p>
        </w:tc>
      </w:tr>
      <w:tr w14:paraId="1B0308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0" w:type="dxa"/>
            <w:left w:w="108" w:type="dxa"/>
            <w:bottom w:w="20" w:type="dxa"/>
            <w:right w:w="108" w:type="dxa"/>
          </w:tblCellMar>
        </w:tblPrEx>
        <w:trPr>
          <w:tblCellSpacing w:w="0" w:type="dxa"/>
        </w:trPr>
        <w:tc>
          <w:tcPr>
            <w:tcW w:w="685" w:type="dxa"/>
            <w:vMerge w:val="restart"/>
            <w:tcBorders>
              <w:tl2br w:val="nil"/>
              <w:tr2bl w:val="nil"/>
            </w:tcBorders>
          </w:tcPr>
          <w:p w14:paraId="7614C8BE">
            <w:pPr>
              <w:wordWrap w:val="0"/>
              <w:adjustRightInd w:val="0"/>
              <w:snapToGrid w:val="0"/>
              <w:spacing w:line="320" w:lineRule="exact"/>
              <w:jc w:val="center"/>
              <w:rPr>
                <w:rFonts w:ascii="宋体" w:hAnsi="宋体" w:cs="宋体"/>
                <w:b/>
                <w:bCs/>
                <w:color w:val="0000FF"/>
                <w:szCs w:val="21"/>
              </w:rPr>
            </w:pPr>
            <w:r>
              <w:rPr>
                <w:rFonts w:hint="eastAsia" w:ascii="宋体" w:hAnsi="宋体" w:cs="宋体"/>
                <w:b/>
                <w:bCs/>
                <w:color w:val="0000FF"/>
                <w:szCs w:val="21"/>
              </w:rPr>
              <w:t>3</w:t>
            </w:r>
          </w:p>
        </w:tc>
        <w:tc>
          <w:tcPr>
            <w:tcW w:w="3508" w:type="dxa"/>
            <w:gridSpan w:val="3"/>
            <w:tcBorders>
              <w:tl2br w:val="nil"/>
              <w:tr2bl w:val="nil"/>
            </w:tcBorders>
            <w:vAlign w:val="center"/>
          </w:tcPr>
          <w:p w14:paraId="79DE07A6">
            <w:pPr>
              <w:wordWrap w:val="0"/>
              <w:adjustRightInd w:val="0"/>
              <w:snapToGrid w:val="0"/>
              <w:spacing w:line="320" w:lineRule="exact"/>
              <w:jc w:val="center"/>
              <w:rPr>
                <w:rFonts w:ascii="宋体" w:hAnsi="宋体" w:cs="宋体"/>
                <w:b/>
                <w:bCs/>
                <w:color w:val="0000FF"/>
                <w:szCs w:val="21"/>
              </w:rPr>
            </w:pPr>
            <w:r>
              <w:rPr>
                <w:rFonts w:hint="eastAsia" w:ascii="宋体" w:hAnsi="宋体" w:cs="宋体"/>
                <w:b/>
                <w:bCs/>
                <w:color w:val="0000FF"/>
                <w:szCs w:val="21"/>
              </w:rPr>
              <w:t>综合实力部分</w:t>
            </w:r>
          </w:p>
        </w:tc>
        <w:tc>
          <w:tcPr>
            <w:tcW w:w="4856" w:type="dxa"/>
            <w:tcBorders>
              <w:tl2br w:val="nil"/>
              <w:tr2bl w:val="nil"/>
            </w:tcBorders>
          </w:tcPr>
          <w:p w14:paraId="75E8F697">
            <w:pPr>
              <w:wordWrap w:val="0"/>
              <w:adjustRightInd w:val="0"/>
              <w:snapToGrid w:val="0"/>
              <w:spacing w:line="320" w:lineRule="exact"/>
              <w:jc w:val="center"/>
              <w:rPr>
                <w:rFonts w:hint="default" w:ascii="宋体" w:hAnsi="宋体" w:eastAsia="宋体" w:cs="宋体"/>
                <w:b/>
                <w:bCs/>
                <w:color w:val="0000FF"/>
                <w:szCs w:val="21"/>
                <w:lang w:val="en-US" w:eastAsia="zh-CN"/>
              </w:rPr>
            </w:pPr>
            <w:r>
              <w:rPr>
                <w:rFonts w:hint="eastAsia" w:ascii="宋体" w:hAnsi="宋体" w:cs="宋体"/>
                <w:b/>
                <w:bCs/>
                <w:color w:val="0000FF"/>
                <w:szCs w:val="21"/>
                <w:lang w:val="en-US" w:eastAsia="zh-CN"/>
              </w:rPr>
              <w:t>28</w:t>
            </w:r>
          </w:p>
        </w:tc>
      </w:tr>
      <w:tr w14:paraId="36B122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0" w:type="dxa"/>
            <w:left w:w="108" w:type="dxa"/>
            <w:bottom w:w="20" w:type="dxa"/>
            <w:right w:w="108" w:type="dxa"/>
          </w:tblCellMar>
        </w:tblPrEx>
        <w:trPr>
          <w:tblCellSpacing w:w="0" w:type="dxa"/>
        </w:trPr>
        <w:tc>
          <w:tcPr>
            <w:tcW w:w="685" w:type="dxa"/>
            <w:vMerge w:val="continue"/>
            <w:tcBorders>
              <w:tl2br w:val="nil"/>
              <w:tr2bl w:val="nil"/>
            </w:tcBorders>
            <w:vAlign w:val="center"/>
          </w:tcPr>
          <w:p w14:paraId="03C2489B">
            <w:pPr>
              <w:adjustRightInd w:val="0"/>
              <w:snapToGrid w:val="0"/>
              <w:spacing w:line="320" w:lineRule="exact"/>
              <w:rPr>
                <w:rFonts w:ascii="宋体" w:hAnsi="宋体" w:cs="宋体"/>
                <w:b/>
                <w:bCs/>
                <w:color w:val="0000FF"/>
                <w:szCs w:val="21"/>
              </w:rPr>
            </w:pPr>
          </w:p>
        </w:tc>
        <w:tc>
          <w:tcPr>
            <w:tcW w:w="8364" w:type="dxa"/>
            <w:gridSpan w:val="4"/>
            <w:tcBorders>
              <w:tl2br w:val="nil"/>
              <w:tr2bl w:val="nil"/>
            </w:tcBorders>
            <w:vAlign w:val="center"/>
          </w:tcPr>
          <w:p w14:paraId="08B86AAA">
            <w:pPr>
              <w:wordWrap w:val="0"/>
              <w:adjustRightInd w:val="0"/>
              <w:snapToGrid w:val="0"/>
              <w:spacing w:line="320" w:lineRule="exact"/>
              <w:jc w:val="center"/>
              <w:rPr>
                <w:rFonts w:ascii="宋体" w:hAnsi="宋体" w:cs="宋体"/>
                <w:szCs w:val="21"/>
              </w:rPr>
            </w:pPr>
          </w:p>
        </w:tc>
      </w:tr>
      <w:tr w14:paraId="38CAE6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0" w:type="dxa"/>
            <w:left w:w="108" w:type="dxa"/>
            <w:bottom w:w="20" w:type="dxa"/>
            <w:right w:w="108" w:type="dxa"/>
          </w:tblCellMar>
        </w:tblPrEx>
        <w:trPr>
          <w:tblCellSpacing w:w="0" w:type="dxa"/>
        </w:trPr>
        <w:tc>
          <w:tcPr>
            <w:tcW w:w="685" w:type="dxa"/>
            <w:vMerge w:val="continue"/>
            <w:tcBorders>
              <w:tl2br w:val="nil"/>
              <w:tr2bl w:val="nil"/>
            </w:tcBorders>
            <w:shd w:val="clear" w:color="auto" w:fill="E6EFFA"/>
            <w:vAlign w:val="center"/>
          </w:tcPr>
          <w:p w14:paraId="67F51309">
            <w:pPr>
              <w:adjustRightInd w:val="0"/>
              <w:snapToGrid w:val="0"/>
              <w:spacing w:line="320" w:lineRule="exact"/>
              <w:rPr>
                <w:rFonts w:ascii="宋体" w:hAnsi="宋体" w:cs="宋体"/>
                <w:b/>
                <w:bCs/>
                <w:color w:val="0000FF"/>
                <w:szCs w:val="21"/>
              </w:rPr>
            </w:pPr>
          </w:p>
        </w:tc>
        <w:tc>
          <w:tcPr>
            <w:tcW w:w="548" w:type="dxa"/>
            <w:tcBorders>
              <w:tl2br w:val="nil"/>
              <w:tr2bl w:val="nil"/>
            </w:tcBorders>
            <w:shd w:val="clear" w:color="auto" w:fill="E6EFFA"/>
            <w:vAlign w:val="center"/>
          </w:tcPr>
          <w:p w14:paraId="4CFBF4FD">
            <w:pPr>
              <w:wordWrap w:val="0"/>
              <w:adjustRightInd w:val="0"/>
              <w:snapToGrid w:val="0"/>
              <w:spacing w:line="320" w:lineRule="exact"/>
              <w:jc w:val="center"/>
              <w:rPr>
                <w:rFonts w:ascii="宋体" w:hAnsi="宋体" w:cs="宋体"/>
                <w:szCs w:val="21"/>
              </w:rPr>
            </w:pPr>
            <w:r>
              <w:rPr>
                <w:rFonts w:hint="eastAsia" w:ascii="宋体" w:hAnsi="宋体" w:cs="宋体"/>
                <w:szCs w:val="21"/>
              </w:rPr>
              <w:t>序号</w:t>
            </w:r>
          </w:p>
        </w:tc>
        <w:tc>
          <w:tcPr>
            <w:tcW w:w="2264" w:type="dxa"/>
            <w:tcBorders>
              <w:tl2br w:val="nil"/>
              <w:tr2bl w:val="nil"/>
            </w:tcBorders>
            <w:shd w:val="clear" w:color="auto" w:fill="E6EFFA"/>
            <w:vAlign w:val="center"/>
          </w:tcPr>
          <w:p w14:paraId="1CBF5DA7">
            <w:pPr>
              <w:wordWrap w:val="0"/>
              <w:adjustRightInd w:val="0"/>
              <w:snapToGrid w:val="0"/>
              <w:spacing w:line="320" w:lineRule="exact"/>
              <w:jc w:val="center"/>
              <w:rPr>
                <w:rFonts w:ascii="宋体" w:hAnsi="宋体" w:cs="宋体"/>
                <w:szCs w:val="21"/>
              </w:rPr>
            </w:pPr>
            <w:r>
              <w:rPr>
                <w:rFonts w:hint="eastAsia" w:ascii="宋体" w:hAnsi="宋体" w:cs="宋体"/>
                <w:szCs w:val="21"/>
              </w:rPr>
              <w:t>评分因素</w:t>
            </w:r>
          </w:p>
        </w:tc>
        <w:tc>
          <w:tcPr>
            <w:tcW w:w="696" w:type="dxa"/>
            <w:tcBorders>
              <w:tl2br w:val="nil"/>
              <w:tr2bl w:val="nil"/>
            </w:tcBorders>
            <w:shd w:val="clear" w:color="auto" w:fill="E6EFFA"/>
            <w:vAlign w:val="center"/>
          </w:tcPr>
          <w:p w14:paraId="470A4594">
            <w:pPr>
              <w:wordWrap w:val="0"/>
              <w:adjustRightInd w:val="0"/>
              <w:snapToGrid w:val="0"/>
              <w:spacing w:line="320" w:lineRule="exact"/>
              <w:jc w:val="center"/>
              <w:rPr>
                <w:rFonts w:ascii="宋体" w:hAnsi="宋体" w:cs="宋体"/>
                <w:szCs w:val="21"/>
              </w:rPr>
            </w:pPr>
            <w:r>
              <w:rPr>
                <w:rFonts w:hint="eastAsia" w:ascii="宋体" w:hAnsi="宋体" w:cs="宋体"/>
                <w:szCs w:val="21"/>
              </w:rPr>
              <w:t>权重(%)</w:t>
            </w:r>
          </w:p>
        </w:tc>
        <w:tc>
          <w:tcPr>
            <w:tcW w:w="4856" w:type="dxa"/>
            <w:tcBorders>
              <w:tl2br w:val="nil"/>
              <w:tr2bl w:val="nil"/>
            </w:tcBorders>
            <w:shd w:val="clear" w:color="auto" w:fill="E6EFFA"/>
            <w:vAlign w:val="center"/>
          </w:tcPr>
          <w:p w14:paraId="09EF375A">
            <w:pPr>
              <w:wordWrap w:val="0"/>
              <w:adjustRightInd w:val="0"/>
              <w:snapToGrid w:val="0"/>
              <w:spacing w:line="320" w:lineRule="exact"/>
              <w:jc w:val="center"/>
              <w:rPr>
                <w:rFonts w:ascii="宋体" w:hAnsi="宋体" w:cs="宋体"/>
                <w:szCs w:val="21"/>
              </w:rPr>
            </w:pPr>
            <w:r>
              <w:rPr>
                <w:rFonts w:hint="eastAsia" w:ascii="宋体" w:hAnsi="宋体" w:cs="宋体"/>
                <w:szCs w:val="21"/>
              </w:rPr>
              <w:t>评分准则</w:t>
            </w:r>
          </w:p>
        </w:tc>
      </w:tr>
      <w:tr w14:paraId="023430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0" w:type="dxa"/>
            <w:left w:w="108" w:type="dxa"/>
            <w:bottom w:w="20" w:type="dxa"/>
            <w:right w:w="108" w:type="dxa"/>
          </w:tblCellMar>
        </w:tblPrEx>
        <w:trPr>
          <w:tblCellSpacing w:w="0" w:type="dxa"/>
        </w:trPr>
        <w:tc>
          <w:tcPr>
            <w:tcW w:w="685" w:type="dxa"/>
            <w:vMerge w:val="continue"/>
            <w:tcBorders>
              <w:tl2br w:val="nil"/>
              <w:tr2bl w:val="nil"/>
            </w:tcBorders>
            <w:vAlign w:val="center"/>
          </w:tcPr>
          <w:p w14:paraId="1C1585B2">
            <w:pPr>
              <w:adjustRightInd w:val="0"/>
              <w:snapToGrid w:val="0"/>
              <w:spacing w:line="320" w:lineRule="exact"/>
              <w:rPr>
                <w:rFonts w:ascii="宋体" w:hAnsi="宋体" w:cs="宋体"/>
                <w:b/>
                <w:bCs/>
                <w:color w:val="0000FF"/>
                <w:szCs w:val="21"/>
              </w:rPr>
            </w:pPr>
          </w:p>
        </w:tc>
        <w:tc>
          <w:tcPr>
            <w:tcW w:w="548" w:type="dxa"/>
            <w:tcBorders>
              <w:tl2br w:val="nil"/>
              <w:tr2bl w:val="nil"/>
            </w:tcBorders>
            <w:vAlign w:val="center"/>
          </w:tcPr>
          <w:p w14:paraId="0330702C">
            <w:pPr>
              <w:wordWrap w:val="0"/>
              <w:adjustRightInd w:val="0"/>
              <w:snapToGrid w:val="0"/>
              <w:spacing w:line="320" w:lineRule="exact"/>
              <w:jc w:val="center"/>
              <w:rPr>
                <w:rFonts w:ascii="宋体" w:hAnsi="宋体" w:cs="宋体"/>
                <w:szCs w:val="21"/>
              </w:rPr>
            </w:pPr>
            <w:r>
              <w:rPr>
                <w:rFonts w:hint="eastAsia" w:ascii="宋体" w:hAnsi="宋体" w:cs="宋体"/>
                <w:szCs w:val="21"/>
              </w:rPr>
              <w:t>1</w:t>
            </w:r>
          </w:p>
        </w:tc>
        <w:tc>
          <w:tcPr>
            <w:tcW w:w="2264" w:type="dxa"/>
            <w:tcBorders>
              <w:tl2br w:val="nil"/>
              <w:tr2bl w:val="nil"/>
            </w:tcBorders>
            <w:vAlign w:val="center"/>
          </w:tcPr>
          <w:p w14:paraId="27C52DC3">
            <w:pPr>
              <w:wordWrap w:val="0"/>
              <w:adjustRightInd w:val="0"/>
              <w:snapToGrid w:val="0"/>
              <w:spacing w:line="320" w:lineRule="exact"/>
              <w:jc w:val="center"/>
              <w:rPr>
                <w:rFonts w:ascii="宋体" w:hAnsi="宋体" w:cs="宋体"/>
                <w:szCs w:val="21"/>
              </w:rPr>
            </w:pPr>
            <w:r>
              <w:rPr>
                <w:rFonts w:hint="eastAsia" w:ascii="宋体" w:hAnsi="宋体" w:cs="宋体"/>
                <w:szCs w:val="21"/>
              </w:rPr>
              <w:t>同类项目业绩</w:t>
            </w:r>
          </w:p>
        </w:tc>
        <w:tc>
          <w:tcPr>
            <w:tcW w:w="696" w:type="dxa"/>
            <w:tcBorders>
              <w:tl2br w:val="nil"/>
              <w:tr2bl w:val="nil"/>
            </w:tcBorders>
            <w:vAlign w:val="center"/>
          </w:tcPr>
          <w:p w14:paraId="7FFCF1B8">
            <w:pPr>
              <w:wordWrap w:val="0"/>
              <w:adjustRightInd w:val="0"/>
              <w:snapToGrid w:val="0"/>
              <w:spacing w:line="320" w:lineRule="exact"/>
              <w:jc w:val="center"/>
              <w:rPr>
                <w:rFonts w:hint="default" w:ascii="宋体" w:hAnsi="宋体" w:eastAsia="宋体" w:cs="宋体"/>
                <w:szCs w:val="21"/>
                <w:lang w:val="en-US" w:eastAsia="zh-CN"/>
              </w:rPr>
            </w:pPr>
            <w:r>
              <w:rPr>
                <w:rFonts w:hint="eastAsia" w:ascii="宋体" w:hAnsi="宋体" w:cs="宋体"/>
                <w:szCs w:val="21"/>
                <w:lang w:val="en-US" w:eastAsia="zh-CN"/>
              </w:rPr>
              <w:t>12</w:t>
            </w:r>
          </w:p>
        </w:tc>
        <w:tc>
          <w:tcPr>
            <w:tcW w:w="4856" w:type="dxa"/>
            <w:tcBorders>
              <w:tl2br w:val="nil"/>
              <w:tr2bl w:val="nil"/>
            </w:tcBorders>
          </w:tcPr>
          <w:p w14:paraId="24A412F9">
            <w:pPr>
              <w:adjustRightInd w:val="0"/>
              <w:snapToGrid w:val="0"/>
              <w:spacing w:line="320" w:lineRule="exact"/>
              <w:rPr>
                <w:rFonts w:ascii="宋体" w:hAnsi="宋体" w:cs="宋体"/>
                <w:b/>
                <w:bCs/>
                <w:szCs w:val="21"/>
              </w:rPr>
            </w:pPr>
            <w:r>
              <w:rPr>
                <w:rFonts w:hint="eastAsia" w:ascii="宋体" w:hAnsi="宋体" w:cs="宋体"/>
                <w:b/>
                <w:bCs/>
                <w:szCs w:val="21"/>
              </w:rPr>
              <w:t>（一）评分内容：</w:t>
            </w:r>
          </w:p>
          <w:p w14:paraId="34259A7F">
            <w:pPr>
              <w:adjustRightInd w:val="0"/>
              <w:snapToGrid w:val="0"/>
              <w:spacing w:line="320" w:lineRule="exact"/>
              <w:rPr>
                <w:rFonts w:ascii="宋体" w:hAnsi="宋体" w:cs="宋体"/>
                <w:szCs w:val="21"/>
              </w:rPr>
            </w:pPr>
            <w:r>
              <w:rPr>
                <w:rFonts w:hint="eastAsia" w:ascii="宋体" w:hAnsi="宋体" w:cs="宋体"/>
                <w:szCs w:val="21"/>
              </w:rPr>
              <w:t>投标人自2020年1月1日至本项目投标截止日（以合同签订日期为准）：具有</w:t>
            </w:r>
            <w:r>
              <w:rPr>
                <w:rFonts w:hint="eastAsia" w:ascii="宋体" w:hAnsi="宋体" w:cs="宋体"/>
                <w:szCs w:val="21"/>
                <w:lang w:val="en-US" w:eastAsia="zh-CN"/>
              </w:rPr>
              <w:t>生成式</w:t>
            </w:r>
            <w:r>
              <w:rPr>
                <w:rFonts w:hint="eastAsia" w:ascii="宋体" w:hAnsi="宋体" w:cs="宋体"/>
                <w:szCs w:val="21"/>
              </w:rPr>
              <w:t>大模型建设或人工智能相关案例，每提供一个项目得20分，最高得100分。</w:t>
            </w:r>
          </w:p>
          <w:p w14:paraId="6BBAD3B1">
            <w:pPr>
              <w:adjustRightInd w:val="0"/>
              <w:snapToGrid w:val="0"/>
              <w:spacing w:line="320" w:lineRule="exact"/>
              <w:rPr>
                <w:rFonts w:ascii="宋体" w:hAnsi="宋体" w:cs="宋体"/>
                <w:b/>
                <w:bCs/>
                <w:szCs w:val="21"/>
              </w:rPr>
            </w:pPr>
            <w:r>
              <w:rPr>
                <w:rFonts w:hint="eastAsia" w:ascii="宋体" w:hAnsi="宋体" w:cs="宋体"/>
                <w:b/>
                <w:bCs/>
                <w:szCs w:val="21"/>
              </w:rPr>
              <w:t>（二）评分依据：</w:t>
            </w:r>
          </w:p>
          <w:p w14:paraId="6F40B362">
            <w:pPr>
              <w:adjustRightInd w:val="0"/>
              <w:snapToGrid w:val="0"/>
              <w:spacing w:line="320" w:lineRule="exact"/>
              <w:rPr>
                <w:rFonts w:ascii="宋体" w:hAnsi="宋体" w:cs="宋体"/>
                <w:szCs w:val="21"/>
              </w:rPr>
            </w:pPr>
            <w:r>
              <w:rPr>
                <w:rFonts w:hint="eastAsia" w:ascii="宋体" w:hAnsi="宋体" w:cs="宋体"/>
                <w:szCs w:val="21"/>
              </w:rPr>
              <w:t>1.提供合同关键页（包括但不限于合同的项目名称、服务内容、签订日期、合同双方签字盖章页）。</w:t>
            </w:r>
          </w:p>
        </w:tc>
      </w:tr>
      <w:tr w14:paraId="380270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0" w:type="dxa"/>
            <w:left w:w="108" w:type="dxa"/>
            <w:bottom w:w="20" w:type="dxa"/>
            <w:right w:w="108" w:type="dxa"/>
          </w:tblCellMar>
        </w:tblPrEx>
        <w:trPr>
          <w:tblCellSpacing w:w="0" w:type="dxa"/>
        </w:trPr>
        <w:tc>
          <w:tcPr>
            <w:tcW w:w="685" w:type="dxa"/>
            <w:vMerge w:val="continue"/>
            <w:tcBorders>
              <w:tl2br w:val="nil"/>
              <w:tr2bl w:val="nil"/>
            </w:tcBorders>
            <w:vAlign w:val="center"/>
          </w:tcPr>
          <w:p w14:paraId="54803AC0">
            <w:pPr>
              <w:adjustRightInd w:val="0"/>
              <w:snapToGrid w:val="0"/>
              <w:spacing w:line="320" w:lineRule="exact"/>
              <w:rPr>
                <w:rFonts w:ascii="宋体" w:hAnsi="宋体" w:cs="宋体"/>
                <w:b/>
                <w:bCs/>
                <w:color w:val="0000FF"/>
                <w:szCs w:val="21"/>
              </w:rPr>
            </w:pPr>
          </w:p>
        </w:tc>
        <w:tc>
          <w:tcPr>
            <w:tcW w:w="548" w:type="dxa"/>
            <w:tcBorders>
              <w:tl2br w:val="nil"/>
              <w:tr2bl w:val="nil"/>
            </w:tcBorders>
            <w:vAlign w:val="center"/>
          </w:tcPr>
          <w:p w14:paraId="6E9143A1">
            <w:pPr>
              <w:wordWrap w:val="0"/>
              <w:adjustRightInd w:val="0"/>
              <w:snapToGrid w:val="0"/>
              <w:spacing w:line="320" w:lineRule="exact"/>
              <w:jc w:val="center"/>
              <w:rPr>
                <w:rFonts w:hint="eastAsia" w:ascii="宋体" w:hAnsi="宋体" w:eastAsia="宋体" w:cs="宋体"/>
                <w:szCs w:val="21"/>
                <w:lang w:val="en-US" w:eastAsia="zh-CN"/>
              </w:rPr>
            </w:pPr>
            <w:r>
              <w:rPr>
                <w:rFonts w:hint="eastAsia" w:ascii="宋体" w:hAnsi="宋体" w:cs="宋体"/>
                <w:szCs w:val="21"/>
                <w:lang w:val="en-US" w:eastAsia="zh-CN"/>
              </w:rPr>
              <w:t>2</w:t>
            </w:r>
          </w:p>
        </w:tc>
        <w:tc>
          <w:tcPr>
            <w:tcW w:w="2264" w:type="dxa"/>
            <w:tcBorders>
              <w:tl2br w:val="nil"/>
              <w:tr2bl w:val="nil"/>
            </w:tcBorders>
            <w:vAlign w:val="center"/>
          </w:tcPr>
          <w:p w14:paraId="26AEC6F9">
            <w:pPr>
              <w:jc w:val="center"/>
              <w:rPr>
                <w:rFonts w:ascii="宋体" w:hAnsi="宋体"/>
                <w:szCs w:val="21"/>
              </w:rPr>
            </w:pPr>
            <w:r>
              <w:rPr>
                <w:rFonts w:hint="eastAsia" w:ascii="宋体" w:hAnsi="宋体"/>
                <w:szCs w:val="21"/>
              </w:rPr>
              <w:t>履约评价</w:t>
            </w:r>
          </w:p>
          <w:p w14:paraId="50D1D72E">
            <w:pPr>
              <w:wordWrap w:val="0"/>
              <w:adjustRightInd w:val="0"/>
              <w:snapToGrid w:val="0"/>
              <w:spacing w:line="320" w:lineRule="exact"/>
              <w:jc w:val="center"/>
              <w:rPr>
                <w:rFonts w:hint="eastAsia" w:ascii="宋体" w:hAnsi="宋体" w:cs="宋体"/>
                <w:szCs w:val="21"/>
              </w:rPr>
            </w:pPr>
          </w:p>
        </w:tc>
        <w:tc>
          <w:tcPr>
            <w:tcW w:w="696" w:type="dxa"/>
            <w:tcBorders>
              <w:tl2br w:val="nil"/>
              <w:tr2bl w:val="nil"/>
            </w:tcBorders>
            <w:vAlign w:val="center"/>
          </w:tcPr>
          <w:p w14:paraId="5F1EE4AB">
            <w:pPr>
              <w:wordWrap w:val="0"/>
              <w:adjustRightInd w:val="0"/>
              <w:snapToGrid w:val="0"/>
              <w:spacing w:line="320" w:lineRule="exact"/>
              <w:jc w:val="center"/>
              <w:rPr>
                <w:rFonts w:hint="eastAsia" w:ascii="宋体" w:hAnsi="宋体" w:eastAsia="宋体" w:cs="宋体"/>
                <w:szCs w:val="21"/>
                <w:lang w:val="en-US" w:eastAsia="zh-CN"/>
              </w:rPr>
            </w:pPr>
            <w:r>
              <w:rPr>
                <w:rFonts w:hint="eastAsia" w:ascii="宋体" w:hAnsi="宋体" w:cs="宋体"/>
                <w:szCs w:val="21"/>
                <w:lang w:val="en-US" w:eastAsia="zh-CN"/>
              </w:rPr>
              <w:t>6</w:t>
            </w:r>
          </w:p>
        </w:tc>
        <w:tc>
          <w:tcPr>
            <w:tcW w:w="4856" w:type="dxa"/>
            <w:tcBorders>
              <w:tl2br w:val="nil"/>
              <w:tr2bl w:val="nil"/>
            </w:tcBorders>
          </w:tcPr>
          <w:p w14:paraId="09A8883B">
            <w:pPr>
              <w:adjustRightInd w:val="0"/>
              <w:snapToGrid w:val="0"/>
              <w:spacing w:line="320" w:lineRule="exact"/>
              <w:rPr>
                <w:rFonts w:ascii="宋体" w:hAnsi="宋体" w:cs="宋体"/>
                <w:b/>
                <w:bCs/>
                <w:szCs w:val="21"/>
              </w:rPr>
            </w:pPr>
            <w:r>
              <w:rPr>
                <w:rFonts w:hint="eastAsia" w:ascii="宋体" w:hAnsi="宋体" w:cs="宋体"/>
                <w:b/>
                <w:bCs/>
                <w:szCs w:val="21"/>
              </w:rPr>
              <w:t>（一）评分内容：</w:t>
            </w:r>
          </w:p>
          <w:p w14:paraId="26AEC704">
            <w:pPr>
              <w:jc w:val="left"/>
              <w:rPr>
                <w:rFonts w:ascii="宋体" w:hAnsi="宋体"/>
                <w:szCs w:val="21"/>
              </w:rPr>
            </w:pPr>
            <w:r>
              <w:rPr>
                <w:rFonts w:hint="eastAsia" w:ascii="宋体" w:hAnsi="宋体"/>
                <w:szCs w:val="21"/>
              </w:rPr>
              <w:t>供应商在上述“有效业绩”评审项中参加评审并被认定有效的业绩（且获得评分），能够提供用户出具的履约评价书，且评价为优或者合格的，每份评价书得50分，其他情况得0分；最高得</w:t>
            </w:r>
            <w:r>
              <w:rPr>
                <w:rFonts w:ascii="宋体" w:hAnsi="宋体" w:cs="宋体"/>
                <w:kern w:val="0"/>
                <w:szCs w:val="21"/>
                <w:u w:val="single"/>
              </w:rPr>
              <w:t>100</w:t>
            </w:r>
            <w:r>
              <w:rPr>
                <w:rFonts w:hint="eastAsia" w:ascii="宋体" w:hAnsi="宋体"/>
                <w:szCs w:val="21"/>
              </w:rPr>
              <w:t>分。</w:t>
            </w:r>
          </w:p>
          <w:p w14:paraId="26AEC705">
            <w:pPr>
              <w:jc w:val="left"/>
              <w:rPr>
                <w:rFonts w:ascii="宋体" w:hAnsi="宋体"/>
                <w:szCs w:val="21"/>
              </w:rPr>
            </w:pPr>
            <w:r>
              <w:rPr>
                <w:rFonts w:hint="eastAsia" w:ascii="宋体" w:hAnsi="宋体"/>
                <w:szCs w:val="21"/>
              </w:rPr>
              <w:t>不提供或者不能有效证明的，得0分。</w:t>
            </w:r>
          </w:p>
          <w:p w14:paraId="01EFF489">
            <w:pPr>
              <w:adjustRightInd w:val="0"/>
              <w:snapToGrid w:val="0"/>
              <w:spacing w:line="320" w:lineRule="exact"/>
              <w:rPr>
                <w:rFonts w:ascii="宋体" w:hAnsi="宋体" w:cs="宋体"/>
                <w:b/>
                <w:bCs/>
                <w:szCs w:val="21"/>
              </w:rPr>
            </w:pPr>
            <w:r>
              <w:rPr>
                <w:rFonts w:hint="eastAsia" w:ascii="宋体" w:hAnsi="宋体" w:cs="宋体"/>
                <w:b/>
                <w:bCs/>
                <w:szCs w:val="21"/>
              </w:rPr>
              <w:t>（二）评分依据：</w:t>
            </w:r>
          </w:p>
          <w:p w14:paraId="3B109A6D">
            <w:pPr>
              <w:adjustRightInd w:val="0"/>
              <w:snapToGrid w:val="0"/>
              <w:spacing w:line="320" w:lineRule="exact"/>
              <w:rPr>
                <w:rFonts w:hint="eastAsia" w:ascii="宋体" w:hAnsi="宋体" w:cs="宋体"/>
                <w:szCs w:val="21"/>
              </w:rPr>
            </w:pPr>
            <w:r>
              <w:rPr>
                <w:rFonts w:hint="eastAsia" w:ascii="宋体" w:hAnsi="宋体"/>
                <w:szCs w:val="21"/>
              </w:rPr>
              <w:t>须提供用户出具的履约评价书扫描件（评价书需有甲方公章或业务章）。</w:t>
            </w:r>
          </w:p>
        </w:tc>
      </w:tr>
      <w:tr w14:paraId="112299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0" w:type="dxa"/>
            <w:left w:w="108" w:type="dxa"/>
            <w:bottom w:w="20" w:type="dxa"/>
            <w:right w:w="108" w:type="dxa"/>
          </w:tblCellMar>
        </w:tblPrEx>
        <w:trPr>
          <w:tblCellSpacing w:w="0" w:type="dxa"/>
        </w:trPr>
        <w:tc>
          <w:tcPr>
            <w:tcW w:w="685" w:type="dxa"/>
            <w:vMerge w:val="continue"/>
            <w:tcBorders>
              <w:tl2br w:val="nil"/>
              <w:tr2bl w:val="nil"/>
            </w:tcBorders>
            <w:vAlign w:val="center"/>
          </w:tcPr>
          <w:p w14:paraId="480BEC4B">
            <w:pPr>
              <w:adjustRightInd w:val="0"/>
              <w:snapToGrid w:val="0"/>
              <w:spacing w:line="320" w:lineRule="exact"/>
              <w:rPr>
                <w:rFonts w:ascii="宋体" w:hAnsi="宋体" w:cs="宋体"/>
                <w:b/>
                <w:bCs/>
                <w:color w:val="0000FF"/>
                <w:szCs w:val="21"/>
              </w:rPr>
            </w:pPr>
          </w:p>
        </w:tc>
        <w:tc>
          <w:tcPr>
            <w:tcW w:w="548" w:type="dxa"/>
            <w:tcBorders>
              <w:tl2br w:val="nil"/>
              <w:tr2bl w:val="nil"/>
            </w:tcBorders>
            <w:vAlign w:val="center"/>
          </w:tcPr>
          <w:p w14:paraId="1584D75F">
            <w:pPr>
              <w:wordWrap w:val="0"/>
              <w:adjustRightInd w:val="0"/>
              <w:snapToGrid w:val="0"/>
              <w:spacing w:line="320" w:lineRule="exact"/>
              <w:jc w:val="center"/>
              <w:rPr>
                <w:rFonts w:hint="eastAsia" w:ascii="宋体" w:hAnsi="宋体" w:eastAsia="宋体" w:cs="宋体"/>
                <w:szCs w:val="21"/>
                <w:lang w:eastAsia="zh-CN"/>
              </w:rPr>
            </w:pPr>
            <w:r>
              <w:rPr>
                <w:rFonts w:hint="eastAsia" w:ascii="宋体" w:hAnsi="宋体" w:cs="宋体"/>
                <w:szCs w:val="21"/>
                <w:lang w:val="en-US" w:eastAsia="zh-CN"/>
              </w:rPr>
              <w:t>3</w:t>
            </w:r>
          </w:p>
        </w:tc>
        <w:tc>
          <w:tcPr>
            <w:tcW w:w="2264" w:type="dxa"/>
            <w:tcBorders>
              <w:tl2br w:val="nil"/>
              <w:tr2bl w:val="nil"/>
            </w:tcBorders>
            <w:vAlign w:val="center"/>
          </w:tcPr>
          <w:p w14:paraId="73A0744C">
            <w:pPr>
              <w:wordWrap w:val="0"/>
              <w:adjustRightInd w:val="0"/>
              <w:snapToGrid w:val="0"/>
              <w:spacing w:line="320" w:lineRule="exact"/>
              <w:jc w:val="center"/>
              <w:rPr>
                <w:rFonts w:ascii="宋体" w:hAnsi="宋体" w:cs="宋体"/>
                <w:szCs w:val="21"/>
              </w:rPr>
            </w:pPr>
            <w:r>
              <w:rPr>
                <w:rFonts w:hint="eastAsia" w:ascii="宋体" w:hAnsi="宋体" w:cs="宋体"/>
                <w:szCs w:val="21"/>
              </w:rPr>
              <w:t>认证情况</w:t>
            </w:r>
          </w:p>
        </w:tc>
        <w:tc>
          <w:tcPr>
            <w:tcW w:w="696" w:type="dxa"/>
            <w:tcBorders>
              <w:tl2br w:val="nil"/>
              <w:tr2bl w:val="nil"/>
            </w:tcBorders>
            <w:vAlign w:val="center"/>
          </w:tcPr>
          <w:p w14:paraId="3592436A">
            <w:pPr>
              <w:wordWrap w:val="0"/>
              <w:adjustRightInd w:val="0"/>
              <w:snapToGrid w:val="0"/>
              <w:spacing w:line="320" w:lineRule="exact"/>
              <w:jc w:val="center"/>
              <w:rPr>
                <w:rFonts w:hint="eastAsia" w:ascii="宋体" w:hAnsi="宋体" w:eastAsia="宋体" w:cs="宋体"/>
                <w:szCs w:val="21"/>
                <w:lang w:val="en-US" w:eastAsia="zh-CN"/>
              </w:rPr>
            </w:pPr>
            <w:r>
              <w:rPr>
                <w:rFonts w:hint="eastAsia" w:ascii="宋体" w:hAnsi="宋体" w:cs="宋体"/>
                <w:szCs w:val="21"/>
                <w:lang w:val="en-US" w:eastAsia="zh-CN"/>
              </w:rPr>
              <w:t>5</w:t>
            </w:r>
          </w:p>
        </w:tc>
        <w:tc>
          <w:tcPr>
            <w:tcW w:w="4856" w:type="dxa"/>
            <w:tcBorders>
              <w:tl2br w:val="nil"/>
              <w:tr2bl w:val="nil"/>
            </w:tcBorders>
            <w:vAlign w:val="center"/>
          </w:tcPr>
          <w:p w14:paraId="195985E3">
            <w:pPr>
              <w:adjustRightInd w:val="0"/>
              <w:snapToGrid w:val="0"/>
              <w:spacing w:line="320" w:lineRule="exact"/>
              <w:rPr>
                <w:rFonts w:ascii="宋体" w:hAnsi="宋体" w:cs="宋体"/>
                <w:b/>
                <w:bCs/>
                <w:szCs w:val="21"/>
              </w:rPr>
            </w:pPr>
            <w:r>
              <w:rPr>
                <w:rFonts w:hint="eastAsia" w:ascii="宋体" w:hAnsi="宋体" w:cs="宋体"/>
                <w:b/>
                <w:bCs/>
                <w:szCs w:val="21"/>
              </w:rPr>
              <w:t>（一）评分内容：</w:t>
            </w:r>
          </w:p>
          <w:p w14:paraId="213DDBC8">
            <w:pPr>
              <w:jc w:val="left"/>
              <w:rPr>
                <w:rFonts w:ascii="宋体" w:hAnsi="宋体"/>
                <w:szCs w:val="21"/>
              </w:rPr>
            </w:pPr>
            <w:r>
              <w:rPr>
                <w:rFonts w:hint="eastAsia" w:ascii="宋体" w:hAnsi="宋体"/>
                <w:szCs w:val="21"/>
              </w:rPr>
              <w:t>每提供一个有效的证书得</w:t>
            </w:r>
            <w:r>
              <w:rPr>
                <w:rFonts w:hint="eastAsia" w:ascii="宋体" w:hAnsi="宋体" w:cs="宋体"/>
                <w:kern w:val="0"/>
                <w:szCs w:val="21"/>
                <w:u w:val="single"/>
                <w:lang w:val="en-US" w:eastAsia="zh-CN"/>
              </w:rPr>
              <w:t>20</w:t>
            </w:r>
            <w:r>
              <w:rPr>
                <w:rFonts w:hint="eastAsia" w:ascii="宋体" w:hAnsi="宋体"/>
                <w:szCs w:val="21"/>
              </w:rPr>
              <w:t>分，以此类推，最高不超过</w:t>
            </w:r>
            <w:r>
              <w:rPr>
                <w:rFonts w:hint="eastAsia" w:ascii="宋体" w:hAnsi="宋体" w:cs="宋体"/>
                <w:kern w:val="0"/>
                <w:szCs w:val="21"/>
                <w:u w:val="single"/>
              </w:rPr>
              <w:t xml:space="preserve">  100</w:t>
            </w:r>
            <w:r>
              <w:rPr>
                <w:rFonts w:hint="eastAsia" w:ascii="宋体" w:hAnsi="宋体"/>
                <w:szCs w:val="21"/>
              </w:rPr>
              <w:t>分。不提供或者不能有效证明的，得0分。</w:t>
            </w:r>
          </w:p>
          <w:p w14:paraId="510FE746">
            <w:pPr>
              <w:widowControl/>
              <w:wordWrap w:val="0"/>
              <w:spacing w:line="360" w:lineRule="exact"/>
              <w:rPr>
                <w:rFonts w:ascii="宋体" w:hAnsi="宋体"/>
              </w:rPr>
            </w:pPr>
            <w:r>
              <w:rPr>
                <w:rFonts w:hint="eastAsia" w:ascii="宋体" w:hAnsi="宋体"/>
              </w:rPr>
              <w:t>（1）大语言模型通过《生成式人工智能服务管理暂行办法》备案，可在互联网信息服务算法备案系统（https://beian.cac.gov.cn/）中查询到生成合成类（深度合成）的算法备案。</w:t>
            </w:r>
          </w:p>
          <w:p w14:paraId="10407FD4">
            <w:pPr>
              <w:widowControl/>
              <w:wordWrap w:val="0"/>
              <w:spacing w:line="360" w:lineRule="exact"/>
              <w:rPr>
                <w:rFonts w:ascii="宋体" w:hAnsi="宋体"/>
              </w:rPr>
            </w:pPr>
            <w:r>
              <w:rPr>
                <w:rFonts w:hint="eastAsia" w:ascii="宋体" w:hAnsi="宋体"/>
              </w:rPr>
              <w:t>（2）大模型通过国家网信办的大模型备案。</w:t>
            </w:r>
          </w:p>
          <w:p w14:paraId="756F0890">
            <w:pPr>
              <w:widowControl/>
              <w:wordWrap w:val="0"/>
              <w:spacing w:line="360" w:lineRule="exact"/>
              <w:rPr>
                <w:rFonts w:hint="eastAsia" w:ascii="宋体" w:hAnsi="宋体"/>
              </w:rPr>
            </w:pPr>
            <w:r>
              <w:rPr>
                <w:rFonts w:hint="eastAsia" w:ascii="宋体" w:hAnsi="宋体"/>
              </w:rPr>
              <w:t>（3）质量管理体系认证（ISO9001）证明文件</w:t>
            </w:r>
          </w:p>
          <w:p w14:paraId="645FFD0D">
            <w:pPr>
              <w:jc w:val="left"/>
              <w:rPr>
                <w:rFonts w:ascii="宋体" w:hAnsi="宋体"/>
              </w:rPr>
            </w:pPr>
            <w:r>
              <w:rPr>
                <w:rFonts w:hint="eastAsia" w:ascii="宋体" w:hAnsi="宋体"/>
              </w:rPr>
              <w:t>（4）人工智能管理体系认证（ISO42001）</w:t>
            </w:r>
          </w:p>
          <w:p w14:paraId="79A07FC6">
            <w:pPr>
              <w:jc w:val="left"/>
              <w:rPr>
                <w:rFonts w:ascii="宋体" w:hAnsi="宋体"/>
              </w:rPr>
            </w:pPr>
            <w:r>
              <w:rPr>
                <w:rFonts w:hint="eastAsia" w:ascii="宋体" w:hAnsi="宋体"/>
              </w:rPr>
              <w:t>（5）隐私信息管理体系认证（ISO27701）</w:t>
            </w:r>
          </w:p>
          <w:p w14:paraId="449384D2">
            <w:pPr>
              <w:adjustRightInd w:val="0"/>
              <w:snapToGrid w:val="0"/>
              <w:spacing w:line="320" w:lineRule="exact"/>
              <w:rPr>
                <w:rFonts w:ascii="宋体" w:hAnsi="宋体" w:cs="宋体"/>
                <w:b/>
                <w:bCs/>
                <w:szCs w:val="21"/>
              </w:rPr>
            </w:pPr>
            <w:r>
              <w:rPr>
                <w:rFonts w:hint="eastAsia" w:ascii="宋体" w:hAnsi="宋体" w:cs="宋体"/>
                <w:b/>
                <w:bCs/>
                <w:szCs w:val="21"/>
              </w:rPr>
              <w:t>（二）评分依据：</w:t>
            </w:r>
          </w:p>
          <w:p w14:paraId="15E23302">
            <w:pPr>
              <w:widowControl/>
              <w:wordWrap w:val="0"/>
              <w:spacing w:line="360" w:lineRule="exact"/>
              <w:rPr>
                <w:rFonts w:hint="eastAsia" w:ascii="宋体" w:hAnsi="宋体"/>
                <w:lang w:val="en-US"/>
              </w:rPr>
            </w:pPr>
            <w:r>
              <w:rPr>
                <w:rFonts w:hint="eastAsia" w:ascii="宋体" w:hAnsi="宋体"/>
                <w:lang w:val="en-US"/>
              </w:rPr>
              <w:t>1.</w:t>
            </w:r>
            <w:r>
              <w:rPr>
                <w:rFonts w:hint="eastAsia" w:ascii="宋体" w:hAnsi="宋体"/>
              </w:rPr>
              <w:t>提供认证证书</w:t>
            </w:r>
            <w:r>
              <w:rPr>
                <w:rFonts w:hint="eastAsia" w:ascii="宋体" w:hAnsi="宋体"/>
                <w:lang w:val="en-US"/>
              </w:rPr>
              <w:t>扫描件；</w:t>
            </w:r>
            <w:r>
              <w:rPr>
                <w:rFonts w:hint="eastAsia" w:ascii="宋体" w:hAnsi="宋体"/>
              </w:rPr>
              <w:t>同时提供在全国认证认可信息公共服务平台</w:t>
            </w:r>
            <w:r>
              <w:rPr>
                <w:rFonts w:hint="eastAsia" w:ascii="宋体" w:hAnsi="宋体"/>
                <w:lang w:val="en-US"/>
              </w:rPr>
              <w:t>（</w:t>
            </w:r>
            <w:r>
              <w:rPr>
                <w:rFonts w:hint="eastAsia" w:ascii="宋体" w:hAnsi="宋体"/>
              </w:rPr>
              <w:t>认</w:t>
            </w:r>
            <w:r>
              <w:rPr>
                <w:rFonts w:hint="eastAsia" w:ascii="宋体" w:hAnsi="宋体"/>
                <w:lang w:val="en-US"/>
              </w:rPr>
              <w:t>e</w:t>
            </w:r>
            <w:r>
              <w:rPr>
                <w:rFonts w:hint="eastAsia" w:ascii="宋体" w:hAnsi="宋体"/>
              </w:rPr>
              <w:t>云</w:t>
            </w:r>
            <w:r>
              <w:rPr>
                <w:rFonts w:hint="eastAsia" w:ascii="宋体" w:hAnsi="宋体"/>
                <w:lang w:val="en-US"/>
              </w:rPr>
              <w:t>）（http://cx.cnca.cn）或互联网信息服务算法备案系统（https://beian.cac.gov.cn/）等官方机构的</w:t>
            </w:r>
            <w:r>
              <w:rPr>
                <w:rFonts w:hint="eastAsia" w:ascii="宋体" w:hAnsi="宋体"/>
              </w:rPr>
              <w:t>查询截图且显示有效及证书编号一致</w:t>
            </w:r>
            <w:r>
              <w:rPr>
                <w:rFonts w:hint="eastAsia" w:ascii="宋体" w:hAnsi="宋体"/>
                <w:lang w:val="en-US"/>
              </w:rPr>
              <w:t>；</w:t>
            </w:r>
          </w:p>
          <w:p w14:paraId="7294B4E0">
            <w:pPr>
              <w:widowControl/>
              <w:wordWrap w:val="0"/>
              <w:spacing w:line="360" w:lineRule="exact"/>
              <w:rPr>
                <w:rFonts w:ascii="宋体" w:hAnsi="宋体" w:cs="宋体"/>
                <w:sz w:val="21"/>
                <w:szCs w:val="21"/>
              </w:rPr>
            </w:pPr>
            <w:r>
              <w:rPr>
                <w:rFonts w:hint="eastAsia" w:ascii="宋体" w:hAnsi="宋体"/>
                <w:lang w:val="en-US"/>
              </w:rPr>
              <w:t>2.评分中出现无证明资料或专家无法凭所提供资料判断是否得分的情况，一律作不得分处理。</w:t>
            </w:r>
          </w:p>
        </w:tc>
      </w:tr>
      <w:tr w14:paraId="4464F0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0" w:type="dxa"/>
            <w:left w:w="108" w:type="dxa"/>
            <w:bottom w:w="20" w:type="dxa"/>
            <w:right w:w="108" w:type="dxa"/>
          </w:tblCellMar>
        </w:tblPrEx>
        <w:trPr>
          <w:tblCellSpacing w:w="0" w:type="dxa"/>
        </w:trPr>
        <w:tc>
          <w:tcPr>
            <w:tcW w:w="685" w:type="dxa"/>
            <w:vMerge w:val="continue"/>
            <w:tcBorders>
              <w:tl2br w:val="nil"/>
              <w:tr2bl w:val="nil"/>
            </w:tcBorders>
            <w:vAlign w:val="center"/>
          </w:tcPr>
          <w:p w14:paraId="6BF80701">
            <w:pPr>
              <w:adjustRightInd w:val="0"/>
              <w:snapToGrid w:val="0"/>
              <w:spacing w:line="320" w:lineRule="exact"/>
              <w:rPr>
                <w:rFonts w:ascii="宋体" w:hAnsi="宋体" w:cs="宋体"/>
                <w:b/>
                <w:bCs/>
                <w:color w:val="0000FF"/>
                <w:szCs w:val="21"/>
              </w:rPr>
            </w:pPr>
          </w:p>
        </w:tc>
        <w:tc>
          <w:tcPr>
            <w:tcW w:w="548" w:type="dxa"/>
            <w:tcBorders>
              <w:tl2br w:val="nil"/>
              <w:tr2bl w:val="nil"/>
            </w:tcBorders>
            <w:vAlign w:val="center"/>
          </w:tcPr>
          <w:p w14:paraId="25C644E7">
            <w:pPr>
              <w:wordWrap w:val="0"/>
              <w:adjustRightInd w:val="0"/>
              <w:snapToGrid w:val="0"/>
              <w:spacing w:line="320" w:lineRule="exact"/>
              <w:jc w:val="center"/>
              <w:rPr>
                <w:rFonts w:hint="eastAsia" w:ascii="宋体" w:hAnsi="宋体" w:eastAsia="宋体" w:cs="宋体"/>
                <w:szCs w:val="21"/>
                <w:lang w:eastAsia="zh-CN"/>
              </w:rPr>
            </w:pPr>
            <w:r>
              <w:rPr>
                <w:rFonts w:hint="eastAsia" w:ascii="宋体" w:hAnsi="宋体" w:cs="宋体"/>
                <w:szCs w:val="21"/>
                <w:lang w:val="en-US" w:eastAsia="zh-CN"/>
              </w:rPr>
              <w:t>4</w:t>
            </w:r>
          </w:p>
        </w:tc>
        <w:tc>
          <w:tcPr>
            <w:tcW w:w="2264" w:type="dxa"/>
            <w:tcBorders>
              <w:tl2br w:val="nil"/>
              <w:tr2bl w:val="nil"/>
            </w:tcBorders>
            <w:vAlign w:val="center"/>
          </w:tcPr>
          <w:p w14:paraId="00455700">
            <w:pPr>
              <w:wordWrap w:val="0"/>
              <w:adjustRightInd w:val="0"/>
              <w:snapToGrid w:val="0"/>
              <w:spacing w:line="320" w:lineRule="exact"/>
              <w:jc w:val="center"/>
              <w:rPr>
                <w:rFonts w:ascii="宋体" w:hAnsi="宋体" w:cs="宋体"/>
                <w:szCs w:val="21"/>
              </w:rPr>
            </w:pPr>
            <w:r>
              <w:rPr>
                <w:rFonts w:hint="eastAsia" w:ascii="宋体" w:hAnsi="宋体" w:cs="宋体"/>
                <w:szCs w:val="21"/>
              </w:rPr>
              <w:t>自主知识产权产品（创新、设计）情况</w:t>
            </w:r>
          </w:p>
        </w:tc>
        <w:tc>
          <w:tcPr>
            <w:tcW w:w="696" w:type="dxa"/>
            <w:tcBorders>
              <w:tl2br w:val="nil"/>
              <w:tr2bl w:val="nil"/>
            </w:tcBorders>
            <w:vAlign w:val="center"/>
          </w:tcPr>
          <w:p w14:paraId="40C6D80D">
            <w:pPr>
              <w:wordWrap w:val="0"/>
              <w:adjustRightInd w:val="0"/>
              <w:snapToGrid w:val="0"/>
              <w:spacing w:line="320" w:lineRule="exact"/>
              <w:jc w:val="center"/>
              <w:rPr>
                <w:rFonts w:hint="eastAsia" w:ascii="宋体" w:hAnsi="宋体" w:eastAsia="宋体" w:cs="宋体"/>
                <w:szCs w:val="21"/>
                <w:lang w:val="en-US" w:eastAsia="zh-CN"/>
              </w:rPr>
            </w:pPr>
            <w:r>
              <w:rPr>
                <w:rFonts w:hint="eastAsia" w:ascii="宋体" w:hAnsi="宋体" w:cs="宋体"/>
                <w:szCs w:val="21"/>
                <w:lang w:val="en-US" w:eastAsia="zh-CN"/>
              </w:rPr>
              <w:t>5</w:t>
            </w:r>
          </w:p>
        </w:tc>
        <w:tc>
          <w:tcPr>
            <w:tcW w:w="4856" w:type="dxa"/>
            <w:tcBorders>
              <w:tl2br w:val="nil"/>
              <w:tr2bl w:val="nil"/>
            </w:tcBorders>
          </w:tcPr>
          <w:p w14:paraId="43C4F3FC">
            <w:pPr>
              <w:pStyle w:val="18"/>
              <w:snapToGrid w:val="0"/>
              <w:spacing w:line="320" w:lineRule="exact"/>
              <w:rPr>
                <w:rFonts w:hAnsi="宋体" w:cs="宋体"/>
                <w:b/>
                <w:bCs/>
                <w:sz w:val="21"/>
                <w:szCs w:val="21"/>
              </w:rPr>
            </w:pPr>
            <w:r>
              <w:rPr>
                <w:rFonts w:hint="eastAsia" w:hAnsi="宋体" w:cs="宋体"/>
                <w:b/>
                <w:bCs/>
                <w:sz w:val="21"/>
                <w:szCs w:val="21"/>
              </w:rPr>
              <w:t>（一）评分内容：</w:t>
            </w:r>
          </w:p>
          <w:p w14:paraId="286E3E60">
            <w:pPr>
              <w:pStyle w:val="18"/>
              <w:wordWrap w:val="0"/>
              <w:snapToGrid w:val="0"/>
              <w:spacing w:line="320" w:lineRule="exact"/>
              <w:rPr>
                <w:rFonts w:hint="eastAsia" w:hAnsi="宋体" w:cs="宋体"/>
                <w:sz w:val="21"/>
                <w:szCs w:val="21"/>
              </w:rPr>
            </w:pPr>
            <w:r>
              <w:rPr>
                <w:rFonts w:hint="eastAsia" w:hAnsi="宋体" w:cs="宋体"/>
                <w:sz w:val="21"/>
                <w:szCs w:val="21"/>
              </w:rPr>
              <w:t>1.投标人在</w:t>
            </w:r>
            <w:r>
              <w:rPr>
                <w:rFonts w:hint="eastAsia" w:hAnsi="宋体" w:cs="宋体"/>
                <w:sz w:val="21"/>
                <w:szCs w:val="21"/>
                <w:lang w:val="en-US" w:eastAsia="zh-CN"/>
              </w:rPr>
              <w:t>生成式</w:t>
            </w:r>
            <w:r>
              <w:rPr>
                <w:rFonts w:hint="eastAsia" w:hAnsi="宋体" w:cs="宋体"/>
                <w:sz w:val="21"/>
                <w:szCs w:val="21"/>
              </w:rPr>
              <w:t>大模型领域具有技术先进性，并提供专利证明材料。</w:t>
            </w:r>
          </w:p>
          <w:p w14:paraId="5ADAE220">
            <w:pPr>
              <w:pStyle w:val="18"/>
              <w:wordWrap w:val="0"/>
              <w:snapToGrid w:val="0"/>
              <w:spacing w:line="320" w:lineRule="exact"/>
              <w:rPr>
                <w:rFonts w:hint="eastAsia" w:hAnsi="宋体" w:cs="宋体"/>
                <w:sz w:val="21"/>
                <w:szCs w:val="21"/>
              </w:rPr>
            </w:pPr>
            <w:r>
              <w:rPr>
                <w:rFonts w:hint="eastAsia" w:hAnsi="宋体" w:cs="宋体"/>
                <w:sz w:val="21"/>
                <w:szCs w:val="21"/>
              </w:rPr>
              <w:t>2.投标人具有大数据</w:t>
            </w:r>
            <w:r>
              <w:rPr>
                <w:rFonts w:hint="eastAsia" w:hAnsi="宋体" w:cs="宋体"/>
                <w:sz w:val="21"/>
                <w:szCs w:val="21"/>
                <w:lang w:val="en-US" w:eastAsia="zh-CN"/>
              </w:rPr>
              <w:t>或</w:t>
            </w:r>
            <w:r>
              <w:rPr>
                <w:rFonts w:hint="eastAsia" w:hAnsi="宋体" w:cs="宋体"/>
                <w:sz w:val="21"/>
                <w:szCs w:val="21"/>
              </w:rPr>
              <w:t>人工智能产品相关软件著作权。</w:t>
            </w:r>
          </w:p>
          <w:p w14:paraId="4D88D019">
            <w:pPr>
              <w:pStyle w:val="18"/>
              <w:wordWrap w:val="0"/>
              <w:snapToGrid w:val="0"/>
              <w:spacing w:line="320" w:lineRule="exact"/>
              <w:rPr>
                <w:rFonts w:hint="eastAsia" w:hAnsi="宋体" w:cs="宋体"/>
                <w:sz w:val="21"/>
                <w:szCs w:val="21"/>
              </w:rPr>
            </w:pPr>
            <w:r>
              <w:rPr>
                <w:rFonts w:hint="eastAsia" w:hAnsi="宋体" w:cs="宋体"/>
                <w:sz w:val="21"/>
                <w:szCs w:val="21"/>
              </w:rPr>
              <w:t>每提供一个得10分，以此类推，最高不超过100分。不提供或者不能有效证明的，得0分。</w:t>
            </w:r>
          </w:p>
          <w:p w14:paraId="6B8EE04B">
            <w:pPr>
              <w:pStyle w:val="18"/>
              <w:snapToGrid w:val="0"/>
              <w:spacing w:line="320" w:lineRule="exact"/>
              <w:rPr>
                <w:rFonts w:hAnsi="宋体" w:cs="宋体"/>
                <w:b/>
                <w:bCs/>
                <w:sz w:val="21"/>
                <w:szCs w:val="21"/>
              </w:rPr>
            </w:pPr>
            <w:r>
              <w:rPr>
                <w:rFonts w:hint="eastAsia" w:hAnsi="宋体" w:cs="宋体"/>
                <w:b/>
                <w:bCs/>
                <w:sz w:val="21"/>
                <w:szCs w:val="21"/>
              </w:rPr>
              <w:t>（二）评分依据：</w:t>
            </w:r>
          </w:p>
          <w:p w14:paraId="4201755B">
            <w:pPr>
              <w:pStyle w:val="18"/>
              <w:snapToGrid w:val="0"/>
              <w:spacing w:line="320" w:lineRule="exact"/>
              <w:rPr>
                <w:rFonts w:hAnsi="宋体" w:cs="宋体"/>
                <w:sz w:val="21"/>
                <w:szCs w:val="21"/>
              </w:rPr>
            </w:pPr>
            <w:r>
              <w:rPr>
                <w:rFonts w:hint="eastAsia" w:hAnsi="宋体" w:cs="宋体"/>
                <w:sz w:val="21"/>
                <w:szCs w:val="21"/>
              </w:rPr>
              <w:t>1.提供计算机软件著作权登记证书（著作权人须为投标人）；【或提供专利证书（著作权人须为投标人）】；</w:t>
            </w:r>
          </w:p>
          <w:p w14:paraId="12F0AAFA">
            <w:pPr>
              <w:pStyle w:val="18"/>
              <w:snapToGrid w:val="0"/>
              <w:spacing w:line="320" w:lineRule="exact"/>
              <w:rPr>
                <w:rFonts w:hAnsi="宋体" w:cs="宋体"/>
                <w:sz w:val="21"/>
                <w:szCs w:val="21"/>
              </w:rPr>
            </w:pPr>
            <w:r>
              <w:rPr>
                <w:rFonts w:hint="eastAsia" w:hAnsi="宋体" w:cs="宋体"/>
                <w:sz w:val="21"/>
                <w:szCs w:val="21"/>
              </w:rPr>
              <w:t>2.</w:t>
            </w:r>
            <w:r>
              <w:rPr>
                <w:rFonts w:hint="eastAsia" w:hAnsi="宋体" w:cs="宋体"/>
                <w:color w:val="FF0000"/>
                <w:sz w:val="21"/>
                <w:szCs w:val="21"/>
                <w:highlight w:val="yellow"/>
              </w:rPr>
              <w:t>（如接受租赁）</w:t>
            </w:r>
            <w:r>
              <w:rPr>
                <w:rFonts w:hint="eastAsia" w:hAnsi="宋体" w:cs="宋体"/>
                <w:sz w:val="21"/>
                <w:szCs w:val="21"/>
              </w:rPr>
              <w:t>提供购买或租赁的计算机软件著作权登记证书（著作权人须为出售/出租方）和购买合同（或租赁合同）；【或提供购买或租赁的专利证书（著作权人须为出售/出租方）和购买合同（或租赁合同）】；</w:t>
            </w:r>
          </w:p>
          <w:p w14:paraId="6044781D">
            <w:pPr>
              <w:adjustRightInd w:val="0"/>
              <w:snapToGrid w:val="0"/>
              <w:spacing w:after="160" w:line="320" w:lineRule="exact"/>
              <w:jc w:val="left"/>
              <w:rPr>
                <w:rFonts w:ascii="宋体" w:hAnsi="宋体" w:cs="宋体"/>
                <w:color w:val="FF0000"/>
                <w:szCs w:val="21"/>
              </w:rPr>
            </w:pPr>
            <w:r>
              <w:rPr>
                <w:rFonts w:hint="eastAsia" w:ascii="宋体" w:hAnsi="宋体" w:cs="宋体"/>
                <w:szCs w:val="21"/>
              </w:rPr>
              <w:t>3.评分中出现无证明资料或专家无法凭所提供资料判断是否得分的情况，一律作不得分处理。</w:t>
            </w:r>
          </w:p>
        </w:tc>
      </w:tr>
      <w:tr w14:paraId="62E4FB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0" w:type="dxa"/>
            <w:left w:w="108" w:type="dxa"/>
            <w:bottom w:w="20" w:type="dxa"/>
            <w:right w:w="108" w:type="dxa"/>
          </w:tblCellMar>
        </w:tblPrEx>
        <w:trPr>
          <w:tblCellSpacing w:w="0" w:type="dxa"/>
        </w:trPr>
        <w:tc>
          <w:tcPr>
            <w:tcW w:w="685" w:type="dxa"/>
            <w:vMerge w:val="restart"/>
            <w:tcBorders>
              <w:tl2br w:val="nil"/>
              <w:tr2bl w:val="nil"/>
            </w:tcBorders>
          </w:tcPr>
          <w:p w14:paraId="61C31C28">
            <w:pPr>
              <w:wordWrap w:val="0"/>
              <w:adjustRightInd w:val="0"/>
              <w:snapToGrid w:val="0"/>
              <w:spacing w:line="320" w:lineRule="exact"/>
              <w:jc w:val="center"/>
              <w:rPr>
                <w:rFonts w:ascii="宋体" w:hAnsi="宋体" w:cs="宋体"/>
                <w:b/>
                <w:bCs/>
                <w:color w:val="0000FF"/>
                <w:szCs w:val="21"/>
              </w:rPr>
            </w:pPr>
            <w:r>
              <w:rPr>
                <w:rFonts w:hint="eastAsia" w:ascii="宋体" w:hAnsi="宋体" w:cs="宋体"/>
                <w:b/>
                <w:bCs/>
                <w:color w:val="0000FF"/>
                <w:szCs w:val="21"/>
              </w:rPr>
              <w:t>4</w:t>
            </w:r>
          </w:p>
        </w:tc>
        <w:tc>
          <w:tcPr>
            <w:tcW w:w="3508" w:type="dxa"/>
            <w:gridSpan w:val="3"/>
            <w:tcBorders>
              <w:tl2br w:val="nil"/>
              <w:tr2bl w:val="nil"/>
            </w:tcBorders>
            <w:vAlign w:val="center"/>
          </w:tcPr>
          <w:p w14:paraId="331EC2C8">
            <w:pPr>
              <w:wordWrap w:val="0"/>
              <w:adjustRightInd w:val="0"/>
              <w:snapToGrid w:val="0"/>
              <w:spacing w:line="320" w:lineRule="exact"/>
              <w:jc w:val="center"/>
              <w:rPr>
                <w:rFonts w:ascii="宋体" w:hAnsi="宋体" w:cs="宋体"/>
                <w:b/>
                <w:bCs/>
                <w:color w:val="0000FF"/>
                <w:szCs w:val="21"/>
              </w:rPr>
            </w:pPr>
            <w:r>
              <w:rPr>
                <w:rFonts w:hint="eastAsia" w:ascii="宋体" w:hAnsi="宋体" w:cs="宋体"/>
                <w:b/>
                <w:bCs/>
                <w:color w:val="0000FF"/>
                <w:szCs w:val="21"/>
              </w:rPr>
              <w:t>诚信情况</w:t>
            </w:r>
          </w:p>
        </w:tc>
        <w:tc>
          <w:tcPr>
            <w:tcW w:w="4856" w:type="dxa"/>
            <w:tcBorders>
              <w:tl2br w:val="nil"/>
              <w:tr2bl w:val="nil"/>
            </w:tcBorders>
          </w:tcPr>
          <w:p w14:paraId="5EDD1B20">
            <w:pPr>
              <w:wordWrap w:val="0"/>
              <w:adjustRightInd w:val="0"/>
              <w:snapToGrid w:val="0"/>
              <w:spacing w:line="320" w:lineRule="exact"/>
              <w:jc w:val="center"/>
              <w:rPr>
                <w:rFonts w:ascii="宋体" w:hAnsi="宋体" w:cs="宋体"/>
                <w:b/>
                <w:bCs/>
                <w:color w:val="0000FF"/>
                <w:szCs w:val="21"/>
              </w:rPr>
            </w:pPr>
            <w:r>
              <w:rPr>
                <w:rFonts w:hint="eastAsia" w:ascii="宋体" w:hAnsi="宋体" w:cs="宋体"/>
                <w:b/>
                <w:bCs/>
                <w:color w:val="0000FF"/>
                <w:szCs w:val="21"/>
              </w:rPr>
              <w:t>5</w:t>
            </w:r>
          </w:p>
        </w:tc>
      </w:tr>
      <w:tr w14:paraId="68830E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0" w:type="dxa"/>
            <w:left w:w="108" w:type="dxa"/>
            <w:bottom w:w="20" w:type="dxa"/>
            <w:right w:w="108" w:type="dxa"/>
          </w:tblCellMar>
        </w:tblPrEx>
        <w:trPr>
          <w:tblCellSpacing w:w="0" w:type="dxa"/>
        </w:trPr>
        <w:tc>
          <w:tcPr>
            <w:tcW w:w="685" w:type="dxa"/>
            <w:vMerge w:val="continue"/>
            <w:tcBorders>
              <w:tl2br w:val="nil"/>
              <w:tr2bl w:val="nil"/>
            </w:tcBorders>
            <w:vAlign w:val="center"/>
          </w:tcPr>
          <w:p w14:paraId="11708F01">
            <w:pPr>
              <w:adjustRightInd w:val="0"/>
              <w:snapToGrid w:val="0"/>
              <w:spacing w:line="320" w:lineRule="exact"/>
              <w:rPr>
                <w:rFonts w:ascii="宋体" w:hAnsi="宋体" w:cs="宋体"/>
                <w:b/>
                <w:bCs/>
                <w:color w:val="0000FF"/>
                <w:szCs w:val="21"/>
              </w:rPr>
            </w:pPr>
          </w:p>
        </w:tc>
        <w:tc>
          <w:tcPr>
            <w:tcW w:w="8364" w:type="dxa"/>
            <w:gridSpan w:val="4"/>
            <w:tcBorders>
              <w:tl2br w:val="nil"/>
              <w:tr2bl w:val="nil"/>
            </w:tcBorders>
            <w:vAlign w:val="center"/>
          </w:tcPr>
          <w:p w14:paraId="7C22A588">
            <w:pPr>
              <w:wordWrap w:val="0"/>
              <w:adjustRightInd w:val="0"/>
              <w:snapToGrid w:val="0"/>
              <w:spacing w:line="320" w:lineRule="exact"/>
              <w:jc w:val="center"/>
              <w:rPr>
                <w:rFonts w:ascii="宋体" w:hAnsi="宋体" w:cs="宋体"/>
                <w:szCs w:val="21"/>
              </w:rPr>
            </w:pPr>
          </w:p>
        </w:tc>
      </w:tr>
      <w:tr w14:paraId="2C3FC5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0" w:type="dxa"/>
            <w:left w:w="108" w:type="dxa"/>
            <w:bottom w:w="20" w:type="dxa"/>
            <w:right w:w="108" w:type="dxa"/>
          </w:tblCellMar>
        </w:tblPrEx>
        <w:trPr>
          <w:tblCellSpacing w:w="0" w:type="dxa"/>
        </w:trPr>
        <w:tc>
          <w:tcPr>
            <w:tcW w:w="685" w:type="dxa"/>
            <w:vMerge w:val="continue"/>
            <w:tcBorders>
              <w:tl2br w:val="nil"/>
              <w:tr2bl w:val="nil"/>
            </w:tcBorders>
            <w:shd w:val="clear" w:color="auto" w:fill="E6EFFA"/>
            <w:vAlign w:val="center"/>
          </w:tcPr>
          <w:p w14:paraId="254C9833">
            <w:pPr>
              <w:adjustRightInd w:val="0"/>
              <w:snapToGrid w:val="0"/>
              <w:spacing w:line="320" w:lineRule="exact"/>
              <w:rPr>
                <w:rFonts w:ascii="宋体" w:hAnsi="宋体" w:cs="宋体"/>
                <w:b/>
                <w:bCs/>
                <w:color w:val="0000FF"/>
                <w:szCs w:val="21"/>
              </w:rPr>
            </w:pPr>
          </w:p>
        </w:tc>
        <w:tc>
          <w:tcPr>
            <w:tcW w:w="548" w:type="dxa"/>
            <w:tcBorders>
              <w:tl2br w:val="nil"/>
              <w:tr2bl w:val="nil"/>
            </w:tcBorders>
            <w:shd w:val="clear" w:color="auto" w:fill="E6EFFA"/>
            <w:vAlign w:val="center"/>
          </w:tcPr>
          <w:p w14:paraId="7F11C352">
            <w:pPr>
              <w:wordWrap w:val="0"/>
              <w:adjustRightInd w:val="0"/>
              <w:snapToGrid w:val="0"/>
              <w:spacing w:line="320" w:lineRule="exact"/>
              <w:jc w:val="center"/>
              <w:rPr>
                <w:rFonts w:ascii="宋体" w:hAnsi="宋体" w:cs="宋体"/>
                <w:szCs w:val="21"/>
              </w:rPr>
            </w:pPr>
            <w:r>
              <w:rPr>
                <w:rFonts w:hint="eastAsia" w:ascii="宋体" w:hAnsi="宋体" w:cs="宋体"/>
                <w:szCs w:val="21"/>
              </w:rPr>
              <w:t>序号</w:t>
            </w:r>
          </w:p>
        </w:tc>
        <w:tc>
          <w:tcPr>
            <w:tcW w:w="2264" w:type="dxa"/>
            <w:tcBorders>
              <w:tl2br w:val="nil"/>
              <w:tr2bl w:val="nil"/>
            </w:tcBorders>
            <w:shd w:val="clear" w:color="auto" w:fill="E6EFFA"/>
            <w:vAlign w:val="center"/>
          </w:tcPr>
          <w:p w14:paraId="312F0297">
            <w:pPr>
              <w:wordWrap w:val="0"/>
              <w:adjustRightInd w:val="0"/>
              <w:snapToGrid w:val="0"/>
              <w:spacing w:line="320" w:lineRule="exact"/>
              <w:jc w:val="center"/>
              <w:rPr>
                <w:rFonts w:ascii="宋体" w:hAnsi="宋体" w:cs="宋体"/>
                <w:szCs w:val="21"/>
              </w:rPr>
            </w:pPr>
            <w:r>
              <w:rPr>
                <w:rFonts w:hint="eastAsia" w:ascii="宋体" w:hAnsi="宋体" w:cs="宋体"/>
                <w:szCs w:val="21"/>
              </w:rPr>
              <w:t>评分因素</w:t>
            </w:r>
          </w:p>
        </w:tc>
        <w:tc>
          <w:tcPr>
            <w:tcW w:w="696" w:type="dxa"/>
            <w:tcBorders>
              <w:tl2br w:val="nil"/>
              <w:tr2bl w:val="nil"/>
            </w:tcBorders>
            <w:shd w:val="clear" w:color="auto" w:fill="E6EFFA"/>
            <w:vAlign w:val="center"/>
          </w:tcPr>
          <w:p w14:paraId="5B27F70D">
            <w:pPr>
              <w:wordWrap w:val="0"/>
              <w:adjustRightInd w:val="0"/>
              <w:snapToGrid w:val="0"/>
              <w:spacing w:line="320" w:lineRule="exact"/>
              <w:jc w:val="center"/>
              <w:rPr>
                <w:rFonts w:ascii="宋体" w:hAnsi="宋体" w:cs="宋体"/>
                <w:szCs w:val="21"/>
              </w:rPr>
            </w:pPr>
            <w:r>
              <w:rPr>
                <w:rFonts w:hint="eastAsia" w:ascii="宋体" w:hAnsi="宋体" w:cs="宋体"/>
                <w:szCs w:val="21"/>
              </w:rPr>
              <w:t>权重(%)</w:t>
            </w:r>
          </w:p>
        </w:tc>
        <w:tc>
          <w:tcPr>
            <w:tcW w:w="4856" w:type="dxa"/>
            <w:tcBorders>
              <w:tl2br w:val="nil"/>
              <w:tr2bl w:val="nil"/>
            </w:tcBorders>
            <w:shd w:val="clear" w:color="auto" w:fill="E6EFFA"/>
            <w:vAlign w:val="center"/>
          </w:tcPr>
          <w:p w14:paraId="7964E02B">
            <w:pPr>
              <w:wordWrap w:val="0"/>
              <w:adjustRightInd w:val="0"/>
              <w:snapToGrid w:val="0"/>
              <w:spacing w:line="320" w:lineRule="exact"/>
              <w:jc w:val="center"/>
              <w:rPr>
                <w:rFonts w:ascii="宋体" w:hAnsi="宋体" w:cs="宋体"/>
                <w:szCs w:val="21"/>
              </w:rPr>
            </w:pPr>
            <w:r>
              <w:rPr>
                <w:rFonts w:hint="eastAsia" w:ascii="宋体" w:hAnsi="宋体" w:cs="宋体"/>
                <w:szCs w:val="21"/>
              </w:rPr>
              <w:t>评分准则</w:t>
            </w:r>
          </w:p>
        </w:tc>
      </w:tr>
      <w:tr w14:paraId="192AC6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0" w:type="dxa"/>
            <w:left w:w="108" w:type="dxa"/>
            <w:bottom w:w="20" w:type="dxa"/>
            <w:right w:w="108" w:type="dxa"/>
          </w:tblCellMar>
        </w:tblPrEx>
        <w:trPr>
          <w:tblCellSpacing w:w="0" w:type="dxa"/>
        </w:trPr>
        <w:tc>
          <w:tcPr>
            <w:tcW w:w="685" w:type="dxa"/>
            <w:vMerge w:val="continue"/>
            <w:tcBorders>
              <w:tl2br w:val="nil"/>
              <w:tr2bl w:val="nil"/>
            </w:tcBorders>
            <w:vAlign w:val="center"/>
          </w:tcPr>
          <w:p w14:paraId="3AE93358">
            <w:pPr>
              <w:adjustRightInd w:val="0"/>
              <w:snapToGrid w:val="0"/>
              <w:spacing w:line="320" w:lineRule="exact"/>
              <w:rPr>
                <w:rFonts w:ascii="宋体" w:hAnsi="宋体" w:cs="宋体"/>
                <w:b/>
                <w:bCs/>
                <w:color w:val="0000FF"/>
                <w:szCs w:val="21"/>
              </w:rPr>
            </w:pPr>
          </w:p>
        </w:tc>
        <w:tc>
          <w:tcPr>
            <w:tcW w:w="548" w:type="dxa"/>
            <w:tcBorders>
              <w:tl2br w:val="nil"/>
              <w:tr2bl w:val="nil"/>
            </w:tcBorders>
            <w:vAlign w:val="center"/>
          </w:tcPr>
          <w:p w14:paraId="387FCB58">
            <w:pPr>
              <w:wordWrap w:val="0"/>
              <w:adjustRightInd w:val="0"/>
              <w:snapToGrid w:val="0"/>
              <w:spacing w:line="320" w:lineRule="exact"/>
              <w:jc w:val="center"/>
              <w:rPr>
                <w:rFonts w:ascii="宋体" w:hAnsi="宋体" w:cs="宋体"/>
                <w:szCs w:val="21"/>
              </w:rPr>
            </w:pPr>
            <w:r>
              <w:rPr>
                <w:rFonts w:hint="eastAsia" w:ascii="宋体" w:hAnsi="宋体" w:cs="宋体"/>
                <w:szCs w:val="21"/>
              </w:rPr>
              <w:t>1</w:t>
            </w:r>
          </w:p>
        </w:tc>
        <w:tc>
          <w:tcPr>
            <w:tcW w:w="2264" w:type="dxa"/>
            <w:tcBorders>
              <w:tl2br w:val="nil"/>
              <w:tr2bl w:val="nil"/>
            </w:tcBorders>
            <w:vAlign w:val="center"/>
          </w:tcPr>
          <w:p w14:paraId="4C36E905">
            <w:pPr>
              <w:wordWrap w:val="0"/>
              <w:adjustRightInd w:val="0"/>
              <w:snapToGrid w:val="0"/>
              <w:spacing w:line="320" w:lineRule="exact"/>
              <w:jc w:val="center"/>
              <w:rPr>
                <w:rFonts w:ascii="宋体" w:hAnsi="宋体" w:cs="宋体"/>
                <w:szCs w:val="21"/>
              </w:rPr>
            </w:pPr>
            <w:r>
              <w:rPr>
                <w:rFonts w:hint="eastAsia" w:ascii="宋体" w:hAnsi="宋体" w:cs="宋体"/>
                <w:szCs w:val="21"/>
              </w:rPr>
              <w:t>诚信情况</w:t>
            </w:r>
          </w:p>
        </w:tc>
        <w:tc>
          <w:tcPr>
            <w:tcW w:w="696" w:type="dxa"/>
            <w:tcBorders>
              <w:tl2br w:val="nil"/>
              <w:tr2bl w:val="nil"/>
            </w:tcBorders>
            <w:vAlign w:val="center"/>
          </w:tcPr>
          <w:p w14:paraId="70CD338C">
            <w:pPr>
              <w:wordWrap w:val="0"/>
              <w:adjustRightInd w:val="0"/>
              <w:snapToGrid w:val="0"/>
              <w:spacing w:line="320" w:lineRule="exact"/>
              <w:jc w:val="center"/>
              <w:rPr>
                <w:rFonts w:ascii="宋体" w:hAnsi="宋体" w:cs="宋体"/>
                <w:szCs w:val="21"/>
              </w:rPr>
            </w:pPr>
            <w:r>
              <w:rPr>
                <w:rFonts w:hint="eastAsia" w:ascii="宋体" w:hAnsi="宋体" w:cs="宋体"/>
                <w:szCs w:val="21"/>
              </w:rPr>
              <w:t>5</w:t>
            </w:r>
          </w:p>
        </w:tc>
        <w:tc>
          <w:tcPr>
            <w:tcW w:w="4856" w:type="dxa"/>
            <w:tcBorders>
              <w:tl2br w:val="nil"/>
              <w:tr2bl w:val="nil"/>
            </w:tcBorders>
          </w:tcPr>
          <w:p w14:paraId="16F0A174">
            <w:pPr>
              <w:wordWrap w:val="0"/>
              <w:adjustRightInd w:val="0"/>
              <w:snapToGrid w:val="0"/>
              <w:spacing w:line="320" w:lineRule="exact"/>
              <w:rPr>
                <w:rFonts w:ascii="宋体" w:hAnsi="宋体" w:eastAsia="宋体" w:cs="宋体"/>
                <w:szCs w:val="21"/>
              </w:rPr>
            </w:pPr>
            <w:r>
              <w:rPr>
                <w:rFonts w:hint="eastAsia" w:ascii="宋体" w:hAnsi="宋体" w:eastAsia="宋体" w:cs="宋体"/>
                <w:szCs w:val="21"/>
              </w:rPr>
              <w:t>投标人存在《深圳市财政局政府采购供应商信用信息管理办法》（深财规〔2023〕3号）列明的一般行政处罚信息、一般违法失信记录信息的，本项不得分，不存在上述情形的本项得100分。投标人无需提供任何证明材料，评标过程中由工作人员向评审委员会提供供应商诚信查询结果。</w:t>
            </w:r>
          </w:p>
          <w:p w14:paraId="1FDCC016">
            <w:pPr>
              <w:wordWrap w:val="0"/>
              <w:adjustRightInd w:val="0"/>
              <w:snapToGrid w:val="0"/>
              <w:spacing w:line="320" w:lineRule="exact"/>
              <w:rPr>
                <w:rFonts w:ascii="宋体" w:hAnsi="宋体" w:eastAsia="宋体" w:cs="宋体"/>
                <w:szCs w:val="21"/>
              </w:rPr>
            </w:pPr>
          </w:p>
          <w:p w14:paraId="0245EBCB">
            <w:pPr>
              <w:wordWrap w:val="0"/>
              <w:adjustRightInd w:val="0"/>
              <w:snapToGrid w:val="0"/>
              <w:spacing w:line="320" w:lineRule="exact"/>
              <w:rPr>
                <w:rFonts w:ascii="宋体" w:hAnsi="宋体" w:cs="宋体"/>
                <w:color w:val="FF0000"/>
                <w:szCs w:val="21"/>
              </w:rPr>
            </w:pPr>
            <w:r>
              <w:rPr>
                <w:rFonts w:hint="eastAsia" w:ascii="宋体" w:hAnsi="宋体" w:eastAsia="宋体" w:cs="宋体"/>
                <w:szCs w:val="21"/>
              </w:rPr>
              <w:t>查询渠道具体包括“信用中国”（www.creditchina.gov.cn）、“中国政府采购网”（www.ccgp.gov.cn）”以及“深圳市政府采购监管网”（http://zfcg.sz.gov.cn）为供应商信用信息的查询渠道，相关信息以开标当日的查询结果为准。</w:t>
            </w:r>
          </w:p>
        </w:tc>
      </w:tr>
      <w:tr w14:paraId="5A4F59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0" w:type="dxa"/>
            <w:left w:w="108" w:type="dxa"/>
            <w:bottom w:w="20" w:type="dxa"/>
            <w:right w:w="108" w:type="dxa"/>
          </w:tblCellMar>
        </w:tblPrEx>
        <w:trPr>
          <w:tblCellSpacing w:w="0" w:type="dxa"/>
        </w:trPr>
        <w:tc>
          <w:tcPr>
            <w:tcW w:w="685" w:type="dxa"/>
            <w:vMerge w:val="continue"/>
            <w:tcBorders>
              <w:tl2br w:val="nil"/>
              <w:tr2bl w:val="nil"/>
            </w:tcBorders>
            <w:vAlign w:val="center"/>
          </w:tcPr>
          <w:p w14:paraId="7153533C">
            <w:pPr>
              <w:adjustRightInd w:val="0"/>
              <w:snapToGrid w:val="0"/>
              <w:spacing w:line="320" w:lineRule="exact"/>
              <w:rPr>
                <w:rFonts w:ascii="宋体" w:hAnsi="宋体" w:cs="宋体"/>
                <w:b/>
                <w:bCs/>
                <w:color w:val="0000FF"/>
                <w:szCs w:val="21"/>
              </w:rPr>
            </w:pPr>
          </w:p>
        </w:tc>
        <w:tc>
          <w:tcPr>
            <w:tcW w:w="8364" w:type="dxa"/>
            <w:gridSpan w:val="4"/>
            <w:tcBorders>
              <w:tl2br w:val="nil"/>
              <w:tr2bl w:val="nil"/>
            </w:tcBorders>
          </w:tcPr>
          <w:p w14:paraId="207E2C79">
            <w:pPr>
              <w:wordWrap w:val="0"/>
              <w:adjustRightInd w:val="0"/>
              <w:snapToGrid w:val="0"/>
              <w:spacing w:line="320" w:lineRule="exact"/>
              <w:rPr>
                <w:rFonts w:ascii="宋体" w:hAnsi="宋体" w:cs="宋体"/>
                <w:szCs w:val="21"/>
              </w:rPr>
            </w:pPr>
          </w:p>
        </w:tc>
      </w:tr>
    </w:tbl>
    <w:p w14:paraId="09BC3D41">
      <w:pPr>
        <w:sectPr>
          <w:pgSz w:w="11907" w:h="16840"/>
          <w:pgMar w:top="1440" w:right="1417" w:bottom="1440" w:left="1417" w:header="851" w:footer="992" w:gutter="0"/>
          <w:cols w:space="425" w:num="1"/>
          <w:titlePg/>
          <w:docGrid w:linePitch="462" w:charSpace="0"/>
        </w:sectPr>
      </w:pPr>
    </w:p>
    <w:p w14:paraId="7BEF2A39">
      <w:pPr>
        <w:jc w:val="center"/>
        <w:rPr>
          <w:rFonts w:hint="eastAsia"/>
          <w:b/>
          <w:sz w:val="120"/>
          <w:szCs w:val="120"/>
        </w:rPr>
      </w:pPr>
    </w:p>
    <w:p w14:paraId="473ED327">
      <w:pPr>
        <w:jc w:val="center"/>
        <w:rPr>
          <w:rFonts w:hint="eastAsia"/>
          <w:b/>
          <w:sz w:val="120"/>
          <w:szCs w:val="120"/>
        </w:rPr>
      </w:pPr>
    </w:p>
    <w:p w14:paraId="33D2396B">
      <w:pPr>
        <w:jc w:val="center"/>
        <w:rPr>
          <w:rFonts w:hint="eastAsia"/>
          <w:b/>
          <w:sz w:val="120"/>
          <w:szCs w:val="120"/>
        </w:rPr>
      </w:pPr>
    </w:p>
    <w:p w14:paraId="112C7A2E">
      <w:pPr>
        <w:jc w:val="center"/>
        <w:rPr>
          <w:b/>
          <w:sz w:val="120"/>
          <w:szCs w:val="120"/>
        </w:rPr>
      </w:pPr>
      <w:r>
        <w:rPr>
          <w:rFonts w:hint="eastAsia"/>
          <w:b/>
          <w:sz w:val="120"/>
          <w:szCs w:val="120"/>
        </w:rPr>
        <w:t>政府采购</w:t>
      </w:r>
    </w:p>
    <w:p w14:paraId="3559DE85">
      <w:pPr>
        <w:jc w:val="center"/>
        <w:rPr>
          <w:b/>
          <w:sz w:val="120"/>
          <w:szCs w:val="120"/>
        </w:rPr>
      </w:pPr>
      <w:r>
        <w:rPr>
          <w:rFonts w:hint="eastAsia"/>
          <w:b/>
          <w:sz w:val="120"/>
          <w:szCs w:val="120"/>
        </w:rPr>
        <w:t>招标文件</w:t>
      </w:r>
    </w:p>
    <w:p w14:paraId="645A0E32">
      <w:pPr>
        <w:jc w:val="center"/>
        <w:rPr>
          <w:b/>
          <w:sz w:val="52"/>
          <w:szCs w:val="52"/>
        </w:rPr>
      </w:pPr>
      <w:r>
        <w:rPr>
          <w:rFonts w:hint="eastAsia"/>
          <w:b/>
          <w:sz w:val="52"/>
          <w:szCs w:val="52"/>
        </w:rPr>
        <w:t>（服务类）</w:t>
      </w:r>
    </w:p>
    <w:p w14:paraId="2D3B3693">
      <w:pPr>
        <w:jc w:val="center"/>
        <w:rPr>
          <w:b/>
          <w:sz w:val="44"/>
          <w:szCs w:val="44"/>
        </w:rPr>
      </w:pPr>
    </w:p>
    <w:p w14:paraId="06499E85">
      <w:pPr>
        <w:jc w:val="center"/>
        <w:rPr>
          <w:b/>
          <w:sz w:val="44"/>
          <w:szCs w:val="44"/>
        </w:rPr>
      </w:pPr>
    </w:p>
    <w:p w14:paraId="745F8417">
      <w:pPr>
        <w:jc w:val="center"/>
        <w:rPr>
          <w:b/>
          <w:sz w:val="44"/>
          <w:szCs w:val="44"/>
        </w:rPr>
      </w:pPr>
    </w:p>
    <w:p w14:paraId="27300D35">
      <w:pPr>
        <w:jc w:val="center"/>
        <w:rPr>
          <w:b/>
          <w:sz w:val="44"/>
          <w:szCs w:val="44"/>
        </w:rPr>
      </w:pPr>
    </w:p>
    <w:p w14:paraId="6982390B">
      <w:pPr>
        <w:jc w:val="center"/>
        <w:rPr>
          <w:b/>
          <w:sz w:val="44"/>
          <w:szCs w:val="44"/>
        </w:rPr>
      </w:pPr>
    </w:p>
    <w:p w14:paraId="7BBBC711">
      <w:pPr>
        <w:jc w:val="center"/>
        <w:rPr>
          <w:b/>
          <w:sz w:val="44"/>
          <w:szCs w:val="44"/>
        </w:rPr>
      </w:pPr>
    </w:p>
    <w:p w14:paraId="7CCF5B9F">
      <w:pPr>
        <w:jc w:val="center"/>
        <w:rPr>
          <w:b/>
          <w:sz w:val="44"/>
          <w:szCs w:val="44"/>
        </w:rPr>
      </w:pPr>
    </w:p>
    <w:p w14:paraId="410E5DB2">
      <w:pPr>
        <w:jc w:val="center"/>
        <w:rPr>
          <w:b/>
          <w:sz w:val="44"/>
          <w:szCs w:val="44"/>
        </w:rPr>
      </w:pPr>
    </w:p>
    <w:p w14:paraId="4DE38954">
      <w:pPr>
        <w:jc w:val="center"/>
        <w:rPr>
          <w:b/>
          <w:sz w:val="44"/>
          <w:szCs w:val="44"/>
        </w:rPr>
      </w:pPr>
      <w:bookmarkStart w:id="0" w:name="_Hlk71465316"/>
      <w:r>
        <w:rPr>
          <w:rFonts w:hint="eastAsia"/>
          <w:b/>
          <w:sz w:val="44"/>
          <w:szCs w:val="44"/>
        </w:rPr>
        <w:t>深圳公共资源交易中心</w:t>
      </w:r>
    </w:p>
    <w:p w14:paraId="3DB4DEAB">
      <w:pPr>
        <w:jc w:val="center"/>
        <w:rPr>
          <w:sz w:val="28"/>
          <w:szCs w:val="28"/>
        </w:rPr>
      </w:pPr>
      <w:r>
        <w:rPr>
          <w:rFonts w:hint="eastAsia"/>
          <w:b/>
          <w:sz w:val="28"/>
          <w:szCs w:val="28"/>
        </w:rPr>
        <w:t>（</w:t>
      </w:r>
      <w:r>
        <w:rPr>
          <w:b/>
          <w:sz w:val="28"/>
          <w:szCs w:val="28"/>
        </w:rPr>
        <w:t>20</w:t>
      </w:r>
      <w:r>
        <w:rPr>
          <w:rFonts w:hint="eastAsia"/>
          <w:b/>
          <w:sz w:val="28"/>
          <w:szCs w:val="28"/>
        </w:rPr>
        <w:t>2</w:t>
      </w:r>
      <w:r>
        <w:rPr>
          <w:rFonts w:hint="eastAsia"/>
          <w:b/>
          <w:sz w:val="28"/>
          <w:szCs w:val="28"/>
          <w:lang w:val="en-US" w:eastAsia="zh-CN"/>
        </w:rPr>
        <w:t xml:space="preserve">5 </w:t>
      </w:r>
      <w:r>
        <w:rPr>
          <w:rFonts w:hint="eastAsia"/>
          <w:b/>
          <w:sz w:val="28"/>
          <w:szCs w:val="28"/>
        </w:rPr>
        <w:t>）</w:t>
      </w:r>
      <w:bookmarkEnd w:id="0"/>
    </w:p>
    <w:p w14:paraId="2B5C05B2">
      <w:pPr>
        <w:ind w:firstLine="420" w:firstLineChars="200"/>
        <w:rPr>
          <w:rFonts w:hint="eastAsia"/>
        </w:rPr>
      </w:pPr>
      <w:r>
        <w:rPr>
          <w:rFonts w:hint="eastAsia"/>
        </w:rPr>
        <w:br w:type="page"/>
      </w:r>
    </w:p>
    <w:p w14:paraId="11495F8F">
      <w:pPr>
        <w:pStyle w:val="2"/>
      </w:pPr>
      <w:r>
        <w:rPr>
          <w:rFonts w:hint="eastAsia"/>
        </w:rPr>
        <w:t>目   录</w:t>
      </w:r>
    </w:p>
    <w:p w14:paraId="41BB911E">
      <w:pPr>
        <w:outlineLvl w:val="0"/>
        <w:rPr>
          <w:b/>
          <w:sz w:val="24"/>
        </w:rPr>
      </w:pPr>
      <w:r>
        <w:rPr>
          <w:rFonts w:hint="eastAsia"/>
          <w:b/>
          <w:sz w:val="24"/>
        </w:rPr>
        <w:t>第一册  专用条款</w:t>
      </w:r>
    </w:p>
    <w:p w14:paraId="1C6AD7D5">
      <w:pPr>
        <w:ind w:firstLine="960" w:firstLineChars="400"/>
        <w:rPr>
          <w:sz w:val="24"/>
        </w:rPr>
      </w:pPr>
      <w:r>
        <w:rPr>
          <w:rFonts w:hint="eastAsia"/>
          <w:sz w:val="24"/>
        </w:rPr>
        <w:t>关键信息</w:t>
      </w:r>
    </w:p>
    <w:p w14:paraId="70824C98">
      <w:pPr>
        <w:ind w:left="630" w:leftChars="300" w:firstLine="630" w:firstLineChars="300"/>
        <w:rPr>
          <w:rFonts w:ascii="宋体" w:hAnsi="宋体"/>
          <w:szCs w:val="21"/>
        </w:rPr>
      </w:pPr>
      <w:r>
        <w:rPr>
          <w:rFonts w:hint="eastAsia" w:ascii="宋体" w:hAnsi="宋体"/>
          <w:szCs w:val="21"/>
        </w:rPr>
        <w:t>第一章  招标公告</w:t>
      </w:r>
    </w:p>
    <w:p w14:paraId="2D4238B7">
      <w:pPr>
        <w:ind w:left="630" w:leftChars="300" w:firstLine="630" w:firstLineChars="300"/>
        <w:rPr>
          <w:rFonts w:ascii="宋体" w:hAnsi="宋体"/>
          <w:szCs w:val="21"/>
        </w:rPr>
      </w:pPr>
      <w:r>
        <w:rPr>
          <w:rFonts w:hint="eastAsia" w:ascii="宋体" w:hAnsi="宋体"/>
          <w:szCs w:val="21"/>
        </w:rPr>
        <w:t xml:space="preserve">第二章  </w:t>
      </w:r>
      <w:bookmarkStart w:id="1" w:name="_Hlk71994379"/>
      <w:r>
        <w:rPr>
          <w:rFonts w:hint="eastAsia" w:ascii="宋体" w:hAnsi="宋体"/>
          <w:szCs w:val="21"/>
        </w:rPr>
        <w:t>对通用条款的补充内容及其他关键信息</w:t>
      </w:r>
      <w:bookmarkEnd w:id="1"/>
    </w:p>
    <w:p w14:paraId="057BB171">
      <w:pPr>
        <w:ind w:left="630" w:leftChars="300" w:firstLine="630" w:firstLineChars="300"/>
        <w:rPr>
          <w:rFonts w:ascii="宋体" w:hAnsi="宋体"/>
          <w:szCs w:val="21"/>
        </w:rPr>
      </w:pPr>
      <w:r>
        <w:rPr>
          <w:rFonts w:hint="eastAsia" w:ascii="宋体" w:hAnsi="宋体"/>
          <w:szCs w:val="21"/>
        </w:rPr>
        <w:t xml:space="preserve">第三章 </w:t>
      </w:r>
      <w:r>
        <w:rPr>
          <w:rFonts w:ascii="宋体" w:hAnsi="宋体"/>
          <w:szCs w:val="21"/>
        </w:rPr>
        <w:t xml:space="preserve"> </w:t>
      </w:r>
      <w:r>
        <w:rPr>
          <w:rFonts w:hint="eastAsia" w:ascii="宋体" w:hAnsi="宋体"/>
          <w:szCs w:val="21"/>
        </w:rPr>
        <w:t>用户需求书</w:t>
      </w:r>
    </w:p>
    <w:p w14:paraId="70E47ADF">
      <w:pPr>
        <w:ind w:left="630" w:leftChars="300" w:firstLine="630" w:firstLineChars="300"/>
        <w:rPr>
          <w:rFonts w:ascii="宋体" w:hAnsi="宋体"/>
          <w:szCs w:val="21"/>
        </w:rPr>
      </w:pPr>
      <w:r>
        <w:rPr>
          <w:rFonts w:hint="eastAsia" w:ascii="宋体" w:hAnsi="宋体"/>
          <w:szCs w:val="21"/>
        </w:rPr>
        <w:t xml:space="preserve">第四章 </w:t>
      </w:r>
      <w:r>
        <w:rPr>
          <w:rFonts w:ascii="宋体" w:hAnsi="宋体"/>
          <w:szCs w:val="21"/>
        </w:rPr>
        <w:t xml:space="preserve"> </w:t>
      </w:r>
      <w:r>
        <w:rPr>
          <w:rFonts w:hint="eastAsia" w:ascii="宋体" w:hAnsi="宋体"/>
          <w:szCs w:val="21"/>
        </w:rPr>
        <w:t>投标文件组成要求及格式</w:t>
      </w:r>
    </w:p>
    <w:p w14:paraId="200820EB">
      <w:pPr>
        <w:ind w:left="630" w:leftChars="300" w:firstLine="630" w:firstLineChars="300"/>
        <w:rPr>
          <w:rFonts w:ascii="宋体" w:hAnsi="宋体"/>
          <w:szCs w:val="21"/>
        </w:rPr>
      </w:pPr>
      <w:r>
        <w:rPr>
          <w:rFonts w:hint="eastAsia" w:ascii="宋体" w:hAnsi="宋体"/>
          <w:szCs w:val="21"/>
        </w:rPr>
        <w:t>第五章  合同条款及格式</w:t>
      </w:r>
    </w:p>
    <w:p w14:paraId="58E66501">
      <w:pPr>
        <w:rPr>
          <w:b/>
          <w:sz w:val="24"/>
        </w:rPr>
      </w:pPr>
    </w:p>
    <w:p w14:paraId="79A5B871">
      <w:pPr>
        <w:outlineLvl w:val="0"/>
        <w:rPr>
          <w:b/>
          <w:sz w:val="24"/>
        </w:rPr>
      </w:pPr>
      <w:r>
        <w:rPr>
          <w:rFonts w:hint="eastAsia"/>
          <w:b/>
          <w:sz w:val="24"/>
        </w:rPr>
        <w:t>第二册  通用条款</w:t>
      </w:r>
    </w:p>
    <w:p w14:paraId="32D9C199">
      <w:pPr>
        <w:ind w:left="630" w:leftChars="300" w:firstLine="411" w:firstLineChars="196"/>
        <w:rPr>
          <w:rFonts w:ascii="宋体" w:hAnsi="宋体"/>
          <w:szCs w:val="21"/>
        </w:rPr>
      </w:pPr>
      <w:r>
        <w:rPr>
          <w:rFonts w:hint="eastAsia" w:ascii="宋体" w:hAnsi="宋体"/>
          <w:szCs w:val="21"/>
        </w:rPr>
        <w:t>第一章  总则</w:t>
      </w:r>
    </w:p>
    <w:p w14:paraId="71CE26BC">
      <w:pPr>
        <w:ind w:left="630" w:leftChars="300" w:firstLine="411" w:firstLineChars="196"/>
        <w:rPr>
          <w:rFonts w:ascii="宋体" w:hAnsi="宋体"/>
          <w:szCs w:val="21"/>
        </w:rPr>
      </w:pPr>
      <w:r>
        <w:rPr>
          <w:rFonts w:hint="eastAsia" w:ascii="宋体" w:hAnsi="宋体"/>
          <w:szCs w:val="21"/>
        </w:rPr>
        <w:t>第二章  招标文件</w:t>
      </w:r>
    </w:p>
    <w:p w14:paraId="45F22435">
      <w:pPr>
        <w:ind w:left="630" w:leftChars="300" w:firstLine="411" w:firstLineChars="196"/>
        <w:rPr>
          <w:rFonts w:ascii="宋体" w:hAnsi="宋体"/>
          <w:szCs w:val="21"/>
        </w:rPr>
      </w:pPr>
      <w:r>
        <w:rPr>
          <w:rFonts w:hint="eastAsia" w:ascii="宋体" w:hAnsi="宋体"/>
          <w:szCs w:val="21"/>
        </w:rPr>
        <w:t>第三章  投标文件的编制</w:t>
      </w:r>
    </w:p>
    <w:p w14:paraId="387D49F4">
      <w:pPr>
        <w:ind w:left="630" w:leftChars="300" w:firstLine="411" w:firstLineChars="196"/>
        <w:rPr>
          <w:rFonts w:ascii="宋体" w:hAnsi="宋体"/>
          <w:szCs w:val="21"/>
        </w:rPr>
      </w:pPr>
      <w:r>
        <w:rPr>
          <w:rFonts w:hint="eastAsia" w:ascii="宋体" w:hAnsi="宋体"/>
          <w:szCs w:val="21"/>
        </w:rPr>
        <w:t>第四章  投标文件的递交</w:t>
      </w:r>
    </w:p>
    <w:p w14:paraId="5B4538F6">
      <w:pPr>
        <w:ind w:left="630" w:leftChars="300" w:firstLine="411" w:firstLineChars="196"/>
        <w:rPr>
          <w:rFonts w:ascii="宋体" w:hAnsi="宋体"/>
          <w:szCs w:val="21"/>
        </w:rPr>
      </w:pPr>
      <w:r>
        <w:rPr>
          <w:rFonts w:hint="eastAsia" w:ascii="宋体" w:hAnsi="宋体"/>
          <w:szCs w:val="21"/>
        </w:rPr>
        <w:t>第五章  开标</w:t>
      </w:r>
    </w:p>
    <w:p w14:paraId="7386C2B8">
      <w:pPr>
        <w:ind w:left="630" w:leftChars="300" w:firstLine="411" w:firstLineChars="196"/>
        <w:rPr>
          <w:rFonts w:ascii="宋体" w:hAnsi="宋体"/>
          <w:szCs w:val="21"/>
        </w:rPr>
      </w:pPr>
      <w:r>
        <w:rPr>
          <w:rFonts w:hint="eastAsia" w:ascii="宋体" w:hAnsi="宋体"/>
          <w:szCs w:val="21"/>
        </w:rPr>
        <w:t>第六章  评审要求</w:t>
      </w:r>
    </w:p>
    <w:p w14:paraId="54203A83">
      <w:pPr>
        <w:ind w:left="630" w:leftChars="300" w:firstLine="411" w:firstLineChars="196"/>
        <w:rPr>
          <w:rFonts w:ascii="宋体" w:hAnsi="宋体"/>
          <w:szCs w:val="21"/>
        </w:rPr>
      </w:pPr>
      <w:r>
        <w:rPr>
          <w:rFonts w:hint="eastAsia" w:ascii="宋体" w:hAnsi="宋体"/>
          <w:szCs w:val="21"/>
        </w:rPr>
        <w:t>第七章  评审程序及评审方法</w:t>
      </w:r>
    </w:p>
    <w:p w14:paraId="51D0F761">
      <w:pPr>
        <w:ind w:left="630" w:leftChars="300" w:firstLine="411" w:firstLineChars="196"/>
        <w:rPr>
          <w:rFonts w:ascii="宋体" w:hAnsi="宋体"/>
          <w:szCs w:val="21"/>
        </w:rPr>
      </w:pPr>
      <w:r>
        <w:rPr>
          <w:rFonts w:hint="eastAsia" w:ascii="宋体" w:hAnsi="宋体"/>
          <w:szCs w:val="21"/>
        </w:rPr>
        <w:t>第八章  定标及公示</w:t>
      </w:r>
    </w:p>
    <w:p w14:paraId="3F4A894D">
      <w:pPr>
        <w:ind w:left="630" w:leftChars="300" w:firstLine="411" w:firstLineChars="196"/>
        <w:rPr>
          <w:rFonts w:ascii="宋体" w:hAnsi="宋体"/>
          <w:szCs w:val="21"/>
        </w:rPr>
      </w:pPr>
      <w:r>
        <w:rPr>
          <w:rFonts w:hint="eastAsia" w:ascii="宋体" w:hAnsi="宋体"/>
          <w:szCs w:val="21"/>
        </w:rPr>
        <w:t>第九章  公开招标失败的后续处理</w:t>
      </w:r>
    </w:p>
    <w:p w14:paraId="14D1C8CD">
      <w:pPr>
        <w:ind w:left="630" w:leftChars="300" w:firstLine="411" w:firstLineChars="196"/>
        <w:rPr>
          <w:rFonts w:ascii="宋体" w:hAnsi="宋体"/>
          <w:szCs w:val="21"/>
        </w:rPr>
      </w:pPr>
      <w:r>
        <w:rPr>
          <w:rFonts w:hint="eastAsia" w:ascii="宋体" w:hAnsi="宋体"/>
          <w:szCs w:val="21"/>
        </w:rPr>
        <w:t>第十章  合同的授予与备案</w:t>
      </w:r>
    </w:p>
    <w:p w14:paraId="256030A6">
      <w:pPr>
        <w:ind w:firstLine="1050" w:firstLineChars="500"/>
        <w:outlineLvl w:val="0"/>
        <w:rPr>
          <w:b/>
          <w:sz w:val="24"/>
        </w:rPr>
      </w:pPr>
      <w:r>
        <w:rPr>
          <w:rFonts w:hint="eastAsia" w:ascii="宋体" w:hAnsi="宋体"/>
          <w:szCs w:val="21"/>
        </w:rPr>
        <w:t>第十一章  质疑处理</w:t>
      </w:r>
    </w:p>
    <w:p w14:paraId="35F4C992">
      <w:pPr>
        <w:spacing w:line="360" w:lineRule="auto"/>
        <w:ind w:firstLine="420" w:firstLineChars="200"/>
        <w:jc w:val="left"/>
        <w:rPr>
          <w:rFonts w:ascii="宋体" w:hAnsi="宋体"/>
          <w:szCs w:val="21"/>
        </w:rPr>
      </w:pPr>
    </w:p>
    <w:p w14:paraId="29C31354">
      <w:pPr>
        <w:pStyle w:val="2"/>
        <w:rPr>
          <w:sz w:val="24"/>
        </w:rPr>
      </w:pPr>
      <w:r>
        <w:br w:type="page"/>
      </w:r>
      <w:bookmarkStart w:id="2" w:name="bt说明"/>
      <w:bookmarkEnd w:id="2"/>
      <w:bookmarkStart w:id="3" w:name="bt投标人情况介绍"/>
      <w:bookmarkEnd w:id="3"/>
      <w:bookmarkStart w:id="4" w:name="bt投标报价汇总表"/>
      <w:bookmarkEnd w:id="4"/>
      <w:bookmarkStart w:id="5" w:name="bt投标文件签署授权委托书"/>
      <w:bookmarkEnd w:id="5"/>
      <w:bookmarkStart w:id="6" w:name="合同格式"/>
      <w:bookmarkEnd w:id="6"/>
      <w:bookmarkStart w:id="7" w:name="bt本工程承诺书"/>
      <w:bookmarkEnd w:id="7"/>
      <w:bookmarkStart w:id="8" w:name="bt其他资料2"/>
      <w:bookmarkEnd w:id="8"/>
      <w:bookmarkStart w:id="9" w:name="bt项目管理班子配备情况"/>
      <w:bookmarkEnd w:id="9"/>
      <w:bookmarkStart w:id="10" w:name="bt合同条款及格式"/>
      <w:bookmarkEnd w:id="10"/>
      <w:bookmarkStart w:id="11" w:name="bt技术标投标文件格式"/>
      <w:bookmarkEnd w:id="11"/>
      <w:bookmarkStart w:id="12" w:name="bt开标一览表"/>
      <w:bookmarkEnd w:id="12"/>
      <w:bookmarkStart w:id="13" w:name="bt合同格式"/>
      <w:bookmarkEnd w:id="13"/>
      <w:bookmarkStart w:id="14" w:name="bt投标人须知"/>
      <w:bookmarkEnd w:id="14"/>
      <w:bookmarkStart w:id="15" w:name="bt投标函"/>
      <w:bookmarkEnd w:id="15"/>
      <w:bookmarkStart w:id="16" w:name="bt商务标投标文件格式"/>
      <w:bookmarkEnd w:id="16"/>
      <w:bookmarkStart w:id="17" w:name="bt合同条款"/>
      <w:bookmarkEnd w:id="17"/>
      <w:bookmarkStart w:id="18" w:name="bt其他资料由投标人自定"/>
      <w:bookmarkEnd w:id="18"/>
      <w:r>
        <w:rPr>
          <w:rFonts w:hint="eastAsia"/>
        </w:rPr>
        <w:t>第一册</w:t>
      </w:r>
      <w:r>
        <w:rPr>
          <w:rFonts w:hint="eastAsia"/>
          <w:lang w:val="en-US" w:eastAsia="zh-CN"/>
        </w:rPr>
        <w:t xml:space="preserve">  </w:t>
      </w:r>
      <w:r>
        <w:rPr>
          <w:rFonts w:hint="eastAsia"/>
        </w:rPr>
        <w:t>专用条款</w:t>
      </w:r>
    </w:p>
    <w:p w14:paraId="5E0915EF">
      <w:pPr>
        <w:pStyle w:val="5"/>
        <w:rPr>
          <w:rFonts w:hint="eastAsia"/>
          <w:sz w:val="28"/>
          <w:szCs w:val="28"/>
        </w:rPr>
      </w:pPr>
      <w:r>
        <w:rPr>
          <w:rFonts w:hint="eastAsia"/>
          <w:sz w:val="28"/>
          <w:szCs w:val="28"/>
        </w:rPr>
        <w:t>第一章  招标公告</w:t>
      </w:r>
    </w:p>
    <w:tbl>
      <w:tblPr>
        <w:tblStyle w:val="42"/>
        <w:tblW w:w="8147" w:type="dxa"/>
        <w:jc w:val="center"/>
        <w:tblCellSpacing w:w="0" w:type="dxa"/>
        <w:tblLayout w:type="fixed"/>
        <w:tblCellMar>
          <w:top w:w="0" w:type="dxa"/>
          <w:left w:w="0" w:type="dxa"/>
          <w:bottom w:w="0" w:type="dxa"/>
          <w:right w:w="0" w:type="dxa"/>
        </w:tblCellMar>
      </w:tblPr>
      <w:tblGrid>
        <w:gridCol w:w="8147"/>
      </w:tblGrid>
      <w:tr w14:paraId="5B4FD1ED">
        <w:tblPrEx>
          <w:tblCellMar>
            <w:top w:w="0" w:type="dxa"/>
            <w:left w:w="0" w:type="dxa"/>
            <w:bottom w:w="0" w:type="dxa"/>
            <w:right w:w="0" w:type="dxa"/>
          </w:tblCellMar>
        </w:tblPrEx>
        <w:trPr>
          <w:tblCellSpacing w:w="0" w:type="dxa"/>
          <w:jc w:val="center"/>
        </w:trPr>
        <w:tc>
          <w:tcPr>
            <w:tcW w:w="8147" w:type="dxa"/>
            <w:vAlign w:val="center"/>
          </w:tcPr>
          <w:tbl>
            <w:tblPr>
              <w:tblStyle w:val="42"/>
              <w:tblW w:w="8147" w:type="dxa"/>
              <w:jc w:val="center"/>
              <w:tblCellSpacing w:w="0" w:type="dxa"/>
              <w:tblLayout w:type="fixed"/>
              <w:tblCellMar>
                <w:top w:w="30" w:type="dxa"/>
                <w:left w:w="30" w:type="dxa"/>
                <w:bottom w:w="30" w:type="dxa"/>
                <w:right w:w="30" w:type="dxa"/>
              </w:tblCellMar>
            </w:tblPr>
            <w:tblGrid>
              <w:gridCol w:w="8147"/>
            </w:tblGrid>
            <w:tr w14:paraId="6AEE3C5D">
              <w:tblPrEx>
                <w:tblCellMar>
                  <w:top w:w="30" w:type="dxa"/>
                  <w:left w:w="30" w:type="dxa"/>
                  <w:bottom w:w="30" w:type="dxa"/>
                  <w:right w:w="30" w:type="dxa"/>
                </w:tblCellMar>
              </w:tblPrEx>
              <w:trPr>
                <w:tblCellSpacing w:w="0" w:type="dxa"/>
                <w:jc w:val="center"/>
              </w:trPr>
              <w:tc>
                <w:tcPr>
                  <w:tcW w:w="8147" w:type="dxa"/>
                </w:tcPr>
                <w:p w14:paraId="4B04E659">
                  <w:pPr>
                    <w:spacing w:line="360" w:lineRule="auto"/>
                    <w:rPr>
                      <w:rFonts w:ascii="宋体" w:hAnsi="宋体" w:cs="宋体"/>
                      <w:b/>
                      <w:bCs/>
                      <w:kern w:val="0"/>
                      <w:szCs w:val="21"/>
                    </w:rPr>
                  </w:pPr>
                  <w:r>
                    <w:rPr>
                      <w:rFonts w:hint="eastAsia" w:ascii="宋体" w:hAnsi="宋体" w:cs="宋体"/>
                      <w:b/>
                      <w:bCs/>
                      <w:kern w:val="0"/>
                      <w:szCs w:val="21"/>
                    </w:rPr>
                    <w:t>申请人的资格要求：</w:t>
                  </w:r>
                </w:p>
                <w:p w14:paraId="26AEC4B5">
                  <w:pPr>
                    <w:ind w:firstLine="420" w:firstLineChars="200"/>
                    <w:rPr>
                      <w:rFonts w:ascii="宋体" w:hAnsi="宋体" w:cs="宋体"/>
                      <w:kern w:val="0"/>
                      <w:szCs w:val="21"/>
                    </w:rPr>
                  </w:pPr>
                  <w:bookmarkStart w:id="19" w:name="_Hlk72576406"/>
                  <w:r>
                    <w:rPr>
                      <w:rFonts w:hint="eastAsia" w:ascii="宋体" w:hAnsi="宋体" w:cs="宋体"/>
                      <w:kern w:val="0"/>
                      <w:szCs w:val="21"/>
                    </w:rPr>
                    <w:t>1</w:t>
                  </w:r>
                  <w:r>
                    <w:rPr>
                      <w:rFonts w:ascii="宋体" w:hAnsi="宋体" w:cs="宋体"/>
                      <w:kern w:val="0"/>
                      <w:szCs w:val="21"/>
                    </w:rPr>
                    <w:t>.</w:t>
                  </w:r>
                  <w:bookmarkStart w:id="20" w:name="_Hlk72162904"/>
                  <w:r>
                    <w:rPr>
                      <w:rFonts w:hint="eastAsia" w:ascii="宋体" w:hAnsi="宋体" w:cs="宋体"/>
                      <w:kern w:val="0"/>
                      <w:szCs w:val="21"/>
                    </w:rPr>
                    <w:t>具有独立承担民事责任的能力（提供营业执照或事业单位法人证书等证明资料扫描件，原件备查，分支机构参与应答的，须同时提供总公司授权文件且授权书载明其民事责任由总公司承担）；</w:t>
                  </w:r>
                  <w:bookmarkEnd w:id="20"/>
                </w:p>
                <w:bookmarkEnd w:id="19"/>
                <w:p w14:paraId="26AEC4B7">
                  <w:pPr>
                    <w:ind w:firstLine="420" w:firstLineChars="200"/>
                    <w:rPr>
                      <w:rFonts w:ascii="宋体" w:hAnsi="宋体" w:cs="宋体"/>
                      <w:color w:val="FF0000"/>
                    </w:rPr>
                  </w:pPr>
                  <w:r>
                    <w:rPr>
                      <w:rFonts w:hint="eastAsia" w:ascii="宋体" w:hAnsi="宋体" w:cs="宋体"/>
                      <w:color w:val="FF0000"/>
                      <w:lang w:val="en-US" w:eastAsia="zh-CN"/>
                    </w:rPr>
                    <w:t>2</w:t>
                  </w:r>
                  <w:r>
                    <w:rPr>
                      <w:rFonts w:hint="eastAsia" w:ascii="宋体" w:hAnsi="宋体" w:cs="宋体"/>
                      <w:color w:val="FF0000"/>
                    </w:rPr>
                    <w:t>.</w:t>
                  </w:r>
                  <w:r>
                    <w:rPr>
                      <w:rFonts w:hint="eastAsia" w:ascii="宋体" w:hAnsi="宋体" w:cs="宋体"/>
                      <w:color w:val="FF0000"/>
                      <w:kern w:val="0"/>
                      <w:szCs w:val="21"/>
                    </w:rPr>
                    <w:t>本项目不接受联合体投标，不接受投标人选用进口产品参与投标；</w:t>
                  </w:r>
                </w:p>
                <w:p w14:paraId="26AEC4B8">
                  <w:pPr>
                    <w:spacing w:line="276" w:lineRule="auto"/>
                    <w:ind w:firstLine="420" w:firstLineChars="200"/>
                    <w:rPr>
                      <w:rFonts w:ascii="宋体" w:hAnsi="宋体" w:cs="宋体"/>
                    </w:rPr>
                  </w:pPr>
                  <w:r>
                    <w:rPr>
                      <w:rFonts w:hint="eastAsia" w:ascii="宋体" w:hAnsi="宋体" w:cs="宋体"/>
                      <w:lang w:val="en-US" w:eastAsia="zh-CN"/>
                    </w:rPr>
                    <w:t>3</w:t>
                  </w:r>
                  <w:r>
                    <w:rPr>
                      <w:rFonts w:ascii="宋体" w:hAnsi="宋体" w:cs="宋体"/>
                    </w:rPr>
                    <w:t>.参与本项目政府采购活动时不存在被有关部门禁止参与政府采购活动且在有效期内的情况（由供应商在《政府采购应答及履约承诺函》中作出声明）；</w:t>
                  </w:r>
                </w:p>
                <w:p w14:paraId="26AEC4B9">
                  <w:pPr>
                    <w:spacing w:line="276" w:lineRule="auto"/>
                    <w:ind w:firstLine="420" w:firstLineChars="200"/>
                    <w:rPr>
                      <w:rFonts w:ascii="宋体" w:hAnsi="宋体" w:cs="宋体"/>
                    </w:rPr>
                  </w:pPr>
                  <w:r>
                    <w:rPr>
                      <w:rFonts w:hint="eastAsia" w:ascii="宋体" w:hAnsi="宋体" w:cs="宋体"/>
                      <w:lang w:val="en-US" w:eastAsia="zh-CN"/>
                    </w:rPr>
                    <w:t>4</w:t>
                  </w:r>
                  <w:r>
                    <w:rPr>
                      <w:rFonts w:ascii="宋体" w:hAnsi="宋体" w:cs="宋体"/>
                    </w:rPr>
                    <w:t>.具备《中华人民共和国政府采购法》第二十二条第一款的条件（由供应商在《政府采购应答及履约承诺函》中作出声明）；</w:t>
                  </w:r>
                </w:p>
                <w:p w14:paraId="26AEC4BA">
                  <w:pPr>
                    <w:spacing w:line="276" w:lineRule="auto"/>
                    <w:ind w:firstLine="420" w:firstLineChars="200"/>
                    <w:rPr>
                      <w:rFonts w:ascii="宋体" w:hAnsi="宋体" w:cs="宋体"/>
                    </w:rPr>
                  </w:pPr>
                  <w:r>
                    <w:rPr>
                      <w:rFonts w:hint="eastAsia" w:ascii="宋体" w:hAnsi="宋体" w:cs="宋体"/>
                      <w:lang w:val="en-US" w:eastAsia="zh-CN"/>
                    </w:rPr>
                    <w:t>5</w:t>
                  </w:r>
                  <w:r>
                    <w:rPr>
                      <w:rFonts w:ascii="宋体" w:hAnsi="宋体" w:cs="宋体"/>
                    </w:rPr>
                    <w:t>.未被列入失信被执行人、重大税收违法案件当事人名单、政府采购严重违法失信行为记录名单（由供应商在《政府采购应答及履约承诺函》</w:t>
                  </w:r>
                  <w:r>
                    <w:rPr>
                      <w:rFonts w:hint="eastAsia" w:ascii="宋体" w:hAnsi="宋体" w:cs="宋体"/>
                    </w:rPr>
                    <w:t>中</w:t>
                  </w:r>
                  <w:r>
                    <w:rPr>
                      <w:rFonts w:ascii="宋体" w:hAnsi="宋体" w:cs="宋体"/>
                    </w:rPr>
                    <w:t>作出声明）；</w:t>
                  </w:r>
                </w:p>
                <w:p w14:paraId="26AEC4BB">
                  <w:pPr>
                    <w:spacing w:line="276" w:lineRule="auto"/>
                    <w:ind w:firstLine="420" w:firstLineChars="200"/>
                    <w:rPr>
                      <w:rFonts w:ascii="宋体" w:hAnsi="宋体" w:cs="宋体"/>
                    </w:rPr>
                  </w:pPr>
                  <w:r>
                    <w:rPr>
                      <w:rFonts w:hint="eastAsia" w:ascii="宋体" w:hAnsi="宋体" w:cs="宋体"/>
                      <w:lang w:val="en-US" w:eastAsia="zh-CN"/>
                    </w:rPr>
                    <w:t>6</w:t>
                  </w:r>
                  <w:r>
                    <w:rPr>
                      <w:rFonts w:ascii="宋体" w:hAnsi="宋体" w:cs="宋体"/>
                    </w:rPr>
                    <w:t>.</w:t>
                  </w:r>
                  <w:r>
                    <w:rPr>
                      <w:rFonts w:hint="eastAsia" w:ascii="宋体" w:hAnsi="宋体" w:cs="宋体"/>
                      <w:kern w:val="0"/>
                      <w:szCs w:val="21"/>
                    </w:rPr>
                    <w:t>不存在《深圳市财政局政府采购供应商信用信息管理办法》（深财规〔2023〕3号）列明的严重违法失信行为（由供应商在《政府采购投标及履约承诺函》中作出声明）</w:t>
                  </w:r>
                </w:p>
                <w:p w14:paraId="26AEC4BC">
                  <w:pPr>
                    <w:spacing w:line="276" w:lineRule="auto"/>
                    <w:ind w:firstLine="420" w:firstLineChars="200"/>
                    <w:rPr>
                      <w:rFonts w:ascii="宋体" w:hAnsi="宋体" w:cs="宋体"/>
                    </w:rPr>
                  </w:pPr>
                  <w:r>
                    <w:rPr>
                      <w:rFonts w:hint="eastAsia" w:ascii="宋体" w:hAnsi="宋体" w:cs="宋体"/>
                      <w:lang w:val="en-US" w:eastAsia="zh-CN"/>
                    </w:rPr>
                    <w:t>7</w:t>
                  </w:r>
                  <w:bookmarkStart w:id="104" w:name="_GoBack"/>
                  <w:bookmarkEnd w:id="104"/>
                  <w:r>
                    <w:rPr>
                      <w:rFonts w:hint="eastAsia" w:ascii="宋体" w:hAnsi="宋体" w:cs="宋体"/>
                    </w:rPr>
                    <w:t>.</w:t>
                  </w:r>
                  <w:r>
                    <w:rPr>
                      <w:rFonts w:ascii="宋体" w:hAnsi="宋体" w:cs="宋体"/>
                    </w:rPr>
                    <w:t>为采购项目提供整体设计、规范编制或者项目管理、监理、检测等服务的供应商，不得再参加该采购项目的其他采购活动（由供应商在《政府采购应答及履约承诺函》中作出声明）；</w:t>
                  </w:r>
                </w:p>
                <w:p w14:paraId="26AEC4BD">
                  <w:pPr>
                    <w:pStyle w:val="50"/>
                    <w:ind w:firstLine="420" w:firstLineChars="200"/>
                  </w:pPr>
                  <w:r>
                    <w:rPr>
                      <w:rFonts w:hint="eastAsia" w:ascii="宋体" w:hAnsi="宋体" w:cs="宋体"/>
                      <w:color w:val="FF0000"/>
                      <w:kern w:val="0"/>
                      <w:szCs w:val="21"/>
                    </w:rPr>
                    <w:t>8.不同供应商的法定代表人、主要经营负责人、项目投标授权代表人、项目负责人、主要技术人员不得为同一人、属同一单位或者在同一单位缴纳社会保险；不同投标供应商的投标（应答）文件不得由同一单位或者同一人编制；单位负责人为同一人或者存在直接控股、管理关系的不同供应商，不得参加本项目政府采购活动（由供应商填写《供应商基本情况表》相关信息）</w:t>
                  </w:r>
                </w:p>
                <w:p w14:paraId="014BF81A">
                  <w:pPr>
                    <w:keepNext w:val="0"/>
                    <w:keepLines w:val="0"/>
                    <w:pageBreakBefore w:val="0"/>
                    <w:widowControl w:val="0"/>
                    <w:kinsoku/>
                    <w:wordWrap w:val="0"/>
                    <w:overflowPunct/>
                    <w:topLinePunct w:val="0"/>
                    <w:autoSpaceDE/>
                    <w:autoSpaceDN/>
                    <w:bidi w:val="0"/>
                    <w:adjustRightInd/>
                    <w:snapToGrid/>
                    <w:ind w:firstLine="420" w:firstLineChars="200"/>
                    <w:textAlignment w:val="auto"/>
                  </w:pPr>
                  <w:r>
                    <w:rPr>
                      <w:rFonts w:hint="eastAsia" w:ascii="宋体" w:hAnsi="宋体" w:cs="宋体"/>
                      <w:kern w:val="0"/>
                      <w:szCs w:val="21"/>
                    </w:rPr>
                    <w:t>9.本项目全部专门面向中小企业采购：否。</w:t>
                  </w:r>
                </w:p>
                <w:p w14:paraId="2054212A">
                  <w:pPr>
                    <w:keepNext w:val="0"/>
                    <w:keepLines w:val="0"/>
                    <w:pageBreakBefore w:val="0"/>
                    <w:widowControl w:val="0"/>
                    <w:kinsoku/>
                    <w:wordWrap w:val="0"/>
                    <w:overflowPunct/>
                    <w:topLinePunct w:val="0"/>
                    <w:autoSpaceDE/>
                    <w:autoSpaceDN/>
                    <w:bidi w:val="0"/>
                    <w:adjustRightInd/>
                    <w:snapToGrid/>
                    <w:ind w:firstLine="420" w:firstLineChars="200"/>
                    <w:textAlignment w:val="auto"/>
                    <w:rPr>
                      <w:rFonts w:hint="default" w:ascii="宋体" w:hAnsi="宋体" w:eastAsia="宋体" w:cs="宋体"/>
                      <w:kern w:val="0"/>
                      <w:szCs w:val="21"/>
                      <w:lang w:val="en-US" w:eastAsia="zh-CN"/>
                    </w:rPr>
                  </w:pPr>
                </w:p>
                <w:p w14:paraId="1F8F3F9C">
                  <w:pPr>
                    <w:keepNext w:val="0"/>
                    <w:keepLines w:val="0"/>
                    <w:pageBreakBefore w:val="0"/>
                    <w:widowControl w:val="0"/>
                    <w:kinsoku/>
                    <w:wordWrap w:val="0"/>
                    <w:overflowPunct/>
                    <w:topLinePunct w:val="0"/>
                    <w:autoSpaceDE/>
                    <w:autoSpaceDN/>
                    <w:bidi w:val="0"/>
                    <w:adjustRightInd/>
                    <w:snapToGrid/>
                    <w:ind w:firstLine="420" w:firstLineChars="200"/>
                    <w:textAlignment w:val="auto"/>
                    <w:rPr>
                      <w:rFonts w:ascii="宋体" w:hAnsi="宋体" w:cs="宋体"/>
                      <w:kern w:val="0"/>
                      <w:szCs w:val="21"/>
                    </w:rPr>
                  </w:pPr>
                  <w:r>
                    <w:rPr>
                      <w:rFonts w:hint="eastAsia" w:ascii="宋体" w:hAnsi="宋体" w:cs="宋体"/>
                      <w:kern w:val="0"/>
                      <w:szCs w:val="21"/>
                    </w:rPr>
                    <w:t>注：（1）“信用中国”（www.creditchina.gov.cn</w:t>
                  </w:r>
                  <w:r>
                    <w:rPr>
                      <w:rFonts w:hint="eastAsia" w:ascii="宋体" w:hAnsi="宋体" w:cs="宋体"/>
                      <w:kern w:val="0"/>
                      <w:szCs w:val="21"/>
                      <w:lang w:eastAsia="zh-CN"/>
                    </w:rPr>
                    <w:t>，</w:t>
                  </w:r>
                  <w:r>
                    <w:rPr>
                      <w:rFonts w:hint="eastAsia" w:ascii="宋体" w:hAnsi="宋体" w:cs="宋体"/>
                      <w:kern w:val="0"/>
                      <w:szCs w:val="21"/>
                      <w:lang w:val="en-US" w:eastAsia="zh-CN"/>
                    </w:rPr>
                    <w:t>查询</w:t>
                  </w:r>
                  <w:r>
                    <w:rPr>
                      <w:rFonts w:hint="eastAsia" w:ascii="宋体" w:hAnsi="宋体" w:cs="宋体"/>
                      <w:kern w:val="0"/>
                      <w:szCs w:val="21"/>
                    </w:rPr>
                    <w:t>“信用服务”栏的“重大税收违法失信主体”“失信被执行人”</w:t>
                  </w:r>
                  <w:r>
                    <w:rPr>
                      <w:rFonts w:hint="eastAsia" w:ascii="宋体" w:hAnsi="宋体" w:cs="宋体"/>
                      <w:kern w:val="0"/>
                      <w:szCs w:val="21"/>
                      <w:lang w:val="en-US" w:eastAsia="zh-CN"/>
                    </w:rPr>
                    <w:t>或者下载信用信息报告）</w:t>
                  </w:r>
                  <w:r>
                    <w:rPr>
                      <w:rFonts w:hint="eastAsia" w:ascii="宋体" w:hAnsi="宋体" w:cs="宋体"/>
                      <w:kern w:val="0"/>
                      <w:szCs w:val="21"/>
                    </w:rPr>
                    <w:t>，“中国政府采购网”（www.ccgp.gov.cn）中的“政府采购严重违法失信行为记录名单”，以及“深圳市政府采购监管网”（http://zfcg.sz.gov.cn）为供应商信用信息的查询渠道，相关信息以开标当日的查询结果为准；</w:t>
                  </w:r>
                </w:p>
                <w:p w14:paraId="3F36E964">
                  <w:pPr>
                    <w:ind w:firstLine="420" w:firstLineChars="200"/>
                    <w:rPr>
                      <w:rFonts w:ascii="宋体" w:hAnsi="宋体"/>
                    </w:rPr>
                  </w:pPr>
                  <w:r>
                    <w:rPr>
                      <w:rFonts w:hint="eastAsia" w:ascii="宋体" w:hAnsi="宋体"/>
                    </w:rPr>
                    <w:t>（2）供应商投标（上传投标文件）必须先行办理注册手续。</w:t>
                  </w:r>
                </w:p>
                <w:p w14:paraId="7FE84F8F">
                  <w:pPr>
                    <w:spacing w:beforeAutospacing="1" w:afterAutospacing="1"/>
                    <w:ind w:firstLine="442" w:firstLineChars="200"/>
                    <w:rPr>
                      <w:rFonts w:ascii="宋体" w:hAnsi="宋体" w:cs="宋体"/>
                      <w:sz w:val="24"/>
                    </w:rPr>
                  </w:pPr>
                  <w:r>
                    <w:rPr>
                      <w:rFonts w:hint="eastAsia"/>
                      <w:b/>
                      <w:sz w:val="22"/>
                      <w:szCs w:val="18"/>
                      <w:highlight w:val="none"/>
                    </w:rPr>
                    <w:t>完整公告内容详见：深圳公共资源交易网（</w:t>
                  </w:r>
                  <w:r>
                    <w:rPr>
                      <w:b/>
                      <w:sz w:val="22"/>
                      <w:szCs w:val="18"/>
                      <w:highlight w:val="none"/>
                    </w:rPr>
                    <w:t>https://www.szggzy.com</w:t>
                  </w:r>
                  <w:r>
                    <w:rPr>
                      <w:rFonts w:hint="eastAsia"/>
                      <w:b/>
                      <w:sz w:val="22"/>
                      <w:szCs w:val="18"/>
                      <w:highlight w:val="none"/>
                    </w:rPr>
                    <w:t>）</w:t>
                  </w:r>
                </w:p>
              </w:tc>
            </w:tr>
          </w:tbl>
          <w:p w14:paraId="77B8D4B1">
            <w:pPr>
              <w:rPr>
                <w:rFonts w:ascii="宋体" w:hAnsi="宋体" w:cs="宋体"/>
                <w:sz w:val="24"/>
              </w:rPr>
            </w:pPr>
          </w:p>
        </w:tc>
      </w:tr>
    </w:tbl>
    <w:p w14:paraId="71D2C970">
      <w:r>
        <w:rPr>
          <w:rFonts w:hint="eastAsia"/>
        </w:rPr>
        <w:br w:type="page"/>
      </w:r>
    </w:p>
    <w:p w14:paraId="2AAA3BD6">
      <w:pPr>
        <w:pStyle w:val="5"/>
        <w:rPr>
          <w:sz w:val="28"/>
          <w:szCs w:val="28"/>
        </w:rPr>
      </w:pPr>
      <w:r>
        <w:rPr>
          <w:rFonts w:hint="eastAsia"/>
          <w:sz w:val="28"/>
          <w:szCs w:val="28"/>
        </w:rPr>
        <w:t>第二章 对通用条款的补充内容及其他关键信息</w:t>
      </w:r>
    </w:p>
    <w:p w14:paraId="0B006017">
      <w:pPr>
        <w:pStyle w:val="5"/>
        <w:spacing w:before="120" w:beforeLines="50" w:after="120" w:afterLines="50"/>
        <w:rPr>
          <w:rFonts w:hint="eastAsia"/>
          <w:szCs w:val="21"/>
        </w:rPr>
      </w:pPr>
      <w:bookmarkStart w:id="21" w:name="_Toc100052364"/>
      <w:bookmarkStart w:id="22" w:name="_Toc73517639"/>
      <w:bookmarkStart w:id="23" w:name="_Toc60631620"/>
      <w:bookmarkStart w:id="24" w:name="_Toc73521635"/>
      <w:bookmarkStart w:id="25" w:name="_Toc73521547"/>
      <w:bookmarkStart w:id="26" w:name="_Toc60560625"/>
      <w:bookmarkStart w:id="27" w:name="_Toc101074876"/>
      <w:bookmarkStart w:id="28" w:name="_Toc73518117"/>
      <w:r>
        <w:rPr>
          <w:rFonts w:hint="eastAsia"/>
          <w:szCs w:val="24"/>
        </w:rPr>
        <w:t>一、对通用条款的补充内容</w:t>
      </w:r>
      <w:bookmarkEnd w:id="21"/>
      <w:bookmarkEnd w:id="22"/>
      <w:bookmarkEnd w:id="23"/>
      <w:bookmarkEnd w:id="24"/>
      <w:bookmarkEnd w:id="25"/>
      <w:bookmarkEnd w:id="26"/>
      <w:bookmarkEnd w:id="27"/>
      <w:bookmarkEnd w:id="28"/>
    </w:p>
    <w:tbl>
      <w:tblPr>
        <w:tblStyle w:val="42"/>
        <w:tblW w:w="8367"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978"/>
        <w:gridCol w:w="2409"/>
        <w:gridCol w:w="4980"/>
      </w:tblGrid>
      <w:tr w14:paraId="0C55FC8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PrEx>
        <w:trPr>
          <w:cantSplit/>
          <w:trHeight w:val="20" w:hRule="atLeast"/>
          <w:jc w:val="center"/>
        </w:trPr>
        <w:tc>
          <w:tcPr>
            <w:tcW w:w="978" w:type="dxa"/>
            <w:vAlign w:val="center"/>
          </w:tcPr>
          <w:p w14:paraId="012C7AC9">
            <w:pPr>
              <w:jc w:val="center"/>
              <w:rPr>
                <w:rFonts w:ascii="宋体" w:hAnsi="宋体"/>
                <w:b/>
                <w:bCs/>
              </w:rPr>
            </w:pPr>
            <w:r>
              <w:rPr>
                <w:rFonts w:hint="eastAsia" w:ascii="宋体" w:hAnsi="宋体"/>
                <w:b/>
                <w:bCs/>
              </w:rPr>
              <w:t>通用条款序号</w:t>
            </w:r>
          </w:p>
        </w:tc>
        <w:tc>
          <w:tcPr>
            <w:tcW w:w="2409" w:type="dxa"/>
            <w:vAlign w:val="center"/>
          </w:tcPr>
          <w:p w14:paraId="7BCCAE94">
            <w:pPr>
              <w:jc w:val="center"/>
              <w:rPr>
                <w:rFonts w:ascii="宋体" w:hAnsi="宋体"/>
                <w:b/>
                <w:bCs/>
              </w:rPr>
            </w:pPr>
            <w:r>
              <w:rPr>
                <w:rFonts w:hint="eastAsia" w:ascii="宋体" w:hAnsi="宋体"/>
                <w:b/>
                <w:bCs/>
              </w:rPr>
              <w:t>涉及事项</w:t>
            </w:r>
          </w:p>
        </w:tc>
        <w:tc>
          <w:tcPr>
            <w:tcW w:w="4980" w:type="dxa"/>
            <w:vAlign w:val="center"/>
          </w:tcPr>
          <w:p w14:paraId="46F46D51">
            <w:pPr>
              <w:jc w:val="center"/>
              <w:rPr>
                <w:rFonts w:ascii="宋体" w:hAnsi="宋体"/>
                <w:b/>
                <w:bCs/>
              </w:rPr>
            </w:pPr>
            <w:r>
              <w:rPr>
                <w:rFonts w:hint="eastAsia" w:ascii="宋体" w:hAnsi="宋体"/>
                <w:b/>
                <w:bCs/>
              </w:rPr>
              <w:t xml:space="preserve">具 </w:t>
            </w:r>
            <w:r>
              <w:rPr>
                <w:rFonts w:ascii="宋体" w:hAnsi="宋体"/>
                <w:b/>
                <w:bCs/>
              </w:rPr>
              <w:t xml:space="preserve"> </w:t>
            </w:r>
            <w:r>
              <w:rPr>
                <w:rFonts w:hint="eastAsia" w:ascii="宋体" w:hAnsi="宋体"/>
                <w:b/>
                <w:bCs/>
              </w:rPr>
              <w:t xml:space="preserve">体 </w:t>
            </w:r>
            <w:r>
              <w:rPr>
                <w:rFonts w:ascii="宋体" w:hAnsi="宋体"/>
                <w:b/>
                <w:bCs/>
              </w:rPr>
              <w:t xml:space="preserve"> </w:t>
            </w:r>
            <w:r>
              <w:rPr>
                <w:rFonts w:hint="eastAsia" w:ascii="宋体" w:hAnsi="宋体"/>
                <w:b/>
                <w:bCs/>
              </w:rPr>
              <w:t xml:space="preserve">补 </w:t>
            </w:r>
            <w:r>
              <w:rPr>
                <w:rFonts w:ascii="宋体" w:hAnsi="宋体"/>
                <w:b/>
                <w:bCs/>
              </w:rPr>
              <w:t xml:space="preserve"> </w:t>
            </w:r>
            <w:r>
              <w:rPr>
                <w:rFonts w:hint="eastAsia" w:ascii="宋体" w:hAnsi="宋体"/>
                <w:b/>
                <w:bCs/>
              </w:rPr>
              <w:t xml:space="preserve">充 </w:t>
            </w:r>
            <w:r>
              <w:rPr>
                <w:rFonts w:ascii="宋体" w:hAnsi="宋体"/>
                <w:b/>
                <w:bCs/>
              </w:rPr>
              <w:t xml:space="preserve"> </w:t>
            </w:r>
            <w:r>
              <w:rPr>
                <w:rFonts w:hint="eastAsia" w:ascii="宋体" w:hAnsi="宋体"/>
                <w:b/>
                <w:bCs/>
              </w:rPr>
              <w:t xml:space="preserve">内 </w:t>
            </w:r>
            <w:r>
              <w:rPr>
                <w:rFonts w:ascii="宋体" w:hAnsi="宋体"/>
                <w:b/>
                <w:bCs/>
              </w:rPr>
              <w:t xml:space="preserve"> </w:t>
            </w:r>
            <w:r>
              <w:rPr>
                <w:rFonts w:hint="eastAsia" w:ascii="宋体" w:hAnsi="宋体"/>
                <w:b/>
                <w:bCs/>
              </w:rPr>
              <w:t>容</w:t>
            </w:r>
          </w:p>
        </w:tc>
      </w:tr>
      <w:tr w14:paraId="5688422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7A211FB7">
            <w:pPr>
              <w:jc w:val="center"/>
              <w:rPr>
                <w:rFonts w:ascii="宋体" w:hAnsi="宋体"/>
              </w:rPr>
            </w:pPr>
            <w:r>
              <w:rPr>
                <w:rFonts w:hint="eastAsia" w:ascii="宋体" w:hAnsi="宋体"/>
              </w:rPr>
              <w:t>3</w:t>
            </w:r>
            <w:r>
              <w:rPr>
                <w:rFonts w:ascii="宋体" w:hAnsi="宋体"/>
              </w:rPr>
              <w:t>.1</w:t>
            </w:r>
          </w:p>
        </w:tc>
        <w:tc>
          <w:tcPr>
            <w:tcW w:w="2409" w:type="dxa"/>
            <w:vAlign w:val="center"/>
          </w:tcPr>
          <w:p w14:paraId="47BB6A2E">
            <w:pPr>
              <w:jc w:val="center"/>
            </w:pPr>
            <w:r>
              <w:rPr>
                <w:rFonts w:hint="eastAsia"/>
              </w:rPr>
              <w:t>采购人</w:t>
            </w:r>
          </w:p>
        </w:tc>
        <w:tc>
          <w:tcPr>
            <w:tcW w:w="4980" w:type="dxa"/>
            <w:vAlign w:val="center"/>
          </w:tcPr>
          <w:p w14:paraId="2522EC82">
            <w:pPr>
              <w:spacing w:line="300" w:lineRule="exact"/>
              <w:jc w:val="center"/>
              <w:rPr>
                <w:rFonts w:ascii="宋体" w:hAnsi="宋体"/>
              </w:rPr>
            </w:pPr>
            <w:r>
              <w:rPr>
                <w:rFonts w:hint="eastAsia" w:ascii="宋体" w:hAnsi="宋体"/>
                <w:szCs w:val="21"/>
              </w:rPr>
              <w:t>深圳市福田区教育科学研究院</w:t>
            </w:r>
          </w:p>
        </w:tc>
      </w:tr>
      <w:tr w14:paraId="261582E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3404509C">
            <w:pPr>
              <w:jc w:val="center"/>
              <w:rPr>
                <w:rFonts w:ascii="宋体" w:hAnsi="宋体"/>
              </w:rPr>
            </w:pPr>
            <w:r>
              <w:rPr>
                <w:rFonts w:hint="eastAsia" w:ascii="宋体" w:hAnsi="宋体"/>
              </w:rPr>
              <w:t>3</w:t>
            </w:r>
            <w:r>
              <w:rPr>
                <w:rFonts w:ascii="宋体" w:hAnsi="宋体"/>
              </w:rPr>
              <w:t>.2</w:t>
            </w:r>
          </w:p>
        </w:tc>
        <w:tc>
          <w:tcPr>
            <w:tcW w:w="2409" w:type="dxa"/>
            <w:vAlign w:val="center"/>
          </w:tcPr>
          <w:p w14:paraId="3B65B395">
            <w:pPr>
              <w:jc w:val="center"/>
              <w:rPr>
                <w:rFonts w:ascii="宋体" w:hAnsi="宋体"/>
              </w:rPr>
            </w:pPr>
            <w:r>
              <w:rPr>
                <w:rFonts w:hint="eastAsia" w:ascii="宋体" w:hAnsi="宋体"/>
              </w:rPr>
              <w:t>政府集中采购机构</w:t>
            </w:r>
          </w:p>
        </w:tc>
        <w:tc>
          <w:tcPr>
            <w:tcW w:w="4980" w:type="dxa"/>
            <w:vAlign w:val="center"/>
          </w:tcPr>
          <w:p w14:paraId="0CAE2D9F">
            <w:pPr>
              <w:spacing w:line="300" w:lineRule="exact"/>
              <w:jc w:val="center"/>
              <w:rPr>
                <w:rFonts w:ascii="宋体" w:hAnsi="宋体" w:cs="宋体"/>
                <w:szCs w:val="21"/>
              </w:rPr>
            </w:pPr>
            <w:r>
              <w:rPr>
                <w:rFonts w:hint="eastAsia" w:ascii="宋体" w:hAnsi="宋体" w:cs="宋体"/>
                <w:szCs w:val="21"/>
              </w:rPr>
              <w:t>深圳公共资源交易中心</w:t>
            </w:r>
          </w:p>
          <w:p w14:paraId="233D7E00">
            <w:pPr>
              <w:spacing w:line="300" w:lineRule="exact"/>
              <w:jc w:val="center"/>
              <w:rPr>
                <w:rFonts w:ascii="宋体" w:hAnsi="宋体"/>
              </w:rPr>
            </w:pPr>
            <w:r>
              <w:rPr>
                <w:rFonts w:hint="eastAsia" w:ascii="宋体" w:hAnsi="宋体" w:cs="宋体"/>
                <w:szCs w:val="21"/>
              </w:rPr>
              <w:t>（</w:t>
            </w:r>
            <w:r>
              <w:rPr>
                <w:rFonts w:hint="eastAsia" w:ascii="宋体" w:hAnsi="宋体" w:cs="宋体"/>
                <w:color w:val="0000FF"/>
                <w:szCs w:val="21"/>
              </w:rPr>
              <w:t>深圳交易集团有限公司福田分公司</w:t>
            </w:r>
            <w:r>
              <w:rPr>
                <w:rFonts w:hint="eastAsia" w:ascii="宋体" w:hAnsi="宋体" w:cs="宋体"/>
                <w:szCs w:val="21"/>
              </w:rPr>
              <w:t>）</w:t>
            </w:r>
          </w:p>
        </w:tc>
      </w:tr>
      <w:tr w14:paraId="3603327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42332FA9">
            <w:pPr>
              <w:jc w:val="center"/>
              <w:rPr>
                <w:rFonts w:ascii="宋体" w:hAnsi="宋体"/>
              </w:rPr>
            </w:pPr>
            <w:r>
              <w:rPr>
                <w:rFonts w:hint="eastAsia" w:ascii="宋体" w:hAnsi="宋体"/>
              </w:rPr>
              <w:t>9</w:t>
            </w:r>
          </w:p>
        </w:tc>
        <w:tc>
          <w:tcPr>
            <w:tcW w:w="2409" w:type="dxa"/>
            <w:vAlign w:val="center"/>
          </w:tcPr>
          <w:p w14:paraId="3EFCD7DD">
            <w:pPr>
              <w:jc w:val="center"/>
              <w:rPr>
                <w:rFonts w:ascii="宋体" w:hAnsi="宋体"/>
              </w:rPr>
            </w:pPr>
            <w:r>
              <w:rPr>
                <w:rFonts w:hint="eastAsia" w:ascii="宋体" w:hAnsi="宋体"/>
              </w:rPr>
              <w:t>踏勘现场</w:t>
            </w:r>
          </w:p>
        </w:tc>
        <w:tc>
          <w:tcPr>
            <w:tcW w:w="4980" w:type="dxa"/>
            <w:vAlign w:val="center"/>
          </w:tcPr>
          <w:p w14:paraId="6E00EDD1">
            <w:pPr>
              <w:spacing w:line="300" w:lineRule="exact"/>
              <w:jc w:val="center"/>
              <w:rPr>
                <w:rFonts w:ascii="宋体" w:hAnsi="宋体" w:cs="宋体"/>
                <w:szCs w:val="21"/>
              </w:rPr>
            </w:pPr>
            <w:r>
              <w:rPr>
                <w:rFonts w:hint="eastAsia" w:ascii="宋体" w:hAnsi="宋体" w:cs="宋体"/>
                <w:szCs w:val="21"/>
              </w:rPr>
              <w:sym w:font="Wingdings 2" w:char="0052"/>
            </w:r>
            <w:r>
              <w:rPr>
                <w:rFonts w:hint="eastAsia" w:ascii="宋体" w:hAnsi="宋体" w:cs="宋体"/>
                <w:szCs w:val="21"/>
              </w:rPr>
              <w:t xml:space="preserve">不组织   </w:t>
            </w:r>
            <w:r>
              <w:rPr>
                <w:rFonts w:hint="eastAsia" w:ascii="宋体" w:hAnsi="宋体" w:cs="宋体"/>
                <w:szCs w:val="21"/>
              </w:rPr>
              <w:sym w:font="Wingdings 2" w:char="00A3"/>
            </w:r>
            <w:r>
              <w:rPr>
                <w:rFonts w:hint="eastAsia" w:ascii="宋体" w:hAnsi="宋体" w:cs="宋体"/>
                <w:szCs w:val="21"/>
              </w:rPr>
              <w:t>组织</w:t>
            </w:r>
          </w:p>
          <w:p w14:paraId="23A6AC74">
            <w:pPr>
              <w:spacing w:line="300" w:lineRule="exact"/>
              <w:jc w:val="center"/>
              <w:rPr>
                <w:rFonts w:ascii="宋体" w:hAnsi="宋体"/>
              </w:rPr>
            </w:pPr>
            <w:r>
              <w:rPr>
                <w:rFonts w:hint="eastAsia" w:ascii="宋体" w:hAnsi="宋体" w:cs="宋体"/>
                <w:szCs w:val="21"/>
              </w:rPr>
              <w:t>具体见其他关键信息章节</w:t>
            </w:r>
          </w:p>
        </w:tc>
      </w:tr>
      <w:tr w14:paraId="07C8583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5B9C7974">
            <w:pPr>
              <w:jc w:val="center"/>
              <w:rPr>
                <w:rFonts w:ascii="宋体" w:hAnsi="宋体"/>
              </w:rPr>
            </w:pPr>
            <w:r>
              <w:rPr>
                <w:rFonts w:hint="eastAsia" w:ascii="宋体" w:hAnsi="宋体"/>
              </w:rPr>
              <w:t>1</w:t>
            </w:r>
            <w:r>
              <w:rPr>
                <w:rFonts w:ascii="宋体" w:hAnsi="宋体"/>
              </w:rPr>
              <w:t>0</w:t>
            </w:r>
          </w:p>
        </w:tc>
        <w:tc>
          <w:tcPr>
            <w:tcW w:w="2409" w:type="dxa"/>
            <w:vAlign w:val="center"/>
          </w:tcPr>
          <w:p w14:paraId="03EDC83B">
            <w:pPr>
              <w:jc w:val="center"/>
              <w:rPr>
                <w:rFonts w:ascii="宋体" w:hAnsi="宋体"/>
              </w:rPr>
            </w:pPr>
            <w:r>
              <w:rPr>
                <w:rFonts w:hint="eastAsia" w:ascii="宋体" w:hAnsi="宋体"/>
              </w:rPr>
              <w:t>标前会议</w:t>
            </w:r>
          </w:p>
        </w:tc>
        <w:tc>
          <w:tcPr>
            <w:tcW w:w="4980" w:type="dxa"/>
            <w:vAlign w:val="center"/>
          </w:tcPr>
          <w:p w14:paraId="52882888">
            <w:pPr>
              <w:spacing w:line="300" w:lineRule="exact"/>
              <w:jc w:val="center"/>
              <w:rPr>
                <w:rFonts w:ascii="宋体" w:hAnsi="宋体" w:cs="宋体"/>
                <w:szCs w:val="21"/>
              </w:rPr>
            </w:pPr>
            <w:r>
              <w:rPr>
                <w:rFonts w:hint="eastAsia" w:ascii="宋体" w:hAnsi="宋体" w:cs="宋体"/>
                <w:szCs w:val="21"/>
              </w:rPr>
              <w:sym w:font="Wingdings 2" w:char="0052"/>
            </w:r>
            <w:r>
              <w:rPr>
                <w:rFonts w:hint="eastAsia" w:ascii="宋体" w:hAnsi="宋体" w:cs="宋体"/>
                <w:szCs w:val="21"/>
              </w:rPr>
              <w:t xml:space="preserve">不组织   </w:t>
            </w:r>
            <w:r>
              <w:rPr>
                <w:rFonts w:hint="eastAsia" w:ascii="宋体" w:hAnsi="宋体" w:cs="宋体"/>
                <w:szCs w:val="21"/>
              </w:rPr>
              <w:sym w:font="Wingdings 2" w:char="00A3"/>
            </w:r>
            <w:r>
              <w:rPr>
                <w:rFonts w:hint="eastAsia" w:ascii="宋体" w:hAnsi="宋体" w:cs="宋体"/>
                <w:szCs w:val="21"/>
              </w:rPr>
              <w:t>组织</w:t>
            </w:r>
          </w:p>
          <w:p w14:paraId="58203C8C">
            <w:pPr>
              <w:spacing w:line="300" w:lineRule="exact"/>
              <w:jc w:val="center"/>
              <w:rPr>
                <w:rFonts w:ascii="宋体" w:hAnsi="宋体"/>
              </w:rPr>
            </w:pPr>
            <w:r>
              <w:rPr>
                <w:rFonts w:hint="eastAsia" w:ascii="宋体" w:hAnsi="宋体" w:cs="宋体"/>
                <w:szCs w:val="21"/>
              </w:rPr>
              <w:t>具体见其他关键信息章节</w:t>
            </w:r>
          </w:p>
        </w:tc>
      </w:tr>
      <w:tr w14:paraId="67FAE62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689BEDD9">
            <w:pPr>
              <w:jc w:val="center"/>
              <w:rPr>
                <w:rFonts w:ascii="宋体" w:hAnsi="宋体"/>
              </w:rPr>
            </w:pPr>
            <w:r>
              <w:rPr>
                <w:rFonts w:hint="eastAsia" w:ascii="宋体" w:hAnsi="宋体"/>
              </w:rPr>
              <w:t>1</w:t>
            </w:r>
            <w:r>
              <w:rPr>
                <w:rFonts w:ascii="宋体" w:hAnsi="宋体"/>
              </w:rPr>
              <w:t>2</w:t>
            </w:r>
            <w:r>
              <w:rPr>
                <w:rFonts w:hint="eastAsia" w:ascii="宋体" w:hAnsi="宋体"/>
              </w:rPr>
              <w:t>/1</w:t>
            </w:r>
            <w:r>
              <w:rPr>
                <w:rFonts w:ascii="宋体" w:hAnsi="宋体"/>
              </w:rPr>
              <w:t>3</w:t>
            </w:r>
          </w:p>
        </w:tc>
        <w:tc>
          <w:tcPr>
            <w:tcW w:w="2409" w:type="dxa"/>
            <w:vAlign w:val="center"/>
          </w:tcPr>
          <w:p w14:paraId="68A3CB31">
            <w:pPr>
              <w:jc w:val="center"/>
              <w:rPr>
                <w:rFonts w:ascii="宋体" w:hAnsi="宋体"/>
              </w:rPr>
            </w:pPr>
            <w:r>
              <w:rPr>
                <w:rFonts w:hint="eastAsia" w:ascii="宋体" w:hAnsi="宋体"/>
              </w:rPr>
              <w:t>招标文件的澄清和修改</w:t>
            </w:r>
          </w:p>
        </w:tc>
        <w:tc>
          <w:tcPr>
            <w:tcW w:w="4980" w:type="dxa"/>
            <w:vAlign w:val="center"/>
          </w:tcPr>
          <w:p w14:paraId="11716209">
            <w:pPr>
              <w:spacing w:line="300" w:lineRule="exact"/>
              <w:jc w:val="left"/>
              <w:rPr>
                <w:rFonts w:ascii="宋体" w:hAnsi="宋体"/>
              </w:rPr>
            </w:pPr>
            <w:r>
              <w:rPr>
                <w:rFonts w:hint="eastAsia" w:ascii="宋体" w:hAnsi="宋体" w:cs="宋体"/>
                <w:szCs w:val="21"/>
              </w:rPr>
              <w:t>投标截止日三日前，投标人有义务在招标期间在政府集中采购机构网站浏览与本项目有关的澄清和修改信息</w:t>
            </w:r>
          </w:p>
        </w:tc>
      </w:tr>
      <w:tr w14:paraId="130D457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42185C40">
            <w:pPr>
              <w:jc w:val="center"/>
              <w:rPr>
                <w:rFonts w:ascii="宋体" w:hAnsi="宋体"/>
              </w:rPr>
            </w:pPr>
            <w:r>
              <w:rPr>
                <w:rFonts w:hint="eastAsia" w:ascii="宋体" w:hAnsi="宋体"/>
              </w:rPr>
              <w:t>2</w:t>
            </w:r>
            <w:r>
              <w:rPr>
                <w:rFonts w:ascii="宋体" w:hAnsi="宋体"/>
              </w:rPr>
              <w:t>0</w:t>
            </w:r>
          </w:p>
        </w:tc>
        <w:tc>
          <w:tcPr>
            <w:tcW w:w="2409" w:type="dxa"/>
            <w:vAlign w:val="center"/>
          </w:tcPr>
          <w:p w14:paraId="7E3547F0">
            <w:pPr>
              <w:jc w:val="center"/>
              <w:rPr>
                <w:rFonts w:ascii="宋体" w:hAnsi="宋体"/>
              </w:rPr>
            </w:pPr>
            <w:r>
              <w:rPr>
                <w:rFonts w:hint="eastAsia" w:ascii="宋体" w:hAnsi="宋体"/>
              </w:rPr>
              <w:t>投标有效期</w:t>
            </w:r>
          </w:p>
        </w:tc>
        <w:tc>
          <w:tcPr>
            <w:tcW w:w="4980" w:type="dxa"/>
            <w:vAlign w:val="center"/>
          </w:tcPr>
          <w:p w14:paraId="12B77751">
            <w:pPr>
              <w:spacing w:line="300" w:lineRule="exact"/>
              <w:jc w:val="center"/>
              <w:rPr>
                <w:rFonts w:ascii="宋体" w:hAnsi="宋体"/>
              </w:rPr>
            </w:pPr>
            <w:r>
              <w:rPr>
                <w:rFonts w:hint="eastAsia" w:ascii="宋体" w:hAnsi="宋体" w:cs="宋体"/>
                <w:szCs w:val="21"/>
              </w:rPr>
              <w:t>120个日历日</w:t>
            </w:r>
          </w:p>
        </w:tc>
      </w:tr>
      <w:tr w14:paraId="1E5C0BD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22831739">
            <w:pPr>
              <w:jc w:val="center"/>
              <w:rPr>
                <w:rFonts w:ascii="宋体" w:hAnsi="宋体"/>
              </w:rPr>
            </w:pPr>
            <w:r>
              <w:rPr>
                <w:rFonts w:hint="eastAsia" w:ascii="宋体" w:hAnsi="宋体"/>
              </w:rPr>
              <w:t>2</w:t>
            </w:r>
            <w:r>
              <w:rPr>
                <w:rFonts w:ascii="宋体" w:hAnsi="宋体"/>
              </w:rPr>
              <w:t>2</w:t>
            </w:r>
          </w:p>
        </w:tc>
        <w:tc>
          <w:tcPr>
            <w:tcW w:w="2409" w:type="dxa"/>
            <w:vAlign w:val="center"/>
          </w:tcPr>
          <w:p w14:paraId="2D4EE466">
            <w:pPr>
              <w:jc w:val="center"/>
              <w:rPr>
                <w:rFonts w:ascii="宋体" w:hAnsi="宋体"/>
              </w:rPr>
            </w:pPr>
            <w:r>
              <w:rPr>
                <w:rFonts w:hint="eastAsia" w:ascii="宋体" w:hAnsi="宋体"/>
              </w:rPr>
              <w:t>投标人的替代方案</w:t>
            </w:r>
          </w:p>
        </w:tc>
        <w:tc>
          <w:tcPr>
            <w:tcW w:w="4980" w:type="dxa"/>
            <w:vAlign w:val="center"/>
          </w:tcPr>
          <w:p w14:paraId="04948FC2">
            <w:pPr>
              <w:spacing w:line="300" w:lineRule="exact"/>
              <w:jc w:val="center"/>
              <w:rPr>
                <w:rFonts w:ascii="宋体" w:hAnsi="宋体"/>
              </w:rPr>
            </w:pPr>
            <w:r>
              <w:rPr>
                <w:rFonts w:hint="eastAsia" w:ascii="宋体" w:hAnsi="宋体" w:cs="宋体"/>
                <w:szCs w:val="21"/>
              </w:rPr>
              <w:t>不接受</w:t>
            </w:r>
          </w:p>
        </w:tc>
      </w:tr>
      <w:tr w14:paraId="5B8DF45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59E08AEB">
            <w:pPr>
              <w:jc w:val="center"/>
              <w:rPr>
                <w:rFonts w:ascii="宋体" w:hAnsi="宋体"/>
              </w:rPr>
            </w:pPr>
            <w:r>
              <w:rPr>
                <w:rFonts w:hint="eastAsia" w:ascii="宋体" w:hAnsi="宋体"/>
              </w:rPr>
              <w:t>2</w:t>
            </w:r>
            <w:r>
              <w:rPr>
                <w:rFonts w:ascii="宋体" w:hAnsi="宋体"/>
              </w:rPr>
              <w:t>5</w:t>
            </w:r>
          </w:p>
        </w:tc>
        <w:tc>
          <w:tcPr>
            <w:tcW w:w="2409" w:type="dxa"/>
            <w:vAlign w:val="center"/>
          </w:tcPr>
          <w:p w14:paraId="6BA89686">
            <w:pPr>
              <w:jc w:val="center"/>
              <w:rPr>
                <w:rFonts w:ascii="宋体" w:hAnsi="宋体"/>
              </w:rPr>
            </w:pPr>
            <w:r>
              <w:rPr>
                <w:rFonts w:hint="eastAsia" w:ascii="宋体" w:hAnsi="宋体"/>
              </w:rPr>
              <w:t>投标文件的大小</w:t>
            </w:r>
          </w:p>
        </w:tc>
        <w:tc>
          <w:tcPr>
            <w:tcW w:w="4980" w:type="dxa"/>
            <w:vAlign w:val="center"/>
          </w:tcPr>
          <w:p w14:paraId="00ACA896">
            <w:pPr>
              <w:spacing w:line="300" w:lineRule="exact"/>
              <w:jc w:val="center"/>
              <w:rPr>
                <w:rFonts w:ascii="宋体" w:hAnsi="宋体"/>
              </w:rPr>
            </w:pPr>
            <w:r>
              <w:rPr>
                <w:rFonts w:hint="eastAsia" w:ascii="宋体" w:hAnsi="宋体" w:cs="宋体"/>
                <w:szCs w:val="21"/>
              </w:rPr>
              <w:t>投标文件大小不得超过100MB</w:t>
            </w:r>
          </w:p>
        </w:tc>
      </w:tr>
      <w:tr w14:paraId="5F792D8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43D05270">
            <w:pPr>
              <w:jc w:val="center"/>
              <w:rPr>
                <w:rFonts w:ascii="宋体" w:hAnsi="宋体"/>
              </w:rPr>
            </w:pPr>
            <w:r>
              <w:rPr>
                <w:rFonts w:hint="eastAsia" w:ascii="宋体" w:hAnsi="宋体"/>
              </w:rPr>
              <w:t>2</w:t>
            </w:r>
            <w:r>
              <w:rPr>
                <w:rFonts w:ascii="宋体" w:hAnsi="宋体"/>
              </w:rPr>
              <w:t>6</w:t>
            </w:r>
          </w:p>
        </w:tc>
        <w:tc>
          <w:tcPr>
            <w:tcW w:w="2409" w:type="dxa"/>
            <w:vAlign w:val="center"/>
          </w:tcPr>
          <w:p w14:paraId="5804F9AC">
            <w:pPr>
              <w:jc w:val="center"/>
              <w:rPr>
                <w:rFonts w:ascii="宋体" w:hAnsi="宋体"/>
              </w:rPr>
            </w:pPr>
            <w:r>
              <w:rPr>
                <w:rFonts w:hint="eastAsia" w:ascii="宋体" w:hAnsi="宋体"/>
              </w:rPr>
              <w:t>样品、现场演示、方案讲解</w:t>
            </w:r>
          </w:p>
        </w:tc>
        <w:tc>
          <w:tcPr>
            <w:tcW w:w="4980" w:type="dxa"/>
            <w:vAlign w:val="center"/>
          </w:tcPr>
          <w:p w14:paraId="37BF31E6">
            <w:pPr>
              <w:spacing w:line="300" w:lineRule="exact"/>
              <w:jc w:val="left"/>
              <w:rPr>
                <w:rFonts w:ascii="宋体" w:hAnsi="宋体"/>
              </w:rPr>
            </w:pPr>
            <w:r>
              <w:rPr>
                <w:rFonts w:hint="eastAsia" w:ascii="宋体" w:hAnsi="宋体" w:cs="宋体"/>
                <w:szCs w:val="21"/>
              </w:rPr>
              <w:t>如有样品、演示、方案讲解，具体安排见第三章 用户需求书相关要求</w:t>
            </w:r>
          </w:p>
        </w:tc>
      </w:tr>
      <w:tr w14:paraId="2ED4B8F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5E34F85F">
            <w:pPr>
              <w:jc w:val="center"/>
              <w:rPr>
                <w:rFonts w:ascii="宋体" w:hAnsi="宋体"/>
              </w:rPr>
            </w:pPr>
            <w:r>
              <w:rPr>
                <w:rFonts w:hint="eastAsia" w:ascii="宋体" w:hAnsi="宋体"/>
              </w:rPr>
              <w:t>3</w:t>
            </w:r>
            <w:r>
              <w:rPr>
                <w:rFonts w:ascii="宋体" w:hAnsi="宋体"/>
              </w:rPr>
              <w:t>7</w:t>
            </w:r>
          </w:p>
        </w:tc>
        <w:tc>
          <w:tcPr>
            <w:tcW w:w="2409" w:type="dxa"/>
            <w:vAlign w:val="center"/>
          </w:tcPr>
          <w:p w14:paraId="33CC0CAD">
            <w:pPr>
              <w:jc w:val="center"/>
              <w:rPr>
                <w:rFonts w:ascii="宋体" w:hAnsi="宋体"/>
              </w:rPr>
            </w:pPr>
            <w:r>
              <w:rPr>
                <w:rFonts w:hint="eastAsia" w:ascii="宋体" w:hAnsi="宋体"/>
              </w:rPr>
              <w:t>评审方法</w:t>
            </w:r>
          </w:p>
        </w:tc>
        <w:tc>
          <w:tcPr>
            <w:tcW w:w="4980" w:type="dxa"/>
            <w:vAlign w:val="center"/>
          </w:tcPr>
          <w:p w14:paraId="6845E092">
            <w:pPr>
              <w:spacing w:line="300" w:lineRule="exact"/>
              <w:jc w:val="left"/>
              <w:rPr>
                <w:rFonts w:ascii="宋体" w:hAnsi="宋体"/>
              </w:rPr>
            </w:pPr>
            <w:r>
              <w:rPr>
                <w:rFonts w:hint="eastAsia" w:ascii="宋体" w:hAnsi="宋体" w:cs="宋体"/>
                <w:bCs/>
                <w:szCs w:val="21"/>
              </w:rPr>
              <w:t>综合评分法</w:t>
            </w:r>
          </w:p>
        </w:tc>
      </w:tr>
      <w:tr w14:paraId="46A969B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570" w:hRule="atLeast"/>
          <w:jc w:val="center"/>
        </w:trPr>
        <w:tc>
          <w:tcPr>
            <w:tcW w:w="978" w:type="dxa"/>
            <w:vMerge w:val="restart"/>
            <w:vAlign w:val="center"/>
          </w:tcPr>
          <w:p w14:paraId="0A88F3D0">
            <w:pPr>
              <w:jc w:val="center"/>
              <w:rPr>
                <w:rFonts w:ascii="宋体" w:hAnsi="宋体"/>
              </w:rPr>
            </w:pPr>
            <w:r>
              <w:rPr>
                <w:rFonts w:hint="eastAsia" w:ascii="宋体" w:hAnsi="宋体"/>
              </w:rPr>
              <w:t>3</w:t>
            </w:r>
            <w:r>
              <w:rPr>
                <w:rFonts w:ascii="宋体" w:hAnsi="宋体"/>
              </w:rPr>
              <w:t>8</w:t>
            </w:r>
          </w:p>
        </w:tc>
        <w:tc>
          <w:tcPr>
            <w:tcW w:w="2409" w:type="dxa"/>
            <w:vMerge w:val="restart"/>
            <w:vAlign w:val="center"/>
          </w:tcPr>
          <w:p w14:paraId="08072254">
            <w:pPr>
              <w:jc w:val="center"/>
              <w:rPr>
                <w:rFonts w:ascii="宋体" w:hAnsi="宋体"/>
              </w:rPr>
            </w:pPr>
            <w:r>
              <w:rPr>
                <w:rFonts w:hint="eastAsia" w:ascii="宋体" w:hAnsi="宋体"/>
              </w:rPr>
              <w:t>定标方法</w:t>
            </w:r>
          </w:p>
        </w:tc>
        <w:tc>
          <w:tcPr>
            <w:tcW w:w="4980" w:type="dxa"/>
            <w:vAlign w:val="center"/>
          </w:tcPr>
          <w:p w14:paraId="54FBFF7F">
            <w:pPr>
              <w:spacing w:line="300" w:lineRule="exact"/>
              <w:jc w:val="left"/>
              <w:rPr>
                <w:rFonts w:ascii="宋体" w:hAnsi="宋体"/>
                <w:highlight w:val="none"/>
              </w:rPr>
            </w:pPr>
            <w:r>
              <w:rPr>
                <w:rFonts w:hint="eastAsia" w:ascii="宋体" w:hAnsi="宋体" w:cs="宋体"/>
                <w:bCs/>
                <w:szCs w:val="21"/>
                <w:highlight w:val="none"/>
              </w:rPr>
              <w:t>非评定分离</w:t>
            </w:r>
          </w:p>
        </w:tc>
      </w:tr>
      <w:tr w14:paraId="7A57354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570" w:hRule="atLeast"/>
          <w:jc w:val="center"/>
        </w:trPr>
        <w:tc>
          <w:tcPr>
            <w:tcW w:w="978" w:type="dxa"/>
            <w:vAlign w:val="center"/>
          </w:tcPr>
          <w:p w14:paraId="707FE0D5">
            <w:pPr>
              <w:jc w:val="center"/>
              <w:rPr>
                <w:rFonts w:ascii="宋体" w:hAnsi="宋体"/>
              </w:rPr>
            </w:pPr>
            <w:r>
              <w:rPr>
                <w:rFonts w:hint="eastAsia" w:ascii="宋体" w:hAnsi="宋体"/>
              </w:rPr>
              <w:t>4</w:t>
            </w:r>
            <w:r>
              <w:rPr>
                <w:rFonts w:ascii="宋体" w:hAnsi="宋体"/>
              </w:rPr>
              <w:t>6</w:t>
            </w:r>
          </w:p>
        </w:tc>
        <w:tc>
          <w:tcPr>
            <w:tcW w:w="2409" w:type="dxa"/>
            <w:vAlign w:val="center"/>
          </w:tcPr>
          <w:p w14:paraId="150F79B7">
            <w:pPr>
              <w:jc w:val="center"/>
              <w:rPr>
                <w:rFonts w:ascii="宋体" w:hAnsi="宋体"/>
              </w:rPr>
            </w:pPr>
            <w:r>
              <w:rPr>
                <w:rFonts w:hint="eastAsia" w:ascii="宋体" w:hAnsi="宋体"/>
              </w:rPr>
              <w:t>履约担保</w:t>
            </w:r>
          </w:p>
        </w:tc>
        <w:tc>
          <w:tcPr>
            <w:tcW w:w="4980" w:type="dxa"/>
            <w:vAlign w:val="center"/>
          </w:tcPr>
          <w:p w14:paraId="7025BADA">
            <w:pPr>
              <w:spacing w:line="300" w:lineRule="exact"/>
              <w:jc w:val="left"/>
              <w:rPr>
                <w:rFonts w:ascii="宋体" w:hAnsi="宋体"/>
              </w:rPr>
            </w:pPr>
            <w:r>
              <w:rPr>
                <w:rFonts w:hint="eastAsia" w:ascii="宋体" w:hAnsi="宋体" w:cs="宋体"/>
                <w:bCs/>
                <w:szCs w:val="21"/>
              </w:rPr>
              <w:t>不需要</w:t>
            </w:r>
          </w:p>
        </w:tc>
      </w:tr>
      <w:tr w14:paraId="7F3F00D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7ED3FFF8">
            <w:pPr>
              <w:jc w:val="center"/>
              <w:rPr>
                <w:rFonts w:hint="eastAsia" w:ascii="宋体" w:hAnsi="宋体" w:eastAsia="宋体" w:cs="宋体"/>
                <w:kern w:val="2"/>
                <w:sz w:val="21"/>
                <w:szCs w:val="24"/>
                <w:lang w:val="en-US" w:eastAsia="zh-CN" w:bidi="ar-SA"/>
              </w:rPr>
            </w:pPr>
            <w:r>
              <w:rPr>
                <w:rFonts w:hint="eastAsia" w:ascii="宋体" w:hAnsi="宋体" w:cs="宋体"/>
              </w:rPr>
              <w:t>52.8</w:t>
            </w:r>
          </w:p>
        </w:tc>
        <w:tc>
          <w:tcPr>
            <w:tcW w:w="2409" w:type="dxa"/>
            <w:vAlign w:val="center"/>
          </w:tcPr>
          <w:p w14:paraId="19260E57">
            <w:pPr>
              <w:jc w:val="center"/>
              <w:rPr>
                <w:rFonts w:hint="eastAsia" w:ascii="宋体" w:hAnsi="宋体" w:eastAsia="宋体" w:cs="宋体"/>
                <w:kern w:val="2"/>
                <w:sz w:val="21"/>
                <w:szCs w:val="24"/>
                <w:lang w:val="en-US" w:eastAsia="zh-CN" w:bidi="ar-SA"/>
              </w:rPr>
            </w:pPr>
            <w:r>
              <w:rPr>
                <w:rFonts w:hint="eastAsia" w:ascii="宋体" w:hAnsi="宋体" w:cs="宋体"/>
              </w:rPr>
              <w:t>投诉</w:t>
            </w:r>
          </w:p>
        </w:tc>
        <w:tc>
          <w:tcPr>
            <w:tcW w:w="4980" w:type="dxa"/>
            <w:vAlign w:val="center"/>
          </w:tcPr>
          <w:p w14:paraId="590476AC">
            <w:pPr>
              <w:jc w:val="left"/>
              <w:rPr>
                <w:rFonts w:hint="eastAsia" w:ascii="宋体" w:hAnsi="宋体" w:eastAsia="宋体" w:cs="宋体"/>
                <w:bCs/>
                <w:kern w:val="2"/>
                <w:sz w:val="21"/>
                <w:szCs w:val="21"/>
                <w:lang w:val="en-US" w:eastAsia="zh-CN" w:bidi="ar-SA"/>
              </w:rPr>
            </w:pPr>
            <w:r>
              <w:rPr>
                <w:rFonts w:hint="eastAsia" w:ascii="宋体" w:hAnsi="宋体" w:cs="宋体"/>
                <w:color w:val="0000FF"/>
              </w:rPr>
              <w:t>本项目为自行采购项目，提出质疑的供应商对质疑答复不满意或者未在规定时间内答复的，可以在答复期满后7个工作日内向采购人投诉。</w:t>
            </w:r>
          </w:p>
        </w:tc>
      </w:tr>
    </w:tbl>
    <w:p w14:paraId="38AC7938">
      <w:pPr>
        <w:pStyle w:val="9"/>
        <w:rPr>
          <w:rFonts w:hint="eastAsia"/>
        </w:rPr>
      </w:pPr>
    </w:p>
    <w:p w14:paraId="09E122F9">
      <w:pPr>
        <w:rPr>
          <w:b/>
        </w:rPr>
      </w:pPr>
      <w:r>
        <w:rPr>
          <w:rFonts w:hint="eastAsia"/>
          <w:szCs w:val="21"/>
        </w:rPr>
        <w:t>备注：本表是通用条款相关条款的补充和明确，如与通用条款内容相冲突的，以本表为准。</w:t>
      </w:r>
    </w:p>
    <w:p w14:paraId="5D1705CD">
      <w:pPr>
        <w:rPr>
          <w:b/>
        </w:rPr>
      </w:pPr>
    </w:p>
    <w:p w14:paraId="6EE4F7C7">
      <w:pPr>
        <w:pStyle w:val="5"/>
        <w:spacing w:before="120" w:beforeLines="50" w:after="120" w:afterLines="50"/>
        <w:rPr>
          <w:szCs w:val="24"/>
        </w:rPr>
      </w:pPr>
      <w:r>
        <w:rPr>
          <w:rFonts w:hint="eastAsia"/>
          <w:szCs w:val="24"/>
        </w:rPr>
        <w:t>二、其他关键信息</w:t>
      </w:r>
    </w:p>
    <w:p w14:paraId="28E5C821">
      <w:pPr>
        <w:ind w:firstLine="422" w:firstLineChars="200"/>
        <w:rPr>
          <w:b/>
          <w:bCs/>
        </w:rPr>
      </w:pPr>
      <w:r>
        <w:rPr>
          <w:rFonts w:hint="eastAsia"/>
          <w:b/>
          <w:bCs/>
        </w:rPr>
        <w:t>（一）与“对通用条款的补充内容”章节相关的事项</w:t>
      </w:r>
    </w:p>
    <w:p w14:paraId="58BFFAE6">
      <w:pPr>
        <w:jc w:val="center"/>
      </w:pPr>
      <w:bookmarkStart w:id="29" w:name="_Hlk72579465"/>
      <w:r>
        <w:rPr>
          <w:rFonts w:hint="eastAsia" w:asciiTheme="minorEastAsia" w:hAnsiTheme="minorEastAsia" w:eastAsiaTheme="minorEastAsia"/>
          <w:b/>
          <w:kern w:val="0"/>
          <w:szCs w:val="20"/>
        </w:rPr>
        <w:t>1</w:t>
      </w:r>
      <w:r>
        <w:rPr>
          <w:rFonts w:hint="eastAsia" w:asciiTheme="minorEastAsia" w:hAnsiTheme="minorEastAsia" w:eastAsiaTheme="minorEastAsia"/>
          <w:b/>
          <w:kern w:val="0"/>
          <w:szCs w:val="20"/>
          <w:lang w:val="en-US" w:eastAsia="zh-CN"/>
        </w:rPr>
        <w:t>.</w:t>
      </w:r>
      <w:r>
        <w:rPr>
          <w:rFonts w:hint="eastAsia" w:asciiTheme="minorEastAsia" w:hAnsiTheme="minorEastAsia" w:eastAsiaTheme="minorEastAsia"/>
          <w:b/>
          <w:kern w:val="0"/>
          <w:szCs w:val="20"/>
        </w:rPr>
        <w:t>评标定标信息</w:t>
      </w:r>
      <w:bookmarkEnd w:id="29"/>
      <w:r>
        <w:rPr>
          <w:rFonts w:hint="eastAsia"/>
          <w:b/>
        </w:rPr>
        <w:t>非评定分离项目</w:t>
      </w:r>
    </w:p>
    <w:tbl>
      <w:tblPr>
        <w:tblStyle w:val="43"/>
        <w:tblW w:w="843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73"/>
        <w:gridCol w:w="5064"/>
      </w:tblGrid>
      <w:tr w14:paraId="11FBA6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73" w:type="dxa"/>
          </w:tcPr>
          <w:p w14:paraId="0B63AF8F">
            <w:pPr>
              <w:jc w:val="center"/>
            </w:pPr>
            <w:r>
              <w:rPr>
                <w:rFonts w:hint="eastAsia"/>
              </w:rPr>
              <w:t>评标方法</w:t>
            </w:r>
          </w:p>
        </w:tc>
        <w:tc>
          <w:tcPr>
            <w:tcW w:w="5064" w:type="dxa"/>
          </w:tcPr>
          <w:p w14:paraId="388621D0">
            <w:pPr>
              <w:jc w:val="center"/>
              <w:rPr>
                <w:rFonts w:hint="default" w:eastAsia="宋体"/>
                <w:lang w:val="en-US" w:eastAsia="zh-CN"/>
              </w:rPr>
            </w:pPr>
            <w:r>
              <w:rPr>
                <w:rFonts w:hint="eastAsia"/>
              </w:rPr>
              <w:t>综合评分法</w:t>
            </w:r>
          </w:p>
        </w:tc>
      </w:tr>
      <w:tr w14:paraId="501732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73" w:type="dxa"/>
          </w:tcPr>
          <w:p w14:paraId="433EC3E2">
            <w:pPr>
              <w:jc w:val="center"/>
            </w:pPr>
            <w:r>
              <w:rPr>
                <w:rFonts w:hint="eastAsia"/>
              </w:rPr>
              <w:t>候选中标供应商家数</w:t>
            </w:r>
          </w:p>
        </w:tc>
        <w:tc>
          <w:tcPr>
            <w:tcW w:w="5064" w:type="dxa"/>
          </w:tcPr>
          <w:p w14:paraId="017305CA">
            <w:pPr>
              <w:jc w:val="center"/>
              <w:rPr>
                <w:rFonts w:hint="eastAsia" w:eastAsia="宋体"/>
                <w:lang w:val="en-US" w:eastAsia="zh-CN"/>
              </w:rPr>
            </w:pPr>
            <w:r>
              <w:rPr>
                <w:rFonts w:hint="eastAsia"/>
                <w:lang w:val="en-US" w:eastAsia="zh-CN"/>
              </w:rPr>
              <w:t>3</w:t>
            </w:r>
          </w:p>
        </w:tc>
      </w:tr>
      <w:tr w14:paraId="5C3918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73" w:type="dxa"/>
          </w:tcPr>
          <w:p w14:paraId="39CB813B">
            <w:pPr>
              <w:jc w:val="center"/>
            </w:pPr>
            <w:r>
              <w:rPr>
                <w:rFonts w:hint="eastAsia"/>
              </w:rPr>
              <w:t>中标供应商家数</w:t>
            </w:r>
          </w:p>
        </w:tc>
        <w:tc>
          <w:tcPr>
            <w:tcW w:w="5064" w:type="dxa"/>
          </w:tcPr>
          <w:p w14:paraId="654BF340">
            <w:pPr>
              <w:jc w:val="center"/>
            </w:pPr>
            <w:r>
              <w:rPr>
                <w:rFonts w:hint="eastAsia"/>
              </w:rPr>
              <w:t>1</w:t>
            </w:r>
          </w:p>
        </w:tc>
      </w:tr>
    </w:tbl>
    <w:p w14:paraId="77044FF4">
      <w:pPr>
        <w:ind w:firstLine="422" w:firstLineChars="200"/>
        <w:rPr>
          <w:rFonts w:ascii="宋体" w:hAnsi="宋体"/>
          <w:b/>
        </w:rPr>
      </w:pPr>
    </w:p>
    <w:p w14:paraId="33242CF7">
      <w:pPr>
        <w:ind w:firstLine="422" w:firstLineChars="200"/>
        <w:rPr>
          <w:rFonts w:hint="eastAsia"/>
          <w:b/>
        </w:rPr>
      </w:pPr>
    </w:p>
    <w:p w14:paraId="3613C69C">
      <w:pPr>
        <w:rPr>
          <w:rFonts w:hint="eastAsia"/>
          <w:b/>
        </w:rPr>
      </w:pPr>
    </w:p>
    <w:p w14:paraId="7D006515">
      <w:pPr>
        <w:ind w:firstLine="422" w:firstLineChars="200"/>
        <w:rPr>
          <w:rFonts w:hint="eastAsia"/>
          <w:b/>
        </w:rPr>
      </w:pPr>
    </w:p>
    <w:p w14:paraId="6FA7EC17">
      <w:pPr>
        <w:ind w:firstLine="422" w:firstLineChars="200"/>
        <w:rPr>
          <w:b/>
        </w:rPr>
      </w:pPr>
      <w:r>
        <w:rPr>
          <w:rFonts w:hint="eastAsia"/>
          <w:b/>
        </w:rPr>
        <w:t>（二）其他事项</w:t>
      </w:r>
    </w:p>
    <w:p w14:paraId="1E635F86">
      <w:pPr>
        <w:ind w:firstLine="422" w:firstLineChars="200"/>
        <w:rPr>
          <w:rFonts w:hint="default" w:eastAsia="宋体"/>
          <w:b/>
          <w:bCs/>
          <w:lang w:val="en-US" w:eastAsia="zh-CN"/>
        </w:rPr>
      </w:pPr>
      <w:r>
        <w:rPr>
          <w:b/>
          <w:bCs/>
        </w:rPr>
        <w:t>1</w:t>
      </w:r>
      <w:r>
        <w:rPr>
          <w:rFonts w:hint="eastAsia"/>
          <w:b/>
          <w:bCs/>
          <w:lang w:val="en-US" w:eastAsia="zh-CN"/>
        </w:rPr>
        <w:t>.关于享受</w:t>
      </w:r>
      <w:r>
        <w:rPr>
          <w:rFonts w:hint="eastAsia"/>
          <w:b/>
          <w:bCs/>
        </w:rPr>
        <w:t>优惠政策的主体</w:t>
      </w:r>
      <w:r>
        <w:rPr>
          <w:rFonts w:hint="eastAsia"/>
          <w:b/>
          <w:bCs/>
          <w:lang w:eastAsia="zh-CN"/>
        </w:rPr>
        <w:t>、</w:t>
      </w:r>
      <w:r>
        <w:rPr>
          <w:rFonts w:hint="eastAsia"/>
          <w:b/>
          <w:bCs/>
        </w:rPr>
        <w:t>价格扣除比例</w:t>
      </w:r>
      <w:r>
        <w:rPr>
          <w:rFonts w:hint="eastAsia"/>
          <w:b/>
          <w:bCs/>
          <w:lang w:val="en-US" w:eastAsia="zh-CN"/>
        </w:rPr>
        <w:t>及采购标的所属行业</w:t>
      </w:r>
    </w:p>
    <w:p w14:paraId="2C6626B6">
      <w:pPr>
        <w:ind w:firstLine="420" w:firstLineChars="200"/>
        <w:rPr>
          <w:rFonts w:hint="default" w:eastAsia="宋体"/>
          <w:lang w:val="en-US" w:eastAsia="zh-CN"/>
        </w:rPr>
      </w:pPr>
      <w:r>
        <w:rPr>
          <w:rFonts w:hint="eastAsia"/>
        </w:rPr>
        <w:t>（1）</w:t>
      </w:r>
      <w:r>
        <w:rPr>
          <w:rFonts w:hint="eastAsia"/>
          <w:lang w:val="en-US" w:eastAsia="zh-CN"/>
        </w:rPr>
        <w:t>专门面向中小企业采购的项目，不再执行价格扣除比例。</w:t>
      </w:r>
    </w:p>
    <w:p w14:paraId="74B49186">
      <w:pPr>
        <w:ind w:firstLine="420" w:firstLineChars="200"/>
      </w:pPr>
      <w:r>
        <w:rPr>
          <w:rFonts w:hint="eastAsia"/>
          <w:lang w:eastAsia="zh-CN"/>
        </w:rPr>
        <w:t>（</w:t>
      </w:r>
      <w:r>
        <w:rPr>
          <w:rFonts w:hint="eastAsia"/>
          <w:lang w:val="en-US" w:eastAsia="zh-CN"/>
        </w:rPr>
        <w:t>2</w:t>
      </w:r>
      <w:r>
        <w:rPr>
          <w:rFonts w:hint="eastAsia"/>
          <w:lang w:eastAsia="zh-CN"/>
        </w:rPr>
        <w:t>）</w:t>
      </w:r>
      <w:r>
        <w:rPr>
          <w:rFonts w:hint="eastAsia"/>
          <w:lang w:val="en-US" w:eastAsia="zh-CN"/>
        </w:rPr>
        <w:t>非</w:t>
      </w:r>
      <w:r>
        <w:rPr>
          <w:rFonts w:hint="eastAsia" w:ascii="Times New Roman" w:eastAsia="宋体"/>
          <w:lang w:val="en-US" w:eastAsia="zh-CN"/>
        </w:rPr>
        <w:t>专门面向中小企业采购的项目，</w:t>
      </w:r>
      <w:r>
        <w:rPr>
          <w:rFonts w:hint="eastAsia"/>
          <w:lang w:val="en-US" w:eastAsia="zh-CN"/>
        </w:rPr>
        <w:t>应</w:t>
      </w:r>
      <w:r>
        <w:rPr>
          <w:rFonts w:hint="eastAsia" w:ascii="Times New Roman" w:eastAsia="宋体"/>
          <w:lang w:val="en-US" w:eastAsia="zh-CN"/>
        </w:rPr>
        <w:t>执行价格扣除比例</w:t>
      </w:r>
      <w:r>
        <w:rPr>
          <w:rFonts w:hint="eastAsia"/>
          <w:lang w:val="en-US" w:eastAsia="zh-CN"/>
        </w:rPr>
        <w:t>：供应商</w:t>
      </w:r>
      <w:r>
        <w:rPr>
          <w:rFonts w:hint="eastAsia"/>
        </w:rPr>
        <w:t>提供的服务全部由优惠主体承接，则对其投标总价给予</w:t>
      </w:r>
      <w:r>
        <w:rPr>
          <w:color w:val="FF0000"/>
          <w:u w:val="single"/>
        </w:rPr>
        <w:t xml:space="preserve">  </w:t>
      </w:r>
      <w:r>
        <w:rPr>
          <w:rFonts w:hint="eastAsia"/>
          <w:color w:val="FF0000"/>
          <w:u w:val="single"/>
          <w:lang w:val="en-US" w:eastAsia="zh-CN"/>
        </w:rPr>
        <w:t>10</w:t>
      </w:r>
      <w:r>
        <w:rPr>
          <w:color w:val="FF0000"/>
          <w:u w:val="single"/>
        </w:rPr>
        <w:t xml:space="preserve">  %</w:t>
      </w:r>
      <w:r>
        <w:rPr>
          <w:rFonts w:hint="eastAsia" w:eastAsia="宋体"/>
          <w:color w:val="000000" w:themeColor="text1"/>
          <w:u w:val="none"/>
          <w:lang w:eastAsia="zh-CN"/>
          <w14:textFill>
            <w14:solidFill>
              <w14:schemeClr w14:val="tx1"/>
            </w14:solidFill>
          </w14:textFill>
        </w:rPr>
        <w:t>（</w:t>
      </w:r>
      <w:r>
        <w:rPr>
          <w:rFonts w:hint="eastAsia" w:ascii="Times New Roman" w:eastAsia="宋体"/>
          <w:color w:val="000000" w:themeColor="text1"/>
          <w:u w:val="none"/>
          <w:lang w:val="en-US" w:eastAsia="zh-CN"/>
          <w14:textFill>
            <w14:solidFill>
              <w14:schemeClr w14:val="tx1"/>
            </w14:solidFill>
          </w14:textFill>
        </w:rPr>
        <w:t>10%~20%</w:t>
      </w:r>
      <w:r>
        <w:rPr>
          <w:rFonts w:hint="eastAsia" w:eastAsia="宋体"/>
          <w:color w:val="000000" w:themeColor="text1"/>
          <w:u w:val="none"/>
          <w:lang w:eastAsia="zh-CN"/>
          <w14:textFill>
            <w14:solidFill>
              <w14:schemeClr w14:val="tx1"/>
            </w14:solidFill>
          </w14:textFill>
        </w:rPr>
        <w:t>）</w:t>
      </w:r>
      <w:r>
        <w:rPr>
          <w:rFonts w:hint="eastAsia"/>
        </w:rPr>
        <w:t>的扣除，用扣除后的价格参与评审。满足多项优惠政策的</w:t>
      </w:r>
      <w:r>
        <w:rPr>
          <w:rFonts w:hint="eastAsia"/>
          <w:lang w:val="en-US" w:eastAsia="zh-CN"/>
        </w:rPr>
        <w:t>供应商</w:t>
      </w:r>
      <w:r>
        <w:rPr>
          <w:rFonts w:hint="eastAsia"/>
        </w:rPr>
        <w:t>，不重复享受多项价格扣除政策。</w:t>
      </w:r>
    </w:p>
    <w:p w14:paraId="28626F07">
      <w:pPr>
        <w:ind w:firstLine="420" w:firstLineChars="200"/>
      </w:pPr>
      <w:r>
        <w:rPr>
          <w:rFonts w:hint="eastAsia"/>
        </w:rPr>
        <w:t>备注：（a）</w:t>
      </w:r>
      <w:r>
        <w:rPr>
          <w:rFonts w:hint="eastAsia"/>
          <w:lang w:val="en-US" w:eastAsia="zh-CN"/>
        </w:rPr>
        <w:t>享受价格扣除</w:t>
      </w:r>
      <w:r>
        <w:rPr>
          <w:rFonts w:hint="eastAsia"/>
        </w:rPr>
        <w:t>优惠主体包括小型企业、微型企业、监狱企业、残疾人福利性单位；中小企业是指在中华人民共和国境内依法设立，依据国务院批准的中小企业划分标准确定的中型企业、小型企业、微型企业，但与大企业的负责人为同一人，或者与大企业存在直接控股、管理关系的除外；符合中小企业划分标准的个体工商户，在政府采购活动中视同中小企业；(</w:t>
      </w:r>
      <w:r>
        <w:t>b)</w:t>
      </w:r>
      <w:r>
        <w:rPr>
          <w:rFonts w:hint="eastAsia"/>
        </w:rPr>
        <w:t>优惠主体制造是指货物由优惠主体生产且使用该优惠主体商号或者注册商标；投标人提供的货物既有优惠主体制造货物，又有非优惠主体制造货物的，不给予价格扣除。</w:t>
      </w:r>
    </w:p>
    <w:p w14:paraId="689B5180">
      <w:pPr>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lang w:val="en-US" w:eastAsia="zh-CN"/>
        </w:rPr>
        <w:t>3</w:t>
      </w:r>
      <w:r>
        <w:rPr>
          <w:rFonts w:hint="eastAsia" w:asciiTheme="minorEastAsia" w:hAnsiTheme="minorEastAsia" w:eastAsiaTheme="minorEastAsia" w:cstheme="minorEastAsia"/>
          <w:sz w:val="21"/>
          <w:szCs w:val="21"/>
        </w:rPr>
        <w:t>）</w:t>
      </w:r>
      <w:bookmarkStart w:id="30" w:name="_Hlk71970739"/>
      <w:r>
        <w:rPr>
          <w:rFonts w:hint="eastAsia" w:asciiTheme="minorEastAsia" w:hAnsiTheme="minorEastAsia" w:eastAsiaTheme="minorEastAsia" w:cstheme="minorEastAsia"/>
          <w:sz w:val="21"/>
          <w:szCs w:val="21"/>
        </w:rPr>
        <w:t>中小企业参加政府采购活动，应当按照国务院批准的《中小企业划型标准规定》（工信部联企业〔2011〕300号）、《金融业企业划型标准规定》（银发〔2015〕309号）和《财政部 工业和信息化部关于印发〈政府采购促进中小企业发展管理办法〉的通知》（财库〔2020〕46号）的规定，出具《中小企业声明函》，</w:t>
      </w:r>
      <w:r>
        <w:rPr>
          <w:rFonts w:ascii="宋体" w:hAnsi="宋体" w:eastAsia="宋体" w:cs="宋体"/>
          <w:b/>
          <w:bCs/>
          <w:color w:val="FF0000"/>
          <w:sz w:val="21"/>
          <w:szCs w:val="21"/>
        </w:rPr>
        <w:t>《中小企业声明函》中相关企业</w:t>
      </w:r>
      <w:r>
        <w:rPr>
          <w:rFonts w:hint="eastAsia" w:ascii="宋体" w:hAnsi="宋体" w:cs="宋体"/>
          <w:b/>
          <w:bCs/>
          <w:color w:val="FF0000"/>
          <w:sz w:val="21"/>
          <w:szCs w:val="21"/>
          <w:lang w:eastAsia="zh-CN"/>
        </w:rPr>
        <w:t>（服务承接商）</w:t>
      </w:r>
      <w:r>
        <w:rPr>
          <w:rFonts w:ascii="宋体" w:hAnsi="宋体" w:eastAsia="宋体" w:cs="宋体"/>
          <w:b/>
          <w:bCs/>
          <w:color w:val="FF0000"/>
          <w:sz w:val="21"/>
          <w:szCs w:val="21"/>
        </w:rPr>
        <w:t>所属行业应当与采购标的所属行业相一致</w:t>
      </w:r>
      <w:r>
        <w:rPr>
          <w:rFonts w:hint="eastAsia" w:eastAsia="宋体"/>
          <w:b/>
          <w:bCs/>
          <w:color w:val="FF0000"/>
          <w:lang w:eastAsia="zh-CN"/>
        </w:rPr>
        <w:t>，</w:t>
      </w:r>
      <w:r>
        <w:rPr>
          <w:rFonts w:hint="eastAsia"/>
          <w:b/>
          <w:bCs/>
          <w:color w:val="FF0000"/>
        </w:rPr>
        <w:t>标的所属行业</w:t>
      </w:r>
      <w:r>
        <w:rPr>
          <w:rFonts w:hint="eastAsia" w:ascii="Times New Roman" w:eastAsia="宋体"/>
          <w:b/>
          <w:bCs/>
          <w:color w:val="FF0000"/>
          <w:lang w:val="en-US" w:eastAsia="zh-CN"/>
        </w:rPr>
        <w:t>以招标文件第一册第三章用户需求书“</w:t>
      </w:r>
      <w:r>
        <w:rPr>
          <w:rFonts w:hint="eastAsia"/>
          <w:b/>
          <w:bCs/>
          <w:color w:val="FF0000"/>
          <w:lang w:val="en-US" w:eastAsia="zh-CN"/>
        </w:rPr>
        <w:t>服务需求</w:t>
      </w:r>
      <w:r>
        <w:rPr>
          <w:rFonts w:hint="eastAsia" w:ascii="Times New Roman" w:eastAsia="宋体"/>
          <w:b/>
          <w:bCs/>
          <w:color w:val="FF0000"/>
          <w:lang w:val="en-US" w:eastAsia="zh-CN"/>
        </w:rPr>
        <w:t>明细”的“标的所属行业”一栏为准</w:t>
      </w:r>
      <w:r>
        <w:rPr>
          <w:rFonts w:ascii="宋体" w:hAnsi="宋体" w:eastAsia="宋体" w:cs="宋体"/>
          <w:b/>
          <w:bCs/>
          <w:color w:val="FF0000"/>
          <w:sz w:val="21"/>
          <w:szCs w:val="21"/>
        </w:rPr>
        <w:t>。</w:t>
      </w:r>
      <w:bookmarkEnd w:id="30"/>
    </w:p>
    <w:p w14:paraId="4410C205">
      <w:pPr>
        <w:ind w:firstLine="420" w:firstLineChars="200"/>
      </w:pP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lang w:val="en-US" w:eastAsia="zh-CN"/>
        </w:rPr>
        <w:t>4</w:t>
      </w:r>
      <w:r>
        <w:rPr>
          <w:rFonts w:hint="eastAsia" w:asciiTheme="minorEastAsia" w:hAnsiTheme="minorEastAsia" w:eastAsiaTheme="minorEastAsia" w:cstheme="minorEastAsia"/>
          <w:sz w:val="21"/>
          <w:szCs w:val="21"/>
        </w:rPr>
        <w:t>）小型企业、微型企业、残疾人福利性单位作为优惠主体的认定资料为《中小企业声明函》、《残疾人福利性单</w:t>
      </w:r>
      <w:r>
        <w:rPr>
          <w:rFonts w:hint="eastAsia"/>
        </w:rPr>
        <w:t>位声明函》；监狱企业作为优惠主体的认定资料为省级以上监狱管理局、戒毒管理局出具的监狱企业证明文件。声明函样式见本招标文件第一册专用条款第三章“投标文件格式、附件”中“四、投标人情况及资格证明文件”章节提供的格式）。</w:t>
      </w:r>
    </w:p>
    <w:p w14:paraId="3DE7F0F4">
      <w:pPr>
        <w:ind w:firstLine="420" w:firstLineChars="200"/>
        <w:rPr>
          <w:color w:val="FF0000"/>
        </w:rPr>
      </w:pPr>
      <w:r>
        <w:rPr>
          <w:rFonts w:hint="eastAsia"/>
        </w:rPr>
        <w:t>（</w:t>
      </w:r>
      <w:r>
        <w:rPr>
          <w:rFonts w:hint="eastAsia"/>
          <w:lang w:val="en-US" w:eastAsia="zh-CN"/>
        </w:rPr>
        <w:t>5</w:t>
      </w:r>
      <w:r>
        <w:rPr>
          <w:rFonts w:hint="eastAsia"/>
        </w:rPr>
        <w:t>）享受价格扣除获得政府采购合同的，小微企业不得将合同分包给大中型企业。</w:t>
      </w:r>
    </w:p>
    <w:p w14:paraId="69B0DAC7">
      <w:pPr>
        <w:ind w:firstLine="422" w:firstLineChars="200"/>
        <w:rPr>
          <w:rFonts w:hint="eastAsia"/>
          <w:b/>
          <w:bCs/>
        </w:rPr>
      </w:pPr>
    </w:p>
    <w:p w14:paraId="5E6F2FCA">
      <w:pPr>
        <w:ind w:firstLine="422" w:firstLineChars="200"/>
        <w:rPr>
          <w:rFonts w:hint="eastAsia"/>
          <w:b/>
          <w:bCs/>
        </w:rPr>
      </w:pPr>
    </w:p>
    <w:p w14:paraId="4FB2B84A">
      <w:pPr>
        <w:ind w:firstLine="422" w:firstLineChars="200"/>
        <w:rPr>
          <w:rFonts w:hint="eastAsia"/>
          <w:b/>
          <w:bCs/>
          <w:color w:val="FF0000"/>
          <w:highlight w:val="none"/>
          <w:lang w:val="en-US" w:eastAsia="zh-CN"/>
        </w:rPr>
      </w:pPr>
      <w:r>
        <w:rPr>
          <w:rFonts w:hint="eastAsia" w:ascii="Times New Roman" w:eastAsia="宋体"/>
          <w:b/>
          <w:bCs/>
          <w:color w:val="FF0000"/>
          <w:highlight w:val="none"/>
          <w:lang w:val="en-US" w:eastAsia="zh-CN"/>
        </w:rPr>
        <w:t>2</w:t>
      </w:r>
      <w:r>
        <w:rPr>
          <w:rFonts w:hint="eastAsia"/>
          <w:b/>
          <w:bCs/>
          <w:color w:val="FF0000"/>
          <w:highlight w:val="none"/>
          <w:lang w:val="en-US" w:eastAsia="zh-CN"/>
        </w:rPr>
        <w:t>.</w:t>
      </w:r>
      <w:r>
        <w:rPr>
          <w:rFonts w:hint="eastAsia" w:ascii="Times New Roman" w:eastAsia="宋体"/>
          <w:b/>
          <w:bCs/>
          <w:color w:val="FF0000"/>
          <w:highlight w:val="none"/>
          <w:lang w:val="en-US" w:eastAsia="zh-CN"/>
        </w:rPr>
        <w:t>本项目为代理服务项目，将向中标（成交）供应商收取代理服务费。</w:t>
      </w:r>
    </w:p>
    <w:p w14:paraId="572B9E93">
      <w:pPr>
        <w:ind w:firstLine="420" w:firstLineChars="200"/>
      </w:pPr>
      <w:r>
        <w:rPr>
          <w:rFonts w:hint="eastAsia"/>
        </w:rPr>
        <w:t>中标</w:t>
      </w:r>
      <w:r>
        <w:rPr>
          <w:rFonts w:hint="eastAsia" w:eastAsia="宋体"/>
          <w:lang w:eastAsia="zh-CN"/>
        </w:rPr>
        <w:t>（</w:t>
      </w:r>
      <w:r>
        <w:rPr>
          <w:rFonts w:hint="eastAsia" w:ascii="Times New Roman" w:eastAsia="宋体"/>
          <w:lang w:val="en-US" w:eastAsia="zh-CN"/>
        </w:rPr>
        <w:t>成交</w:t>
      </w:r>
      <w:r>
        <w:rPr>
          <w:rFonts w:hint="eastAsia" w:eastAsia="宋体"/>
          <w:lang w:eastAsia="zh-CN"/>
        </w:rPr>
        <w:t>）</w:t>
      </w:r>
      <w:r>
        <w:rPr>
          <w:rFonts w:hint="eastAsia"/>
        </w:rPr>
        <w:t>供应商在领取《中标</w:t>
      </w:r>
      <w:r>
        <w:rPr>
          <w:rFonts w:hint="eastAsia" w:eastAsia="宋体"/>
          <w:lang w:eastAsia="zh-CN"/>
        </w:rPr>
        <w:t>（</w:t>
      </w:r>
      <w:r>
        <w:rPr>
          <w:rFonts w:hint="eastAsia" w:ascii="Times New Roman" w:eastAsia="宋体"/>
          <w:lang w:val="en-US" w:eastAsia="zh-CN"/>
        </w:rPr>
        <w:t>成交</w:t>
      </w:r>
      <w:r>
        <w:rPr>
          <w:rFonts w:hint="eastAsia" w:eastAsia="宋体"/>
          <w:lang w:eastAsia="zh-CN"/>
        </w:rPr>
        <w:t>）</w:t>
      </w:r>
      <w:r>
        <w:rPr>
          <w:rFonts w:hint="eastAsia"/>
        </w:rPr>
        <w:t>通知书》之前须向深圳公共资源交易中心（深圳交易集团有限公司</w:t>
      </w:r>
      <w:r>
        <w:rPr>
          <w:rFonts w:hint="eastAsia"/>
          <w:lang w:val="en-US" w:eastAsia="zh-CN"/>
        </w:rPr>
        <w:t>福田</w:t>
      </w:r>
      <w:r>
        <w:rPr>
          <w:rFonts w:hint="eastAsia"/>
        </w:rPr>
        <w:t>分公司）交纳代理服务费。若因中标</w:t>
      </w:r>
      <w:r>
        <w:rPr>
          <w:rFonts w:hint="eastAsia" w:eastAsia="宋体"/>
          <w:lang w:eastAsia="zh-CN"/>
        </w:rPr>
        <w:t>（</w:t>
      </w:r>
      <w:r>
        <w:rPr>
          <w:rFonts w:hint="eastAsia" w:ascii="Times New Roman" w:eastAsia="宋体"/>
          <w:lang w:val="en-US" w:eastAsia="zh-CN"/>
        </w:rPr>
        <w:t>成交</w:t>
      </w:r>
      <w:r>
        <w:rPr>
          <w:rFonts w:hint="eastAsia" w:eastAsia="宋体"/>
          <w:lang w:eastAsia="zh-CN"/>
        </w:rPr>
        <w:t>）</w:t>
      </w:r>
      <w:r>
        <w:rPr>
          <w:rFonts w:hint="eastAsia"/>
        </w:rPr>
        <w:t>供应商交纳代理服务费所产生的时间影响到合同签订的，由中标</w:t>
      </w:r>
      <w:r>
        <w:rPr>
          <w:rFonts w:hint="eastAsia" w:eastAsia="宋体"/>
          <w:lang w:eastAsia="zh-CN"/>
        </w:rPr>
        <w:t>（</w:t>
      </w:r>
      <w:r>
        <w:rPr>
          <w:rFonts w:hint="eastAsia" w:ascii="Times New Roman" w:eastAsia="宋体"/>
          <w:lang w:val="en-US" w:eastAsia="zh-CN"/>
        </w:rPr>
        <w:t>成交</w:t>
      </w:r>
      <w:r>
        <w:rPr>
          <w:rFonts w:hint="eastAsia" w:eastAsia="宋体"/>
          <w:lang w:eastAsia="zh-CN"/>
        </w:rPr>
        <w:t>）</w:t>
      </w:r>
      <w:r>
        <w:rPr>
          <w:rFonts w:hint="eastAsia"/>
        </w:rPr>
        <w:t>供应商自行承担责任。代理服务费标准参照</w:t>
      </w:r>
      <w:r>
        <w:rPr>
          <w:rFonts w:hint="eastAsia" w:ascii="Times New Roman" w:eastAsia="宋体"/>
          <w:lang w:val="en-US" w:eastAsia="zh-CN"/>
        </w:rPr>
        <w:t>下列</w:t>
      </w:r>
      <w:r>
        <w:rPr>
          <w:rFonts w:hint="eastAsia"/>
        </w:rPr>
        <w:t>标准收取。</w:t>
      </w:r>
      <w:r>
        <w:rPr>
          <w:rFonts w:hint="eastAsia"/>
          <w:b/>
          <w:color w:val="FF0000"/>
        </w:rPr>
        <w:t>本项目类型为</w:t>
      </w:r>
      <w:r>
        <w:rPr>
          <w:rFonts w:hint="eastAsia"/>
          <w:b/>
          <w:color w:val="FF0000"/>
          <w:lang w:val="en-US" w:eastAsia="zh-CN"/>
        </w:rPr>
        <w:t>服务</w:t>
      </w:r>
      <w:r>
        <w:rPr>
          <w:rFonts w:hint="eastAsia"/>
          <w:b/>
          <w:color w:val="FF0000"/>
        </w:rPr>
        <w:t>采购：</w:t>
      </w:r>
    </w:p>
    <w:p w14:paraId="1565E430">
      <w:pPr>
        <w:ind w:firstLine="420" w:firstLineChars="200"/>
      </w:pPr>
      <w:r>
        <w:rPr>
          <w:rFonts w:hint="eastAsia"/>
        </w:rPr>
        <w:t>（</w:t>
      </w:r>
      <w:r>
        <w:rPr>
          <w:rFonts w:hint="eastAsia" w:ascii="Times New Roman" w:eastAsia="宋体"/>
          <w:lang w:val="en-US" w:eastAsia="zh-CN"/>
        </w:rPr>
        <w:t>1</w:t>
      </w:r>
      <w:r>
        <w:rPr>
          <w:rFonts w:hint="eastAsia"/>
        </w:rPr>
        <w:t>）代理服务费以《中标</w:t>
      </w:r>
      <w:r>
        <w:rPr>
          <w:rFonts w:hint="eastAsia" w:eastAsia="宋体"/>
          <w:lang w:eastAsia="zh-CN"/>
        </w:rPr>
        <w:t>（</w:t>
      </w:r>
      <w:r>
        <w:rPr>
          <w:rFonts w:hint="eastAsia" w:ascii="Times New Roman" w:eastAsia="宋体"/>
          <w:lang w:val="en-US" w:eastAsia="zh-CN"/>
        </w:rPr>
        <w:t>成交</w:t>
      </w:r>
      <w:r>
        <w:rPr>
          <w:rFonts w:hint="eastAsia" w:eastAsia="宋体"/>
          <w:lang w:eastAsia="zh-CN"/>
        </w:rPr>
        <w:t>）</w:t>
      </w:r>
      <w:r>
        <w:rPr>
          <w:rFonts w:hint="eastAsia"/>
        </w:rPr>
        <w:t>通知书》确定的</w:t>
      </w:r>
      <w:r>
        <w:rPr>
          <w:rFonts w:hint="eastAsia" w:ascii="Times New Roman" w:eastAsia="宋体"/>
          <w:lang w:val="en-US" w:eastAsia="zh-CN"/>
        </w:rPr>
        <w:t>中标（</w:t>
      </w:r>
      <w:r>
        <w:rPr>
          <w:rFonts w:hint="eastAsia"/>
        </w:rPr>
        <w:t>成交</w:t>
      </w:r>
      <w:r>
        <w:rPr>
          <w:rFonts w:hint="eastAsia" w:eastAsia="宋体"/>
          <w:lang w:eastAsia="zh-CN"/>
        </w:rPr>
        <w:t>）</w:t>
      </w:r>
      <w:r>
        <w:rPr>
          <w:rFonts w:hint="eastAsia"/>
        </w:rPr>
        <w:t>金额作为计算基数，按差额定率累进法计算。</w:t>
      </w:r>
    </w:p>
    <w:p w14:paraId="1BED0E7C">
      <w:pPr>
        <w:ind w:firstLine="420" w:firstLineChars="200"/>
      </w:pPr>
      <w:r>
        <w:rPr>
          <w:rFonts w:hint="eastAsia"/>
        </w:rPr>
        <w:t>（</w:t>
      </w:r>
      <w:r>
        <w:rPr>
          <w:rFonts w:hint="eastAsia" w:ascii="Times New Roman" w:eastAsia="宋体"/>
          <w:lang w:val="en-US" w:eastAsia="zh-CN"/>
        </w:rPr>
        <w:t>2</w:t>
      </w:r>
      <w:r>
        <w:rPr>
          <w:rFonts w:hint="eastAsia"/>
        </w:rPr>
        <w:t>）中标</w:t>
      </w:r>
      <w:r>
        <w:rPr>
          <w:rFonts w:hint="eastAsia" w:eastAsia="宋体"/>
          <w:lang w:eastAsia="zh-CN"/>
        </w:rPr>
        <w:t>（</w:t>
      </w:r>
      <w:r>
        <w:rPr>
          <w:rFonts w:hint="eastAsia" w:ascii="Times New Roman" w:eastAsia="宋体"/>
          <w:lang w:val="en-US" w:eastAsia="zh-CN"/>
        </w:rPr>
        <w:t>成交</w:t>
      </w:r>
      <w:r>
        <w:rPr>
          <w:rFonts w:hint="eastAsia" w:eastAsia="宋体"/>
          <w:lang w:eastAsia="zh-CN"/>
        </w:rPr>
        <w:t>）</w:t>
      </w:r>
      <w:r>
        <w:rPr>
          <w:rFonts w:hint="eastAsia"/>
        </w:rPr>
        <w:t>金额的各部分费率如下表：</w:t>
      </w:r>
    </w:p>
    <w:tbl>
      <w:tblPr>
        <w:tblStyle w:val="42"/>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25"/>
        <w:gridCol w:w="1799"/>
        <w:gridCol w:w="1799"/>
        <w:gridCol w:w="1799"/>
      </w:tblGrid>
      <w:tr w14:paraId="62704B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3125" w:type="dxa"/>
            <w:vAlign w:val="center"/>
          </w:tcPr>
          <w:p w14:paraId="1ABCD029">
            <w:pPr>
              <w:widowControl/>
              <w:spacing w:line="360" w:lineRule="auto"/>
              <w:jc w:val="center"/>
            </w:pPr>
            <w:r>
              <w:rPr>
                <w:rFonts w:hint="eastAsia" w:ascii="Times New Roman" w:eastAsia="宋体"/>
                <w:lang w:val="en-US" w:eastAsia="zh-CN"/>
              </w:rPr>
              <w:t>中标</w:t>
            </w:r>
            <w:r>
              <w:rPr>
                <w:rFonts w:hint="eastAsia" w:eastAsia="宋体"/>
                <w:lang w:eastAsia="zh-CN"/>
              </w:rPr>
              <w:t>（</w:t>
            </w:r>
            <w:r>
              <w:rPr>
                <w:rFonts w:hint="eastAsia" w:ascii="Times New Roman" w:eastAsia="宋体"/>
                <w:lang w:val="en-US" w:eastAsia="zh-CN"/>
              </w:rPr>
              <w:t>成交</w:t>
            </w:r>
            <w:r>
              <w:rPr>
                <w:rFonts w:hint="eastAsia" w:eastAsia="宋体"/>
                <w:lang w:eastAsia="zh-CN"/>
              </w:rPr>
              <w:t>）</w:t>
            </w:r>
            <w:r>
              <w:rPr>
                <w:rFonts w:hint="eastAsia"/>
              </w:rPr>
              <w:t>金额</w:t>
            </w:r>
          </w:p>
        </w:tc>
        <w:tc>
          <w:tcPr>
            <w:tcW w:w="1799" w:type="dxa"/>
            <w:vAlign w:val="center"/>
          </w:tcPr>
          <w:p w14:paraId="16F6286E">
            <w:pPr>
              <w:widowControl/>
              <w:spacing w:line="360" w:lineRule="auto"/>
              <w:jc w:val="center"/>
            </w:pPr>
            <w:r>
              <w:rPr>
                <w:rFonts w:hint="eastAsia"/>
              </w:rPr>
              <w:t>货物采购</w:t>
            </w:r>
          </w:p>
        </w:tc>
        <w:tc>
          <w:tcPr>
            <w:tcW w:w="1799" w:type="dxa"/>
            <w:vAlign w:val="center"/>
          </w:tcPr>
          <w:p w14:paraId="233ACC46">
            <w:pPr>
              <w:widowControl/>
              <w:spacing w:line="360" w:lineRule="auto"/>
              <w:jc w:val="center"/>
            </w:pPr>
            <w:r>
              <w:rPr>
                <w:rFonts w:hint="eastAsia"/>
              </w:rPr>
              <w:t>服务采购</w:t>
            </w:r>
          </w:p>
        </w:tc>
        <w:tc>
          <w:tcPr>
            <w:tcW w:w="1799" w:type="dxa"/>
            <w:vAlign w:val="center"/>
          </w:tcPr>
          <w:p w14:paraId="230FF0F6">
            <w:pPr>
              <w:widowControl/>
              <w:spacing w:line="360" w:lineRule="auto"/>
              <w:jc w:val="center"/>
            </w:pPr>
            <w:r>
              <w:rPr>
                <w:rFonts w:hint="eastAsia"/>
              </w:rPr>
              <w:t>工程采购</w:t>
            </w:r>
          </w:p>
        </w:tc>
      </w:tr>
      <w:tr w14:paraId="24DAA3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5" w:type="dxa"/>
            <w:vAlign w:val="center"/>
          </w:tcPr>
          <w:p w14:paraId="0830F5F7">
            <w:pPr>
              <w:widowControl/>
              <w:spacing w:line="360" w:lineRule="auto"/>
              <w:jc w:val="center"/>
            </w:pPr>
            <w:r>
              <w:rPr>
                <w:rFonts w:hint="eastAsia"/>
              </w:rPr>
              <w:t>100万元以下</w:t>
            </w:r>
          </w:p>
        </w:tc>
        <w:tc>
          <w:tcPr>
            <w:tcW w:w="1799" w:type="dxa"/>
            <w:vAlign w:val="center"/>
          </w:tcPr>
          <w:p w14:paraId="00B5654A">
            <w:pPr>
              <w:widowControl/>
              <w:spacing w:line="360" w:lineRule="auto"/>
              <w:jc w:val="center"/>
            </w:pPr>
            <w:r>
              <w:rPr>
                <w:rFonts w:hint="eastAsia"/>
              </w:rPr>
              <w:t>1.5%</w:t>
            </w:r>
          </w:p>
        </w:tc>
        <w:tc>
          <w:tcPr>
            <w:tcW w:w="1799" w:type="dxa"/>
            <w:vAlign w:val="center"/>
          </w:tcPr>
          <w:p w14:paraId="2313802D">
            <w:pPr>
              <w:widowControl/>
              <w:spacing w:line="360" w:lineRule="auto"/>
              <w:jc w:val="center"/>
            </w:pPr>
            <w:r>
              <w:rPr>
                <w:rFonts w:hint="eastAsia"/>
              </w:rPr>
              <w:t>1.5%</w:t>
            </w:r>
          </w:p>
        </w:tc>
        <w:tc>
          <w:tcPr>
            <w:tcW w:w="1799" w:type="dxa"/>
            <w:vAlign w:val="center"/>
          </w:tcPr>
          <w:p w14:paraId="53751815">
            <w:pPr>
              <w:widowControl/>
              <w:spacing w:line="360" w:lineRule="auto"/>
              <w:jc w:val="center"/>
            </w:pPr>
            <w:r>
              <w:rPr>
                <w:rFonts w:hint="eastAsia"/>
              </w:rPr>
              <w:t>1.0%</w:t>
            </w:r>
          </w:p>
        </w:tc>
      </w:tr>
      <w:tr w14:paraId="0AE9EF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5" w:type="dxa"/>
            <w:vAlign w:val="center"/>
          </w:tcPr>
          <w:p w14:paraId="19701BA7">
            <w:pPr>
              <w:widowControl/>
              <w:spacing w:line="360" w:lineRule="auto"/>
              <w:jc w:val="center"/>
            </w:pPr>
            <w:r>
              <w:rPr>
                <w:rFonts w:hint="eastAsia"/>
              </w:rPr>
              <w:t>100万元（含）-500万元</w:t>
            </w:r>
          </w:p>
        </w:tc>
        <w:tc>
          <w:tcPr>
            <w:tcW w:w="1799" w:type="dxa"/>
            <w:vAlign w:val="center"/>
          </w:tcPr>
          <w:p w14:paraId="7B4FA9DC">
            <w:pPr>
              <w:widowControl/>
              <w:spacing w:line="360" w:lineRule="auto"/>
              <w:jc w:val="center"/>
            </w:pPr>
            <w:r>
              <w:rPr>
                <w:rFonts w:hint="eastAsia"/>
              </w:rPr>
              <w:t>1.1%</w:t>
            </w:r>
          </w:p>
        </w:tc>
        <w:tc>
          <w:tcPr>
            <w:tcW w:w="1799" w:type="dxa"/>
            <w:vAlign w:val="center"/>
          </w:tcPr>
          <w:p w14:paraId="21571485">
            <w:pPr>
              <w:widowControl/>
              <w:spacing w:line="360" w:lineRule="auto"/>
              <w:jc w:val="center"/>
            </w:pPr>
            <w:r>
              <w:rPr>
                <w:rFonts w:hint="eastAsia"/>
              </w:rPr>
              <w:t>0.8%</w:t>
            </w:r>
          </w:p>
        </w:tc>
        <w:tc>
          <w:tcPr>
            <w:tcW w:w="1799" w:type="dxa"/>
            <w:vAlign w:val="center"/>
          </w:tcPr>
          <w:p w14:paraId="6A482D66">
            <w:pPr>
              <w:widowControl/>
              <w:spacing w:line="360" w:lineRule="auto"/>
              <w:jc w:val="center"/>
            </w:pPr>
            <w:r>
              <w:rPr>
                <w:rFonts w:hint="eastAsia"/>
              </w:rPr>
              <w:t>0.7%</w:t>
            </w:r>
          </w:p>
        </w:tc>
      </w:tr>
      <w:tr w14:paraId="3E522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5" w:type="dxa"/>
            <w:vAlign w:val="center"/>
          </w:tcPr>
          <w:p w14:paraId="1E9150FE">
            <w:pPr>
              <w:widowControl/>
              <w:spacing w:line="360" w:lineRule="auto"/>
              <w:jc w:val="center"/>
            </w:pPr>
            <w:r>
              <w:rPr>
                <w:rFonts w:hint="eastAsia"/>
              </w:rPr>
              <w:t>500万元（含）-1000万元</w:t>
            </w:r>
          </w:p>
        </w:tc>
        <w:tc>
          <w:tcPr>
            <w:tcW w:w="1799" w:type="dxa"/>
            <w:vAlign w:val="center"/>
          </w:tcPr>
          <w:p w14:paraId="632D4BA4">
            <w:pPr>
              <w:widowControl/>
              <w:spacing w:line="360" w:lineRule="auto"/>
              <w:jc w:val="center"/>
            </w:pPr>
            <w:r>
              <w:rPr>
                <w:rFonts w:hint="eastAsia"/>
              </w:rPr>
              <w:t>0.8%</w:t>
            </w:r>
          </w:p>
        </w:tc>
        <w:tc>
          <w:tcPr>
            <w:tcW w:w="1799" w:type="dxa"/>
            <w:vAlign w:val="center"/>
          </w:tcPr>
          <w:p w14:paraId="5AC5D696">
            <w:pPr>
              <w:widowControl/>
              <w:spacing w:line="360" w:lineRule="auto"/>
              <w:jc w:val="center"/>
            </w:pPr>
            <w:r>
              <w:rPr>
                <w:rFonts w:hint="eastAsia"/>
              </w:rPr>
              <w:t>0.45%</w:t>
            </w:r>
          </w:p>
        </w:tc>
        <w:tc>
          <w:tcPr>
            <w:tcW w:w="1799" w:type="dxa"/>
            <w:vAlign w:val="center"/>
          </w:tcPr>
          <w:p w14:paraId="7D7CB6C2">
            <w:pPr>
              <w:widowControl/>
              <w:spacing w:line="360" w:lineRule="auto"/>
              <w:jc w:val="center"/>
            </w:pPr>
            <w:r>
              <w:rPr>
                <w:rFonts w:hint="eastAsia"/>
              </w:rPr>
              <w:t>0.55%</w:t>
            </w:r>
          </w:p>
        </w:tc>
      </w:tr>
      <w:tr w14:paraId="3158CD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5" w:type="dxa"/>
            <w:vAlign w:val="center"/>
          </w:tcPr>
          <w:p w14:paraId="39105CD1">
            <w:pPr>
              <w:widowControl/>
              <w:spacing w:line="360" w:lineRule="auto"/>
              <w:jc w:val="center"/>
            </w:pPr>
            <w:r>
              <w:rPr>
                <w:rFonts w:hint="eastAsia"/>
              </w:rPr>
              <w:t>1000万元（含）-5000万元</w:t>
            </w:r>
          </w:p>
        </w:tc>
        <w:tc>
          <w:tcPr>
            <w:tcW w:w="1799" w:type="dxa"/>
            <w:vAlign w:val="center"/>
          </w:tcPr>
          <w:p w14:paraId="04005029">
            <w:pPr>
              <w:widowControl/>
              <w:spacing w:line="360" w:lineRule="auto"/>
              <w:jc w:val="center"/>
            </w:pPr>
            <w:r>
              <w:rPr>
                <w:rFonts w:hint="eastAsia"/>
              </w:rPr>
              <w:t>0.5%</w:t>
            </w:r>
          </w:p>
        </w:tc>
        <w:tc>
          <w:tcPr>
            <w:tcW w:w="1799" w:type="dxa"/>
            <w:vAlign w:val="center"/>
          </w:tcPr>
          <w:p w14:paraId="6D98CC9B">
            <w:pPr>
              <w:widowControl/>
              <w:spacing w:line="360" w:lineRule="auto"/>
              <w:jc w:val="center"/>
            </w:pPr>
            <w:r>
              <w:rPr>
                <w:rFonts w:hint="eastAsia"/>
              </w:rPr>
              <w:t>0.25%</w:t>
            </w:r>
          </w:p>
        </w:tc>
        <w:tc>
          <w:tcPr>
            <w:tcW w:w="1799" w:type="dxa"/>
            <w:vAlign w:val="center"/>
          </w:tcPr>
          <w:p w14:paraId="283FD655">
            <w:pPr>
              <w:widowControl/>
              <w:spacing w:line="360" w:lineRule="auto"/>
              <w:jc w:val="center"/>
            </w:pPr>
            <w:r>
              <w:rPr>
                <w:rFonts w:hint="eastAsia"/>
              </w:rPr>
              <w:t>0.35%</w:t>
            </w:r>
          </w:p>
        </w:tc>
      </w:tr>
      <w:tr w14:paraId="5CB199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5" w:type="dxa"/>
            <w:vAlign w:val="center"/>
          </w:tcPr>
          <w:p w14:paraId="68F4D12E">
            <w:pPr>
              <w:widowControl/>
              <w:spacing w:line="360" w:lineRule="auto"/>
              <w:jc w:val="center"/>
            </w:pPr>
            <w:r>
              <w:rPr>
                <w:rFonts w:hint="eastAsia"/>
              </w:rPr>
              <w:t>5000万元（含）-1亿元</w:t>
            </w:r>
          </w:p>
        </w:tc>
        <w:tc>
          <w:tcPr>
            <w:tcW w:w="1799" w:type="dxa"/>
            <w:vAlign w:val="center"/>
          </w:tcPr>
          <w:p w14:paraId="58E852F6">
            <w:pPr>
              <w:widowControl/>
              <w:spacing w:line="360" w:lineRule="auto"/>
              <w:jc w:val="center"/>
            </w:pPr>
            <w:r>
              <w:rPr>
                <w:rFonts w:hint="eastAsia"/>
              </w:rPr>
              <w:t>0.25%</w:t>
            </w:r>
          </w:p>
        </w:tc>
        <w:tc>
          <w:tcPr>
            <w:tcW w:w="1799" w:type="dxa"/>
            <w:vAlign w:val="center"/>
          </w:tcPr>
          <w:p w14:paraId="033E6964">
            <w:pPr>
              <w:widowControl/>
              <w:spacing w:line="360" w:lineRule="auto"/>
              <w:jc w:val="center"/>
            </w:pPr>
            <w:r>
              <w:rPr>
                <w:rFonts w:hint="eastAsia"/>
              </w:rPr>
              <w:t>0.1%</w:t>
            </w:r>
          </w:p>
        </w:tc>
        <w:tc>
          <w:tcPr>
            <w:tcW w:w="1799" w:type="dxa"/>
            <w:vAlign w:val="center"/>
          </w:tcPr>
          <w:p w14:paraId="0C36815D">
            <w:pPr>
              <w:widowControl/>
              <w:spacing w:line="360" w:lineRule="auto"/>
              <w:jc w:val="center"/>
            </w:pPr>
            <w:r>
              <w:rPr>
                <w:rFonts w:hint="eastAsia"/>
              </w:rPr>
              <w:t>0.2%</w:t>
            </w:r>
          </w:p>
        </w:tc>
      </w:tr>
      <w:tr w14:paraId="1BAA28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5" w:type="dxa"/>
            <w:vAlign w:val="center"/>
          </w:tcPr>
          <w:p w14:paraId="28A350DE">
            <w:pPr>
              <w:widowControl/>
              <w:spacing w:line="360" w:lineRule="auto"/>
              <w:jc w:val="center"/>
            </w:pPr>
            <w:r>
              <w:rPr>
                <w:rFonts w:hint="eastAsia"/>
              </w:rPr>
              <w:t>1亿元（含）-5亿元</w:t>
            </w:r>
          </w:p>
        </w:tc>
        <w:tc>
          <w:tcPr>
            <w:tcW w:w="1799" w:type="dxa"/>
            <w:vAlign w:val="center"/>
          </w:tcPr>
          <w:p w14:paraId="241C2AF9">
            <w:pPr>
              <w:widowControl/>
              <w:spacing w:line="360" w:lineRule="auto"/>
              <w:jc w:val="center"/>
            </w:pPr>
            <w:r>
              <w:rPr>
                <w:rFonts w:hint="eastAsia"/>
              </w:rPr>
              <w:t>0.05%</w:t>
            </w:r>
          </w:p>
        </w:tc>
        <w:tc>
          <w:tcPr>
            <w:tcW w:w="1799" w:type="dxa"/>
            <w:vAlign w:val="center"/>
          </w:tcPr>
          <w:p w14:paraId="085ABCF1">
            <w:pPr>
              <w:widowControl/>
              <w:spacing w:line="360" w:lineRule="auto"/>
              <w:jc w:val="center"/>
            </w:pPr>
            <w:r>
              <w:rPr>
                <w:rFonts w:hint="eastAsia"/>
              </w:rPr>
              <w:t>0.05%</w:t>
            </w:r>
          </w:p>
        </w:tc>
        <w:tc>
          <w:tcPr>
            <w:tcW w:w="1799" w:type="dxa"/>
            <w:vAlign w:val="center"/>
          </w:tcPr>
          <w:p w14:paraId="6FD09D28">
            <w:pPr>
              <w:widowControl/>
              <w:spacing w:line="360" w:lineRule="auto"/>
              <w:jc w:val="center"/>
            </w:pPr>
            <w:r>
              <w:rPr>
                <w:rFonts w:hint="eastAsia"/>
              </w:rPr>
              <w:t>0.05%</w:t>
            </w:r>
          </w:p>
        </w:tc>
      </w:tr>
      <w:tr w14:paraId="7D336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5" w:type="dxa"/>
            <w:vAlign w:val="center"/>
          </w:tcPr>
          <w:p w14:paraId="600D0BB7">
            <w:pPr>
              <w:widowControl/>
              <w:spacing w:line="360" w:lineRule="auto"/>
              <w:jc w:val="center"/>
            </w:pPr>
            <w:r>
              <w:rPr>
                <w:rFonts w:hint="eastAsia"/>
              </w:rPr>
              <w:t>5亿元（含）-10亿元</w:t>
            </w:r>
          </w:p>
        </w:tc>
        <w:tc>
          <w:tcPr>
            <w:tcW w:w="1799" w:type="dxa"/>
            <w:vAlign w:val="center"/>
          </w:tcPr>
          <w:p w14:paraId="718D4FF2">
            <w:pPr>
              <w:widowControl/>
              <w:spacing w:line="360" w:lineRule="auto"/>
              <w:jc w:val="center"/>
            </w:pPr>
            <w:r>
              <w:rPr>
                <w:rFonts w:hint="eastAsia"/>
              </w:rPr>
              <w:t>0.035%</w:t>
            </w:r>
          </w:p>
        </w:tc>
        <w:tc>
          <w:tcPr>
            <w:tcW w:w="1799" w:type="dxa"/>
            <w:vAlign w:val="center"/>
          </w:tcPr>
          <w:p w14:paraId="369A0651">
            <w:pPr>
              <w:widowControl/>
              <w:spacing w:line="360" w:lineRule="auto"/>
              <w:jc w:val="center"/>
            </w:pPr>
            <w:r>
              <w:rPr>
                <w:rFonts w:hint="eastAsia"/>
              </w:rPr>
              <w:t>0.035%</w:t>
            </w:r>
          </w:p>
        </w:tc>
        <w:tc>
          <w:tcPr>
            <w:tcW w:w="1799" w:type="dxa"/>
            <w:vAlign w:val="center"/>
          </w:tcPr>
          <w:p w14:paraId="6346379B">
            <w:pPr>
              <w:widowControl/>
              <w:spacing w:line="360" w:lineRule="auto"/>
              <w:jc w:val="center"/>
            </w:pPr>
            <w:r>
              <w:rPr>
                <w:rFonts w:hint="eastAsia"/>
              </w:rPr>
              <w:t>0.035%</w:t>
            </w:r>
          </w:p>
        </w:tc>
      </w:tr>
      <w:tr w14:paraId="0FD2D4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125" w:type="dxa"/>
            <w:vAlign w:val="center"/>
          </w:tcPr>
          <w:p w14:paraId="29604DA6">
            <w:pPr>
              <w:widowControl/>
              <w:spacing w:line="360" w:lineRule="auto"/>
              <w:jc w:val="center"/>
            </w:pPr>
            <w:r>
              <w:rPr>
                <w:rFonts w:hint="eastAsia"/>
              </w:rPr>
              <w:t>10亿元（含）-50亿元</w:t>
            </w:r>
          </w:p>
        </w:tc>
        <w:tc>
          <w:tcPr>
            <w:tcW w:w="1799" w:type="dxa"/>
            <w:vAlign w:val="center"/>
          </w:tcPr>
          <w:p w14:paraId="4FBE1015">
            <w:pPr>
              <w:widowControl/>
              <w:spacing w:line="360" w:lineRule="auto"/>
              <w:jc w:val="center"/>
            </w:pPr>
            <w:r>
              <w:rPr>
                <w:rFonts w:hint="eastAsia"/>
              </w:rPr>
              <w:t>0.008%</w:t>
            </w:r>
          </w:p>
        </w:tc>
        <w:tc>
          <w:tcPr>
            <w:tcW w:w="1799" w:type="dxa"/>
            <w:vAlign w:val="center"/>
          </w:tcPr>
          <w:p w14:paraId="231FBB2F">
            <w:pPr>
              <w:widowControl/>
              <w:spacing w:line="360" w:lineRule="auto"/>
              <w:jc w:val="center"/>
            </w:pPr>
            <w:r>
              <w:rPr>
                <w:rFonts w:hint="eastAsia"/>
              </w:rPr>
              <w:t>0.008%</w:t>
            </w:r>
          </w:p>
        </w:tc>
        <w:tc>
          <w:tcPr>
            <w:tcW w:w="1799" w:type="dxa"/>
            <w:vAlign w:val="center"/>
          </w:tcPr>
          <w:p w14:paraId="0C41C921">
            <w:pPr>
              <w:widowControl/>
              <w:spacing w:line="360" w:lineRule="auto"/>
              <w:jc w:val="center"/>
            </w:pPr>
            <w:r>
              <w:rPr>
                <w:rFonts w:hint="eastAsia"/>
              </w:rPr>
              <w:t>0.008%</w:t>
            </w:r>
          </w:p>
        </w:tc>
      </w:tr>
      <w:tr w14:paraId="2279CB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5" w:type="dxa"/>
            <w:vAlign w:val="center"/>
          </w:tcPr>
          <w:p w14:paraId="03670272">
            <w:pPr>
              <w:widowControl/>
              <w:spacing w:line="360" w:lineRule="auto"/>
              <w:jc w:val="center"/>
            </w:pPr>
            <w:r>
              <w:rPr>
                <w:rFonts w:hint="eastAsia"/>
              </w:rPr>
              <w:t>50亿元（含）-100亿元</w:t>
            </w:r>
          </w:p>
        </w:tc>
        <w:tc>
          <w:tcPr>
            <w:tcW w:w="1799" w:type="dxa"/>
            <w:vAlign w:val="center"/>
          </w:tcPr>
          <w:p w14:paraId="1B532695">
            <w:pPr>
              <w:widowControl/>
              <w:spacing w:line="360" w:lineRule="auto"/>
              <w:jc w:val="center"/>
            </w:pPr>
            <w:r>
              <w:rPr>
                <w:rFonts w:hint="eastAsia"/>
              </w:rPr>
              <w:t>0.006%</w:t>
            </w:r>
          </w:p>
        </w:tc>
        <w:tc>
          <w:tcPr>
            <w:tcW w:w="1799" w:type="dxa"/>
            <w:vAlign w:val="center"/>
          </w:tcPr>
          <w:p w14:paraId="78474A63">
            <w:pPr>
              <w:widowControl/>
              <w:spacing w:line="360" w:lineRule="auto"/>
              <w:jc w:val="center"/>
            </w:pPr>
            <w:r>
              <w:rPr>
                <w:rFonts w:hint="eastAsia"/>
              </w:rPr>
              <w:t>0.006%</w:t>
            </w:r>
          </w:p>
        </w:tc>
        <w:tc>
          <w:tcPr>
            <w:tcW w:w="1799" w:type="dxa"/>
            <w:vAlign w:val="center"/>
          </w:tcPr>
          <w:p w14:paraId="4403A544">
            <w:pPr>
              <w:widowControl/>
              <w:spacing w:line="360" w:lineRule="auto"/>
              <w:jc w:val="center"/>
            </w:pPr>
            <w:r>
              <w:rPr>
                <w:rFonts w:hint="eastAsia"/>
              </w:rPr>
              <w:t>0.006%</w:t>
            </w:r>
          </w:p>
        </w:tc>
      </w:tr>
      <w:tr w14:paraId="3E7CDE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25" w:type="dxa"/>
            <w:vAlign w:val="center"/>
          </w:tcPr>
          <w:p w14:paraId="260F742E">
            <w:pPr>
              <w:widowControl/>
              <w:spacing w:line="360" w:lineRule="auto"/>
              <w:jc w:val="center"/>
            </w:pPr>
            <w:r>
              <w:rPr>
                <w:rFonts w:hint="eastAsia"/>
              </w:rPr>
              <w:t>100亿元（含）以上</w:t>
            </w:r>
          </w:p>
        </w:tc>
        <w:tc>
          <w:tcPr>
            <w:tcW w:w="1799" w:type="dxa"/>
            <w:vAlign w:val="center"/>
          </w:tcPr>
          <w:p w14:paraId="2ADD5689">
            <w:pPr>
              <w:widowControl/>
              <w:spacing w:line="360" w:lineRule="auto"/>
              <w:jc w:val="center"/>
            </w:pPr>
            <w:r>
              <w:rPr>
                <w:rFonts w:hint="eastAsia"/>
              </w:rPr>
              <w:t>0.004%</w:t>
            </w:r>
          </w:p>
        </w:tc>
        <w:tc>
          <w:tcPr>
            <w:tcW w:w="1799" w:type="dxa"/>
            <w:vAlign w:val="center"/>
          </w:tcPr>
          <w:p w14:paraId="4E2007AA">
            <w:pPr>
              <w:widowControl/>
              <w:spacing w:line="360" w:lineRule="auto"/>
              <w:jc w:val="center"/>
            </w:pPr>
            <w:r>
              <w:rPr>
                <w:rFonts w:hint="eastAsia"/>
              </w:rPr>
              <w:t>0.004%</w:t>
            </w:r>
          </w:p>
        </w:tc>
        <w:tc>
          <w:tcPr>
            <w:tcW w:w="1799" w:type="dxa"/>
            <w:vAlign w:val="center"/>
          </w:tcPr>
          <w:p w14:paraId="6E094F93">
            <w:pPr>
              <w:widowControl/>
              <w:spacing w:line="360" w:lineRule="auto"/>
              <w:jc w:val="center"/>
            </w:pPr>
            <w:r>
              <w:rPr>
                <w:rFonts w:hint="eastAsia"/>
              </w:rPr>
              <w:t>0.004%</w:t>
            </w:r>
          </w:p>
        </w:tc>
      </w:tr>
    </w:tbl>
    <w:p w14:paraId="7E4F20D9">
      <w:pPr>
        <w:ind w:firstLine="420" w:firstLineChars="200"/>
      </w:pPr>
      <w:r>
        <w:rPr>
          <w:rFonts w:hint="eastAsia"/>
        </w:rPr>
        <w:t xml:space="preserve">备注：1.每宗交易代理服务费不低于 </w:t>
      </w:r>
      <w:r>
        <w:rPr>
          <w:rFonts w:hint="eastAsia" w:ascii="Times New Roman" w:eastAsia="宋体"/>
          <w:lang w:val="en-US" w:eastAsia="zh-CN"/>
        </w:rPr>
        <w:t>5</w:t>
      </w:r>
      <w:r>
        <w:rPr>
          <w:rFonts w:hint="eastAsia"/>
        </w:rPr>
        <w:t>000 元；</w:t>
      </w:r>
    </w:p>
    <w:p w14:paraId="4C7199E9">
      <w:pPr>
        <w:ind w:firstLine="420" w:firstLineChars="200"/>
        <w:rPr>
          <w:rFonts w:hint="eastAsia" w:eastAsia="宋体"/>
          <w:lang w:eastAsia="zh-CN"/>
        </w:rPr>
      </w:pPr>
      <w:r>
        <w:rPr>
          <w:rFonts w:hint="eastAsia"/>
        </w:rPr>
        <w:t>2.对于报总价的采购类项目，中标</w:t>
      </w:r>
      <w:r>
        <w:rPr>
          <w:rFonts w:hint="eastAsia" w:eastAsia="宋体"/>
          <w:lang w:eastAsia="zh-CN"/>
        </w:rPr>
        <w:t>（</w:t>
      </w:r>
      <w:r>
        <w:rPr>
          <w:rFonts w:hint="eastAsia" w:ascii="Times New Roman" w:eastAsia="宋体"/>
          <w:lang w:val="en-US" w:eastAsia="zh-CN"/>
        </w:rPr>
        <w:t>成交</w:t>
      </w:r>
      <w:r>
        <w:rPr>
          <w:rFonts w:hint="eastAsia" w:eastAsia="宋体"/>
          <w:lang w:eastAsia="zh-CN"/>
        </w:rPr>
        <w:t>）</w:t>
      </w:r>
      <w:r>
        <w:rPr>
          <w:rFonts w:hint="eastAsia"/>
        </w:rPr>
        <w:t>价为中标（成交）金额；对于报单价、折扣或费率的采购类项目，中标</w:t>
      </w:r>
      <w:r>
        <w:rPr>
          <w:rFonts w:hint="eastAsia" w:eastAsia="宋体"/>
          <w:lang w:eastAsia="zh-CN"/>
        </w:rPr>
        <w:t>（</w:t>
      </w:r>
      <w:r>
        <w:rPr>
          <w:rFonts w:hint="eastAsia" w:ascii="Times New Roman" w:eastAsia="宋体"/>
          <w:lang w:val="en-US" w:eastAsia="zh-CN"/>
        </w:rPr>
        <w:t>成交</w:t>
      </w:r>
      <w:r>
        <w:rPr>
          <w:rFonts w:hint="eastAsia" w:eastAsia="宋体"/>
          <w:lang w:eastAsia="zh-CN"/>
        </w:rPr>
        <w:t>）</w:t>
      </w:r>
      <w:r>
        <w:rPr>
          <w:rFonts w:hint="eastAsia"/>
        </w:rPr>
        <w:t>价为预算上限金额或经委托方与代理方确定的支付上限金额；</w:t>
      </w:r>
    </w:p>
    <w:p w14:paraId="4C23E708">
      <w:pPr>
        <w:ind w:firstLine="420" w:firstLineChars="200"/>
      </w:pPr>
    </w:p>
    <w:p w14:paraId="28C86828">
      <w:pPr>
        <w:ind w:firstLine="420" w:firstLineChars="200"/>
      </w:pPr>
      <w:r>
        <w:rPr>
          <w:rFonts w:hint="eastAsia"/>
        </w:rPr>
        <w:t>如某货物采购项目，中标（成交）金额为600万元，总共交纳的代理服务费的具体计算过程如下：</w:t>
      </w:r>
    </w:p>
    <w:p w14:paraId="6B96CE67">
      <w:pPr>
        <w:ind w:firstLine="420" w:firstLineChars="200"/>
      </w:pPr>
      <w:r>
        <w:rPr>
          <w:rFonts w:hint="eastAsia"/>
        </w:rPr>
        <w:t>标准代理服务费＝（100万以下部分的代理服务费）+（100万～500万部分的代理服务费）+（500万～600万部分的代理服务费）＝100万元×1.5%+（500-100）万元×1.1%+（600-500）万元×0.8%=1.5万元+4.4万元+0.8万元＝6.7万元</w:t>
      </w:r>
    </w:p>
    <w:p w14:paraId="473E9E3A">
      <w:pPr>
        <w:ind w:firstLine="420" w:firstLineChars="200"/>
      </w:pPr>
      <w:r>
        <w:rPr>
          <w:rFonts w:hint="eastAsia"/>
        </w:rPr>
        <w:t>（</w:t>
      </w:r>
      <w:r>
        <w:rPr>
          <w:rFonts w:hint="eastAsia" w:ascii="Times New Roman" w:eastAsia="宋体"/>
          <w:lang w:val="en-US" w:eastAsia="zh-CN"/>
        </w:rPr>
        <w:t>3</w:t>
      </w:r>
      <w:r>
        <w:rPr>
          <w:rFonts w:hint="eastAsia"/>
        </w:rPr>
        <w:t>）中标（成交）供应商中标（成交）后，必须按规定采用银行对公转账方式向深圳交易集团有限公司直接交纳代理服务费，交纳信息及要求按照缴款</w:t>
      </w:r>
      <w:r>
        <w:rPr>
          <w:rFonts w:hint="eastAsia" w:eastAsia="宋体"/>
          <w:lang w:eastAsia="zh-CN"/>
        </w:rPr>
        <w:t>（</w:t>
      </w:r>
      <w:r>
        <w:rPr>
          <w:rFonts w:hint="eastAsia" w:ascii="Times New Roman" w:eastAsia="宋体"/>
          <w:lang w:val="en-US" w:eastAsia="zh-CN"/>
        </w:rPr>
        <w:t>付款</w:t>
      </w:r>
      <w:r>
        <w:rPr>
          <w:rFonts w:hint="eastAsia" w:eastAsia="宋体"/>
          <w:lang w:eastAsia="zh-CN"/>
        </w:rPr>
        <w:t>）</w:t>
      </w:r>
      <w:r>
        <w:rPr>
          <w:rFonts w:hint="eastAsia"/>
        </w:rPr>
        <w:t>通知书执行。</w:t>
      </w:r>
    </w:p>
    <w:p w14:paraId="77F3C498">
      <w:pPr>
        <w:pStyle w:val="8"/>
        <w:rPr>
          <w:b/>
        </w:rPr>
      </w:pPr>
    </w:p>
    <w:p w14:paraId="48776596">
      <w:pPr>
        <w:pStyle w:val="8"/>
        <w:rPr>
          <w:b/>
        </w:rPr>
      </w:pPr>
    </w:p>
    <w:p w14:paraId="3D66F467">
      <w:pPr>
        <w:spacing w:after="0" w:line="240" w:lineRule="auto"/>
        <w:ind w:firstLine="422" w:firstLineChars="200"/>
        <w:jc w:val="left"/>
        <w:rPr>
          <w:rFonts w:ascii="宋体" w:hAnsi="宋体" w:eastAsia="宋体" w:cs="宋体"/>
          <w:b/>
          <w:color w:val="000000" w:themeColor="text1"/>
          <w:szCs w:val="21"/>
          <w:highlight w:val="none"/>
          <w14:textFill>
            <w14:solidFill>
              <w14:schemeClr w14:val="tx1"/>
            </w14:solidFill>
          </w14:textFill>
        </w:rPr>
      </w:pPr>
      <w:r>
        <w:rPr>
          <w:rFonts w:hint="eastAsia" w:cs="Times New Roman"/>
          <w:b/>
          <w:color w:val="000000" w:themeColor="text1"/>
          <w:highlight w:val="none"/>
          <w:lang w:val="en-US" w:eastAsia="zh-CN"/>
          <w14:textFill>
            <w14:solidFill>
              <w14:schemeClr w14:val="tx1"/>
            </w14:solidFill>
          </w14:textFill>
        </w:rPr>
        <w:t>3</w:t>
      </w:r>
      <w:r>
        <w:rPr>
          <w:rFonts w:hint="eastAsia" w:ascii="Times New Roman" w:hAnsi="Times New Roman" w:cs="Times New Roman"/>
          <w:b/>
          <w:color w:val="000000" w:themeColor="text1"/>
          <w:highlight w:val="none"/>
          <w:lang w:val="en-US" w:eastAsia="zh-CN"/>
          <w14:textFill>
            <w14:solidFill>
              <w14:schemeClr w14:val="tx1"/>
            </w14:solidFill>
          </w14:textFill>
        </w:rPr>
        <w:t>.</w:t>
      </w:r>
      <w:r>
        <w:rPr>
          <w:rFonts w:hint="eastAsia" w:ascii="Times New Roman" w:hAnsi="Times New Roman" w:eastAsia="宋体" w:cs="Times New Roman"/>
          <w:b/>
          <w:color w:val="000000" w:themeColor="text1"/>
          <w:highlight w:val="none"/>
          <w14:textFill>
            <w14:solidFill>
              <w14:schemeClr w14:val="tx1"/>
            </w14:solidFill>
          </w14:textFill>
        </w:rPr>
        <w:t>其他说明</w:t>
      </w:r>
    </w:p>
    <w:p w14:paraId="713BF8A9">
      <w:pPr>
        <w:wordWrap w:val="0"/>
        <w:spacing w:after="0" w:line="240" w:lineRule="auto"/>
        <w:ind w:firstLine="420" w:firstLineChars="200"/>
        <w:rPr>
          <w:rFonts w:ascii="Times New Roman" w:hAnsi="Times New Roman" w:eastAsia="宋体" w:cs="Times New Roman"/>
          <w:highlight w:val="none"/>
        </w:rPr>
      </w:pPr>
      <w:r>
        <w:rPr>
          <w:rFonts w:ascii="Times New Roman" w:hAnsi="Times New Roman" w:eastAsia="宋体" w:cs="Times New Roman"/>
          <w:highlight w:val="none"/>
        </w:rPr>
        <w:t>本项目允许使用电子营业执照加、解密，投标（应答）供应商在使用“投标文件制作专用软件”制作投标（应答）文件时，可以通过微信扫码功能调用“电子营业执照”小程序制作、加密、解密投标（应答）响应文件。供应商加密投标（应答）响应文件与开标解密必须使用同一种方式，否则解密失败，导致投标无效（即：使用电子执照加密的，后续开标只能使用电子执照解密）。</w:t>
      </w:r>
    </w:p>
    <w:p w14:paraId="6A4C7C6F">
      <w:pPr>
        <w:wordWrap w:val="0"/>
        <w:spacing w:after="0" w:line="240" w:lineRule="auto"/>
        <w:ind w:firstLine="422" w:firstLineChars="200"/>
        <w:rPr>
          <w:rFonts w:ascii="Times New Roman" w:hAnsi="Times New Roman" w:eastAsia="宋体" w:cs="Times New Roman"/>
          <w:b/>
          <w:bCs/>
          <w:highlight w:val="none"/>
        </w:rPr>
      </w:pPr>
      <w:r>
        <w:rPr>
          <w:rFonts w:ascii="Times New Roman" w:hAnsi="Times New Roman" w:eastAsia="宋体" w:cs="Times New Roman"/>
          <w:b/>
          <w:bCs/>
          <w:highlight w:val="none"/>
        </w:rPr>
        <w:t>重要提示：</w:t>
      </w:r>
    </w:p>
    <w:p w14:paraId="74EFB363">
      <w:pPr>
        <w:wordWrap w:val="0"/>
        <w:spacing w:after="0" w:line="240" w:lineRule="auto"/>
        <w:ind w:firstLine="420" w:firstLineChars="200"/>
        <w:rPr>
          <w:rFonts w:ascii="Times New Roman" w:hAnsi="Times New Roman" w:eastAsia="宋体" w:cs="Times New Roman"/>
          <w:highlight w:val="none"/>
        </w:rPr>
      </w:pPr>
      <w:r>
        <w:rPr>
          <w:rFonts w:ascii="Times New Roman" w:hAnsi="Times New Roman" w:eastAsia="宋体" w:cs="Times New Roman"/>
          <w:highlight w:val="none"/>
        </w:rPr>
        <w:t>1</w:t>
      </w:r>
      <w:r>
        <w:rPr>
          <w:rFonts w:hint="eastAsia" w:ascii="Times New Roman" w:hAnsi="Times New Roman" w:eastAsia="宋体" w:cs="Times New Roman"/>
          <w:highlight w:val="none"/>
          <w:lang w:eastAsia="zh-CN"/>
        </w:rPr>
        <w:t>.</w:t>
      </w:r>
      <w:r>
        <w:rPr>
          <w:rFonts w:ascii="Times New Roman" w:hAnsi="Times New Roman" w:eastAsia="宋体" w:cs="Times New Roman"/>
          <w:highlight w:val="none"/>
        </w:rPr>
        <w:t>使用电子营业执照功能时，请确保已经在手机微信安装 “电子营业执照”小程序，或已安装了“电子营业执照”APP，并且在 “电子营业执照”小程序/app中完成相应的下载电子营业执照、法人授权、备份密钥等操作（具体详见国家工商总局网站），电子投标地区必须选择 “广东省-深圳市-深圳政府采购智慧平台”（请根据手机小程序/app提示进行设置，或拨打电子营业执照平台技术支持电话010-86355313，15921122750）。</w:t>
      </w:r>
    </w:p>
    <w:p w14:paraId="30442FC8">
      <w:pPr>
        <w:wordWrap w:val="0"/>
        <w:spacing w:after="0" w:line="240" w:lineRule="auto"/>
        <w:ind w:firstLine="420" w:firstLineChars="200"/>
        <w:rPr>
          <w:rFonts w:ascii="Times New Roman" w:hAnsi="Times New Roman" w:eastAsia="宋体" w:cs="Times New Roman"/>
          <w:highlight w:val="none"/>
        </w:rPr>
      </w:pPr>
      <w:r>
        <w:rPr>
          <w:rFonts w:ascii="Times New Roman" w:hAnsi="Times New Roman" w:eastAsia="宋体" w:cs="Times New Roman"/>
          <w:highlight w:val="none"/>
        </w:rPr>
        <w:t>2</w:t>
      </w:r>
      <w:r>
        <w:rPr>
          <w:rFonts w:hint="eastAsia" w:ascii="Times New Roman" w:hAnsi="Times New Roman" w:eastAsia="宋体" w:cs="Times New Roman"/>
          <w:highlight w:val="none"/>
          <w:lang w:eastAsia="zh-CN"/>
        </w:rPr>
        <w:t>.</w:t>
      </w:r>
      <w:r>
        <w:rPr>
          <w:rFonts w:ascii="Times New Roman" w:hAnsi="Times New Roman" w:eastAsia="宋体" w:cs="Times New Roman"/>
          <w:highlight w:val="none"/>
        </w:rPr>
        <w:t>电子营业执照应用于投标文件制作和加解密属于创新应用场景，如不熟悉操作可能导致错过投标截止时间，系统已提供加密、测试解密和撤回重新上传的功能，各投标人须预留充足时间，提前制作和加密上传投标文件。</w:t>
      </w:r>
    </w:p>
    <w:p w14:paraId="50177EC0">
      <w:pPr>
        <w:pStyle w:val="9"/>
        <w:rPr>
          <w:b/>
        </w:rPr>
      </w:pPr>
      <w:r>
        <w:rPr>
          <w:rFonts w:ascii="Times New Roman" w:hAnsi="Times New Roman" w:eastAsia="宋体" w:cs="Times New Roman"/>
          <w:kern w:val="2"/>
          <w:sz w:val="21"/>
          <w:szCs w:val="24"/>
          <w:highlight w:val="none"/>
          <w:lang w:val="en-US" w:eastAsia="zh-CN" w:bidi="ar-SA"/>
        </w:rPr>
        <w:t>3</w:t>
      </w:r>
      <w:r>
        <w:rPr>
          <w:rFonts w:hint="default" w:ascii="Times New Roman" w:hAnsi="Times New Roman" w:eastAsia="宋体" w:cs="Times New Roman"/>
          <w:kern w:val="2"/>
          <w:sz w:val="21"/>
          <w:szCs w:val="24"/>
          <w:highlight w:val="none"/>
          <w:lang w:val="en-US" w:eastAsia="zh-CN" w:bidi="ar-SA"/>
        </w:rPr>
        <w:t>.</w:t>
      </w:r>
      <w:r>
        <w:rPr>
          <w:rFonts w:ascii="Times New Roman" w:hAnsi="Times New Roman" w:eastAsia="宋体" w:cs="Times New Roman"/>
          <w:kern w:val="2"/>
          <w:sz w:val="21"/>
          <w:szCs w:val="24"/>
          <w:highlight w:val="none"/>
          <w:lang w:val="en-US" w:eastAsia="zh-CN" w:bidi="ar-SA"/>
        </w:rPr>
        <w:t>已办理数字证书（电子密钥）的用户，可以继续使用数字证书完成投标活动。未申请电子营业执照或无法通过电子营业执照完成投标文件制作和加解密的用户，必须使用电子密钥进行投标文件制作和加解密，咨询电话0755-83948165，4008301330（CA办理指引详见链接https://www.szzfcg.cn/portal/documentView.do?method=view&amp;id=597167584）。</w:t>
      </w:r>
    </w:p>
    <w:p w14:paraId="1E55D6F0">
      <w:pPr>
        <w:pStyle w:val="8"/>
        <w:rPr>
          <w:b/>
        </w:rPr>
        <w:sectPr>
          <w:pgSz w:w="11907" w:h="16840"/>
          <w:pgMar w:top="1440" w:right="1797" w:bottom="1440" w:left="1797" w:header="851" w:footer="992" w:gutter="0"/>
          <w:cols w:space="425" w:num="1"/>
          <w:titlePg/>
          <w:docGrid w:linePitch="462" w:charSpace="0"/>
        </w:sectPr>
      </w:pPr>
    </w:p>
    <w:p w14:paraId="1C1EFFF3">
      <w:pPr>
        <w:pStyle w:val="5"/>
        <w:rPr>
          <w:sz w:val="28"/>
          <w:szCs w:val="28"/>
        </w:rPr>
      </w:pPr>
      <w:bookmarkStart w:id="31" w:name="_Toc128884461"/>
      <w:r>
        <w:rPr>
          <w:rFonts w:hint="eastAsia"/>
          <w:sz w:val="28"/>
          <w:szCs w:val="28"/>
        </w:rPr>
        <w:t>第三章 用户需求书</w:t>
      </w:r>
    </w:p>
    <w:p w14:paraId="47F8A10E">
      <w:pPr>
        <w:pStyle w:val="5"/>
        <w:spacing w:before="120" w:beforeLines="50" w:after="120" w:afterLines="50"/>
        <w:rPr>
          <w:rFonts w:ascii="宋体" w:hAnsi="宋体"/>
          <w:b/>
          <w:color w:val="FF0000"/>
          <w:szCs w:val="21"/>
        </w:rPr>
      </w:pPr>
      <w:r>
        <w:rPr>
          <w:rFonts w:hint="eastAsia"/>
          <w:szCs w:val="24"/>
        </w:rPr>
        <w:t>一、项目基本信息</w:t>
      </w:r>
    </w:p>
    <w:tbl>
      <w:tblPr>
        <w:tblStyle w:val="42"/>
        <w:tblpPr w:leftFromText="180" w:rightFromText="180" w:vertAnchor="text" w:horzAnchor="margin" w:tblpY="173"/>
        <w:tblW w:w="816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3"/>
        <w:gridCol w:w="4140"/>
        <w:gridCol w:w="3228"/>
      </w:tblGrid>
      <w:tr w14:paraId="4FD16C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793" w:type="dxa"/>
            <w:vAlign w:val="center"/>
          </w:tcPr>
          <w:p w14:paraId="68158793">
            <w:pPr>
              <w:jc w:val="center"/>
              <w:rPr>
                <w:bCs/>
                <w:szCs w:val="21"/>
              </w:rPr>
            </w:pPr>
            <w:r>
              <w:rPr>
                <w:rFonts w:hint="eastAsia"/>
                <w:bCs/>
                <w:szCs w:val="21"/>
              </w:rPr>
              <w:t>序号</w:t>
            </w:r>
          </w:p>
        </w:tc>
        <w:tc>
          <w:tcPr>
            <w:tcW w:w="4140" w:type="dxa"/>
            <w:vAlign w:val="center"/>
          </w:tcPr>
          <w:p w14:paraId="5AE50530">
            <w:pPr>
              <w:jc w:val="center"/>
              <w:rPr>
                <w:bCs/>
                <w:szCs w:val="21"/>
              </w:rPr>
            </w:pPr>
            <w:r>
              <w:rPr>
                <w:rFonts w:hint="eastAsia"/>
                <w:bCs/>
                <w:szCs w:val="21"/>
              </w:rPr>
              <w:t>采购项目名称</w:t>
            </w:r>
          </w:p>
        </w:tc>
        <w:tc>
          <w:tcPr>
            <w:tcW w:w="3228" w:type="dxa"/>
            <w:vAlign w:val="center"/>
          </w:tcPr>
          <w:p w14:paraId="1D5890D2">
            <w:pPr>
              <w:jc w:val="center"/>
              <w:rPr>
                <w:b/>
                <w:bCs/>
                <w:color w:val="FF0000"/>
                <w:szCs w:val="21"/>
              </w:rPr>
            </w:pPr>
            <w:r>
              <w:rPr>
                <w:rFonts w:hint="eastAsia"/>
                <w:b/>
                <w:bCs/>
                <w:color w:val="FF0000"/>
                <w:szCs w:val="21"/>
              </w:rPr>
              <w:t>预算</w:t>
            </w:r>
            <w:r>
              <w:rPr>
                <w:rFonts w:hint="eastAsia"/>
                <w:b/>
                <w:bCs/>
                <w:color w:val="FF0000"/>
                <w:szCs w:val="21"/>
                <w:lang w:val="en-US" w:eastAsia="zh-CN"/>
              </w:rPr>
              <w:t>金额</w:t>
            </w:r>
            <w:r>
              <w:rPr>
                <w:rFonts w:hint="eastAsia"/>
                <w:b/>
                <w:bCs/>
                <w:color w:val="FF0000"/>
                <w:szCs w:val="21"/>
              </w:rPr>
              <w:t>（元）</w:t>
            </w:r>
          </w:p>
        </w:tc>
      </w:tr>
      <w:tr w14:paraId="34B90D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793" w:type="dxa"/>
            <w:vAlign w:val="center"/>
          </w:tcPr>
          <w:p w14:paraId="6B0D458C">
            <w:pPr>
              <w:jc w:val="center"/>
              <w:rPr>
                <w:bCs/>
                <w:color w:val="FF0000"/>
                <w:szCs w:val="21"/>
              </w:rPr>
            </w:pPr>
            <w:r>
              <w:rPr>
                <w:rFonts w:hint="eastAsia"/>
                <w:bCs/>
                <w:color w:val="FF0000"/>
                <w:szCs w:val="21"/>
              </w:rPr>
              <w:t>1</w:t>
            </w:r>
          </w:p>
        </w:tc>
        <w:tc>
          <w:tcPr>
            <w:tcW w:w="4140" w:type="dxa"/>
            <w:vAlign w:val="center"/>
          </w:tcPr>
          <w:p w14:paraId="1834AA81">
            <w:pPr>
              <w:jc w:val="center"/>
              <w:rPr>
                <w:b/>
                <w:bCs/>
                <w:color w:val="FF0000"/>
                <w:szCs w:val="21"/>
              </w:rPr>
            </w:pPr>
            <w:r>
              <w:rPr>
                <w:rFonts w:hint="eastAsia"/>
                <w:b/>
                <w:bCs/>
                <w:color w:val="FF0000"/>
                <w:szCs w:val="21"/>
              </w:rPr>
              <w:t>福田区教育科学研究院福田教育智能应用平台建设项目</w:t>
            </w:r>
          </w:p>
        </w:tc>
        <w:tc>
          <w:tcPr>
            <w:tcW w:w="3228" w:type="dxa"/>
            <w:vAlign w:val="center"/>
          </w:tcPr>
          <w:p w14:paraId="493B8A10">
            <w:pPr>
              <w:jc w:val="center"/>
              <w:rPr>
                <w:bCs/>
                <w:color w:val="FF0000"/>
                <w:szCs w:val="21"/>
              </w:rPr>
            </w:pPr>
            <w:r>
              <w:rPr>
                <w:bCs/>
                <w:color w:val="FF0000"/>
                <w:szCs w:val="21"/>
              </w:rPr>
              <w:t>941800</w:t>
            </w:r>
          </w:p>
        </w:tc>
      </w:tr>
    </w:tbl>
    <w:p w14:paraId="76A18C90">
      <w:pPr>
        <w:rPr>
          <w:rFonts w:ascii="宋体" w:hAnsi="宋体"/>
          <w:b/>
          <w:color w:val="FF0000"/>
          <w:szCs w:val="21"/>
        </w:rPr>
      </w:pPr>
    </w:p>
    <w:p w14:paraId="31409560">
      <w:pPr>
        <w:pStyle w:val="5"/>
        <w:spacing w:before="120" w:beforeLines="50" w:after="120" w:afterLines="50"/>
        <w:rPr>
          <w:szCs w:val="24"/>
        </w:rPr>
      </w:pPr>
      <w:r>
        <w:rPr>
          <w:rFonts w:hint="eastAsia"/>
          <w:szCs w:val="24"/>
        </w:rPr>
        <w:t>二、项目概况</w:t>
      </w:r>
    </w:p>
    <w:p w14:paraId="74F14A95">
      <w:pPr>
        <w:ind w:firstLine="420" w:firstLineChars="200"/>
        <w:jc w:val="left"/>
        <w:rPr>
          <w:rFonts w:hint="eastAsia"/>
          <w:bCs/>
          <w:szCs w:val="21"/>
        </w:rPr>
      </w:pPr>
      <w:r>
        <w:rPr>
          <w:rFonts w:hint="eastAsia"/>
          <w:bCs/>
          <w:szCs w:val="21"/>
        </w:rPr>
        <w:t>为贯彻落实《教育部办公厅关于印发 &lt;教育信息化标准化工作管理办法&gt; 的通知》《深圳市人民政府关于印发深圳市教育发展“十四五”规划的通知》《深圳市福田区推进教育人工智能全域应用二十五条举措》的精神，福田区拟建设教育智能应用生态门户。项目旨在规范AI技术在教育领域的应用，通过构建标准化、安全化的智能教育平台，整合优质教育资源，提升区域教育数字化水平。</w:t>
      </w:r>
    </w:p>
    <w:p w14:paraId="690B3226">
      <w:pPr>
        <w:rPr>
          <w:rFonts w:ascii="宋体" w:hAnsi="宋体"/>
          <w:b/>
          <w:color w:val="FF0000"/>
          <w:szCs w:val="21"/>
        </w:rPr>
      </w:pPr>
    </w:p>
    <w:p w14:paraId="68A2857E">
      <w:pPr>
        <w:pStyle w:val="5"/>
        <w:spacing w:before="120" w:beforeLines="50" w:after="120" w:afterLines="50"/>
        <w:rPr>
          <w:szCs w:val="24"/>
        </w:rPr>
      </w:pPr>
      <w:r>
        <w:rPr>
          <w:rFonts w:hint="eastAsia"/>
          <w:szCs w:val="24"/>
        </w:rPr>
        <w:t>三、</w:t>
      </w:r>
      <w:bookmarkStart w:id="32" w:name="_Hlk72073432"/>
      <w:r>
        <w:rPr>
          <w:rFonts w:hint="eastAsia"/>
          <w:szCs w:val="24"/>
        </w:rPr>
        <w:t>服务需求明细</w:t>
      </w:r>
      <w:bookmarkEnd w:id="32"/>
    </w:p>
    <w:tbl>
      <w:tblPr>
        <w:tblStyle w:val="42"/>
        <w:tblW w:w="88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3"/>
        <w:gridCol w:w="2709"/>
        <w:gridCol w:w="1229"/>
        <w:gridCol w:w="1099"/>
        <w:gridCol w:w="756"/>
        <w:gridCol w:w="1383"/>
        <w:gridCol w:w="1199"/>
      </w:tblGrid>
      <w:tr w14:paraId="26AEC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3" w:type="dxa"/>
          </w:tcPr>
          <w:p w14:paraId="26AEC4CA">
            <w:pPr>
              <w:jc w:val="center"/>
              <w:rPr>
                <w:rFonts w:hint="eastAsia"/>
                <w:bCs/>
                <w:szCs w:val="21"/>
              </w:rPr>
            </w:pPr>
            <w:r>
              <w:rPr>
                <w:rFonts w:hint="eastAsia"/>
                <w:bCs/>
                <w:szCs w:val="21"/>
              </w:rPr>
              <w:t>序号</w:t>
            </w:r>
          </w:p>
        </w:tc>
        <w:tc>
          <w:tcPr>
            <w:tcW w:w="2709" w:type="dxa"/>
          </w:tcPr>
          <w:p w14:paraId="26AEC4CC">
            <w:pPr>
              <w:jc w:val="center"/>
              <w:rPr>
                <w:rFonts w:hint="eastAsia"/>
                <w:bCs/>
                <w:szCs w:val="21"/>
              </w:rPr>
            </w:pPr>
            <w:r>
              <w:rPr>
                <w:rFonts w:hint="eastAsia"/>
                <w:bCs/>
                <w:szCs w:val="21"/>
              </w:rPr>
              <w:t>服务名称</w:t>
            </w:r>
          </w:p>
        </w:tc>
        <w:tc>
          <w:tcPr>
            <w:tcW w:w="1229" w:type="dxa"/>
          </w:tcPr>
          <w:p w14:paraId="26AEC4CD">
            <w:pPr>
              <w:jc w:val="center"/>
              <w:rPr>
                <w:rFonts w:hint="eastAsia"/>
                <w:bCs/>
                <w:szCs w:val="21"/>
              </w:rPr>
            </w:pPr>
            <w:r>
              <w:rPr>
                <w:rFonts w:hint="eastAsia"/>
                <w:bCs/>
                <w:szCs w:val="21"/>
              </w:rPr>
              <w:t>完成时间</w:t>
            </w:r>
          </w:p>
        </w:tc>
        <w:tc>
          <w:tcPr>
            <w:tcW w:w="1099" w:type="dxa"/>
          </w:tcPr>
          <w:p w14:paraId="002810D7">
            <w:pPr>
              <w:jc w:val="center"/>
              <w:rPr>
                <w:rFonts w:hint="eastAsia" w:ascii="Times New Roman" w:eastAsia="宋体"/>
                <w:b/>
                <w:bCs/>
                <w:color w:val="FF0000"/>
                <w:szCs w:val="21"/>
                <w:lang w:val="en-US" w:eastAsia="zh-CN"/>
              </w:rPr>
            </w:pPr>
            <w:r>
              <w:rPr>
                <w:rFonts w:hint="eastAsia" w:ascii="Times New Roman" w:eastAsia="宋体"/>
                <w:b/>
                <w:bCs/>
                <w:color w:val="FF0000"/>
                <w:szCs w:val="21"/>
                <w:lang w:val="en-US" w:eastAsia="zh-CN"/>
              </w:rPr>
              <w:t>是否专门面向中小企业</w:t>
            </w:r>
          </w:p>
        </w:tc>
        <w:tc>
          <w:tcPr>
            <w:tcW w:w="756" w:type="dxa"/>
          </w:tcPr>
          <w:p w14:paraId="26AEC4CE">
            <w:pPr>
              <w:jc w:val="center"/>
              <w:rPr>
                <w:rFonts w:hint="eastAsia"/>
                <w:bCs/>
                <w:szCs w:val="21"/>
              </w:rPr>
            </w:pPr>
            <w:r>
              <w:rPr>
                <w:rFonts w:hint="eastAsia" w:ascii="Times New Roman" w:eastAsia="宋体"/>
                <w:b/>
                <w:bCs/>
                <w:color w:val="FF0000"/>
                <w:szCs w:val="21"/>
                <w:lang w:val="en-US" w:eastAsia="zh-CN"/>
              </w:rPr>
              <w:t>标的所属行业</w:t>
            </w:r>
          </w:p>
        </w:tc>
        <w:tc>
          <w:tcPr>
            <w:tcW w:w="1383" w:type="dxa"/>
          </w:tcPr>
          <w:p w14:paraId="26AEC4CF">
            <w:pPr>
              <w:jc w:val="center"/>
              <w:rPr>
                <w:rFonts w:hint="eastAsia"/>
                <w:bCs/>
                <w:szCs w:val="21"/>
              </w:rPr>
            </w:pPr>
            <w:r>
              <w:rPr>
                <w:rFonts w:hint="eastAsia"/>
                <w:bCs/>
                <w:szCs w:val="21"/>
                <w:lang w:val="en-US" w:eastAsia="zh-CN"/>
              </w:rPr>
              <w:t>分项报价（仅供参考）</w:t>
            </w:r>
          </w:p>
        </w:tc>
        <w:tc>
          <w:tcPr>
            <w:tcW w:w="1199" w:type="dxa"/>
            <w:vAlign w:val="center"/>
          </w:tcPr>
          <w:p w14:paraId="26AEC4D0">
            <w:pPr>
              <w:jc w:val="center"/>
              <w:rPr>
                <w:rFonts w:hint="eastAsia"/>
                <w:bCs/>
                <w:szCs w:val="21"/>
              </w:rPr>
            </w:pPr>
            <w:r>
              <w:rPr>
                <w:rFonts w:hint="eastAsia"/>
                <w:bCs/>
                <w:szCs w:val="21"/>
              </w:rPr>
              <w:t>财政预算限额（元）</w:t>
            </w:r>
          </w:p>
        </w:tc>
      </w:tr>
      <w:tr w14:paraId="26AEC4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3" w:type="dxa"/>
            <w:shd w:val="clear" w:color="auto" w:fill="auto"/>
            <w:vAlign w:val="center"/>
          </w:tcPr>
          <w:p w14:paraId="26AEC4D2">
            <w:pPr>
              <w:jc w:val="center"/>
              <w:rPr>
                <w:rFonts w:hint="eastAsia"/>
                <w:bCs/>
                <w:szCs w:val="21"/>
              </w:rPr>
            </w:pPr>
            <w:r>
              <w:rPr>
                <w:rFonts w:hint="eastAsia"/>
                <w:bCs/>
                <w:szCs w:val="21"/>
              </w:rPr>
              <w:t>1</w:t>
            </w:r>
          </w:p>
        </w:tc>
        <w:tc>
          <w:tcPr>
            <w:tcW w:w="2709" w:type="dxa"/>
            <w:shd w:val="clear" w:color="auto" w:fill="auto"/>
            <w:vAlign w:val="center"/>
          </w:tcPr>
          <w:p w14:paraId="26AEC4D4">
            <w:pPr>
              <w:jc w:val="center"/>
              <w:rPr>
                <w:rFonts w:hint="eastAsia"/>
                <w:bCs/>
                <w:szCs w:val="21"/>
              </w:rPr>
            </w:pPr>
            <w:r>
              <w:rPr>
                <w:rFonts w:hint="eastAsia"/>
                <w:bCs/>
                <w:szCs w:val="21"/>
              </w:rPr>
              <w:t>移动端门户小程序和APP（安卓+iOS）</w:t>
            </w:r>
          </w:p>
        </w:tc>
        <w:tc>
          <w:tcPr>
            <w:tcW w:w="1229" w:type="dxa"/>
            <w:vMerge w:val="restart"/>
          </w:tcPr>
          <w:p w14:paraId="26AEC4D5">
            <w:pPr>
              <w:jc w:val="center"/>
              <w:rPr>
                <w:rFonts w:hint="eastAsia"/>
                <w:bCs/>
                <w:szCs w:val="21"/>
              </w:rPr>
            </w:pPr>
            <w:r>
              <w:rPr>
                <w:rFonts w:hint="eastAsia"/>
                <w:bCs/>
                <w:szCs w:val="21"/>
                <w:lang w:val="en-US" w:eastAsia="zh-CN"/>
              </w:rPr>
              <w:t>自</w:t>
            </w:r>
            <w:r>
              <w:rPr>
                <w:rFonts w:hint="eastAsia"/>
                <w:bCs/>
                <w:szCs w:val="21"/>
              </w:rPr>
              <w:t>合同签订后365日。含前期开发时间45日，后期的升级完善、推广和运行维护服务等。</w:t>
            </w:r>
          </w:p>
          <w:p w14:paraId="26AEC4D6">
            <w:pPr>
              <w:jc w:val="center"/>
              <w:rPr>
                <w:rFonts w:hint="eastAsia"/>
                <w:bCs/>
                <w:szCs w:val="21"/>
              </w:rPr>
            </w:pPr>
          </w:p>
        </w:tc>
        <w:tc>
          <w:tcPr>
            <w:tcW w:w="1099" w:type="dxa"/>
            <w:vMerge w:val="restart"/>
          </w:tcPr>
          <w:p w14:paraId="6F78BFAE">
            <w:pPr>
              <w:jc w:val="center"/>
              <w:rPr>
                <w:rFonts w:hint="eastAsia" w:ascii="Times New Roman" w:eastAsia="宋体"/>
                <w:b/>
                <w:bCs/>
                <w:color w:val="FF0000"/>
                <w:szCs w:val="21"/>
                <w:lang w:val="en-US" w:eastAsia="zh-CN"/>
              </w:rPr>
            </w:pPr>
          </w:p>
          <w:p w14:paraId="4847A357">
            <w:pPr>
              <w:jc w:val="center"/>
              <w:rPr>
                <w:rFonts w:hint="eastAsia" w:ascii="Times New Roman" w:eastAsia="宋体"/>
                <w:b/>
                <w:bCs/>
                <w:color w:val="FF0000"/>
                <w:szCs w:val="21"/>
                <w:lang w:val="en-US" w:eastAsia="zh-CN"/>
              </w:rPr>
            </w:pPr>
          </w:p>
          <w:p w14:paraId="44E956F9">
            <w:pPr>
              <w:jc w:val="center"/>
              <w:rPr>
                <w:rFonts w:hint="eastAsia" w:eastAsia="宋体"/>
                <w:bCs/>
                <w:szCs w:val="21"/>
                <w:lang w:val="en-US" w:eastAsia="zh-CN"/>
              </w:rPr>
            </w:pPr>
            <w:r>
              <w:rPr>
                <w:rFonts w:hint="eastAsia" w:ascii="Times New Roman" w:eastAsia="宋体"/>
                <w:b/>
                <w:bCs/>
                <w:color w:val="FF0000"/>
                <w:szCs w:val="21"/>
                <w:lang w:val="en-US" w:eastAsia="zh-CN"/>
              </w:rPr>
              <w:t>否</w:t>
            </w:r>
          </w:p>
        </w:tc>
        <w:tc>
          <w:tcPr>
            <w:tcW w:w="756" w:type="dxa"/>
            <w:vMerge w:val="restart"/>
          </w:tcPr>
          <w:p w14:paraId="26AEC4D7">
            <w:pPr>
              <w:jc w:val="center"/>
              <w:rPr>
                <w:rFonts w:hint="eastAsia"/>
                <w:bCs/>
                <w:szCs w:val="21"/>
              </w:rPr>
            </w:pPr>
            <w:r>
              <w:rPr>
                <w:rFonts w:hint="eastAsia"/>
                <w:bCs/>
                <w:szCs w:val="21"/>
              </w:rPr>
              <w:t>软件和信息技术服务业</w:t>
            </w:r>
          </w:p>
          <w:p w14:paraId="26AEC4D8">
            <w:pPr>
              <w:jc w:val="center"/>
              <w:rPr>
                <w:rFonts w:hint="eastAsia"/>
                <w:bCs/>
                <w:szCs w:val="21"/>
              </w:rPr>
            </w:pPr>
          </w:p>
        </w:tc>
        <w:tc>
          <w:tcPr>
            <w:tcW w:w="1383" w:type="dxa"/>
            <w:shd w:val="clear" w:color="auto" w:fill="auto"/>
            <w:vAlign w:val="center"/>
          </w:tcPr>
          <w:p w14:paraId="26AEC4D9">
            <w:pPr>
              <w:jc w:val="center"/>
              <w:rPr>
                <w:rFonts w:hint="eastAsia"/>
                <w:bCs/>
                <w:szCs w:val="21"/>
              </w:rPr>
            </w:pPr>
            <w:r>
              <w:rPr>
                <w:rFonts w:hint="eastAsia"/>
                <w:bCs/>
                <w:szCs w:val="21"/>
              </w:rPr>
              <w:t>187000</w:t>
            </w:r>
          </w:p>
        </w:tc>
        <w:tc>
          <w:tcPr>
            <w:tcW w:w="1199" w:type="dxa"/>
            <w:vMerge w:val="restart"/>
          </w:tcPr>
          <w:p w14:paraId="26AEC4DA">
            <w:pPr>
              <w:jc w:val="center"/>
              <w:rPr>
                <w:rFonts w:hint="eastAsia"/>
                <w:bCs/>
                <w:szCs w:val="21"/>
              </w:rPr>
            </w:pPr>
            <w:r>
              <w:rPr>
                <w:rFonts w:hint="eastAsia"/>
                <w:bCs/>
                <w:color w:val="FF0000"/>
                <w:szCs w:val="21"/>
              </w:rPr>
              <w:t>941800</w:t>
            </w:r>
          </w:p>
        </w:tc>
      </w:tr>
      <w:tr w14:paraId="26AEC4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3" w:type="dxa"/>
            <w:shd w:val="clear" w:color="auto" w:fill="auto"/>
            <w:vAlign w:val="center"/>
          </w:tcPr>
          <w:p w14:paraId="26AEC4DC">
            <w:pPr>
              <w:jc w:val="center"/>
              <w:rPr>
                <w:rFonts w:hint="eastAsia"/>
                <w:bCs/>
                <w:szCs w:val="21"/>
              </w:rPr>
            </w:pPr>
            <w:r>
              <w:rPr>
                <w:rFonts w:hint="eastAsia"/>
                <w:bCs/>
                <w:szCs w:val="21"/>
              </w:rPr>
              <w:t>2</w:t>
            </w:r>
          </w:p>
        </w:tc>
        <w:tc>
          <w:tcPr>
            <w:tcW w:w="2709" w:type="dxa"/>
            <w:shd w:val="clear" w:color="auto" w:fill="auto"/>
            <w:vAlign w:val="center"/>
          </w:tcPr>
          <w:p w14:paraId="26AEC4DE">
            <w:pPr>
              <w:jc w:val="center"/>
              <w:rPr>
                <w:rFonts w:hint="eastAsia"/>
                <w:bCs/>
                <w:szCs w:val="21"/>
              </w:rPr>
            </w:pPr>
            <w:r>
              <w:rPr>
                <w:rFonts w:hint="eastAsia"/>
                <w:bCs/>
                <w:szCs w:val="21"/>
              </w:rPr>
              <w:t>智能体管理和发布</w:t>
            </w:r>
          </w:p>
        </w:tc>
        <w:tc>
          <w:tcPr>
            <w:tcW w:w="1229" w:type="dxa"/>
            <w:vMerge w:val="continue"/>
          </w:tcPr>
          <w:p w14:paraId="26AEC4DF">
            <w:pPr>
              <w:jc w:val="center"/>
              <w:rPr>
                <w:rFonts w:hint="eastAsia"/>
                <w:bCs/>
                <w:szCs w:val="21"/>
              </w:rPr>
            </w:pPr>
          </w:p>
        </w:tc>
        <w:tc>
          <w:tcPr>
            <w:tcW w:w="1099" w:type="dxa"/>
            <w:vMerge w:val="continue"/>
          </w:tcPr>
          <w:p w14:paraId="26AEC4E0">
            <w:pPr>
              <w:jc w:val="center"/>
              <w:rPr>
                <w:rFonts w:hint="eastAsia"/>
                <w:bCs/>
                <w:szCs w:val="21"/>
              </w:rPr>
            </w:pPr>
          </w:p>
        </w:tc>
        <w:tc>
          <w:tcPr>
            <w:tcW w:w="756" w:type="dxa"/>
            <w:vMerge w:val="continue"/>
          </w:tcPr>
          <w:p w14:paraId="59E7F919">
            <w:pPr>
              <w:jc w:val="center"/>
              <w:rPr>
                <w:rFonts w:hint="eastAsia"/>
                <w:bCs/>
                <w:szCs w:val="21"/>
              </w:rPr>
            </w:pPr>
          </w:p>
        </w:tc>
        <w:tc>
          <w:tcPr>
            <w:tcW w:w="1383" w:type="dxa"/>
            <w:shd w:val="clear" w:color="auto" w:fill="auto"/>
            <w:vAlign w:val="center"/>
          </w:tcPr>
          <w:p w14:paraId="26AEC4E1">
            <w:pPr>
              <w:jc w:val="center"/>
              <w:rPr>
                <w:rFonts w:hint="eastAsia"/>
                <w:bCs/>
                <w:szCs w:val="21"/>
              </w:rPr>
            </w:pPr>
            <w:r>
              <w:rPr>
                <w:rFonts w:hint="eastAsia"/>
                <w:bCs/>
                <w:szCs w:val="21"/>
              </w:rPr>
              <w:t>75000</w:t>
            </w:r>
          </w:p>
        </w:tc>
        <w:tc>
          <w:tcPr>
            <w:tcW w:w="1199" w:type="dxa"/>
            <w:vMerge w:val="continue"/>
          </w:tcPr>
          <w:p w14:paraId="26AEC4E2">
            <w:pPr>
              <w:jc w:val="center"/>
              <w:rPr>
                <w:rFonts w:hint="eastAsia"/>
                <w:bCs/>
                <w:szCs w:val="21"/>
              </w:rPr>
            </w:pPr>
          </w:p>
        </w:tc>
      </w:tr>
      <w:tr w14:paraId="26AEC4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3" w:type="dxa"/>
            <w:shd w:val="clear" w:color="auto" w:fill="auto"/>
            <w:vAlign w:val="center"/>
          </w:tcPr>
          <w:p w14:paraId="26AEC4E4">
            <w:pPr>
              <w:jc w:val="center"/>
              <w:rPr>
                <w:rFonts w:hint="eastAsia"/>
                <w:bCs/>
                <w:szCs w:val="21"/>
              </w:rPr>
            </w:pPr>
            <w:r>
              <w:rPr>
                <w:rFonts w:hint="eastAsia"/>
                <w:bCs/>
                <w:szCs w:val="21"/>
              </w:rPr>
              <w:t>3</w:t>
            </w:r>
          </w:p>
        </w:tc>
        <w:tc>
          <w:tcPr>
            <w:tcW w:w="2709" w:type="dxa"/>
            <w:shd w:val="clear" w:color="auto" w:fill="auto"/>
            <w:vAlign w:val="center"/>
          </w:tcPr>
          <w:p w14:paraId="26AEC4E6">
            <w:pPr>
              <w:jc w:val="center"/>
              <w:rPr>
                <w:rFonts w:hint="eastAsia"/>
                <w:bCs/>
                <w:szCs w:val="21"/>
              </w:rPr>
            </w:pPr>
            <w:r>
              <w:rPr>
                <w:rFonts w:hint="eastAsia"/>
                <w:bCs/>
                <w:szCs w:val="21"/>
              </w:rPr>
              <w:t>外部应用接入管理和发布</w:t>
            </w:r>
          </w:p>
        </w:tc>
        <w:tc>
          <w:tcPr>
            <w:tcW w:w="1229" w:type="dxa"/>
            <w:vMerge w:val="continue"/>
          </w:tcPr>
          <w:p w14:paraId="26AEC4E7">
            <w:pPr>
              <w:jc w:val="center"/>
              <w:rPr>
                <w:rFonts w:hint="eastAsia"/>
                <w:bCs/>
                <w:szCs w:val="21"/>
              </w:rPr>
            </w:pPr>
          </w:p>
        </w:tc>
        <w:tc>
          <w:tcPr>
            <w:tcW w:w="1099" w:type="dxa"/>
            <w:vMerge w:val="continue"/>
          </w:tcPr>
          <w:p w14:paraId="26AEC4E8">
            <w:pPr>
              <w:jc w:val="center"/>
              <w:rPr>
                <w:rFonts w:hint="eastAsia"/>
                <w:bCs/>
                <w:szCs w:val="21"/>
              </w:rPr>
            </w:pPr>
          </w:p>
        </w:tc>
        <w:tc>
          <w:tcPr>
            <w:tcW w:w="756" w:type="dxa"/>
            <w:vMerge w:val="continue"/>
          </w:tcPr>
          <w:p w14:paraId="24842C0E">
            <w:pPr>
              <w:jc w:val="center"/>
              <w:rPr>
                <w:rFonts w:hint="eastAsia"/>
                <w:bCs/>
                <w:szCs w:val="21"/>
              </w:rPr>
            </w:pPr>
          </w:p>
        </w:tc>
        <w:tc>
          <w:tcPr>
            <w:tcW w:w="1383" w:type="dxa"/>
            <w:shd w:val="clear" w:color="auto" w:fill="auto"/>
            <w:vAlign w:val="center"/>
          </w:tcPr>
          <w:p w14:paraId="26AEC4E9">
            <w:pPr>
              <w:jc w:val="center"/>
              <w:rPr>
                <w:rFonts w:hint="eastAsia"/>
                <w:bCs/>
                <w:szCs w:val="21"/>
              </w:rPr>
            </w:pPr>
            <w:r>
              <w:rPr>
                <w:rFonts w:hint="eastAsia"/>
                <w:bCs/>
                <w:szCs w:val="21"/>
              </w:rPr>
              <w:t>58000</w:t>
            </w:r>
          </w:p>
        </w:tc>
        <w:tc>
          <w:tcPr>
            <w:tcW w:w="1199" w:type="dxa"/>
            <w:vMerge w:val="continue"/>
          </w:tcPr>
          <w:p w14:paraId="26AEC4EA">
            <w:pPr>
              <w:jc w:val="center"/>
              <w:rPr>
                <w:rFonts w:hint="eastAsia"/>
                <w:bCs/>
                <w:szCs w:val="21"/>
              </w:rPr>
            </w:pPr>
          </w:p>
        </w:tc>
      </w:tr>
      <w:tr w14:paraId="26AEC4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3" w:type="dxa"/>
            <w:shd w:val="clear" w:color="auto" w:fill="auto"/>
            <w:vAlign w:val="center"/>
          </w:tcPr>
          <w:p w14:paraId="26AEC4EC">
            <w:pPr>
              <w:jc w:val="center"/>
              <w:rPr>
                <w:rFonts w:hint="eastAsia"/>
                <w:bCs/>
                <w:szCs w:val="21"/>
              </w:rPr>
            </w:pPr>
            <w:r>
              <w:rPr>
                <w:rFonts w:hint="eastAsia"/>
                <w:bCs/>
                <w:szCs w:val="21"/>
              </w:rPr>
              <w:t>4</w:t>
            </w:r>
          </w:p>
        </w:tc>
        <w:tc>
          <w:tcPr>
            <w:tcW w:w="2709" w:type="dxa"/>
            <w:shd w:val="clear" w:color="auto" w:fill="auto"/>
            <w:vAlign w:val="center"/>
          </w:tcPr>
          <w:p w14:paraId="26AEC4EE">
            <w:pPr>
              <w:jc w:val="center"/>
              <w:rPr>
                <w:rFonts w:hint="eastAsia"/>
                <w:bCs/>
                <w:szCs w:val="21"/>
              </w:rPr>
            </w:pPr>
            <w:r>
              <w:rPr>
                <w:rFonts w:hint="eastAsia"/>
                <w:bCs/>
                <w:szCs w:val="21"/>
              </w:rPr>
              <w:t>内容管理和发布</w:t>
            </w:r>
          </w:p>
        </w:tc>
        <w:tc>
          <w:tcPr>
            <w:tcW w:w="1229" w:type="dxa"/>
            <w:vMerge w:val="continue"/>
          </w:tcPr>
          <w:p w14:paraId="26AEC4EF">
            <w:pPr>
              <w:jc w:val="center"/>
              <w:rPr>
                <w:rFonts w:hint="eastAsia"/>
                <w:bCs/>
                <w:szCs w:val="21"/>
              </w:rPr>
            </w:pPr>
          </w:p>
        </w:tc>
        <w:tc>
          <w:tcPr>
            <w:tcW w:w="1099" w:type="dxa"/>
            <w:vMerge w:val="continue"/>
          </w:tcPr>
          <w:p w14:paraId="26AEC4F0">
            <w:pPr>
              <w:jc w:val="center"/>
              <w:rPr>
                <w:rFonts w:hint="eastAsia"/>
                <w:bCs/>
                <w:szCs w:val="21"/>
              </w:rPr>
            </w:pPr>
          </w:p>
        </w:tc>
        <w:tc>
          <w:tcPr>
            <w:tcW w:w="756" w:type="dxa"/>
            <w:vMerge w:val="continue"/>
          </w:tcPr>
          <w:p w14:paraId="12A88EE0">
            <w:pPr>
              <w:jc w:val="center"/>
              <w:rPr>
                <w:rFonts w:hint="eastAsia"/>
                <w:bCs/>
                <w:szCs w:val="21"/>
              </w:rPr>
            </w:pPr>
          </w:p>
        </w:tc>
        <w:tc>
          <w:tcPr>
            <w:tcW w:w="1383" w:type="dxa"/>
            <w:shd w:val="clear" w:color="auto" w:fill="auto"/>
            <w:vAlign w:val="center"/>
          </w:tcPr>
          <w:p w14:paraId="26AEC4F1">
            <w:pPr>
              <w:jc w:val="center"/>
              <w:rPr>
                <w:rFonts w:hint="eastAsia"/>
                <w:bCs/>
                <w:szCs w:val="21"/>
              </w:rPr>
            </w:pPr>
            <w:r>
              <w:rPr>
                <w:rFonts w:hint="eastAsia"/>
                <w:bCs/>
                <w:szCs w:val="21"/>
              </w:rPr>
              <w:t>47500</w:t>
            </w:r>
          </w:p>
        </w:tc>
        <w:tc>
          <w:tcPr>
            <w:tcW w:w="1199" w:type="dxa"/>
            <w:vMerge w:val="continue"/>
          </w:tcPr>
          <w:p w14:paraId="26AEC4F2">
            <w:pPr>
              <w:jc w:val="center"/>
              <w:rPr>
                <w:rFonts w:hint="eastAsia"/>
                <w:bCs/>
                <w:szCs w:val="21"/>
              </w:rPr>
            </w:pPr>
          </w:p>
        </w:tc>
      </w:tr>
      <w:tr w14:paraId="26AEC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3" w:type="dxa"/>
            <w:shd w:val="clear" w:color="auto" w:fill="auto"/>
            <w:vAlign w:val="center"/>
          </w:tcPr>
          <w:p w14:paraId="26AEC4F4">
            <w:pPr>
              <w:jc w:val="center"/>
              <w:rPr>
                <w:rFonts w:hint="eastAsia"/>
                <w:bCs/>
                <w:szCs w:val="21"/>
              </w:rPr>
            </w:pPr>
            <w:r>
              <w:rPr>
                <w:rFonts w:hint="eastAsia"/>
                <w:bCs/>
                <w:szCs w:val="21"/>
              </w:rPr>
              <w:t>5</w:t>
            </w:r>
          </w:p>
        </w:tc>
        <w:tc>
          <w:tcPr>
            <w:tcW w:w="2709" w:type="dxa"/>
            <w:shd w:val="clear" w:color="auto" w:fill="auto"/>
            <w:vAlign w:val="center"/>
          </w:tcPr>
          <w:p w14:paraId="26AEC4F6">
            <w:pPr>
              <w:jc w:val="center"/>
              <w:rPr>
                <w:rFonts w:hint="eastAsia"/>
                <w:bCs/>
                <w:szCs w:val="21"/>
              </w:rPr>
            </w:pPr>
            <w:r>
              <w:rPr>
                <w:rFonts w:hint="eastAsia"/>
                <w:bCs/>
                <w:szCs w:val="21"/>
              </w:rPr>
              <w:t>多机构区域化管理</w:t>
            </w:r>
          </w:p>
        </w:tc>
        <w:tc>
          <w:tcPr>
            <w:tcW w:w="1229" w:type="dxa"/>
            <w:vMerge w:val="continue"/>
          </w:tcPr>
          <w:p w14:paraId="26AEC4F7">
            <w:pPr>
              <w:jc w:val="center"/>
              <w:rPr>
                <w:rFonts w:hint="eastAsia"/>
                <w:bCs/>
                <w:szCs w:val="21"/>
              </w:rPr>
            </w:pPr>
          </w:p>
        </w:tc>
        <w:tc>
          <w:tcPr>
            <w:tcW w:w="1099" w:type="dxa"/>
            <w:vMerge w:val="continue"/>
          </w:tcPr>
          <w:p w14:paraId="26AEC4F8">
            <w:pPr>
              <w:jc w:val="center"/>
              <w:rPr>
                <w:rFonts w:hint="eastAsia"/>
                <w:bCs/>
                <w:szCs w:val="21"/>
              </w:rPr>
            </w:pPr>
          </w:p>
        </w:tc>
        <w:tc>
          <w:tcPr>
            <w:tcW w:w="756" w:type="dxa"/>
            <w:vMerge w:val="continue"/>
          </w:tcPr>
          <w:p w14:paraId="19D01373">
            <w:pPr>
              <w:jc w:val="center"/>
              <w:rPr>
                <w:rFonts w:hint="eastAsia"/>
                <w:bCs/>
                <w:szCs w:val="21"/>
              </w:rPr>
            </w:pPr>
          </w:p>
        </w:tc>
        <w:tc>
          <w:tcPr>
            <w:tcW w:w="1383" w:type="dxa"/>
            <w:shd w:val="clear" w:color="auto" w:fill="auto"/>
            <w:vAlign w:val="center"/>
          </w:tcPr>
          <w:p w14:paraId="26AEC4F9">
            <w:pPr>
              <w:jc w:val="center"/>
              <w:rPr>
                <w:rFonts w:hint="eastAsia"/>
                <w:bCs/>
                <w:szCs w:val="21"/>
              </w:rPr>
            </w:pPr>
            <w:r>
              <w:rPr>
                <w:rFonts w:hint="eastAsia"/>
                <w:bCs/>
                <w:szCs w:val="21"/>
              </w:rPr>
              <w:t>47250</w:t>
            </w:r>
          </w:p>
        </w:tc>
        <w:tc>
          <w:tcPr>
            <w:tcW w:w="1199" w:type="dxa"/>
            <w:vMerge w:val="continue"/>
          </w:tcPr>
          <w:p w14:paraId="26AEC4FA">
            <w:pPr>
              <w:jc w:val="center"/>
              <w:rPr>
                <w:rFonts w:hint="eastAsia"/>
                <w:bCs/>
                <w:szCs w:val="21"/>
              </w:rPr>
            </w:pPr>
          </w:p>
        </w:tc>
      </w:tr>
      <w:tr w14:paraId="26AEC5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3" w:type="dxa"/>
            <w:shd w:val="clear" w:color="auto" w:fill="auto"/>
            <w:vAlign w:val="center"/>
          </w:tcPr>
          <w:p w14:paraId="26AEC4FC">
            <w:pPr>
              <w:jc w:val="center"/>
              <w:rPr>
                <w:rFonts w:hint="eastAsia"/>
                <w:bCs/>
                <w:szCs w:val="21"/>
              </w:rPr>
            </w:pPr>
            <w:r>
              <w:rPr>
                <w:rFonts w:hint="eastAsia"/>
                <w:bCs/>
                <w:szCs w:val="21"/>
              </w:rPr>
              <w:t>6</w:t>
            </w:r>
          </w:p>
        </w:tc>
        <w:tc>
          <w:tcPr>
            <w:tcW w:w="2709" w:type="dxa"/>
            <w:shd w:val="clear" w:color="auto" w:fill="auto"/>
            <w:vAlign w:val="center"/>
          </w:tcPr>
          <w:p w14:paraId="26AEC4FE">
            <w:pPr>
              <w:jc w:val="center"/>
              <w:rPr>
                <w:rFonts w:hint="eastAsia"/>
                <w:bCs/>
                <w:szCs w:val="21"/>
              </w:rPr>
            </w:pPr>
            <w:r>
              <w:rPr>
                <w:rFonts w:hint="eastAsia"/>
                <w:bCs/>
                <w:szCs w:val="21"/>
              </w:rPr>
              <w:t>用户分享系统</w:t>
            </w:r>
          </w:p>
        </w:tc>
        <w:tc>
          <w:tcPr>
            <w:tcW w:w="1229" w:type="dxa"/>
            <w:vMerge w:val="continue"/>
          </w:tcPr>
          <w:p w14:paraId="26AEC4FF">
            <w:pPr>
              <w:jc w:val="center"/>
              <w:rPr>
                <w:rFonts w:hint="eastAsia"/>
                <w:bCs/>
                <w:szCs w:val="21"/>
              </w:rPr>
            </w:pPr>
          </w:p>
        </w:tc>
        <w:tc>
          <w:tcPr>
            <w:tcW w:w="1099" w:type="dxa"/>
            <w:vMerge w:val="continue"/>
          </w:tcPr>
          <w:p w14:paraId="26AEC500">
            <w:pPr>
              <w:jc w:val="center"/>
              <w:rPr>
                <w:rFonts w:hint="eastAsia"/>
                <w:bCs/>
                <w:szCs w:val="21"/>
              </w:rPr>
            </w:pPr>
          </w:p>
        </w:tc>
        <w:tc>
          <w:tcPr>
            <w:tcW w:w="756" w:type="dxa"/>
            <w:vMerge w:val="continue"/>
          </w:tcPr>
          <w:p w14:paraId="2C052727">
            <w:pPr>
              <w:jc w:val="center"/>
              <w:rPr>
                <w:rFonts w:hint="eastAsia"/>
                <w:bCs/>
                <w:szCs w:val="21"/>
              </w:rPr>
            </w:pPr>
          </w:p>
        </w:tc>
        <w:tc>
          <w:tcPr>
            <w:tcW w:w="1383" w:type="dxa"/>
            <w:shd w:val="clear" w:color="auto" w:fill="auto"/>
            <w:vAlign w:val="center"/>
          </w:tcPr>
          <w:p w14:paraId="26AEC501">
            <w:pPr>
              <w:jc w:val="center"/>
              <w:rPr>
                <w:rFonts w:hint="eastAsia"/>
                <w:bCs/>
                <w:szCs w:val="21"/>
              </w:rPr>
            </w:pPr>
            <w:r>
              <w:rPr>
                <w:rFonts w:hint="eastAsia"/>
                <w:bCs/>
                <w:szCs w:val="21"/>
              </w:rPr>
              <w:t>33250</w:t>
            </w:r>
          </w:p>
        </w:tc>
        <w:tc>
          <w:tcPr>
            <w:tcW w:w="1199" w:type="dxa"/>
            <w:vMerge w:val="continue"/>
          </w:tcPr>
          <w:p w14:paraId="26AEC502">
            <w:pPr>
              <w:jc w:val="center"/>
              <w:rPr>
                <w:rFonts w:hint="eastAsia"/>
                <w:bCs/>
                <w:szCs w:val="21"/>
              </w:rPr>
            </w:pPr>
          </w:p>
        </w:tc>
      </w:tr>
      <w:tr w14:paraId="26AEC5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3" w:type="dxa"/>
            <w:shd w:val="clear" w:color="auto" w:fill="auto"/>
            <w:vAlign w:val="center"/>
          </w:tcPr>
          <w:p w14:paraId="26AEC504">
            <w:pPr>
              <w:jc w:val="center"/>
              <w:rPr>
                <w:rFonts w:hint="eastAsia"/>
                <w:bCs/>
                <w:szCs w:val="21"/>
              </w:rPr>
            </w:pPr>
            <w:r>
              <w:rPr>
                <w:rFonts w:hint="eastAsia"/>
                <w:bCs/>
                <w:szCs w:val="21"/>
              </w:rPr>
              <w:t>7</w:t>
            </w:r>
          </w:p>
        </w:tc>
        <w:tc>
          <w:tcPr>
            <w:tcW w:w="2709" w:type="dxa"/>
            <w:shd w:val="clear" w:color="auto" w:fill="auto"/>
            <w:vAlign w:val="center"/>
          </w:tcPr>
          <w:p w14:paraId="26AEC506">
            <w:pPr>
              <w:jc w:val="center"/>
              <w:rPr>
                <w:rFonts w:hint="eastAsia"/>
                <w:bCs/>
                <w:szCs w:val="21"/>
              </w:rPr>
            </w:pPr>
            <w:r>
              <w:rPr>
                <w:rFonts w:hint="eastAsia"/>
                <w:bCs/>
                <w:szCs w:val="21"/>
              </w:rPr>
              <w:t>搜索推荐引擎</w:t>
            </w:r>
          </w:p>
        </w:tc>
        <w:tc>
          <w:tcPr>
            <w:tcW w:w="1229" w:type="dxa"/>
            <w:vMerge w:val="continue"/>
          </w:tcPr>
          <w:p w14:paraId="26AEC507">
            <w:pPr>
              <w:jc w:val="center"/>
              <w:rPr>
                <w:rFonts w:hint="eastAsia"/>
                <w:bCs/>
                <w:szCs w:val="21"/>
              </w:rPr>
            </w:pPr>
          </w:p>
        </w:tc>
        <w:tc>
          <w:tcPr>
            <w:tcW w:w="1099" w:type="dxa"/>
            <w:vMerge w:val="continue"/>
          </w:tcPr>
          <w:p w14:paraId="26AEC508">
            <w:pPr>
              <w:jc w:val="center"/>
              <w:rPr>
                <w:rFonts w:hint="eastAsia"/>
                <w:bCs/>
                <w:szCs w:val="21"/>
              </w:rPr>
            </w:pPr>
          </w:p>
        </w:tc>
        <w:tc>
          <w:tcPr>
            <w:tcW w:w="756" w:type="dxa"/>
            <w:vMerge w:val="continue"/>
          </w:tcPr>
          <w:p w14:paraId="1F950A6A">
            <w:pPr>
              <w:jc w:val="center"/>
              <w:rPr>
                <w:rFonts w:hint="eastAsia"/>
                <w:bCs/>
                <w:szCs w:val="21"/>
              </w:rPr>
            </w:pPr>
          </w:p>
        </w:tc>
        <w:tc>
          <w:tcPr>
            <w:tcW w:w="1383" w:type="dxa"/>
            <w:shd w:val="clear" w:color="auto" w:fill="auto"/>
            <w:vAlign w:val="center"/>
          </w:tcPr>
          <w:p w14:paraId="26AEC509">
            <w:pPr>
              <w:jc w:val="center"/>
              <w:rPr>
                <w:rFonts w:hint="eastAsia"/>
                <w:bCs/>
                <w:szCs w:val="21"/>
              </w:rPr>
            </w:pPr>
            <w:r>
              <w:rPr>
                <w:rFonts w:hint="eastAsia"/>
                <w:bCs/>
                <w:szCs w:val="21"/>
              </w:rPr>
              <w:t>47250</w:t>
            </w:r>
          </w:p>
        </w:tc>
        <w:tc>
          <w:tcPr>
            <w:tcW w:w="1199" w:type="dxa"/>
            <w:vMerge w:val="continue"/>
          </w:tcPr>
          <w:p w14:paraId="26AEC50A">
            <w:pPr>
              <w:jc w:val="center"/>
              <w:rPr>
                <w:rFonts w:hint="eastAsia"/>
                <w:bCs/>
                <w:szCs w:val="21"/>
              </w:rPr>
            </w:pPr>
          </w:p>
        </w:tc>
      </w:tr>
      <w:tr w14:paraId="26AEC5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3" w:type="dxa"/>
            <w:shd w:val="clear" w:color="auto" w:fill="auto"/>
            <w:vAlign w:val="center"/>
          </w:tcPr>
          <w:p w14:paraId="26AEC50C">
            <w:pPr>
              <w:jc w:val="center"/>
              <w:rPr>
                <w:rFonts w:hint="eastAsia"/>
                <w:bCs/>
                <w:szCs w:val="21"/>
              </w:rPr>
            </w:pPr>
            <w:r>
              <w:rPr>
                <w:rFonts w:hint="eastAsia"/>
                <w:bCs/>
                <w:szCs w:val="21"/>
              </w:rPr>
              <w:t>8</w:t>
            </w:r>
          </w:p>
        </w:tc>
        <w:tc>
          <w:tcPr>
            <w:tcW w:w="2709" w:type="dxa"/>
            <w:shd w:val="clear" w:color="auto" w:fill="auto"/>
            <w:vAlign w:val="center"/>
          </w:tcPr>
          <w:p w14:paraId="26AEC50E">
            <w:pPr>
              <w:jc w:val="center"/>
              <w:rPr>
                <w:rFonts w:hint="eastAsia"/>
                <w:bCs/>
                <w:szCs w:val="21"/>
              </w:rPr>
            </w:pPr>
            <w:r>
              <w:rPr>
                <w:rFonts w:hint="eastAsia"/>
                <w:bCs/>
                <w:szCs w:val="21"/>
              </w:rPr>
              <w:t>智能应用效果评估</w:t>
            </w:r>
          </w:p>
        </w:tc>
        <w:tc>
          <w:tcPr>
            <w:tcW w:w="1229" w:type="dxa"/>
            <w:vMerge w:val="continue"/>
          </w:tcPr>
          <w:p w14:paraId="26AEC50F">
            <w:pPr>
              <w:jc w:val="center"/>
              <w:rPr>
                <w:rFonts w:hint="eastAsia"/>
                <w:bCs/>
                <w:szCs w:val="21"/>
              </w:rPr>
            </w:pPr>
          </w:p>
        </w:tc>
        <w:tc>
          <w:tcPr>
            <w:tcW w:w="1099" w:type="dxa"/>
            <w:vMerge w:val="continue"/>
          </w:tcPr>
          <w:p w14:paraId="26AEC510">
            <w:pPr>
              <w:jc w:val="center"/>
              <w:rPr>
                <w:rFonts w:hint="eastAsia"/>
                <w:bCs/>
                <w:szCs w:val="21"/>
              </w:rPr>
            </w:pPr>
          </w:p>
        </w:tc>
        <w:tc>
          <w:tcPr>
            <w:tcW w:w="756" w:type="dxa"/>
            <w:vMerge w:val="continue"/>
          </w:tcPr>
          <w:p w14:paraId="717A5667">
            <w:pPr>
              <w:jc w:val="center"/>
              <w:rPr>
                <w:rFonts w:hint="eastAsia"/>
                <w:bCs/>
                <w:szCs w:val="21"/>
              </w:rPr>
            </w:pPr>
          </w:p>
        </w:tc>
        <w:tc>
          <w:tcPr>
            <w:tcW w:w="1383" w:type="dxa"/>
            <w:shd w:val="clear" w:color="auto" w:fill="auto"/>
            <w:vAlign w:val="center"/>
          </w:tcPr>
          <w:p w14:paraId="26AEC511">
            <w:pPr>
              <w:jc w:val="center"/>
              <w:rPr>
                <w:rFonts w:hint="eastAsia"/>
                <w:bCs/>
                <w:szCs w:val="21"/>
              </w:rPr>
            </w:pPr>
            <w:r>
              <w:rPr>
                <w:rFonts w:hint="eastAsia"/>
                <w:bCs/>
                <w:szCs w:val="21"/>
              </w:rPr>
              <w:t>49000</w:t>
            </w:r>
          </w:p>
        </w:tc>
        <w:tc>
          <w:tcPr>
            <w:tcW w:w="1199" w:type="dxa"/>
            <w:vMerge w:val="continue"/>
          </w:tcPr>
          <w:p w14:paraId="26AEC512">
            <w:pPr>
              <w:jc w:val="center"/>
              <w:rPr>
                <w:rFonts w:hint="eastAsia"/>
                <w:bCs/>
                <w:szCs w:val="21"/>
              </w:rPr>
            </w:pPr>
          </w:p>
        </w:tc>
      </w:tr>
      <w:tr w14:paraId="26AEC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3" w:type="dxa"/>
            <w:shd w:val="clear" w:color="auto" w:fill="auto"/>
            <w:vAlign w:val="center"/>
          </w:tcPr>
          <w:p w14:paraId="26AEC514">
            <w:pPr>
              <w:jc w:val="center"/>
              <w:rPr>
                <w:rFonts w:hint="eastAsia"/>
                <w:bCs/>
                <w:szCs w:val="21"/>
              </w:rPr>
            </w:pPr>
            <w:r>
              <w:rPr>
                <w:rFonts w:hint="eastAsia"/>
                <w:bCs/>
                <w:szCs w:val="21"/>
              </w:rPr>
              <w:t>9</w:t>
            </w:r>
          </w:p>
        </w:tc>
        <w:tc>
          <w:tcPr>
            <w:tcW w:w="2709" w:type="dxa"/>
            <w:shd w:val="clear" w:color="auto" w:fill="auto"/>
            <w:vAlign w:val="center"/>
          </w:tcPr>
          <w:p w14:paraId="26AEC516">
            <w:pPr>
              <w:jc w:val="center"/>
              <w:rPr>
                <w:rFonts w:hint="eastAsia"/>
                <w:bCs/>
                <w:szCs w:val="21"/>
              </w:rPr>
            </w:pPr>
            <w:r>
              <w:rPr>
                <w:rFonts w:hint="eastAsia"/>
                <w:bCs/>
                <w:szCs w:val="21"/>
              </w:rPr>
              <w:t>用户档案数据管理</w:t>
            </w:r>
          </w:p>
        </w:tc>
        <w:tc>
          <w:tcPr>
            <w:tcW w:w="1229" w:type="dxa"/>
            <w:vMerge w:val="continue"/>
          </w:tcPr>
          <w:p w14:paraId="26AEC517">
            <w:pPr>
              <w:jc w:val="center"/>
              <w:rPr>
                <w:rFonts w:hint="eastAsia"/>
                <w:bCs/>
                <w:szCs w:val="21"/>
              </w:rPr>
            </w:pPr>
          </w:p>
        </w:tc>
        <w:tc>
          <w:tcPr>
            <w:tcW w:w="1099" w:type="dxa"/>
            <w:vMerge w:val="continue"/>
          </w:tcPr>
          <w:p w14:paraId="26AEC518">
            <w:pPr>
              <w:jc w:val="center"/>
              <w:rPr>
                <w:rFonts w:hint="eastAsia"/>
                <w:bCs/>
                <w:szCs w:val="21"/>
              </w:rPr>
            </w:pPr>
          </w:p>
        </w:tc>
        <w:tc>
          <w:tcPr>
            <w:tcW w:w="756" w:type="dxa"/>
            <w:vMerge w:val="continue"/>
          </w:tcPr>
          <w:p w14:paraId="13009A25">
            <w:pPr>
              <w:jc w:val="center"/>
              <w:rPr>
                <w:rFonts w:hint="eastAsia"/>
                <w:bCs/>
                <w:szCs w:val="21"/>
              </w:rPr>
            </w:pPr>
          </w:p>
        </w:tc>
        <w:tc>
          <w:tcPr>
            <w:tcW w:w="1383" w:type="dxa"/>
            <w:shd w:val="clear" w:color="auto" w:fill="auto"/>
            <w:vAlign w:val="center"/>
          </w:tcPr>
          <w:p w14:paraId="26AEC519">
            <w:pPr>
              <w:jc w:val="center"/>
              <w:rPr>
                <w:rFonts w:hint="eastAsia"/>
                <w:bCs/>
                <w:szCs w:val="21"/>
              </w:rPr>
            </w:pPr>
            <w:r>
              <w:rPr>
                <w:rFonts w:hint="eastAsia"/>
                <w:bCs/>
                <w:szCs w:val="21"/>
              </w:rPr>
              <w:t>33250</w:t>
            </w:r>
          </w:p>
        </w:tc>
        <w:tc>
          <w:tcPr>
            <w:tcW w:w="1199" w:type="dxa"/>
            <w:vMerge w:val="continue"/>
          </w:tcPr>
          <w:p w14:paraId="26AEC51A">
            <w:pPr>
              <w:jc w:val="center"/>
              <w:rPr>
                <w:rFonts w:hint="eastAsia"/>
                <w:bCs/>
                <w:szCs w:val="21"/>
              </w:rPr>
            </w:pPr>
          </w:p>
        </w:tc>
      </w:tr>
      <w:tr w14:paraId="26AEC5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3" w:type="dxa"/>
            <w:shd w:val="clear" w:color="auto" w:fill="auto"/>
            <w:vAlign w:val="center"/>
          </w:tcPr>
          <w:p w14:paraId="26AEC51C">
            <w:pPr>
              <w:jc w:val="center"/>
              <w:rPr>
                <w:rFonts w:hint="eastAsia"/>
                <w:bCs/>
                <w:szCs w:val="21"/>
              </w:rPr>
            </w:pPr>
            <w:r>
              <w:rPr>
                <w:rFonts w:hint="eastAsia"/>
                <w:bCs/>
                <w:szCs w:val="21"/>
              </w:rPr>
              <w:t>10</w:t>
            </w:r>
          </w:p>
        </w:tc>
        <w:tc>
          <w:tcPr>
            <w:tcW w:w="2709" w:type="dxa"/>
            <w:shd w:val="clear" w:color="auto" w:fill="auto"/>
            <w:vAlign w:val="center"/>
          </w:tcPr>
          <w:p w14:paraId="26AEC51E">
            <w:pPr>
              <w:jc w:val="center"/>
              <w:rPr>
                <w:rFonts w:hint="eastAsia"/>
                <w:bCs/>
                <w:szCs w:val="21"/>
              </w:rPr>
            </w:pPr>
            <w:r>
              <w:rPr>
                <w:rFonts w:hint="eastAsia"/>
                <w:bCs/>
                <w:szCs w:val="21"/>
              </w:rPr>
              <w:t>智能客服子系统</w:t>
            </w:r>
          </w:p>
        </w:tc>
        <w:tc>
          <w:tcPr>
            <w:tcW w:w="1229" w:type="dxa"/>
            <w:vMerge w:val="continue"/>
          </w:tcPr>
          <w:p w14:paraId="26AEC51F">
            <w:pPr>
              <w:jc w:val="center"/>
              <w:rPr>
                <w:rFonts w:hint="eastAsia"/>
                <w:bCs/>
                <w:szCs w:val="21"/>
              </w:rPr>
            </w:pPr>
          </w:p>
        </w:tc>
        <w:tc>
          <w:tcPr>
            <w:tcW w:w="1099" w:type="dxa"/>
            <w:vMerge w:val="continue"/>
          </w:tcPr>
          <w:p w14:paraId="26AEC520">
            <w:pPr>
              <w:jc w:val="center"/>
              <w:rPr>
                <w:rFonts w:hint="eastAsia"/>
                <w:bCs/>
                <w:szCs w:val="21"/>
              </w:rPr>
            </w:pPr>
          </w:p>
        </w:tc>
        <w:tc>
          <w:tcPr>
            <w:tcW w:w="756" w:type="dxa"/>
            <w:vMerge w:val="continue"/>
          </w:tcPr>
          <w:p w14:paraId="03324DD1">
            <w:pPr>
              <w:jc w:val="center"/>
              <w:rPr>
                <w:rFonts w:hint="eastAsia"/>
                <w:bCs/>
                <w:szCs w:val="21"/>
              </w:rPr>
            </w:pPr>
          </w:p>
        </w:tc>
        <w:tc>
          <w:tcPr>
            <w:tcW w:w="1383" w:type="dxa"/>
            <w:shd w:val="clear" w:color="auto" w:fill="auto"/>
            <w:vAlign w:val="center"/>
          </w:tcPr>
          <w:p w14:paraId="26AEC521">
            <w:pPr>
              <w:jc w:val="center"/>
              <w:rPr>
                <w:rFonts w:hint="eastAsia"/>
                <w:bCs/>
                <w:szCs w:val="21"/>
              </w:rPr>
            </w:pPr>
            <w:r>
              <w:rPr>
                <w:rFonts w:hint="eastAsia"/>
                <w:bCs/>
                <w:szCs w:val="21"/>
              </w:rPr>
              <w:t>49000</w:t>
            </w:r>
          </w:p>
        </w:tc>
        <w:tc>
          <w:tcPr>
            <w:tcW w:w="1199" w:type="dxa"/>
            <w:vMerge w:val="continue"/>
          </w:tcPr>
          <w:p w14:paraId="26AEC522">
            <w:pPr>
              <w:jc w:val="center"/>
              <w:rPr>
                <w:rFonts w:hint="eastAsia"/>
                <w:bCs/>
                <w:szCs w:val="21"/>
              </w:rPr>
            </w:pPr>
          </w:p>
        </w:tc>
      </w:tr>
      <w:tr w14:paraId="26AEC5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5" w:hRule="atLeast"/>
          <w:jc w:val="center"/>
        </w:trPr>
        <w:tc>
          <w:tcPr>
            <w:tcW w:w="473" w:type="dxa"/>
            <w:shd w:val="clear" w:color="auto" w:fill="auto"/>
            <w:vAlign w:val="center"/>
          </w:tcPr>
          <w:p w14:paraId="26AEC524">
            <w:pPr>
              <w:jc w:val="center"/>
              <w:rPr>
                <w:rFonts w:hint="eastAsia"/>
                <w:bCs/>
                <w:szCs w:val="21"/>
              </w:rPr>
            </w:pPr>
            <w:r>
              <w:rPr>
                <w:rFonts w:hint="eastAsia"/>
                <w:bCs/>
                <w:szCs w:val="21"/>
              </w:rPr>
              <w:t>11</w:t>
            </w:r>
          </w:p>
        </w:tc>
        <w:tc>
          <w:tcPr>
            <w:tcW w:w="2709" w:type="dxa"/>
            <w:shd w:val="clear" w:color="auto" w:fill="auto"/>
            <w:vAlign w:val="center"/>
          </w:tcPr>
          <w:p w14:paraId="26AEC526">
            <w:pPr>
              <w:jc w:val="center"/>
              <w:rPr>
                <w:rFonts w:hint="eastAsia"/>
                <w:bCs/>
                <w:szCs w:val="21"/>
              </w:rPr>
            </w:pPr>
            <w:r>
              <w:rPr>
                <w:rFonts w:hint="eastAsia"/>
                <w:bCs/>
                <w:szCs w:val="21"/>
              </w:rPr>
              <w:t>持续升级开发和运维支持（服务期12个月）：</w:t>
            </w:r>
          </w:p>
          <w:p w14:paraId="26AEC527">
            <w:pPr>
              <w:jc w:val="center"/>
              <w:rPr>
                <w:rFonts w:hint="eastAsia"/>
                <w:bCs/>
                <w:szCs w:val="21"/>
              </w:rPr>
            </w:pPr>
            <w:r>
              <w:rPr>
                <w:rFonts w:hint="eastAsia"/>
                <w:bCs/>
                <w:szCs w:val="21"/>
              </w:rPr>
              <w:t>1.后续持续升级完善的开发费用（服务期12个月内不少于5次的升级完善服务）98000元；</w:t>
            </w:r>
          </w:p>
          <w:p w14:paraId="26AEC528">
            <w:pPr>
              <w:jc w:val="center"/>
              <w:rPr>
                <w:rFonts w:hint="eastAsia"/>
                <w:bCs/>
                <w:szCs w:val="21"/>
              </w:rPr>
            </w:pPr>
            <w:r>
              <w:rPr>
                <w:rFonts w:hint="eastAsia"/>
                <w:bCs/>
                <w:szCs w:val="21"/>
              </w:rPr>
              <w:t>2.运维支持（12个月）77000元。</w:t>
            </w:r>
          </w:p>
        </w:tc>
        <w:tc>
          <w:tcPr>
            <w:tcW w:w="1229" w:type="dxa"/>
            <w:vMerge w:val="continue"/>
          </w:tcPr>
          <w:p w14:paraId="26AEC529">
            <w:pPr>
              <w:jc w:val="center"/>
              <w:rPr>
                <w:rFonts w:hint="eastAsia"/>
                <w:bCs/>
                <w:szCs w:val="21"/>
              </w:rPr>
            </w:pPr>
          </w:p>
        </w:tc>
        <w:tc>
          <w:tcPr>
            <w:tcW w:w="1099" w:type="dxa"/>
            <w:vMerge w:val="continue"/>
          </w:tcPr>
          <w:p w14:paraId="26AEC52A">
            <w:pPr>
              <w:jc w:val="center"/>
              <w:rPr>
                <w:rFonts w:hint="eastAsia"/>
                <w:bCs/>
                <w:szCs w:val="21"/>
              </w:rPr>
            </w:pPr>
          </w:p>
        </w:tc>
        <w:tc>
          <w:tcPr>
            <w:tcW w:w="756" w:type="dxa"/>
            <w:vMerge w:val="continue"/>
          </w:tcPr>
          <w:p w14:paraId="7562ACFE">
            <w:pPr>
              <w:jc w:val="center"/>
              <w:rPr>
                <w:rFonts w:hint="eastAsia"/>
                <w:bCs/>
                <w:szCs w:val="21"/>
              </w:rPr>
            </w:pPr>
          </w:p>
        </w:tc>
        <w:tc>
          <w:tcPr>
            <w:tcW w:w="1383" w:type="dxa"/>
            <w:shd w:val="clear" w:color="auto" w:fill="auto"/>
            <w:vAlign w:val="center"/>
          </w:tcPr>
          <w:p w14:paraId="26AEC52B">
            <w:pPr>
              <w:jc w:val="center"/>
              <w:rPr>
                <w:rFonts w:hint="eastAsia"/>
                <w:bCs/>
                <w:szCs w:val="21"/>
              </w:rPr>
            </w:pPr>
            <w:r>
              <w:rPr>
                <w:rFonts w:hint="eastAsia"/>
                <w:bCs/>
                <w:szCs w:val="21"/>
              </w:rPr>
              <w:t>175,000</w:t>
            </w:r>
          </w:p>
        </w:tc>
        <w:tc>
          <w:tcPr>
            <w:tcW w:w="1199" w:type="dxa"/>
            <w:vMerge w:val="continue"/>
          </w:tcPr>
          <w:p w14:paraId="26AEC52C">
            <w:pPr>
              <w:jc w:val="center"/>
              <w:rPr>
                <w:rFonts w:hint="eastAsia"/>
                <w:bCs/>
                <w:szCs w:val="21"/>
              </w:rPr>
            </w:pPr>
          </w:p>
        </w:tc>
      </w:tr>
      <w:tr w14:paraId="26AEC5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3" w:type="dxa"/>
            <w:shd w:val="clear" w:color="auto" w:fill="auto"/>
            <w:vAlign w:val="center"/>
          </w:tcPr>
          <w:p w14:paraId="26AEC52E">
            <w:pPr>
              <w:jc w:val="center"/>
              <w:rPr>
                <w:rFonts w:hint="eastAsia"/>
                <w:bCs/>
                <w:szCs w:val="21"/>
              </w:rPr>
            </w:pPr>
            <w:r>
              <w:rPr>
                <w:rFonts w:hint="eastAsia"/>
                <w:bCs/>
                <w:szCs w:val="21"/>
              </w:rPr>
              <w:t>12</w:t>
            </w:r>
          </w:p>
        </w:tc>
        <w:tc>
          <w:tcPr>
            <w:tcW w:w="2709" w:type="dxa"/>
            <w:shd w:val="clear" w:color="auto" w:fill="auto"/>
            <w:vAlign w:val="center"/>
          </w:tcPr>
          <w:p w14:paraId="26AEC530">
            <w:pPr>
              <w:jc w:val="center"/>
              <w:rPr>
                <w:rFonts w:hint="eastAsia"/>
                <w:bCs/>
                <w:szCs w:val="21"/>
              </w:rPr>
            </w:pPr>
            <w:r>
              <w:rPr>
                <w:rFonts w:hint="eastAsia"/>
                <w:bCs/>
                <w:szCs w:val="21"/>
              </w:rPr>
              <w:t>开发测试和试运营服务器和算力资源</w:t>
            </w:r>
          </w:p>
        </w:tc>
        <w:tc>
          <w:tcPr>
            <w:tcW w:w="1229" w:type="dxa"/>
            <w:vMerge w:val="continue"/>
          </w:tcPr>
          <w:p w14:paraId="26AEC531">
            <w:pPr>
              <w:jc w:val="center"/>
              <w:rPr>
                <w:rFonts w:hint="eastAsia"/>
                <w:bCs/>
                <w:szCs w:val="21"/>
              </w:rPr>
            </w:pPr>
          </w:p>
        </w:tc>
        <w:tc>
          <w:tcPr>
            <w:tcW w:w="1099" w:type="dxa"/>
            <w:vMerge w:val="continue"/>
          </w:tcPr>
          <w:p w14:paraId="26AEC532">
            <w:pPr>
              <w:jc w:val="center"/>
              <w:rPr>
                <w:rFonts w:hint="eastAsia"/>
                <w:bCs/>
                <w:szCs w:val="21"/>
              </w:rPr>
            </w:pPr>
          </w:p>
        </w:tc>
        <w:tc>
          <w:tcPr>
            <w:tcW w:w="756" w:type="dxa"/>
            <w:vMerge w:val="continue"/>
          </w:tcPr>
          <w:p w14:paraId="4DA89000">
            <w:pPr>
              <w:jc w:val="center"/>
              <w:rPr>
                <w:rFonts w:hint="eastAsia"/>
                <w:bCs/>
                <w:szCs w:val="21"/>
              </w:rPr>
            </w:pPr>
          </w:p>
        </w:tc>
        <w:tc>
          <w:tcPr>
            <w:tcW w:w="1383" w:type="dxa"/>
            <w:shd w:val="clear" w:color="auto" w:fill="auto"/>
            <w:vAlign w:val="center"/>
          </w:tcPr>
          <w:p w14:paraId="26AEC533">
            <w:pPr>
              <w:jc w:val="center"/>
              <w:rPr>
                <w:rFonts w:hint="eastAsia"/>
                <w:bCs/>
                <w:szCs w:val="21"/>
              </w:rPr>
            </w:pPr>
            <w:r>
              <w:rPr>
                <w:rFonts w:hint="eastAsia"/>
                <w:bCs/>
                <w:szCs w:val="21"/>
              </w:rPr>
              <w:t>120,000</w:t>
            </w:r>
          </w:p>
        </w:tc>
        <w:tc>
          <w:tcPr>
            <w:tcW w:w="1199" w:type="dxa"/>
            <w:vMerge w:val="continue"/>
          </w:tcPr>
          <w:p w14:paraId="26AEC534">
            <w:pPr>
              <w:jc w:val="center"/>
              <w:rPr>
                <w:rFonts w:hint="eastAsia"/>
                <w:bCs/>
                <w:szCs w:val="21"/>
              </w:rPr>
            </w:pPr>
          </w:p>
        </w:tc>
      </w:tr>
      <w:tr w14:paraId="26AEC5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3" w:type="dxa"/>
            <w:shd w:val="clear" w:color="auto" w:fill="auto"/>
            <w:vAlign w:val="center"/>
          </w:tcPr>
          <w:p w14:paraId="26AEC536">
            <w:pPr>
              <w:jc w:val="center"/>
              <w:rPr>
                <w:rFonts w:hint="eastAsia"/>
                <w:bCs/>
                <w:szCs w:val="21"/>
              </w:rPr>
            </w:pPr>
            <w:r>
              <w:rPr>
                <w:rFonts w:hint="eastAsia"/>
                <w:bCs/>
                <w:szCs w:val="21"/>
              </w:rPr>
              <w:t>13</w:t>
            </w:r>
          </w:p>
        </w:tc>
        <w:tc>
          <w:tcPr>
            <w:tcW w:w="2709" w:type="dxa"/>
            <w:shd w:val="clear" w:color="auto" w:fill="auto"/>
            <w:vAlign w:val="center"/>
          </w:tcPr>
          <w:p w14:paraId="26AEC538">
            <w:pPr>
              <w:jc w:val="center"/>
              <w:rPr>
                <w:rFonts w:hint="eastAsia"/>
                <w:bCs/>
                <w:szCs w:val="21"/>
              </w:rPr>
            </w:pPr>
            <w:r>
              <w:rPr>
                <w:rFonts w:hint="eastAsia"/>
                <w:bCs/>
                <w:szCs w:val="21"/>
              </w:rPr>
              <w:t>门户宣传视频（由AI工具制作）</w:t>
            </w:r>
          </w:p>
        </w:tc>
        <w:tc>
          <w:tcPr>
            <w:tcW w:w="1229" w:type="dxa"/>
            <w:vMerge w:val="continue"/>
          </w:tcPr>
          <w:p w14:paraId="26AEC539">
            <w:pPr>
              <w:jc w:val="center"/>
              <w:rPr>
                <w:rFonts w:hint="eastAsia"/>
                <w:bCs/>
                <w:szCs w:val="21"/>
              </w:rPr>
            </w:pPr>
          </w:p>
        </w:tc>
        <w:tc>
          <w:tcPr>
            <w:tcW w:w="1099" w:type="dxa"/>
            <w:vMerge w:val="continue"/>
          </w:tcPr>
          <w:p w14:paraId="26AEC53A">
            <w:pPr>
              <w:jc w:val="center"/>
              <w:rPr>
                <w:rFonts w:hint="eastAsia"/>
                <w:bCs/>
                <w:szCs w:val="21"/>
              </w:rPr>
            </w:pPr>
          </w:p>
        </w:tc>
        <w:tc>
          <w:tcPr>
            <w:tcW w:w="756" w:type="dxa"/>
            <w:vMerge w:val="continue"/>
          </w:tcPr>
          <w:p w14:paraId="48821B91">
            <w:pPr>
              <w:jc w:val="center"/>
              <w:rPr>
                <w:rFonts w:hint="eastAsia"/>
                <w:bCs/>
                <w:szCs w:val="21"/>
              </w:rPr>
            </w:pPr>
          </w:p>
        </w:tc>
        <w:tc>
          <w:tcPr>
            <w:tcW w:w="1383" w:type="dxa"/>
            <w:shd w:val="clear" w:color="auto" w:fill="auto"/>
            <w:vAlign w:val="center"/>
          </w:tcPr>
          <w:p w14:paraId="26AEC53B">
            <w:pPr>
              <w:jc w:val="center"/>
              <w:rPr>
                <w:rFonts w:hint="eastAsia"/>
                <w:bCs/>
                <w:szCs w:val="21"/>
              </w:rPr>
            </w:pPr>
            <w:r>
              <w:rPr>
                <w:rFonts w:hint="eastAsia"/>
                <w:bCs/>
                <w:szCs w:val="21"/>
              </w:rPr>
              <w:t>20,000</w:t>
            </w:r>
          </w:p>
        </w:tc>
        <w:tc>
          <w:tcPr>
            <w:tcW w:w="1199" w:type="dxa"/>
            <w:vMerge w:val="continue"/>
          </w:tcPr>
          <w:p w14:paraId="26AEC53C">
            <w:pPr>
              <w:jc w:val="center"/>
              <w:rPr>
                <w:rFonts w:hint="eastAsia"/>
                <w:bCs/>
                <w:szCs w:val="21"/>
              </w:rPr>
            </w:pPr>
          </w:p>
        </w:tc>
      </w:tr>
      <w:tr w14:paraId="26AEC5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3" w:type="dxa"/>
            <w:shd w:val="clear" w:color="auto" w:fill="auto"/>
            <w:vAlign w:val="center"/>
          </w:tcPr>
          <w:p w14:paraId="26AEC53E">
            <w:pPr>
              <w:jc w:val="center"/>
              <w:rPr>
                <w:rFonts w:hint="eastAsia"/>
                <w:bCs/>
                <w:szCs w:val="21"/>
              </w:rPr>
            </w:pPr>
            <w:r>
              <w:rPr>
                <w:rFonts w:hint="eastAsia"/>
                <w:bCs/>
                <w:szCs w:val="21"/>
              </w:rPr>
              <w:t>14</w:t>
            </w:r>
          </w:p>
        </w:tc>
        <w:tc>
          <w:tcPr>
            <w:tcW w:w="2709" w:type="dxa"/>
            <w:shd w:val="clear" w:color="auto" w:fill="auto"/>
            <w:vAlign w:val="center"/>
          </w:tcPr>
          <w:p w14:paraId="26AEC540">
            <w:pPr>
              <w:jc w:val="center"/>
              <w:rPr>
                <w:rFonts w:hint="eastAsia"/>
                <w:bCs/>
                <w:szCs w:val="21"/>
              </w:rPr>
            </w:pPr>
            <w:r>
              <w:rPr>
                <w:rFonts w:hint="eastAsia"/>
                <w:bCs/>
                <w:szCs w:val="21"/>
              </w:rPr>
              <w:t>小程序注册审核（官费）</w:t>
            </w:r>
          </w:p>
        </w:tc>
        <w:tc>
          <w:tcPr>
            <w:tcW w:w="1229" w:type="dxa"/>
            <w:vMerge w:val="continue"/>
          </w:tcPr>
          <w:p w14:paraId="26AEC541">
            <w:pPr>
              <w:jc w:val="center"/>
              <w:rPr>
                <w:rFonts w:hint="eastAsia"/>
                <w:bCs/>
                <w:szCs w:val="21"/>
              </w:rPr>
            </w:pPr>
          </w:p>
        </w:tc>
        <w:tc>
          <w:tcPr>
            <w:tcW w:w="1099" w:type="dxa"/>
            <w:vMerge w:val="continue"/>
          </w:tcPr>
          <w:p w14:paraId="26AEC542">
            <w:pPr>
              <w:jc w:val="center"/>
              <w:rPr>
                <w:rFonts w:hint="eastAsia"/>
                <w:bCs/>
                <w:szCs w:val="21"/>
              </w:rPr>
            </w:pPr>
          </w:p>
        </w:tc>
        <w:tc>
          <w:tcPr>
            <w:tcW w:w="756" w:type="dxa"/>
            <w:vMerge w:val="continue"/>
          </w:tcPr>
          <w:p w14:paraId="2917C8EC">
            <w:pPr>
              <w:jc w:val="center"/>
              <w:rPr>
                <w:rFonts w:hint="eastAsia"/>
                <w:bCs/>
                <w:szCs w:val="21"/>
              </w:rPr>
            </w:pPr>
          </w:p>
        </w:tc>
        <w:tc>
          <w:tcPr>
            <w:tcW w:w="1383" w:type="dxa"/>
            <w:shd w:val="clear" w:color="auto" w:fill="auto"/>
            <w:vAlign w:val="center"/>
          </w:tcPr>
          <w:p w14:paraId="26AEC543">
            <w:pPr>
              <w:jc w:val="center"/>
              <w:rPr>
                <w:rFonts w:hint="eastAsia"/>
                <w:bCs/>
                <w:szCs w:val="21"/>
              </w:rPr>
            </w:pPr>
            <w:r>
              <w:rPr>
                <w:rFonts w:hint="eastAsia"/>
                <w:bCs/>
                <w:szCs w:val="21"/>
              </w:rPr>
              <w:t>300</w:t>
            </w:r>
          </w:p>
        </w:tc>
        <w:tc>
          <w:tcPr>
            <w:tcW w:w="1199" w:type="dxa"/>
            <w:vMerge w:val="continue"/>
          </w:tcPr>
          <w:p w14:paraId="26AEC544">
            <w:pPr>
              <w:jc w:val="center"/>
              <w:rPr>
                <w:rFonts w:hint="eastAsia"/>
                <w:bCs/>
                <w:szCs w:val="21"/>
              </w:rPr>
            </w:pPr>
          </w:p>
        </w:tc>
      </w:tr>
    </w:tbl>
    <w:p w14:paraId="43193937">
      <w:pPr>
        <w:bidi w:val="0"/>
        <w:rPr>
          <w:rFonts w:hint="eastAsia"/>
        </w:rPr>
      </w:pPr>
    </w:p>
    <w:p w14:paraId="6393834D">
      <w:pPr>
        <w:pStyle w:val="5"/>
        <w:spacing w:before="120" w:beforeLines="50" w:after="120" w:afterLines="50"/>
        <w:rPr>
          <w:szCs w:val="24"/>
        </w:rPr>
      </w:pPr>
      <w:r>
        <w:rPr>
          <w:rFonts w:hint="eastAsia"/>
          <w:szCs w:val="24"/>
        </w:rPr>
        <w:t>四、实质性条款</w:t>
      </w:r>
    </w:p>
    <w:tbl>
      <w:tblPr>
        <w:tblStyle w:val="42"/>
        <w:tblW w:w="85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4"/>
        <w:gridCol w:w="7795"/>
      </w:tblGrid>
      <w:tr w14:paraId="4FA8D6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4" w:type="dxa"/>
          </w:tcPr>
          <w:p w14:paraId="7D09E854">
            <w:pPr>
              <w:adjustRightInd w:val="0"/>
              <w:snapToGrid w:val="0"/>
              <w:spacing w:line="360" w:lineRule="auto"/>
              <w:jc w:val="center"/>
              <w:rPr>
                <w:rFonts w:ascii="宋体" w:hAnsi="宋体"/>
                <w:kern w:val="0"/>
                <w:szCs w:val="21"/>
              </w:rPr>
            </w:pPr>
            <w:r>
              <w:rPr>
                <w:rFonts w:hint="eastAsia" w:ascii="宋体" w:hAnsi="宋体"/>
                <w:kern w:val="0"/>
                <w:szCs w:val="21"/>
              </w:rPr>
              <w:t>序号</w:t>
            </w:r>
          </w:p>
        </w:tc>
        <w:tc>
          <w:tcPr>
            <w:tcW w:w="7795" w:type="dxa"/>
          </w:tcPr>
          <w:p w14:paraId="131A6982">
            <w:pPr>
              <w:adjustRightInd w:val="0"/>
              <w:snapToGrid w:val="0"/>
              <w:spacing w:line="360" w:lineRule="auto"/>
              <w:jc w:val="center"/>
              <w:rPr>
                <w:rFonts w:ascii="宋体" w:hAnsi="宋体"/>
                <w:kern w:val="0"/>
                <w:szCs w:val="21"/>
              </w:rPr>
            </w:pPr>
            <w:r>
              <w:rPr>
                <w:rFonts w:hint="eastAsia" w:ascii="宋体" w:hAnsi="宋体"/>
                <w:kern w:val="0"/>
                <w:szCs w:val="21"/>
              </w:rPr>
              <w:t>实质性条款具体内容</w:t>
            </w:r>
          </w:p>
        </w:tc>
      </w:tr>
      <w:tr w14:paraId="45C57E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4" w:type="dxa"/>
          </w:tcPr>
          <w:p w14:paraId="248E8988">
            <w:pPr>
              <w:adjustRightInd w:val="0"/>
              <w:snapToGrid w:val="0"/>
              <w:spacing w:line="360" w:lineRule="auto"/>
              <w:rPr>
                <w:rFonts w:ascii="宋体" w:hAnsi="宋体"/>
                <w:kern w:val="0"/>
                <w:szCs w:val="21"/>
              </w:rPr>
            </w:pPr>
            <w:r>
              <w:rPr>
                <w:rFonts w:hint="eastAsia" w:ascii="宋体" w:hAnsi="宋体"/>
                <w:kern w:val="0"/>
                <w:szCs w:val="21"/>
              </w:rPr>
              <w:t>1</w:t>
            </w:r>
          </w:p>
        </w:tc>
        <w:tc>
          <w:tcPr>
            <w:tcW w:w="7795" w:type="dxa"/>
          </w:tcPr>
          <w:p w14:paraId="42C1680E">
            <w:pPr>
              <w:rPr>
                <w:rFonts w:hAnsi="宋体" w:eastAsiaTheme="minorEastAsia"/>
                <w:kern w:val="0"/>
                <w:szCs w:val="21"/>
              </w:rPr>
            </w:pPr>
            <w:r>
              <w:rPr>
                <w:rFonts w:hint="eastAsia" w:ascii="宋体" w:hAnsi="宋体" w:cs="宋体"/>
                <w:b/>
                <w:color w:val="FF0000"/>
                <w:kern w:val="0"/>
                <w:szCs w:val="21"/>
              </w:rPr>
              <w:t>满足本项目标★的条款要求</w:t>
            </w:r>
            <w:r>
              <w:rPr>
                <w:rFonts w:hint="eastAsia" w:ascii="宋体" w:hAnsi="宋体" w:cs="宋体"/>
                <w:b/>
                <w:color w:val="FF0000"/>
                <w:kern w:val="0"/>
                <w:szCs w:val="21"/>
                <w:lang w:eastAsia="zh-CN"/>
              </w:rPr>
              <w:t>。</w:t>
            </w:r>
          </w:p>
        </w:tc>
      </w:tr>
    </w:tbl>
    <w:p w14:paraId="5EFE7D2D">
      <w:pPr>
        <w:bidi w:val="0"/>
      </w:pPr>
      <w:r>
        <w:rPr>
          <w:rFonts w:hint="eastAsia"/>
        </w:rPr>
        <w:t>注：上表所列内容为不可负偏离条款，负偏离将视为未实质性满足招标文件要求作投标无效处理。</w:t>
      </w:r>
      <w:bookmarkEnd w:id="31"/>
    </w:p>
    <w:p w14:paraId="41008553">
      <w:pPr>
        <w:rPr>
          <w:b/>
          <w:bCs/>
          <w:sz w:val="24"/>
        </w:rPr>
      </w:pPr>
    </w:p>
    <w:p w14:paraId="0F12D75C">
      <w:pPr>
        <w:pStyle w:val="5"/>
        <w:spacing w:before="120" w:beforeLines="50" w:after="120" w:afterLines="50"/>
        <w:rPr>
          <w:b/>
          <w:sz w:val="24"/>
        </w:rPr>
      </w:pPr>
      <w:r>
        <w:rPr>
          <w:rFonts w:hint="eastAsia"/>
          <w:szCs w:val="24"/>
        </w:rPr>
        <w:t>五、技术要求</w:t>
      </w:r>
    </w:p>
    <w:tbl>
      <w:tblPr>
        <w:tblStyle w:val="4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99"/>
        <w:gridCol w:w="399"/>
        <w:gridCol w:w="6931"/>
        <w:gridCol w:w="400"/>
        <w:gridCol w:w="400"/>
      </w:tblGrid>
      <w:tr w14:paraId="26AEC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1" w:type="pct"/>
            <w:vAlign w:val="center"/>
          </w:tcPr>
          <w:p w14:paraId="26AEC54B">
            <w:pPr>
              <w:jc w:val="center"/>
              <w:rPr>
                <w:rFonts w:ascii="宋体" w:hAnsi="宋体"/>
                <w:bCs/>
                <w:szCs w:val="21"/>
              </w:rPr>
            </w:pPr>
            <w:r>
              <w:rPr>
                <w:rFonts w:hint="eastAsia" w:ascii="宋体" w:hAnsi="宋体"/>
                <w:bCs/>
                <w:szCs w:val="21"/>
              </w:rPr>
              <w:t>序号</w:t>
            </w:r>
          </w:p>
        </w:tc>
        <w:tc>
          <w:tcPr>
            <w:tcW w:w="336" w:type="pct"/>
            <w:vAlign w:val="center"/>
          </w:tcPr>
          <w:p w14:paraId="26AEC54C">
            <w:pPr>
              <w:jc w:val="center"/>
              <w:rPr>
                <w:rFonts w:ascii="宋体" w:hAnsi="宋体"/>
                <w:bCs/>
                <w:szCs w:val="21"/>
              </w:rPr>
            </w:pPr>
            <w:r>
              <w:rPr>
                <w:rFonts w:hint="eastAsia" w:ascii="宋体" w:hAnsi="宋体"/>
                <w:bCs/>
                <w:szCs w:val="21"/>
              </w:rPr>
              <w:t>名称</w:t>
            </w:r>
          </w:p>
        </w:tc>
        <w:tc>
          <w:tcPr>
            <w:tcW w:w="3968" w:type="pct"/>
            <w:vAlign w:val="center"/>
          </w:tcPr>
          <w:p w14:paraId="26AEC54D">
            <w:pPr>
              <w:jc w:val="center"/>
              <w:rPr>
                <w:rFonts w:ascii="宋体" w:hAnsi="宋体"/>
                <w:bCs/>
                <w:szCs w:val="21"/>
              </w:rPr>
            </w:pPr>
            <w:r>
              <w:rPr>
                <w:rFonts w:hint="eastAsia" w:ascii="宋体" w:hAnsi="宋体"/>
                <w:bCs/>
                <w:szCs w:val="21"/>
              </w:rPr>
              <w:t>具体内容</w:t>
            </w:r>
          </w:p>
        </w:tc>
        <w:tc>
          <w:tcPr>
            <w:tcW w:w="231" w:type="pct"/>
            <w:vAlign w:val="center"/>
          </w:tcPr>
          <w:p w14:paraId="26AEC54E">
            <w:pPr>
              <w:jc w:val="center"/>
              <w:rPr>
                <w:rFonts w:ascii="宋体" w:hAnsi="宋体"/>
                <w:bCs/>
                <w:szCs w:val="21"/>
              </w:rPr>
            </w:pPr>
            <w:r>
              <w:rPr>
                <w:rFonts w:hint="eastAsia" w:ascii="宋体" w:hAnsi="宋体"/>
                <w:bCs/>
                <w:szCs w:val="21"/>
              </w:rPr>
              <w:t>标注</w:t>
            </w:r>
          </w:p>
        </w:tc>
        <w:tc>
          <w:tcPr>
            <w:tcW w:w="232" w:type="pct"/>
            <w:vAlign w:val="center"/>
          </w:tcPr>
          <w:p w14:paraId="26AEC54F">
            <w:pPr>
              <w:jc w:val="center"/>
              <w:rPr>
                <w:rFonts w:ascii="宋体" w:hAnsi="宋体"/>
                <w:bCs/>
                <w:szCs w:val="21"/>
              </w:rPr>
            </w:pPr>
            <w:r>
              <w:rPr>
                <w:rFonts w:hint="eastAsia" w:ascii="宋体" w:hAnsi="宋体"/>
                <w:bCs/>
                <w:szCs w:val="21"/>
              </w:rPr>
              <w:t>其他说明</w:t>
            </w:r>
          </w:p>
        </w:tc>
      </w:tr>
      <w:tr w14:paraId="26AEC5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1" w:type="pct"/>
            <w:vAlign w:val="center"/>
          </w:tcPr>
          <w:p w14:paraId="26AEC551">
            <w:pPr>
              <w:rPr>
                <w:rFonts w:ascii="宋体" w:hAnsi="宋体"/>
                <w:bCs/>
                <w:szCs w:val="21"/>
              </w:rPr>
            </w:pPr>
            <w:r>
              <w:rPr>
                <w:rFonts w:hint="eastAsia" w:ascii="宋体" w:hAnsi="宋体"/>
                <w:bCs/>
                <w:szCs w:val="21"/>
              </w:rPr>
              <w:t>1</w:t>
            </w:r>
          </w:p>
        </w:tc>
        <w:tc>
          <w:tcPr>
            <w:tcW w:w="336" w:type="pct"/>
            <w:vAlign w:val="center"/>
          </w:tcPr>
          <w:p w14:paraId="26AEC552">
            <w:pPr>
              <w:jc w:val="center"/>
              <w:rPr>
                <w:rFonts w:ascii="宋体" w:hAnsi="宋体"/>
                <w:bCs/>
                <w:szCs w:val="21"/>
              </w:rPr>
            </w:pPr>
            <w:r>
              <w:rPr>
                <w:rFonts w:hint="eastAsia" w:ascii="宋体" w:hAnsi="宋体"/>
                <w:bCs/>
                <w:szCs w:val="21"/>
              </w:rPr>
              <w:t>项目概况</w:t>
            </w:r>
          </w:p>
        </w:tc>
        <w:tc>
          <w:tcPr>
            <w:tcW w:w="3968" w:type="pct"/>
            <w:vAlign w:val="center"/>
          </w:tcPr>
          <w:p w14:paraId="26AEC553">
            <w:pPr>
              <w:rPr>
                <w:rFonts w:ascii="宋体" w:hAnsi="宋体"/>
                <w:bCs/>
                <w:szCs w:val="21"/>
              </w:rPr>
            </w:pPr>
            <w:r>
              <w:rPr>
                <w:rFonts w:hint="eastAsia" w:ascii="宋体" w:hAnsi="宋体"/>
                <w:bCs/>
                <w:szCs w:val="21"/>
              </w:rPr>
              <w:t>一、项目背景</w:t>
            </w:r>
          </w:p>
          <w:p w14:paraId="26AEC554">
            <w:pPr>
              <w:rPr>
                <w:rFonts w:ascii="宋体" w:hAnsi="宋体"/>
                <w:bCs/>
                <w:szCs w:val="21"/>
              </w:rPr>
            </w:pPr>
            <w:r>
              <w:rPr>
                <w:rFonts w:hint="eastAsia" w:ascii="宋体" w:hAnsi="宋体"/>
                <w:bCs/>
                <w:szCs w:val="21"/>
              </w:rPr>
              <w:t>为贯彻落实《教育部办公厅关于印发 &lt;教育信息化标准化工作管理办法&gt; 的通知》《深圳市人民政府关于印发深圳市教育发展“十四五”规划的通知》《深圳市福田区推进教育人工智能全域应用二十五条举措》的精神，福田区拟建设教育智能应用生态门户。项目旨在规范AI技术在教育领域的应用，通过构建标准化、安全化的智能教育平台，整合优质教育资源，提升区域教育数字化水平。</w:t>
            </w:r>
          </w:p>
          <w:p w14:paraId="26AEC555">
            <w:pPr>
              <w:rPr>
                <w:rFonts w:ascii="宋体" w:hAnsi="宋体"/>
                <w:bCs/>
                <w:szCs w:val="21"/>
              </w:rPr>
            </w:pPr>
          </w:p>
        </w:tc>
        <w:tc>
          <w:tcPr>
            <w:tcW w:w="231" w:type="pct"/>
            <w:vAlign w:val="center"/>
          </w:tcPr>
          <w:p w14:paraId="26AEC556">
            <w:pPr>
              <w:rPr>
                <w:rFonts w:ascii="宋体" w:hAnsi="宋体"/>
                <w:bCs/>
                <w:szCs w:val="21"/>
              </w:rPr>
            </w:pPr>
          </w:p>
        </w:tc>
        <w:tc>
          <w:tcPr>
            <w:tcW w:w="232" w:type="pct"/>
            <w:vAlign w:val="center"/>
          </w:tcPr>
          <w:p w14:paraId="26AEC557">
            <w:pPr>
              <w:rPr>
                <w:rFonts w:ascii="宋体" w:hAnsi="宋体"/>
                <w:bCs/>
                <w:szCs w:val="21"/>
              </w:rPr>
            </w:pPr>
          </w:p>
        </w:tc>
      </w:tr>
      <w:tr w14:paraId="26AEC6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1" w:type="pct"/>
            <w:vAlign w:val="center"/>
          </w:tcPr>
          <w:p w14:paraId="26AEC559">
            <w:pPr>
              <w:rPr>
                <w:rFonts w:ascii="宋体" w:hAnsi="宋体"/>
                <w:bCs/>
                <w:szCs w:val="21"/>
              </w:rPr>
            </w:pPr>
            <w:r>
              <w:rPr>
                <w:rFonts w:hint="eastAsia" w:ascii="宋体" w:hAnsi="宋体"/>
                <w:bCs/>
                <w:szCs w:val="21"/>
              </w:rPr>
              <w:t>2</w:t>
            </w:r>
          </w:p>
        </w:tc>
        <w:tc>
          <w:tcPr>
            <w:tcW w:w="336" w:type="pct"/>
            <w:vAlign w:val="center"/>
          </w:tcPr>
          <w:p w14:paraId="26AEC55A">
            <w:pPr>
              <w:jc w:val="center"/>
              <w:rPr>
                <w:rFonts w:ascii="宋体" w:hAnsi="宋体"/>
                <w:bCs/>
                <w:szCs w:val="21"/>
              </w:rPr>
            </w:pPr>
            <w:r>
              <w:rPr>
                <w:rFonts w:hint="eastAsia" w:ascii="宋体" w:hAnsi="宋体"/>
                <w:bCs/>
                <w:szCs w:val="21"/>
              </w:rPr>
              <w:t>服务要求</w:t>
            </w:r>
          </w:p>
        </w:tc>
        <w:tc>
          <w:tcPr>
            <w:tcW w:w="3968" w:type="pct"/>
            <w:vAlign w:val="center"/>
          </w:tcPr>
          <w:p w14:paraId="26AEC55B">
            <w:pPr>
              <w:rPr>
                <w:rFonts w:ascii="宋体" w:hAnsi="宋体"/>
                <w:bCs/>
                <w:szCs w:val="21"/>
              </w:rPr>
            </w:pPr>
            <w:r>
              <w:rPr>
                <w:rFonts w:hint="eastAsia" w:ascii="宋体" w:hAnsi="宋体"/>
                <w:bCs/>
                <w:szCs w:val="21"/>
              </w:rPr>
              <w:t>二、项目目标</w:t>
            </w:r>
          </w:p>
          <w:p w14:paraId="26AEC55C">
            <w:pPr>
              <w:rPr>
                <w:rFonts w:ascii="宋体" w:hAnsi="宋体"/>
                <w:bCs/>
                <w:szCs w:val="21"/>
              </w:rPr>
            </w:pPr>
            <w:r>
              <w:rPr>
                <w:rFonts w:hint="eastAsia" w:ascii="宋体" w:hAnsi="宋体"/>
                <w:bCs/>
                <w:szCs w:val="21"/>
              </w:rPr>
              <w:t>“i福娃”的建设初衷，就是要解决目前市面上繁多的AI应用在公立教育系统中渗透和蔓延的无序性所带来的各种问题，比如缺乏标准化和规范化约束，内容缺少权威性认证，使用效果无法验证和跟踪，老师和学生的数据无法沉淀。</w:t>
            </w:r>
          </w:p>
          <w:p w14:paraId="26AEC55D">
            <w:pPr>
              <w:rPr>
                <w:rFonts w:ascii="宋体" w:hAnsi="宋体"/>
                <w:bCs/>
                <w:szCs w:val="21"/>
              </w:rPr>
            </w:pPr>
            <w:r>
              <w:rPr>
                <w:rFonts w:hint="eastAsia" w:ascii="宋体" w:hAnsi="宋体"/>
                <w:bCs/>
                <w:szCs w:val="21"/>
              </w:rPr>
              <w:t>（一）平台的核心作用</w:t>
            </w:r>
          </w:p>
          <w:p w14:paraId="26AEC55E">
            <w:pPr>
              <w:rPr>
                <w:rFonts w:ascii="宋体" w:hAnsi="宋体"/>
                <w:bCs/>
                <w:szCs w:val="21"/>
              </w:rPr>
            </w:pPr>
            <w:r>
              <w:rPr>
                <w:rFonts w:hint="eastAsia" w:ascii="宋体" w:hAnsi="宋体"/>
                <w:bCs/>
                <w:szCs w:val="21"/>
              </w:rPr>
              <w:t>专业性：确保所有智能体应用都是经过专业评估和学校试用。</w:t>
            </w:r>
          </w:p>
          <w:p w14:paraId="26AEC55F">
            <w:pPr>
              <w:rPr>
                <w:rFonts w:ascii="宋体" w:hAnsi="宋体"/>
                <w:bCs/>
                <w:szCs w:val="21"/>
              </w:rPr>
            </w:pPr>
            <w:r>
              <w:rPr>
                <w:rFonts w:hint="eastAsia" w:ascii="宋体" w:hAnsi="宋体"/>
                <w:bCs/>
                <w:szCs w:val="21"/>
              </w:rPr>
              <w:t>有效性：确保所有智能体应用对于教育场景都是有效的，并且可以和各个场景的教育活动融合起来进行赋能。</w:t>
            </w:r>
          </w:p>
          <w:p w14:paraId="26AEC560">
            <w:pPr>
              <w:rPr>
                <w:rFonts w:ascii="宋体" w:hAnsi="宋体"/>
                <w:bCs/>
                <w:szCs w:val="21"/>
              </w:rPr>
            </w:pPr>
            <w:r>
              <w:rPr>
                <w:rFonts w:hint="eastAsia" w:ascii="宋体" w:hAnsi="宋体"/>
                <w:bCs/>
                <w:szCs w:val="21"/>
              </w:rPr>
              <w:t>安全性：确保老师和学生数据的安全性，可以沉淀在平台并且进行有效的分析和追踪。</w:t>
            </w:r>
          </w:p>
          <w:p w14:paraId="26AEC561">
            <w:pPr>
              <w:rPr>
                <w:rFonts w:ascii="宋体" w:hAnsi="宋体"/>
                <w:bCs/>
                <w:szCs w:val="21"/>
              </w:rPr>
            </w:pPr>
            <w:r>
              <w:rPr>
                <w:rFonts w:hint="eastAsia" w:ascii="宋体" w:hAnsi="宋体"/>
                <w:bCs/>
                <w:szCs w:val="21"/>
              </w:rPr>
              <w:t>清洁性：确保学生的AI应用使用环境足够洁净。</w:t>
            </w:r>
          </w:p>
          <w:p w14:paraId="26AEC562">
            <w:pPr>
              <w:rPr>
                <w:rFonts w:ascii="宋体" w:hAnsi="宋体"/>
                <w:bCs/>
                <w:szCs w:val="21"/>
              </w:rPr>
            </w:pPr>
            <w:r>
              <w:rPr>
                <w:rFonts w:hint="eastAsia" w:ascii="宋体" w:hAnsi="宋体"/>
                <w:bCs/>
                <w:szCs w:val="21"/>
              </w:rPr>
              <w:t>（二）平台的定位则是权威、开放、公平、公正、创新</w:t>
            </w:r>
          </w:p>
          <w:p w14:paraId="26AEC563">
            <w:pPr>
              <w:rPr>
                <w:rFonts w:ascii="宋体" w:hAnsi="宋体"/>
                <w:bCs/>
                <w:szCs w:val="21"/>
              </w:rPr>
            </w:pPr>
            <w:r>
              <w:rPr>
                <w:rFonts w:hint="eastAsia" w:ascii="宋体" w:hAnsi="宋体"/>
                <w:bCs/>
                <w:szCs w:val="21"/>
              </w:rPr>
              <w:t>整合目前国内高认可度、知名度的通用大模型和教育专用大模型。</w:t>
            </w:r>
          </w:p>
          <w:p w14:paraId="26AEC564">
            <w:pPr>
              <w:rPr>
                <w:rFonts w:ascii="宋体" w:hAnsi="宋体"/>
                <w:bCs/>
                <w:szCs w:val="21"/>
              </w:rPr>
            </w:pPr>
            <w:r>
              <w:rPr>
                <w:rFonts w:hint="eastAsia" w:ascii="宋体" w:hAnsi="宋体"/>
                <w:bCs/>
                <w:szCs w:val="21"/>
              </w:rPr>
              <w:t>整合国内应用效果和体验好的教育类应用。</w:t>
            </w:r>
          </w:p>
          <w:p w14:paraId="26AEC565">
            <w:pPr>
              <w:rPr>
                <w:rFonts w:ascii="宋体" w:hAnsi="宋体"/>
                <w:bCs/>
                <w:szCs w:val="21"/>
              </w:rPr>
            </w:pPr>
            <w:r>
              <w:rPr>
                <w:rFonts w:hint="eastAsia" w:ascii="宋体" w:hAnsi="宋体"/>
                <w:bCs/>
                <w:szCs w:val="21"/>
              </w:rPr>
              <w:t>应用的水平和质量首先经过专业教师的认证，然后通过老师和学生的实际使用数据来体现。</w:t>
            </w:r>
          </w:p>
          <w:p w14:paraId="26AEC566">
            <w:pPr>
              <w:rPr>
                <w:rFonts w:ascii="宋体" w:hAnsi="宋体"/>
                <w:bCs/>
                <w:szCs w:val="21"/>
              </w:rPr>
            </w:pPr>
            <w:r>
              <w:rPr>
                <w:rFonts w:hint="eastAsia" w:ascii="宋体" w:hAnsi="宋体"/>
                <w:bCs/>
                <w:szCs w:val="21"/>
              </w:rPr>
              <w:t>有监管地使用AI，符合伦理安全。</w:t>
            </w:r>
          </w:p>
          <w:p w14:paraId="26AEC567">
            <w:pPr>
              <w:rPr>
                <w:rFonts w:ascii="宋体" w:hAnsi="宋体"/>
                <w:bCs/>
                <w:szCs w:val="21"/>
              </w:rPr>
            </w:pPr>
            <w:r>
              <w:rPr>
                <w:rFonts w:hint="eastAsia" w:ascii="宋体" w:hAnsi="宋体"/>
                <w:bCs/>
                <w:szCs w:val="21"/>
              </w:rPr>
              <w:t>提高师生的人工智能素养，支持个性化创新。</w:t>
            </w:r>
          </w:p>
          <w:p w14:paraId="26AEC568">
            <w:pPr>
              <w:rPr>
                <w:rFonts w:ascii="宋体" w:hAnsi="宋体"/>
                <w:bCs/>
                <w:szCs w:val="21"/>
              </w:rPr>
            </w:pPr>
            <w:bookmarkStart w:id="33" w:name="heading_2"/>
            <w:r>
              <w:rPr>
                <w:rFonts w:hint="eastAsia" w:ascii="宋体" w:hAnsi="宋体"/>
                <w:bCs/>
                <w:szCs w:val="21"/>
              </w:rPr>
              <w:t>三、平台架构</w:t>
            </w:r>
            <w:bookmarkEnd w:id="33"/>
            <w:r>
              <w:rPr>
                <w:rFonts w:hint="eastAsia" w:ascii="宋体" w:hAnsi="宋体"/>
                <w:bCs/>
                <w:szCs w:val="21"/>
              </w:rPr>
              <w:t>与功能</w:t>
            </w:r>
          </w:p>
          <w:p w14:paraId="26AEC569">
            <w:pPr>
              <w:rPr>
                <w:rFonts w:ascii="宋体" w:hAnsi="宋体"/>
                <w:bCs/>
                <w:szCs w:val="21"/>
              </w:rPr>
            </w:pPr>
            <w:r>
              <w:rPr>
                <w:rFonts w:hint="eastAsia" w:ascii="宋体" w:hAnsi="宋体"/>
                <w:bCs/>
                <w:szCs w:val="21"/>
              </w:rPr>
              <w:t>（一）平台整体架构图</w:t>
            </w:r>
          </w:p>
          <w:p w14:paraId="26AEC56A">
            <w:pPr>
              <w:rPr>
                <w:rFonts w:ascii="宋体" w:hAnsi="宋体"/>
                <w:bCs/>
                <w:szCs w:val="21"/>
              </w:rPr>
            </w:pPr>
            <w:r>
              <w:rPr>
                <w:rFonts w:hint="eastAsia" w:ascii="宋体" w:hAnsi="宋体"/>
                <w:bCs/>
                <w:szCs w:val="21"/>
              </w:rPr>
              <w:drawing>
                <wp:inline distT="0" distB="0" distL="0" distR="0">
                  <wp:extent cx="4702810" cy="1865630"/>
                  <wp:effectExtent l="0" t="0" r="6350" b="8890"/>
                  <wp:docPr id="1" name="Drawing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rawing 0"/>
                          <pic:cNvPicPr>
                            <a:picLocks noChangeAspect="1"/>
                          </pic:cNvPicPr>
                        </pic:nvPicPr>
                        <pic:blipFill>
                          <a:blip r:embed="rId10"/>
                          <a:stretch>
                            <a:fillRect/>
                          </a:stretch>
                        </pic:blipFill>
                        <pic:spPr>
                          <a:xfrm>
                            <a:off x="0" y="0"/>
                            <a:ext cx="4702810" cy="1865630"/>
                          </a:xfrm>
                          <a:prstGeom prst="rect">
                            <a:avLst/>
                          </a:prstGeom>
                        </pic:spPr>
                      </pic:pic>
                    </a:graphicData>
                  </a:graphic>
                </wp:inline>
              </w:drawing>
            </w:r>
          </w:p>
          <w:p w14:paraId="26AEC56B">
            <w:pPr>
              <w:rPr>
                <w:rFonts w:ascii="宋体" w:hAnsi="宋体"/>
                <w:bCs/>
                <w:szCs w:val="21"/>
              </w:rPr>
            </w:pPr>
            <w:r>
              <w:rPr>
                <w:rFonts w:hint="eastAsia" w:ascii="宋体" w:hAnsi="宋体"/>
                <w:bCs/>
                <w:szCs w:val="21"/>
              </w:rPr>
              <w:t>（二）平台业务功能架构图</w:t>
            </w:r>
          </w:p>
          <w:p w14:paraId="26AEC56C">
            <w:pPr>
              <w:rPr>
                <w:rFonts w:ascii="宋体" w:hAnsi="宋体"/>
                <w:bCs/>
                <w:szCs w:val="21"/>
              </w:rPr>
            </w:pPr>
            <w:r>
              <w:rPr>
                <w:rFonts w:hint="eastAsia" w:ascii="宋体" w:hAnsi="宋体"/>
                <w:bCs/>
                <w:szCs w:val="21"/>
              </w:rPr>
              <w:drawing>
                <wp:inline distT="0" distB="0" distL="114300" distR="114300">
                  <wp:extent cx="4864735" cy="2449195"/>
                  <wp:effectExtent l="0" t="0" r="12065" b="4445"/>
                  <wp:docPr id="2" name="图片 2" descr="whiteboard_exported_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whiteboard_exported_image (2)"/>
                          <pic:cNvPicPr>
                            <a:picLocks noChangeAspect="1"/>
                          </pic:cNvPicPr>
                        </pic:nvPicPr>
                        <pic:blipFill>
                          <a:blip r:embed="rId11"/>
                          <a:stretch>
                            <a:fillRect/>
                          </a:stretch>
                        </pic:blipFill>
                        <pic:spPr>
                          <a:xfrm>
                            <a:off x="0" y="0"/>
                            <a:ext cx="4864735" cy="2449195"/>
                          </a:xfrm>
                          <a:prstGeom prst="rect">
                            <a:avLst/>
                          </a:prstGeom>
                        </pic:spPr>
                      </pic:pic>
                    </a:graphicData>
                  </a:graphic>
                </wp:inline>
              </w:drawing>
            </w:r>
          </w:p>
          <w:p w14:paraId="26AEC56D">
            <w:pPr>
              <w:rPr>
                <w:rFonts w:ascii="宋体" w:hAnsi="宋体"/>
                <w:bCs/>
                <w:szCs w:val="21"/>
              </w:rPr>
            </w:pPr>
            <w:r>
              <w:rPr>
                <w:rFonts w:hint="eastAsia" w:ascii="宋体" w:hAnsi="宋体"/>
                <w:bCs/>
                <w:szCs w:val="21"/>
              </w:rPr>
              <w:t>（三）各模块主要功能</w:t>
            </w:r>
          </w:p>
          <w:tbl>
            <w:tblPr>
              <w:tblStyle w:val="4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1335"/>
              <w:gridCol w:w="2705"/>
              <w:gridCol w:w="2665"/>
            </w:tblGrid>
            <w:tr w14:paraId="26AEC5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1627" w:type="dxa"/>
                  <w:tcMar>
                    <w:top w:w="60" w:type="dxa"/>
                    <w:left w:w="120" w:type="dxa"/>
                    <w:bottom w:w="30" w:type="dxa"/>
                    <w:right w:w="120" w:type="dxa"/>
                  </w:tcMar>
                </w:tcPr>
                <w:p w14:paraId="26AEC56E">
                  <w:pPr>
                    <w:rPr>
                      <w:rFonts w:ascii="宋体" w:hAnsi="宋体"/>
                      <w:bCs/>
                      <w:szCs w:val="21"/>
                    </w:rPr>
                  </w:pPr>
                  <w:r>
                    <w:rPr>
                      <w:rFonts w:hint="eastAsia" w:ascii="宋体" w:hAnsi="宋体"/>
                      <w:bCs/>
                      <w:szCs w:val="21"/>
                    </w:rPr>
                    <w:t>模块名称</w:t>
                  </w:r>
                </w:p>
              </w:tc>
              <w:tc>
                <w:tcPr>
                  <w:tcW w:w="3469" w:type="dxa"/>
                  <w:tcMar>
                    <w:top w:w="60" w:type="dxa"/>
                    <w:left w:w="120" w:type="dxa"/>
                    <w:bottom w:w="30" w:type="dxa"/>
                    <w:right w:w="120" w:type="dxa"/>
                  </w:tcMar>
                </w:tcPr>
                <w:p w14:paraId="26AEC56F">
                  <w:pPr>
                    <w:rPr>
                      <w:rFonts w:ascii="宋体" w:hAnsi="宋体"/>
                      <w:bCs/>
                      <w:szCs w:val="21"/>
                    </w:rPr>
                  </w:pPr>
                  <w:r>
                    <w:rPr>
                      <w:rFonts w:hint="eastAsia" w:ascii="宋体" w:hAnsi="宋体"/>
                      <w:bCs/>
                      <w:szCs w:val="21"/>
                    </w:rPr>
                    <w:t>主要功能</w:t>
                  </w:r>
                </w:p>
              </w:tc>
              <w:tc>
                <w:tcPr>
                  <w:tcW w:w="3414" w:type="dxa"/>
                  <w:tcMar>
                    <w:top w:w="60" w:type="dxa"/>
                    <w:left w:w="120" w:type="dxa"/>
                    <w:bottom w:w="30" w:type="dxa"/>
                    <w:right w:w="120" w:type="dxa"/>
                  </w:tcMar>
                </w:tcPr>
                <w:p w14:paraId="26AEC570">
                  <w:pPr>
                    <w:rPr>
                      <w:rFonts w:ascii="宋体" w:hAnsi="宋体"/>
                      <w:bCs/>
                      <w:szCs w:val="21"/>
                    </w:rPr>
                  </w:pPr>
                  <w:r>
                    <w:rPr>
                      <w:rFonts w:hint="eastAsia" w:ascii="宋体" w:hAnsi="宋体"/>
                      <w:bCs/>
                      <w:szCs w:val="21"/>
                    </w:rPr>
                    <w:t>特性</w:t>
                  </w:r>
                </w:p>
              </w:tc>
            </w:tr>
            <w:tr w14:paraId="26AEC5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1627" w:type="dxa"/>
                  <w:tcMar>
                    <w:top w:w="60" w:type="dxa"/>
                    <w:left w:w="120" w:type="dxa"/>
                    <w:bottom w:w="30" w:type="dxa"/>
                    <w:right w:w="120" w:type="dxa"/>
                  </w:tcMar>
                </w:tcPr>
                <w:p w14:paraId="26AEC572">
                  <w:pPr>
                    <w:rPr>
                      <w:rFonts w:ascii="宋体" w:hAnsi="宋体"/>
                      <w:bCs/>
                      <w:szCs w:val="21"/>
                    </w:rPr>
                  </w:pPr>
                  <w:r>
                    <w:rPr>
                      <w:rFonts w:hint="eastAsia" w:ascii="宋体" w:hAnsi="宋体"/>
                      <w:bCs/>
                      <w:szCs w:val="21"/>
                    </w:rPr>
                    <w:t>移动端门户小程序和APP</w:t>
                  </w:r>
                </w:p>
              </w:tc>
              <w:tc>
                <w:tcPr>
                  <w:tcW w:w="3469" w:type="dxa"/>
                  <w:tcMar>
                    <w:top w:w="60" w:type="dxa"/>
                    <w:left w:w="120" w:type="dxa"/>
                    <w:bottom w:w="30" w:type="dxa"/>
                    <w:right w:w="120" w:type="dxa"/>
                  </w:tcMar>
                </w:tcPr>
                <w:p w14:paraId="26AEC573">
                  <w:pPr>
                    <w:rPr>
                      <w:rFonts w:ascii="宋体" w:hAnsi="宋体"/>
                      <w:bCs/>
                      <w:szCs w:val="21"/>
                    </w:rPr>
                  </w:pPr>
                  <w:r>
                    <w:rPr>
                      <w:rFonts w:hint="eastAsia" w:ascii="宋体" w:hAnsi="宋体"/>
                      <w:bCs/>
                      <w:szCs w:val="21"/>
                    </w:rPr>
                    <w:t>提供用户登录、注册；</w:t>
                  </w:r>
                </w:p>
                <w:p w14:paraId="26AEC574">
                  <w:pPr>
                    <w:rPr>
                      <w:rFonts w:ascii="宋体" w:hAnsi="宋体"/>
                      <w:bCs/>
                      <w:szCs w:val="21"/>
                    </w:rPr>
                  </w:pPr>
                  <w:r>
                    <w:rPr>
                      <w:rFonts w:hint="eastAsia" w:ascii="宋体" w:hAnsi="宋体"/>
                      <w:bCs/>
                      <w:szCs w:val="21"/>
                    </w:rPr>
                    <w:t>包含热点推荐、智能体、应用广场、活动等板块；</w:t>
                  </w:r>
                </w:p>
                <w:p w14:paraId="26AEC575">
                  <w:pPr>
                    <w:rPr>
                      <w:rFonts w:ascii="宋体" w:hAnsi="宋体"/>
                      <w:bCs/>
                      <w:szCs w:val="21"/>
                    </w:rPr>
                  </w:pPr>
                  <w:r>
                    <w:rPr>
                      <w:rFonts w:hint="eastAsia" w:ascii="宋体" w:hAnsi="宋体"/>
                      <w:bCs/>
                      <w:szCs w:val="21"/>
                    </w:rPr>
                    <w:t>智能体板块可展示智能体，可为用户进行推荐和搜索；</w:t>
                  </w:r>
                </w:p>
                <w:p w14:paraId="26AEC576">
                  <w:pPr>
                    <w:rPr>
                      <w:rFonts w:ascii="宋体" w:hAnsi="宋体"/>
                      <w:bCs/>
                      <w:szCs w:val="21"/>
                    </w:rPr>
                  </w:pPr>
                  <w:r>
                    <w:rPr>
                      <w:rFonts w:hint="eastAsia" w:ascii="宋体" w:hAnsi="宋体"/>
                      <w:bCs/>
                      <w:szCs w:val="21"/>
                    </w:rPr>
                    <w:t>可进行个性化内容推荐；</w:t>
                  </w:r>
                </w:p>
                <w:p w14:paraId="26AEC577">
                  <w:pPr>
                    <w:rPr>
                      <w:rFonts w:ascii="宋体" w:hAnsi="宋体"/>
                      <w:bCs/>
                      <w:szCs w:val="21"/>
                    </w:rPr>
                  </w:pPr>
                  <w:r>
                    <w:rPr>
                      <w:rFonts w:hint="eastAsia" w:ascii="宋体" w:hAnsi="宋体"/>
                      <w:bCs/>
                      <w:szCs w:val="21"/>
                    </w:rPr>
                    <w:t>可分享智能体使用案例；</w:t>
                  </w:r>
                </w:p>
                <w:p w14:paraId="26AEC578">
                  <w:pPr>
                    <w:rPr>
                      <w:rFonts w:ascii="宋体" w:hAnsi="宋体"/>
                      <w:bCs/>
                      <w:szCs w:val="21"/>
                    </w:rPr>
                  </w:pPr>
                  <w:r>
                    <w:rPr>
                      <w:rFonts w:hint="eastAsia" w:ascii="宋体" w:hAnsi="宋体"/>
                      <w:bCs/>
                      <w:szCs w:val="21"/>
                    </w:rPr>
                    <w:t>提供智能客服接入；</w:t>
                  </w:r>
                </w:p>
                <w:p w14:paraId="26AEC579">
                  <w:pPr>
                    <w:rPr>
                      <w:rFonts w:ascii="宋体" w:hAnsi="宋体"/>
                      <w:bCs/>
                      <w:szCs w:val="21"/>
                    </w:rPr>
                  </w:pPr>
                  <w:r>
                    <w:rPr>
                      <w:rFonts w:hint="eastAsia" w:ascii="宋体" w:hAnsi="宋体"/>
                      <w:bCs/>
                      <w:szCs w:val="21"/>
                    </w:rPr>
                    <w:t>APP同时支持安卓和iOS平台，可在目前主流款式手机上运行；</w:t>
                  </w:r>
                </w:p>
              </w:tc>
              <w:tc>
                <w:tcPr>
                  <w:tcW w:w="3414" w:type="dxa"/>
                  <w:tcMar>
                    <w:top w:w="60" w:type="dxa"/>
                    <w:left w:w="120" w:type="dxa"/>
                    <w:bottom w:w="30" w:type="dxa"/>
                    <w:right w:w="120" w:type="dxa"/>
                  </w:tcMar>
                </w:tcPr>
                <w:p w14:paraId="26AEC57A">
                  <w:pPr>
                    <w:rPr>
                      <w:rFonts w:ascii="宋体" w:hAnsi="宋体"/>
                      <w:bCs/>
                      <w:szCs w:val="21"/>
                    </w:rPr>
                  </w:pPr>
                  <w:r>
                    <w:rPr>
                      <w:rFonts w:hint="eastAsia" w:ascii="宋体" w:hAnsi="宋体"/>
                      <w:bCs/>
                      <w:szCs w:val="21"/>
                    </w:rPr>
                    <w:t>便捷性：随时随地的学习体验；</w:t>
                  </w:r>
                </w:p>
                <w:p w14:paraId="26AEC57B">
                  <w:pPr>
                    <w:rPr>
                      <w:rFonts w:ascii="宋体" w:hAnsi="宋体"/>
                      <w:bCs/>
                      <w:szCs w:val="21"/>
                    </w:rPr>
                  </w:pPr>
                  <w:r>
                    <w:rPr>
                      <w:rFonts w:hint="eastAsia" w:ascii="宋体" w:hAnsi="宋体"/>
                      <w:bCs/>
                      <w:szCs w:val="21"/>
                    </w:rPr>
                    <w:t>互动性：增强用户参与感；</w:t>
                  </w:r>
                </w:p>
                <w:p w14:paraId="26AEC57C">
                  <w:pPr>
                    <w:rPr>
                      <w:rFonts w:ascii="宋体" w:hAnsi="宋体"/>
                      <w:bCs/>
                      <w:szCs w:val="21"/>
                    </w:rPr>
                  </w:pPr>
                  <w:r>
                    <w:rPr>
                      <w:rFonts w:hint="eastAsia" w:ascii="宋体" w:hAnsi="宋体"/>
                      <w:bCs/>
                      <w:szCs w:val="21"/>
                    </w:rPr>
                    <w:t>个性化：基于用户身份、画像和行为的内容推荐；</w:t>
                  </w:r>
                </w:p>
              </w:tc>
            </w:tr>
            <w:tr w14:paraId="26AEC5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1627" w:type="dxa"/>
                  <w:tcMar>
                    <w:top w:w="60" w:type="dxa"/>
                    <w:left w:w="120" w:type="dxa"/>
                    <w:bottom w:w="30" w:type="dxa"/>
                    <w:right w:w="120" w:type="dxa"/>
                  </w:tcMar>
                </w:tcPr>
                <w:p w14:paraId="26AEC57E">
                  <w:pPr>
                    <w:rPr>
                      <w:rFonts w:ascii="宋体" w:hAnsi="宋体"/>
                      <w:bCs/>
                      <w:szCs w:val="21"/>
                    </w:rPr>
                  </w:pPr>
                  <w:r>
                    <w:rPr>
                      <w:rFonts w:hint="eastAsia" w:ascii="宋体" w:hAnsi="宋体"/>
                      <w:bCs/>
                      <w:szCs w:val="21"/>
                    </w:rPr>
                    <w:t>智能体管理和发布</w:t>
                  </w:r>
                </w:p>
              </w:tc>
              <w:tc>
                <w:tcPr>
                  <w:tcW w:w="3469" w:type="dxa"/>
                  <w:tcMar>
                    <w:top w:w="60" w:type="dxa"/>
                    <w:left w:w="120" w:type="dxa"/>
                    <w:bottom w:w="30" w:type="dxa"/>
                    <w:right w:w="120" w:type="dxa"/>
                  </w:tcMar>
                </w:tcPr>
                <w:p w14:paraId="26AEC57F">
                  <w:pPr>
                    <w:rPr>
                      <w:rFonts w:ascii="宋体" w:hAnsi="宋体"/>
                      <w:bCs/>
                      <w:szCs w:val="21"/>
                    </w:rPr>
                  </w:pPr>
                  <w:r>
                    <w:rPr>
                      <w:rFonts w:hint="eastAsia" w:ascii="宋体" w:hAnsi="宋体"/>
                      <w:bCs/>
                      <w:szCs w:val="21"/>
                    </w:rPr>
                    <w:t>智能体的创建、编辑、删除等管理功能；</w:t>
                  </w:r>
                </w:p>
                <w:p w14:paraId="26AEC580">
                  <w:pPr>
                    <w:rPr>
                      <w:rFonts w:ascii="宋体" w:hAnsi="宋体"/>
                      <w:bCs/>
                      <w:szCs w:val="21"/>
                    </w:rPr>
                  </w:pPr>
                  <w:r>
                    <w:rPr>
                      <w:rFonts w:hint="eastAsia" w:ascii="宋体" w:hAnsi="宋体"/>
                      <w:bCs/>
                      <w:szCs w:val="21"/>
                    </w:rPr>
                    <w:t>版本控制与更新；</w:t>
                  </w:r>
                </w:p>
                <w:p w14:paraId="26AEC581">
                  <w:pPr>
                    <w:rPr>
                      <w:rFonts w:ascii="宋体" w:hAnsi="宋体"/>
                      <w:bCs/>
                      <w:szCs w:val="21"/>
                    </w:rPr>
                  </w:pPr>
                  <w:r>
                    <w:rPr>
                      <w:rFonts w:hint="eastAsia" w:ascii="宋体" w:hAnsi="宋体"/>
                      <w:bCs/>
                      <w:szCs w:val="21"/>
                    </w:rPr>
                    <w:t>权限设置与分配；</w:t>
                  </w:r>
                </w:p>
                <w:p w14:paraId="26AEC582">
                  <w:pPr>
                    <w:rPr>
                      <w:rFonts w:ascii="宋体" w:hAnsi="宋体"/>
                      <w:bCs/>
                      <w:szCs w:val="21"/>
                    </w:rPr>
                  </w:pPr>
                  <w:r>
                    <w:rPr>
                      <w:rFonts w:hint="eastAsia" w:ascii="宋体" w:hAnsi="宋体"/>
                      <w:bCs/>
                      <w:szCs w:val="21"/>
                    </w:rPr>
                    <w:t>审核、发布与下架；</w:t>
                  </w:r>
                </w:p>
                <w:p w14:paraId="26AEC583">
                  <w:pPr>
                    <w:rPr>
                      <w:rFonts w:ascii="宋体" w:hAnsi="宋体"/>
                      <w:bCs/>
                      <w:szCs w:val="21"/>
                    </w:rPr>
                  </w:pPr>
                  <w:r>
                    <w:rPr>
                      <w:rFonts w:hint="eastAsia" w:ascii="宋体" w:hAnsi="宋体"/>
                      <w:bCs/>
                      <w:szCs w:val="21"/>
                    </w:rPr>
                    <w:t>智能体分类和标签管理；</w:t>
                  </w:r>
                </w:p>
                <w:p w14:paraId="26AEC584">
                  <w:pPr>
                    <w:rPr>
                      <w:rFonts w:ascii="宋体" w:hAnsi="宋体"/>
                      <w:bCs/>
                      <w:szCs w:val="21"/>
                    </w:rPr>
                  </w:pPr>
                  <w:r>
                    <w:rPr>
                      <w:rFonts w:hint="eastAsia" w:ascii="宋体" w:hAnsi="宋体"/>
                      <w:bCs/>
                      <w:szCs w:val="21"/>
                    </w:rPr>
                    <w:t>使用统计与反馈；</w:t>
                  </w:r>
                </w:p>
              </w:tc>
              <w:tc>
                <w:tcPr>
                  <w:tcW w:w="3414" w:type="dxa"/>
                  <w:tcMar>
                    <w:top w:w="60" w:type="dxa"/>
                    <w:left w:w="120" w:type="dxa"/>
                    <w:bottom w:w="30" w:type="dxa"/>
                    <w:right w:w="120" w:type="dxa"/>
                  </w:tcMar>
                </w:tcPr>
                <w:p w14:paraId="26AEC585">
                  <w:pPr>
                    <w:rPr>
                      <w:rFonts w:ascii="宋体" w:hAnsi="宋体"/>
                      <w:bCs/>
                      <w:szCs w:val="21"/>
                    </w:rPr>
                  </w:pPr>
                  <w:r>
                    <w:rPr>
                      <w:rFonts w:hint="eastAsia" w:ascii="宋体" w:hAnsi="宋体"/>
                      <w:bCs/>
                      <w:szCs w:val="21"/>
                    </w:rPr>
                    <w:t>智能化：自动识别与管理；</w:t>
                  </w:r>
                </w:p>
                <w:p w14:paraId="26AEC586">
                  <w:pPr>
                    <w:rPr>
                      <w:rFonts w:ascii="宋体" w:hAnsi="宋体"/>
                      <w:bCs/>
                      <w:szCs w:val="21"/>
                    </w:rPr>
                  </w:pPr>
                  <w:r>
                    <w:rPr>
                      <w:rFonts w:hint="eastAsia" w:ascii="宋体" w:hAnsi="宋体"/>
                      <w:bCs/>
                      <w:szCs w:val="21"/>
                    </w:rPr>
                    <w:t>灵活性：支持多种类型、多种模态的智能体；</w:t>
                  </w:r>
                </w:p>
                <w:p w14:paraId="26AEC587">
                  <w:pPr>
                    <w:rPr>
                      <w:rFonts w:ascii="宋体" w:hAnsi="宋体"/>
                      <w:bCs/>
                      <w:szCs w:val="21"/>
                    </w:rPr>
                  </w:pPr>
                  <w:r>
                    <w:rPr>
                      <w:rFonts w:hint="eastAsia" w:ascii="宋体" w:hAnsi="宋体"/>
                      <w:bCs/>
                      <w:szCs w:val="21"/>
                    </w:rPr>
                    <w:t>安全性：数据加密与访问控制；</w:t>
                  </w:r>
                </w:p>
                <w:p w14:paraId="26AEC588">
                  <w:pPr>
                    <w:rPr>
                      <w:rFonts w:ascii="宋体" w:hAnsi="宋体"/>
                      <w:bCs/>
                      <w:szCs w:val="21"/>
                    </w:rPr>
                  </w:pPr>
                  <w:r>
                    <w:rPr>
                      <w:rFonts w:hint="eastAsia" w:ascii="宋体" w:hAnsi="宋体"/>
                      <w:bCs/>
                      <w:szCs w:val="21"/>
                    </w:rPr>
                    <w:t>互动性：用户行为分析和反馈机制；</w:t>
                  </w:r>
                </w:p>
              </w:tc>
            </w:tr>
            <w:tr w14:paraId="26AEC5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1627" w:type="dxa"/>
                  <w:tcMar>
                    <w:top w:w="60" w:type="dxa"/>
                    <w:left w:w="120" w:type="dxa"/>
                    <w:bottom w:w="30" w:type="dxa"/>
                    <w:right w:w="120" w:type="dxa"/>
                  </w:tcMar>
                </w:tcPr>
                <w:p w14:paraId="26AEC58A">
                  <w:pPr>
                    <w:rPr>
                      <w:rFonts w:ascii="宋体" w:hAnsi="宋体"/>
                      <w:bCs/>
                      <w:szCs w:val="21"/>
                    </w:rPr>
                  </w:pPr>
                  <w:r>
                    <w:rPr>
                      <w:rFonts w:hint="eastAsia" w:ascii="宋体" w:hAnsi="宋体"/>
                      <w:bCs/>
                      <w:szCs w:val="21"/>
                    </w:rPr>
                    <w:t>外部应用接入管理和发布</w:t>
                  </w:r>
                </w:p>
              </w:tc>
              <w:tc>
                <w:tcPr>
                  <w:tcW w:w="3469" w:type="dxa"/>
                  <w:tcMar>
                    <w:top w:w="60" w:type="dxa"/>
                    <w:left w:w="120" w:type="dxa"/>
                    <w:bottom w:w="30" w:type="dxa"/>
                    <w:right w:w="120" w:type="dxa"/>
                  </w:tcMar>
                </w:tcPr>
                <w:p w14:paraId="26AEC58B">
                  <w:pPr>
                    <w:rPr>
                      <w:rFonts w:ascii="宋体" w:hAnsi="宋体"/>
                      <w:bCs/>
                      <w:szCs w:val="21"/>
                    </w:rPr>
                  </w:pPr>
                  <w:r>
                    <w:rPr>
                      <w:rFonts w:hint="eastAsia" w:ascii="宋体" w:hAnsi="宋体"/>
                      <w:bCs/>
                      <w:szCs w:val="21"/>
                    </w:rPr>
                    <w:t>外部应用的注册和审核；</w:t>
                  </w:r>
                </w:p>
                <w:p w14:paraId="26AEC58C">
                  <w:pPr>
                    <w:rPr>
                      <w:rFonts w:ascii="宋体" w:hAnsi="宋体"/>
                      <w:bCs/>
                      <w:szCs w:val="21"/>
                    </w:rPr>
                  </w:pPr>
                  <w:r>
                    <w:rPr>
                      <w:rFonts w:hint="eastAsia" w:ascii="宋体" w:hAnsi="宋体"/>
                      <w:bCs/>
                      <w:szCs w:val="21"/>
                    </w:rPr>
                    <w:t>权限管理与控制；</w:t>
                  </w:r>
                </w:p>
                <w:p w14:paraId="26AEC58D">
                  <w:pPr>
                    <w:rPr>
                      <w:rFonts w:ascii="宋体" w:hAnsi="宋体"/>
                      <w:bCs/>
                      <w:szCs w:val="21"/>
                    </w:rPr>
                  </w:pPr>
                  <w:r>
                    <w:rPr>
                      <w:rFonts w:hint="eastAsia" w:ascii="宋体" w:hAnsi="宋体"/>
                      <w:bCs/>
                      <w:szCs w:val="21"/>
                    </w:rPr>
                    <w:t>发布与下架；</w:t>
                  </w:r>
                </w:p>
                <w:p w14:paraId="26AEC58E">
                  <w:pPr>
                    <w:rPr>
                      <w:rFonts w:ascii="宋体" w:hAnsi="宋体"/>
                      <w:bCs/>
                      <w:szCs w:val="21"/>
                    </w:rPr>
                  </w:pPr>
                  <w:r>
                    <w:rPr>
                      <w:rFonts w:hint="eastAsia" w:ascii="宋体" w:hAnsi="宋体"/>
                      <w:bCs/>
                      <w:szCs w:val="21"/>
                    </w:rPr>
                    <w:t>使用统计与反馈；</w:t>
                  </w:r>
                </w:p>
              </w:tc>
              <w:tc>
                <w:tcPr>
                  <w:tcW w:w="3414" w:type="dxa"/>
                  <w:tcMar>
                    <w:top w:w="60" w:type="dxa"/>
                    <w:left w:w="120" w:type="dxa"/>
                    <w:bottom w:w="30" w:type="dxa"/>
                    <w:right w:w="120" w:type="dxa"/>
                  </w:tcMar>
                </w:tcPr>
                <w:p w14:paraId="26AEC58F">
                  <w:pPr>
                    <w:rPr>
                      <w:rFonts w:ascii="宋体" w:hAnsi="宋体"/>
                      <w:bCs/>
                      <w:szCs w:val="21"/>
                    </w:rPr>
                  </w:pPr>
                  <w:r>
                    <w:rPr>
                      <w:rFonts w:hint="eastAsia" w:ascii="宋体" w:hAnsi="宋体"/>
                      <w:bCs/>
                      <w:szCs w:val="21"/>
                    </w:rPr>
                    <w:t>开放性：支持多种接入标准；</w:t>
                  </w:r>
                </w:p>
                <w:p w14:paraId="26AEC590">
                  <w:pPr>
                    <w:rPr>
                      <w:rFonts w:ascii="宋体" w:hAnsi="宋体"/>
                      <w:bCs/>
                      <w:szCs w:val="21"/>
                    </w:rPr>
                  </w:pPr>
                  <w:r>
                    <w:rPr>
                      <w:rFonts w:hint="eastAsia" w:ascii="宋体" w:hAnsi="宋体"/>
                      <w:bCs/>
                      <w:szCs w:val="21"/>
                    </w:rPr>
                    <w:t>高效性：快速审核与接入；</w:t>
                  </w:r>
                </w:p>
                <w:p w14:paraId="26AEC591">
                  <w:pPr>
                    <w:rPr>
                      <w:rFonts w:ascii="宋体" w:hAnsi="宋体"/>
                      <w:bCs/>
                      <w:szCs w:val="21"/>
                    </w:rPr>
                  </w:pPr>
                  <w:r>
                    <w:rPr>
                      <w:rFonts w:hint="eastAsia" w:ascii="宋体" w:hAnsi="宋体"/>
                      <w:bCs/>
                      <w:szCs w:val="21"/>
                    </w:rPr>
                    <w:t>互动性：用户行为分析和反馈机制；</w:t>
                  </w:r>
                </w:p>
              </w:tc>
            </w:tr>
            <w:tr w14:paraId="26AEC5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1627" w:type="dxa"/>
                  <w:tcMar>
                    <w:top w:w="60" w:type="dxa"/>
                    <w:left w:w="120" w:type="dxa"/>
                    <w:bottom w:w="30" w:type="dxa"/>
                    <w:right w:w="120" w:type="dxa"/>
                  </w:tcMar>
                </w:tcPr>
                <w:p w14:paraId="26AEC593">
                  <w:pPr>
                    <w:rPr>
                      <w:rFonts w:ascii="宋体" w:hAnsi="宋体"/>
                      <w:bCs/>
                      <w:szCs w:val="21"/>
                    </w:rPr>
                  </w:pPr>
                  <w:r>
                    <w:rPr>
                      <w:rFonts w:hint="eastAsia" w:ascii="宋体" w:hAnsi="宋体"/>
                      <w:bCs/>
                      <w:szCs w:val="21"/>
                    </w:rPr>
                    <w:t>内容管理和发布</w:t>
                  </w:r>
                </w:p>
              </w:tc>
              <w:tc>
                <w:tcPr>
                  <w:tcW w:w="3469" w:type="dxa"/>
                  <w:tcMar>
                    <w:top w:w="60" w:type="dxa"/>
                    <w:left w:w="120" w:type="dxa"/>
                    <w:bottom w:w="30" w:type="dxa"/>
                    <w:right w:w="120" w:type="dxa"/>
                  </w:tcMar>
                </w:tcPr>
                <w:p w14:paraId="26AEC594">
                  <w:pPr>
                    <w:rPr>
                      <w:rFonts w:ascii="宋体" w:hAnsi="宋体"/>
                      <w:bCs/>
                      <w:szCs w:val="21"/>
                    </w:rPr>
                  </w:pPr>
                  <w:r>
                    <w:rPr>
                      <w:rFonts w:hint="eastAsia" w:ascii="宋体" w:hAnsi="宋体"/>
                      <w:bCs/>
                      <w:szCs w:val="21"/>
                    </w:rPr>
                    <w:t>图文内容上传、编辑；</w:t>
                  </w:r>
                </w:p>
                <w:p w14:paraId="26AEC595">
                  <w:pPr>
                    <w:rPr>
                      <w:rFonts w:ascii="宋体" w:hAnsi="宋体"/>
                      <w:bCs/>
                      <w:szCs w:val="21"/>
                    </w:rPr>
                  </w:pPr>
                  <w:r>
                    <w:rPr>
                      <w:rFonts w:hint="eastAsia" w:ascii="宋体" w:hAnsi="宋体"/>
                      <w:bCs/>
                      <w:szCs w:val="21"/>
                    </w:rPr>
                    <w:t>内容分类与标签管理；</w:t>
                  </w:r>
                </w:p>
                <w:p w14:paraId="26AEC596">
                  <w:pPr>
                    <w:rPr>
                      <w:rFonts w:ascii="宋体" w:hAnsi="宋体"/>
                      <w:bCs/>
                      <w:szCs w:val="21"/>
                    </w:rPr>
                  </w:pPr>
                  <w:r>
                    <w:rPr>
                      <w:rFonts w:hint="eastAsia" w:ascii="宋体" w:hAnsi="宋体"/>
                      <w:bCs/>
                      <w:szCs w:val="21"/>
                    </w:rPr>
                    <w:t>图文内容审核与发布；</w:t>
                  </w:r>
                </w:p>
                <w:p w14:paraId="26AEC597">
                  <w:pPr>
                    <w:rPr>
                      <w:rFonts w:ascii="宋体" w:hAnsi="宋体"/>
                      <w:bCs/>
                      <w:szCs w:val="21"/>
                    </w:rPr>
                  </w:pPr>
                  <w:r>
                    <w:rPr>
                      <w:rFonts w:hint="eastAsia" w:ascii="宋体" w:hAnsi="宋体"/>
                      <w:bCs/>
                      <w:szCs w:val="21"/>
                    </w:rPr>
                    <w:t>权限设置与共享；</w:t>
                  </w:r>
                </w:p>
                <w:p w14:paraId="26AEC598">
                  <w:pPr>
                    <w:rPr>
                      <w:rFonts w:ascii="宋体" w:hAnsi="宋体"/>
                      <w:bCs/>
                      <w:szCs w:val="21"/>
                    </w:rPr>
                  </w:pPr>
                  <w:r>
                    <w:rPr>
                      <w:rFonts w:hint="eastAsia" w:ascii="宋体" w:hAnsi="宋体"/>
                      <w:bCs/>
                      <w:szCs w:val="21"/>
                    </w:rPr>
                    <w:t>统计分析与推荐；</w:t>
                  </w:r>
                </w:p>
              </w:tc>
              <w:tc>
                <w:tcPr>
                  <w:tcW w:w="3414" w:type="dxa"/>
                  <w:tcMar>
                    <w:top w:w="60" w:type="dxa"/>
                    <w:left w:w="120" w:type="dxa"/>
                    <w:bottom w:w="30" w:type="dxa"/>
                    <w:right w:w="120" w:type="dxa"/>
                  </w:tcMar>
                </w:tcPr>
                <w:p w14:paraId="26AEC599">
                  <w:pPr>
                    <w:rPr>
                      <w:rFonts w:ascii="宋体" w:hAnsi="宋体"/>
                      <w:bCs/>
                      <w:szCs w:val="21"/>
                    </w:rPr>
                  </w:pPr>
                  <w:r>
                    <w:rPr>
                      <w:rFonts w:hint="eastAsia" w:ascii="宋体" w:hAnsi="宋体"/>
                      <w:bCs/>
                      <w:szCs w:val="21"/>
                    </w:rPr>
                    <w:t>丰富性：支持多种内容格式；</w:t>
                  </w:r>
                </w:p>
                <w:p w14:paraId="26AEC59A">
                  <w:pPr>
                    <w:rPr>
                      <w:rFonts w:ascii="宋体" w:hAnsi="宋体"/>
                      <w:bCs/>
                      <w:szCs w:val="21"/>
                    </w:rPr>
                  </w:pPr>
                  <w:r>
                    <w:rPr>
                      <w:rFonts w:hint="eastAsia" w:ascii="宋体" w:hAnsi="宋体"/>
                      <w:bCs/>
                      <w:szCs w:val="21"/>
                    </w:rPr>
                    <w:t>结构性：清晰分类与标签；</w:t>
                  </w:r>
                </w:p>
                <w:p w14:paraId="26AEC59B">
                  <w:pPr>
                    <w:rPr>
                      <w:rFonts w:ascii="宋体" w:hAnsi="宋体"/>
                      <w:bCs/>
                      <w:szCs w:val="21"/>
                    </w:rPr>
                  </w:pPr>
                  <w:r>
                    <w:rPr>
                      <w:rFonts w:hint="eastAsia" w:ascii="宋体" w:hAnsi="宋体"/>
                      <w:bCs/>
                      <w:szCs w:val="21"/>
                    </w:rPr>
                    <w:t>智能性：基于用户行为的推荐；</w:t>
                  </w:r>
                </w:p>
              </w:tc>
            </w:tr>
            <w:tr w14:paraId="26AEC5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1627" w:type="dxa"/>
                  <w:tcMar>
                    <w:top w:w="60" w:type="dxa"/>
                    <w:left w:w="120" w:type="dxa"/>
                    <w:bottom w:w="30" w:type="dxa"/>
                    <w:right w:w="120" w:type="dxa"/>
                  </w:tcMar>
                </w:tcPr>
                <w:p w14:paraId="26AEC59D">
                  <w:pPr>
                    <w:rPr>
                      <w:rFonts w:ascii="宋体" w:hAnsi="宋体"/>
                      <w:bCs/>
                      <w:szCs w:val="21"/>
                    </w:rPr>
                  </w:pPr>
                  <w:r>
                    <w:rPr>
                      <w:rFonts w:hint="eastAsia" w:ascii="宋体" w:hAnsi="宋体"/>
                      <w:bCs/>
                      <w:szCs w:val="21"/>
                    </w:rPr>
                    <w:t>多机构区域化管理</w:t>
                  </w:r>
                </w:p>
              </w:tc>
              <w:tc>
                <w:tcPr>
                  <w:tcW w:w="3469" w:type="dxa"/>
                  <w:tcMar>
                    <w:top w:w="60" w:type="dxa"/>
                    <w:left w:w="120" w:type="dxa"/>
                    <w:bottom w:w="30" w:type="dxa"/>
                    <w:right w:w="120" w:type="dxa"/>
                  </w:tcMar>
                </w:tcPr>
                <w:p w14:paraId="26AEC59E">
                  <w:pPr>
                    <w:rPr>
                      <w:rFonts w:ascii="宋体" w:hAnsi="宋体"/>
                      <w:bCs/>
                      <w:szCs w:val="21"/>
                    </w:rPr>
                  </w:pPr>
                  <w:r>
                    <w:rPr>
                      <w:rFonts w:hint="eastAsia" w:ascii="宋体" w:hAnsi="宋体"/>
                      <w:bCs/>
                      <w:szCs w:val="21"/>
                    </w:rPr>
                    <w:t>组织机构和管理架构设置；</w:t>
                  </w:r>
                </w:p>
                <w:p w14:paraId="26AEC59F">
                  <w:pPr>
                    <w:rPr>
                      <w:rFonts w:ascii="宋体" w:hAnsi="宋体"/>
                      <w:bCs/>
                      <w:szCs w:val="21"/>
                    </w:rPr>
                  </w:pPr>
                  <w:r>
                    <w:rPr>
                      <w:rFonts w:hint="eastAsia" w:ascii="宋体" w:hAnsi="宋体"/>
                      <w:bCs/>
                      <w:szCs w:val="21"/>
                    </w:rPr>
                    <w:t>账号（管理者、教师、学生）管理；</w:t>
                  </w:r>
                </w:p>
                <w:p w14:paraId="26AEC5A0">
                  <w:pPr>
                    <w:rPr>
                      <w:rFonts w:ascii="宋体" w:hAnsi="宋体"/>
                      <w:bCs/>
                      <w:szCs w:val="21"/>
                    </w:rPr>
                  </w:pPr>
                  <w:r>
                    <w:rPr>
                      <w:rFonts w:hint="eastAsia" w:ascii="宋体" w:hAnsi="宋体"/>
                      <w:bCs/>
                      <w:szCs w:val="21"/>
                    </w:rPr>
                    <w:t>区域化策略定义；</w:t>
                  </w:r>
                </w:p>
                <w:p w14:paraId="26AEC5A1">
                  <w:pPr>
                    <w:rPr>
                      <w:rFonts w:ascii="宋体" w:hAnsi="宋体"/>
                      <w:bCs/>
                      <w:szCs w:val="21"/>
                    </w:rPr>
                  </w:pPr>
                  <w:r>
                    <w:rPr>
                      <w:rFonts w:hint="eastAsia" w:ascii="宋体" w:hAnsi="宋体"/>
                      <w:bCs/>
                      <w:szCs w:val="21"/>
                    </w:rPr>
                    <w:t>机构资源配置；</w:t>
                  </w:r>
                </w:p>
              </w:tc>
              <w:tc>
                <w:tcPr>
                  <w:tcW w:w="3414" w:type="dxa"/>
                  <w:tcMar>
                    <w:top w:w="60" w:type="dxa"/>
                    <w:left w:w="120" w:type="dxa"/>
                    <w:bottom w:w="30" w:type="dxa"/>
                    <w:right w:w="120" w:type="dxa"/>
                  </w:tcMar>
                </w:tcPr>
                <w:p w14:paraId="26AEC5A2">
                  <w:pPr>
                    <w:rPr>
                      <w:rFonts w:ascii="宋体" w:hAnsi="宋体"/>
                      <w:bCs/>
                      <w:szCs w:val="21"/>
                    </w:rPr>
                  </w:pPr>
                  <w:r>
                    <w:rPr>
                      <w:rFonts w:hint="eastAsia" w:ascii="宋体" w:hAnsi="宋体"/>
                      <w:bCs/>
                      <w:szCs w:val="21"/>
                    </w:rPr>
                    <w:t>层级性：权限明确的管理架构；</w:t>
                  </w:r>
                </w:p>
                <w:p w14:paraId="26AEC5A3">
                  <w:pPr>
                    <w:rPr>
                      <w:rFonts w:ascii="宋体" w:hAnsi="宋体"/>
                      <w:bCs/>
                      <w:szCs w:val="21"/>
                    </w:rPr>
                  </w:pPr>
                  <w:r>
                    <w:rPr>
                      <w:rFonts w:hint="eastAsia" w:ascii="宋体" w:hAnsi="宋体"/>
                      <w:bCs/>
                      <w:szCs w:val="21"/>
                    </w:rPr>
                    <w:t>灵活性：灵活的机构配置和管理功能；</w:t>
                  </w:r>
                </w:p>
                <w:p w14:paraId="26AEC5A4">
                  <w:pPr>
                    <w:rPr>
                      <w:rFonts w:ascii="宋体" w:hAnsi="宋体"/>
                      <w:bCs/>
                      <w:szCs w:val="21"/>
                    </w:rPr>
                  </w:pPr>
                  <w:r>
                    <w:rPr>
                      <w:rFonts w:hint="eastAsia" w:ascii="宋体" w:hAnsi="宋体"/>
                      <w:bCs/>
                      <w:szCs w:val="21"/>
                    </w:rPr>
                    <w:t>安全性：安全的账号体系；</w:t>
                  </w:r>
                </w:p>
              </w:tc>
            </w:tr>
            <w:tr w14:paraId="26AEC5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1627" w:type="dxa"/>
                  <w:tcMar>
                    <w:top w:w="60" w:type="dxa"/>
                    <w:left w:w="120" w:type="dxa"/>
                    <w:bottom w:w="30" w:type="dxa"/>
                    <w:right w:w="120" w:type="dxa"/>
                  </w:tcMar>
                </w:tcPr>
                <w:p w14:paraId="26AEC5A6">
                  <w:pPr>
                    <w:rPr>
                      <w:rFonts w:ascii="宋体" w:hAnsi="宋体"/>
                      <w:bCs/>
                      <w:szCs w:val="21"/>
                    </w:rPr>
                  </w:pPr>
                  <w:r>
                    <w:rPr>
                      <w:rFonts w:hint="eastAsia" w:ascii="宋体" w:hAnsi="宋体"/>
                      <w:bCs/>
                      <w:szCs w:val="21"/>
                    </w:rPr>
                    <w:t>用户分享系统</w:t>
                  </w:r>
                </w:p>
              </w:tc>
              <w:tc>
                <w:tcPr>
                  <w:tcW w:w="3469" w:type="dxa"/>
                  <w:tcMar>
                    <w:top w:w="60" w:type="dxa"/>
                    <w:left w:w="120" w:type="dxa"/>
                    <w:bottom w:w="30" w:type="dxa"/>
                    <w:right w:w="120" w:type="dxa"/>
                  </w:tcMar>
                </w:tcPr>
                <w:p w14:paraId="26AEC5A7">
                  <w:pPr>
                    <w:rPr>
                      <w:rFonts w:ascii="宋体" w:hAnsi="宋体"/>
                      <w:bCs/>
                      <w:szCs w:val="21"/>
                    </w:rPr>
                  </w:pPr>
                  <w:r>
                    <w:rPr>
                      <w:rFonts w:hint="eastAsia" w:ascii="宋体" w:hAnsi="宋体"/>
                      <w:bCs/>
                      <w:szCs w:val="21"/>
                    </w:rPr>
                    <w:t>提供内容分享功能；</w:t>
                  </w:r>
                </w:p>
                <w:p w14:paraId="26AEC5A8">
                  <w:pPr>
                    <w:rPr>
                      <w:rFonts w:ascii="宋体" w:hAnsi="宋体"/>
                      <w:bCs/>
                      <w:szCs w:val="21"/>
                    </w:rPr>
                  </w:pPr>
                  <w:r>
                    <w:rPr>
                      <w:rFonts w:hint="eastAsia" w:ascii="宋体" w:hAnsi="宋体"/>
                      <w:bCs/>
                      <w:szCs w:val="21"/>
                    </w:rPr>
                    <w:t>分享范围设置；</w:t>
                  </w:r>
                </w:p>
                <w:p w14:paraId="26AEC5A9">
                  <w:pPr>
                    <w:rPr>
                      <w:rFonts w:ascii="宋体" w:hAnsi="宋体"/>
                      <w:bCs/>
                      <w:szCs w:val="21"/>
                    </w:rPr>
                  </w:pPr>
                  <w:r>
                    <w:rPr>
                      <w:rFonts w:hint="eastAsia" w:ascii="宋体" w:hAnsi="宋体"/>
                      <w:bCs/>
                      <w:szCs w:val="21"/>
                    </w:rPr>
                    <w:t>用户分享记录追踪；</w:t>
                  </w:r>
                </w:p>
                <w:p w14:paraId="26AEC5AA">
                  <w:pPr>
                    <w:rPr>
                      <w:rFonts w:ascii="宋体" w:hAnsi="宋体"/>
                      <w:bCs/>
                      <w:szCs w:val="21"/>
                    </w:rPr>
                  </w:pPr>
                  <w:r>
                    <w:rPr>
                      <w:rFonts w:hint="eastAsia" w:ascii="宋体" w:hAnsi="宋体"/>
                      <w:bCs/>
                      <w:szCs w:val="21"/>
                    </w:rPr>
                    <w:t>分享激励与反馈；</w:t>
                  </w:r>
                </w:p>
              </w:tc>
              <w:tc>
                <w:tcPr>
                  <w:tcW w:w="3414" w:type="dxa"/>
                  <w:tcMar>
                    <w:top w:w="60" w:type="dxa"/>
                    <w:left w:w="120" w:type="dxa"/>
                    <w:bottom w:w="30" w:type="dxa"/>
                    <w:right w:w="120" w:type="dxa"/>
                  </w:tcMar>
                </w:tcPr>
                <w:p w14:paraId="26AEC5AB">
                  <w:pPr>
                    <w:rPr>
                      <w:rFonts w:ascii="宋体" w:hAnsi="宋体"/>
                      <w:bCs/>
                      <w:szCs w:val="21"/>
                    </w:rPr>
                  </w:pPr>
                  <w:r>
                    <w:rPr>
                      <w:rFonts w:hint="eastAsia" w:ascii="宋体" w:hAnsi="宋体"/>
                      <w:bCs/>
                      <w:szCs w:val="21"/>
                    </w:rPr>
                    <w:t>社交性：增强用户互动；</w:t>
                  </w:r>
                </w:p>
                <w:p w14:paraId="26AEC5AC">
                  <w:pPr>
                    <w:rPr>
                      <w:rFonts w:ascii="宋体" w:hAnsi="宋体"/>
                      <w:bCs/>
                      <w:szCs w:val="21"/>
                    </w:rPr>
                  </w:pPr>
                  <w:r>
                    <w:rPr>
                      <w:rFonts w:hint="eastAsia" w:ascii="宋体" w:hAnsi="宋体"/>
                      <w:bCs/>
                      <w:szCs w:val="21"/>
                    </w:rPr>
                    <w:t>灵活性：多种分享方式；</w:t>
                  </w:r>
                </w:p>
                <w:p w14:paraId="26AEC5AD">
                  <w:pPr>
                    <w:rPr>
                      <w:rFonts w:ascii="宋体" w:hAnsi="宋体"/>
                      <w:bCs/>
                      <w:szCs w:val="21"/>
                    </w:rPr>
                  </w:pPr>
                  <w:r>
                    <w:rPr>
                      <w:rFonts w:hint="eastAsia" w:ascii="宋体" w:hAnsi="宋体"/>
                      <w:bCs/>
                      <w:szCs w:val="21"/>
                    </w:rPr>
                    <w:t>可追溯性：记录分享行为；</w:t>
                  </w:r>
                </w:p>
              </w:tc>
            </w:tr>
            <w:tr w14:paraId="26AEC5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1627" w:type="dxa"/>
                  <w:tcMar>
                    <w:top w:w="60" w:type="dxa"/>
                    <w:left w:w="120" w:type="dxa"/>
                    <w:bottom w:w="30" w:type="dxa"/>
                    <w:right w:w="120" w:type="dxa"/>
                  </w:tcMar>
                </w:tcPr>
                <w:p w14:paraId="26AEC5AF">
                  <w:pPr>
                    <w:rPr>
                      <w:rFonts w:ascii="宋体" w:hAnsi="宋体"/>
                      <w:bCs/>
                      <w:szCs w:val="21"/>
                    </w:rPr>
                  </w:pPr>
                  <w:r>
                    <w:rPr>
                      <w:rFonts w:hint="eastAsia" w:ascii="宋体" w:hAnsi="宋体"/>
                      <w:bCs/>
                      <w:szCs w:val="21"/>
                    </w:rPr>
                    <w:t>搜索推荐引擎</w:t>
                  </w:r>
                </w:p>
              </w:tc>
              <w:tc>
                <w:tcPr>
                  <w:tcW w:w="3469" w:type="dxa"/>
                  <w:tcMar>
                    <w:top w:w="60" w:type="dxa"/>
                    <w:left w:w="120" w:type="dxa"/>
                    <w:bottom w:w="30" w:type="dxa"/>
                    <w:right w:w="120" w:type="dxa"/>
                  </w:tcMar>
                </w:tcPr>
                <w:p w14:paraId="26AEC5B0">
                  <w:pPr>
                    <w:rPr>
                      <w:rFonts w:ascii="宋体" w:hAnsi="宋体"/>
                      <w:bCs/>
                      <w:szCs w:val="21"/>
                    </w:rPr>
                  </w:pPr>
                  <w:r>
                    <w:rPr>
                      <w:rFonts w:hint="eastAsia" w:ascii="宋体" w:hAnsi="宋体"/>
                      <w:bCs/>
                      <w:szCs w:val="21"/>
                    </w:rPr>
                    <w:t>智能推荐智能体和图文内容；</w:t>
                  </w:r>
                </w:p>
                <w:p w14:paraId="26AEC5B1">
                  <w:pPr>
                    <w:rPr>
                      <w:rFonts w:ascii="宋体" w:hAnsi="宋体"/>
                      <w:bCs/>
                      <w:szCs w:val="21"/>
                    </w:rPr>
                  </w:pPr>
                  <w:r>
                    <w:rPr>
                      <w:rFonts w:hint="eastAsia" w:ascii="宋体" w:hAnsi="宋体"/>
                      <w:bCs/>
                      <w:szCs w:val="21"/>
                    </w:rPr>
                    <w:t>搜索结果排序与优化；</w:t>
                  </w:r>
                </w:p>
                <w:p w14:paraId="26AEC5B2">
                  <w:pPr>
                    <w:rPr>
                      <w:rFonts w:ascii="宋体" w:hAnsi="宋体"/>
                      <w:bCs/>
                      <w:szCs w:val="21"/>
                    </w:rPr>
                  </w:pPr>
                  <w:r>
                    <w:rPr>
                      <w:rFonts w:hint="eastAsia" w:ascii="宋体" w:hAnsi="宋体"/>
                      <w:bCs/>
                      <w:szCs w:val="21"/>
                    </w:rPr>
                    <w:t>用户行为分析；</w:t>
                  </w:r>
                </w:p>
              </w:tc>
              <w:tc>
                <w:tcPr>
                  <w:tcW w:w="3414" w:type="dxa"/>
                  <w:tcMar>
                    <w:top w:w="60" w:type="dxa"/>
                    <w:left w:w="120" w:type="dxa"/>
                    <w:bottom w:w="30" w:type="dxa"/>
                    <w:right w:w="120" w:type="dxa"/>
                  </w:tcMar>
                </w:tcPr>
                <w:p w14:paraId="26AEC5B3">
                  <w:pPr>
                    <w:rPr>
                      <w:rFonts w:ascii="宋体" w:hAnsi="宋体"/>
                      <w:bCs/>
                      <w:szCs w:val="21"/>
                    </w:rPr>
                  </w:pPr>
                  <w:r>
                    <w:rPr>
                      <w:rFonts w:hint="eastAsia" w:ascii="宋体" w:hAnsi="宋体"/>
                      <w:bCs/>
                      <w:szCs w:val="21"/>
                    </w:rPr>
                    <w:t>准确性：高效搜索算法；</w:t>
                  </w:r>
                </w:p>
                <w:p w14:paraId="26AEC5B4">
                  <w:pPr>
                    <w:rPr>
                      <w:rFonts w:ascii="宋体" w:hAnsi="宋体"/>
                      <w:bCs/>
                      <w:szCs w:val="21"/>
                    </w:rPr>
                  </w:pPr>
                  <w:r>
                    <w:rPr>
                      <w:rFonts w:hint="eastAsia" w:ascii="宋体" w:hAnsi="宋体"/>
                      <w:bCs/>
                      <w:szCs w:val="21"/>
                    </w:rPr>
                    <w:t>智能性：个性化推荐；</w:t>
                  </w:r>
                </w:p>
                <w:p w14:paraId="26AEC5B5">
                  <w:pPr>
                    <w:rPr>
                      <w:rFonts w:ascii="宋体" w:hAnsi="宋体"/>
                      <w:bCs/>
                      <w:szCs w:val="21"/>
                    </w:rPr>
                  </w:pPr>
                  <w:r>
                    <w:rPr>
                      <w:rFonts w:hint="eastAsia" w:ascii="宋体" w:hAnsi="宋体"/>
                      <w:bCs/>
                      <w:szCs w:val="21"/>
                    </w:rPr>
                    <w:t>实时性：动态更新搜索结果；</w:t>
                  </w:r>
                </w:p>
              </w:tc>
            </w:tr>
            <w:tr w14:paraId="26AEC5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1627" w:type="dxa"/>
                  <w:tcMar>
                    <w:top w:w="60" w:type="dxa"/>
                    <w:left w:w="120" w:type="dxa"/>
                    <w:bottom w:w="30" w:type="dxa"/>
                    <w:right w:w="120" w:type="dxa"/>
                  </w:tcMar>
                </w:tcPr>
                <w:p w14:paraId="26AEC5B7">
                  <w:pPr>
                    <w:rPr>
                      <w:rFonts w:ascii="宋体" w:hAnsi="宋体"/>
                      <w:bCs/>
                      <w:szCs w:val="21"/>
                    </w:rPr>
                  </w:pPr>
                  <w:r>
                    <w:rPr>
                      <w:rFonts w:hint="eastAsia" w:ascii="宋体" w:hAnsi="宋体"/>
                      <w:bCs/>
                      <w:szCs w:val="21"/>
                    </w:rPr>
                    <w:t>智能应用效果评估</w:t>
                  </w:r>
                </w:p>
              </w:tc>
              <w:tc>
                <w:tcPr>
                  <w:tcW w:w="3469" w:type="dxa"/>
                  <w:tcMar>
                    <w:top w:w="60" w:type="dxa"/>
                    <w:left w:w="120" w:type="dxa"/>
                    <w:bottom w:w="30" w:type="dxa"/>
                    <w:right w:w="120" w:type="dxa"/>
                  </w:tcMar>
                </w:tcPr>
                <w:p w14:paraId="26AEC5B8">
                  <w:pPr>
                    <w:rPr>
                      <w:rFonts w:ascii="宋体" w:hAnsi="宋体"/>
                      <w:bCs/>
                      <w:szCs w:val="21"/>
                    </w:rPr>
                  </w:pPr>
                  <w:r>
                    <w:rPr>
                      <w:rFonts w:hint="eastAsia" w:ascii="宋体" w:hAnsi="宋体"/>
                      <w:bCs/>
                      <w:szCs w:val="21"/>
                    </w:rPr>
                    <w:t>应用使用数据收集；</w:t>
                  </w:r>
                </w:p>
                <w:p w14:paraId="26AEC5B9">
                  <w:pPr>
                    <w:rPr>
                      <w:rFonts w:ascii="宋体" w:hAnsi="宋体"/>
                      <w:bCs/>
                      <w:szCs w:val="21"/>
                    </w:rPr>
                  </w:pPr>
                  <w:r>
                    <w:rPr>
                      <w:rFonts w:hint="eastAsia" w:ascii="宋体" w:hAnsi="宋体"/>
                      <w:bCs/>
                      <w:szCs w:val="21"/>
                    </w:rPr>
                    <w:t>效果分析报告；</w:t>
                  </w:r>
                </w:p>
                <w:p w14:paraId="26AEC5BA">
                  <w:pPr>
                    <w:rPr>
                      <w:rFonts w:ascii="宋体" w:hAnsi="宋体"/>
                      <w:bCs/>
                      <w:szCs w:val="21"/>
                    </w:rPr>
                  </w:pPr>
                  <w:r>
                    <w:rPr>
                      <w:rFonts w:hint="eastAsia" w:ascii="宋体" w:hAnsi="宋体"/>
                      <w:bCs/>
                      <w:szCs w:val="21"/>
                    </w:rPr>
                    <w:t>用户反馈收集；</w:t>
                  </w:r>
                </w:p>
                <w:p w14:paraId="26AEC5BB">
                  <w:pPr>
                    <w:rPr>
                      <w:rFonts w:ascii="宋体" w:hAnsi="宋体"/>
                      <w:bCs/>
                      <w:szCs w:val="21"/>
                    </w:rPr>
                  </w:pPr>
                  <w:r>
                    <w:rPr>
                      <w:rFonts w:hint="eastAsia" w:ascii="宋体" w:hAnsi="宋体"/>
                      <w:bCs/>
                      <w:szCs w:val="21"/>
                    </w:rPr>
                    <w:t>持续改进建议；</w:t>
                  </w:r>
                </w:p>
              </w:tc>
              <w:tc>
                <w:tcPr>
                  <w:tcW w:w="3414" w:type="dxa"/>
                  <w:tcMar>
                    <w:top w:w="60" w:type="dxa"/>
                    <w:left w:w="120" w:type="dxa"/>
                    <w:bottom w:w="30" w:type="dxa"/>
                    <w:right w:w="120" w:type="dxa"/>
                  </w:tcMar>
                </w:tcPr>
                <w:p w14:paraId="26AEC5BC">
                  <w:pPr>
                    <w:rPr>
                      <w:rFonts w:ascii="宋体" w:hAnsi="宋体"/>
                      <w:bCs/>
                      <w:szCs w:val="21"/>
                    </w:rPr>
                  </w:pPr>
                  <w:r>
                    <w:rPr>
                      <w:rFonts w:hint="eastAsia" w:ascii="宋体" w:hAnsi="宋体"/>
                      <w:bCs/>
                      <w:szCs w:val="21"/>
                    </w:rPr>
                    <w:t>客观性：基于数据的评估；</w:t>
                  </w:r>
                </w:p>
                <w:p w14:paraId="26AEC5BD">
                  <w:pPr>
                    <w:rPr>
                      <w:rFonts w:ascii="宋体" w:hAnsi="宋体"/>
                      <w:bCs/>
                      <w:szCs w:val="21"/>
                    </w:rPr>
                  </w:pPr>
                  <w:r>
                    <w:rPr>
                      <w:rFonts w:hint="eastAsia" w:ascii="宋体" w:hAnsi="宋体"/>
                      <w:bCs/>
                      <w:szCs w:val="21"/>
                    </w:rPr>
                    <w:t>全面性：多维度分析；</w:t>
                  </w:r>
                </w:p>
                <w:p w14:paraId="26AEC5BE">
                  <w:pPr>
                    <w:rPr>
                      <w:rFonts w:ascii="宋体" w:hAnsi="宋体"/>
                      <w:bCs/>
                      <w:szCs w:val="21"/>
                    </w:rPr>
                  </w:pPr>
                  <w:r>
                    <w:rPr>
                      <w:rFonts w:hint="eastAsia" w:ascii="宋体" w:hAnsi="宋体"/>
                      <w:bCs/>
                      <w:szCs w:val="21"/>
                    </w:rPr>
                    <w:t>持续性：支持应用持续改进；</w:t>
                  </w:r>
                </w:p>
              </w:tc>
            </w:tr>
            <w:tr w14:paraId="26AEC5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1627" w:type="dxa"/>
                  <w:tcMar>
                    <w:top w:w="60" w:type="dxa"/>
                    <w:left w:w="120" w:type="dxa"/>
                    <w:bottom w:w="30" w:type="dxa"/>
                    <w:right w:w="120" w:type="dxa"/>
                  </w:tcMar>
                </w:tcPr>
                <w:p w14:paraId="26AEC5C0">
                  <w:pPr>
                    <w:rPr>
                      <w:rFonts w:ascii="宋体" w:hAnsi="宋体"/>
                      <w:bCs/>
                      <w:szCs w:val="21"/>
                    </w:rPr>
                  </w:pPr>
                  <w:r>
                    <w:rPr>
                      <w:rFonts w:hint="eastAsia" w:ascii="宋体" w:hAnsi="宋体"/>
                      <w:bCs/>
                      <w:szCs w:val="21"/>
                    </w:rPr>
                    <w:t>用户档案数据管理</w:t>
                  </w:r>
                </w:p>
              </w:tc>
              <w:tc>
                <w:tcPr>
                  <w:tcW w:w="3469" w:type="dxa"/>
                  <w:tcMar>
                    <w:top w:w="60" w:type="dxa"/>
                    <w:left w:w="120" w:type="dxa"/>
                    <w:bottom w:w="30" w:type="dxa"/>
                    <w:right w:w="120" w:type="dxa"/>
                  </w:tcMar>
                </w:tcPr>
                <w:p w14:paraId="26AEC5C1">
                  <w:pPr>
                    <w:rPr>
                      <w:rFonts w:ascii="宋体" w:hAnsi="宋体"/>
                      <w:bCs/>
                      <w:szCs w:val="21"/>
                    </w:rPr>
                  </w:pPr>
                  <w:r>
                    <w:rPr>
                      <w:rFonts w:hint="eastAsia" w:ascii="宋体" w:hAnsi="宋体"/>
                      <w:bCs/>
                      <w:szCs w:val="21"/>
                    </w:rPr>
                    <w:t>用户档案创建与维护；</w:t>
                  </w:r>
                </w:p>
                <w:p w14:paraId="26AEC5C2">
                  <w:pPr>
                    <w:rPr>
                      <w:rFonts w:ascii="宋体" w:hAnsi="宋体"/>
                      <w:bCs/>
                      <w:szCs w:val="21"/>
                    </w:rPr>
                  </w:pPr>
                  <w:r>
                    <w:rPr>
                      <w:rFonts w:hint="eastAsia" w:ascii="宋体" w:hAnsi="宋体"/>
                      <w:bCs/>
                      <w:szCs w:val="21"/>
                    </w:rPr>
                    <w:t>用户标识识别和档案归集；</w:t>
                  </w:r>
                </w:p>
                <w:p w14:paraId="26AEC5C3">
                  <w:pPr>
                    <w:rPr>
                      <w:rFonts w:ascii="宋体" w:hAnsi="宋体"/>
                      <w:bCs/>
                      <w:szCs w:val="21"/>
                    </w:rPr>
                  </w:pPr>
                  <w:r>
                    <w:rPr>
                      <w:rFonts w:hint="eastAsia" w:ascii="宋体" w:hAnsi="宋体"/>
                      <w:bCs/>
                      <w:szCs w:val="21"/>
                    </w:rPr>
                    <w:t>隐私保护与安全管理；</w:t>
                  </w:r>
                </w:p>
                <w:p w14:paraId="26AEC5C4">
                  <w:pPr>
                    <w:rPr>
                      <w:rFonts w:ascii="宋体" w:hAnsi="宋体"/>
                      <w:bCs/>
                      <w:szCs w:val="21"/>
                    </w:rPr>
                  </w:pPr>
                  <w:r>
                    <w:rPr>
                      <w:rFonts w:hint="eastAsia" w:ascii="宋体" w:hAnsi="宋体"/>
                      <w:bCs/>
                      <w:szCs w:val="21"/>
                    </w:rPr>
                    <w:t>用户数据分析与挖掘；</w:t>
                  </w:r>
                </w:p>
              </w:tc>
              <w:tc>
                <w:tcPr>
                  <w:tcW w:w="3414" w:type="dxa"/>
                  <w:tcMar>
                    <w:top w:w="60" w:type="dxa"/>
                    <w:left w:w="120" w:type="dxa"/>
                    <w:bottom w:w="30" w:type="dxa"/>
                    <w:right w:w="120" w:type="dxa"/>
                  </w:tcMar>
                </w:tcPr>
                <w:p w14:paraId="26AEC5C5">
                  <w:pPr>
                    <w:rPr>
                      <w:rFonts w:ascii="宋体" w:hAnsi="宋体"/>
                      <w:bCs/>
                      <w:szCs w:val="21"/>
                    </w:rPr>
                  </w:pPr>
                  <w:r>
                    <w:rPr>
                      <w:rFonts w:hint="eastAsia" w:ascii="宋体" w:hAnsi="宋体"/>
                      <w:bCs/>
                      <w:szCs w:val="21"/>
                    </w:rPr>
                    <w:t>完整性：全面记录用户使用AI信息；</w:t>
                  </w:r>
                </w:p>
                <w:p w14:paraId="26AEC5C6">
                  <w:pPr>
                    <w:rPr>
                      <w:rFonts w:ascii="宋体" w:hAnsi="宋体"/>
                      <w:bCs/>
                      <w:szCs w:val="21"/>
                    </w:rPr>
                  </w:pPr>
                  <w:r>
                    <w:rPr>
                      <w:rFonts w:hint="eastAsia" w:ascii="宋体" w:hAnsi="宋体"/>
                      <w:bCs/>
                      <w:szCs w:val="21"/>
                    </w:rPr>
                    <w:t>安全性：严格数据保护；</w:t>
                  </w:r>
                </w:p>
                <w:p w14:paraId="26AEC5C7">
                  <w:pPr>
                    <w:rPr>
                      <w:rFonts w:ascii="宋体" w:hAnsi="宋体"/>
                      <w:bCs/>
                      <w:szCs w:val="21"/>
                    </w:rPr>
                  </w:pPr>
                  <w:r>
                    <w:rPr>
                      <w:rFonts w:hint="eastAsia" w:ascii="宋体" w:hAnsi="宋体"/>
                      <w:bCs/>
                      <w:szCs w:val="21"/>
                    </w:rPr>
                    <w:t>智能性：基于数据的智能分析；</w:t>
                  </w:r>
                </w:p>
              </w:tc>
            </w:tr>
            <w:tr w14:paraId="26AEC5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1627" w:type="dxa"/>
                  <w:tcMar>
                    <w:top w:w="60" w:type="dxa"/>
                    <w:left w:w="120" w:type="dxa"/>
                    <w:bottom w:w="30" w:type="dxa"/>
                    <w:right w:w="120" w:type="dxa"/>
                  </w:tcMar>
                </w:tcPr>
                <w:p w14:paraId="26AEC5C9">
                  <w:pPr>
                    <w:rPr>
                      <w:rFonts w:ascii="宋体" w:hAnsi="宋体"/>
                      <w:bCs/>
                      <w:szCs w:val="21"/>
                    </w:rPr>
                  </w:pPr>
                  <w:r>
                    <w:rPr>
                      <w:rFonts w:hint="eastAsia" w:ascii="宋体" w:hAnsi="宋体"/>
                      <w:bCs/>
                      <w:szCs w:val="21"/>
                    </w:rPr>
                    <w:t>智能客服子系统</w:t>
                  </w:r>
                </w:p>
              </w:tc>
              <w:tc>
                <w:tcPr>
                  <w:tcW w:w="3469" w:type="dxa"/>
                  <w:tcMar>
                    <w:top w:w="60" w:type="dxa"/>
                    <w:left w:w="120" w:type="dxa"/>
                    <w:bottom w:w="30" w:type="dxa"/>
                    <w:right w:w="120" w:type="dxa"/>
                  </w:tcMar>
                </w:tcPr>
                <w:p w14:paraId="26AEC5CA">
                  <w:pPr>
                    <w:rPr>
                      <w:rFonts w:ascii="宋体" w:hAnsi="宋体"/>
                      <w:bCs/>
                      <w:szCs w:val="21"/>
                    </w:rPr>
                  </w:pPr>
                  <w:r>
                    <w:rPr>
                      <w:rFonts w:hint="eastAsia" w:ascii="宋体" w:hAnsi="宋体"/>
                      <w:bCs/>
                      <w:szCs w:val="21"/>
                    </w:rPr>
                    <w:t>智能问答与交互；</w:t>
                  </w:r>
                </w:p>
                <w:p w14:paraId="26AEC5CB">
                  <w:pPr>
                    <w:rPr>
                      <w:rFonts w:ascii="宋体" w:hAnsi="宋体"/>
                      <w:bCs/>
                      <w:szCs w:val="21"/>
                    </w:rPr>
                  </w:pPr>
                  <w:r>
                    <w:rPr>
                      <w:rFonts w:hint="eastAsia" w:ascii="宋体" w:hAnsi="宋体"/>
                      <w:bCs/>
                      <w:szCs w:val="21"/>
                    </w:rPr>
                    <w:t>工单创建、分配与跟踪；</w:t>
                  </w:r>
                </w:p>
                <w:p w14:paraId="26AEC5CC">
                  <w:pPr>
                    <w:rPr>
                      <w:rFonts w:ascii="宋体" w:hAnsi="宋体"/>
                      <w:bCs/>
                      <w:szCs w:val="21"/>
                    </w:rPr>
                  </w:pPr>
                  <w:r>
                    <w:rPr>
                      <w:rFonts w:hint="eastAsia" w:ascii="宋体" w:hAnsi="宋体"/>
                      <w:bCs/>
                      <w:szCs w:val="21"/>
                    </w:rPr>
                    <w:t>数据统计分析与优化；</w:t>
                  </w:r>
                </w:p>
              </w:tc>
              <w:tc>
                <w:tcPr>
                  <w:tcW w:w="3414" w:type="dxa"/>
                  <w:tcMar>
                    <w:top w:w="60" w:type="dxa"/>
                    <w:left w:w="120" w:type="dxa"/>
                    <w:bottom w:w="30" w:type="dxa"/>
                    <w:right w:w="120" w:type="dxa"/>
                  </w:tcMar>
                </w:tcPr>
                <w:p w14:paraId="26AEC5CD">
                  <w:pPr>
                    <w:rPr>
                      <w:rFonts w:ascii="宋体" w:hAnsi="宋体"/>
                      <w:bCs/>
                      <w:szCs w:val="21"/>
                    </w:rPr>
                  </w:pPr>
                  <w:r>
                    <w:rPr>
                      <w:rFonts w:hint="eastAsia" w:ascii="宋体" w:hAnsi="宋体"/>
                      <w:bCs/>
                      <w:szCs w:val="21"/>
                    </w:rPr>
                    <w:t>智能化：高效智能问答；</w:t>
                  </w:r>
                </w:p>
                <w:p w14:paraId="26AEC5CE">
                  <w:pPr>
                    <w:rPr>
                      <w:rFonts w:ascii="宋体" w:hAnsi="宋体"/>
                      <w:bCs/>
                      <w:szCs w:val="21"/>
                    </w:rPr>
                  </w:pPr>
                  <w:r>
                    <w:rPr>
                      <w:rFonts w:hint="eastAsia" w:ascii="宋体" w:hAnsi="宋体"/>
                      <w:bCs/>
                      <w:szCs w:val="21"/>
                    </w:rPr>
                    <w:t>可追溯性：完整工单记录；</w:t>
                  </w:r>
                </w:p>
              </w:tc>
            </w:tr>
          </w:tbl>
          <w:p w14:paraId="26AEC5D0">
            <w:pPr>
              <w:rPr>
                <w:rFonts w:ascii="宋体" w:hAnsi="宋体"/>
                <w:bCs/>
                <w:szCs w:val="21"/>
              </w:rPr>
            </w:pPr>
          </w:p>
          <w:p w14:paraId="26AEC5D1">
            <w:pPr>
              <w:rPr>
                <w:rFonts w:ascii="宋体" w:hAnsi="宋体"/>
                <w:bCs/>
                <w:szCs w:val="21"/>
              </w:rPr>
            </w:pPr>
            <w:bookmarkStart w:id="34" w:name="heading_3"/>
            <w:r>
              <w:rPr>
                <w:rFonts w:hint="eastAsia" w:ascii="宋体" w:hAnsi="宋体"/>
                <w:bCs/>
                <w:szCs w:val="21"/>
              </w:rPr>
              <w:t>四、项目研发进度</w:t>
            </w:r>
            <w:bookmarkEnd w:id="34"/>
          </w:p>
          <w:p w14:paraId="26AEC5D2">
            <w:pPr>
              <w:rPr>
                <w:rFonts w:ascii="宋体" w:hAnsi="宋体"/>
                <w:bCs/>
                <w:szCs w:val="21"/>
              </w:rPr>
            </w:pPr>
            <w:r>
              <w:rPr>
                <w:rFonts w:hint="eastAsia" w:ascii="宋体" w:hAnsi="宋体"/>
                <w:bCs/>
                <w:szCs w:val="21"/>
              </w:rPr>
              <w:t>（一）分三个阶段实施</w:t>
            </w:r>
          </w:p>
          <w:p w14:paraId="26AEC5D3">
            <w:pPr>
              <w:rPr>
                <w:rFonts w:ascii="宋体" w:hAnsi="宋体"/>
                <w:bCs/>
                <w:szCs w:val="21"/>
              </w:rPr>
            </w:pPr>
            <w:r>
              <w:rPr>
                <w:rFonts w:hint="eastAsia" w:ascii="宋体" w:hAnsi="宋体"/>
                <w:bCs/>
                <w:szCs w:val="21"/>
              </w:rPr>
              <w:t>1.短期：完成门户平台系统</w:t>
            </w:r>
          </w:p>
          <w:p w14:paraId="26AEC5D4">
            <w:pPr>
              <w:rPr>
                <w:rFonts w:ascii="宋体" w:hAnsi="宋体"/>
                <w:bCs/>
                <w:szCs w:val="21"/>
              </w:rPr>
            </w:pPr>
            <w:r>
              <w:rPr>
                <w:rFonts w:hint="eastAsia" w:ascii="宋体" w:hAnsi="宋体"/>
                <w:bCs/>
                <w:szCs w:val="21"/>
              </w:rPr>
              <w:t>移动端产品的设计和实现；</w:t>
            </w:r>
          </w:p>
          <w:p w14:paraId="26AEC5D5">
            <w:pPr>
              <w:rPr>
                <w:rFonts w:ascii="宋体" w:hAnsi="宋体"/>
                <w:bCs/>
                <w:szCs w:val="21"/>
              </w:rPr>
            </w:pPr>
            <w:r>
              <w:rPr>
                <w:rFonts w:hint="eastAsia" w:ascii="宋体" w:hAnsi="宋体"/>
                <w:bCs/>
                <w:szCs w:val="21"/>
              </w:rPr>
              <w:t>各级教育机构信息管理，包括教师和学生信息、账号、角色权限、核心资源等；</w:t>
            </w:r>
          </w:p>
          <w:p w14:paraId="26AEC5D6">
            <w:pPr>
              <w:rPr>
                <w:rFonts w:ascii="宋体" w:hAnsi="宋体"/>
                <w:bCs/>
                <w:szCs w:val="21"/>
              </w:rPr>
            </w:pPr>
            <w:r>
              <w:rPr>
                <w:rFonts w:hint="eastAsia" w:ascii="宋体" w:hAnsi="宋体"/>
                <w:bCs/>
                <w:szCs w:val="21"/>
              </w:rPr>
              <w:t>内容管理和发布（图文、视频）子系统；</w:t>
            </w:r>
          </w:p>
          <w:p w14:paraId="26AEC5D7">
            <w:pPr>
              <w:rPr>
                <w:rFonts w:ascii="宋体" w:hAnsi="宋体"/>
                <w:bCs/>
                <w:szCs w:val="21"/>
              </w:rPr>
            </w:pPr>
            <w:r>
              <w:rPr>
                <w:rFonts w:hint="eastAsia" w:ascii="宋体" w:hAnsi="宋体"/>
                <w:bCs/>
                <w:szCs w:val="21"/>
              </w:rPr>
              <w:t>高效率的智能体检索和推荐子系统；</w:t>
            </w:r>
          </w:p>
          <w:p w14:paraId="26AEC5D8">
            <w:pPr>
              <w:rPr>
                <w:rFonts w:ascii="宋体" w:hAnsi="宋体"/>
                <w:bCs/>
                <w:szCs w:val="21"/>
              </w:rPr>
            </w:pPr>
            <w:r>
              <w:rPr>
                <w:rFonts w:hint="eastAsia" w:ascii="宋体" w:hAnsi="宋体"/>
                <w:bCs/>
                <w:szCs w:val="21"/>
              </w:rPr>
              <w:t>教师和学生的智能应用资料库和个人档案；</w:t>
            </w:r>
          </w:p>
          <w:p w14:paraId="26AEC5D9">
            <w:pPr>
              <w:rPr>
                <w:rFonts w:ascii="宋体" w:hAnsi="宋体"/>
                <w:bCs/>
                <w:szCs w:val="21"/>
              </w:rPr>
            </w:pPr>
            <w:r>
              <w:rPr>
                <w:rFonts w:hint="eastAsia" w:ascii="宋体" w:hAnsi="宋体"/>
                <w:bCs/>
                <w:szCs w:val="21"/>
              </w:rPr>
              <w:t>个性化内容分享子系统；</w:t>
            </w:r>
          </w:p>
          <w:p w14:paraId="26AEC5DA">
            <w:pPr>
              <w:rPr>
                <w:rFonts w:ascii="宋体" w:hAnsi="宋体"/>
                <w:bCs/>
                <w:szCs w:val="21"/>
              </w:rPr>
            </w:pPr>
            <w:r>
              <w:rPr>
                <w:rFonts w:hint="eastAsia" w:ascii="宋体" w:hAnsi="宋体"/>
                <w:bCs/>
                <w:szCs w:val="21"/>
              </w:rPr>
              <w:t>对学校已有的信息系统或数字化系统进行AI化升级改造的能力。</w:t>
            </w:r>
          </w:p>
          <w:p w14:paraId="26AEC5DB">
            <w:pPr>
              <w:rPr>
                <w:rFonts w:ascii="宋体" w:hAnsi="宋体"/>
                <w:bCs/>
                <w:szCs w:val="21"/>
              </w:rPr>
            </w:pPr>
            <w:r>
              <w:rPr>
                <w:rFonts w:hint="eastAsia" w:ascii="宋体" w:hAnsi="宋体"/>
                <w:bCs/>
                <w:szCs w:val="21"/>
              </w:rPr>
              <w:t>2.中期：智能应用效果评估</w:t>
            </w:r>
          </w:p>
          <w:p w14:paraId="26AEC5DC">
            <w:pPr>
              <w:rPr>
                <w:rFonts w:ascii="宋体" w:hAnsi="宋体"/>
                <w:bCs/>
                <w:szCs w:val="21"/>
              </w:rPr>
            </w:pPr>
            <w:r>
              <w:rPr>
                <w:rFonts w:hint="eastAsia" w:ascii="宋体" w:hAnsi="宋体"/>
                <w:bCs/>
                <w:szCs w:val="21"/>
              </w:rPr>
              <w:t>建立系统且有效的教育应用效果评估标准和系统，尽快实现智能体和应用的实地验证和反馈闭环。</w:t>
            </w:r>
          </w:p>
          <w:p w14:paraId="26AEC5DD">
            <w:pPr>
              <w:rPr>
                <w:rFonts w:ascii="宋体" w:hAnsi="宋体"/>
                <w:bCs/>
                <w:szCs w:val="21"/>
              </w:rPr>
            </w:pPr>
            <w:r>
              <w:rPr>
                <w:rFonts w:hint="eastAsia" w:ascii="宋体" w:hAnsi="宋体"/>
                <w:bCs/>
                <w:szCs w:val="21"/>
              </w:rPr>
              <w:t>3.中长期：为大规模应用和持续运行做准备</w:t>
            </w:r>
          </w:p>
          <w:p w14:paraId="26AEC5DE">
            <w:pPr>
              <w:rPr>
                <w:rFonts w:ascii="宋体" w:hAnsi="宋体"/>
                <w:bCs/>
                <w:szCs w:val="21"/>
              </w:rPr>
            </w:pPr>
            <w:r>
              <w:rPr>
                <w:rFonts w:hint="eastAsia" w:ascii="宋体" w:hAnsi="宋体"/>
                <w:bCs/>
                <w:szCs w:val="21"/>
              </w:rPr>
              <w:t>全功能的运行支持系统，比如CRM、订单、工单、客服、记账和计费，等等；</w:t>
            </w:r>
          </w:p>
          <w:p w14:paraId="26AEC5DF">
            <w:pPr>
              <w:rPr>
                <w:rFonts w:ascii="宋体" w:hAnsi="宋体"/>
                <w:bCs/>
                <w:szCs w:val="21"/>
              </w:rPr>
            </w:pPr>
            <w:r>
              <w:rPr>
                <w:rFonts w:hint="eastAsia" w:ascii="宋体" w:hAnsi="宋体"/>
                <w:bCs/>
                <w:szCs w:val="21"/>
              </w:rPr>
              <w:t>高效定制化开发工具，比如可以快速构建学校的专属门户；</w:t>
            </w:r>
          </w:p>
          <w:p w14:paraId="26AEC5E0">
            <w:pPr>
              <w:rPr>
                <w:rFonts w:ascii="宋体" w:hAnsi="宋体"/>
                <w:bCs/>
                <w:szCs w:val="21"/>
              </w:rPr>
            </w:pPr>
            <w:r>
              <w:rPr>
                <w:rFonts w:hint="eastAsia" w:ascii="宋体" w:hAnsi="宋体"/>
                <w:bCs/>
                <w:szCs w:val="21"/>
              </w:rPr>
              <w:t>功能更加全面的智能体开发工具平台供老师和学生使用。</w:t>
            </w:r>
            <w:bookmarkStart w:id="35" w:name="heading_5"/>
          </w:p>
          <w:p w14:paraId="26AEC5E1">
            <w:pPr>
              <w:rPr>
                <w:rFonts w:ascii="宋体" w:hAnsi="宋体"/>
                <w:bCs/>
                <w:szCs w:val="21"/>
              </w:rPr>
            </w:pPr>
            <w:r>
              <w:rPr>
                <w:rFonts w:hint="eastAsia" w:ascii="宋体" w:hAnsi="宋体"/>
                <w:bCs/>
                <w:szCs w:val="21"/>
              </w:rPr>
              <w:t>（二）软件版本规划</w:t>
            </w:r>
            <w:bookmarkEnd w:id="35"/>
          </w:p>
          <w:tbl>
            <w:tblPr>
              <w:tblStyle w:val="4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814"/>
              <w:gridCol w:w="2256"/>
              <w:gridCol w:w="2692"/>
              <w:gridCol w:w="943"/>
            </w:tblGrid>
            <w:tr w14:paraId="26AEC5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888" w:type="dxa"/>
                  <w:tcMar>
                    <w:top w:w="60" w:type="dxa"/>
                    <w:left w:w="120" w:type="dxa"/>
                    <w:bottom w:w="30" w:type="dxa"/>
                    <w:right w:w="120" w:type="dxa"/>
                  </w:tcMar>
                </w:tcPr>
                <w:p w14:paraId="26AEC5E2">
                  <w:pPr>
                    <w:rPr>
                      <w:rFonts w:ascii="宋体" w:hAnsi="宋体"/>
                      <w:bCs/>
                      <w:szCs w:val="21"/>
                    </w:rPr>
                  </w:pPr>
                  <w:bookmarkStart w:id="36" w:name="heading_6"/>
                  <w:r>
                    <w:rPr>
                      <w:rFonts w:hint="eastAsia" w:ascii="宋体" w:hAnsi="宋体"/>
                      <w:bCs/>
                      <w:szCs w:val="21"/>
                    </w:rPr>
                    <w:t>版本号</w:t>
                  </w:r>
                </w:p>
              </w:tc>
              <w:tc>
                <w:tcPr>
                  <w:tcW w:w="2970" w:type="dxa"/>
                  <w:tcMar>
                    <w:top w:w="60" w:type="dxa"/>
                    <w:left w:w="120" w:type="dxa"/>
                    <w:bottom w:w="30" w:type="dxa"/>
                    <w:right w:w="120" w:type="dxa"/>
                  </w:tcMar>
                </w:tcPr>
                <w:p w14:paraId="26AEC5E3">
                  <w:pPr>
                    <w:rPr>
                      <w:rFonts w:ascii="宋体" w:hAnsi="宋体"/>
                      <w:bCs/>
                      <w:szCs w:val="21"/>
                    </w:rPr>
                  </w:pPr>
                  <w:r>
                    <w:rPr>
                      <w:rFonts w:hint="eastAsia" w:ascii="宋体" w:hAnsi="宋体"/>
                      <w:bCs/>
                      <w:szCs w:val="21"/>
                    </w:rPr>
                    <w:t>关键特征</w:t>
                  </w:r>
                </w:p>
              </w:tc>
              <w:tc>
                <w:tcPr>
                  <w:tcW w:w="3615" w:type="dxa"/>
                  <w:tcMar>
                    <w:top w:w="60" w:type="dxa"/>
                    <w:left w:w="120" w:type="dxa"/>
                    <w:bottom w:w="30" w:type="dxa"/>
                    <w:right w:w="120" w:type="dxa"/>
                  </w:tcMar>
                </w:tcPr>
                <w:p w14:paraId="26AEC5E4">
                  <w:pPr>
                    <w:rPr>
                      <w:rFonts w:ascii="宋体" w:hAnsi="宋体"/>
                      <w:bCs/>
                      <w:szCs w:val="21"/>
                    </w:rPr>
                  </w:pPr>
                  <w:r>
                    <w:rPr>
                      <w:rFonts w:hint="eastAsia" w:ascii="宋体" w:hAnsi="宋体"/>
                      <w:bCs/>
                      <w:szCs w:val="21"/>
                    </w:rPr>
                    <w:t>主要功能模块</w:t>
                  </w:r>
                </w:p>
              </w:tc>
              <w:tc>
                <w:tcPr>
                  <w:tcW w:w="1178" w:type="dxa"/>
                  <w:tcMar>
                    <w:top w:w="60" w:type="dxa"/>
                    <w:left w:w="120" w:type="dxa"/>
                    <w:bottom w:w="30" w:type="dxa"/>
                    <w:right w:w="120" w:type="dxa"/>
                  </w:tcMar>
                </w:tcPr>
                <w:p w14:paraId="26AEC5E5">
                  <w:pPr>
                    <w:rPr>
                      <w:rFonts w:ascii="宋体" w:hAnsi="宋体"/>
                      <w:bCs/>
                      <w:szCs w:val="21"/>
                    </w:rPr>
                  </w:pPr>
                  <w:r>
                    <w:rPr>
                      <w:rFonts w:hint="eastAsia" w:ascii="宋体" w:hAnsi="宋体"/>
                      <w:bCs/>
                      <w:szCs w:val="21"/>
                    </w:rPr>
                    <w:t>工期预估</w:t>
                  </w:r>
                </w:p>
              </w:tc>
            </w:tr>
            <w:tr w14:paraId="26AEC5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888" w:type="dxa"/>
                  <w:tcMar>
                    <w:top w:w="60" w:type="dxa"/>
                    <w:left w:w="120" w:type="dxa"/>
                    <w:bottom w:w="30" w:type="dxa"/>
                    <w:right w:w="120" w:type="dxa"/>
                  </w:tcMar>
                </w:tcPr>
                <w:p w14:paraId="26AEC5E7">
                  <w:pPr>
                    <w:rPr>
                      <w:rFonts w:ascii="宋体" w:hAnsi="宋体"/>
                      <w:bCs/>
                      <w:szCs w:val="21"/>
                    </w:rPr>
                  </w:pPr>
                  <w:r>
                    <w:rPr>
                      <w:rFonts w:hint="eastAsia" w:ascii="宋体" w:hAnsi="宋体"/>
                      <w:bCs/>
                      <w:szCs w:val="21"/>
                    </w:rPr>
                    <w:t>v1.0</w:t>
                  </w:r>
                </w:p>
              </w:tc>
              <w:tc>
                <w:tcPr>
                  <w:tcW w:w="2970" w:type="dxa"/>
                  <w:tcMar>
                    <w:top w:w="60" w:type="dxa"/>
                    <w:left w:w="120" w:type="dxa"/>
                    <w:bottom w:w="30" w:type="dxa"/>
                    <w:right w:w="120" w:type="dxa"/>
                  </w:tcMar>
                </w:tcPr>
                <w:p w14:paraId="26AEC5E8">
                  <w:pPr>
                    <w:rPr>
                      <w:rFonts w:ascii="宋体" w:hAnsi="宋体"/>
                      <w:bCs/>
                      <w:szCs w:val="21"/>
                    </w:rPr>
                  </w:pPr>
                  <w:r>
                    <w:rPr>
                      <w:rFonts w:hint="eastAsia" w:ascii="宋体" w:hAnsi="宋体"/>
                      <w:bCs/>
                      <w:szCs w:val="21"/>
                    </w:rPr>
                    <w:t>移动端小程序和APP，支持后台智能体和内容的管理与发布</w:t>
                  </w:r>
                </w:p>
              </w:tc>
              <w:tc>
                <w:tcPr>
                  <w:tcW w:w="3615" w:type="dxa"/>
                  <w:tcMar>
                    <w:top w:w="60" w:type="dxa"/>
                    <w:left w:w="120" w:type="dxa"/>
                    <w:bottom w:w="30" w:type="dxa"/>
                    <w:right w:w="120" w:type="dxa"/>
                  </w:tcMar>
                </w:tcPr>
                <w:p w14:paraId="26AEC5E9">
                  <w:pPr>
                    <w:rPr>
                      <w:rFonts w:ascii="宋体" w:hAnsi="宋体"/>
                      <w:bCs/>
                      <w:szCs w:val="21"/>
                    </w:rPr>
                  </w:pPr>
                  <w:r>
                    <w:rPr>
                      <w:rFonts w:hint="eastAsia" w:ascii="宋体" w:hAnsi="宋体"/>
                      <w:bCs/>
                      <w:szCs w:val="21"/>
                    </w:rPr>
                    <w:t>门户小程序，门户APP，门户网站，智能体管理和发布，外部应用接入管理和发布，内容管理和发布</w:t>
                  </w:r>
                </w:p>
              </w:tc>
              <w:tc>
                <w:tcPr>
                  <w:tcW w:w="1178" w:type="dxa"/>
                  <w:tcMar>
                    <w:top w:w="60" w:type="dxa"/>
                    <w:left w:w="120" w:type="dxa"/>
                    <w:bottom w:w="30" w:type="dxa"/>
                    <w:right w:w="120" w:type="dxa"/>
                  </w:tcMar>
                </w:tcPr>
                <w:p w14:paraId="26AEC5EA">
                  <w:pPr>
                    <w:rPr>
                      <w:rFonts w:ascii="宋体" w:hAnsi="宋体"/>
                      <w:bCs/>
                      <w:szCs w:val="21"/>
                    </w:rPr>
                  </w:pPr>
                  <w:r>
                    <w:rPr>
                      <w:rFonts w:hint="eastAsia" w:ascii="宋体" w:hAnsi="宋体"/>
                      <w:bCs/>
                      <w:szCs w:val="21"/>
                    </w:rPr>
                    <w:t>6个星期</w:t>
                  </w:r>
                </w:p>
              </w:tc>
            </w:tr>
            <w:tr w14:paraId="26AEC5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888" w:type="dxa"/>
                  <w:tcMar>
                    <w:top w:w="60" w:type="dxa"/>
                    <w:left w:w="120" w:type="dxa"/>
                    <w:bottom w:w="30" w:type="dxa"/>
                    <w:right w:w="120" w:type="dxa"/>
                  </w:tcMar>
                </w:tcPr>
                <w:p w14:paraId="26AEC5EC">
                  <w:pPr>
                    <w:rPr>
                      <w:rFonts w:ascii="宋体" w:hAnsi="宋体"/>
                      <w:bCs/>
                      <w:szCs w:val="21"/>
                    </w:rPr>
                  </w:pPr>
                  <w:r>
                    <w:rPr>
                      <w:rFonts w:hint="eastAsia" w:ascii="宋体" w:hAnsi="宋体"/>
                      <w:bCs/>
                      <w:szCs w:val="21"/>
                    </w:rPr>
                    <w:t>v1.1</w:t>
                  </w:r>
                </w:p>
              </w:tc>
              <w:tc>
                <w:tcPr>
                  <w:tcW w:w="2970" w:type="dxa"/>
                  <w:tcMar>
                    <w:top w:w="60" w:type="dxa"/>
                    <w:left w:w="120" w:type="dxa"/>
                    <w:bottom w:w="30" w:type="dxa"/>
                    <w:right w:w="120" w:type="dxa"/>
                  </w:tcMar>
                </w:tcPr>
                <w:p w14:paraId="26AEC5ED">
                  <w:pPr>
                    <w:rPr>
                      <w:rFonts w:ascii="宋体" w:hAnsi="宋体"/>
                      <w:bCs/>
                      <w:szCs w:val="21"/>
                    </w:rPr>
                  </w:pPr>
                  <w:r>
                    <w:rPr>
                      <w:rFonts w:hint="eastAsia" w:ascii="宋体" w:hAnsi="宋体"/>
                      <w:bCs/>
                      <w:szCs w:val="21"/>
                    </w:rPr>
                    <w:t>区域教育机构账号体系的统一管理</w:t>
                  </w:r>
                </w:p>
              </w:tc>
              <w:tc>
                <w:tcPr>
                  <w:tcW w:w="3615" w:type="dxa"/>
                  <w:tcMar>
                    <w:top w:w="60" w:type="dxa"/>
                    <w:left w:w="120" w:type="dxa"/>
                    <w:bottom w:w="30" w:type="dxa"/>
                    <w:right w:w="120" w:type="dxa"/>
                  </w:tcMar>
                </w:tcPr>
                <w:p w14:paraId="26AEC5EE">
                  <w:pPr>
                    <w:rPr>
                      <w:rFonts w:ascii="宋体" w:hAnsi="宋体"/>
                      <w:bCs/>
                      <w:szCs w:val="21"/>
                    </w:rPr>
                  </w:pPr>
                  <w:r>
                    <w:rPr>
                      <w:rFonts w:hint="eastAsia" w:ascii="宋体" w:hAnsi="宋体"/>
                      <w:bCs/>
                      <w:szCs w:val="21"/>
                    </w:rPr>
                    <w:t>多级机构区域化管理，智能体搜索推荐引擎</w:t>
                  </w:r>
                </w:p>
              </w:tc>
              <w:tc>
                <w:tcPr>
                  <w:tcW w:w="1178" w:type="dxa"/>
                  <w:tcMar>
                    <w:top w:w="60" w:type="dxa"/>
                    <w:left w:w="120" w:type="dxa"/>
                    <w:bottom w:w="30" w:type="dxa"/>
                    <w:right w:w="120" w:type="dxa"/>
                  </w:tcMar>
                </w:tcPr>
                <w:p w14:paraId="26AEC5EF">
                  <w:pPr>
                    <w:rPr>
                      <w:rFonts w:ascii="宋体" w:hAnsi="宋体"/>
                      <w:bCs/>
                      <w:szCs w:val="21"/>
                    </w:rPr>
                  </w:pPr>
                  <w:r>
                    <w:rPr>
                      <w:rFonts w:hint="eastAsia" w:ascii="宋体" w:hAnsi="宋体"/>
                      <w:bCs/>
                      <w:szCs w:val="21"/>
                    </w:rPr>
                    <w:t>3个星期</w:t>
                  </w:r>
                </w:p>
              </w:tc>
            </w:tr>
            <w:tr w14:paraId="26AEC5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888" w:type="dxa"/>
                  <w:tcMar>
                    <w:top w:w="60" w:type="dxa"/>
                    <w:left w:w="120" w:type="dxa"/>
                    <w:bottom w:w="30" w:type="dxa"/>
                    <w:right w:w="120" w:type="dxa"/>
                  </w:tcMar>
                </w:tcPr>
                <w:p w14:paraId="26AEC5F1">
                  <w:pPr>
                    <w:rPr>
                      <w:rFonts w:ascii="宋体" w:hAnsi="宋体"/>
                      <w:bCs/>
                      <w:szCs w:val="21"/>
                    </w:rPr>
                  </w:pPr>
                  <w:r>
                    <w:rPr>
                      <w:rFonts w:hint="eastAsia" w:ascii="宋体" w:hAnsi="宋体"/>
                      <w:bCs/>
                      <w:szCs w:val="21"/>
                    </w:rPr>
                    <w:t>v1.2</w:t>
                  </w:r>
                </w:p>
              </w:tc>
              <w:tc>
                <w:tcPr>
                  <w:tcW w:w="2970" w:type="dxa"/>
                  <w:tcMar>
                    <w:top w:w="60" w:type="dxa"/>
                    <w:left w:w="120" w:type="dxa"/>
                    <w:bottom w:w="30" w:type="dxa"/>
                    <w:right w:w="120" w:type="dxa"/>
                  </w:tcMar>
                </w:tcPr>
                <w:p w14:paraId="26AEC5F2">
                  <w:pPr>
                    <w:rPr>
                      <w:rFonts w:ascii="宋体" w:hAnsi="宋体"/>
                      <w:bCs/>
                      <w:szCs w:val="21"/>
                    </w:rPr>
                  </w:pPr>
                  <w:r>
                    <w:rPr>
                      <w:rFonts w:hint="eastAsia" w:ascii="宋体" w:hAnsi="宋体"/>
                      <w:bCs/>
                      <w:szCs w:val="21"/>
                    </w:rPr>
                    <w:t>个人AI应用档案</w:t>
                  </w:r>
                </w:p>
              </w:tc>
              <w:tc>
                <w:tcPr>
                  <w:tcW w:w="3615" w:type="dxa"/>
                  <w:tcMar>
                    <w:top w:w="60" w:type="dxa"/>
                    <w:left w:w="120" w:type="dxa"/>
                    <w:bottom w:w="30" w:type="dxa"/>
                    <w:right w:w="120" w:type="dxa"/>
                  </w:tcMar>
                </w:tcPr>
                <w:p w14:paraId="26AEC5F3">
                  <w:pPr>
                    <w:rPr>
                      <w:rFonts w:ascii="宋体" w:hAnsi="宋体"/>
                      <w:bCs/>
                      <w:szCs w:val="21"/>
                    </w:rPr>
                  </w:pPr>
                  <w:r>
                    <w:rPr>
                      <w:rFonts w:hint="eastAsia" w:ascii="宋体" w:hAnsi="宋体"/>
                      <w:bCs/>
                      <w:szCs w:val="21"/>
                    </w:rPr>
                    <w:t>用户档案数据管理，用户分享子系统</w:t>
                  </w:r>
                </w:p>
              </w:tc>
              <w:tc>
                <w:tcPr>
                  <w:tcW w:w="1178" w:type="dxa"/>
                  <w:tcMar>
                    <w:top w:w="60" w:type="dxa"/>
                    <w:left w:w="120" w:type="dxa"/>
                    <w:bottom w:w="30" w:type="dxa"/>
                    <w:right w:w="120" w:type="dxa"/>
                  </w:tcMar>
                </w:tcPr>
                <w:p w14:paraId="26AEC5F4">
                  <w:pPr>
                    <w:rPr>
                      <w:rFonts w:ascii="宋体" w:hAnsi="宋体"/>
                      <w:bCs/>
                      <w:szCs w:val="21"/>
                    </w:rPr>
                  </w:pPr>
                  <w:r>
                    <w:rPr>
                      <w:rFonts w:hint="eastAsia" w:ascii="宋体" w:hAnsi="宋体"/>
                      <w:bCs/>
                      <w:szCs w:val="21"/>
                    </w:rPr>
                    <w:t>2个星期</w:t>
                  </w:r>
                </w:p>
              </w:tc>
            </w:tr>
            <w:tr w14:paraId="26AEC5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888" w:type="dxa"/>
                  <w:tcMar>
                    <w:top w:w="60" w:type="dxa"/>
                    <w:left w:w="120" w:type="dxa"/>
                    <w:bottom w:w="30" w:type="dxa"/>
                    <w:right w:w="120" w:type="dxa"/>
                  </w:tcMar>
                </w:tcPr>
                <w:p w14:paraId="26AEC5F6">
                  <w:pPr>
                    <w:rPr>
                      <w:rFonts w:ascii="宋体" w:hAnsi="宋体"/>
                      <w:bCs/>
                      <w:szCs w:val="21"/>
                    </w:rPr>
                  </w:pPr>
                  <w:r>
                    <w:rPr>
                      <w:rFonts w:hint="eastAsia" w:ascii="宋体" w:hAnsi="宋体"/>
                      <w:bCs/>
                      <w:szCs w:val="21"/>
                    </w:rPr>
                    <w:t>v2.0</w:t>
                  </w:r>
                </w:p>
              </w:tc>
              <w:tc>
                <w:tcPr>
                  <w:tcW w:w="2970" w:type="dxa"/>
                  <w:tcMar>
                    <w:top w:w="60" w:type="dxa"/>
                    <w:left w:w="120" w:type="dxa"/>
                    <w:bottom w:w="30" w:type="dxa"/>
                    <w:right w:w="120" w:type="dxa"/>
                  </w:tcMar>
                </w:tcPr>
                <w:p w14:paraId="26AEC5F7">
                  <w:pPr>
                    <w:rPr>
                      <w:rFonts w:ascii="宋体" w:hAnsi="宋体"/>
                      <w:bCs/>
                      <w:szCs w:val="21"/>
                    </w:rPr>
                  </w:pPr>
                  <w:r>
                    <w:rPr>
                      <w:rFonts w:hint="eastAsia" w:ascii="宋体" w:hAnsi="宋体"/>
                      <w:bCs/>
                      <w:szCs w:val="21"/>
                    </w:rPr>
                    <w:t>智能应用效果评估</w:t>
                  </w:r>
                </w:p>
              </w:tc>
              <w:tc>
                <w:tcPr>
                  <w:tcW w:w="3615" w:type="dxa"/>
                  <w:tcMar>
                    <w:top w:w="60" w:type="dxa"/>
                    <w:left w:w="120" w:type="dxa"/>
                    <w:bottom w:w="30" w:type="dxa"/>
                    <w:right w:w="120" w:type="dxa"/>
                  </w:tcMar>
                </w:tcPr>
                <w:p w14:paraId="26AEC5F8">
                  <w:pPr>
                    <w:rPr>
                      <w:rFonts w:ascii="宋体" w:hAnsi="宋体"/>
                      <w:bCs/>
                      <w:szCs w:val="21"/>
                    </w:rPr>
                  </w:pPr>
                  <w:r>
                    <w:rPr>
                      <w:rFonts w:hint="eastAsia" w:ascii="宋体" w:hAnsi="宋体"/>
                      <w:bCs/>
                      <w:szCs w:val="21"/>
                    </w:rPr>
                    <w:t>智能应用效果评估子系统</w:t>
                  </w:r>
                </w:p>
              </w:tc>
              <w:tc>
                <w:tcPr>
                  <w:tcW w:w="1178" w:type="dxa"/>
                  <w:vMerge w:val="restart"/>
                  <w:tcMar>
                    <w:top w:w="60" w:type="dxa"/>
                    <w:left w:w="120" w:type="dxa"/>
                    <w:bottom w:w="30" w:type="dxa"/>
                    <w:right w:w="120" w:type="dxa"/>
                  </w:tcMar>
                </w:tcPr>
                <w:p w14:paraId="26AEC5F9">
                  <w:pPr>
                    <w:rPr>
                      <w:rFonts w:ascii="宋体" w:hAnsi="宋体"/>
                      <w:bCs/>
                      <w:szCs w:val="21"/>
                    </w:rPr>
                  </w:pPr>
                  <w:r>
                    <w:rPr>
                      <w:rFonts w:hint="eastAsia" w:ascii="宋体" w:hAnsi="宋体"/>
                      <w:bCs/>
                      <w:szCs w:val="21"/>
                    </w:rPr>
                    <w:t>3个星期</w:t>
                  </w:r>
                </w:p>
              </w:tc>
            </w:tr>
            <w:tr w14:paraId="26AEC5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c>
                <w:tcPr>
                  <w:tcW w:w="888" w:type="dxa"/>
                  <w:tcMar>
                    <w:top w:w="60" w:type="dxa"/>
                    <w:left w:w="120" w:type="dxa"/>
                    <w:bottom w:w="30" w:type="dxa"/>
                    <w:right w:w="120" w:type="dxa"/>
                  </w:tcMar>
                </w:tcPr>
                <w:p w14:paraId="26AEC5FB">
                  <w:pPr>
                    <w:rPr>
                      <w:rFonts w:ascii="宋体" w:hAnsi="宋体"/>
                      <w:bCs/>
                      <w:szCs w:val="21"/>
                    </w:rPr>
                  </w:pPr>
                  <w:r>
                    <w:rPr>
                      <w:rFonts w:hint="eastAsia" w:ascii="宋体" w:hAnsi="宋体"/>
                      <w:bCs/>
                      <w:szCs w:val="21"/>
                    </w:rPr>
                    <w:t>v2.1</w:t>
                  </w:r>
                </w:p>
              </w:tc>
              <w:tc>
                <w:tcPr>
                  <w:tcW w:w="2970" w:type="dxa"/>
                  <w:tcMar>
                    <w:top w:w="60" w:type="dxa"/>
                    <w:left w:w="120" w:type="dxa"/>
                    <w:bottom w:w="30" w:type="dxa"/>
                    <w:right w:w="120" w:type="dxa"/>
                  </w:tcMar>
                </w:tcPr>
                <w:p w14:paraId="26AEC5FC">
                  <w:pPr>
                    <w:rPr>
                      <w:rFonts w:ascii="宋体" w:hAnsi="宋体"/>
                      <w:bCs/>
                      <w:szCs w:val="21"/>
                    </w:rPr>
                  </w:pPr>
                  <w:r>
                    <w:rPr>
                      <w:rFonts w:hint="eastAsia" w:ascii="宋体" w:hAnsi="宋体"/>
                      <w:bCs/>
                      <w:szCs w:val="21"/>
                    </w:rPr>
                    <w:t>增强运营支持</w:t>
                  </w:r>
                </w:p>
              </w:tc>
              <w:tc>
                <w:tcPr>
                  <w:tcW w:w="3615" w:type="dxa"/>
                  <w:tcMar>
                    <w:top w:w="60" w:type="dxa"/>
                    <w:left w:w="120" w:type="dxa"/>
                    <w:bottom w:w="30" w:type="dxa"/>
                    <w:right w:w="120" w:type="dxa"/>
                  </w:tcMar>
                </w:tcPr>
                <w:p w14:paraId="26AEC5FD">
                  <w:pPr>
                    <w:rPr>
                      <w:rFonts w:ascii="宋体" w:hAnsi="宋体"/>
                      <w:bCs/>
                      <w:szCs w:val="21"/>
                    </w:rPr>
                  </w:pPr>
                  <w:r>
                    <w:rPr>
                      <w:rFonts w:hint="eastAsia" w:ascii="宋体" w:hAnsi="宋体"/>
                      <w:bCs/>
                      <w:szCs w:val="21"/>
                    </w:rPr>
                    <w:t>智能客服子系统</w:t>
                  </w:r>
                </w:p>
              </w:tc>
              <w:tc>
                <w:tcPr>
                  <w:tcW w:w="1178" w:type="dxa"/>
                  <w:vMerge w:val="continue"/>
                  <w:tcMar>
                    <w:top w:w="60" w:type="dxa"/>
                    <w:left w:w="120" w:type="dxa"/>
                    <w:bottom w:w="30" w:type="dxa"/>
                    <w:right w:w="120" w:type="dxa"/>
                  </w:tcMar>
                </w:tcPr>
                <w:p w14:paraId="26AEC5FE">
                  <w:pPr>
                    <w:rPr>
                      <w:rFonts w:ascii="宋体" w:hAnsi="宋体"/>
                      <w:bCs/>
                      <w:szCs w:val="21"/>
                    </w:rPr>
                  </w:pPr>
                </w:p>
              </w:tc>
            </w:tr>
          </w:tbl>
          <w:p w14:paraId="26AEC600">
            <w:pPr>
              <w:rPr>
                <w:rFonts w:ascii="宋体" w:hAnsi="宋体"/>
                <w:bCs/>
                <w:szCs w:val="21"/>
              </w:rPr>
            </w:pPr>
            <w:r>
              <w:rPr>
                <w:rFonts w:hint="eastAsia" w:ascii="宋体" w:hAnsi="宋体"/>
                <w:bCs/>
                <w:szCs w:val="21"/>
              </w:rPr>
              <w:t>五、应用推广计划</w:t>
            </w:r>
            <w:bookmarkEnd w:id="36"/>
          </w:p>
          <w:p w14:paraId="26AEC601">
            <w:pPr>
              <w:rPr>
                <w:rFonts w:ascii="宋体" w:hAnsi="宋体"/>
                <w:bCs/>
                <w:szCs w:val="21"/>
              </w:rPr>
            </w:pPr>
            <w:r>
              <w:rPr>
                <w:rFonts w:hint="eastAsia" w:ascii="宋体" w:hAnsi="宋体"/>
                <w:bCs/>
                <w:szCs w:val="21"/>
              </w:rPr>
              <w:t>（一）平台运行模式图</w:t>
            </w:r>
          </w:p>
          <w:p w14:paraId="26AEC602">
            <w:pPr>
              <w:rPr>
                <w:rFonts w:ascii="宋体" w:hAnsi="宋体"/>
                <w:bCs/>
                <w:szCs w:val="21"/>
              </w:rPr>
            </w:pPr>
            <w:r>
              <w:rPr>
                <w:rFonts w:hint="eastAsia" w:ascii="宋体" w:hAnsi="宋体"/>
                <w:bCs/>
                <w:szCs w:val="21"/>
              </w:rPr>
              <w:drawing>
                <wp:inline distT="0" distB="0" distL="0" distR="0">
                  <wp:extent cx="4732020" cy="2237740"/>
                  <wp:effectExtent l="0" t="0" r="7620" b="2540"/>
                  <wp:docPr id="3" name="Draw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rawing 2"/>
                          <pic:cNvPicPr>
                            <a:picLocks noChangeAspect="1"/>
                          </pic:cNvPicPr>
                        </pic:nvPicPr>
                        <pic:blipFill>
                          <a:blip r:embed="rId12"/>
                          <a:stretch>
                            <a:fillRect/>
                          </a:stretch>
                        </pic:blipFill>
                        <pic:spPr>
                          <a:xfrm>
                            <a:off x="0" y="0"/>
                            <a:ext cx="4732020" cy="2237740"/>
                          </a:xfrm>
                          <a:prstGeom prst="rect">
                            <a:avLst/>
                          </a:prstGeom>
                        </pic:spPr>
                      </pic:pic>
                    </a:graphicData>
                  </a:graphic>
                </wp:inline>
              </w:drawing>
            </w:r>
          </w:p>
          <w:p w14:paraId="26AEC603">
            <w:pPr>
              <w:rPr>
                <w:rFonts w:ascii="宋体" w:hAnsi="宋体"/>
                <w:bCs/>
                <w:szCs w:val="21"/>
              </w:rPr>
            </w:pPr>
          </w:p>
          <w:p w14:paraId="26AEC604">
            <w:pPr>
              <w:rPr>
                <w:rFonts w:ascii="宋体" w:hAnsi="宋体"/>
                <w:bCs/>
                <w:szCs w:val="21"/>
              </w:rPr>
            </w:pPr>
            <w:r>
              <w:rPr>
                <w:rFonts w:hint="eastAsia" w:ascii="宋体" w:hAnsi="宋体"/>
                <w:bCs/>
                <w:szCs w:val="21"/>
              </w:rPr>
              <w:drawing>
                <wp:inline distT="0" distB="0" distL="114300" distR="114300">
                  <wp:extent cx="4752340" cy="1137920"/>
                  <wp:effectExtent l="0" t="0" r="2540" b="5080"/>
                  <wp:docPr id="4" name="图片 4" descr="whiteboard_exported_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whiteboard_exported_image (3)"/>
                          <pic:cNvPicPr>
                            <a:picLocks noChangeAspect="1"/>
                          </pic:cNvPicPr>
                        </pic:nvPicPr>
                        <pic:blipFill>
                          <a:blip r:embed="rId13"/>
                          <a:stretch>
                            <a:fillRect/>
                          </a:stretch>
                        </pic:blipFill>
                        <pic:spPr>
                          <a:xfrm>
                            <a:off x="0" y="0"/>
                            <a:ext cx="4752340" cy="1137920"/>
                          </a:xfrm>
                          <a:prstGeom prst="rect">
                            <a:avLst/>
                          </a:prstGeom>
                        </pic:spPr>
                      </pic:pic>
                    </a:graphicData>
                  </a:graphic>
                </wp:inline>
              </w:drawing>
            </w:r>
          </w:p>
          <w:p w14:paraId="26AEC605">
            <w:pPr>
              <w:rPr>
                <w:rFonts w:ascii="宋体" w:hAnsi="宋体"/>
                <w:bCs/>
                <w:szCs w:val="21"/>
              </w:rPr>
            </w:pPr>
            <w:r>
              <w:rPr>
                <w:rFonts w:hint="eastAsia" w:ascii="宋体" w:hAnsi="宋体"/>
                <w:bCs/>
                <w:szCs w:val="21"/>
              </w:rPr>
              <w:t>（二）推广计划</w:t>
            </w:r>
          </w:p>
          <w:p w14:paraId="26AEC606">
            <w:pPr>
              <w:rPr>
                <w:rFonts w:ascii="宋体" w:hAnsi="宋体"/>
                <w:bCs/>
                <w:szCs w:val="21"/>
              </w:rPr>
            </w:pPr>
            <w:r>
              <w:rPr>
                <w:rFonts w:hint="eastAsia" w:ascii="宋体" w:hAnsi="宋体"/>
                <w:bCs/>
                <w:szCs w:val="21"/>
              </w:rPr>
              <w:t>软件的产品化研发的迭代推进是和运行工作同步进行的，如上图所示的平台推广和运行环节包括三个重要阶段：</w:t>
            </w:r>
          </w:p>
          <w:p w14:paraId="26AEC607">
            <w:pPr>
              <w:rPr>
                <w:rFonts w:ascii="宋体" w:hAnsi="宋体"/>
                <w:bCs/>
                <w:szCs w:val="21"/>
              </w:rPr>
            </w:pPr>
            <w:r>
              <w:rPr>
                <w:rFonts w:hint="eastAsia" w:ascii="宋体" w:hAnsi="宋体"/>
                <w:bCs/>
                <w:szCs w:val="21"/>
              </w:rPr>
              <w:t>第一阶段，移动端上线，可在区域内进行推广宣传，并针对示范校具体问题研发配置智能体。在这一阶段，完成基础产品化形态，具备基于移动端进行推广的条件，产品研发和运行团队配合福田教科院制定教育智能体标准，并向示范校进行培训和推广。</w:t>
            </w:r>
          </w:p>
          <w:p w14:paraId="26AEC608">
            <w:pPr>
              <w:rPr>
                <w:rFonts w:ascii="宋体" w:hAnsi="宋体"/>
                <w:bCs/>
                <w:szCs w:val="21"/>
              </w:rPr>
            </w:pPr>
            <w:r>
              <w:rPr>
                <w:rFonts w:hint="eastAsia" w:ascii="宋体" w:hAnsi="宋体"/>
                <w:bCs/>
                <w:szCs w:val="21"/>
              </w:rPr>
              <w:t>第二阶段，基于示范校应用案例，在全区进行进校推广和应用测试。积累了第一阶段示范校使用的数据和案例，向全区范围进行推广测试，产品研发和运行团队同时支持福田教科院申报重要课题和项目。</w:t>
            </w:r>
          </w:p>
          <w:p w14:paraId="26AEC609">
            <w:pPr>
              <w:rPr>
                <w:rFonts w:ascii="宋体" w:hAnsi="宋体"/>
                <w:bCs/>
                <w:szCs w:val="21"/>
              </w:rPr>
            </w:pPr>
            <w:r>
              <w:rPr>
                <w:rFonts w:hint="eastAsia" w:ascii="宋体" w:hAnsi="宋体"/>
                <w:bCs/>
                <w:szCs w:val="21"/>
              </w:rPr>
              <w:t>第三阶段，目标是在全区范围内形成常态化运行态势，做到学校近100%的覆盖率，支持全区20万学生和2万教师的日常使用，组织常态化运行和持续性升级，打造深圳、广东乃至全国的示范性标杆。</w:t>
            </w:r>
          </w:p>
          <w:p w14:paraId="26AEC60A">
            <w:pPr>
              <w:rPr>
                <w:rFonts w:ascii="宋体" w:hAnsi="宋体"/>
                <w:bCs/>
                <w:szCs w:val="21"/>
              </w:rPr>
            </w:pPr>
            <w:r>
              <w:rPr>
                <w:rFonts w:hint="eastAsia" w:ascii="宋体" w:hAnsi="宋体"/>
                <w:bCs/>
                <w:szCs w:val="21"/>
              </w:rPr>
              <w:t>六、等级保护要求</w:t>
            </w:r>
          </w:p>
          <w:p w14:paraId="26AEC60B">
            <w:pPr>
              <w:rPr>
                <w:rFonts w:ascii="宋体" w:hAnsi="宋体"/>
                <w:bCs/>
                <w:szCs w:val="21"/>
              </w:rPr>
            </w:pPr>
            <w:r>
              <w:rPr>
                <w:rFonts w:hint="eastAsia" w:ascii="宋体" w:hAnsi="宋体"/>
                <w:bCs/>
                <w:szCs w:val="21"/>
              </w:rPr>
              <w:t>中标方需依据《信息安全技术网络安全等级保护基本要求》（GB/T 22239-2019）完成二级等保建设，具体要求包括：</w:t>
            </w:r>
          </w:p>
          <w:p w14:paraId="26AEC60C">
            <w:pPr>
              <w:rPr>
                <w:rFonts w:ascii="宋体" w:hAnsi="宋体"/>
                <w:bCs/>
                <w:szCs w:val="21"/>
              </w:rPr>
            </w:pPr>
            <w:r>
              <w:rPr>
                <w:rFonts w:hint="eastAsia" w:ascii="宋体" w:hAnsi="宋体"/>
                <w:bCs/>
                <w:szCs w:val="21"/>
              </w:rPr>
              <w:t>技术要求：部署基础防火墙、病毒防护及访问控制策略，实现数据加密传输，定期开展系统漏洞扫描与修复；</w:t>
            </w:r>
          </w:p>
          <w:p w14:paraId="26AEC60D">
            <w:pPr>
              <w:rPr>
                <w:rFonts w:ascii="宋体" w:hAnsi="宋体"/>
                <w:bCs/>
                <w:szCs w:val="21"/>
              </w:rPr>
            </w:pPr>
            <w:r>
              <w:rPr>
                <w:rFonts w:hint="eastAsia" w:ascii="宋体" w:hAnsi="宋体"/>
                <w:bCs/>
                <w:szCs w:val="21"/>
              </w:rPr>
              <w:t>管理要求：建立网络安全管理规范，明确运维人员职责，制定系统备份与恢复方案，每年组织安全风险评估；</w:t>
            </w:r>
          </w:p>
          <w:p w14:paraId="26AEC60E">
            <w:pPr>
              <w:rPr>
                <w:rFonts w:ascii="宋体" w:hAnsi="宋体"/>
                <w:bCs/>
                <w:szCs w:val="21"/>
              </w:rPr>
            </w:pPr>
            <w:r>
              <w:rPr>
                <w:rFonts w:hint="eastAsia" w:ascii="宋体" w:hAnsi="宋体"/>
                <w:bCs/>
                <w:szCs w:val="21"/>
              </w:rPr>
              <w:t>合规要求：通过网络安全等级保护测评（二级），系统日志留存≥6个月，涉及未成年人个人信息处理需符合《个人信息保护法》及教育行业数据安全规范，并承诺在后续升级时提供三级等保适配方案及实施支持。</w:t>
            </w:r>
          </w:p>
          <w:p w14:paraId="26AEC60F">
            <w:pPr>
              <w:rPr>
                <w:rFonts w:ascii="宋体" w:hAnsi="宋体"/>
                <w:bCs/>
                <w:szCs w:val="21"/>
              </w:rPr>
            </w:pPr>
            <w:r>
              <w:rPr>
                <w:rFonts w:hint="eastAsia" w:ascii="宋体" w:hAnsi="宋体"/>
                <w:bCs/>
                <w:szCs w:val="21"/>
              </w:rPr>
              <w:t>扩展性要求：系统架构设计需预留安全能力升级接口，支持通过模块化改造快速满足三级等保技术要求;同时在系统架构设计时应具备将来进行商用密码应用安全性评估（密评）改造和国产化改造（信创）的升级能力。</w:t>
            </w:r>
          </w:p>
          <w:p w14:paraId="26AEC610">
            <w:pPr>
              <w:pStyle w:val="50"/>
              <w:ind w:firstLine="420" w:firstLineChars="200"/>
              <w:rPr>
                <w:color w:val="FF0000"/>
              </w:rPr>
            </w:pPr>
            <w:r>
              <w:rPr>
                <w:rFonts w:hint="eastAsia"/>
                <w:color w:val="FF0000"/>
              </w:rPr>
              <w:t>七、知识产权与数据合规管理要求</w:t>
            </w:r>
          </w:p>
          <w:p w14:paraId="26AEC611">
            <w:pPr>
              <w:pStyle w:val="50"/>
              <w:ind w:firstLine="420" w:firstLineChars="200"/>
              <w:rPr>
                <w:color w:val="FF0000"/>
              </w:rPr>
            </w:pPr>
            <w:r>
              <w:rPr>
                <w:rFonts w:hint="eastAsia"/>
                <w:color w:val="FF0000"/>
              </w:rPr>
              <w:t>（一）知识产权归属</w:t>
            </w:r>
          </w:p>
          <w:p w14:paraId="26AEC612">
            <w:pPr>
              <w:pStyle w:val="50"/>
              <w:ind w:firstLine="420" w:firstLineChars="200"/>
              <w:rPr>
                <w:color w:val="FF0000"/>
              </w:rPr>
            </w:pPr>
            <w:r>
              <w:rPr>
                <w:rFonts w:hint="eastAsia"/>
                <w:color w:val="FF0000"/>
              </w:rPr>
              <w:t>1.平台版权归属</w:t>
            </w:r>
          </w:p>
          <w:p w14:paraId="26AEC613">
            <w:pPr>
              <w:pStyle w:val="50"/>
              <w:ind w:firstLine="420" w:firstLineChars="200"/>
              <w:rPr>
                <w:rFonts w:ascii="Calibri" w:hAnsi="Calibri" w:cs="Times New Roman"/>
                <w:color w:val="FF0000"/>
              </w:rPr>
            </w:pPr>
            <w:r>
              <w:rPr>
                <w:rFonts w:hint="eastAsia" w:ascii="Calibri" w:hAnsi="Calibri" w:cs="Times New Roman"/>
                <w:color w:val="FF0000"/>
              </w:rPr>
              <w:t>（</w:t>
            </w:r>
            <w:r>
              <w:rPr>
                <w:rFonts w:ascii="Calibri" w:hAnsi="Calibri" w:cs="Times New Roman"/>
                <w:color w:val="FF0000"/>
              </w:rPr>
              <w:t>1</w:t>
            </w:r>
            <w:r>
              <w:rPr>
                <w:rFonts w:hint="eastAsia" w:ascii="Calibri" w:hAnsi="Calibri" w:cs="Times New Roman"/>
                <w:color w:val="FF0000"/>
              </w:rPr>
              <w:t>）</w:t>
            </w:r>
            <w:r>
              <w:rPr>
                <w:rFonts w:hint="eastAsia"/>
                <w:color w:val="FF0000"/>
              </w:rPr>
              <w:t>遵循《中华人民共和国著作权法》《中华人民共和国专利法》等相关法律法规，保障平台知识产权的合法归属与使用规范。</w:t>
            </w:r>
            <w:r>
              <w:rPr>
                <w:rStyle w:val="44"/>
                <w:rFonts w:hint="eastAsia"/>
                <w:color w:val="FF0000"/>
                <w:sz w:val="21"/>
                <w:szCs w:val="21"/>
                <w:shd w:val="clear" w:color="auto" w:fill="FCFCFC"/>
              </w:rPr>
              <w:t>本项目产生的全部工作成果（含源代码、技术文档、设计图）著作权、专利权及其他知识产权归甲方（深圳市福田区教育科学研究院）所有</w:t>
            </w:r>
            <w:r>
              <w:rPr>
                <w:rFonts w:hint="eastAsia" w:ascii="Calibri" w:hAnsi="Calibri" w:cs="Times New Roman"/>
                <w:color w:val="FF0000"/>
                <w:sz w:val="21"/>
                <w:szCs w:val="22"/>
              </w:rPr>
              <w:t>，</w:t>
            </w:r>
            <w:r>
              <w:rPr>
                <w:rFonts w:hint="eastAsia"/>
                <w:color w:val="FF0000"/>
              </w:rPr>
              <w:t>；中标方仅享有基于本合同约定范围内的使用权，未经甲方书面授权不得用于其他商业用途。</w:t>
            </w:r>
          </w:p>
          <w:p w14:paraId="26AEC614">
            <w:pPr>
              <w:pStyle w:val="50"/>
              <w:ind w:firstLine="420" w:firstLineChars="200"/>
              <w:rPr>
                <w:rFonts w:ascii="Calibri" w:hAnsi="Calibri" w:cs="Times New Roman"/>
                <w:color w:val="FF0000"/>
              </w:rPr>
            </w:pPr>
            <w:r>
              <w:rPr>
                <w:rFonts w:hint="eastAsia" w:ascii="Calibri" w:hAnsi="Calibri" w:cs="Times New Roman"/>
                <w:color w:val="FF0000"/>
              </w:rPr>
              <w:t>（</w:t>
            </w:r>
            <w:r>
              <w:rPr>
                <w:rFonts w:ascii="Calibri" w:hAnsi="Calibri" w:cs="Times New Roman"/>
                <w:color w:val="FF0000"/>
              </w:rPr>
              <w:t>2</w:t>
            </w:r>
            <w:r>
              <w:rPr>
                <w:rFonts w:hint="eastAsia" w:ascii="Calibri" w:hAnsi="Calibri" w:cs="Times New Roman"/>
                <w:color w:val="FF0000"/>
              </w:rPr>
              <w:t>）乙方需在开发完成并试运行后</w:t>
            </w:r>
            <w:r>
              <w:rPr>
                <w:rFonts w:ascii="Calibri" w:hAnsi="Calibri" w:cs="Times New Roman"/>
                <w:color w:val="FF0000"/>
              </w:rPr>
              <w:t>3</w:t>
            </w:r>
            <w:r>
              <w:rPr>
                <w:rFonts w:hint="eastAsia" w:ascii="Calibri" w:hAnsi="Calibri" w:cs="Times New Roman"/>
                <w:color w:val="FF0000"/>
              </w:rPr>
              <w:t>个月内内移交以下内容：</w:t>
            </w:r>
            <w:r>
              <w:rPr>
                <w:rFonts w:ascii="Calibri" w:hAnsi="Calibri" w:cs="Times New Roman"/>
                <w:color w:val="FF0000"/>
              </w:rPr>
              <w:t xml:space="preserve"> </w:t>
            </w:r>
          </w:p>
          <w:p w14:paraId="26AEC615">
            <w:pPr>
              <w:pStyle w:val="50"/>
              <w:numPr>
                <w:ilvl w:val="0"/>
                <w:numId w:val="8"/>
              </w:numPr>
              <w:ind w:firstLine="420" w:firstLineChars="200"/>
              <w:rPr>
                <w:rFonts w:ascii="Calibri" w:hAnsi="Calibri" w:cs="Times New Roman"/>
                <w:color w:val="FF0000"/>
              </w:rPr>
            </w:pPr>
            <w:r>
              <w:rPr>
                <w:rFonts w:hint="eastAsia" w:ascii="Calibri" w:hAnsi="Calibri" w:cs="Times New Roman"/>
                <w:color w:val="FF0000"/>
              </w:rPr>
              <w:t>全量可编译源代码（含第三方组件清单），源代码应具备良好的可读性和可维护性，符合行业通用的代码规范。</w:t>
            </w:r>
          </w:p>
          <w:p w14:paraId="26AEC616">
            <w:pPr>
              <w:pStyle w:val="50"/>
              <w:numPr>
                <w:ilvl w:val="0"/>
                <w:numId w:val="8"/>
              </w:numPr>
              <w:ind w:firstLine="420" w:firstLineChars="200"/>
              <w:rPr>
                <w:rFonts w:ascii="Calibri" w:hAnsi="Calibri" w:cs="Times New Roman"/>
                <w:color w:val="FF0000"/>
              </w:rPr>
            </w:pPr>
            <w:r>
              <w:rPr>
                <w:rFonts w:hint="eastAsia" w:ascii="Calibri" w:hAnsi="Calibri" w:cs="Times New Roman"/>
                <w:color w:val="FF0000"/>
              </w:rPr>
              <w:t>开发环境配置说明，详细描述开发过程中所使用的软件、硬件环境及相关配置参数，确保甲方能够在自身环境中顺利运行和调试代码。</w:t>
            </w:r>
            <w:r>
              <w:rPr>
                <w:rFonts w:ascii="Calibri" w:hAnsi="Calibri" w:cs="Times New Roman"/>
                <w:color w:val="FF0000"/>
              </w:rPr>
              <w:t xml:space="preserve"> </w:t>
            </w:r>
          </w:p>
          <w:p w14:paraId="26AEC617">
            <w:pPr>
              <w:pStyle w:val="50"/>
              <w:numPr>
                <w:ilvl w:val="0"/>
                <w:numId w:val="8"/>
              </w:numPr>
              <w:ind w:firstLine="420" w:firstLineChars="200"/>
              <w:rPr>
                <w:rFonts w:ascii="Calibri" w:hAnsi="Calibri" w:cs="Times New Roman"/>
                <w:color w:val="FF0000"/>
              </w:rPr>
            </w:pPr>
            <w:r>
              <w:rPr>
                <w:rFonts w:hint="eastAsia" w:ascii="Calibri" w:hAnsi="Calibri" w:cs="Times New Roman"/>
                <w:color w:val="FF0000"/>
              </w:rPr>
              <w:t>持续集成</w:t>
            </w:r>
            <w:r>
              <w:rPr>
                <w:rFonts w:ascii="Calibri" w:hAnsi="Calibri" w:cs="Times New Roman"/>
                <w:color w:val="FF0000"/>
              </w:rPr>
              <w:t xml:space="preserve"> / </w:t>
            </w:r>
            <w:r>
              <w:rPr>
                <w:rFonts w:hint="eastAsia" w:ascii="Calibri" w:hAnsi="Calibri" w:cs="Times New Roman"/>
                <w:color w:val="FF0000"/>
              </w:rPr>
              <w:t>交付（</w:t>
            </w:r>
            <w:r>
              <w:rPr>
                <w:rFonts w:ascii="Calibri" w:hAnsi="Calibri" w:cs="Times New Roman"/>
                <w:color w:val="FF0000"/>
              </w:rPr>
              <w:t>CI/CD）流水线配置，包括流水线的构建步骤、触发条件、部署流程等信息，方便甲方进行后续的自动化部署和更新。</w:t>
            </w:r>
          </w:p>
          <w:p w14:paraId="26AEC618">
            <w:pPr>
              <w:pStyle w:val="50"/>
              <w:widowControl/>
              <w:shd w:val="clear" w:color="auto" w:fill="FCFCFC"/>
              <w:ind w:left="640" w:firstLine="420" w:firstLineChars="200"/>
              <w:jc w:val="left"/>
              <w:textAlignment w:val="baseline"/>
              <w:rPr>
                <w:color w:val="FF0000"/>
              </w:rPr>
            </w:pPr>
            <w:r>
              <w:rPr>
                <w:rFonts w:hint="eastAsia"/>
                <w:color w:val="FF0000"/>
              </w:rPr>
              <w:t>（</w:t>
            </w:r>
            <w:r>
              <w:rPr>
                <w:color w:val="FF0000"/>
              </w:rPr>
              <w:t>3</w:t>
            </w:r>
            <w:r>
              <w:rPr>
                <w:rFonts w:hint="eastAsia"/>
                <w:color w:val="FF0000"/>
              </w:rPr>
              <w:t>）保密机制</w:t>
            </w:r>
          </w:p>
          <w:p w14:paraId="26AEC619">
            <w:pPr>
              <w:pStyle w:val="50"/>
              <w:widowControl/>
              <w:numPr>
                <w:ilvl w:val="0"/>
                <w:numId w:val="9"/>
              </w:numPr>
              <w:shd w:val="clear" w:color="auto" w:fill="FCFCFC"/>
              <w:ind w:left="640" w:firstLine="420" w:firstLineChars="200"/>
              <w:jc w:val="left"/>
              <w:textAlignment w:val="baseline"/>
              <w:rPr>
                <w:color w:val="FF0000"/>
              </w:rPr>
            </w:pPr>
            <w:r>
              <w:rPr>
                <w:rFonts w:hint="eastAsia"/>
                <w:color w:val="FF0000"/>
              </w:rPr>
              <w:t>开发方需签署《源代码保密协议》，包含以下内容：</w:t>
            </w:r>
          </w:p>
          <w:p w14:paraId="26AEC61A">
            <w:pPr>
              <w:pStyle w:val="50"/>
              <w:widowControl/>
              <w:numPr>
                <w:ilvl w:val="0"/>
                <w:numId w:val="9"/>
              </w:numPr>
              <w:shd w:val="clear" w:color="auto" w:fill="FCFCFC"/>
              <w:ind w:left="640" w:firstLine="420" w:firstLineChars="200"/>
              <w:jc w:val="left"/>
              <w:textAlignment w:val="baseline"/>
              <w:rPr>
                <w:color w:val="FF0000"/>
              </w:rPr>
            </w:pPr>
            <w:r>
              <w:rPr>
                <w:rFonts w:hint="eastAsia"/>
                <w:color w:val="FF0000"/>
              </w:rPr>
              <w:t>存储限制：禁止在</w:t>
            </w:r>
            <w:r>
              <w:rPr>
                <w:color w:val="FF0000"/>
              </w:rPr>
              <w:t xml:space="preserve"> GitHub </w:t>
            </w:r>
            <w:r>
              <w:rPr>
                <w:rFonts w:hint="eastAsia"/>
                <w:color w:val="FF0000"/>
              </w:rPr>
              <w:t>等公有平台存储项目代码，开发方应使用安全可靠的内部存储系统或私有云存储项目代码，确保代码的安全性和保密性。</w:t>
            </w:r>
          </w:p>
          <w:p w14:paraId="26AEC61B">
            <w:pPr>
              <w:pStyle w:val="50"/>
              <w:numPr>
                <w:ilvl w:val="0"/>
                <w:numId w:val="9"/>
              </w:numPr>
              <w:ind w:firstLine="420" w:firstLineChars="200"/>
              <w:rPr>
                <w:color w:val="FF0000"/>
              </w:rPr>
            </w:pPr>
            <w:r>
              <w:rPr>
                <w:rFonts w:hint="eastAsia" w:ascii="Calibri" w:hAnsi="Calibri" w:cs="Times New Roman"/>
                <w:color w:val="FF0000"/>
              </w:rPr>
              <w:t>离职保密义务：开发人员离职后持续保密义务（不低于</w:t>
            </w:r>
            <w:r>
              <w:rPr>
                <w:rFonts w:ascii="Calibri" w:hAnsi="Calibri" w:cs="Times New Roman"/>
                <w:color w:val="FF0000"/>
              </w:rPr>
              <w:t xml:space="preserve"> 5 </w:t>
            </w:r>
            <w:r>
              <w:rPr>
                <w:rFonts w:hint="eastAsia" w:ascii="Calibri" w:hAnsi="Calibri" w:cs="Times New Roman"/>
                <w:color w:val="FF0000"/>
              </w:rPr>
              <w:t>年）。在开发人员入职时，应明确告知其保密义务，并在离职时再次提醒。同时，开发方应建立相应的离职交接机制，确保离职人员不会带走项目代码或泄露相关信息。</w:t>
            </w:r>
          </w:p>
          <w:p w14:paraId="26AEC61C">
            <w:pPr>
              <w:pStyle w:val="50"/>
              <w:ind w:firstLine="420" w:firstLineChars="200"/>
              <w:rPr>
                <w:color w:val="FF0000"/>
              </w:rPr>
            </w:pPr>
            <w:r>
              <w:rPr>
                <w:rFonts w:hint="eastAsia"/>
                <w:color w:val="FF0000"/>
              </w:rPr>
              <w:t>2.衍生内容权利</w:t>
            </w:r>
          </w:p>
          <w:p w14:paraId="26AEC61D">
            <w:pPr>
              <w:pStyle w:val="50"/>
              <w:ind w:firstLine="420" w:firstLineChars="200"/>
              <w:rPr>
                <w:color w:val="FF0000"/>
              </w:rPr>
            </w:pPr>
            <w:r>
              <w:rPr>
                <w:rFonts w:hint="eastAsia"/>
                <w:color w:val="FF0000"/>
              </w:rPr>
              <w:t>授权机制应符合《中华人民共和国网络安全法》《中华人民共和国数据安全法》中关于用户数据和信息使用规范的要求，确保用户数据使用的合法性与透明度。平台运行过程中产生的教学案例、用户生成内容（UGC）、数据分析报告等数字资产，其著作权及其他相关权利均归属甲方；教师、学生等用户通过平台创作的内容，在用户注册平台或首次创作时，将以弹窗确认、勾选授权协议等方式，获得用户明确授权，默认授予甲方非独占性、免费的使用权。</w:t>
            </w:r>
          </w:p>
          <w:p w14:paraId="26AEC61E">
            <w:pPr>
              <w:pStyle w:val="50"/>
              <w:ind w:firstLine="420" w:firstLineChars="200"/>
              <w:rPr>
                <w:color w:val="FF0000"/>
              </w:rPr>
            </w:pPr>
            <w:r>
              <w:rPr>
                <w:rFonts w:hint="eastAsia"/>
                <w:color w:val="FF0000"/>
              </w:rPr>
              <w:t>3.第三方资源使用</w:t>
            </w:r>
          </w:p>
          <w:p w14:paraId="26AEC61F">
            <w:pPr>
              <w:pStyle w:val="50"/>
              <w:ind w:firstLine="420" w:firstLineChars="200"/>
              <w:rPr>
                <w:color w:val="FF0000"/>
              </w:rPr>
            </w:pPr>
            <w:r>
              <w:rPr>
                <w:rFonts w:hint="eastAsia"/>
                <w:color w:val="FF0000"/>
              </w:rPr>
              <w:t>严格依据《中华人民共和国数据安全法》中数据获取、使用的合规性要求，保证平台数据来源的合法性与安全性。平台引用的网络公开数据资源需确保合法来源，对于有明确知识产权声明的公开数据，中标方应提供相应合规证明文件；对于来源难以明确知识产权归属的数据，中标方应进行风险评估并记录备案。商用数据资源需取得正式授权，并在平台显著位置标注来源信息；大模型训练数据需符合《生成式人工智能服务管理暂行办法》要求，建立可追溯的数据来源台账。</w:t>
            </w:r>
          </w:p>
          <w:p w14:paraId="26AEC620">
            <w:pPr>
              <w:pStyle w:val="50"/>
              <w:ind w:firstLine="420" w:firstLineChars="200"/>
              <w:rPr>
                <w:color w:val="FF0000"/>
              </w:rPr>
            </w:pPr>
            <w:r>
              <w:rPr>
                <w:rFonts w:hint="eastAsia"/>
                <w:color w:val="FF0000"/>
              </w:rPr>
              <w:t>（二）数据安全管理</w:t>
            </w:r>
          </w:p>
          <w:p w14:paraId="26AEC621">
            <w:pPr>
              <w:pStyle w:val="50"/>
              <w:ind w:firstLine="420" w:firstLineChars="200"/>
              <w:rPr>
                <w:color w:val="FF0000"/>
              </w:rPr>
            </w:pPr>
            <w:r>
              <w:rPr>
                <w:rFonts w:hint="eastAsia"/>
                <w:color w:val="FF0000"/>
              </w:rPr>
              <w:t>1.数据资源管理要求：</w:t>
            </w:r>
          </w:p>
          <w:p w14:paraId="26AEC622">
            <w:pPr>
              <w:pStyle w:val="50"/>
              <w:ind w:firstLine="420" w:firstLineChars="200"/>
              <w:rPr>
                <w:color w:val="FF0000"/>
              </w:rPr>
            </w:pPr>
            <w:r>
              <w:rPr>
                <w:rFonts w:hint="eastAsia"/>
                <w:color w:val="FF0000"/>
              </w:rPr>
              <w:t>依据《中华人民共和国数据安全法》中数据全生命周期安全管理的相关规定，进行数据全生命周期管理，确保平台数据从产生到销毁的全过程安全：建立数据资源登记制度，记录数据来源、类型、使用场景；重要数据备份应使用国产加密算法，保留验证日志；数据销毁需经双重审批，留存不可逆删除证明。</w:t>
            </w:r>
          </w:p>
          <w:p w14:paraId="26AEC623">
            <w:pPr>
              <w:pStyle w:val="50"/>
              <w:ind w:firstLine="420" w:firstLineChars="200"/>
              <w:rPr>
                <w:color w:val="FF0000"/>
              </w:rPr>
            </w:pPr>
            <w:r>
              <w:rPr>
                <w:rFonts w:hint="eastAsia"/>
                <w:color w:val="FF0000"/>
              </w:rPr>
              <w:t>2.数据采集规范</w:t>
            </w:r>
          </w:p>
          <w:p w14:paraId="26AEC624">
            <w:pPr>
              <w:pStyle w:val="50"/>
              <w:ind w:firstLine="420" w:firstLineChars="200"/>
              <w:rPr>
                <w:color w:val="FF0000"/>
              </w:rPr>
            </w:pPr>
            <w:r>
              <w:rPr>
                <w:rFonts w:hint="eastAsia"/>
                <w:color w:val="FF0000"/>
              </w:rPr>
              <w:t>须符合《中华人民共和国网络安全法》《中华人民共和国数据安全法》以及《未成年人网络保护条例》中对未成年人数据保护和数据安全存储的要求，全面保障用户数据安全。严格遵循最小必要原则采集用户数据，未成年人生物特征信息原则上不予采集，如因特殊教育需求确需采集，应经过严格审批流程，并遵循相关法律法规要求，确保数据安全存储和使用。建立数据分类分级制度，对涉及学生个人信息的敏感数据实施加密存储和去标识化处理。</w:t>
            </w:r>
          </w:p>
          <w:p w14:paraId="26AEC625">
            <w:pPr>
              <w:pStyle w:val="50"/>
              <w:ind w:firstLine="420" w:firstLineChars="200"/>
              <w:rPr>
                <w:color w:val="FF0000"/>
              </w:rPr>
            </w:pPr>
            <w:r>
              <w:rPr>
                <w:rFonts w:hint="eastAsia"/>
                <w:color w:val="FF0000"/>
              </w:rPr>
              <w:t>3.数据使用控制</w:t>
            </w:r>
          </w:p>
          <w:p w14:paraId="26AEC626">
            <w:pPr>
              <w:pStyle w:val="50"/>
              <w:ind w:firstLine="420" w:firstLineChars="200"/>
              <w:rPr>
                <w:color w:val="FF0000"/>
              </w:rPr>
            </w:pPr>
            <w:r>
              <w:rPr>
                <w:rFonts w:hint="eastAsia"/>
                <w:color w:val="FF0000"/>
              </w:rPr>
              <w:t>根据《中华人民共和国数据安全法》中数据使用和共享的相关规定，明确数据使用边界，确保数据使用的安全性和合法性。平台内数据资源仅限于教育科研用途，严禁用于商业性算法训练；数据共享需经教育局审批，对外提供数据需完成脱敏处理并签订数据安全协议。</w:t>
            </w:r>
          </w:p>
          <w:p w14:paraId="26AEC627">
            <w:pPr>
              <w:pStyle w:val="50"/>
              <w:ind w:firstLine="420" w:firstLineChars="200"/>
              <w:rPr>
                <w:color w:val="FF0000"/>
              </w:rPr>
            </w:pPr>
            <w:r>
              <w:rPr>
                <w:rFonts w:hint="eastAsia"/>
                <w:color w:val="FF0000"/>
              </w:rPr>
              <w:t>4.数据跨境管理</w:t>
            </w:r>
          </w:p>
          <w:p w14:paraId="26AEC628">
            <w:pPr>
              <w:pStyle w:val="50"/>
              <w:ind w:firstLine="420" w:firstLineChars="200"/>
              <w:rPr>
                <w:color w:val="FF0000"/>
              </w:rPr>
            </w:pPr>
            <w:r>
              <w:rPr>
                <w:rFonts w:hint="eastAsia"/>
                <w:color w:val="FF0000"/>
              </w:rPr>
              <w:t>依据《中华人民共和国网络安全法》《中华人民共和国数据安全法》中关于数据跨境传输的相关要求，福田教育智能应用平台数据存储服务器应部署在中国境内；确需使用境外数据资源时，应通过国家网信部门安全评估，有效防范数据跨境风险。</w:t>
            </w:r>
          </w:p>
          <w:p w14:paraId="26AEC629">
            <w:pPr>
              <w:pStyle w:val="50"/>
              <w:ind w:firstLine="420" w:firstLineChars="200"/>
              <w:rPr>
                <w:color w:val="FF0000"/>
              </w:rPr>
            </w:pPr>
            <w:r>
              <w:rPr>
                <w:rFonts w:hint="eastAsia"/>
                <w:color w:val="FF0000"/>
              </w:rPr>
              <w:t>（三）第三方责任约定</w:t>
            </w:r>
          </w:p>
          <w:p w14:paraId="26AEC62A">
            <w:pPr>
              <w:pStyle w:val="50"/>
              <w:ind w:firstLine="420" w:firstLineChars="200"/>
              <w:rPr>
                <w:color w:val="FF0000"/>
              </w:rPr>
            </w:pPr>
            <w:r>
              <w:rPr>
                <w:rFonts w:hint="eastAsia"/>
                <w:color w:val="FF0000"/>
              </w:rPr>
              <w:t>依据《中华人民共和国著作权法》《中华人民共和国网络安全法》等相关法律法规，中标方需承诺：提供的技术方案不侵犯第三方知识产权；对接入的智能应用完成知识产权合规审查；建立侵权内容快速响应机制（收到有效通知后24小时内启动技术隔离，5个工作日内完成审查整改），确保平台运行过程中不侵犯第三方合法权益。服务中标方应确保所引用的所有第三方资源不存在任何知识产权侵权风险。若因平台引用的第三方资源出现知识产权侵权问题，导致甲方遭受任何形式的索赔、诉讼、行政处罚或其他损失（包括但不限于直接经济损失、间接经济损失、维权费用如律师费、诉讼费、鉴定费等），全部责任均由中标方承担，甲方不承担任何责任。</w:t>
            </w:r>
          </w:p>
          <w:p w14:paraId="26AEC62B">
            <w:pPr>
              <w:pStyle w:val="50"/>
              <w:ind w:firstLine="420" w:firstLineChars="200"/>
              <w:rPr>
                <w:color w:val="FF0000"/>
              </w:rPr>
            </w:pPr>
            <w:r>
              <w:rPr>
                <w:rFonts w:hint="eastAsia"/>
                <w:color w:val="FF0000"/>
              </w:rPr>
              <w:t>（四）争议处理机制</w:t>
            </w:r>
          </w:p>
          <w:p w14:paraId="26AEC62C">
            <w:pPr>
              <w:pStyle w:val="50"/>
              <w:ind w:firstLine="420" w:firstLineChars="200"/>
              <w:rPr>
                <w:color w:val="FF0000"/>
              </w:rPr>
            </w:pPr>
            <w:r>
              <w:rPr>
                <w:rFonts w:hint="eastAsia"/>
                <w:color w:val="FF0000"/>
              </w:rPr>
              <w:t>设立知识产权投诉通道，公示于平台显著位置，并明确投诉处理流程及反馈时间。</w:t>
            </w:r>
          </w:p>
          <w:p w14:paraId="26AEC62D">
            <w:pPr>
              <w:pStyle w:val="50"/>
            </w:pPr>
          </w:p>
          <w:p w14:paraId="26AEC62E">
            <w:pPr>
              <w:rPr>
                <w:rFonts w:ascii="宋体" w:hAnsi="宋体"/>
                <w:bCs/>
                <w:szCs w:val="21"/>
              </w:rPr>
            </w:pPr>
          </w:p>
        </w:tc>
        <w:tc>
          <w:tcPr>
            <w:tcW w:w="231" w:type="pct"/>
            <w:vAlign w:val="center"/>
          </w:tcPr>
          <w:p w14:paraId="26AEC62F">
            <w:pPr>
              <w:rPr>
                <w:rFonts w:ascii="宋体" w:hAnsi="宋体"/>
                <w:bCs/>
                <w:szCs w:val="21"/>
              </w:rPr>
            </w:pPr>
          </w:p>
        </w:tc>
        <w:tc>
          <w:tcPr>
            <w:tcW w:w="232" w:type="pct"/>
            <w:vAlign w:val="center"/>
          </w:tcPr>
          <w:p w14:paraId="26AEC630">
            <w:pPr>
              <w:rPr>
                <w:rFonts w:ascii="宋体" w:hAnsi="宋体"/>
                <w:bCs/>
                <w:szCs w:val="21"/>
              </w:rPr>
            </w:pPr>
          </w:p>
        </w:tc>
      </w:tr>
      <w:tr w14:paraId="26AEC6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1" w:type="pct"/>
            <w:vAlign w:val="center"/>
          </w:tcPr>
          <w:p w14:paraId="26AEC632">
            <w:pPr>
              <w:rPr>
                <w:rFonts w:ascii="宋体" w:hAnsi="宋体"/>
                <w:bCs/>
                <w:szCs w:val="21"/>
              </w:rPr>
            </w:pPr>
            <w:r>
              <w:rPr>
                <w:rFonts w:hint="eastAsia" w:ascii="宋体" w:hAnsi="宋体"/>
                <w:bCs/>
                <w:szCs w:val="21"/>
              </w:rPr>
              <w:t>3</w:t>
            </w:r>
          </w:p>
        </w:tc>
        <w:tc>
          <w:tcPr>
            <w:tcW w:w="336" w:type="pct"/>
            <w:vAlign w:val="center"/>
          </w:tcPr>
          <w:p w14:paraId="26AEC633">
            <w:pPr>
              <w:jc w:val="center"/>
              <w:rPr>
                <w:rFonts w:ascii="宋体" w:hAnsi="宋体"/>
                <w:bCs/>
                <w:szCs w:val="21"/>
              </w:rPr>
            </w:pPr>
            <w:r>
              <w:rPr>
                <w:rFonts w:hint="eastAsia" w:ascii="宋体" w:hAnsi="宋体"/>
                <w:bCs/>
                <w:szCs w:val="21"/>
              </w:rPr>
              <w:t>人员要求</w:t>
            </w:r>
          </w:p>
        </w:tc>
        <w:tc>
          <w:tcPr>
            <w:tcW w:w="3968" w:type="pct"/>
            <w:vAlign w:val="center"/>
          </w:tcPr>
          <w:p w14:paraId="26AEC634">
            <w:pPr>
              <w:numPr>
                <w:ilvl w:val="0"/>
                <w:numId w:val="10"/>
              </w:numPr>
              <w:jc w:val="left"/>
              <w:rPr>
                <w:rFonts w:ascii="宋体" w:hAnsi="宋体" w:cs="宋体"/>
                <w:color w:val="FF0000"/>
                <w:kern w:val="0"/>
                <w:szCs w:val="21"/>
              </w:rPr>
            </w:pPr>
            <w:r>
              <w:rPr>
                <w:rFonts w:hint="eastAsia" w:ascii="宋体" w:hAnsi="宋体" w:cs="宋体"/>
                <w:color w:val="FF0000"/>
                <w:kern w:val="0"/>
                <w:szCs w:val="21"/>
              </w:rPr>
              <w:t>人数：不少于</w:t>
            </w:r>
            <w:r>
              <w:rPr>
                <w:rFonts w:hint="eastAsia" w:ascii="宋体" w:hAnsi="宋体" w:cs="宋体"/>
                <w:color w:val="FF0000"/>
                <w:kern w:val="0"/>
                <w:szCs w:val="21"/>
                <w:lang w:val="en-US" w:eastAsia="zh-CN"/>
              </w:rPr>
              <w:t>2</w:t>
            </w:r>
            <w:r>
              <w:rPr>
                <w:rFonts w:hint="eastAsia" w:ascii="宋体" w:hAnsi="宋体" w:cs="宋体"/>
                <w:color w:val="FF0000"/>
                <w:kern w:val="0"/>
                <w:szCs w:val="21"/>
              </w:rPr>
              <w:t>0人的技术研发团队</w:t>
            </w:r>
          </w:p>
          <w:p w14:paraId="26AEC635">
            <w:pPr>
              <w:numPr>
                <w:ilvl w:val="0"/>
                <w:numId w:val="10"/>
              </w:numPr>
              <w:jc w:val="left"/>
              <w:rPr>
                <w:rFonts w:ascii="宋体" w:hAnsi="宋体" w:cs="宋体"/>
                <w:color w:val="FF0000"/>
                <w:kern w:val="0"/>
                <w:szCs w:val="21"/>
              </w:rPr>
            </w:pPr>
            <w:r>
              <w:rPr>
                <w:rFonts w:hint="eastAsia" w:ascii="宋体" w:hAnsi="宋体" w:cs="宋体"/>
                <w:color w:val="FF0000"/>
                <w:kern w:val="0"/>
                <w:szCs w:val="21"/>
              </w:rPr>
              <w:t>人员素质：包括学历、职称、工作经验等：具有大学本科以上学历，且具有</w:t>
            </w:r>
            <w:r>
              <w:rPr>
                <w:rFonts w:hint="eastAsia"/>
                <w:color w:val="FF0000"/>
              </w:rPr>
              <w:t>三年软件和信息技术编程开发经验，其中项目技术团队负责人须具有十年以上软件和信息技术编程开发经验；</w:t>
            </w:r>
          </w:p>
          <w:p w14:paraId="26AEC636">
            <w:pPr>
              <w:ind w:left="420"/>
              <w:jc w:val="left"/>
              <w:rPr>
                <w:rFonts w:ascii="宋体" w:hAnsi="宋体" w:cs="宋体"/>
                <w:kern w:val="0"/>
                <w:szCs w:val="21"/>
              </w:rPr>
            </w:pPr>
            <w:r>
              <w:rPr>
                <w:rFonts w:hint="eastAsia" w:ascii="宋体" w:hAnsi="宋体" w:cs="宋体"/>
                <w:color w:val="FF0000"/>
                <w:kern w:val="0"/>
                <w:szCs w:val="21"/>
                <w:highlight w:val="yellow"/>
              </w:rPr>
              <w:t>证明文件：提供人员配备承诺。</w:t>
            </w:r>
          </w:p>
        </w:tc>
        <w:tc>
          <w:tcPr>
            <w:tcW w:w="231" w:type="pct"/>
            <w:vAlign w:val="center"/>
          </w:tcPr>
          <w:p w14:paraId="26AEC637">
            <w:pPr>
              <w:rPr>
                <w:rFonts w:ascii="宋体" w:hAnsi="宋体"/>
                <w:bCs/>
                <w:szCs w:val="21"/>
              </w:rPr>
            </w:pPr>
          </w:p>
        </w:tc>
        <w:tc>
          <w:tcPr>
            <w:tcW w:w="232" w:type="pct"/>
            <w:vAlign w:val="center"/>
          </w:tcPr>
          <w:p w14:paraId="26AEC638">
            <w:pPr>
              <w:rPr>
                <w:rFonts w:ascii="宋体" w:hAnsi="宋体"/>
                <w:bCs/>
                <w:szCs w:val="21"/>
              </w:rPr>
            </w:pPr>
          </w:p>
        </w:tc>
      </w:tr>
      <w:tr w14:paraId="26AEC6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1" w:type="pct"/>
            <w:vAlign w:val="center"/>
          </w:tcPr>
          <w:p w14:paraId="26AEC646">
            <w:pPr>
              <w:rPr>
                <w:rFonts w:hint="eastAsia" w:ascii="宋体" w:hAnsi="宋体" w:eastAsia="宋体"/>
                <w:bCs/>
                <w:szCs w:val="21"/>
                <w:lang w:eastAsia="zh-CN"/>
              </w:rPr>
            </w:pPr>
            <w:r>
              <w:rPr>
                <w:rFonts w:hint="eastAsia" w:ascii="宋体" w:hAnsi="宋体"/>
                <w:bCs/>
                <w:szCs w:val="21"/>
                <w:lang w:val="en-US" w:eastAsia="zh-CN"/>
              </w:rPr>
              <w:t>4</w:t>
            </w:r>
          </w:p>
        </w:tc>
        <w:tc>
          <w:tcPr>
            <w:tcW w:w="336" w:type="pct"/>
            <w:vAlign w:val="center"/>
          </w:tcPr>
          <w:p w14:paraId="26AEC647">
            <w:pPr>
              <w:jc w:val="center"/>
              <w:rPr>
                <w:rFonts w:ascii="宋体" w:hAnsi="宋体"/>
                <w:bCs/>
                <w:szCs w:val="21"/>
              </w:rPr>
            </w:pPr>
            <w:r>
              <w:rPr>
                <w:rFonts w:hint="eastAsia" w:ascii="宋体" w:hAnsi="宋体"/>
                <w:bCs/>
                <w:szCs w:val="21"/>
              </w:rPr>
              <w:t>成果要求</w:t>
            </w:r>
          </w:p>
        </w:tc>
        <w:tc>
          <w:tcPr>
            <w:tcW w:w="3968" w:type="pct"/>
            <w:vAlign w:val="center"/>
          </w:tcPr>
          <w:p w14:paraId="26AEC648">
            <w:pPr>
              <w:pStyle w:val="50"/>
              <w:ind w:firstLine="420" w:firstLineChars="200"/>
              <w:rPr>
                <w:color w:val="FF0000"/>
              </w:rPr>
            </w:pPr>
            <w:r>
              <w:rPr>
                <w:rFonts w:hint="eastAsia"/>
                <w:color w:val="FF0000"/>
              </w:rPr>
              <w:t xml:space="preserve">乙方需在开发完成并试运行后3个月内内移交以下内容： </w:t>
            </w:r>
          </w:p>
          <w:p w14:paraId="26AEC649">
            <w:pPr>
              <w:pStyle w:val="50"/>
              <w:numPr>
                <w:ilvl w:val="0"/>
                <w:numId w:val="11"/>
              </w:numPr>
              <w:ind w:hanging="425" w:firstLineChars="0"/>
              <w:rPr>
                <w:color w:val="FF0000"/>
              </w:rPr>
            </w:pPr>
            <w:r>
              <w:rPr>
                <w:rFonts w:hint="eastAsia"/>
                <w:color w:val="FF0000"/>
              </w:rPr>
              <w:t>全量可编译源代码（含第三方组件清单），源代码应具备良好的可读性和可维护性，符合行业通用的代码规范。</w:t>
            </w:r>
          </w:p>
          <w:p w14:paraId="26AEC64A">
            <w:pPr>
              <w:pStyle w:val="50"/>
              <w:numPr>
                <w:ilvl w:val="0"/>
                <w:numId w:val="11"/>
              </w:numPr>
              <w:ind w:hanging="425" w:firstLineChars="0"/>
              <w:rPr>
                <w:color w:val="FF0000"/>
              </w:rPr>
            </w:pPr>
            <w:r>
              <w:rPr>
                <w:rFonts w:hint="eastAsia"/>
                <w:color w:val="FF0000"/>
              </w:rPr>
              <w:t xml:space="preserve">开发环境配置说明，详细描述开发过程中所使用的软件、硬件环境及相关配置参数，确保甲方能够在自身环境中顺利运行和调试代码。 </w:t>
            </w:r>
          </w:p>
          <w:p w14:paraId="26AEC64C">
            <w:pPr>
              <w:pStyle w:val="50"/>
              <w:numPr>
                <w:ilvl w:val="0"/>
                <w:numId w:val="11"/>
              </w:numPr>
              <w:ind w:hanging="425" w:firstLineChars="0"/>
              <w:rPr>
                <w:rFonts w:ascii="宋体" w:hAnsi="宋体"/>
                <w:bCs/>
                <w:szCs w:val="21"/>
              </w:rPr>
            </w:pPr>
            <w:r>
              <w:rPr>
                <w:rFonts w:hint="eastAsia"/>
                <w:color w:val="FF0000"/>
              </w:rPr>
              <w:t>持续集成 / 交付（CI/CD）流水线配置，包括流水线的构建步骤、触发条件、部署流程等信息，方便甲方进行后续的自动化部署和更新。</w:t>
            </w:r>
          </w:p>
        </w:tc>
        <w:tc>
          <w:tcPr>
            <w:tcW w:w="231" w:type="pct"/>
            <w:vAlign w:val="center"/>
          </w:tcPr>
          <w:p w14:paraId="26AEC64D">
            <w:pPr>
              <w:rPr>
                <w:rFonts w:ascii="宋体" w:hAnsi="宋体"/>
                <w:bCs/>
                <w:szCs w:val="21"/>
              </w:rPr>
            </w:pPr>
          </w:p>
        </w:tc>
        <w:tc>
          <w:tcPr>
            <w:tcW w:w="232" w:type="pct"/>
            <w:vAlign w:val="center"/>
          </w:tcPr>
          <w:p w14:paraId="26AEC64E">
            <w:pPr>
              <w:rPr>
                <w:rFonts w:ascii="宋体" w:hAnsi="宋体"/>
                <w:bCs/>
                <w:szCs w:val="21"/>
              </w:rPr>
            </w:pPr>
          </w:p>
        </w:tc>
      </w:tr>
    </w:tbl>
    <w:p w14:paraId="406B8E72">
      <w:pPr>
        <w:rPr>
          <w:b/>
          <w:sz w:val="24"/>
        </w:rPr>
      </w:pPr>
    </w:p>
    <w:p w14:paraId="648B708D">
      <w:pPr>
        <w:pStyle w:val="5"/>
        <w:spacing w:before="120" w:beforeLines="50" w:after="120" w:afterLines="50"/>
        <w:rPr>
          <w:szCs w:val="24"/>
        </w:rPr>
      </w:pPr>
      <w:r>
        <w:rPr>
          <w:rFonts w:hint="eastAsia"/>
          <w:szCs w:val="24"/>
        </w:rPr>
        <w:t>六、商务要求</w:t>
      </w:r>
    </w:p>
    <w:tbl>
      <w:tblPr>
        <w:tblStyle w:val="4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25"/>
        <w:gridCol w:w="1147"/>
        <w:gridCol w:w="6757"/>
      </w:tblGrid>
      <w:tr w14:paraId="26AEC6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625" w:type="dxa"/>
            <w:vAlign w:val="center"/>
          </w:tcPr>
          <w:p w14:paraId="26AEC685">
            <w:pPr>
              <w:widowControl/>
              <w:jc w:val="center"/>
              <w:rPr>
                <w:b/>
                <w:szCs w:val="21"/>
              </w:rPr>
            </w:pPr>
            <w:r>
              <w:rPr>
                <w:rFonts w:hint="eastAsia"/>
                <w:b/>
                <w:szCs w:val="21"/>
              </w:rPr>
              <w:t>序号</w:t>
            </w:r>
          </w:p>
        </w:tc>
        <w:tc>
          <w:tcPr>
            <w:tcW w:w="1147" w:type="dxa"/>
            <w:vAlign w:val="center"/>
          </w:tcPr>
          <w:p w14:paraId="26AEC686">
            <w:pPr>
              <w:widowControl/>
              <w:jc w:val="center"/>
              <w:rPr>
                <w:b/>
                <w:szCs w:val="21"/>
              </w:rPr>
            </w:pPr>
            <w:r>
              <w:rPr>
                <w:rFonts w:hint="eastAsia"/>
                <w:b/>
                <w:szCs w:val="21"/>
              </w:rPr>
              <w:t>目录</w:t>
            </w:r>
          </w:p>
        </w:tc>
        <w:tc>
          <w:tcPr>
            <w:tcW w:w="6757" w:type="dxa"/>
            <w:vAlign w:val="center"/>
          </w:tcPr>
          <w:p w14:paraId="26AEC687">
            <w:pPr>
              <w:widowControl/>
              <w:jc w:val="center"/>
              <w:rPr>
                <w:b/>
                <w:szCs w:val="21"/>
              </w:rPr>
            </w:pPr>
            <w:r>
              <w:rPr>
                <w:rFonts w:hint="eastAsia" w:ascii="宋体" w:hAnsi="宋体" w:cs="宋体"/>
                <w:szCs w:val="21"/>
              </w:rPr>
              <w:t>★</w:t>
            </w:r>
            <w:r>
              <w:rPr>
                <w:rFonts w:hint="eastAsia"/>
                <w:b/>
                <w:szCs w:val="21"/>
              </w:rPr>
              <w:t>商务条款要求</w:t>
            </w:r>
          </w:p>
        </w:tc>
      </w:tr>
      <w:tr w14:paraId="26AEC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5" w:type="dxa"/>
            <w:vAlign w:val="center"/>
          </w:tcPr>
          <w:p w14:paraId="26AEC689">
            <w:pPr>
              <w:jc w:val="center"/>
              <w:outlineLvl w:val="0"/>
              <w:rPr>
                <w:rFonts w:ascii="宋体" w:hAnsi="宋体"/>
                <w:b/>
                <w:bCs/>
                <w:szCs w:val="21"/>
              </w:rPr>
            </w:pPr>
            <w:r>
              <w:rPr>
                <w:rFonts w:hint="eastAsia" w:ascii="宋体" w:hAnsi="宋体"/>
                <w:b/>
                <w:bCs/>
                <w:szCs w:val="21"/>
              </w:rPr>
              <w:t>1</w:t>
            </w:r>
          </w:p>
        </w:tc>
        <w:tc>
          <w:tcPr>
            <w:tcW w:w="1147" w:type="dxa"/>
            <w:vAlign w:val="center"/>
          </w:tcPr>
          <w:p w14:paraId="26AEC68A">
            <w:pPr>
              <w:jc w:val="center"/>
              <w:outlineLvl w:val="0"/>
              <w:rPr>
                <w:rFonts w:ascii="宋体" w:hAnsi="宋体"/>
                <w:b/>
                <w:bCs/>
                <w:szCs w:val="21"/>
              </w:rPr>
            </w:pPr>
            <w:r>
              <w:rPr>
                <w:rFonts w:hint="eastAsia" w:ascii="宋体" w:hAnsi="宋体"/>
                <w:b/>
                <w:bCs/>
                <w:szCs w:val="21"/>
              </w:rPr>
              <w:t>服务期要求</w:t>
            </w:r>
          </w:p>
        </w:tc>
        <w:tc>
          <w:tcPr>
            <w:tcW w:w="6757" w:type="dxa"/>
          </w:tcPr>
          <w:p w14:paraId="26AEC68C">
            <w:r>
              <w:rPr>
                <w:rFonts w:hint="eastAsia" w:ascii="宋体" w:hAnsi="宋体"/>
                <w:szCs w:val="21"/>
                <w:lang w:val="en-US" w:eastAsia="zh-CN"/>
              </w:rPr>
              <w:t>自</w:t>
            </w:r>
            <w:r>
              <w:rPr>
                <w:rFonts w:hint="eastAsia" w:ascii="宋体" w:hAnsi="宋体"/>
                <w:szCs w:val="21"/>
              </w:rPr>
              <w:t>合同签订之日起至服务结束的时间期限</w:t>
            </w:r>
            <w:r>
              <w:rPr>
                <w:rFonts w:hint="eastAsia" w:ascii="宋体" w:hAnsi="宋体"/>
                <w:bCs/>
                <w:szCs w:val="21"/>
              </w:rPr>
              <w:t>。具体是指合同签订后</w:t>
            </w:r>
            <w:r>
              <w:rPr>
                <w:rFonts w:hint="eastAsia" w:ascii="宋体" w:hAnsi="宋体"/>
                <w:bCs/>
                <w:szCs w:val="21"/>
                <w:u w:val="single"/>
              </w:rPr>
              <w:t xml:space="preserve"> 365日。含前期开发时间45日，后期的升级完善、推广和运行维护服务等。</w:t>
            </w:r>
          </w:p>
        </w:tc>
      </w:tr>
      <w:tr w14:paraId="26AEC6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5" w:type="dxa"/>
            <w:vAlign w:val="center"/>
          </w:tcPr>
          <w:p w14:paraId="26AEC68E">
            <w:pPr>
              <w:jc w:val="center"/>
              <w:outlineLvl w:val="0"/>
              <w:rPr>
                <w:rFonts w:ascii="宋体" w:hAnsi="宋体"/>
                <w:b/>
                <w:bCs/>
                <w:szCs w:val="21"/>
              </w:rPr>
            </w:pPr>
            <w:r>
              <w:rPr>
                <w:rFonts w:hint="eastAsia" w:ascii="宋体" w:hAnsi="宋体"/>
                <w:b/>
                <w:bCs/>
                <w:szCs w:val="21"/>
              </w:rPr>
              <w:t>2</w:t>
            </w:r>
          </w:p>
        </w:tc>
        <w:tc>
          <w:tcPr>
            <w:tcW w:w="1147" w:type="dxa"/>
            <w:vAlign w:val="center"/>
          </w:tcPr>
          <w:p w14:paraId="26AEC68F">
            <w:pPr>
              <w:jc w:val="center"/>
              <w:outlineLvl w:val="0"/>
              <w:rPr>
                <w:rFonts w:ascii="宋体" w:hAnsi="宋体"/>
                <w:b/>
                <w:bCs/>
                <w:szCs w:val="21"/>
              </w:rPr>
            </w:pPr>
            <w:r>
              <w:rPr>
                <w:rFonts w:hint="eastAsia" w:ascii="宋体" w:hAnsi="宋体"/>
                <w:b/>
                <w:bCs/>
                <w:szCs w:val="21"/>
              </w:rPr>
              <w:t>服务地点</w:t>
            </w:r>
          </w:p>
        </w:tc>
        <w:tc>
          <w:tcPr>
            <w:tcW w:w="6757" w:type="dxa"/>
          </w:tcPr>
          <w:p w14:paraId="26AEC690">
            <w:pPr>
              <w:rPr>
                <w:rFonts w:ascii="宋体" w:hAnsi="宋体"/>
                <w:b/>
                <w:sz w:val="28"/>
                <w:szCs w:val="28"/>
              </w:rPr>
            </w:pPr>
            <w:r>
              <w:rPr>
                <w:rFonts w:hint="eastAsia" w:ascii="宋体" w:hAnsi="宋体" w:cs="Times New Roman"/>
                <w:szCs w:val="21"/>
              </w:rPr>
              <w:t>深圳市福田区教育系统各单位</w:t>
            </w:r>
          </w:p>
        </w:tc>
      </w:tr>
      <w:tr w14:paraId="26AEC6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5" w:type="dxa"/>
            <w:vAlign w:val="center"/>
          </w:tcPr>
          <w:p w14:paraId="26AEC692">
            <w:pPr>
              <w:jc w:val="center"/>
              <w:outlineLvl w:val="0"/>
              <w:rPr>
                <w:rFonts w:ascii="宋体" w:hAnsi="宋体"/>
                <w:b/>
                <w:bCs/>
                <w:szCs w:val="21"/>
              </w:rPr>
            </w:pPr>
            <w:r>
              <w:rPr>
                <w:rFonts w:hint="eastAsia" w:ascii="宋体" w:hAnsi="宋体"/>
                <w:b/>
                <w:bCs/>
                <w:szCs w:val="21"/>
              </w:rPr>
              <w:t>3</w:t>
            </w:r>
          </w:p>
        </w:tc>
        <w:tc>
          <w:tcPr>
            <w:tcW w:w="1147" w:type="dxa"/>
            <w:vAlign w:val="center"/>
          </w:tcPr>
          <w:p w14:paraId="26AEC693">
            <w:pPr>
              <w:jc w:val="center"/>
              <w:outlineLvl w:val="0"/>
              <w:rPr>
                <w:rFonts w:ascii="宋体" w:hAnsi="宋体"/>
                <w:b/>
                <w:bCs/>
                <w:szCs w:val="21"/>
              </w:rPr>
            </w:pPr>
            <w:r>
              <w:rPr>
                <w:rFonts w:hint="eastAsia" w:ascii="宋体" w:hAnsi="宋体"/>
                <w:b/>
                <w:bCs/>
                <w:szCs w:val="21"/>
              </w:rPr>
              <w:t>付款方式</w:t>
            </w:r>
          </w:p>
        </w:tc>
        <w:tc>
          <w:tcPr>
            <w:tcW w:w="6757" w:type="dxa"/>
          </w:tcPr>
          <w:p w14:paraId="45019CAE">
            <w:pPr>
              <w:rPr>
                <w:rFonts w:ascii="宋体" w:hAnsi="宋体"/>
                <w:szCs w:val="21"/>
              </w:rPr>
            </w:pPr>
            <w:r>
              <w:rPr>
                <w:rFonts w:hint="eastAsia" w:ascii="宋体" w:hAnsi="宋体"/>
                <w:szCs w:val="21"/>
              </w:rPr>
              <w:t>根据上级财政部门的相关要求进行支付，具体方式以最终的合同签订为准。</w:t>
            </w:r>
          </w:p>
        </w:tc>
      </w:tr>
      <w:tr w14:paraId="26AEC6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5" w:type="dxa"/>
            <w:vAlign w:val="center"/>
          </w:tcPr>
          <w:p w14:paraId="26AEC69B">
            <w:pPr>
              <w:jc w:val="center"/>
              <w:outlineLvl w:val="0"/>
              <w:rPr>
                <w:rFonts w:ascii="宋体" w:hAnsi="宋体"/>
                <w:b/>
                <w:bCs/>
                <w:szCs w:val="21"/>
              </w:rPr>
            </w:pPr>
            <w:r>
              <w:rPr>
                <w:rFonts w:hint="eastAsia" w:ascii="宋体" w:hAnsi="宋体"/>
                <w:b/>
                <w:bCs/>
                <w:szCs w:val="21"/>
              </w:rPr>
              <w:t>4</w:t>
            </w:r>
          </w:p>
        </w:tc>
        <w:tc>
          <w:tcPr>
            <w:tcW w:w="1147" w:type="dxa"/>
            <w:vAlign w:val="center"/>
          </w:tcPr>
          <w:p w14:paraId="26AEC69C">
            <w:pPr>
              <w:jc w:val="center"/>
              <w:rPr>
                <w:rFonts w:ascii="宋体" w:hAnsi="宋体"/>
                <w:b/>
                <w:bCs/>
                <w:szCs w:val="21"/>
              </w:rPr>
            </w:pPr>
            <w:r>
              <w:rPr>
                <w:rFonts w:hint="eastAsia" w:ascii="宋体" w:hAnsi="宋体"/>
                <w:b/>
                <w:bCs/>
                <w:szCs w:val="21"/>
              </w:rPr>
              <w:t>关于验收</w:t>
            </w:r>
          </w:p>
          <w:p w14:paraId="26AEC69D">
            <w:pPr>
              <w:jc w:val="center"/>
              <w:outlineLvl w:val="0"/>
              <w:rPr>
                <w:rFonts w:ascii="宋体" w:hAnsi="宋体"/>
                <w:b/>
                <w:bCs/>
                <w:szCs w:val="21"/>
              </w:rPr>
            </w:pPr>
          </w:p>
        </w:tc>
        <w:tc>
          <w:tcPr>
            <w:tcW w:w="6757" w:type="dxa"/>
          </w:tcPr>
          <w:p w14:paraId="26AEC69F">
            <w:pPr>
              <w:rPr>
                <w:rFonts w:ascii="宋体" w:hAnsi="宋体"/>
                <w:b/>
                <w:szCs w:val="21"/>
              </w:rPr>
            </w:pPr>
            <w:r>
              <w:rPr>
                <w:rFonts w:hint="eastAsia" w:ascii="宋体" w:hAnsi="宋体"/>
                <w:szCs w:val="21"/>
              </w:rPr>
              <w:t>标准：</w:t>
            </w:r>
            <w:r>
              <w:rPr>
                <w:rFonts w:hint="eastAsia" w:ascii="宋体" w:hAnsi="宋体"/>
                <w:bCs/>
                <w:szCs w:val="21"/>
              </w:rPr>
              <w:t>1）服务经过双方检验认可后，签署验收报告。</w:t>
            </w:r>
          </w:p>
          <w:p w14:paraId="26AEC6A0">
            <w:pPr>
              <w:ind w:left="1129" w:leftChars="269" w:hanging="564" w:hangingChars="269"/>
              <w:rPr>
                <w:rFonts w:ascii="宋体" w:hAnsi="宋体"/>
                <w:bCs/>
                <w:szCs w:val="21"/>
              </w:rPr>
            </w:pPr>
            <w:r>
              <w:rPr>
                <w:rFonts w:hint="eastAsia" w:ascii="宋体" w:hAnsi="宋体"/>
                <w:bCs/>
                <w:szCs w:val="21"/>
              </w:rPr>
              <w:t>2）当满足以下条件时，采购人才向中标人签发验收报告：</w:t>
            </w:r>
          </w:p>
          <w:p w14:paraId="26AEC6A1">
            <w:pPr>
              <w:tabs>
                <w:tab w:val="left" w:pos="1260"/>
              </w:tabs>
              <w:ind w:left="886" w:leftChars="356" w:hanging="138" w:hangingChars="66"/>
              <w:rPr>
                <w:rFonts w:ascii="宋体" w:hAnsi="宋体"/>
                <w:bCs/>
                <w:szCs w:val="21"/>
              </w:rPr>
            </w:pPr>
            <w:r>
              <w:rPr>
                <w:rFonts w:hint="eastAsia" w:ascii="宋体" w:hAnsi="宋体"/>
                <w:bCs/>
                <w:szCs w:val="21"/>
              </w:rPr>
              <w:t>a、中标人已按照合同规定提供了全部技术资料。</w:t>
            </w:r>
          </w:p>
          <w:p w14:paraId="26AEC6A4">
            <w:pPr>
              <w:tabs>
                <w:tab w:val="left" w:pos="1260"/>
              </w:tabs>
              <w:ind w:left="886" w:leftChars="356" w:hanging="138" w:hangingChars="66"/>
              <w:rPr>
                <w:rFonts w:ascii="宋体" w:hAnsi="宋体"/>
                <w:szCs w:val="21"/>
              </w:rPr>
            </w:pPr>
            <w:r>
              <w:rPr>
                <w:rFonts w:hint="eastAsia" w:ascii="宋体" w:hAnsi="宋体"/>
                <w:bCs/>
                <w:szCs w:val="21"/>
              </w:rPr>
              <w:t>b、服务项目符合招标文件的服务要求</w:t>
            </w:r>
          </w:p>
        </w:tc>
      </w:tr>
    </w:tbl>
    <w:p w14:paraId="5C99050C">
      <w:pPr>
        <w:ind w:firstLine="420" w:firstLineChars="200"/>
        <w:rPr>
          <w:rFonts w:asciiTheme="minorEastAsia" w:hAnsiTheme="minorEastAsia" w:eastAsiaTheme="minorEastAsia"/>
        </w:rPr>
      </w:pPr>
    </w:p>
    <w:p w14:paraId="43F67AFE"/>
    <w:p w14:paraId="1955D90A">
      <w:pPr>
        <w:pStyle w:val="5"/>
        <w:spacing w:before="120" w:beforeLines="50" w:after="120" w:afterLines="50"/>
        <w:rPr>
          <w:szCs w:val="24"/>
        </w:rPr>
      </w:pPr>
      <w:r>
        <w:rPr>
          <w:rFonts w:hint="eastAsia"/>
          <w:szCs w:val="24"/>
        </w:rPr>
        <w:t>七、其他重要条款</w:t>
      </w:r>
    </w:p>
    <w:p w14:paraId="54A50CE5">
      <w:pPr>
        <w:ind w:firstLine="420" w:firstLineChars="200"/>
        <w:rPr>
          <w:bCs/>
          <w:szCs w:val="21"/>
        </w:rPr>
      </w:pPr>
      <w:r>
        <w:rPr>
          <w:rFonts w:hint="eastAsia"/>
          <w:bCs/>
          <w:szCs w:val="21"/>
        </w:rPr>
        <w:t>1、本项目投标报价采用包干制，应包括成本、法定税费和相应的利润，应涵盖本项目招标范围和招标文件所列的各项内容中所述的全部。由投标人根据招标需求自行测算投标报价；一经中标，投标报价即作为中标单位与采购人签订的合同金额。</w:t>
      </w:r>
    </w:p>
    <w:p w14:paraId="386F2C4B">
      <w:pPr>
        <w:pStyle w:val="7"/>
        <w:spacing w:before="60" w:beforeLines="25" w:after="60" w:afterLines="25"/>
        <w:ind w:firstLine="392" w:firstLineChars="187"/>
        <w:rPr>
          <w:rFonts w:ascii="宋体" w:hAnsi="宋体"/>
          <w:szCs w:val="21"/>
        </w:rPr>
      </w:pPr>
      <w:r>
        <w:rPr>
          <w:bCs/>
          <w:szCs w:val="21"/>
        </w:rPr>
        <w:t>2</w:t>
      </w:r>
      <w:r>
        <w:rPr>
          <w:rFonts w:hint="eastAsia"/>
          <w:bCs/>
          <w:szCs w:val="21"/>
        </w:rPr>
        <w:t>、投标人应充分了解项目的位置、情况、道路及任何其它足以影响投标报价的情况，任何因忽视或误解项目情况而导致的索赔或服务期限延长申请将不获批准。</w:t>
      </w:r>
    </w:p>
    <w:p w14:paraId="76629AE0">
      <w:pPr>
        <w:ind w:firstLine="420" w:firstLineChars="200"/>
        <w:rPr>
          <w:bCs/>
          <w:szCs w:val="21"/>
        </w:rPr>
      </w:pPr>
      <w:r>
        <w:rPr>
          <w:bCs/>
          <w:szCs w:val="21"/>
        </w:rPr>
        <w:t>3</w:t>
      </w:r>
      <w:r>
        <w:rPr>
          <w:rFonts w:hint="eastAsia"/>
          <w:bCs/>
          <w:szCs w:val="21"/>
        </w:rPr>
        <w:t>、投标人不得期望通过索赔等方式获取补偿，否则，除可能遭到拒绝外，还可能将被作为不良行为记录在案，并可能影响其以后参加政府采购的项目投标。各投标人在投标报价时，应充分考虑投标报价的风险。</w:t>
      </w:r>
    </w:p>
    <w:p w14:paraId="57E143E2">
      <w:pPr>
        <w:ind w:firstLine="420" w:firstLineChars="200"/>
        <w:rPr>
          <w:bCs/>
          <w:szCs w:val="21"/>
        </w:rPr>
      </w:pPr>
      <w:r>
        <w:rPr>
          <w:rFonts w:hint="eastAsia" w:ascii="Times New Roman" w:eastAsia="宋体"/>
          <w:bCs/>
          <w:szCs w:val="21"/>
          <w:lang w:val="en-US" w:eastAsia="zh-CN"/>
        </w:rPr>
        <w:t>4</w:t>
      </w:r>
      <w:r>
        <w:rPr>
          <w:rFonts w:hint="eastAsia"/>
          <w:bCs/>
          <w:szCs w:val="21"/>
        </w:rPr>
        <w:t>、除政府采购合同继续履行将损害国家利益和社会公共利益外，双方当事人不得擅自变更、中止或者终止合同。</w:t>
      </w:r>
    </w:p>
    <w:p w14:paraId="7478DD8E">
      <w:pPr>
        <w:ind w:firstLine="420" w:firstLineChars="200"/>
        <w:rPr>
          <w:rFonts w:hint="eastAsia" w:eastAsia="宋体"/>
          <w:bCs/>
          <w:szCs w:val="21"/>
          <w:lang w:val="en-US" w:eastAsia="zh-CN"/>
        </w:rPr>
      </w:pPr>
      <w:r>
        <w:rPr>
          <w:rFonts w:hint="eastAsia" w:ascii="Times New Roman" w:eastAsia="宋体"/>
          <w:bCs/>
          <w:szCs w:val="21"/>
          <w:lang w:val="en-US" w:eastAsia="zh-CN"/>
        </w:rPr>
        <w:t>5</w:t>
      </w:r>
      <w:r>
        <w:rPr>
          <w:rFonts w:hint="eastAsia"/>
          <w:bCs/>
          <w:szCs w:val="21"/>
        </w:rPr>
        <w:t>、“信用中国”中“信用服务”栏的“重大税收违法失信主体”“失信被执行人”，“中国政府采购网”中的“政府采购严重违法失信行为记录名单”，以及“深圳市政府采购监管网”为供应商信用信息的查询渠道，相关信息以开标当日的查询结果为准</w:t>
      </w:r>
      <w:r>
        <w:rPr>
          <w:rFonts w:hint="eastAsia" w:ascii="Times New Roman" w:eastAsia="宋体"/>
          <w:bCs/>
          <w:szCs w:val="21"/>
          <w:lang w:val="en-US" w:eastAsia="zh-CN"/>
        </w:rPr>
        <w:t>。</w:t>
      </w:r>
    </w:p>
    <w:p w14:paraId="5D5494EC">
      <w:pPr>
        <w:pStyle w:val="7"/>
        <w:spacing w:before="60" w:beforeLines="25" w:after="60" w:afterLines="25"/>
        <w:ind w:firstLine="392" w:firstLineChars="187"/>
        <w:rPr>
          <w:rFonts w:ascii="宋体" w:hAnsi="宋体"/>
          <w:szCs w:val="21"/>
        </w:rPr>
      </w:pPr>
    </w:p>
    <w:p w14:paraId="7EC3B8B7">
      <w:pPr>
        <w:pStyle w:val="7"/>
        <w:spacing w:before="60" w:beforeLines="25" w:after="60" w:afterLines="25"/>
        <w:ind w:firstLine="392" w:firstLineChars="187"/>
        <w:rPr>
          <w:rFonts w:ascii="宋体" w:hAnsi="宋体"/>
          <w:szCs w:val="21"/>
        </w:rPr>
      </w:pPr>
    </w:p>
    <w:p w14:paraId="3CD02A8D">
      <w:pPr>
        <w:pStyle w:val="7"/>
        <w:spacing w:before="60" w:beforeLines="25" w:after="60" w:afterLines="25"/>
        <w:ind w:firstLine="392" w:firstLineChars="187"/>
        <w:rPr>
          <w:rFonts w:ascii="宋体" w:hAnsi="宋体"/>
          <w:szCs w:val="21"/>
        </w:rPr>
      </w:pPr>
    </w:p>
    <w:p w14:paraId="6F5935BF">
      <w:pPr>
        <w:pStyle w:val="7"/>
        <w:spacing w:before="60" w:beforeLines="25" w:after="60" w:afterLines="25"/>
        <w:rPr>
          <w:rFonts w:ascii="宋体" w:hAnsi="宋体"/>
          <w:szCs w:val="21"/>
        </w:rPr>
      </w:pPr>
    </w:p>
    <w:p w14:paraId="443EE8BC">
      <w:r>
        <w:rPr>
          <w:rFonts w:hint="eastAsia"/>
        </w:rPr>
        <w:br w:type="page"/>
      </w:r>
    </w:p>
    <w:p w14:paraId="064F6EAB">
      <w:pPr>
        <w:pStyle w:val="5"/>
        <w:rPr>
          <w:kern w:val="2"/>
        </w:rPr>
      </w:pPr>
      <w:r>
        <w:rPr>
          <w:rFonts w:hint="eastAsia"/>
          <w:kern w:val="2"/>
        </w:rPr>
        <w:t>第四章 投标文件组成要求及格式</w:t>
      </w:r>
    </w:p>
    <w:p w14:paraId="76796268">
      <w:pPr>
        <w:rPr>
          <w:rStyle w:val="56"/>
          <w:sz w:val="24"/>
        </w:rPr>
      </w:pPr>
      <w:r>
        <w:rPr>
          <w:rStyle w:val="56"/>
          <w:rFonts w:hint="eastAsia"/>
          <w:sz w:val="24"/>
        </w:rPr>
        <w:t>特别提醒：</w:t>
      </w:r>
    </w:p>
    <w:p w14:paraId="631A81C2">
      <w:pPr>
        <w:ind w:firstLine="480" w:firstLineChars="200"/>
        <w:rPr>
          <w:rFonts w:ascii="仿宋_GB2312" w:eastAsia="仿宋_GB2312"/>
          <w:sz w:val="24"/>
        </w:rPr>
      </w:pPr>
      <w:r>
        <w:rPr>
          <w:rFonts w:hint="eastAsia" w:ascii="仿宋_GB2312" w:eastAsia="仿宋_GB2312"/>
          <w:sz w:val="24"/>
        </w:rPr>
        <w:t>投标文件正文将对外公开，投标文件附件不公开。投标人在编辑投标文件时，在投标文件目录中属于本节点内容的必须在本节点中填写，填写到其他节点或附件的将可能导致投标无效，一切后果由供应商自行承担。</w:t>
      </w:r>
    </w:p>
    <w:p w14:paraId="242CA205">
      <w:pPr>
        <w:rPr>
          <w:rFonts w:ascii="仿宋_GB2312" w:eastAsia="仿宋_GB2312"/>
          <w:sz w:val="24"/>
        </w:rPr>
      </w:pPr>
      <w:r>
        <w:rPr>
          <w:rFonts w:hint="eastAsia" w:ascii="仿宋_GB2312" w:eastAsia="仿宋_GB2312"/>
          <w:sz w:val="24"/>
        </w:rPr>
        <w:t xml:space="preserve">    投标文件正文（信息公开部分）必须编制于“正文（公开部分）”，投标文件附件（非信息公开部分）必须编制于“附件（不公开部分）”，如下图所示。</w:t>
      </w:r>
    </w:p>
    <w:p w14:paraId="3ACB6D53">
      <w:pPr>
        <w:widowControl/>
        <w:jc w:val="left"/>
        <w:rPr>
          <w:rFonts w:ascii="宋体" w:hAnsi="宋体" w:cs="宋体"/>
          <w:kern w:val="0"/>
          <w:sz w:val="24"/>
        </w:rPr>
      </w:pPr>
    </w:p>
    <w:p w14:paraId="68A7B262">
      <w:pPr>
        <w:ind w:firstLine="480" w:firstLineChars="200"/>
        <w:rPr>
          <w:rFonts w:ascii="仿宋_GB2312" w:eastAsia="仿宋_GB2312"/>
          <w:sz w:val="24"/>
        </w:rPr>
      </w:pPr>
      <w:r>
        <w:rPr>
          <w:rFonts w:hint="eastAsia" w:ascii="仿宋_GB2312" w:eastAsia="仿宋_GB2312"/>
          <w:sz w:val="24"/>
        </w:rPr>
        <w:t>政府集中采购机构公布投标文件正文（信息公开部分）时为计算机截取信息自动公布，</w:t>
      </w:r>
      <w:r>
        <w:rPr>
          <w:rFonts w:hint="eastAsia" w:ascii="仿宋_GB2312" w:eastAsia="仿宋_GB2312"/>
          <w:b/>
          <w:bCs/>
          <w:sz w:val="24"/>
        </w:rPr>
        <w:t>如投标人误将涉及个人隐私的信息放入投标文件正文，相关后果由投标人自负；</w:t>
      </w:r>
      <w:r>
        <w:rPr>
          <w:rFonts w:hint="eastAsia" w:ascii="仿宋_GB2312" w:eastAsia="仿宋_GB2312"/>
          <w:sz w:val="24"/>
          <w:highlight w:val="yellow"/>
        </w:rPr>
        <w:t>如投标人将必须放于投标文件正文（信息公开部分）的内容放入投标文件附件（非信息公开部分），将作投标无效处理。</w:t>
      </w:r>
    </w:p>
    <w:p w14:paraId="1505C012">
      <w:pPr>
        <w:ind w:firstLine="480" w:firstLineChars="200"/>
        <w:rPr>
          <w:rFonts w:ascii="仿宋_GB2312" w:eastAsia="仿宋_GB2312"/>
          <w:sz w:val="24"/>
        </w:rPr>
      </w:pPr>
    </w:p>
    <w:p w14:paraId="41A65258">
      <w:pPr>
        <w:ind w:firstLine="482" w:firstLineChars="200"/>
        <w:rPr>
          <w:rFonts w:ascii="宋体" w:hAnsi="宋体"/>
          <w:b/>
          <w:sz w:val="24"/>
        </w:rPr>
      </w:pPr>
    </w:p>
    <w:p w14:paraId="3489B637">
      <w:pPr>
        <w:rPr>
          <w:rFonts w:ascii="宋体" w:hAnsi="宋体"/>
          <w:sz w:val="24"/>
        </w:rPr>
      </w:pPr>
      <w:r>
        <w:rPr>
          <w:rFonts w:hint="eastAsia" w:ascii="宋体" w:hAnsi="宋体"/>
          <w:sz w:val="24"/>
        </w:rPr>
        <w:t>投标文件组成：</w:t>
      </w:r>
    </w:p>
    <w:p w14:paraId="7C6BA659">
      <w:pPr>
        <w:ind w:firstLine="1200" w:firstLineChars="500"/>
        <w:outlineLvl w:val="0"/>
        <w:rPr>
          <w:rFonts w:ascii="宋体" w:hAnsi="宋体"/>
          <w:sz w:val="24"/>
        </w:rPr>
      </w:pPr>
      <w:r>
        <w:rPr>
          <w:rFonts w:hint="eastAsia" w:ascii="宋体" w:hAnsi="宋体"/>
          <w:sz w:val="24"/>
        </w:rPr>
        <w:t>1.投标文件正文</w:t>
      </w:r>
      <w:r>
        <w:rPr>
          <w:rFonts w:hint="eastAsia" w:ascii="宋体" w:hAnsi="宋体"/>
          <w:b/>
          <w:color w:val="FF0000"/>
          <w:sz w:val="24"/>
        </w:rPr>
        <w:t>（信息公开部分）</w:t>
      </w:r>
      <w:r>
        <w:rPr>
          <w:rFonts w:hint="eastAsia" w:ascii="宋体" w:hAnsi="宋体"/>
          <w:sz w:val="24"/>
        </w:rPr>
        <w:t>，主要包括以下内容：</w:t>
      </w:r>
    </w:p>
    <w:p w14:paraId="0421FBDA">
      <w:pPr>
        <w:ind w:left="718" w:leftChars="342" w:firstLine="1417" w:firstLineChars="675"/>
        <w:rPr>
          <w:szCs w:val="21"/>
        </w:rPr>
      </w:pPr>
      <w:r>
        <w:rPr>
          <w:rFonts w:hint="eastAsia"/>
          <w:szCs w:val="21"/>
        </w:rPr>
        <w:t>（1）</w:t>
      </w:r>
      <w:bookmarkStart w:id="37" w:name="_Hlk72070784"/>
      <w:r>
        <w:rPr>
          <w:rFonts w:hint="eastAsia"/>
          <w:szCs w:val="21"/>
        </w:rPr>
        <w:t>投标函</w:t>
      </w:r>
      <w:bookmarkEnd w:id="37"/>
    </w:p>
    <w:p w14:paraId="5B2437F4">
      <w:pPr>
        <w:ind w:left="718" w:leftChars="342" w:firstLine="1417" w:firstLineChars="675"/>
        <w:rPr>
          <w:szCs w:val="21"/>
        </w:rPr>
      </w:pPr>
      <w:r>
        <w:rPr>
          <w:rFonts w:hint="eastAsia"/>
          <w:szCs w:val="21"/>
        </w:rPr>
        <w:t>（2）</w:t>
      </w:r>
      <w:bookmarkStart w:id="38" w:name="_Hlk72062521"/>
      <w:r>
        <w:rPr>
          <w:rFonts w:hint="eastAsia"/>
          <w:szCs w:val="21"/>
        </w:rPr>
        <w:t>政府采购投标及履约承诺函</w:t>
      </w:r>
      <w:bookmarkEnd w:id="38"/>
    </w:p>
    <w:p w14:paraId="509BB67F">
      <w:pPr>
        <w:ind w:left="718" w:leftChars="342" w:firstLine="1417" w:firstLineChars="675"/>
        <w:rPr>
          <w:szCs w:val="21"/>
        </w:rPr>
      </w:pPr>
      <w:r>
        <w:rPr>
          <w:rFonts w:hint="eastAsia"/>
          <w:szCs w:val="21"/>
        </w:rPr>
        <w:t>（</w:t>
      </w:r>
      <w:r>
        <w:rPr>
          <w:szCs w:val="21"/>
        </w:rPr>
        <w:t>3</w:t>
      </w:r>
      <w:r>
        <w:rPr>
          <w:rFonts w:hint="eastAsia"/>
          <w:szCs w:val="21"/>
        </w:rPr>
        <w:t>）投标人情况及资格证明文件</w:t>
      </w:r>
    </w:p>
    <w:p w14:paraId="7995D161">
      <w:pPr>
        <w:ind w:left="718" w:leftChars="342" w:firstLine="1417" w:firstLineChars="675"/>
        <w:rPr>
          <w:rFonts w:ascii="宋体" w:hAnsi="宋体"/>
          <w:szCs w:val="21"/>
        </w:rPr>
      </w:pPr>
      <w:bookmarkStart w:id="39" w:name="_Hlk72257201"/>
      <w:r>
        <w:rPr>
          <w:rFonts w:hint="eastAsia"/>
          <w:szCs w:val="21"/>
        </w:rPr>
        <w:t>（</w:t>
      </w:r>
      <w:r>
        <w:rPr>
          <w:szCs w:val="21"/>
        </w:rPr>
        <w:t>4</w:t>
      </w:r>
      <w:r>
        <w:rPr>
          <w:rFonts w:hint="eastAsia"/>
          <w:szCs w:val="21"/>
        </w:rPr>
        <w:t>）项目详细报价</w:t>
      </w:r>
      <w:bookmarkEnd w:id="39"/>
    </w:p>
    <w:p w14:paraId="0FF55844">
      <w:pPr>
        <w:ind w:left="718" w:leftChars="342" w:firstLine="1417" w:firstLineChars="675"/>
        <w:rPr>
          <w:rFonts w:hint="eastAsia" w:ascii="Times New Roman" w:hAnsi="Times New Roman" w:eastAsia="宋体" w:cs="Times New Roman"/>
          <w:szCs w:val="21"/>
          <w:highlight w:val="yellow"/>
        </w:rPr>
      </w:pPr>
      <w:r>
        <w:rPr>
          <w:rFonts w:hint="eastAsia" w:ascii="Times New Roman" w:hAnsi="Times New Roman" w:eastAsia="宋体" w:cs="Times New Roman"/>
          <w:szCs w:val="21"/>
          <w:highlight w:val="yellow"/>
        </w:rPr>
        <w:t>（5）同类项目业绩</w:t>
      </w:r>
    </w:p>
    <w:p w14:paraId="042C403D">
      <w:pPr>
        <w:ind w:left="718" w:leftChars="342" w:firstLine="1417" w:firstLineChars="675"/>
        <w:rPr>
          <w:rFonts w:hint="eastAsia" w:ascii="Times New Roman" w:hAnsi="Times New Roman" w:eastAsia="宋体" w:cs="Times New Roman"/>
          <w:szCs w:val="21"/>
          <w:highlight w:val="yellow"/>
        </w:rPr>
      </w:pPr>
      <w:r>
        <w:rPr>
          <w:rFonts w:hint="eastAsia" w:ascii="Times New Roman" w:hAnsi="Times New Roman" w:eastAsia="宋体" w:cs="Times New Roman"/>
          <w:szCs w:val="21"/>
          <w:highlight w:val="yellow"/>
        </w:rPr>
        <w:t>（6）履约评价</w:t>
      </w:r>
    </w:p>
    <w:p w14:paraId="61BFC11A">
      <w:pPr>
        <w:ind w:left="718" w:leftChars="342" w:firstLine="1417" w:firstLineChars="675"/>
        <w:rPr>
          <w:rFonts w:hint="eastAsia" w:ascii="Times New Roman" w:hAnsi="Times New Roman" w:eastAsia="宋体" w:cs="Times New Roman"/>
          <w:szCs w:val="21"/>
          <w:highlight w:val="yellow"/>
        </w:rPr>
      </w:pPr>
      <w:r>
        <w:rPr>
          <w:rFonts w:hint="eastAsia" w:ascii="Times New Roman" w:hAnsi="Times New Roman" w:eastAsia="宋体" w:cs="Times New Roman"/>
          <w:szCs w:val="21"/>
          <w:highlight w:val="yellow"/>
        </w:rPr>
        <w:t>（7）认证情况</w:t>
      </w:r>
    </w:p>
    <w:p w14:paraId="4B54B3B7">
      <w:pPr>
        <w:ind w:left="718" w:leftChars="342" w:firstLine="1417" w:firstLineChars="675"/>
        <w:rPr>
          <w:rFonts w:hint="eastAsia" w:ascii="Times New Roman" w:hAnsi="Times New Roman" w:eastAsia="宋体" w:cs="Times New Roman"/>
          <w:szCs w:val="21"/>
          <w:highlight w:val="yellow"/>
        </w:rPr>
      </w:pPr>
      <w:r>
        <w:rPr>
          <w:rFonts w:hint="eastAsia" w:ascii="Times New Roman" w:hAnsi="Times New Roman" w:eastAsia="宋体" w:cs="Times New Roman"/>
          <w:szCs w:val="21"/>
          <w:highlight w:val="yellow"/>
        </w:rPr>
        <w:t>（8）自主知识产权产品（创新、设计）情况</w:t>
      </w:r>
    </w:p>
    <w:p w14:paraId="40D79B76">
      <w:pPr>
        <w:ind w:firstLine="1200" w:firstLineChars="500"/>
        <w:outlineLvl w:val="9"/>
        <w:rPr>
          <w:rFonts w:hint="eastAsia" w:ascii="宋体" w:hAnsi="宋体"/>
          <w:sz w:val="24"/>
        </w:rPr>
      </w:pPr>
    </w:p>
    <w:p w14:paraId="58C74A0E">
      <w:pPr>
        <w:ind w:firstLine="1200" w:firstLineChars="500"/>
        <w:outlineLvl w:val="9"/>
        <w:rPr>
          <w:rFonts w:ascii="宋体" w:hAnsi="宋体"/>
          <w:sz w:val="24"/>
        </w:rPr>
      </w:pPr>
      <w:r>
        <w:rPr>
          <w:rFonts w:hint="eastAsia" w:ascii="宋体" w:hAnsi="宋体"/>
          <w:sz w:val="24"/>
        </w:rPr>
        <w:t>2.投标文件附件</w:t>
      </w:r>
      <w:r>
        <w:rPr>
          <w:rFonts w:hint="eastAsia" w:ascii="宋体" w:hAnsi="宋体"/>
          <w:b/>
          <w:color w:val="FF0000"/>
          <w:sz w:val="24"/>
        </w:rPr>
        <w:t>（信息不公开部分）</w:t>
      </w:r>
      <w:r>
        <w:rPr>
          <w:rFonts w:hint="eastAsia" w:ascii="宋体" w:hAnsi="宋体"/>
          <w:sz w:val="24"/>
        </w:rPr>
        <w:t>：主要包括以下内容：</w:t>
      </w:r>
    </w:p>
    <w:p w14:paraId="72DAE081">
      <w:pPr>
        <w:ind w:firstLine="2100" w:firstLineChars="1000"/>
        <w:rPr>
          <w:rFonts w:hint="eastAsia"/>
          <w:szCs w:val="21"/>
        </w:rPr>
      </w:pPr>
      <w:r>
        <w:rPr>
          <w:rFonts w:hint="eastAsia" w:eastAsia="宋体"/>
          <w:szCs w:val="21"/>
          <w:lang w:eastAsia="zh-CN"/>
        </w:rPr>
        <w:t>（</w:t>
      </w:r>
      <w:r>
        <w:rPr>
          <w:rFonts w:hint="eastAsia" w:ascii="Times New Roman" w:eastAsia="宋体"/>
          <w:szCs w:val="21"/>
          <w:lang w:val="en-US" w:eastAsia="zh-CN"/>
        </w:rPr>
        <w:t>1</w:t>
      </w:r>
      <w:r>
        <w:rPr>
          <w:rFonts w:hint="eastAsia" w:eastAsia="宋体"/>
          <w:szCs w:val="21"/>
          <w:lang w:eastAsia="zh-CN"/>
        </w:rPr>
        <w:t>）供应商基本情况表</w:t>
      </w:r>
    </w:p>
    <w:p w14:paraId="6F792AFC">
      <w:pPr>
        <w:ind w:firstLine="2100" w:firstLineChars="1000"/>
        <w:rPr>
          <w:szCs w:val="21"/>
        </w:rPr>
      </w:pPr>
      <w:r>
        <w:rPr>
          <w:rFonts w:hint="eastAsia"/>
          <w:szCs w:val="21"/>
        </w:rPr>
        <w:t>（</w:t>
      </w:r>
      <w:r>
        <w:rPr>
          <w:rFonts w:hint="eastAsia"/>
          <w:szCs w:val="21"/>
          <w:lang w:val="en-US" w:eastAsia="zh-CN"/>
        </w:rPr>
        <w:t>2</w:t>
      </w:r>
      <w:r>
        <w:rPr>
          <w:rFonts w:hint="eastAsia"/>
          <w:szCs w:val="21"/>
        </w:rPr>
        <w:t>）法定代表人（负责人）证明书</w:t>
      </w:r>
    </w:p>
    <w:p w14:paraId="289B5155">
      <w:pPr>
        <w:ind w:left="718" w:leftChars="342" w:firstLine="1417" w:firstLineChars="675"/>
        <w:rPr>
          <w:szCs w:val="21"/>
        </w:rPr>
      </w:pPr>
      <w:r>
        <w:rPr>
          <w:rFonts w:hint="eastAsia"/>
          <w:szCs w:val="21"/>
        </w:rPr>
        <w:t>（</w:t>
      </w:r>
      <w:r>
        <w:rPr>
          <w:rFonts w:hint="eastAsia"/>
          <w:szCs w:val="21"/>
          <w:lang w:val="en-US" w:eastAsia="zh-CN"/>
        </w:rPr>
        <w:t>3</w:t>
      </w:r>
      <w:r>
        <w:rPr>
          <w:rFonts w:hint="eastAsia"/>
          <w:szCs w:val="21"/>
        </w:rPr>
        <w:t>）投标文件签署授权委托书</w:t>
      </w:r>
    </w:p>
    <w:p w14:paraId="6F46DF21">
      <w:pPr>
        <w:ind w:left="718" w:leftChars="342" w:firstLine="1417" w:firstLineChars="675"/>
        <w:rPr>
          <w:szCs w:val="21"/>
        </w:rPr>
      </w:pPr>
      <w:r>
        <w:rPr>
          <w:rFonts w:hint="eastAsia"/>
          <w:szCs w:val="21"/>
        </w:rPr>
        <w:t>（</w:t>
      </w:r>
      <w:r>
        <w:rPr>
          <w:rFonts w:hint="eastAsia"/>
          <w:szCs w:val="21"/>
          <w:lang w:val="en-US" w:eastAsia="zh-CN"/>
        </w:rPr>
        <w:t>4</w:t>
      </w:r>
      <w:r>
        <w:rPr>
          <w:rFonts w:hint="eastAsia"/>
          <w:szCs w:val="21"/>
        </w:rPr>
        <w:t>）</w:t>
      </w:r>
      <w:r>
        <w:rPr>
          <w:szCs w:val="21"/>
        </w:rPr>
        <w:t>实质性条款响应情况表</w:t>
      </w:r>
    </w:p>
    <w:p w14:paraId="503F3783">
      <w:pPr>
        <w:ind w:left="718" w:leftChars="342" w:firstLine="1417" w:firstLineChars="675"/>
        <w:rPr>
          <w:rFonts w:hint="eastAsia"/>
          <w:szCs w:val="21"/>
          <w:highlight w:val="yellow"/>
        </w:rPr>
      </w:pPr>
      <w:r>
        <w:rPr>
          <w:rFonts w:hint="eastAsia"/>
          <w:szCs w:val="21"/>
          <w:highlight w:val="yellow"/>
        </w:rPr>
        <w:t>（</w:t>
      </w:r>
      <w:r>
        <w:rPr>
          <w:rFonts w:hint="eastAsia"/>
          <w:szCs w:val="21"/>
          <w:highlight w:val="yellow"/>
          <w:lang w:val="en-US" w:eastAsia="zh-CN"/>
        </w:rPr>
        <w:t>5</w:t>
      </w:r>
      <w:r>
        <w:rPr>
          <w:rFonts w:hint="eastAsia"/>
          <w:szCs w:val="21"/>
          <w:highlight w:val="yellow"/>
        </w:rPr>
        <w:t>）实施方案</w:t>
      </w:r>
    </w:p>
    <w:p w14:paraId="11E84FE6">
      <w:pPr>
        <w:ind w:left="718" w:leftChars="342" w:firstLine="1417" w:firstLineChars="675"/>
        <w:rPr>
          <w:rFonts w:hint="eastAsia"/>
          <w:szCs w:val="21"/>
          <w:highlight w:val="yellow"/>
        </w:rPr>
      </w:pPr>
      <w:r>
        <w:rPr>
          <w:rFonts w:hint="eastAsia"/>
          <w:szCs w:val="21"/>
          <w:highlight w:val="yellow"/>
        </w:rPr>
        <w:t>（</w:t>
      </w:r>
      <w:r>
        <w:rPr>
          <w:rFonts w:hint="eastAsia"/>
          <w:szCs w:val="21"/>
          <w:highlight w:val="yellow"/>
          <w:lang w:val="en-US" w:eastAsia="zh-CN"/>
        </w:rPr>
        <w:t>6</w:t>
      </w:r>
      <w:r>
        <w:rPr>
          <w:rFonts w:hint="eastAsia"/>
          <w:szCs w:val="21"/>
          <w:highlight w:val="yellow"/>
        </w:rPr>
        <w:t>）项目重点难点分析、应对措施及相关的合理化建议</w:t>
      </w:r>
    </w:p>
    <w:p w14:paraId="2F51FF32">
      <w:pPr>
        <w:ind w:left="718" w:leftChars="342" w:firstLine="1417" w:firstLineChars="675"/>
        <w:rPr>
          <w:rFonts w:hint="eastAsia"/>
          <w:szCs w:val="21"/>
          <w:highlight w:val="yellow"/>
        </w:rPr>
      </w:pPr>
      <w:r>
        <w:rPr>
          <w:rFonts w:hint="eastAsia"/>
          <w:szCs w:val="21"/>
          <w:highlight w:val="yellow"/>
        </w:rPr>
        <w:t>（</w:t>
      </w:r>
      <w:r>
        <w:rPr>
          <w:rFonts w:hint="eastAsia"/>
          <w:szCs w:val="21"/>
          <w:highlight w:val="yellow"/>
          <w:lang w:val="en-US" w:eastAsia="zh-CN"/>
        </w:rPr>
        <w:t>7</w:t>
      </w:r>
      <w:r>
        <w:rPr>
          <w:rFonts w:hint="eastAsia"/>
          <w:szCs w:val="21"/>
          <w:highlight w:val="yellow"/>
        </w:rPr>
        <w:t>）质量（完成时间、安全、环保）保障措施及方案</w:t>
      </w:r>
    </w:p>
    <w:p w14:paraId="26885D55">
      <w:pPr>
        <w:ind w:left="718" w:leftChars="342" w:firstLine="1417" w:firstLineChars="675"/>
        <w:rPr>
          <w:rFonts w:hint="eastAsia"/>
          <w:szCs w:val="21"/>
          <w:highlight w:val="yellow"/>
        </w:rPr>
      </w:pPr>
      <w:r>
        <w:rPr>
          <w:rFonts w:hint="eastAsia"/>
          <w:szCs w:val="21"/>
          <w:highlight w:val="yellow"/>
        </w:rPr>
        <w:t>（</w:t>
      </w:r>
      <w:r>
        <w:rPr>
          <w:rFonts w:hint="eastAsia"/>
          <w:szCs w:val="21"/>
          <w:highlight w:val="yellow"/>
          <w:lang w:val="en-US" w:eastAsia="zh-CN"/>
        </w:rPr>
        <w:t>8</w:t>
      </w:r>
      <w:r>
        <w:rPr>
          <w:rFonts w:hint="eastAsia"/>
          <w:szCs w:val="21"/>
          <w:highlight w:val="yellow"/>
        </w:rPr>
        <w:t>）拟安排的项目负责人情况（仅限一人）</w:t>
      </w:r>
    </w:p>
    <w:p w14:paraId="5D18A541">
      <w:pPr>
        <w:ind w:left="718" w:leftChars="342" w:firstLine="1417" w:firstLineChars="675"/>
        <w:rPr>
          <w:rFonts w:hint="eastAsia"/>
          <w:szCs w:val="21"/>
          <w:highlight w:val="yellow"/>
        </w:rPr>
      </w:pPr>
      <w:r>
        <w:rPr>
          <w:rFonts w:hint="eastAsia"/>
          <w:szCs w:val="21"/>
          <w:highlight w:val="yellow"/>
        </w:rPr>
        <w:t>（</w:t>
      </w:r>
      <w:r>
        <w:rPr>
          <w:rFonts w:hint="eastAsia"/>
          <w:szCs w:val="21"/>
          <w:highlight w:val="yellow"/>
          <w:lang w:val="en-US" w:eastAsia="zh-CN"/>
        </w:rPr>
        <w:t>9</w:t>
      </w:r>
      <w:r>
        <w:rPr>
          <w:rFonts w:hint="eastAsia"/>
          <w:szCs w:val="21"/>
          <w:highlight w:val="yellow"/>
        </w:rPr>
        <w:t>）拟安排的项目主要团队成员（主要技术人员）情况（项目负责人除外）</w:t>
      </w:r>
    </w:p>
    <w:p w14:paraId="45649965">
      <w:pPr>
        <w:ind w:left="718" w:leftChars="342" w:firstLine="1417" w:firstLineChars="675"/>
        <w:rPr>
          <w:rFonts w:hint="eastAsia"/>
          <w:szCs w:val="21"/>
          <w:highlight w:val="yellow"/>
        </w:rPr>
      </w:pPr>
      <w:r>
        <w:rPr>
          <w:rFonts w:hint="eastAsia"/>
          <w:szCs w:val="21"/>
          <w:highlight w:val="yellow"/>
        </w:rPr>
        <w:t>（1</w:t>
      </w:r>
      <w:r>
        <w:rPr>
          <w:rFonts w:hint="eastAsia"/>
          <w:szCs w:val="21"/>
          <w:highlight w:val="yellow"/>
          <w:lang w:val="en-US" w:eastAsia="zh-CN"/>
        </w:rPr>
        <w:t>0</w:t>
      </w:r>
      <w:r>
        <w:rPr>
          <w:rFonts w:hint="eastAsia"/>
          <w:szCs w:val="21"/>
          <w:highlight w:val="yellow"/>
        </w:rPr>
        <w:t>）投标人认为需要加以说明的其他内容</w:t>
      </w:r>
    </w:p>
    <w:p w14:paraId="50B488C6">
      <w:pPr>
        <w:ind w:left="718" w:leftChars="342" w:firstLine="1417" w:firstLineChars="675"/>
        <w:rPr>
          <w:rFonts w:hint="eastAsia"/>
          <w:szCs w:val="21"/>
          <w:highlight w:val="yellow"/>
        </w:rPr>
      </w:pPr>
    </w:p>
    <w:p w14:paraId="370D4DB1">
      <w:pPr>
        <w:pStyle w:val="8"/>
      </w:pPr>
    </w:p>
    <w:p w14:paraId="66CBE4E9">
      <w:pPr>
        <w:pStyle w:val="7"/>
        <w:ind w:left="210" w:leftChars="100" w:firstLine="781" w:firstLineChars="372"/>
        <w:rPr>
          <w:rFonts w:ascii="宋体" w:hAnsi="宋体"/>
          <w:szCs w:val="21"/>
        </w:rPr>
      </w:pPr>
    </w:p>
    <w:p w14:paraId="72EA8642">
      <w:pPr>
        <w:rPr>
          <w:rFonts w:ascii="仿宋_GB2312" w:eastAsia="仿宋_GB2312"/>
          <w:sz w:val="24"/>
        </w:rPr>
      </w:pPr>
    </w:p>
    <w:p w14:paraId="7B3EA11D">
      <w:pPr>
        <w:ind w:firstLine="426" w:firstLineChars="202"/>
        <w:rPr>
          <w:rFonts w:ascii="宋体" w:hAnsi="宋体"/>
          <w:b/>
          <w:szCs w:val="21"/>
        </w:rPr>
      </w:pPr>
      <w:r>
        <w:rPr>
          <w:rFonts w:hint="eastAsia" w:ascii="宋体" w:hAnsi="宋体"/>
          <w:b/>
          <w:szCs w:val="21"/>
        </w:rPr>
        <w:t>备注：</w:t>
      </w:r>
    </w:p>
    <w:p w14:paraId="6B07172B">
      <w:pPr>
        <w:ind w:firstLine="426" w:firstLineChars="202"/>
        <w:rPr>
          <w:rFonts w:ascii="宋体" w:hAnsi="宋体"/>
          <w:b/>
          <w:szCs w:val="21"/>
        </w:rPr>
      </w:pPr>
      <w:r>
        <w:rPr>
          <w:rFonts w:hint="eastAsia" w:ascii="宋体" w:hAnsi="宋体"/>
          <w:b/>
          <w:szCs w:val="21"/>
        </w:rPr>
        <w:t>1.本项目为网上电子投标项目，投标文件不需法人或授权委托人另行签字，无需加盖单位公章，招标文件另有规定的除外。</w:t>
      </w:r>
    </w:p>
    <w:p w14:paraId="77860914">
      <w:pPr>
        <w:ind w:firstLine="426" w:firstLineChars="202"/>
        <w:rPr>
          <w:rFonts w:ascii="宋体" w:hAnsi="宋体"/>
          <w:b/>
          <w:szCs w:val="21"/>
        </w:rPr>
      </w:pPr>
      <w:r>
        <w:rPr>
          <w:rFonts w:hint="eastAsia" w:ascii="宋体" w:hAnsi="宋体"/>
          <w:b/>
          <w:szCs w:val="21"/>
        </w:rPr>
        <w:t>2.关于填写“开标一览表”的说明：“开标一览表”中除“投标总价”外，其他信息不作评审依据。</w:t>
      </w:r>
    </w:p>
    <w:p w14:paraId="26E518E3">
      <w:pPr>
        <w:rPr>
          <w:rFonts w:ascii="仿宋_GB2312" w:eastAsia="仿宋_GB2312"/>
          <w:sz w:val="24"/>
        </w:rPr>
      </w:pPr>
    </w:p>
    <w:p w14:paraId="18148890">
      <w:pPr>
        <w:outlineLvl w:val="1"/>
        <w:rPr>
          <w:rFonts w:ascii="宋体" w:hAnsi="宋体"/>
          <w:b/>
          <w:color w:val="FF0000"/>
          <w:sz w:val="28"/>
          <w:szCs w:val="28"/>
        </w:rPr>
      </w:pPr>
      <w:r>
        <w:rPr>
          <w:rFonts w:hint="eastAsia" w:ascii="宋体" w:hAnsi="宋体"/>
          <w:b/>
          <w:color w:val="FF0000"/>
          <w:sz w:val="28"/>
          <w:szCs w:val="28"/>
        </w:rPr>
        <w:t>投标文件正文（信息公开部分）</w:t>
      </w:r>
    </w:p>
    <w:p w14:paraId="2A449505">
      <w:pPr>
        <w:pStyle w:val="3"/>
        <w:jc w:val="center"/>
        <w:rPr>
          <w:rFonts w:ascii="黑体" w:eastAsia="黑体"/>
          <w:b w:val="0"/>
          <w:kern w:val="0"/>
          <w:sz w:val="24"/>
        </w:rPr>
      </w:pPr>
      <w:r>
        <w:rPr>
          <w:rFonts w:hint="eastAsia" w:ascii="黑体" w:eastAsia="黑体"/>
          <w:b w:val="0"/>
          <w:kern w:val="0"/>
          <w:sz w:val="24"/>
        </w:rPr>
        <w:t>一、投标函</w:t>
      </w:r>
    </w:p>
    <w:p w14:paraId="436464D7">
      <w:pPr>
        <w:spacing w:line="360" w:lineRule="auto"/>
        <w:rPr>
          <w:rFonts w:ascii="宋体" w:hAnsi="宋体"/>
          <w:szCs w:val="21"/>
        </w:rPr>
      </w:pPr>
      <w:r>
        <w:rPr>
          <w:rFonts w:hint="eastAsia" w:ascii="宋体" w:hAnsi="宋体"/>
          <w:szCs w:val="21"/>
        </w:rPr>
        <w:t>致：</w:t>
      </w:r>
      <w:r>
        <w:rPr>
          <w:rFonts w:hint="eastAsia" w:ascii="宋体" w:hAnsi="宋体"/>
          <w:szCs w:val="21"/>
          <w:u w:val="single"/>
        </w:rPr>
        <w:t xml:space="preserve">  </w:t>
      </w:r>
      <w:r>
        <w:rPr>
          <w:rFonts w:hint="eastAsia" w:ascii="宋体" w:hAnsi="宋体"/>
          <w:color w:val="FF0000"/>
          <w:szCs w:val="21"/>
          <w:u w:val="single"/>
        </w:rPr>
        <w:t>深圳公共资源交易中心</w:t>
      </w:r>
      <w:r>
        <w:rPr>
          <w:rFonts w:hint="eastAsia" w:ascii="宋体" w:hAnsi="宋体"/>
          <w:szCs w:val="21"/>
          <w:u w:val="single"/>
        </w:rPr>
        <w:t xml:space="preserve">  </w:t>
      </w:r>
    </w:p>
    <w:p w14:paraId="7A313F87">
      <w:pPr>
        <w:ind w:firstLine="420" w:firstLineChars="200"/>
        <w:rPr>
          <w:rFonts w:ascii="宋体" w:hAnsi="宋体"/>
          <w:szCs w:val="21"/>
        </w:rPr>
      </w:pPr>
      <w:bookmarkStart w:id="40" w:name="_Hlk73818812"/>
      <w:r>
        <w:rPr>
          <w:rFonts w:hint="eastAsia"/>
          <w:szCs w:val="21"/>
        </w:rPr>
        <w:t>1</w:t>
      </w:r>
      <w:r>
        <w:rPr>
          <w:rFonts w:hint="eastAsia"/>
          <w:szCs w:val="21"/>
          <w:lang w:val="en-US" w:eastAsia="zh-CN"/>
        </w:rPr>
        <w:t>.</w:t>
      </w:r>
      <w:r>
        <w:rPr>
          <w:rFonts w:hint="eastAsia"/>
          <w:szCs w:val="21"/>
        </w:rPr>
        <w:t>根据已收到贵单位的项目编号为</w:t>
      </w:r>
      <w:r>
        <w:rPr>
          <w:rFonts w:hint="eastAsia"/>
          <w:szCs w:val="21"/>
          <w:u w:val="thick"/>
        </w:rPr>
        <w:t xml:space="preserve">        </w:t>
      </w:r>
      <w:r>
        <w:rPr>
          <w:rFonts w:hint="eastAsia"/>
          <w:szCs w:val="21"/>
        </w:rPr>
        <w:t>的</w:t>
      </w:r>
      <w:r>
        <w:rPr>
          <w:rFonts w:hint="eastAsia"/>
          <w:szCs w:val="21"/>
          <w:u w:val="thick"/>
        </w:rPr>
        <w:t xml:space="preserve">    </w:t>
      </w:r>
      <w:r>
        <w:rPr>
          <w:rFonts w:hint="eastAsia" w:eastAsia="宋体"/>
          <w:szCs w:val="21"/>
          <w:u w:val="thick"/>
          <w:lang w:eastAsia="zh-CN"/>
        </w:rPr>
        <w:t>（</w:t>
      </w:r>
      <w:r>
        <w:rPr>
          <w:rFonts w:hint="eastAsia"/>
          <w:szCs w:val="21"/>
          <w:u w:val="thick"/>
        </w:rPr>
        <w:t>项目</w:t>
      </w:r>
      <w:r>
        <w:rPr>
          <w:rFonts w:hint="eastAsia" w:ascii="Times New Roman" w:eastAsia="宋体"/>
          <w:szCs w:val="21"/>
          <w:u w:val="thick"/>
          <w:lang w:val="en-US" w:eastAsia="zh-CN"/>
        </w:rPr>
        <w:t>名称</w:t>
      </w:r>
      <w:r>
        <w:rPr>
          <w:rFonts w:hint="eastAsia" w:eastAsia="宋体"/>
          <w:szCs w:val="21"/>
          <w:u w:val="thick"/>
          <w:lang w:eastAsia="zh-CN"/>
        </w:rPr>
        <w:t>）</w:t>
      </w:r>
      <w:r>
        <w:rPr>
          <w:rFonts w:hint="eastAsia"/>
          <w:szCs w:val="21"/>
          <w:u w:val="thick"/>
        </w:rPr>
        <w:t xml:space="preserve">       </w:t>
      </w:r>
      <w:r>
        <w:rPr>
          <w:rFonts w:hint="eastAsia"/>
          <w:szCs w:val="21"/>
        </w:rPr>
        <w:t>项目的招标文件，遵照《深圳经济特区政府采购条例》和《深圳网上政府采购管理暂行办法》等有关规定，我单位经研究上述招标文件的专用条款及通用条款后，</w:t>
      </w:r>
      <w:bookmarkStart w:id="41" w:name="_Hlk72263588"/>
      <w:r>
        <w:rPr>
          <w:rFonts w:hint="eastAsia"/>
          <w:szCs w:val="21"/>
        </w:rPr>
        <w:t>愿意按照招标文件要求承包上述项目并修补其任何缺陷。</w:t>
      </w:r>
      <w:bookmarkEnd w:id="41"/>
    </w:p>
    <w:p w14:paraId="5CEC4FE6">
      <w:pPr>
        <w:ind w:firstLine="420" w:firstLineChars="200"/>
        <w:rPr>
          <w:rFonts w:ascii="宋体" w:hAnsi="宋体"/>
          <w:szCs w:val="21"/>
        </w:rPr>
      </w:pPr>
      <w:r>
        <w:rPr>
          <w:rFonts w:ascii="宋体" w:hAnsi="宋体"/>
          <w:szCs w:val="21"/>
        </w:rPr>
        <w:t>2</w:t>
      </w:r>
      <w:r>
        <w:rPr>
          <w:rFonts w:hint="eastAsia" w:ascii="宋体" w:hAnsi="宋体"/>
          <w:szCs w:val="21"/>
          <w:lang w:val="en-US" w:eastAsia="zh-CN"/>
        </w:rPr>
        <w:t>.</w:t>
      </w:r>
      <w:r>
        <w:rPr>
          <w:rFonts w:hint="eastAsia" w:ascii="宋体" w:hAnsi="宋体"/>
          <w:szCs w:val="21"/>
        </w:rPr>
        <w:t>投标价格见</w:t>
      </w:r>
      <w:r>
        <w:rPr>
          <w:rFonts w:hint="eastAsia"/>
          <w:szCs w:val="21"/>
        </w:rPr>
        <w:t>投标书编制软件中《开标一览表》中填写的投标总价。</w:t>
      </w:r>
    </w:p>
    <w:p w14:paraId="6D27EFDC">
      <w:pPr>
        <w:ind w:firstLine="420" w:firstLineChars="200"/>
        <w:rPr>
          <w:rFonts w:ascii="宋体" w:hAnsi="宋体"/>
          <w:szCs w:val="21"/>
        </w:rPr>
      </w:pPr>
      <w:r>
        <w:rPr>
          <w:rFonts w:hint="eastAsia" w:ascii="宋体" w:hAnsi="宋体"/>
          <w:szCs w:val="21"/>
        </w:rPr>
        <w:t>3</w:t>
      </w:r>
      <w:r>
        <w:rPr>
          <w:rFonts w:hint="eastAsia" w:ascii="宋体" w:hAnsi="宋体"/>
          <w:szCs w:val="21"/>
          <w:lang w:val="en-US" w:eastAsia="zh-CN"/>
        </w:rPr>
        <w:t>.</w:t>
      </w:r>
      <w:r>
        <w:rPr>
          <w:rFonts w:hint="eastAsia" w:ascii="宋体" w:hAnsi="宋体"/>
          <w:szCs w:val="21"/>
        </w:rPr>
        <w:t>如果我单位中标，我单位将按照招标文件的要求足额提交履约担保。</w:t>
      </w:r>
    </w:p>
    <w:p w14:paraId="3E5718D5">
      <w:pPr>
        <w:ind w:firstLine="420" w:firstLineChars="200"/>
        <w:rPr>
          <w:rFonts w:ascii="宋体" w:hAnsi="宋体"/>
          <w:szCs w:val="21"/>
        </w:rPr>
      </w:pPr>
      <w:r>
        <w:rPr>
          <w:rFonts w:hint="eastAsia" w:ascii="宋体" w:hAnsi="宋体"/>
          <w:szCs w:val="21"/>
        </w:rPr>
        <w:t>4</w:t>
      </w:r>
      <w:r>
        <w:rPr>
          <w:rFonts w:hint="eastAsia" w:ascii="宋体" w:hAnsi="宋体"/>
          <w:szCs w:val="21"/>
          <w:lang w:val="en-US" w:eastAsia="zh-CN"/>
        </w:rPr>
        <w:t>.</w:t>
      </w:r>
      <w:r>
        <w:rPr>
          <w:rFonts w:hint="eastAsia" w:ascii="宋体" w:hAnsi="宋体"/>
          <w:szCs w:val="21"/>
        </w:rPr>
        <w:t>我单位同意所递交的投标文件在“对通用条款的补充内容”中明确的投标有效期内有效，在此期间内我单位的投标有可能中标，我方将受此约束。</w:t>
      </w:r>
    </w:p>
    <w:p w14:paraId="0A5AB0F8">
      <w:pPr>
        <w:ind w:firstLine="420" w:firstLineChars="200"/>
        <w:rPr>
          <w:rFonts w:ascii="宋体" w:hAnsi="宋体"/>
          <w:szCs w:val="21"/>
        </w:rPr>
      </w:pPr>
      <w:r>
        <w:rPr>
          <w:rFonts w:hint="eastAsia" w:ascii="宋体" w:hAnsi="宋体"/>
          <w:szCs w:val="21"/>
        </w:rPr>
        <w:t>5</w:t>
      </w:r>
      <w:r>
        <w:rPr>
          <w:rFonts w:hint="eastAsia" w:ascii="宋体" w:hAnsi="宋体"/>
          <w:szCs w:val="21"/>
          <w:lang w:val="en-US" w:eastAsia="zh-CN"/>
        </w:rPr>
        <w:t>.</w:t>
      </w:r>
      <w:r>
        <w:rPr>
          <w:rFonts w:hint="eastAsia" w:ascii="宋体" w:hAnsi="宋体"/>
          <w:szCs w:val="21"/>
        </w:rPr>
        <w:t>除非另外达成协议并生效，贵单位的中标通知书和本投标文件将构成合同的重要内容。</w:t>
      </w:r>
    </w:p>
    <w:p w14:paraId="6D578636">
      <w:pPr>
        <w:ind w:left="420" w:leftChars="200"/>
        <w:rPr>
          <w:rFonts w:hint="eastAsia" w:ascii="宋体" w:hAnsi="宋体"/>
          <w:szCs w:val="21"/>
        </w:rPr>
      </w:pPr>
      <w:r>
        <w:rPr>
          <w:rFonts w:hint="eastAsia" w:ascii="宋体" w:hAnsi="宋体"/>
          <w:szCs w:val="21"/>
        </w:rPr>
        <w:t>6</w:t>
      </w:r>
      <w:r>
        <w:rPr>
          <w:rFonts w:hint="eastAsia" w:ascii="宋体" w:hAnsi="宋体"/>
          <w:szCs w:val="21"/>
          <w:lang w:val="en-US" w:eastAsia="zh-CN"/>
        </w:rPr>
        <w:t>.</w:t>
      </w:r>
      <w:r>
        <w:rPr>
          <w:rFonts w:hint="eastAsia" w:ascii="宋体" w:hAnsi="宋体"/>
          <w:szCs w:val="21"/>
        </w:rPr>
        <w:t>我单位理解贵单位将不受必须接受所收到的最低报价或其它任何投标文件的约束。</w:t>
      </w:r>
      <w:bookmarkEnd w:id="40"/>
    </w:p>
    <w:p w14:paraId="00B9E384">
      <w:pPr>
        <w:ind w:left="420" w:leftChars="200"/>
        <w:rPr>
          <w:rFonts w:ascii="宋体" w:hAnsi="宋体"/>
          <w:b/>
          <w:szCs w:val="21"/>
        </w:rPr>
      </w:pPr>
      <w:r>
        <w:rPr>
          <w:rFonts w:hint="eastAsia" w:ascii="宋体" w:hAnsi="宋体"/>
          <w:b/>
          <w:szCs w:val="21"/>
        </w:rPr>
        <w:t>7</w:t>
      </w:r>
      <w:r>
        <w:rPr>
          <w:rFonts w:hint="eastAsia" w:ascii="宋体" w:hAnsi="宋体"/>
          <w:b/>
          <w:szCs w:val="21"/>
          <w:lang w:val="en-US" w:eastAsia="zh-CN"/>
        </w:rPr>
        <w:t>.</w:t>
      </w:r>
      <w:r>
        <w:rPr>
          <w:rFonts w:ascii="宋体" w:hAnsi="宋体"/>
          <w:b/>
          <w:szCs w:val="21"/>
        </w:rPr>
        <w:t>如我单位提交样品，且未在规定时间内取回样品的，视同放弃取回，同意深圳公共资源交易中心对我单位提交的样品进行清理。</w:t>
      </w:r>
    </w:p>
    <w:p w14:paraId="68F751E5">
      <w:pPr>
        <w:ind w:left="420" w:leftChars="200" w:firstLine="210" w:firstLineChars="100"/>
        <w:rPr>
          <w:rFonts w:hint="eastAsia"/>
          <w:szCs w:val="21"/>
          <w:u w:val="none"/>
          <w:lang w:eastAsia="zh-CN"/>
        </w:rPr>
      </w:pPr>
      <w:r>
        <w:rPr>
          <w:rFonts w:hint="eastAsia"/>
          <w:szCs w:val="21"/>
        </w:rPr>
        <w:t>投标人：</w:t>
      </w:r>
      <w:r>
        <w:rPr>
          <w:rFonts w:hint="eastAsia"/>
          <w:szCs w:val="21"/>
          <w:u w:val="thick"/>
        </w:rPr>
        <w:t xml:space="preserve">       </w:t>
      </w:r>
      <w:r>
        <w:rPr>
          <w:rFonts w:hint="eastAsia" w:eastAsia="宋体"/>
          <w:szCs w:val="21"/>
          <w:lang w:eastAsia="zh-CN"/>
        </w:rPr>
        <w:t>；</w:t>
      </w:r>
      <w:r>
        <w:rPr>
          <w:rFonts w:hint="eastAsia"/>
          <w:szCs w:val="21"/>
        </w:rPr>
        <w:t xml:space="preserve">  单位地址：</w:t>
      </w:r>
      <w:r>
        <w:rPr>
          <w:rFonts w:hint="eastAsia"/>
          <w:szCs w:val="21"/>
          <w:u w:val="thick"/>
        </w:rPr>
        <w:t xml:space="preserve">       </w:t>
      </w:r>
      <w:r>
        <w:rPr>
          <w:rFonts w:hint="eastAsia" w:ascii="Times New Roman" w:eastAsia="宋体"/>
          <w:szCs w:val="21"/>
          <w:u w:val="thick"/>
          <w:lang w:val="en-US" w:eastAsia="zh-CN"/>
        </w:rPr>
        <w:t xml:space="preserve">          </w:t>
      </w:r>
      <w:r>
        <w:rPr>
          <w:rFonts w:hint="eastAsia"/>
          <w:szCs w:val="21"/>
          <w:u w:val="thick"/>
          <w:lang w:val="en-US" w:eastAsia="zh-CN"/>
        </w:rPr>
        <w:t xml:space="preserve"> </w:t>
      </w:r>
      <w:r>
        <w:rPr>
          <w:rFonts w:hint="eastAsia" w:ascii="Times New Roman" w:eastAsia="宋体"/>
          <w:szCs w:val="21"/>
          <w:u w:val="thick"/>
          <w:lang w:val="en-US" w:eastAsia="zh-CN"/>
        </w:rPr>
        <w:t xml:space="preserve">  </w:t>
      </w:r>
      <w:r>
        <w:rPr>
          <w:rFonts w:hint="eastAsia" w:eastAsia="宋体"/>
          <w:szCs w:val="21"/>
          <w:u w:val="none"/>
          <w:lang w:eastAsia="zh-CN"/>
        </w:rPr>
        <w:t>；</w:t>
      </w:r>
    </w:p>
    <w:p w14:paraId="7D2C02CF">
      <w:pPr>
        <w:ind w:left="420" w:leftChars="200" w:firstLine="210" w:firstLineChars="100"/>
        <w:rPr>
          <w:rFonts w:hint="eastAsia"/>
          <w:szCs w:val="21"/>
          <w:u w:val="none"/>
          <w:lang w:eastAsia="zh-CN"/>
        </w:rPr>
      </w:pPr>
      <w:r>
        <w:rPr>
          <w:rFonts w:hint="eastAsia"/>
          <w:szCs w:val="21"/>
        </w:rPr>
        <w:t>法定代表人（负责人）或其</w:t>
      </w:r>
      <w:r>
        <w:rPr>
          <w:rFonts w:hint="eastAsia" w:ascii="Times New Roman" w:eastAsia="宋体"/>
          <w:szCs w:val="21"/>
          <w:lang w:val="en-US" w:eastAsia="zh-CN"/>
        </w:rPr>
        <w:t>授权</w:t>
      </w:r>
      <w:r>
        <w:rPr>
          <w:rFonts w:hint="eastAsia"/>
          <w:szCs w:val="21"/>
        </w:rPr>
        <w:t>委托代理人：</w:t>
      </w:r>
      <w:r>
        <w:rPr>
          <w:rFonts w:hint="eastAsia"/>
          <w:szCs w:val="21"/>
          <w:u w:val="thick"/>
        </w:rPr>
        <w:t xml:space="preserve">         </w:t>
      </w:r>
      <w:r>
        <w:rPr>
          <w:rFonts w:hint="eastAsia" w:eastAsia="宋体"/>
          <w:szCs w:val="21"/>
          <w:u w:val="none"/>
          <w:lang w:eastAsia="zh-CN"/>
        </w:rPr>
        <w:t>；</w:t>
      </w:r>
    </w:p>
    <w:p w14:paraId="6DDE3B68">
      <w:pPr>
        <w:ind w:left="420" w:leftChars="200" w:firstLine="210" w:firstLineChars="100"/>
        <w:rPr>
          <w:rFonts w:hint="eastAsia"/>
          <w:szCs w:val="21"/>
          <w:u w:val="none"/>
        </w:rPr>
      </w:pPr>
      <w:r>
        <w:rPr>
          <w:rFonts w:hint="eastAsia"/>
          <w:szCs w:val="21"/>
        </w:rPr>
        <w:t>电话</w:t>
      </w:r>
      <w:r>
        <w:rPr>
          <w:rFonts w:hint="eastAsia"/>
          <w:szCs w:val="21"/>
          <w:u w:val="none"/>
        </w:rPr>
        <w:t>：</w:t>
      </w:r>
      <w:r>
        <w:rPr>
          <w:rFonts w:hint="eastAsia"/>
          <w:szCs w:val="21"/>
          <w:u w:val="thick"/>
        </w:rPr>
        <w:t xml:space="preserve">         </w:t>
      </w:r>
      <w:r>
        <w:rPr>
          <w:rFonts w:hint="eastAsia"/>
          <w:szCs w:val="21"/>
        </w:rPr>
        <w:t xml:space="preserve"> </w:t>
      </w:r>
      <w:r>
        <w:rPr>
          <w:rFonts w:hint="eastAsia" w:eastAsia="宋体"/>
          <w:szCs w:val="21"/>
          <w:u w:val="none"/>
          <w:lang w:eastAsia="zh-CN"/>
        </w:rPr>
        <w:t>；</w:t>
      </w:r>
      <w:r>
        <w:rPr>
          <w:rFonts w:hint="eastAsia"/>
          <w:szCs w:val="21"/>
          <w:u w:val="none"/>
        </w:rPr>
        <w:t xml:space="preserve">     </w:t>
      </w:r>
    </w:p>
    <w:p w14:paraId="1B3F9D02">
      <w:pPr>
        <w:ind w:left="420" w:leftChars="200" w:firstLine="210" w:firstLineChars="100"/>
        <w:rPr>
          <w:sz w:val="24"/>
        </w:rPr>
      </w:pPr>
      <w:r>
        <w:rPr>
          <w:rFonts w:hint="eastAsia" w:ascii="宋体" w:hAnsi="宋体"/>
          <w:szCs w:val="21"/>
        </w:rPr>
        <w:t>日期：</w:t>
      </w:r>
      <w:r>
        <w:rPr>
          <w:rFonts w:hint="eastAsia" w:ascii="宋体" w:hAnsi="宋体"/>
          <w:szCs w:val="21"/>
          <w:u w:val="thick"/>
        </w:rPr>
        <w:t xml:space="preserve">       </w:t>
      </w:r>
      <w:r>
        <w:rPr>
          <w:rFonts w:hint="eastAsia" w:ascii="宋体" w:hAnsi="宋体"/>
          <w:szCs w:val="21"/>
        </w:rPr>
        <w:t>年</w:t>
      </w:r>
      <w:r>
        <w:rPr>
          <w:rFonts w:hint="eastAsia" w:ascii="宋体" w:hAnsi="宋体"/>
          <w:szCs w:val="21"/>
          <w:u w:val="thick"/>
        </w:rPr>
        <w:t xml:space="preserve">     </w:t>
      </w:r>
      <w:r>
        <w:rPr>
          <w:rFonts w:hint="eastAsia" w:ascii="宋体" w:hAnsi="宋体"/>
          <w:szCs w:val="21"/>
        </w:rPr>
        <w:t>月</w:t>
      </w:r>
      <w:r>
        <w:rPr>
          <w:rFonts w:hint="eastAsia" w:ascii="宋体" w:hAnsi="宋体"/>
          <w:szCs w:val="21"/>
          <w:u w:val="thick"/>
        </w:rPr>
        <w:t xml:space="preserve">    </w:t>
      </w:r>
      <w:r>
        <w:rPr>
          <w:rFonts w:hint="eastAsia" w:ascii="宋体" w:hAnsi="宋体"/>
          <w:szCs w:val="21"/>
        </w:rPr>
        <w:t>日</w:t>
      </w:r>
      <w:r>
        <w:rPr>
          <w:rFonts w:hint="eastAsia"/>
          <w:sz w:val="24"/>
        </w:rPr>
        <w:t xml:space="preserve">                                </w:t>
      </w:r>
    </w:p>
    <w:p w14:paraId="6717DF9E">
      <w:pPr>
        <w:ind w:left="420" w:leftChars="200"/>
        <w:rPr>
          <w:sz w:val="24"/>
        </w:rPr>
      </w:pPr>
      <w:r>
        <w:rPr>
          <w:rFonts w:hint="eastAsia"/>
          <w:sz w:val="24"/>
        </w:rPr>
        <w:t xml:space="preserve">                       </w:t>
      </w:r>
    </w:p>
    <w:p w14:paraId="5BCE53A0">
      <w:pPr>
        <w:rPr>
          <w:rFonts w:ascii="黑体" w:hAnsi="宋体" w:eastAsia="黑体"/>
        </w:rPr>
      </w:pPr>
    </w:p>
    <w:p w14:paraId="76DEEB65">
      <w:pPr>
        <w:rPr>
          <w:rFonts w:ascii="宋体" w:hAnsi="宋体"/>
          <w:szCs w:val="21"/>
        </w:rPr>
      </w:pPr>
    </w:p>
    <w:p w14:paraId="73D1A85B">
      <w:pPr>
        <w:pStyle w:val="3"/>
        <w:jc w:val="center"/>
        <w:rPr>
          <w:rFonts w:ascii="黑体" w:eastAsia="黑体"/>
          <w:b w:val="0"/>
          <w:kern w:val="0"/>
          <w:sz w:val="24"/>
        </w:rPr>
      </w:pPr>
      <w:r>
        <w:rPr>
          <w:rFonts w:hint="eastAsia" w:ascii="黑体" w:eastAsia="黑体"/>
          <w:b w:val="0"/>
          <w:kern w:val="0"/>
          <w:sz w:val="24"/>
        </w:rPr>
        <w:t>二、政府采购投标及履约承诺函</w:t>
      </w:r>
    </w:p>
    <w:p w14:paraId="3711BF19">
      <w:pPr>
        <w:rPr>
          <w:rFonts w:ascii="宋体" w:hAnsi="宋体"/>
          <w:sz w:val="24"/>
        </w:rPr>
      </w:pPr>
    </w:p>
    <w:p w14:paraId="26C6E528">
      <w:pPr>
        <w:rPr>
          <w:rFonts w:ascii="宋体" w:hAnsi="宋体"/>
          <w:color w:val="FF0000"/>
          <w:szCs w:val="21"/>
        </w:rPr>
      </w:pPr>
      <w:r>
        <w:rPr>
          <w:rFonts w:hint="eastAsia" w:ascii="宋体" w:hAnsi="宋体"/>
          <w:color w:val="FF0000"/>
          <w:szCs w:val="21"/>
        </w:rPr>
        <w:t>致：</w:t>
      </w:r>
      <w:r>
        <w:rPr>
          <w:rFonts w:hint="eastAsia" w:ascii="宋体" w:hAnsi="宋体"/>
          <w:color w:val="FF0000"/>
          <w:szCs w:val="21"/>
          <w:u w:val="single"/>
        </w:rPr>
        <w:t>深圳公共资源交易中心</w:t>
      </w:r>
    </w:p>
    <w:p w14:paraId="098D461E">
      <w:pPr>
        <w:ind w:right="-815" w:firstLine="420" w:firstLineChars="200"/>
        <w:rPr>
          <w:rFonts w:ascii="宋体" w:hAnsi="宋体"/>
          <w:szCs w:val="21"/>
        </w:rPr>
      </w:pPr>
      <w:r>
        <w:rPr>
          <w:rFonts w:hint="eastAsia" w:ascii="宋体" w:hAnsi="宋体"/>
          <w:szCs w:val="21"/>
        </w:rPr>
        <w:t>我单位承诺：</w:t>
      </w:r>
    </w:p>
    <w:p w14:paraId="0A1B0400">
      <w:pPr>
        <w:ind w:firstLine="420" w:firstLineChars="200"/>
        <w:rPr>
          <w:rFonts w:ascii="宋体" w:hAnsi="宋体"/>
          <w:szCs w:val="21"/>
        </w:rPr>
      </w:pPr>
      <w:r>
        <w:rPr>
          <w:rFonts w:hint="eastAsia" w:ascii="宋体" w:hAnsi="宋体"/>
          <w:szCs w:val="21"/>
        </w:rPr>
        <w:t>1.我单位参与本项目</w:t>
      </w:r>
      <w:r>
        <w:rPr>
          <w:rFonts w:hint="eastAsia" w:ascii="宋体" w:hAnsi="宋体"/>
        </w:rPr>
        <w:t>所投标（响应）的货物、工程或服务，不存在侵犯知识产权的情况。</w:t>
      </w:r>
    </w:p>
    <w:p w14:paraId="1F2A0B67">
      <w:pPr>
        <w:ind w:firstLine="420" w:firstLineChars="200"/>
        <w:rPr>
          <w:rFonts w:ascii="宋体" w:hAnsi="宋体"/>
          <w:szCs w:val="21"/>
        </w:rPr>
      </w:pPr>
      <w:r>
        <w:rPr>
          <w:rFonts w:hint="eastAsia" w:ascii="宋体" w:hAnsi="宋体"/>
          <w:szCs w:val="21"/>
        </w:rPr>
        <w:t>2.我单位参与本项目</w:t>
      </w:r>
      <w:r>
        <w:rPr>
          <w:rFonts w:hint="eastAsia"/>
        </w:rPr>
        <w:t>政府采购活动时不存在被有关部门禁止参与政府采购活动且在有效期内的情况。</w:t>
      </w:r>
    </w:p>
    <w:p w14:paraId="590D149E">
      <w:pPr>
        <w:ind w:firstLine="420" w:firstLineChars="200"/>
        <w:rPr>
          <w:rFonts w:ascii="宋体" w:hAnsi="宋体"/>
          <w:szCs w:val="21"/>
        </w:rPr>
      </w:pPr>
      <w:r>
        <w:rPr>
          <w:rFonts w:hint="eastAsia" w:ascii="宋体" w:hAnsi="宋体"/>
          <w:szCs w:val="21"/>
        </w:rPr>
        <w:t>3.我单位具备《中华人民共和国政府采购法》第二十二条第一款规定的六项条件。</w:t>
      </w:r>
    </w:p>
    <w:p w14:paraId="3D9FAD63">
      <w:pPr>
        <w:ind w:firstLine="420" w:firstLineChars="200"/>
        <w:rPr>
          <w:rFonts w:hint="eastAsia"/>
          <w:lang w:eastAsia="zh-CN"/>
        </w:rPr>
      </w:pPr>
      <w:r>
        <w:rPr>
          <w:rFonts w:hint="eastAsia" w:ascii="宋体" w:hAnsi="宋体"/>
          <w:szCs w:val="21"/>
        </w:rPr>
        <w:t>4.我单位</w:t>
      </w:r>
      <w:r>
        <w:rPr>
          <w:rFonts w:hint="eastAsia"/>
        </w:rPr>
        <w:t>未被列入失信被执行人、重大税收违法案件当事人名单、政府采购严重违法失信行为记录名单</w:t>
      </w:r>
      <w:r>
        <w:rPr>
          <w:rFonts w:hint="eastAsia"/>
          <w:lang w:eastAsia="zh-CN"/>
        </w:rPr>
        <w:t>。</w:t>
      </w:r>
    </w:p>
    <w:p w14:paraId="6405706D">
      <w:pPr>
        <w:ind w:firstLine="420" w:firstLineChars="200"/>
        <w:rPr>
          <w:rFonts w:hint="eastAsia"/>
          <w:lang w:eastAsia="zh-CN"/>
        </w:rPr>
      </w:pPr>
      <w:r>
        <w:rPr>
          <w:rFonts w:hint="eastAsia" w:ascii="Times New Roman" w:eastAsia="宋体"/>
          <w:color w:val="FF0000"/>
          <w:lang w:val="en-US" w:eastAsia="zh-CN"/>
        </w:rPr>
        <w:t>5.我单位不存在《深圳市财政局政府采购供应商信用信息管理办法》（深财规〔2023〕3号）列明的严重违法失信行为。</w:t>
      </w:r>
    </w:p>
    <w:p w14:paraId="54D80127">
      <w:pPr>
        <w:ind w:firstLine="420" w:firstLineChars="200"/>
        <w:rPr>
          <w:rFonts w:ascii="宋体" w:hAnsi="宋体"/>
          <w:szCs w:val="21"/>
        </w:rPr>
      </w:pPr>
      <w:r>
        <w:rPr>
          <w:rFonts w:hint="eastAsia" w:ascii="宋体" w:hAnsi="宋体"/>
          <w:szCs w:val="21"/>
          <w:lang w:val="en-US" w:eastAsia="zh-CN"/>
        </w:rPr>
        <w:t>6</w:t>
      </w:r>
      <w:r>
        <w:rPr>
          <w:rFonts w:hint="eastAsia" w:ascii="宋体" w:hAnsi="宋体"/>
          <w:szCs w:val="21"/>
        </w:rPr>
        <w:t>.我单位参与该项目投标，严格遵守政府采购相关法律，不造假，不围标、串标、陪标。我单位已清楚，如违反上述要求，投标将作无效处理，被列入不良记录名单并在网上曝光，同时将被提请政府采购主管部门给予一定年限内禁止参与政府采购活动或其他处罚。</w:t>
      </w:r>
    </w:p>
    <w:p w14:paraId="702BBED0">
      <w:pPr>
        <w:ind w:firstLine="420" w:firstLineChars="200"/>
        <w:rPr>
          <w:rFonts w:ascii="宋体" w:hAnsi="宋体"/>
          <w:szCs w:val="21"/>
        </w:rPr>
      </w:pPr>
      <w:r>
        <w:rPr>
          <w:rFonts w:hint="eastAsia" w:ascii="宋体" w:hAnsi="宋体"/>
          <w:szCs w:val="21"/>
          <w:lang w:val="en-US" w:eastAsia="zh-CN"/>
        </w:rPr>
        <w:t>7</w:t>
      </w:r>
      <w:r>
        <w:rPr>
          <w:rFonts w:hint="eastAsia" w:ascii="宋体" w:hAnsi="宋体"/>
          <w:szCs w:val="21"/>
        </w:rPr>
        <w:t>.我单位如果中标，做到守信，不偷工减料，依照本项目招标文件需求内容、签署的采购合同及本单位在投标中所作的一切承诺履约。我单位对本项目的报价负责，中标后将严格按照本项目招标文件需求、签署的采购合同及我单位在投标中所作的全部承诺履行。</w:t>
      </w:r>
    </w:p>
    <w:p w14:paraId="05A91B2B">
      <w:pPr>
        <w:ind w:firstLine="420" w:firstLineChars="200"/>
        <w:rPr>
          <w:rFonts w:ascii="宋体" w:hAnsi="宋体"/>
          <w:szCs w:val="21"/>
        </w:rPr>
      </w:pPr>
      <w:r>
        <w:rPr>
          <w:rFonts w:hint="eastAsia" w:ascii="宋体" w:hAnsi="宋体"/>
          <w:szCs w:val="21"/>
        </w:rPr>
        <w:t>我单位清楚，若以“报价太低而无法履约”为理由放弃本项目中标资格时，愿意接受主管部门的处理处罚。若我单位中标本项目，我单位的报价明显低于其他投标人的报价时，我单位清楚，本项目将成为重点监管、重点验收项目，我单位将按时保质保量完成，并全力配合有关监管、验收工作；若我单位未按上述要求履约，我单位愿意接受主管部门的处理处罚。</w:t>
      </w:r>
    </w:p>
    <w:p w14:paraId="298C5D78">
      <w:pPr>
        <w:ind w:firstLine="420" w:firstLineChars="200"/>
        <w:rPr>
          <w:rFonts w:ascii="宋体" w:hAnsi="宋体"/>
          <w:szCs w:val="21"/>
        </w:rPr>
      </w:pPr>
      <w:r>
        <w:rPr>
          <w:rFonts w:hint="eastAsia" w:ascii="宋体" w:hAnsi="宋体"/>
          <w:szCs w:val="21"/>
          <w:lang w:val="en-US" w:eastAsia="zh-CN"/>
        </w:rPr>
        <w:t>8</w:t>
      </w:r>
      <w:r>
        <w:rPr>
          <w:rFonts w:hint="eastAsia" w:ascii="宋体" w:hAnsi="宋体"/>
          <w:szCs w:val="21"/>
        </w:rPr>
        <w:t>.我单位已认真核实了投标文件的全部内容，所有资料均为真实资料。我单位对投标文件中全部投标资料的真实性负责，如被证实我单位的投标文件中存在虚假资料的，则视为我单位隐瞒真实情况、提供虚假资料，我单位愿意接受主管部门作出的行政处罚。</w:t>
      </w:r>
    </w:p>
    <w:p w14:paraId="1E683B85">
      <w:pPr>
        <w:ind w:firstLine="420" w:firstLineChars="200"/>
        <w:rPr>
          <w:rFonts w:ascii="宋体" w:hAnsi="宋体"/>
          <w:szCs w:val="21"/>
        </w:rPr>
      </w:pPr>
      <w:r>
        <w:rPr>
          <w:rFonts w:hint="eastAsia" w:ascii="宋体" w:hAnsi="宋体"/>
          <w:szCs w:val="21"/>
          <w:lang w:val="en-US" w:eastAsia="zh-CN"/>
        </w:rPr>
        <w:t>9</w:t>
      </w:r>
      <w:r>
        <w:rPr>
          <w:rFonts w:hint="eastAsia" w:ascii="宋体" w:hAnsi="宋体"/>
          <w:szCs w:val="21"/>
        </w:rPr>
        <w:t>.我单位承诺中标后项目不转包，未经采购人同意不进行分包。</w:t>
      </w:r>
    </w:p>
    <w:p w14:paraId="647F3DE8">
      <w:pPr>
        <w:ind w:firstLine="420" w:firstLineChars="200"/>
        <w:rPr>
          <w:rFonts w:ascii="宋体" w:hAnsi="宋体"/>
        </w:rPr>
      </w:pPr>
      <w:r>
        <w:rPr>
          <w:rFonts w:hint="eastAsia" w:ascii="宋体" w:hAnsi="宋体"/>
          <w:szCs w:val="21"/>
          <w:lang w:val="en-US" w:eastAsia="zh-CN"/>
        </w:rPr>
        <w:t>10</w:t>
      </w:r>
      <w:r>
        <w:rPr>
          <w:rFonts w:ascii="宋体" w:hAnsi="宋体"/>
          <w:szCs w:val="21"/>
        </w:rPr>
        <w:t>.</w:t>
      </w:r>
      <w:r>
        <w:rPr>
          <w:rFonts w:hint="eastAsia" w:ascii="宋体" w:hAnsi="宋体"/>
        </w:rPr>
        <w:t>我单位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我单位承担全部责任。</w:t>
      </w:r>
    </w:p>
    <w:p w14:paraId="04B12CA7">
      <w:pPr>
        <w:ind w:firstLine="420" w:firstLineChars="200"/>
        <w:rPr>
          <w:rFonts w:ascii="宋体" w:hAnsi="宋体" w:cs="宋体"/>
          <w:b/>
          <w:kern w:val="0"/>
          <w:szCs w:val="21"/>
        </w:rPr>
      </w:pPr>
      <w:r>
        <w:rPr>
          <w:rFonts w:hint="eastAsia" w:ascii="宋体" w:hAnsi="宋体"/>
        </w:rPr>
        <w:t>1</w:t>
      </w:r>
      <w:r>
        <w:rPr>
          <w:rFonts w:hint="eastAsia" w:ascii="宋体" w:hAnsi="宋体"/>
          <w:lang w:val="en-US" w:eastAsia="zh-CN"/>
        </w:rPr>
        <w:t>1</w:t>
      </w:r>
      <w:r>
        <w:rPr>
          <w:rFonts w:ascii="宋体" w:hAnsi="宋体"/>
        </w:rPr>
        <w:t>.</w:t>
      </w:r>
      <w:r>
        <w:rPr>
          <w:rFonts w:hint="eastAsia" w:ascii="宋体" w:hAnsi="宋体"/>
        </w:rPr>
        <w:t>我单位保证，若所投货物涉及</w:t>
      </w:r>
      <w:r>
        <w:rPr>
          <w:rFonts w:ascii="宋体" w:hAnsi="宋体"/>
        </w:rPr>
        <w:t>《</w:t>
      </w:r>
      <w:r>
        <w:rPr>
          <w:rFonts w:hint="eastAsia" w:ascii="宋体" w:hAnsi="宋体"/>
        </w:rPr>
        <w:t>财政部生态环境部关于印发节能产品政府采购品目清单的通知》（财库〔20</w:t>
      </w:r>
      <w:r>
        <w:rPr>
          <w:rFonts w:ascii="宋体" w:hAnsi="宋体"/>
        </w:rPr>
        <w:t>19</w:t>
      </w:r>
      <w:r>
        <w:rPr>
          <w:rFonts w:hint="eastAsia" w:ascii="宋体" w:hAnsi="宋体"/>
        </w:rPr>
        <w:t>〕</w:t>
      </w:r>
      <w:r>
        <w:rPr>
          <w:rFonts w:ascii="宋体" w:hAnsi="宋体"/>
        </w:rPr>
        <w:t>19</w:t>
      </w:r>
      <w:r>
        <w:rPr>
          <w:rFonts w:hint="eastAsia" w:ascii="宋体" w:hAnsi="宋体"/>
        </w:rPr>
        <w:t>号）列明的政府采购强制产品，则所投该产品符合节能产品的认证要求。</w:t>
      </w:r>
      <w:r>
        <w:rPr>
          <w:rFonts w:hint="eastAsia" w:ascii="宋体" w:hAnsi="宋体"/>
          <w:lang w:val="en-US" w:eastAsia="zh-CN"/>
        </w:rPr>
        <w:t>若所投产品包括数据中心相关设备的，应满足</w:t>
      </w:r>
      <w:r>
        <w:rPr>
          <w:rFonts w:hint="eastAsia"/>
        </w:rPr>
        <w:t>《财政部 生态环境部 工业和信息化部关于印发&lt;绿色数据中心政府采购需求标准（试行）&gt;的通知》</w:t>
      </w:r>
      <w:r>
        <w:rPr>
          <w:rFonts w:hint="eastAsia" w:eastAsia="宋体"/>
          <w:lang w:eastAsia="zh-CN"/>
        </w:rPr>
        <w:t>（</w:t>
      </w:r>
      <w:r>
        <w:rPr>
          <w:rFonts w:hint="eastAsia"/>
        </w:rPr>
        <w:t>财库〔2023〕7号）</w:t>
      </w:r>
      <w:r>
        <w:rPr>
          <w:rFonts w:hint="eastAsia" w:ascii="Times New Roman" w:eastAsia="宋体"/>
          <w:lang w:val="en-US" w:eastAsia="zh-CN"/>
        </w:rPr>
        <w:t>要求。若所投产品涉及国家强制性标准的，所投产品应符合国家强制性标准相关要求。</w:t>
      </w:r>
    </w:p>
    <w:p w14:paraId="310CE5D4">
      <w:pPr>
        <w:ind w:firstLine="420" w:firstLineChars="200"/>
        <w:rPr>
          <w:rFonts w:hint="eastAsia" w:ascii="宋体" w:hAnsi="宋体"/>
          <w:b w:val="0"/>
          <w:bCs/>
        </w:rPr>
      </w:pPr>
      <w:r>
        <w:rPr>
          <w:rFonts w:hint="eastAsia" w:ascii="宋体" w:hAnsi="宋体" w:cs="宋体"/>
          <w:b w:val="0"/>
          <w:bCs/>
          <w:kern w:val="0"/>
          <w:szCs w:val="21"/>
        </w:rPr>
        <w:t>1</w:t>
      </w:r>
      <w:r>
        <w:rPr>
          <w:rFonts w:hint="eastAsia" w:ascii="宋体" w:hAnsi="宋体" w:cs="宋体"/>
          <w:b w:val="0"/>
          <w:bCs/>
          <w:kern w:val="0"/>
          <w:szCs w:val="21"/>
          <w:lang w:val="en-US" w:eastAsia="zh-CN"/>
        </w:rPr>
        <w:t>2</w:t>
      </w:r>
      <w:r>
        <w:rPr>
          <w:rFonts w:hint="eastAsia" w:ascii="宋体" w:hAnsi="宋体" w:cs="宋体"/>
          <w:b w:val="0"/>
          <w:bCs/>
          <w:kern w:val="0"/>
          <w:szCs w:val="21"/>
        </w:rPr>
        <w:t>.</w:t>
      </w:r>
      <w:r>
        <w:rPr>
          <w:rFonts w:hint="eastAsia" w:ascii="宋体" w:hAnsi="宋体"/>
          <w:b w:val="0"/>
          <w:bCs/>
        </w:rPr>
        <w:t>我单位已知悉并同意中标（成交）结果信息公示（公开）的内容。</w:t>
      </w:r>
    </w:p>
    <w:p w14:paraId="6600A130">
      <w:pPr>
        <w:ind w:firstLine="420" w:firstLineChars="200"/>
        <w:rPr>
          <w:rFonts w:hint="eastAsia" w:ascii="宋体" w:hAnsi="宋体"/>
          <w:b w:val="0"/>
          <w:bCs/>
        </w:rPr>
      </w:pPr>
      <w:r>
        <w:rPr>
          <w:rFonts w:hint="eastAsia" w:ascii="宋体" w:hAnsi="宋体"/>
          <w:b w:val="0"/>
          <w:bCs/>
        </w:rPr>
        <w:t>1</w:t>
      </w:r>
      <w:r>
        <w:rPr>
          <w:rFonts w:hint="eastAsia" w:ascii="宋体" w:hAnsi="宋体"/>
          <w:b w:val="0"/>
          <w:bCs/>
          <w:lang w:val="en-US" w:eastAsia="zh-CN"/>
        </w:rPr>
        <w:t>3</w:t>
      </w:r>
      <w:r>
        <w:rPr>
          <w:rFonts w:hint="eastAsia" w:ascii="宋体" w:hAnsi="宋体"/>
          <w:b w:val="0"/>
          <w:bCs/>
        </w:rPr>
        <w:t>.我单位保证，符合《中华人民共和国政府采购法实施条例》第十八条规定，与其他投标供应商不存在单位负责人为同一人或者存在直接控股、管理关系；</w:t>
      </w:r>
      <w:r>
        <w:rPr>
          <w:rFonts w:hint="eastAsia" w:ascii="宋体" w:hAnsi="宋体"/>
          <w:b w:val="0"/>
          <w:bCs/>
          <w:color w:val="auto"/>
          <w:lang w:val="en-US" w:eastAsia="zh-CN"/>
        </w:rPr>
        <w:t>不存在为</w:t>
      </w:r>
      <w:r>
        <w:rPr>
          <w:rFonts w:hint="eastAsia" w:ascii="宋体" w:hAnsi="宋体"/>
          <w:b w:val="0"/>
          <w:bCs/>
        </w:rPr>
        <w:t>本次采购项目提供整体设计、规范编制或者项目管理、监理、检测等服务的情</w:t>
      </w:r>
      <w:r>
        <w:rPr>
          <w:rFonts w:hint="eastAsia" w:ascii="宋体" w:hAnsi="宋体"/>
          <w:b w:val="0"/>
          <w:bCs/>
          <w:color w:val="auto"/>
        </w:rPr>
        <w:t>形。</w:t>
      </w:r>
      <w:r>
        <w:rPr>
          <w:rFonts w:hint="eastAsia" w:ascii="宋体" w:hAnsi="宋体"/>
          <w:b w:val="0"/>
          <w:bCs/>
          <w:color w:val="auto"/>
          <w:lang w:val="en-US" w:eastAsia="zh-CN"/>
        </w:rPr>
        <w:t>若</w:t>
      </w:r>
      <w:r>
        <w:rPr>
          <w:rFonts w:hint="eastAsia" w:ascii="宋体" w:hAnsi="宋体"/>
          <w:b w:val="0"/>
          <w:bCs/>
          <w:color w:val="auto"/>
        </w:rPr>
        <w:t>存在“不同供应商的董事、股东或其他高级管理人员为同一人的”情形的，</w:t>
      </w:r>
      <w:r>
        <w:rPr>
          <w:rFonts w:hint="eastAsia" w:ascii="宋体" w:hAnsi="宋体"/>
          <w:b w:val="0"/>
          <w:bCs/>
          <w:color w:val="auto"/>
          <w:lang w:val="en-US" w:eastAsia="zh-CN"/>
        </w:rPr>
        <w:t>我单位保证</w:t>
      </w:r>
      <w:r>
        <w:rPr>
          <w:rFonts w:hint="eastAsia" w:ascii="宋体" w:hAnsi="宋体"/>
          <w:b w:val="0"/>
          <w:bCs/>
          <w:color w:val="auto"/>
        </w:rPr>
        <w:t>不存在串通投标、恶意串通或者视为串通投标的情形</w:t>
      </w:r>
      <w:r>
        <w:rPr>
          <w:rFonts w:hint="eastAsia" w:ascii="宋体" w:hAnsi="宋体"/>
          <w:b w:val="0"/>
          <w:bCs/>
          <w:color w:val="auto"/>
          <w:lang w:eastAsia="zh-CN"/>
        </w:rPr>
        <w:t>。</w:t>
      </w:r>
    </w:p>
    <w:p w14:paraId="76A259C2">
      <w:pPr>
        <w:ind w:firstLine="420" w:firstLineChars="200"/>
        <w:rPr>
          <w:rFonts w:hint="eastAsia" w:ascii="宋体" w:hAnsi="宋体"/>
          <w:b/>
          <w:bCs w:val="0"/>
          <w:sz w:val="21"/>
          <w:lang w:val="en-US" w:eastAsia="zh-CN"/>
        </w:rPr>
      </w:pPr>
      <w:r>
        <w:rPr>
          <w:rFonts w:hint="eastAsia" w:ascii="宋体" w:hAnsi="宋体"/>
          <w:color w:val="auto"/>
          <w:lang w:val="en-US" w:eastAsia="zh-CN"/>
        </w:rPr>
        <w:t>14.</w:t>
      </w:r>
      <w:r>
        <w:rPr>
          <w:rFonts w:hint="eastAsia" w:ascii="宋体" w:hAnsi="宋体"/>
          <w:color w:val="auto"/>
        </w:rPr>
        <w:t>我单位保证，若所投产品列入强制性产品认证目录的，则所投该产品须获得强制性产品认证证书（即CCC认证）；其中适用自我声明评价方式的产品，则所投该产品须具有“强制性认证产品符合性自我声明”；若所投产品列入工业产品生产许可证管理的产品目录的，则所投该产品生产者（制造商）须获得《全国工业产品生产许可证》。</w:t>
      </w:r>
    </w:p>
    <w:p w14:paraId="280BFC4A">
      <w:pPr>
        <w:ind w:firstLine="422" w:firstLineChars="200"/>
        <w:rPr>
          <w:rFonts w:ascii="宋体" w:hAnsi="宋体"/>
          <w:b/>
        </w:rPr>
      </w:pPr>
      <w:r>
        <w:rPr>
          <w:rFonts w:hint="eastAsia" w:ascii="宋体" w:hAnsi="宋体"/>
          <w:b/>
          <w:bCs w:val="0"/>
          <w:sz w:val="21"/>
          <w:lang w:val="en-US" w:eastAsia="zh-CN"/>
        </w:rPr>
        <w:t>15.我单位清楚，如存在违反投标承诺行为情节严重的，将根据《深圳市财政局关于印发&lt;深圳市财政局政府采购供应商信用信息管理办法&gt;的通知》，依法被列入失信信息。</w:t>
      </w:r>
    </w:p>
    <w:p w14:paraId="078211D5">
      <w:pPr>
        <w:pStyle w:val="8"/>
        <w:ind w:firstLine="482" w:firstLineChars="200"/>
        <w:rPr>
          <w:rFonts w:ascii="宋体" w:hAnsi="宋体"/>
        </w:rPr>
      </w:pPr>
    </w:p>
    <w:p w14:paraId="6E22FEA2">
      <w:pPr>
        <w:ind w:firstLine="420" w:firstLineChars="200"/>
        <w:rPr>
          <w:rFonts w:ascii="宋体" w:hAnsi="宋体"/>
          <w:szCs w:val="21"/>
        </w:rPr>
      </w:pPr>
      <w:r>
        <w:rPr>
          <w:rFonts w:hint="eastAsia" w:ascii="宋体" w:hAnsi="宋体"/>
          <w:szCs w:val="21"/>
        </w:rPr>
        <w:t>以上承诺，如有违反，愿依照国家相关法律法规处理，并承担由此给采购人带来的损失。</w:t>
      </w:r>
    </w:p>
    <w:p w14:paraId="52CF55F6">
      <w:pPr>
        <w:spacing w:before="60" w:beforeLines="25" w:after="60" w:afterLines="25"/>
        <w:ind w:firstLine="5460" w:firstLineChars="2600"/>
        <w:rPr>
          <w:rFonts w:ascii="宋体" w:hAnsi="宋体"/>
          <w:szCs w:val="21"/>
        </w:rPr>
      </w:pPr>
      <w:r>
        <w:rPr>
          <w:rFonts w:hint="eastAsia" w:ascii="宋体" w:hAnsi="宋体"/>
          <w:szCs w:val="21"/>
        </w:rPr>
        <w:t xml:space="preserve">                                    </w:t>
      </w:r>
    </w:p>
    <w:p w14:paraId="7DD34BC3">
      <w:pPr>
        <w:spacing w:before="60" w:beforeLines="25" w:after="60" w:afterLines="25"/>
        <w:ind w:firstLine="5460" w:firstLineChars="2600"/>
        <w:rPr>
          <w:color w:val="FF0000"/>
        </w:rPr>
      </w:pPr>
      <w:r>
        <w:rPr>
          <w:rFonts w:hint="eastAsia"/>
          <w:color w:val="FF0000"/>
          <w:szCs w:val="21"/>
        </w:rPr>
        <w:t>投标人：</w:t>
      </w:r>
      <w:r>
        <w:rPr>
          <w:rFonts w:hint="eastAsia"/>
          <w:color w:val="FF0000"/>
          <w:szCs w:val="21"/>
          <w:u w:val="single"/>
        </w:rPr>
        <w:t xml:space="preserve">              </w:t>
      </w:r>
    </w:p>
    <w:p w14:paraId="579659A5">
      <w:pPr>
        <w:ind w:firstLine="645"/>
        <w:rPr>
          <w:rFonts w:ascii="宋体" w:hAnsi="宋体"/>
          <w:color w:val="FF0000"/>
          <w:szCs w:val="21"/>
        </w:rPr>
      </w:pPr>
      <w:r>
        <w:rPr>
          <w:rFonts w:hint="eastAsia" w:ascii="宋体" w:hAnsi="宋体"/>
          <w:color w:val="FF0000"/>
          <w:szCs w:val="21"/>
        </w:rPr>
        <w:t xml:space="preserve">                                              日期：</w:t>
      </w:r>
      <w:r>
        <w:rPr>
          <w:rFonts w:hint="eastAsia" w:ascii="宋体" w:hAnsi="宋体"/>
          <w:color w:val="FF0000"/>
          <w:szCs w:val="21"/>
          <w:u w:val="single"/>
        </w:rPr>
        <w:t xml:space="preserve">    </w:t>
      </w:r>
      <w:r>
        <w:rPr>
          <w:rFonts w:hint="eastAsia" w:ascii="宋体" w:hAnsi="宋体"/>
          <w:color w:val="FF0000"/>
          <w:szCs w:val="21"/>
        </w:rPr>
        <w:t>年</w:t>
      </w:r>
      <w:r>
        <w:rPr>
          <w:rFonts w:hint="eastAsia" w:ascii="宋体" w:hAnsi="宋体"/>
          <w:color w:val="FF0000"/>
          <w:szCs w:val="21"/>
          <w:u w:val="single"/>
        </w:rPr>
        <w:t xml:space="preserve">   </w:t>
      </w:r>
      <w:r>
        <w:rPr>
          <w:rFonts w:hint="eastAsia" w:ascii="宋体" w:hAnsi="宋体"/>
          <w:color w:val="FF0000"/>
          <w:szCs w:val="21"/>
        </w:rPr>
        <w:t>月</w:t>
      </w:r>
      <w:r>
        <w:rPr>
          <w:rFonts w:hint="eastAsia" w:ascii="宋体" w:hAnsi="宋体"/>
          <w:color w:val="FF0000"/>
          <w:szCs w:val="21"/>
          <w:u w:val="single"/>
        </w:rPr>
        <w:t xml:space="preserve">   </w:t>
      </w:r>
      <w:r>
        <w:rPr>
          <w:rFonts w:hint="eastAsia" w:ascii="宋体" w:hAnsi="宋体"/>
          <w:color w:val="FF0000"/>
          <w:szCs w:val="21"/>
        </w:rPr>
        <w:t>日</w:t>
      </w:r>
    </w:p>
    <w:p w14:paraId="034E6CEA">
      <w:pPr>
        <w:rPr>
          <w:rFonts w:ascii="宋体" w:hAnsi="宋体"/>
          <w:szCs w:val="21"/>
        </w:rPr>
      </w:pPr>
    </w:p>
    <w:p w14:paraId="77082F6A">
      <w:pPr>
        <w:rPr>
          <w:rFonts w:ascii="宋体" w:hAnsi="宋体"/>
          <w:szCs w:val="21"/>
        </w:rPr>
      </w:pPr>
    </w:p>
    <w:p w14:paraId="4485C013"/>
    <w:p w14:paraId="115CBE2B"/>
    <w:p w14:paraId="656E5FA1">
      <w:pPr>
        <w:pStyle w:val="3"/>
        <w:spacing w:before="120" w:after="120"/>
        <w:jc w:val="center"/>
        <w:rPr>
          <w:rFonts w:ascii="黑体" w:eastAsia="黑体"/>
          <w:b w:val="0"/>
          <w:kern w:val="0"/>
          <w:sz w:val="24"/>
        </w:rPr>
      </w:pPr>
      <w:r>
        <w:rPr>
          <w:rFonts w:hint="eastAsia" w:ascii="黑体" w:eastAsia="黑体"/>
          <w:b w:val="0"/>
          <w:kern w:val="0"/>
          <w:sz w:val="24"/>
        </w:rPr>
        <w:t>三、投标人情况及资格证明文件</w:t>
      </w:r>
    </w:p>
    <w:p w14:paraId="0E8BD65E">
      <w:pPr>
        <w:ind w:firstLine="2640" w:firstLineChars="1100"/>
        <w:outlineLvl w:val="3"/>
        <w:rPr>
          <w:rFonts w:ascii="黑体" w:hAnsi="宋体" w:eastAsia="黑体"/>
          <w:bCs/>
          <w:kern w:val="0"/>
          <w:sz w:val="24"/>
          <w:szCs w:val="32"/>
        </w:rPr>
      </w:pPr>
      <w:r>
        <w:rPr>
          <w:rFonts w:hint="eastAsia" w:ascii="黑体" w:hAnsi="宋体" w:eastAsia="黑体"/>
          <w:bCs/>
          <w:kern w:val="0"/>
          <w:sz w:val="24"/>
          <w:szCs w:val="32"/>
        </w:rPr>
        <w:t>（一）投标人资格证明文件</w:t>
      </w:r>
    </w:p>
    <w:p w14:paraId="0B68CF6B">
      <w:pPr>
        <w:spacing w:before="120" w:beforeLines="50"/>
        <w:ind w:firstLine="422" w:firstLineChars="200"/>
        <w:rPr>
          <w:b/>
          <w:bCs/>
          <w:color w:val="FF0000"/>
        </w:rPr>
      </w:pPr>
      <w:r>
        <w:rPr>
          <w:rFonts w:hint="eastAsia"/>
          <w:b/>
          <w:bCs/>
          <w:color w:val="FF0000"/>
        </w:rPr>
        <w:t>（特别提示：投标人须按本招标文件第一册第一章招标公告 “申请人的资格要求”（即投标人资格要求）提供相关的资格证明资料，未提供或提供不完整、不符合要求的，将作投标无效处理。</w:t>
      </w:r>
      <w:r>
        <w:rPr>
          <w:rFonts w:hint="eastAsia" w:ascii="Times New Roman" w:eastAsia="宋体"/>
          <w:b/>
          <w:bCs/>
          <w:color w:val="FF0000"/>
          <w:lang w:val="en-US" w:eastAsia="zh-CN"/>
        </w:rPr>
        <w:t>其中要求提供《政府采购投标及履约承诺函》《供应商基本情况表》且已在规定章节中提供的，此处不重复提供</w:t>
      </w:r>
      <w:r>
        <w:rPr>
          <w:rFonts w:hint="eastAsia"/>
          <w:b/>
          <w:bCs/>
          <w:color w:val="FF0000"/>
        </w:rPr>
        <w:t>。）</w:t>
      </w:r>
    </w:p>
    <w:p w14:paraId="7F98CAD0">
      <w:pPr>
        <w:ind w:firstLine="482" w:firstLineChars="200"/>
        <w:rPr>
          <w:b/>
          <w:sz w:val="24"/>
        </w:rPr>
      </w:pPr>
    </w:p>
    <w:p w14:paraId="2E8AD72D">
      <w:pPr>
        <w:ind w:firstLine="480" w:firstLineChars="200"/>
        <w:outlineLvl w:val="3"/>
        <w:rPr>
          <w:rFonts w:ascii="黑体" w:hAnsi="宋体" w:eastAsia="黑体"/>
          <w:bCs/>
          <w:kern w:val="0"/>
          <w:sz w:val="24"/>
          <w:szCs w:val="32"/>
        </w:rPr>
      </w:pPr>
      <w:r>
        <w:rPr>
          <w:rFonts w:hint="eastAsia" w:ascii="黑体" w:hAnsi="宋体" w:eastAsia="黑体"/>
          <w:bCs/>
          <w:kern w:val="0"/>
          <w:sz w:val="24"/>
          <w:szCs w:val="32"/>
        </w:rPr>
        <w:t>（二）中小企业声明函、残疾人福利性单位声明函及监狱企业声明函</w:t>
      </w:r>
    </w:p>
    <w:p w14:paraId="4E233664">
      <w:pPr>
        <w:jc w:val="left"/>
        <w:outlineLvl w:val="3"/>
        <w:rPr>
          <w:rFonts w:ascii="黑体" w:hAnsi="宋体" w:eastAsia="黑体"/>
          <w:bCs/>
          <w:kern w:val="0"/>
          <w:sz w:val="24"/>
          <w:szCs w:val="32"/>
        </w:rPr>
      </w:pPr>
    </w:p>
    <w:p w14:paraId="09604CF0">
      <w:pPr>
        <w:ind w:firstLine="420" w:firstLineChars="200"/>
        <w:outlineLvl w:val="3"/>
        <w:rPr>
          <w:rFonts w:ascii="黑体" w:hAnsi="宋体" w:eastAsia="黑体"/>
          <w:bCs/>
          <w:color w:val="FF0000"/>
          <w:kern w:val="0"/>
          <w:szCs w:val="21"/>
        </w:rPr>
      </w:pPr>
      <w:r>
        <w:rPr>
          <w:rFonts w:hint="eastAsia" w:ascii="黑体" w:hAnsi="宋体" w:eastAsia="黑体"/>
          <w:bCs/>
          <w:color w:val="FF0000"/>
          <w:kern w:val="0"/>
          <w:szCs w:val="21"/>
        </w:rPr>
        <w:t>填写指引：</w:t>
      </w:r>
    </w:p>
    <w:p w14:paraId="69552610">
      <w:pPr>
        <w:ind w:firstLine="420" w:firstLineChars="200"/>
        <w:outlineLvl w:val="3"/>
        <w:rPr>
          <w:rFonts w:ascii="黑体" w:hAnsi="黑体" w:eastAsia="黑体"/>
          <w:color w:val="FF0000"/>
          <w:szCs w:val="21"/>
        </w:rPr>
      </w:pPr>
      <w:r>
        <w:rPr>
          <w:rFonts w:hint="eastAsia" w:ascii="黑体" w:hAnsi="宋体" w:eastAsia="黑体"/>
          <w:bCs/>
          <w:color w:val="FF0000"/>
          <w:kern w:val="0"/>
          <w:szCs w:val="21"/>
          <w:lang w:val="en-US" w:eastAsia="zh-CN"/>
        </w:rPr>
        <w:t>1.</w:t>
      </w:r>
      <w:r>
        <w:rPr>
          <w:rFonts w:hint="eastAsia" w:ascii="黑体" w:hAnsi="宋体" w:eastAsia="黑体"/>
          <w:bCs/>
          <w:color w:val="FF0000"/>
          <w:kern w:val="0"/>
          <w:szCs w:val="21"/>
        </w:rPr>
        <w:t>该部分内容由投标人根据自身实际情况填写，不符合要求的投标人可以不填写或直接删除相应的声明函。</w:t>
      </w:r>
      <w:r>
        <w:rPr>
          <w:rFonts w:hint="eastAsia" w:ascii="黑体" w:hAnsi="黑体" w:eastAsia="黑体"/>
          <w:color w:val="FF0000"/>
          <w:szCs w:val="21"/>
        </w:rPr>
        <w:t>投标人提供的声明函不属实的，属于提供虚假资料谋取中标，依照《中华人民共和国政府采购法》等国家有关规定追究相应责任。</w:t>
      </w:r>
    </w:p>
    <w:p w14:paraId="77CC9E5D">
      <w:pPr>
        <w:ind w:firstLine="420" w:firstLineChars="200"/>
        <w:outlineLvl w:val="3"/>
        <w:rPr>
          <w:rFonts w:ascii="黑体" w:hAnsi="黑体" w:eastAsia="黑体"/>
          <w:color w:val="FF0000"/>
          <w:szCs w:val="21"/>
        </w:rPr>
      </w:pPr>
      <w:r>
        <w:rPr>
          <w:rFonts w:hint="eastAsia" w:ascii="黑体" w:hAnsi="黑体" w:eastAsia="黑体"/>
          <w:color w:val="FF0000"/>
          <w:szCs w:val="21"/>
        </w:rPr>
        <w:t>2</w:t>
      </w:r>
      <w:r>
        <w:rPr>
          <w:rFonts w:hint="eastAsia" w:ascii="黑体" w:hAnsi="黑体" w:eastAsia="黑体"/>
          <w:color w:val="FF0000"/>
          <w:szCs w:val="21"/>
          <w:lang w:val="en-US" w:eastAsia="zh-CN"/>
        </w:rPr>
        <w:t>.</w:t>
      </w:r>
      <w:r>
        <w:rPr>
          <w:rFonts w:hint="eastAsia" w:ascii="黑体" w:hAnsi="黑体" w:eastAsia="黑体"/>
          <w:color w:val="FF0000"/>
          <w:szCs w:val="21"/>
        </w:rPr>
        <w:t>该部分内容填写需要参考的相关文件：</w:t>
      </w:r>
    </w:p>
    <w:p w14:paraId="0AB383BD">
      <w:pPr>
        <w:ind w:firstLine="420" w:firstLineChars="200"/>
        <w:outlineLvl w:val="3"/>
        <w:rPr>
          <w:rFonts w:ascii="黑体" w:hAnsi="黑体" w:eastAsia="黑体"/>
          <w:color w:val="FF0000"/>
          <w:szCs w:val="21"/>
        </w:rPr>
      </w:pPr>
      <w:r>
        <w:rPr>
          <w:rFonts w:hint="eastAsia" w:ascii="黑体" w:hAnsi="黑体" w:eastAsia="黑体"/>
          <w:color w:val="FF0000"/>
          <w:szCs w:val="21"/>
        </w:rPr>
        <w:t>(</w:t>
      </w:r>
      <w:r>
        <w:rPr>
          <w:rFonts w:ascii="黑体" w:hAnsi="黑体" w:eastAsia="黑体"/>
          <w:color w:val="FF0000"/>
          <w:szCs w:val="21"/>
        </w:rPr>
        <w:t>1</w:t>
      </w:r>
      <w:r>
        <w:rPr>
          <w:rFonts w:hint="eastAsia" w:ascii="黑体" w:hAnsi="黑体" w:eastAsia="黑体"/>
          <w:color w:val="FF0000"/>
          <w:szCs w:val="21"/>
        </w:rPr>
        <w:t>)财政部《政府采购促进中小企业发展管理办法》（财库〔2020〕46号）</w:t>
      </w:r>
    </w:p>
    <w:p w14:paraId="504F2843">
      <w:pPr>
        <w:ind w:firstLine="420" w:firstLineChars="200"/>
        <w:outlineLvl w:val="3"/>
        <w:rPr>
          <w:rFonts w:ascii="黑体" w:hAnsi="黑体" w:eastAsia="黑体"/>
          <w:color w:val="FF0000"/>
          <w:szCs w:val="21"/>
        </w:rPr>
      </w:pPr>
      <w:r>
        <w:rPr>
          <w:rFonts w:hint="eastAsia" w:ascii="黑体" w:hAnsi="黑体" w:eastAsia="黑体"/>
          <w:color w:val="FF0000"/>
          <w:szCs w:val="21"/>
        </w:rPr>
        <w:t>(</w:t>
      </w:r>
      <w:r>
        <w:rPr>
          <w:rFonts w:ascii="黑体" w:hAnsi="黑体" w:eastAsia="黑体"/>
          <w:color w:val="FF0000"/>
          <w:szCs w:val="21"/>
        </w:rPr>
        <w:t>2</w:t>
      </w:r>
      <w:r>
        <w:rPr>
          <w:rFonts w:hint="eastAsia" w:ascii="黑体" w:hAnsi="黑体" w:eastAsia="黑体"/>
          <w:color w:val="FF0000"/>
          <w:szCs w:val="21"/>
        </w:rPr>
        <w:t>)</w:t>
      </w:r>
      <w:bookmarkStart w:id="42" w:name="_Hlk71925120"/>
      <w:r>
        <w:rPr>
          <w:rFonts w:hint="eastAsia" w:ascii="黑体" w:hAnsi="黑体" w:eastAsia="黑体"/>
          <w:color w:val="FF0000"/>
          <w:szCs w:val="21"/>
        </w:rPr>
        <w:t>《工业和信息化部、国家统计局、国家发展和改革委员会、财政部关于印发中小企业划型标准规定的通知》（工信部联企业〔2011〕300 号</w:t>
      </w:r>
      <w:bookmarkEnd w:id="42"/>
      <w:r>
        <w:rPr>
          <w:rFonts w:hint="eastAsia" w:ascii="黑体" w:hAnsi="黑体" w:eastAsia="黑体"/>
          <w:color w:val="FF0000"/>
          <w:szCs w:val="21"/>
        </w:rPr>
        <w:t>，以下简称3</w:t>
      </w:r>
      <w:r>
        <w:rPr>
          <w:rFonts w:ascii="黑体" w:hAnsi="黑体" w:eastAsia="黑体"/>
          <w:color w:val="FF0000"/>
          <w:szCs w:val="21"/>
        </w:rPr>
        <w:t>00</w:t>
      </w:r>
      <w:r>
        <w:rPr>
          <w:rFonts w:hint="eastAsia" w:ascii="黑体" w:hAnsi="黑体" w:eastAsia="黑体"/>
          <w:color w:val="FF0000"/>
          <w:szCs w:val="21"/>
        </w:rPr>
        <w:t>号文）</w:t>
      </w:r>
    </w:p>
    <w:p w14:paraId="4A51FF49">
      <w:pPr>
        <w:ind w:firstLine="420" w:firstLineChars="200"/>
        <w:outlineLvl w:val="3"/>
        <w:rPr>
          <w:rFonts w:ascii="黑体" w:hAnsi="黑体" w:eastAsia="黑体"/>
          <w:color w:val="FF0000"/>
          <w:szCs w:val="21"/>
        </w:rPr>
      </w:pPr>
      <w:r>
        <w:rPr>
          <w:rFonts w:hint="eastAsia" w:ascii="黑体" w:hAnsi="黑体" w:eastAsia="黑体"/>
          <w:color w:val="FF0000"/>
          <w:szCs w:val="21"/>
        </w:rPr>
        <w:t>(3)《统计上大中小微型企业划分办法(2017)》（国统字〔2017〕213 号）</w:t>
      </w:r>
    </w:p>
    <w:p w14:paraId="1708D4AA">
      <w:pPr>
        <w:ind w:firstLine="420" w:firstLineChars="200"/>
        <w:outlineLvl w:val="3"/>
        <w:rPr>
          <w:rFonts w:ascii="黑体" w:hAnsi="黑体" w:eastAsia="黑体"/>
          <w:color w:val="FF0000"/>
          <w:szCs w:val="21"/>
        </w:rPr>
      </w:pPr>
      <w:r>
        <w:rPr>
          <w:rFonts w:hint="eastAsia" w:ascii="黑体" w:hAnsi="黑体" w:eastAsia="黑体"/>
          <w:color w:val="FF0000"/>
          <w:szCs w:val="21"/>
        </w:rPr>
        <w:t>(4)《关于促进残疾人就业政府采购政策的通知》（财库〔2017〕141号）</w:t>
      </w:r>
    </w:p>
    <w:p w14:paraId="7E0DCEC5">
      <w:pPr>
        <w:ind w:firstLine="420" w:firstLineChars="200"/>
        <w:outlineLvl w:val="3"/>
        <w:rPr>
          <w:rFonts w:ascii="黑体" w:hAnsi="黑体" w:eastAsia="黑体"/>
          <w:color w:val="FF0000"/>
          <w:szCs w:val="21"/>
        </w:rPr>
      </w:pPr>
      <w:r>
        <w:rPr>
          <w:rFonts w:hint="eastAsia" w:ascii="黑体" w:hAnsi="黑体" w:eastAsia="黑体"/>
          <w:color w:val="FF0000"/>
          <w:szCs w:val="21"/>
        </w:rPr>
        <w:t>(5)《关于政府采购支持监狱企业发展有关问题的通知》（财库〔2014〕68号）</w:t>
      </w:r>
    </w:p>
    <w:p w14:paraId="44B17176">
      <w:pPr>
        <w:ind w:firstLine="420" w:firstLineChars="200"/>
        <w:outlineLvl w:val="3"/>
        <w:rPr>
          <w:rFonts w:ascii="黑体" w:hAnsi="宋体" w:eastAsia="黑体"/>
          <w:bCs/>
          <w:color w:val="FF0000"/>
          <w:kern w:val="0"/>
          <w:szCs w:val="21"/>
        </w:rPr>
      </w:pPr>
      <w:r>
        <w:rPr>
          <w:rFonts w:hint="eastAsia" w:ascii="黑体" w:hAnsi="宋体" w:eastAsia="黑体"/>
          <w:bCs/>
          <w:color w:val="FF0000"/>
          <w:kern w:val="0"/>
          <w:szCs w:val="21"/>
        </w:rPr>
        <w:t>3</w:t>
      </w:r>
      <w:r>
        <w:rPr>
          <w:rFonts w:hint="eastAsia" w:ascii="黑体" w:hAnsi="宋体" w:eastAsia="黑体"/>
          <w:bCs/>
          <w:color w:val="FF0000"/>
          <w:kern w:val="0"/>
          <w:szCs w:val="21"/>
          <w:lang w:val="en-US" w:eastAsia="zh-CN"/>
        </w:rPr>
        <w:t>.</w:t>
      </w:r>
      <w:r>
        <w:rPr>
          <w:rFonts w:hint="eastAsia" w:ascii="黑体" w:hAnsi="宋体" w:eastAsia="黑体"/>
          <w:bCs/>
          <w:color w:val="FF0000"/>
          <w:kern w:val="0"/>
          <w:szCs w:val="21"/>
        </w:rPr>
        <w:t>请依照提供的格式和内容填写声明函，不要随意变更格式；声明函不需要盖章或签字；</w:t>
      </w:r>
      <w:r>
        <w:rPr>
          <w:rFonts w:hint="eastAsia" w:ascii="黑体" w:hAnsi="黑体" w:eastAsia="黑体"/>
          <w:color w:val="FF0000"/>
          <w:szCs w:val="21"/>
        </w:rPr>
        <w:t>满足多项优惠政策的投标人，不重复享受多项价格扣除政策。</w:t>
      </w:r>
    </w:p>
    <w:p w14:paraId="460F11B4">
      <w:pPr>
        <w:ind w:firstLine="420" w:firstLineChars="200"/>
        <w:outlineLvl w:val="3"/>
        <w:rPr>
          <w:rFonts w:ascii="黑体" w:hAnsi="宋体" w:eastAsia="黑体"/>
          <w:bCs/>
          <w:color w:val="FF0000"/>
          <w:kern w:val="0"/>
          <w:szCs w:val="21"/>
        </w:rPr>
      </w:pPr>
      <w:r>
        <w:rPr>
          <w:rFonts w:hint="eastAsia" w:ascii="黑体" w:hAnsi="宋体" w:eastAsia="黑体"/>
          <w:bCs/>
          <w:color w:val="FF0000"/>
          <w:kern w:val="0"/>
          <w:szCs w:val="21"/>
        </w:rPr>
        <w:t>4</w:t>
      </w:r>
      <w:r>
        <w:rPr>
          <w:rFonts w:hint="eastAsia" w:ascii="黑体" w:hAnsi="宋体" w:eastAsia="黑体"/>
          <w:bCs/>
          <w:color w:val="FF0000"/>
          <w:kern w:val="0"/>
          <w:szCs w:val="21"/>
          <w:lang w:val="en-US" w:eastAsia="zh-CN"/>
        </w:rPr>
        <w:t>.</w:t>
      </w:r>
      <w:r>
        <w:rPr>
          <w:rFonts w:hint="eastAsia" w:ascii="黑体" w:hAnsi="宋体" w:eastAsia="黑体"/>
          <w:bCs/>
          <w:color w:val="FF0000"/>
          <w:kern w:val="0"/>
          <w:szCs w:val="21"/>
        </w:rPr>
        <w:t>声明函具体填写要求：</w:t>
      </w:r>
    </w:p>
    <w:p w14:paraId="015D6AFF">
      <w:pPr>
        <w:ind w:firstLine="420" w:firstLineChars="200"/>
        <w:outlineLvl w:val="3"/>
        <w:rPr>
          <w:rFonts w:ascii="黑体" w:hAnsi="宋体" w:eastAsia="黑体"/>
          <w:bCs/>
          <w:color w:val="FF0000"/>
          <w:kern w:val="0"/>
          <w:szCs w:val="21"/>
        </w:rPr>
      </w:pPr>
      <w:r>
        <w:rPr>
          <w:rFonts w:hint="eastAsia" w:ascii="黑体" w:hAnsi="宋体" w:eastAsia="黑体"/>
          <w:bCs/>
          <w:color w:val="FF0000"/>
          <w:kern w:val="0"/>
          <w:szCs w:val="21"/>
        </w:rPr>
        <w:t>（1）声明是中小企业须填写《中小企业声明函》的以下内容：</w:t>
      </w:r>
    </w:p>
    <w:p w14:paraId="1A2366AB">
      <w:pPr>
        <w:ind w:firstLine="420" w:firstLineChars="200"/>
        <w:outlineLvl w:val="3"/>
        <w:rPr>
          <w:rFonts w:ascii="黑体" w:hAnsi="宋体" w:eastAsia="黑体"/>
          <w:bCs/>
          <w:color w:val="FF0000"/>
          <w:kern w:val="0"/>
          <w:szCs w:val="21"/>
        </w:rPr>
      </w:pPr>
      <w:r>
        <w:rPr>
          <w:rFonts w:hint="eastAsia" w:ascii="黑体" w:hAnsi="宋体" w:eastAsia="黑体"/>
          <w:bCs/>
          <w:color w:val="FF0000"/>
          <w:kern w:val="0"/>
          <w:szCs w:val="21"/>
        </w:rPr>
        <w:t>第一处，在“单位名称”下划线处如实填写采购人名称（深圳公共资源交易中心不是本项目的采购人，而是组织实施机构）；</w:t>
      </w:r>
    </w:p>
    <w:p w14:paraId="31587D91">
      <w:pPr>
        <w:ind w:firstLine="420" w:firstLineChars="200"/>
        <w:outlineLvl w:val="3"/>
        <w:rPr>
          <w:rFonts w:ascii="黑体" w:hAnsi="宋体" w:eastAsia="黑体"/>
          <w:bCs/>
          <w:color w:val="FF0000"/>
          <w:kern w:val="0"/>
          <w:szCs w:val="21"/>
        </w:rPr>
      </w:pPr>
      <w:r>
        <w:rPr>
          <w:rFonts w:hint="eastAsia" w:ascii="黑体" w:hAnsi="宋体" w:eastAsia="黑体"/>
          <w:bCs/>
          <w:color w:val="FF0000"/>
          <w:kern w:val="0"/>
          <w:szCs w:val="21"/>
        </w:rPr>
        <w:t>第二处，在“项目名称”下划线处如实填写采购项目名称；</w:t>
      </w:r>
      <w:r>
        <w:rPr>
          <w:rFonts w:hint="eastAsia" w:ascii="黑体" w:hAnsi="宋体" w:eastAsia="黑体"/>
          <w:bCs/>
          <w:color w:val="FF0000"/>
          <w:kern w:val="0"/>
          <w:szCs w:val="21"/>
          <w:lang w:eastAsia="zh-CN"/>
        </w:rPr>
        <w:t>对于分包方式面向中小企业采购的项目，应标明中小企业的具体分包内容；对于以联合体方式面向中小企业采购的项目，应标明联合体中中小企业所承担的具体内容</w:t>
      </w:r>
      <w:r>
        <w:rPr>
          <w:rFonts w:hint="eastAsia" w:ascii="黑体" w:hAnsi="宋体" w:eastAsia="黑体"/>
          <w:bCs/>
          <w:color w:val="FF0000"/>
          <w:kern w:val="0"/>
          <w:szCs w:val="21"/>
        </w:rPr>
        <w:t>；</w:t>
      </w:r>
    </w:p>
    <w:p w14:paraId="26CA9BB4">
      <w:pPr>
        <w:ind w:firstLine="420" w:firstLineChars="200"/>
        <w:outlineLvl w:val="3"/>
        <w:rPr>
          <w:rFonts w:ascii="黑体" w:hAnsi="宋体" w:eastAsia="黑体"/>
          <w:bCs/>
          <w:color w:val="FF0000"/>
          <w:kern w:val="0"/>
          <w:szCs w:val="21"/>
        </w:rPr>
      </w:pPr>
      <w:r>
        <w:rPr>
          <w:rFonts w:hint="eastAsia" w:ascii="黑体" w:hAnsi="宋体" w:eastAsia="黑体"/>
          <w:bCs/>
          <w:color w:val="FF0000"/>
          <w:kern w:val="0"/>
          <w:szCs w:val="21"/>
        </w:rPr>
        <w:t>第三处，在“标的名称”下划线处填写所采购服务（标的）的具体名称（以招标文件第一册第三章用户需求书“服务需求明细”的“服务需求名称”一栏为准）；如果涉及多项服务（标的）为同一企业制造，“标的名称”下划线处可以如实填写多项服务；</w:t>
      </w:r>
    </w:p>
    <w:p w14:paraId="235DB9B9">
      <w:pPr>
        <w:ind w:firstLine="420" w:firstLineChars="200"/>
        <w:outlineLvl w:val="3"/>
        <w:rPr>
          <w:rFonts w:ascii="黑体" w:hAnsi="宋体" w:eastAsia="黑体"/>
          <w:bCs/>
          <w:color w:val="FF0000"/>
          <w:kern w:val="0"/>
          <w:szCs w:val="21"/>
        </w:rPr>
      </w:pPr>
      <w:r>
        <w:rPr>
          <w:rFonts w:hint="eastAsia" w:ascii="黑体" w:hAnsi="宋体" w:eastAsia="黑体"/>
          <w:bCs/>
          <w:color w:val="FF0000"/>
          <w:kern w:val="0"/>
          <w:szCs w:val="21"/>
        </w:rPr>
        <w:t>第四处，在“招标文件中明确的所属行业”下划线处填写采购标的对应的中小企业划分标准所属行业（所属行业以招标文件第一册第三章用户需求书“</w:t>
      </w:r>
      <w:r>
        <w:rPr>
          <w:rFonts w:hint="eastAsia" w:ascii="黑体" w:hAnsi="宋体" w:eastAsia="黑体"/>
          <w:bCs/>
          <w:color w:val="FF0000"/>
          <w:kern w:val="0"/>
          <w:szCs w:val="21"/>
          <w:lang w:val="en-US" w:eastAsia="zh-CN"/>
        </w:rPr>
        <w:t>服务需求</w:t>
      </w:r>
      <w:r>
        <w:rPr>
          <w:rFonts w:hint="eastAsia" w:ascii="黑体" w:hAnsi="宋体" w:eastAsia="黑体"/>
          <w:bCs/>
          <w:color w:val="FF0000"/>
          <w:kern w:val="0"/>
          <w:szCs w:val="21"/>
        </w:rPr>
        <w:t>明细”的“</w:t>
      </w:r>
      <w:r>
        <w:rPr>
          <w:rFonts w:hint="eastAsia" w:ascii="黑体" w:hAnsi="宋体" w:eastAsia="黑体"/>
          <w:bCs/>
          <w:color w:val="FF0000"/>
          <w:kern w:val="0"/>
          <w:szCs w:val="21"/>
          <w:lang w:val="en-US" w:eastAsia="zh-CN"/>
        </w:rPr>
        <w:t>标的所属行业</w:t>
      </w:r>
      <w:r>
        <w:rPr>
          <w:rFonts w:hint="eastAsia" w:ascii="黑体" w:hAnsi="宋体" w:eastAsia="黑体"/>
          <w:bCs/>
          <w:color w:val="FF0000"/>
          <w:kern w:val="0"/>
          <w:szCs w:val="21"/>
        </w:rPr>
        <w:t>”一栏为准）</w:t>
      </w:r>
      <w:r>
        <w:rPr>
          <w:rFonts w:hint="eastAsia" w:ascii="黑体" w:hAnsi="宋体" w:eastAsia="黑体"/>
          <w:bCs/>
          <w:color w:val="FF0000"/>
          <w:kern w:val="0"/>
          <w:szCs w:val="21"/>
          <w:lang w:eastAsia="zh-CN"/>
        </w:rPr>
        <w:t>，并应确保与采购标的涉及的服务承接商本身的所属行业保持一致。对于分包方式面向中小企业采购的项目，“采购文件中明确的所属行业”应按照采购文件中注明的分包给中小企业的采购标的所属行业填写，并应确保与该分包部分采购标的涉及的服务承接商本身的所属行业保持一致；对于以联合体方式面向中小企业采购的项目，“采购文件中明确的所属行业”应按照采购文件中注明的联合体中中小企业承担的采购标的所属行业填写，并应确保与该分包部分采购标的涉及的服务承接商本身的所属行业保持一致；</w:t>
      </w:r>
    </w:p>
    <w:p w14:paraId="4F4F7EE6">
      <w:pPr>
        <w:ind w:firstLine="420" w:firstLineChars="200"/>
        <w:outlineLvl w:val="3"/>
        <w:rPr>
          <w:rFonts w:hint="eastAsia" w:ascii="黑体" w:hAnsi="宋体" w:eastAsia="黑体"/>
          <w:bCs/>
          <w:color w:val="FF0000"/>
          <w:kern w:val="0"/>
          <w:szCs w:val="21"/>
          <w:lang w:eastAsia="zh-CN"/>
        </w:rPr>
      </w:pPr>
      <w:r>
        <w:rPr>
          <w:rFonts w:hint="eastAsia" w:ascii="黑体" w:hAnsi="宋体" w:eastAsia="黑体"/>
          <w:bCs/>
          <w:color w:val="FF0000"/>
          <w:kern w:val="0"/>
          <w:szCs w:val="21"/>
        </w:rPr>
        <w:t>第五处，在“企业名称”下划线处如实填写</w:t>
      </w:r>
      <w:r>
        <w:rPr>
          <w:rFonts w:hint="eastAsia" w:ascii="黑体" w:hAnsi="宋体" w:eastAsia="黑体"/>
          <w:b/>
          <w:bCs w:val="0"/>
          <w:color w:val="FF0000"/>
          <w:kern w:val="0"/>
          <w:szCs w:val="21"/>
          <w:lang w:eastAsia="zh-CN"/>
        </w:rPr>
        <w:t>服务承接商</w:t>
      </w:r>
      <w:r>
        <w:rPr>
          <w:rFonts w:hint="eastAsia" w:ascii="黑体" w:hAnsi="宋体" w:eastAsia="黑体"/>
          <w:b/>
          <w:bCs w:val="0"/>
          <w:color w:val="FF0000"/>
          <w:kern w:val="0"/>
          <w:szCs w:val="21"/>
        </w:rPr>
        <w:t>名称</w:t>
      </w:r>
      <w:r>
        <w:rPr>
          <w:rFonts w:hint="eastAsia" w:ascii="黑体" w:hAnsi="宋体" w:eastAsia="黑体"/>
          <w:b/>
          <w:bCs w:val="0"/>
          <w:color w:val="FF0000"/>
          <w:kern w:val="0"/>
          <w:szCs w:val="21"/>
          <w:lang w:eastAsia="zh-CN"/>
        </w:rPr>
        <w:t>。</w:t>
      </w:r>
      <w:r>
        <w:rPr>
          <w:rFonts w:hint="eastAsia" w:ascii="黑体" w:hAnsi="宋体" w:eastAsia="黑体"/>
          <w:bCs/>
          <w:color w:val="FF0000"/>
          <w:kern w:val="0"/>
          <w:szCs w:val="21"/>
          <w:lang w:eastAsia="zh-CN"/>
        </w:rPr>
        <w:t>对于分包方式面向中小企业采购的项目，“企业名称”应填写分包部分采购标的对应的服务承接商；对于以联合体方式面向中小企业采购的项目，“企业名称”应填写联合体中中小企业承担采购标的对应的服务承接商；</w:t>
      </w:r>
    </w:p>
    <w:p w14:paraId="0678B4D5">
      <w:pPr>
        <w:numPr>
          <w:ilvl w:val="0"/>
          <w:numId w:val="0"/>
        </w:numPr>
        <w:ind w:firstLine="420" w:firstLineChars="200"/>
        <w:outlineLvl w:val="3"/>
        <w:rPr>
          <w:rFonts w:hint="eastAsia" w:ascii="黑体" w:hAnsi="宋体" w:eastAsia="黑体"/>
          <w:bCs/>
          <w:color w:val="FF0000"/>
          <w:kern w:val="0"/>
          <w:szCs w:val="21"/>
        </w:rPr>
      </w:pPr>
      <w:r>
        <w:rPr>
          <w:rFonts w:hint="eastAsia" w:ascii="黑体" w:hAnsi="宋体" w:eastAsia="黑体" w:cs="Times New Roman"/>
          <w:bCs/>
          <w:color w:val="FF0000"/>
          <w:kern w:val="0"/>
          <w:sz w:val="21"/>
          <w:szCs w:val="21"/>
          <w:lang w:val="en-US" w:eastAsia="zh-CN" w:bidi="ar-SA"/>
        </w:rPr>
        <w:t>第六、</w:t>
      </w:r>
      <w:r>
        <w:rPr>
          <w:rFonts w:hint="eastAsia" w:ascii="黑体" w:hAnsi="宋体" w:eastAsia="黑体"/>
          <w:bCs/>
          <w:color w:val="FF0000"/>
          <w:kern w:val="0"/>
          <w:szCs w:val="21"/>
          <w:lang w:val="en-US" w:eastAsia="zh-CN"/>
        </w:rPr>
        <w:t>七、八处，</w:t>
      </w:r>
      <w:r>
        <w:rPr>
          <w:rFonts w:hint="eastAsia" w:ascii="黑体" w:hAnsi="宋体" w:eastAsia="黑体"/>
          <w:bCs/>
          <w:color w:val="FF0000"/>
          <w:kern w:val="0"/>
          <w:szCs w:val="21"/>
        </w:rPr>
        <w:t>在“从业人员”、“营业收入”、“资产总额”下划线处如实填写从业人员、营业收入、资产总额</w:t>
      </w:r>
      <w:r>
        <w:rPr>
          <w:rFonts w:hint="eastAsia" w:ascii="黑体" w:hAnsi="宋体" w:eastAsia="黑体"/>
          <w:bCs/>
          <w:color w:val="FF0000"/>
          <w:kern w:val="0"/>
          <w:szCs w:val="21"/>
          <w:lang w:eastAsia="zh-CN"/>
        </w:rPr>
        <w:t>。从业人员、资产总额指标以上年度末数据为依据，营业收入指标以上年度累计数据为依据。无上年度数据的新成立企业可不填报。</w:t>
      </w:r>
    </w:p>
    <w:p w14:paraId="0FA4FFC2">
      <w:pPr>
        <w:numPr>
          <w:ilvl w:val="0"/>
          <w:numId w:val="0"/>
        </w:numPr>
        <w:ind w:firstLine="420" w:firstLineChars="200"/>
        <w:outlineLvl w:val="3"/>
        <w:rPr>
          <w:rFonts w:hint="eastAsia" w:ascii="黑体" w:hAnsi="宋体" w:eastAsia="黑体"/>
          <w:bCs/>
          <w:color w:val="FF0000"/>
          <w:kern w:val="0"/>
          <w:szCs w:val="21"/>
        </w:rPr>
      </w:pPr>
      <w:r>
        <w:rPr>
          <w:rFonts w:hint="eastAsia" w:ascii="黑体" w:hAnsi="宋体" w:eastAsia="黑体"/>
          <w:bCs/>
          <w:color w:val="FF0000"/>
          <w:kern w:val="0"/>
          <w:szCs w:val="21"/>
          <w:lang w:val="en-US" w:eastAsia="zh-CN"/>
        </w:rPr>
        <w:t>第九处，</w:t>
      </w:r>
      <w:r>
        <w:rPr>
          <w:rFonts w:hint="eastAsia" w:ascii="黑体" w:hAnsi="宋体" w:eastAsia="黑体"/>
          <w:bCs/>
          <w:color w:val="FF0000"/>
          <w:kern w:val="0"/>
          <w:szCs w:val="21"/>
        </w:rPr>
        <w:t>在“中型企业、小型企业、微型企业”下划线处应依据企业上年度从业人员、营业收入、资产总额等指标</w:t>
      </w:r>
      <w:r>
        <w:rPr>
          <w:rFonts w:hint="eastAsia" w:ascii="黑体" w:hAnsi="宋体" w:eastAsia="黑体"/>
          <w:bCs/>
          <w:color w:val="FF0000"/>
          <w:kern w:val="0"/>
          <w:szCs w:val="21"/>
          <w:lang w:eastAsia="zh-CN"/>
        </w:rPr>
        <w:t>，</w:t>
      </w:r>
      <w:r>
        <w:rPr>
          <w:rFonts w:hint="eastAsia" w:ascii="黑体" w:hAnsi="宋体" w:eastAsia="黑体"/>
          <w:bCs/>
          <w:color w:val="FF0000"/>
          <w:kern w:val="0"/>
          <w:szCs w:val="21"/>
        </w:rPr>
        <w:t>按照《中小企业划型标准规定》（工信部联企业〔2011〕300号）、《金融业企业划型标准规定》（银发〔2015〕309号）</w:t>
      </w:r>
      <w:r>
        <w:rPr>
          <w:rFonts w:hint="eastAsia" w:ascii="黑体" w:hAnsi="宋体" w:eastAsia="黑体"/>
          <w:bCs/>
          <w:color w:val="FF0000"/>
          <w:kern w:val="0"/>
          <w:szCs w:val="21"/>
          <w:lang w:eastAsia="zh-CN"/>
        </w:rPr>
        <w:t>，</w:t>
      </w:r>
      <w:r>
        <w:rPr>
          <w:rFonts w:hint="eastAsia" w:ascii="黑体" w:hAnsi="宋体" w:eastAsia="黑体"/>
          <w:bCs/>
          <w:color w:val="FF0000"/>
          <w:kern w:val="0"/>
          <w:szCs w:val="21"/>
        </w:rPr>
        <w:t>判断《中小企业声明函》载明的</w:t>
      </w:r>
      <w:r>
        <w:rPr>
          <w:rFonts w:hint="eastAsia" w:ascii="黑体" w:hAnsi="宋体" w:eastAsia="黑体"/>
          <w:bCs/>
          <w:color w:val="FF0000"/>
          <w:kern w:val="0"/>
          <w:szCs w:val="21"/>
          <w:lang w:eastAsia="zh-CN"/>
        </w:rPr>
        <w:t>服务承接商</w:t>
      </w:r>
      <w:r>
        <w:rPr>
          <w:rFonts w:hint="eastAsia" w:ascii="黑体" w:hAnsi="宋体" w:eastAsia="黑体"/>
          <w:bCs/>
          <w:color w:val="FF0000"/>
          <w:kern w:val="0"/>
          <w:szCs w:val="21"/>
        </w:rPr>
        <w:t>是否属于采购文件所属行业的中型企业/小型企业/微型企业。</w:t>
      </w:r>
    </w:p>
    <w:p w14:paraId="13F8F983">
      <w:pPr>
        <w:pStyle w:val="50"/>
        <w:ind w:firstLine="420" w:firstLineChars="200"/>
        <w:rPr>
          <w:rFonts w:hint="eastAsia" w:ascii="黑体" w:hAnsi="宋体" w:eastAsia="黑体"/>
          <w:bCs/>
          <w:color w:val="FF0000"/>
          <w:kern w:val="0"/>
          <w:szCs w:val="21"/>
          <w:lang w:eastAsia="zh-CN"/>
        </w:rPr>
      </w:pPr>
      <w:r>
        <w:rPr>
          <w:rFonts w:hint="eastAsia" w:ascii="黑体" w:hAnsi="宋体" w:eastAsia="黑体"/>
          <w:bCs/>
          <w:color w:val="FF0000"/>
          <w:kern w:val="0"/>
          <w:szCs w:val="21"/>
          <w:lang w:eastAsia="zh-CN"/>
        </w:rPr>
        <w:t>（</w:t>
      </w:r>
      <w:r>
        <w:rPr>
          <w:rFonts w:hint="eastAsia" w:ascii="黑体" w:hAnsi="宋体" w:eastAsia="黑体"/>
          <w:bCs/>
          <w:color w:val="FF0000"/>
          <w:kern w:val="0"/>
          <w:szCs w:val="21"/>
          <w:lang w:val="en-US" w:eastAsia="zh-CN"/>
        </w:rPr>
        <w:t>2</w:t>
      </w:r>
      <w:r>
        <w:rPr>
          <w:rFonts w:hint="eastAsia" w:ascii="黑体" w:hAnsi="宋体" w:eastAsia="黑体"/>
          <w:bCs/>
          <w:color w:val="FF0000"/>
          <w:kern w:val="0"/>
          <w:szCs w:val="21"/>
          <w:lang w:eastAsia="zh-CN"/>
        </w:rPr>
        <w:t>）对于已纳入统计部门统计范围的企业，所属行业、从业人员、营业收入、资产总额、规模类型应与统计部门报表保持一致。对于未纳入统计部门统计范围的企业，应对照《国民经济行业分类》确定所属行业，当企业从事两种以上的经济活动时，按照企业从事的主要活动确定所属行业；从业人员、营业收入、资产总额应按照上年度末实际情况填报，并应确保在争议纠纷处理时，可提供相关数据的来源依据。</w:t>
      </w:r>
    </w:p>
    <w:p w14:paraId="2ACD9FF0">
      <w:pPr>
        <w:ind w:firstLine="420" w:firstLineChars="200"/>
        <w:outlineLvl w:val="3"/>
        <w:rPr>
          <w:rFonts w:hint="eastAsia" w:ascii="黑体" w:hAnsi="宋体" w:eastAsia="黑体"/>
          <w:bCs/>
          <w:color w:val="FF0000"/>
          <w:kern w:val="0"/>
          <w:szCs w:val="21"/>
          <w:lang w:eastAsia="zh-CN"/>
        </w:rPr>
      </w:pPr>
      <w:r>
        <w:rPr>
          <w:rFonts w:hint="eastAsia" w:ascii="黑体" w:hAnsi="宋体" w:eastAsia="黑体"/>
          <w:bCs/>
          <w:color w:val="FF0000"/>
          <w:kern w:val="0"/>
          <w:szCs w:val="21"/>
          <w:lang w:eastAsia="zh-CN"/>
        </w:rPr>
        <w:t>（</w:t>
      </w:r>
      <w:r>
        <w:rPr>
          <w:rFonts w:hint="eastAsia" w:ascii="黑体" w:hAnsi="宋体" w:eastAsia="黑体"/>
          <w:bCs/>
          <w:color w:val="FF0000"/>
          <w:kern w:val="0"/>
          <w:szCs w:val="21"/>
          <w:lang w:val="en-US" w:eastAsia="zh-CN"/>
        </w:rPr>
        <w:t>3</w:t>
      </w:r>
      <w:r>
        <w:rPr>
          <w:rFonts w:hint="eastAsia" w:ascii="黑体" w:hAnsi="宋体" w:eastAsia="黑体"/>
          <w:bCs/>
          <w:color w:val="FF0000"/>
          <w:kern w:val="0"/>
          <w:szCs w:val="21"/>
          <w:lang w:eastAsia="zh-CN"/>
        </w:rPr>
        <w:t>）</w:t>
      </w:r>
      <w:r>
        <w:rPr>
          <w:rFonts w:hint="eastAsia" w:ascii="黑体" w:hAnsi="宋体" w:eastAsia="黑体"/>
          <w:bCs/>
          <w:color w:val="FF0000"/>
          <w:kern w:val="0"/>
          <w:szCs w:val="21"/>
        </w:rPr>
        <w:t>事业单位、社会组织等非企业主体不享受中小企业扶持政策</w:t>
      </w:r>
      <w:r>
        <w:rPr>
          <w:rFonts w:hint="eastAsia" w:ascii="黑体" w:hAnsi="宋体" w:eastAsia="黑体"/>
          <w:bCs/>
          <w:color w:val="FF0000"/>
          <w:kern w:val="0"/>
          <w:szCs w:val="21"/>
          <w:lang w:eastAsia="zh-CN"/>
        </w:rPr>
        <w:t>。</w:t>
      </w:r>
    </w:p>
    <w:p w14:paraId="4DBC96CF">
      <w:pPr>
        <w:ind w:firstLine="420" w:firstLineChars="200"/>
        <w:outlineLvl w:val="3"/>
        <w:rPr>
          <w:rFonts w:ascii="黑体" w:hAnsi="宋体" w:eastAsia="黑体"/>
          <w:bCs/>
          <w:color w:val="FF0000"/>
          <w:kern w:val="0"/>
          <w:szCs w:val="21"/>
        </w:rPr>
      </w:pPr>
      <w:r>
        <w:rPr>
          <w:rFonts w:hint="eastAsia" w:ascii="黑体" w:hAnsi="宋体" w:eastAsia="黑体"/>
          <w:bCs/>
          <w:color w:val="FF0000"/>
          <w:kern w:val="0"/>
          <w:szCs w:val="21"/>
        </w:rPr>
        <w:t>（</w:t>
      </w:r>
      <w:r>
        <w:rPr>
          <w:rFonts w:hint="eastAsia" w:ascii="黑体" w:hAnsi="宋体" w:eastAsia="黑体"/>
          <w:bCs/>
          <w:color w:val="FF0000"/>
          <w:kern w:val="0"/>
          <w:szCs w:val="21"/>
          <w:lang w:val="en-US" w:eastAsia="zh-CN"/>
        </w:rPr>
        <w:t>4</w:t>
      </w:r>
      <w:r>
        <w:rPr>
          <w:rFonts w:hint="eastAsia" w:ascii="黑体" w:hAnsi="宋体" w:eastAsia="黑体"/>
          <w:bCs/>
          <w:color w:val="FF0000"/>
          <w:kern w:val="0"/>
          <w:szCs w:val="21"/>
        </w:rPr>
        <w:t>）声明是残疾人福利性单位须填写《残疾人福利性单位声明函》的相关内容，具体参照以上《中小企业声明函》填写要求执行。</w:t>
      </w:r>
    </w:p>
    <w:p w14:paraId="3436FBC6">
      <w:pPr>
        <w:ind w:firstLine="420" w:firstLineChars="200"/>
        <w:outlineLvl w:val="3"/>
        <w:rPr>
          <w:rFonts w:ascii="黑体" w:hAnsi="宋体" w:eastAsia="黑体"/>
          <w:bCs/>
          <w:color w:val="FF0000"/>
          <w:kern w:val="0"/>
          <w:szCs w:val="21"/>
        </w:rPr>
      </w:pPr>
      <w:r>
        <w:rPr>
          <w:rFonts w:hint="eastAsia" w:ascii="黑体" w:hAnsi="宋体" w:eastAsia="黑体"/>
          <w:bCs/>
          <w:color w:val="FF0000"/>
          <w:kern w:val="0"/>
          <w:szCs w:val="21"/>
        </w:rPr>
        <w:t>（</w:t>
      </w:r>
      <w:r>
        <w:rPr>
          <w:rFonts w:hint="eastAsia" w:ascii="黑体" w:hAnsi="宋体" w:eastAsia="黑体"/>
          <w:bCs/>
          <w:color w:val="FF0000"/>
          <w:kern w:val="0"/>
          <w:szCs w:val="21"/>
          <w:lang w:val="en-US" w:eastAsia="zh-CN"/>
        </w:rPr>
        <w:t>5</w:t>
      </w:r>
      <w:r>
        <w:rPr>
          <w:rFonts w:hint="eastAsia" w:ascii="黑体" w:hAnsi="宋体" w:eastAsia="黑体"/>
          <w:bCs/>
          <w:color w:val="FF0000"/>
          <w:kern w:val="0"/>
          <w:szCs w:val="21"/>
        </w:rPr>
        <w:t>）声明是监狱企业须填写《监狱企业声明函》的三项内容（填写位置的字体已加粗），具体参照以上《中小企业声明函》填写要求执行。</w:t>
      </w:r>
    </w:p>
    <w:p w14:paraId="05264691">
      <w:pPr>
        <w:ind w:firstLine="420" w:firstLineChars="200"/>
        <w:rPr>
          <w:rFonts w:hint="eastAsia" w:ascii="黑体" w:hAnsi="宋体" w:eastAsia="黑体"/>
          <w:bCs/>
          <w:color w:val="FF0000"/>
          <w:kern w:val="0"/>
          <w:szCs w:val="21"/>
        </w:rPr>
      </w:pPr>
      <w:r>
        <w:rPr>
          <w:rFonts w:hint="eastAsia" w:ascii="黑体" w:hAnsi="宋体" w:eastAsia="黑体"/>
          <w:bCs/>
          <w:color w:val="FF0000"/>
          <w:kern w:val="0"/>
          <w:szCs w:val="21"/>
        </w:rPr>
        <w:t>5</w:t>
      </w:r>
      <w:r>
        <w:rPr>
          <w:rFonts w:hint="eastAsia" w:ascii="黑体" w:hAnsi="宋体" w:eastAsia="黑体"/>
          <w:bCs/>
          <w:color w:val="FF0000"/>
          <w:kern w:val="0"/>
          <w:szCs w:val="21"/>
          <w:lang w:val="en-US" w:eastAsia="zh-CN"/>
        </w:rPr>
        <w:t>.</w:t>
      </w:r>
      <w:r>
        <w:rPr>
          <w:rFonts w:hint="eastAsia" w:ascii="黑体" w:hAnsi="宋体" w:eastAsia="黑体"/>
          <w:bCs/>
          <w:color w:val="FF0000"/>
          <w:kern w:val="0"/>
          <w:szCs w:val="21"/>
        </w:rPr>
        <w:t>若本项目属于专门面向中小企业、残疾人福利性单位或监狱企业，则声明函有效性由采购人或代理机构判定，如判定声明函无效的，相关供应商将作资格审查不通过处理；若本项目非专门面向中小企业、残疾人福利性单位或监狱企业，声明函的有效性由评审委员会判定，如评审委员会判定声明函无效，相关供应商不享受价格扣除（但不作投标无效处理）。</w:t>
      </w:r>
    </w:p>
    <w:p w14:paraId="3C12375C">
      <w:pPr>
        <w:ind w:firstLine="420" w:firstLineChars="200"/>
        <w:rPr>
          <w:rFonts w:hint="eastAsia" w:ascii="黑体" w:hAnsi="宋体" w:eastAsia="黑体"/>
          <w:bCs/>
          <w:color w:val="FF0000"/>
          <w:kern w:val="0"/>
          <w:szCs w:val="21"/>
          <w:lang w:val="en-US" w:eastAsia="zh-CN"/>
        </w:rPr>
      </w:pPr>
      <w:r>
        <w:rPr>
          <w:rFonts w:hint="eastAsia" w:ascii="黑体" w:hAnsi="宋体" w:eastAsia="黑体"/>
          <w:bCs/>
          <w:color w:val="FF0000"/>
          <w:kern w:val="0"/>
          <w:szCs w:val="21"/>
          <w:lang w:val="en-US" w:eastAsia="zh-CN"/>
        </w:rPr>
        <w:t>6.本项目属于服务类项目，相关服务的承接商应当为中小企业或残疾人福利性单位或监狱企业，如包含硬件设备、产品等货物采购的，不再对其中涉及的货物的制造商作出要求。</w:t>
      </w:r>
    </w:p>
    <w:p w14:paraId="63C027B4">
      <w:pPr>
        <w:ind w:firstLine="420" w:firstLineChars="200"/>
        <w:outlineLvl w:val="3"/>
        <w:rPr>
          <w:rFonts w:hint="eastAsia" w:ascii="黑体" w:hAnsi="宋体" w:eastAsia="黑体"/>
          <w:bCs/>
          <w:color w:val="FF0000"/>
          <w:kern w:val="0"/>
          <w:szCs w:val="21"/>
          <w:lang w:val="en-US" w:eastAsia="zh-CN"/>
        </w:rPr>
      </w:pPr>
      <w:r>
        <w:rPr>
          <w:rFonts w:hint="eastAsia" w:ascii="黑体" w:hAnsi="宋体" w:eastAsia="黑体"/>
          <w:bCs/>
          <w:color w:val="FF0000"/>
          <w:kern w:val="0"/>
          <w:szCs w:val="21"/>
          <w:lang w:val="en-US" w:eastAsia="zh-CN"/>
        </w:rPr>
        <w:t>7.采购人、代理机构、评审委员会在依法进行资格审查、评审过程中，发现《中小企业声明函》存在明显笔误或含义不明确的，应按规定要求供应商进行澄清、说明或补正。澄清修改后符合中小企业条件的供应商，可以享受中小企业扶持政策。</w:t>
      </w:r>
    </w:p>
    <w:p w14:paraId="29B53002">
      <w:pPr>
        <w:pStyle w:val="50"/>
        <w:rPr>
          <w:rFonts w:hint="default"/>
          <w:lang w:val="en-US" w:eastAsia="zh-CN"/>
        </w:rPr>
      </w:pPr>
    </w:p>
    <w:p w14:paraId="641C4432">
      <w:pPr>
        <w:ind w:firstLine="420" w:firstLineChars="200"/>
      </w:pPr>
    </w:p>
    <w:p w14:paraId="3198B93A">
      <w:pPr>
        <w:numPr>
          <w:ilvl w:val="0"/>
          <w:numId w:val="0"/>
        </w:numPr>
        <w:jc w:val="center"/>
        <w:outlineLvl w:val="3"/>
        <w:rPr>
          <w:b/>
          <w:sz w:val="24"/>
        </w:rPr>
      </w:pPr>
      <w:r>
        <w:rPr>
          <w:rFonts w:hint="eastAsia"/>
          <w:b/>
          <w:sz w:val="24"/>
          <w:lang w:val="en-US" w:eastAsia="zh-CN"/>
        </w:rPr>
        <w:t>1.</w:t>
      </w:r>
      <w:r>
        <w:rPr>
          <w:b/>
          <w:sz w:val="24"/>
        </w:rPr>
        <w:t>中小企业声明函（</w:t>
      </w:r>
      <w:r>
        <w:rPr>
          <w:rFonts w:hint="eastAsia"/>
          <w:b/>
          <w:sz w:val="24"/>
        </w:rPr>
        <w:t>服务</w:t>
      </w:r>
      <w:r>
        <w:rPr>
          <w:b/>
          <w:sz w:val="24"/>
        </w:rPr>
        <w:t>）</w:t>
      </w:r>
    </w:p>
    <w:p w14:paraId="5F1413D1">
      <w:pPr>
        <w:pStyle w:val="8"/>
        <w:numPr>
          <w:ilvl w:val="0"/>
          <w:numId w:val="0"/>
        </w:numPr>
      </w:pPr>
    </w:p>
    <w:p w14:paraId="66AE698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3"/>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本公司（联合体）郑重声明，根据《政府采购促进中小企业发展管理办法》（财库﹝2020﹞46号）的规定，本公司（联合体）参加</w:t>
      </w:r>
      <w:r>
        <w:rPr>
          <w:rFonts w:hint="eastAsia" w:asciiTheme="minorEastAsia" w:hAnsiTheme="minorEastAsia" w:eastAsiaTheme="minorEastAsia" w:cstheme="minorEastAsia"/>
          <w:b/>
          <w:bCs/>
          <w:i/>
          <w:iCs/>
          <w:sz w:val="21"/>
          <w:szCs w:val="21"/>
          <w:u w:val="single"/>
          <w:lang w:val="en-US" w:eastAsia="zh-CN"/>
        </w:rPr>
        <w:t xml:space="preserve">    </w:t>
      </w:r>
      <w:r>
        <w:rPr>
          <w:rFonts w:hint="eastAsia" w:asciiTheme="minorEastAsia" w:hAnsiTheme="minorEastAsia" w:eastAsiaTheme="minorEastAsia" w:cstheme="minorEastAsia"/>
          <w:b/>
          <w:bCs/>
          <w:i/>
          <w:iCs/>
          <w:sz w:val="21"/>
          <w:szCs w:val="21"/>
          <w:u w:val="single"/>
        </w:rPr>
        <w:t>（单位名称）</w:t>
      </w:r>
      <w:r>
        <w:rPr>
          <w:rFonts w:hint="eastAsia" w:asciiTheme="minorEastAsia" w:hAnsiTheme="minorEastAsia" w:eastAsiaTheme="minorEastAsia" w:cstheme="minorEastAsia"/>
          <w:b/>
          <w:bCs/>
          <w:i/>
          <w:iCs/>
          <w:sz w:val="21"/>
          <w:szCs w:val="21"/>
          <w:u w:val="single"/>
          <w:lang w:val="en-US" w:eastAsia="zh-CN"/>
        </w:rPr>
        <w:t xml:space="preserve">    </w:t>
      </w:r>
      <w:r>
        <w:rPr>
          <w:rFonts w:hint="eastAsia" w:asciiTheme="minorEastAsia" w:hAnsiTheme="minorEastAsia" w:eastAsiaTheme="minorEastAsia" w:cstheme="minorEastAsia"/>
          <w:sz w:val="21"/>
          <w:szCs w:val="21"/>
        </w:rPr>
        <w:t>的</w:t>
      </w:r>
      <w:r>
        <w:rPr>
          <w:rFonts w:hint="eastAsia" w:asciiTheme="minorEastAsia" w:hAnsiTheme="minorEastAsia" w:eastAsiaTheme="minorEastAsia" w:cstheme="minorEastAsia"/>
          <w:b/>
          <w:bCs/>
          <w:i/>
          <w:iCs/>
          <w:sz w:val="21"/>
          <w:szCs w:val="21"/>
          <w:u w:val="single"/>
          <w:lang w:val="en-US" w:eastAsia="zh-CN"/>
        </w:rPr>
        <w:t xml:space="preserve">    </w:t>
      </w:r>
      <w:r>
        <w:rPr>
          <w:rFonts w:hint="eastAsia" w:asciiTheme="minorEastAsia" w:hAnsiTheme="minorEastAsia" w:eastAsiaTheme="minorEastAsia" w:cstheme="minorEastAsia"/>
          <w:b/>
          <w:bCs/>
          <w:i/>
          <w:iCs/>
          <w:sz w:val="21"/>
          <w:szCs w:val="21"/>
          <w:u w:val="single"/>
        </w:rPr>
        <w:t>（项目名称）</w:t>
      </w:r>
      <w:r>
        <w:rPr>
          <w:rFonts w:hint="eastAsia" w:asciiTheme="minorEastAsia" w:hAnsiTheme="minorEastAsia" w:eastAsiaTheme="minorEastAsia" w:cstheme="minorEastAsia"/>
          <w:b/>
          <w:bCs/>
          <w:i/>
          <w:iCs/>
          <w:sz w:val="21"/>
          <w:szCs w:val="21"/>
          <w:u w:val="single"/>
          <w:lang w:val="en-US" w:eastAsia="zh-CN"/>
        </w:rPr>
        <w:t xml:space="preserve">    </w:t>
      </w:r>
      <w:r>
        <w:rPr>
          <w:rFonts w:hint="eastAsia" w:asciiTheme="minorEastAsia" w:hAnsiTheme="minorEastAsia" w:eastAsiaTheme="minorEastAsia" w:cstheme="minorEastAsia"/>
          <w:kern w:val="2"/>
          <w:sz w:val="21"/>
          <w:szCs w:val="21"/>
          <w:lang w:val="en-US" w:eastAsia="zh-CN" w:bidi="ar-SA"/>
        </w:rPr>
        <w:t>采购活动，服务全部由符合政策要求的中小企业承接。相关企业（含联合体中的中小企业、签订分包意向协议的中小企业）的具体情况如下：</w:t>
      </w:r>
    </w:p>
    <w:p w14:paraId="27D0005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3"/>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1.</w:t>
      </w:r>
      <w:r>
        <w:rPr>
          <w:rFonts w:hint="eastAsia" w:asciiTheme="minorEastAsia" w:hAnsiTheme="minorEastAsia" w:eastAsiaTheme="minorEastAsia" w:cstheme="minorEastAsia"/>
          <w:b/>
          <w:bCs/>
          <w:i/>
          <w:iCs/>
          <w:sz w:val="21"/>
          <w:szCs w:val="21"/>
          <w:u w:val="single"/>
          <w:lang w:val="en-US" w:eastAsia="zh-CN"/>
        </w:rPr>
        <w:t xml:space="preserve">    </w:t>
      </w:r>
      <w:r>
        <w:rPr>
          <w:rFonts w:hint="eastAsia" w:asciiTheme="minorEastAsia" w:hAnsiTheme="minorEastAsia" w:eastAsiaTheme="minorEastAsia" w:cstheme="minorEastAsia"/>
          <w:b/>
          <w:bCs/>
          <w:i/>
          <w:iCs/>
          <w:sz w:val="21"/>
          <w:szCs w:val="21"/>
          <w:u w:val="single"/>
        </w:rPr>
        <w:t>（标的名称）</w:t>
      </w:r>
      <w:r>
        <w:rPr>
          <w:rFonts w:hint="eastAsia" w:asciiTheme="minorEastAsia" w:hAnsiTheme="minorEastAsia" w:eastAsiaTheme="minorEastAsia" w:cstheme="minorEastAsia"/>
          <w:b/>
          <w:bCs/>
          <w:i/>
          <w:iCs/>
          <w:sz w:val="21"/>
          <w:szCs w:val="21"/>
          <w:u w:val="single"/>
          <w:lang w:val="en-US" w:eastAsia="zh-CN"/>
        </w:rPr>
        <w:t xml:space="preserve">    </w:t>
      </w:r>
      <w:r>
        <w:rPr>
          <w:rFonts w:hint="eastAsia" w:asciiTheme="minorEastAsia" w:hAnsiTheme="minorEastAsia" w:eastAsiaTheme="minorEastAsia" w:cstheme="minorEastAsia"/>
          <w:b/>
          <w:bCs/>
          <w:i/>
          <w:iCs/>
          <w:sz w:val="21"/>
          <w:szCs w:val="21"/>
          <w:u w:val="single"/>
        </w:rPr>
        <w:t xml:space="preserve"> </w:t>
      </w:r>
      <w:r>
        <w:rPr>
          <w:rFonts w:hint="eastAsia" w:asciiTheme="minorEastAsia" w:hAnsiTheme="minorEastAsia" w:eastAsiaTheme="minorEastAsia" w:cstheme="minorEastAsia"/>
          <w:sz w:val="21"/>
          <w:szCs w:val="21"/>
        </w:rPr>
        <w:t>，属于</w:t>
      </w:r>
      <w:r>
        <w:rPr>
          <w:rFonts w:hint="eastAsia" w:asciiTheme="minorEastAsia" w:hAnsiTheme="minorEastAsia" w:eastAsiaTheme="minorEastAsia" w:cstheme="minorEastAsia"/>
          <w:b/>
          <w:bCs/>
          <w:i/>
          <w:iCs/>
          <w:sz w:val="21"/>
          <w:szCs w:val="21"/>
          <w:u w:val="single"/>
          <w:lang w:val="en-US" w:eastAsia="zh-CN"/>
        </w:rPr>
        <w:t xml:space="preserve">    </w:t>
      </w:r>
      <w:r>
        <w:rPr>
          <w:rFonts w:hint="eastAsia" w:asciiTheme="minorEastAsia" w:hAnsiTheme="minorEastAsia" w:eastAsiaTheme="minorEastAsia" w:cstheme="minorEastAsia"/>
          <w:b/>
          <w:bCs/>
          <w:i/>
          <w:iCs/>
          <w:sz w:val="21"/>
          <w:szCs w:val="21"/>
          <w:u w:val="single"/>
        </w:rPr>
        <w:t>（采购文件中明确的所属行业）</w:t>
      </w:r>
      <w:r>
        <w:rPr>
          <w:rFonts w:hint="eastAsia" w:asciiTheme="minorEastAsia" w:hAnsiTheme="minorEastAsia" w:eastAsiaTheme="minorEastAsia" w:cstheme="minorEastAsia"/>
          <w:b/>
          <w:bCs/>
          <w:i/>
          <w:iCs/>
          <w:sz w:val="21"/>
          <w:szCs w:val="21"/>
          <w:u w:val="single"/>
          <w:lang w:val="en-US" w:eastAsia="zh-CN"/>
        </w:rPr>
        <w:t xml:space="preserve">    </w:t>
      </w:r>
      <w:r>
        <w:rPr>
          <w:rFonts w:hint="eastAsia" w:asciiTheme="minorEastAsia" w:hAnsiTheme="minorEastAsia" w:eastAsiaTheme="minorEastAsia" w:cstheme="minorEastAsia"/>
          <w:sz w:val="21"/>
          <w:szCs w:val="21"/>
        </w:rPr>
        <w:t>行业</w:t>
      </w:r>
      <w:r>
        <w:rPr>
          <w:rFonts w:hint="eastAsia" w:asciiTheme="minorEastAsia" w:hAnsiTheme="minorEastAsia" w:eastAsiaTheme="minorEastAsia" w:cstheme="minorEastAsia"/>
          <w:kern w:val="2"/>
          <w:sz w:val="21"/>
          <w:szCs w:val="21"/>
          <w:lang w:val="en-US" w:eastAsia="zh-CN" w:bidi="ar-SA"/>
        </w:rPr>
        <w:t>；承接企业为</w:t>
      </w:r>
      <w:r>
        <w:rPr>
          <w:rFonts w:hint="eastAsia" w:asciiTheme="minorEastAsia" w:hAnsiTheme="minorEastAsia" w:eastAsiaTheme="minorEastAsia" w:cstheme="minorEastAsia"/>
          <w:b/>
          <w:bCs/>
          <w:i/>
          <w:iCs/>
          <w:sz w:val="21"/>
          <w:szCs w:val="21"/>
          <w:u w:val="single"/>
          <w:lang w:val="en-US" w:eastAsia="zh-CN"/>
        </w:rPr>
        <w:t xml:space="preserve">    </w:t>
      </w:r>
      <w:r>
        <w:rPr>
          <w:rFonts w:hint="eastAsia" w:asciiTheme="minorEastAsia" w:hAnsiTheme="minorEastAsia" w:eastAsiaTheme="minorEastAsia" w:cstheme="minorEastAsia"/>
          <w:b/>
          <w:bCs/>
          <w:i/>
          <w:iCs/>
          <w:sz w:val="21"/>
          <w:szCs w:val="21"/>
          <w:u w:val="single"/>
        </w:rPr>
        <w:t>（企业名称</w:t>
      </w:r>
      <w:r>
        <w:rPr>
          <w:rFonts w:hint="eastAsia" w:asciiTheme="minorEastAsia" w:hAnsiTheme="minorEastAsia" w:eastAsiaTheme="minorEastAsia" w:cstheme="minorEastAsia"/>
          <w:b/>
          <w:bCs/>
          <w:i/>
          <w:iCs/>
          <w:sz w:val="21"/>
          <w:szCs w:val="21"/>
          <w:u w:val="single"/>
          <w:lang w:eastAsia="zh-CN"/>
        </w:rPr>
        <w:t>，要求</w:t>
      </w:r>
      <w:r>
        <w:rPr>
          <w:rFonts w:hint="eastAsia" w:asciiTheme="minorEastAsia" w:hAnsiTheme="minorEastAsia" w:eastAsiaTheme="minorEastAsia" w:cstheme="minorEastAsia"/>
          <w:b/>
          <w:bCs/>
          <w:i/>
          <w:iCs/>
          <w:sz w:val="21"/>
          <w:szCs w:val="21"/>
          <w:u w:val="single"/>
          <w:lang w:val="en-US" w:eastAsia="zh-CN"/>
        </w:rPr>
        <w:t>承接企业本身</w:t>
      </w:r>
      <w:r>
        <w:rPr>
          <w:rFonts w:hint="eastAsia" w:asciiTheme="minorEastAsia" w:hAnsiTheme="minorEastAsia" w:eastAsiaTheme="minorEastAsia" w:cstheme="minorEastAsia"/>
          <w:b/>
          <w:bCs/>
          <w:i/>
          <w:iCs/>
          <w:sz w:val="21"/>
          <w:szCs w:val="21"/>
          <w:u w:val="single"/>
          <w:lang w:eastAsia="zh-CN"/>
        </w:rPr>
        <w:t>所属行业应当与招标文件要求的行业相一致</w:t>
      </w:r>
      <w:r>
        <w:rPr>
          <w:rFonts w:hint="eastAsia" w:asciiTheme="minorEastAsia" w:hAnsiTheme="minorEastAsia" w:eastAsiaTheme="minorEastAsia" w:cstheme="minorEastAsia"/>
          <w:b/>
          <w:bCs/>
          <w:i/>
          <w:iCs/>
          <w:sz w:val="21"/>
          <w:szCs w:val="21"/>
          <w:u w:val="single"/>
        </w:rPr>
        <w:t>）</w:t>
      </w:r>
      <w:r>
        <w:rPr>
          <w:rFonts w:hint="eastAsia" w:asciiTheme="minorEastAsia" w:hAnsiTheme="minorEastAsia" w:eastAsiaTheme="minorEastAsia" w:cstheme="minorEastAsia"/>
          <w:b/>
          <w:bCs/>
          <w:i/>
          <w:iCs/>
          <w:sz w:val="21"/>
          <w:szCs w:val="21"/>
          <w:u w:val="single"/>
          <w:lang w:val="en-US" w:eastAsia="zh-CN"/>
        </w:rPr>
        <w:t xml:space="preserve">    </w:t>
      </w:r>
      <w:r>
        <w:rPr>
          <w:rFonts w:hint="eastAsia" w:asciiTheme="minorEastAsia" w:hAnsiTheme="minorEastAsia" w:eastAsiaTheme="minorEastAsia" w:cstheme="minorEastAsia"/>
          <w:kern w:val="2"/>
          <w:sz w:val="21"/>
          <w:szCs w:val="21"/>
          <w:lang w:val="en-US" w:eastAsia="zh-CN" w:bidi="ar-SA"/>
        </w:rPr>
        <w:t>，从业人员</w:t>
      </w:r>
      <w:r>
        <w:rPr>
          <w:rFonts w:hint="eastAsia" w:asciiTheme="minorEastAsia" w:hAnsiTheme="minorEastAsia" w:eastAsiaTheme="minorEastAsia" w:cstheme="minorEastAsia"/>
          <w:b/>
          <w:bCs/>
          <w:i/>
          <w:iCs/>
          <w:sz w:val="21"/>
          <w:szCs w:val="21"/>
          <w:u w:val="single"/>
          <w:lang w:val="en-US" w:eastAsia="zh-CN"/>
        </w:rPr>
        <w:t xml:space="preserve">        </w:t>
      </w:r>
      <w:r>
        <w:rPr>
          <w:rFonts w:hint="eastAsia" w:asciiTheme="minorEastAsia" w:hAnsiTheme="minorEastAsia" w:eastAsiaTheme="minorEastAsia" w:cstheme="minorEastAsia"/>
          <w:kern w:val="2"/>
          <w:sz w:val="21"/>
          <w:szCs w:val="21"/>
          <w:lang w:val="en-US" w:eastAsia="zh-CN" w:bidi="ar-SA"/>
        </w:rPr>
        <w:t>人，营业收入为</w:t>
      </w:r>
      <w:r>
        <w:rPr>
          <w:rFonts w:hint="eastAsia" w:asciiTheme="minorEastAsia" w:hAnsiTheme="minorEastAsia" w:eastAsiaTheme="minorEastAsia" w:cstheme="minorEastAsia"/>
          <w:b/>
          <w:bCs/>
          <w:i/>
          <w:iCs/>
          <w:sz w:val="21"/>
          <w:szCs w:val="21"/>
          <w:u w:val="single"/>
          <w:lang w:val="en-US" w:eastAsia="zh-CN"/>
        </w:rPr>
        <w:t xml:space="preserve">        </w:t>
      </w:r>
      <w:r>
        <w:rPr>
          <w:rFonts w:hint="eastAsia" w:asciiTheme="minorEastAsia" w:hAnsiTheme="minorEastAsia" w:eastAsiaTheme="minorEastAsia" w:cstheme="minorEastAsia"/>
          <w:kern w:val="2"/>
          <w:sz w:val="21"/>
          <w:szCs w:val="21"/>
          <w:lang w:val="en-US" w:eastAsia="zh-CN" w:bidi="ar-SA"/>
        </w:rPr>
        <w:t>万元，资产总额为</w:t>
      </w:r>
      <w:r>
        <w:rPr>
          <w:rFonts w:hint="eastAsia" w:asciiTheme="minorEastAsia" w:hAnsiTheme="minorEastAsia" w:eastAsiaTheme="minorEastAsia" w:cstheme="minorEastAsia"/>
          <w:b/>
          <w:bCs/>
          <w:i/>
          <w:iCs/>
          <w:sz w:val="21"/>
          <w:szCs w:val="21"/>
          <w:u w:val="single"/>
          <w:lang w:val="en-US" w:eastAsia="zh-CN"/>
        </w:rPr>
        <w:t xml:space="preserve">        </w:t>
      </w:r>
      <w:r>
        <w:rPr>
          <w:rFonts w:hint="eastAsia" w:asciiTheme="minorEastAsia" w:hAnsiTheme="minorEastAsia" w:eastAsiaTheme="minorEastAsia" w:cstheme="minorEastAsia"/>
          <w:kern w:val="2"/>
          <w:sz w:val="21"/>
          <w:szCs w:val="21"/>
          <w:lang w:val="en-US" w:eastAsia="zh-CN" w:bidi="ar-SA"/>
        </w:rPr>
        <w:t>万元，属于</w:t>
      </w:r>
      <w:r>
        <w:rPr>
          <w:rFonts w:hint="eastAsia" w:asciiTheme="minorEastAsia" w:hAnsiTheme="minorEastAsia" w:eastAsiaTheme="minorEastAsia" w:cstheme="minorEastAsia"/>
          <w:b/>
          <w:bCs/>
          <w:i/>
          <w:iCs/>
          <w:sz w:val="21"/>
          <w:szCs w:val="21"/>
          <w:u w:val="single"/>
          <w:lang w:val="en-US" w:eastAsia="zh-CN"/>
        </w:rPr>
        <w:t xml:space="preserve">    </w:t>
      </w:r>
      <w:r>
        <w:rPr>
          <w:rFonts w:hint="eastAsia" w:asciiTheme="minorEastAsia" w:hAnsiTheme="minorEastAsia" w:eastAsiaTheme="minorEastAsia" w:cstheme="minorEastAsia"/>
          <w:b/>
          <w:bCs/>
          <w:i/>
          <w:iCs/>
          <w:sz w:val="21"/>
          <w:szCs w:val="21"/>
          <w:u w:val="single"/>
        </w:rPr>
        <w:t>（中型企业、小型企业、微型企业）</w:t>
      </w:r>
      <w:r>
        <w:rPr>
          <w:rFonts w:hint="eastAsia" w:asciiTheme="minorEastAsia" w:hAnsiTheme="minorEastAsia" w:eastAsiaTheme="minorEastAsia" w:cstheme="minorEastAsia"/>
          <w:b/>
          <w:bCs/>
          <w:i/>
          <w:iCs/>
          <w:sz w:val="21"/>
          <w:szCs w:val="21"/>
          <w:u w:val="single"/>
          <w:lang w:val="en-US" w:eastAsia="zh-CN"/>
        </w:rPr>
        <w:t xml:space="preserve">    </w:t>
      </w:r>
      <w:r>
        <w:rPr>
          <w:rFonts w:hint="eastAsia" w:asciiTheme="minorEastAsia" w:hAnsiTheme="minorEastAsia" w:eastAsiaTheme="minorEastAsia" w:cstheme="minorEastAsia"/>
          <w:kern w:val="2"/>
          <w:sz w:val="21"/>
          <w:szCs w:val="21"/>
          <w:lang w:val="en-US" w:eastAsia="zh-CN" w:bidi="ar-SA"/>
        </w:rPr>
        <w:t>；</w:t>
      </w:r>
    </w:p>
    <w:p w14:paraId="30E560F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3"/>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2.</w:t>
      </w:r>
      <w:r>
        <w:rPr>
          <w:rFonts w:hint="eastAsia" w:asciiTheme="minorEastAsia" w:hAnsiTheme="minorEastAsia" w:eastAsiaTheme="minorEastAsia" w:cstheme="minorEastAsia"/>
          <w:b/>
          <w:bCs/>
          <w:i/>
          <w:iCs/>
          <w:sz w:val="21"/>
          <w:szCs w:val="21"/>
          <w:u w:val="single"/>
          <w:lang w:val="en-US" w:eastAsia="zh-CN"/>
        </w:rPr>
        <w:t xml:space="preserve">    </w:t>
      </w:r>
      <w:r>
        <w:rPr>
          <w:rFonts w:hint="eastAsia" w:asciiTheme="minorEastAsia" w:hAnsiTheme="minorEastAsia" w:eastAsiaTheme="minorEastAsia" w:cstheme="minorEastAsia"/>
          <w:b/>
          <w:bCs/>
          <w:i/>
          <w:iCs/>
          <w:sz w:val="21"/>
          <w:szCs w:val="21"/>
          <w:u w:val="single"/>
        </w:rPr>
        <w:t>（标的名称）</w:t>
      </w:r>
      <w:r>
        <w:rPr>
          <w:rFonts w:hint="eastAsia" w:asciiTheme="minorEastAsia" w:hAnsiTheme="minorEastAsia" w:eastAsiaTheme="minorEastAsia" w:cstheme="minorEastAsia"/>
          <w:b/>
          <w:bCs/>
          <w:i/>
          <w:iCs/>
          <w:sz w:val="21"/>
          <w:szCs w:val="21"/>
          <w:u w:val="single"/>
          <w:lang w:val="en-US" w:eastAsia="zh-CN"/>
        </w:rPr>
        <w:t xml:space="preserve">    </w:t>
      </w:r>
      <w:r>
        <w:rPr>
          <w:rFonts w:hint="eastAsia" w:asciiTheme="minorEastAsia" w:hAnsiTheme="minorEastAsia" w:eastAsiaTheme="minorEastAsia" w:cstheme="minorEastAsia"/>
          <w:b/>
          <w:bCs/>
          <w:i/>
          <w:iCs/>
          <w:sz w:val="21"/>
          <w:szCs w:val="21"/>
          <w:u w:val="single"/>
        </w:rPr>
        <w:t xml:space="preserve"> </w:t>
      </w:r>
      <w:r>
        <w:rPr>
          <w:rFonts w:hint="eastAsia" w:asciiTheme="minorEastAsia" w:hAnsiTheme="minorEastAsia" w:eastAsiaTheme="minorEastAsia" w:cstheme="minorEastAsia"/>
          <w:sz w:val="21"/>
          <w:szCs w:val="21"/>
        </w:rPr>
        <w:t>，属于</w:t>
      </w:r>
      <w:r>
        <w:rPr>
          <w:rFonts w:hint="eastAsia" w:asciiTheme="minorEastAsia" w:hAnsiTheme="minorEastAsia" w:eastAsiaTheme="minorEastAsia" w:cstheme="minorEastAsia"/>
          <w:b/>
          <w:bCs/>
          <w:i/>
          <w:iCs/>
          <w:sz w:val="21"/>
          <w:szCs w:val="21"/>
          <w:u w:val="single"/>
          <w:lang w:val="en-US" w:eastAsia="zh-CN"/>
        </w:rPr>
        <w:t xml:space="preserve">    </w:t>
      </w:r>
      <w:r>
        <w:rPr>
          <w:rFonts w:hint="eastAsia" w:asciiTheme="minorEastAsia" w:hAnsiTheme="minorEastAsia" w:eastAsiaTheme="minorEastAsia" w:cstheme="minorEastAsia"/>
          <w:b/>
          <w:bCs/>
          <w:i/>
          <w:iCs/>
          <w:sz w:val="21"/>
          <w:szCs w:val="21"/>
          <w:u w:val="single"/>
        </w:rPr>
        <w:t>（采购文件中明确的所属行业）</w:t>
      </w:r>
      <w:r>
        <w:rPr>
          <w:rFonts w:hint="eastAsia" w:asciiTheme="minorEastAsia" w:hAnsiTheme="minorEastAsia" w:eastAsiaTheme="minorEastAsia" w:cstheme="minorEastAsia"/>
          <w:b/>
          <w:bCs/>
          <w:i/>
          <w:iCs/>
          <w:sz w:val="21"/>
          <w:szCs w:val="21"/>
          <w:u w:val="single"/>
          <w:lang w:val="en-US" w:eastAsia="zh-CN"/>
        </w:rPr>
        <w:t xml:space="preserve">    </w:t>
      </w:r>
      <w:r>
        <w:rPr>
          <w:rFonts w:hint="eastAsia" w:asciiTheme="minorEastAsia" w:hAnsiTheme="minorEastAsia" w:eastAsiaTheme="minorEastAsia" w:cstheme="minorEastAsia"/>
          <w:sz w:val="21"/>
          <w:szCs w:val="21"/>
        </w:rPr>
        <w:t>行业</w:t>
      </w:r>
      <w:r>
        <w:rPr>
          <w:rFonts w:hint="eastAsia" w:asciiTheme="minorEastAsia" w:hAnsiTheme="minorEastAsia" w:eastAsiaTheme="minorEastAsia" w:cstheme="minorEastAsia"/>
          <w:kern w:val="2"/>
          <w:sz w:val="21"/>
          <w:szCs w:val="21"/>
          <w:lang w:val="en-US" w:eastAsia="zh-CN" w:bidi="ar-SA"/>
        </w:rPr>
        <w:t>；承接企业为</w:t>
      </w:r>
      <w:r>
        <w:rPr>
          <w:rFonts w:hint="eastAsia" w:asciiTheme="minorEastAsia" w:hAnsiTheme="minorEastAsia" w:eastAsiaTheme="minorEastAsia" w:cstheme="minorEastAsia"/>
          <w:b/>
          <w:bCs/>
          <w:i/>
          <w:iCs/>
          <w:sz w:val="21"/>
          <w:szCs w:val="21"/>
          <w:u w:val="single"/>
          <w:lang w:val="en-US" w:eastAsia="zh-CN"/>
        </w:rPr>
        <w:t xml:space="preserve">    </w:t>
      </w:r>
      <w:r>
        <w:rPr>
          <w:rFonts w:hint="eastAsia" w:asciiTheme="minorEastAsia" w:hAnsiTheme="minorEastAsia" w:eastAsiaTheme="minorEastAsia" w:cstheme="minorEastAsia"/>
          <w:b/>
          <w:bCs/>
          <w:i/>
          <w:iCs/>
          <w:sz w:val="21"/>
          <w:szCs w:val="21"/>
          <w:u w:val="single"/>
        </w:rPr>
        <w:t>（企业名称</w:t>
      </w:r>
      <w:r>
        <w:rPr>
          <w:rFonts w:hint="eastAsia" w:asciiTheme="minorEastAsia" w:hAnsiTheme="minorEastAsia" w:eastAsiaTheme="minorEastAsia" w:cstheme="minorEastAsia"/>
          <w:b/>
          <w:bCs/>
          <w:i/>
          <w:iCs/>
          <w:sz w:val="21"/>
          <w:szCs w:val="21"/>
          <w:u w:val="single"/>
          <w:lang w:eastAsia="zh-CN"/>
        </w:rPr>
        <w:t>，要求</w:t>
      </w:r>
      <w:r>
        <w:rPr>
          <w:rFonts w:hint="eastAsia" w:asciiTheme="minorEastAsia" w:hAnsiTheme="minorEastAsia" w:eastAsiaTheme="minorEastAsia" w:cstheme="minorEastAsia"/>
          <w:b/>
          <w:bCs/>
          <w:i/>
          <w:iCs/>
          <w:sz w:val="21"/>
          <w:szCs w:val="21"/>
          <w:u w:val="single"/>
          <w:lang w:val="en-US" w:eastAsia="zh-CN"/>
        </w:rPr>
        <w:t>承接企业本身</w:t>
      </w:r>
      <w:r>
        <w:rPr>
          <w:rFonts w:hint="eastAsia" w:asciiTheme="minorEastAsia" w:hAnsiTheme="minorEastAsia" w:eastAsiaTheme="minorEastAsia" w:cstheme="minorEastAsia"/>
          <w:b/>
          <w:bCs/>
          <w:i/>
          <w:iCs/>
          <w:sz w:val="21"/>
          <w:szCs w:val="21"/>
          <w:u w:val="single"/>
          <w:lang w:eastAsia="zh-CN"/>
        </w:rPr>
        <w:t>所属行业应当与招标文件要求的行业相一致</w:t>
      </w:r>
      <w:r>
        <w:rPr>
          <w:rFonts w:hint="eastAsia" w:asciiTheme="minorEastAsia" w:hAnsiTheme="minorEastAsia" w:eastAsiaTheme="minorEastAsia" w:cstheme="minorEastAsia"/>
          <w:b/>
          <w:bCs/>
          <w:i/>
          <w:iCs/>
          <w:sz w:val="21"/>
          <w:szCs w:val="21"/>
          <w:u w:val="single"/>
        </w:rPr>
        <w:t>）</w:t>
      </w:r>
      <w:r>
        <w:rPr>
          <w:rFonts w:hint="eastAsia" w:asciiTheme="minorEastAsia" w:hAnsiTheme="minorEastAsia" w:eastAsiaTheme="minorEastAsia" w:cstheme="minorEastAsia"/>
          <w:b/>
          <w:bCs/>
          <w:i/>
          <w:iCs/>
          <w:sz w:val="21"/>
          <w:szCs w:val="21"/>
          <w:u w:val="single"/>
          <w:lang w:val="en-US" w:eastAsia="zh-CN"/>
        </w:rPr>
        <w:t xml:space="preserve">    </w:t>
      </w:r>
      <w:r>
        <w:rPr>
          <w:rFonts w:hint="eastAsia" w:asciiTheme="minorEastAsia" w:hAnsiTheme="minorEastAsia" w:eastAsiaTheme="minorEastAsia" w:cstheme="minorEastAsia"/>
          <w:kern w:val="2"/>
          <w:sz w:val="21"/>
          <w:szCs w:val="21"/>
          <w:lang w:val="en-US" w:eastAsia="zh-CN" w:bidi="ar-SA"/>
        </w:rPr>
        <w:t>，从业人员</w:t>
      </w:r>
      <w:r>
        <w:rPr>
          <w:rFonts w:hint="eastAsia" w:asciiTheme="minorEastAsia" w:hAnsiTheme="minorEastAsia" w:eastAsiaTheme="minorEastAsia" w:cstheme="minorEastAsia"/>
          <w:b/>
          <w:bCs/>
          <w:i/>
          <w:iCs/>
          <w:sz w:val="21"/>
          <w:szCs w:val="21"/>
          <w:u w:val="single"/>
          <w:lang w:val="en-US" w:eastAsia="zh-CN"/>
        </w:rPr>
        <w:t xml:space="preserve">        </w:t>
      </w:r>
      <w:r>
        <w:rPr>
          <w:rFonts w:hint="eastAsia" w:asciiTheme="minorEastAsia" w:hAnsiTheme="minorEastAsia" w:eastAsiaTheme="minorEastAsia" w:cstheme="minorEastAsia"/>
          <w:kern w:val="2"/>
          <w:sz w:val="21"/>
          <w:szCs w:val="21"/>
          <w:lang w:val="en-US" w:eastAsia="zh-CN" w:bidi="ar-SA"/>
        </w:rPr>
        <w:t>人，营业收入为</w:t>
      </w:r>
      <w:r>
        <w:rPr>
          <w:rFonts w:hint="eastAsia" w:asciiTheme="minorEastAsia" w:hAnsiTheme="minorEastAsia" w:eastAsiaTheme="minorEastAsia" w:cstheme="minorEastAsia"/>
          <w:b/>
          <w:bCs/>
          <w:i/>
          <w:iCs/>
          <w:sz w:val="21"/>
          <w:szCs w:val="21"/>
          <w:u w:val="single"/>
          <w:lang w:val="en-US" w:eastAsia="zh-CN"/>
        </w:rPr>
        <w:t xml:space="preserve">        </w:t>
      </w:r>
      <w:r>
        <w:rPr>
          <w:rFonts w:hint="eastAsia" w:asciiTheme="minorEastAsia" w:hAnsiTheme="minorEastAsia" w:eastAsiaTheme="minorEastAsia" w:cstheme="minorEastAsia"/>
          <w:kern w:val="2"/>
          <w:sz w:val="21"/>
          <w:szCs w:val="21"/>
          <w:lang w:val="en-US" w:eastAsia="zh-CN" w:bidi="ar-SA"/>
        </w:rPr>
        <w:t>万元，资产总额为</w:t>
      </w:r>
      <w:r>
        <w:rPr>
          <w:rFonts w:hint="eastAsia" w:asciiTheme="minorEastAsia" w:hAnsiTheme="minorEastAsia" w:eastAsiaTheme="minorEastAsia" w:cstheme="minorEastAsia"/>
          <w:b/>
          <w:bCs/>
          <w:i/>
          <w:iCs/>
          <w:sz w:val="21"/>
          <w:szCs w:val="21"/>
          <w:u w:val="single"/>
          <w:lang w:val="en-US" w:eastAsia="zh-CN"/>
        </w:rPr>
        <w:t xml:space="preserve">        </w:t>
      </w:r>
      <w:r>
        <w:rPr>
          <w:rFonts w:hint="eastAsia" w:asciiTheme="minorEastAsia" w:hAnsiTheme="minorEastAsia" w:eastAsiaTheme="minorEastAsia" w:cstheme="minorEastAsia"/>
          <w:kern w:val="2"/>
          <w:sz w:val="21"/>
          <w:szCs w:val="21"/>
          <w:lang w:val="en-US" w:eastAsia="zh-CN" w:bidi="ar-SA"/>
        </w:rPr>
        <w:t>万元，属于</w:t>
      </w:r>
      <w:r>
        <w:rPr>
          <w:rFonts w:hint="eastAsia" w:asciiTheme="minorEastAsia" w:hAnsiTheme="minorEastAsia" w:eastAsiaTheme="minorEastAsia" w:cstheme="minorEastAsia"/>
          <w:b/>
          <w:bCs/>
          <w:i/>
          <w:iCs/>
          <w:sz w:val="21"/>
          <w:szCs w:val="21"/>
          <w:u w:val="single"/>
          <w:lang w:val="en-US" w:eastAsia="zh-CN"/>
        </w:rPr>
        <w:t xml:space="preserve">    </w:t>
      </w:r>
      <w:r>
        <w:rPr>
          <w:rFonts w:hint="eastAsia" w:asciiTheme="minorEastAsia" w:hAnsiTheme="minorEastAsia" w:eastAsiaTheme="minorEastAsia" w:cstheme="minorEastAsia"/>
          <w:b/>
          <w:bCs/>
          <w:i/>
          <w:iCs/>
          <w:sz w:val="21"/>
          <w:szCs w:val="21"/>
          <w:u w:val="single"/>
        </w:rPr>
        <w:t>（中型企业、小型企业、微型企业）</w:t>
      </w:r>
      <w:r>
        <w:rPr>
          <w:rFonts w:hint="eastAsia" w:asciiTheme="minorEastAsia" w:hAnsiTheme="minorEastAsia" w:eastAsiaTheme="minorEastAsia" w:cstheme="minorEastAsia"/>
          <w:b/>
          <w:bCs/>
          <w:i/>
          <w:iCs/>
          <w:sz w:val="21"/>
          <w:szCs w:val="21"/>
          <w:u w:val="single"/>
          <w:lang w:val="en-US" w:eastAsia="zh-CN"/>
        </w:rPr>
        <w:t xml:space="preserve">    </w:t>
      </w:r>
      <w:r>
        <w:rPr>
          <w:rFonts w:hint="eastAsia" w:asciiTheme="minorEastAsia" w:hAnsiTheme="minorEastAsia" w:eastAsiaTheme="minorEastAsia" w:cstheme="minorEastAsia"/>
          <w:kern w:val="2"/>
          <w:sz w:val="21"/>
          <w:szCs w:val="21"/>
          <w:lang w:val="en-US" w:eastAsia="zh-CN" w:bidi="ar-SA"/>
        </w:rPr>
        <w:t>；</w:t>
      </w:r>
    </w:p>
    <w:p w14:paraId="545CE88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3"/>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w:t>
      </w:r>
    </w:p>
    <w:p w14:paraId="6FB56D8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3"/>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以上企业，不属于大企业的分支机构，不存在控股股东为大企业的情形，也不存在与大企业的负责人为同一人的情形。</w:t>
      </w:r>
    </w:p>
    <w:p w14:paraId="68DE16C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3"/>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本企业对上述声明内容的真实性负责。如有虚假，将依法承担相应责任。</w:t>
      </w:r>
    </w:p>
    <w:p w14:paraId="348C423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3"/>
        <w:rPr>
          <w:rFonts w:hint="eastAsia" w:asciiTheme="minorEastAsia" w:hAnsiTheme="minorEastAsia" w:eastAsiaTheme="minorEastAsia" w:cstheme="minorEastAsia"/>
          <w:kern w:val="2"/>
          <w:sz w:val="21"/>
          <w:szCs w:val="21"/>
          <w:lang w:val="en-US" w:eastAsia="zh-CN" w:bidi="ar-SA"/>
        </w:rPr>
      </w:pPr>
      <w:bookmarkStart w:id="43" w:name="_Hlk73562275"/>
      <w:r>
        <w:rPr>
          <w:rFonts w:hint="eastAsia" w:asciiTheme="minorEastAsia" w:hAnsiTheme="minorEastAsia" w:eastAsiaTheme="minorEastAsia" w:cstheme="minorEastAsia"/>
          <w:kern w:val="2"/>
          <w:sz w:val="21"/>
          <w:szCs w:val="21"/>
          <w:lang w:val="en-US" w:eastAsia="zh-CN" w:bidi="ar-SA"/>
        </w:rPr>
        <w:t>本投标人已知悉《政府采购促进中小企业发展管理办法》（财库〔2020〕 46 号）、《中小企业划型标准规定》（工信部联企〔2011〕 300 号）、《统计上大中小微型企业划分办法（2017）》等规定，承诺提供的声明函内容是真实的，并知悉根据《政府采购促进中小企业发展管理办法》（财库〔2020〕46 号）第二十条规定，投标人按照本办法规定提供声明函内容不实的，属于提供虚假材料谋取中标，依照《政府采购法》等政府采购有关法律法规规定追究相应责任。</w:t>
      </w:r>
      <w:bookmarkEnd w:id="43"/>
    </w:p>
    <w:p w14:paraId="20D27FED">
      <w:pPr>
        <w:ind w:firstLine="420" w:firstLineChars="200"/>
      </w:pPr>
    </w:p>
    <w:p w14:paraId="4649ED55">
      <w:pPr>
        <w:jc w:val="center"/>
        <w:outlineLvl w:val="3"/>
        <w:rPr>
          <w:b/>
          <w:sz w:val="24"/>
        </w:rPr>
      </w:pPr>
      <w:r>
        <w:rPr>
          <w:rFonts w:hint="eastAsia"/>
          <w:b/>
          <w:sz w:val="24"/>
          <w:lang w:val="en-US" w:eastAsia="zh-CN"/>
        </w:rPr>
        <w:t>2.</w:t>
      </w:r>
      <w:r>
        <w:rPr>
          <w:rFonts w:hint="eastAsia"/>
          <w:b/>
          <w:sz w:val="24"/>
        </w:rPr>
        <w:t>残疾人福利性单位声明函</w:t>
      </w:r>
      <w:r>
        <w:rPr>
          <w:rFonts w:hint="eastAsia"/>
          <w:b/>
          <w:sz w:val="24"/>
          <w:lang w:eastAsia="zh-CN"/>
        </w:rPr>
        <w:t>（</w:t>
      </w:r>
      <w:r>
        <w:rPr>
          <w:rFonts w:hint="eastAsia"/>
          <w:b/>
          <w:sz w:val="24"/>
          <w:lang w:val="en-US" w:eastAsia="zh-CN"/>
        </w:rPr>
        <w:t>服务</w:t>
      </w:r>
      <w:r>
        <w:rPr>
          <w:rFonts w:hint="eastAsia"/>
          <w:b/>
          <w:sz w:val="24"/>
        </w:rPr>
        <w:t>类）</w:t>
      </w:r>
    </w:p>
    <w:p w14:paraId="19C5E0D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本单位郑重声明，根据《财政部 民政部 中国残疾人联合会关于促进残疾人就业政府采购政策的通知》（财库〔2017〕141号）的规定，本单位为符合条件的残疾人福利性单位，且本单位参加</w:t>
      </w:r>
      <w:r>
        <w:rPr>
          <w:rFonts w:hint="eastAsia" w:asciiTheme="minorEastAsia" w:hAnsiTheme="minorEastAsia" w:eastAsiaTheme="minorEastAsia" w:cstheme="minorEastAsia"/>
          <w:b/>
          <w:bCs/>
          <w:i/>
          <w:iCs/>
          <w:sz w:val="21"/>
          <w:szCs w:val="21"/>
          <w:u w:val="single"/>
          <w:lang w:val="en-US" w:eastAsia="zh-CN"/>
        </w:rPr>
        <w:t xml:space="preserve">    </w:t>
      </w:r>
      <w:r>
        <w:rPr>
          <w:rFonts w:hint="eastAsia" w:asciiTheme="minorEastAsia" w:hAnsiTheme="minorEastAsia" w:eastAsiaTheme="minorEastAsia" w:cstheme="minorEastAsia"/>
          <w:b/>
          <w:bCs/>
          <w:i/>
          <w:iCs/>
          <w:sz w:val="21"/>
          <w:szCs w:val="21"/>
          <w:u w:val="single"/>
        </w:rPr>
        <w:t>（单位名称）</w:t>
      </w:r>
      <w:r>
        <w:rPr>
          <w:rFonts w:hint="eastAsia" w:asciiTheme="minorEastAsia" w:hAnsiTheme="minorEastAsia" w:eastAsiaTheme="minorEastAsia" w:cstheme="minorEastAsia"/>
          <w:b/>
          <w:bCs/>
          <w:i/>
          <w:iCs/>
          <w:sz w:val="21"/>
          <w:szCs w:val="21"/>
          <w:u w:val="single"/>
          <w:lang w:val="en-US" w:eastAsia="zh-CN"/>
        </w:rPr>
        <w:t xml:space="preserve">    </w:t>
      </w:r>
      <w:r>
        <w:rPr>
          <w:rFonts w:hint="eastAsia" w:asciiTheme="minorEastAsia" w:hAnsiTheme="minorEastAsia" w:eastAsiaTheme="minorEastAsia" w:cstheme="minorEastAsia"/>
          <w:kern w:val="2"/>
          <w:sz w:val="21"/>
          <w:szCs w:val="21"/>
          <w:lang w:val="en-US" w:eastAsia="zh-CN" w:bidi="ar-SA"/>
        </w:rPr>
        <w:t>单位的</w:t>
      </w:r>
      <w:r>
        <w:rPr>
          <w:rFonts w:hint="eastAsia" w:asciiTheme="minorEastAsia" w:hAnsiTheme="minorEastAsia" w:eastAsiaTheme="minorEastAsia" w:cstheme="minorEastAsia"/>
          <w:b/>
          <w:bCs/>
          <w:i/>
          <w:iCs/>
          <w:sz w:val="21"/>
          <w:szCs w:val="21"/>
          <w:u w:val="single"/>
          <w:lang w:val="en-US" w:eastAsia="zh-CN"/>
        </w:rPr>
        <w:t xml:space="preserve">    </w:t>
      </w:r>
      <w:r>
        <w:rPr>
          <w:rFonts w:hint="eastAsia" w:asciiTheme="minorEastAsia" w:hAnsiTheme="minorEastAsia" w:eastAsiaTheme="minorEastAsia" w:cstheme="minorEastAsia"/>
          <w:b/>
          <w:bCs/>
          <w:i/>
          <w:iCs/>
          <w:sz w:val="21"/>
          <w:szCs w:val="21"/>
          <w:u w:val="single"/>
        </w:rPr>
        <w:t>（项目名称）</w:t>
      </w:r>
      <w:r>
        <w:rPr>
          <w:rFonts w:hint="eastAsia" w:asciiTheme="minorEastAsia" w:hAnsiTheme="minorEastAsia" w:eastAsiaTheme="minorEastAsia" w:cstheme="minorEastAsia"/>
          <w:b/>
          <w:bCs/>
          <w:i/>
          <w:iCs/>
          <w:sz w:val="21"/>
          <w:szCs w:val="21"/>
          <w:u w:val="single"/>
          <w:lang w:val="en-US" w:eastAsia="zh-CN"/>
        </w:rPr>
        <w:t xml:space="preserve">    </w:t>
      </w:r>
      <w:r>
        <w:rPr>
          <w:rFonts w:hint="eastAsia" w:asciiTheme="minorEastAsia" w:hAnsiTheme="minorEastAsia" w:eastAsiaTheme="minorEastAsia" w:cstheme="minorEastAsia"/>
          <w:kern w:val="2"/>
          <w:sz w:val="21"/>
          <w:szCs w:val="21"/>
          <w:lang w:val="en-US" w:eastAsia="zh-CN" w:bidi="ar-SA"/>
        </w:rPr>
        <w:t>项目采购活动由本单位提供服务。</w:t>
      </w:r>
    </w:p>
    <w:p w14:paraId="4FE089E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本单位对上述声明的真实性负责。如有虚假，将依法承担相应责任。</w:t>
      </w:r>
    </w:p>
    <w:p w14:paraId="5883A75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本投标人已知悉《财政部民政部中国残疾人联合会关于促进残疾人就业政府采购政策的通知》（财库〔2017〕141号）的规定，承诺提供的声明函内容是真实的，如提供声明函内容不实，则依法追究相关法律责任。</w:t>
      </w:r>
    </w:p>
    <w:p w14:paraId="2B3820F6">
      <w:pPr>
        <w:ind w:firstLine="420" w:firstLineChars="200"/>
        <w:rPr>
          <w:rFonts w:ascii="宋体" w:hAnsi="宋体"/>
          <w:szCs w:val="21"/>
        </w:rPr>
      </w:pPr>
    </w:p>
    <w:p w14:paraId="11D94441">
      <w:pPr>
        <w:ind w:firstLine="420" w:firstLineChars="200"/>
        <w:rPr>
          <w:rFonts w:ascii="宋体" w:hAnsi="宋体"/>
          <w:szCs w:val="21"/>
        </w:rPr>
      </w:pPr>
    </w:p>
    <w:p w14:paraId="0CCB0CCD">
      <w:pPr>
        <w:ind w:firstLine="420" w:firstLineChars="200"/>
        <w:rPr>
          <w:rFonts w:ascii="宋体" w:hAnsi="宋体"/>
          <w:szCs w:val="21"/>
        </w:rPr>
      </w:pPr>
    </w:p>
    <w:p w14:paraId="6EFA460F">
      <w:pPr>
        <w:jc w:val="center"/>
        <w:outlineLvl w:val="3"/>
        <w:rPr>
          <w:b/>
          <w:sz w:val="24"/>
        </w:rPr>
      </w:pPr>
      <w:r>
        <w:rPr>
          <w:rFonts w:hint="eastAsia"/>
          <w:b/>
          <w:sz w:val="24"/>
          <w:lang w:val="en-US" w:eastAsia="zh-CN"/>
        </w:rPr>
        <w:t>3.</w:t>
      </w:r>
      <w:r>
        <w:rPr>
          <w:rFonts w:hint="eastAsia"/>
          <w:b/>
          <w:sz w:val="24"/>
        </w:rPr>
        <w:t>监狱企业声明函【服务类，监狱企业如需享受优惠政策，还须另行提供省级以上监狱管理局、戒毒管理局（含新疆生产建设兵团）出具的监狱企业证明文件】</w:t>
      </w:r>
    </w:p>
    <w:p w14:paraId="789009A9">
      <w:pPr>
        <w:ind w:firstLine="420" w:firstLineChars="200"/>
        <w:rPr>
          <w:rFonts w:ascii="宋体" w:hAnsi="宋体"/>
          <w:szCs w:val="21"/>
        </w:rPr>
      </w:pPr>
      <w:r>
        <w:rPr>
          <w:rFonts w:hint="eastAsia" w:ascii="宋体" w:hAnsi="宋体"/>
          <w:szCs w:val="21"/>
        </w:rPr>
        <w:t>本投标人郑重声明，根据《财政部司法部关于政府采购支持监狱企业发展有关问题的通知》（财库〔</w:t>
      </w:r>
      <w:r>
        <w:rPr>
          <w:rFonts w:ascii="宋体" w:hAnsi="宋体"/>
          <w:szCs w:val="21"/>
        </w:rPr>
        <w:t>2014</w:t>
      </w:r>
      <w:r>
        <w:rPr>
          <w:rFonts w:hint="eastAsia" w:ascii="宋体" w:hAnsi="宋体"/>
          <w:szCs w:val="21"/>
        </w:rPr>
        <w:t>〕</w:t>
      </w:r>
      <w:r>
        <w:rPr>
          <w:rFonts w:ascii="宋体" w:hAnsi="宋体"/>
          <w:szCs w:val="21"/>
        </w:rPr>
        <w:t>68</w:t>
      </w:r>
      <w:r>
        <w:rPr>
          <w:rFonts w:hint="eastAsia" w:ascii="宋体" w:hAnsi="宋体"/>
          <w:szCs w:val="21"/>
        </w:rPr>
        <w:t>号）的规定，本投标人</w:t>
      </w:r>
      <w:r>
        <w:rPr>
          <w:rFonts w:ascii="宋体" w:hAnsi="宋体" w:cstheme="minorBidi"/>
          <w:szCs w:val="21"/>
        </w:rPr>
        <w:t>参加</w:t>
      </w:r>
      <w:r>
        <w:rPr>
          <w:rFonts w:ascii="宋体" w:hAnsi="宋体"/>
          <w:b/>
          <w:bCs/>
          <w:szCs w:val="21"/>
          <w:u w:val="single"/>
        </w:rPr>
        <w:t>（</w:t>
      </w:r>
      <w:r>
        <w:rPr>
          <w:rFonts w:hint="eastAsia" w:ascii="宋体" w:hAnsi="宋体"/>
          <w:b/>
          <w:bCs/>
          <w:szCs w:val="21"/>
          <w:u w:val="single"/>
        </w:rPr>
        <w:t>采购人</w:t>
      </w:r>
      <w:r>
        <w:rPr>
          <w:rFonts w:ascii="宋体" w:hAnsi="宋体"/>
          <w:b/>
          <w:bCs/>
          <w:szCs w:val="21"/>
          <w:u w:val="single"/>
        </w:rPr>
        <w:t>名称）</w:t>
      </w:r>
      <w:r>
        <w:rPr>
          <w:rFonts w:ascii="宋体" w:hAnsi="宋体"/>
          <w:szCs w:val="21"/>
        </w:rPr>
        <w:t>的</w:t>
      </w:r>
      <w:r>
        <w:rPr>
          <w:rFonts w:ascii="宋体" w:hAnsi="宋体"/>
          <w:b/>
          <w:bCs/>
          <w:szCs w:val="21"/>
          <w:u w:val="single"/>
        </w:rPr>
        <w:t>（项目名称）</w:t>
      </w:r>
      <w:r>
        <w:rPr>
          <w:rFonts w:ascii="宋体" w:hAnsi="宋体"/>
          <w:szCs w:val="21"/>
        </w:rPr>
        <w:t>采购活动，</w:t>
      </w:r>
      <w:r>
        <w:rPr>
          <w:rFonts w:hint="eastAsia" w:ascii="宋体" w:hAnsi="宋体"/>
          <w:szCs w:val="21"/>
        </w:rPr>
        <w:t>服务</w:t>
      </w:r>
      <w:r>
        <w:rPr>
          <w:rFonts w:ascii="宋体" w:hAnsi="宋体"/>
          <w:szCs w:val="21"/>
        </w:rPr>
        <w:t>全部由符合政策要求的</w:t>
      </w:r>
      <w:r>
        <w:rPr>
          <w:rFonts w:hint="eastAsia" w:ascii="宋体" w:hAnsi="宋体"/>
          <w:szCs w:val="21"/>
        </w:rPr>
        <w:t>监狱企业承接</w:t>
      </w:r>
      <w:r>
        <w:rPr>
          <w:rFonts w:ascii="宋体" w:hAnsi="宋体"/>
          <w:szCs w:val="21"/>
        </w:rPr>
        <w:t>。相关</w:t>
      </w:r>
      <w:r>
        <w:rPr>
          <w:rFonts w:hint="eastAsia" w:ascii="宋体" w:hAnsi="宋体"/>
          <w:szCs w:val="21"/>
        </w:rPr>
        <w:t>监狱企业</w:t>
      </w:r>
      <w:r>
        <w:rPr>
          <w:rFonts w:ascii="宋体" w:hAnsi="宋体"/>
          <w:szCs w:val="21"/>
        </w:rPr>
        <w:t>的具体情况如下：</w:t>
      </w:r>
    </w:p>
    <w:p w14:paraId="73E5DB76">
      <w:pPr>
        <w:ind w:firstLine="420" w:firstLineChars="200"/>
        <w:rPr>
          <w:rFonts w:ascii="宋体" w:hAnsi="宋体"/>
          <w:szCs w:val="21"/>
        </w:rPr>
      </w:pPr>
      <w:r>
        <w:rPr>
          <w:rFonts w:ascii="宋体" w:hAnsi="宋体"/>
          <w:szCs w:val="21"/>
        </w:rPr>
        <w:t>1.</w:t>
      </w:r>
      <w:r>
        <w:rPr>
          <w:rFonts w:ascii="宋体" w:hAnsi="宋体"/>
          <w:b/>
          <w:bCs/>
          <w:szCs w:val="21"/>
          <w:u w:val="single"/>
        </w:rPr>
        <w:t xml:space="preserve"> </w:t>
      </w:r>
      <w:r>
        <w:rPr>
          <w:rFonts w:ascii="宋体" w:hAnsi="宋体"/>
          <w:b/>
          <w:bCs/>
          <w:i/>
          <w:iCs/>
          <w:szCs w:val="21"/>
          <w:u w:val="single"/>
        </w:rPr>
        <w:t>（标的名称</w:t>
      </w:r>
      <w:r>
        <w:rPr>
          <w:rFonts w:ascii="宋体" w:hAnsi="宋体"/>
          <w:b/>
          <w:bCs/>
          <w:szCs w:val="21"/>
          <w:u w:val="single"/>
        </w:rPr>
        <w:t>）</w:t>
      </w:r>
      <w:r>
        <w:rPr>
          <w:rFonts w:ascii="宋体" w:hAnsi="宋体"/>
          <w:szCs w:val="21"/>
        </w:rPr>
        <w:t xml:space="preserve"> </w:t>
      </w:r>
      <w:r>
        <w:rPr>
          <w:rFonts w:hint="eastAsia" w:ascii="宋体" w:hAnsi="宋体"/>
          <w:szCs w:val="21"/>
        </w:rPr>
        <w:t>，承接单位</w:t>
      </w:r>
      <w:r>
        <w:rPr>
          <w:rFonts w:ascii="宋体" w:hAnsi="宋体"/>
          <w:szCs w:val="21"/>
        </w:rPr>
        <w:t>为</w:t>
      </w:r>
      <w:r>
        <w:rPr>
          <w:rFonts w:ascii="宋体" w:hAnsi="宋体"/>
          <w:b/>
          <w:bCs/>
          <w:i/>
          <w:iCs/>
          <w:szCs w:val="21"/>
          <w:u w:val="single"/>
        </w:rPr>
        <w:t>（</w:t>
      </w:r>
      <w:r>
        <w:rPr>
          <w:rFonts w:hint="eastAsia" w:ascii="宋体" w:hAnsi="宋体"/>
          <w:b/>
          <w:bCs/>
          <w:i/>
          <w:iCs/>
          <w:szCs w:val="21"/>
          <w:u w:val="single"/>
        </w:rPr>
        <w:t>企业</w:t>
      </w:r>
      <w:r>
        <w:rPr>
          <w:rFonts w:ascii="宋体" w:hAnsi="宋体"/>
          <w:b/>
          <w:bCs/>
          <w:i/>
          <w:iCs/>
          <w:szCs w:val="21"/>
          <w:u w:val="single"/>
        </w:rPr>
        <w:t>名称）</w:t>
      </w:r>
      <w:r>
        <w:rPr>
          <w:rFonts w:ascii="宋体" w:hAnsi="宋体"/>
          <w:szCs w:val="21"/>
        </w:rPr>
        <w:t>，属于</w:t>
      </w:r>
      <w:r>
        <w:rPr>
          <w:rFonts w:hint="eastAsia" w:ascii="宋体" w:hAnsi="宋体"/>
          <w:b/>
          <w:bCs/>
          <w:i/>
          <w:iCs/>
          <w:szCs w:val="21"/>
          <w:u w:val="single"/>
        </w:rPr>
        <w:t>监狱企业</w:t>
      </w:r>
      <w:r>
        <w:rPr>
          <w:rFonts w:ascii="宋体" w:hAnsi="宋体"/>
          <w:szCs w:val="21"/>
        </w:rPr>
        <w:t>；</w:t>
      </w:r>
    </w:p>
    <w:p w14:paraId="04D50CF5">
      <w:pPr>
        <w:ind w:firstLine="420" w:firstLineChars="200"/>
        <w:rPr>
          <w:rFonts w:ascii="宋体" w:hAnsi="宋体"/>
          <w:szCs w:val="21"/>
        </w:rPr>
      </w:pPr>
      <w:r>
        <w:rPr>
          <w:rFonts w:ascii="宋体" w:hAnsi="宋体"/>
          <w:szCs w:val="21"/>
        </w:rPr>
        <w:t>2.</w:t>
      </w:r>
      <w:r>
        <w:rPr>
          <w:rFonts w:ascii="宋体" w:hAnsi="宋体"/>
          <w:b/>
          <w:bCs/>
          <w:szCs w:val="21"/>
          <w:u w:val="single"/>
        </w:rPr>
        <w:t xml:space="preserve"> </w:t>
      </w:r>
      <w:r>
        <w:rPr>
          <w:rFonts w:ascii="宋体" w:hAnsi="宋体"/>
          <w:b/>
          <w:bCs/>
          <w:i/>
          <w:iCs/>
          <w:szCs w:val="21"/>
          <w:u w:val="single"/>
        </w:rPr>
        <w:t>（标的名称）</w:t>
      </w:r>
      <w:r>
        <w:rPr>
          <w:rFonts w:ascii="宋体" w:hAnsi="宋体"/>
          <w:i/>
          <w:iCs/>
          <w:szCs w:val="21"/>
        </w:rPr>
        <w:t xml:space="preserve"> </w:t>
      </w:r>
      <w:r>
        <w:rPr>
          <w:rFonts w:hint="eastAsia" w:ascii="宋体" w:hAnsi="宋体"/>
          <w:szCs w:val="21"/>
        </w:rPr>
        <w:t>，承接单位</w:t>
      </w:r>
      <w:r>
        <w:rPr>
          <w:rFonts w:ascii="宋体" w:hAnsi="宋体"/>
          <w:szCs w:val="21"/>
        </w:rPr>
        <w:t>为</w:t>
      </w:r>
      <w:r>
        <w:rPr>
          <w:rFonts w:ascii="宋体" w:hAnsi="宋体"/>
          <w:b/>
          <w:bCs/>
          <w:i/>
          <w:iCs/>
          <w:szCs w:val="21"/>
          <w:u w:val="single"/>
        </w:rPr>
        <w:t>（</w:t>
      </w:r>
      <w:r>
        <w:rPr>
          <w:rFonts w:hint="eastAsia" w:ascii="宋体" w:hAnsi="宋体"/>
          <w:b/>
          <w:bCs/>
          <w:i/>
          <w:iCs/>
          <w:szCs w:val="21"/>
          <w:u w:val="single"/>
        </w:rPr>
        <w:t>企业</w:t>
      </w:r>
      <w:r>
        <w:rPr>
          <w:rFonts w:ascii="宋体" w:hAnsi="宋体"/>
          <w:b/>
          <w:bCs/>
          <w:i/>
          <w:iCs/>
          <w:szCs w:val="21"/>
          <w:u w:val="single"/>
        </w:rPr>
        <w:t>名称）</w:t>
      </w:r>
      <w:r>
        <w:rPr>
          <w:rFonts w:ascii="宋体" w:hAnsi="宋体"/>
          <w:szCs w:val="21"/>
        </w:rPr>
        <w:t>，属于</w:t>
      </w:r>
      <w:r>
        <w:rPr>
          <w:rFonts w:hint="eastAsia" w:ascii="宋体" w:hAnsi="宋体"/>
          <w:b/>
          <w:bCs/>
          <w:i/>
          <w:iCs/>
          <w:szCs w:val="21"/>
          <w:u w:val="single"/>
        </w:rPr>
        <w:t>监狱企业</w:t>
      </w:r>
      <w:r>
        <w:rPr>
          <w:rFonts w:hint="eastAsia" w:ascii="宋体" w:hAnsi="宋体"/>
          <w:szCs w:val="21"/>
        </w:rPr>
        <w:t>。</w:t>
      </w:r>
    </w:p>
    <w:p w14:paraId="7F2A210C">
      <w:pPr>
        <w:ind w:firstLine="420" w:firstLineChars="200"/>
        <w:outlineLvl w:val="3"/>
        <w:rPr>
          <w:rFonts w:ascii="宋体" w:hAnsi="宋体"/>
          <w:szCs w:val="21"/>
        </w:rPr>
      </w:pPr>
      <w:r>
        <w:rPr>
          <w:rFonts w:ascii="宋体" w:hAnsi="宋体"/>
          <w:szCs w:val="21"/>
        </w:rPr>
        <w:t xml:space="preserve">…… </w:t>
      </w:r>
    </w:p>
    <w:p w14:paraId="7BFBDF83">
      <w:pPr>
        <w:ind w:firstLine="420" w:firstLineChars="200"/>
        <w:rPr>
          <w:rFonts w:ascii="宋体" w:hAnsi="宋体"/>
          <w:szCs w:val="21"/>
        </w:rPr>
      </w:pPr>
      <w:r>
        <w:rPr>
          <w:rFonts w:ascii="宋体" w:hAnsi="宋体" w:cstheme="minorBidi"/>
          <w:szCs w:val="21"/>
        </w:rPr>
        <w:t>本</w:t>
      </w:r>
      <w:r>
        <w:rPr>
          <w:rFonts w:hint="eastAsia" w:ascii="宋体" w:hAnsi="宋体" w:cstheme="minorBidi"/>
          <w:szCs w:val="21"/>
        </w:rPr>
        <w:t>投标人</w:t>
      </w:r>
      <w:r>
        <w:rPr>
          <w:rFonts w:ascii="宋体" w:hAnsi="宋体"/>
          <w:szCs w:val="21"/>
        </w:rPr>
        <w:t>对上述声明内容的真实性负责。如有虚假，将依法承担相应责任。</w:t>
      </w:r>
    </w:p>
    <w:p w14:paraId="544E48B8">
      <w:pPr>
        <w:ind w:firstLine="420" w:firstLineChars="200"/>
        <w:rPr>
          <w:rFonts w:ascii="宋体" w:hAnsi="宋体"/>
          <w:szCs w:val="21"/>
        </w:rPr>
      </w:pPr>
      <w:r>
        <w:rPr>
          <w:rFonts w:hint="eastAsia" w:ascii="宋体" w:hAnsi="宋体"/>
          <w:szCs w:val="21"/>
        </w:rPr>
        <w:t>附：省级以上监狱管理局、戒毒管理局（含新疆生产建设兵团）出具的监狱企业证明文件。</w:t>
      </w:r>
    </w:p>
    <w:p w14:paraId="2DBECD8D">
      <w:pPr>
        <w:ind w:left="723" w:hanging="723" w:hangingChars="300"/>
        <w:rPr>
          <w:b/>
          <w:sz w:val="24"/>
        </w:rPr>
      </w:pPr>
    </w:p>
    <w:p w14:paraId="7642AAA5">
      <w:pPr>
        <w:ind w:left="723" w:hanging="723" w:hangingChars="300"/>
        <w:rPr>
          <w:b/>
          <w:sz w:val="24"/>
        </w:rPr>
      </w:pPr>
    </w:p>
    <w:p w14:paraId="5F23AD15">
      <w:pPr>
        <w:pStyle w:val="3"/>
        <w:jc w:val="center"/>
        <w:rPr>
          <w:rFonts w:ascii="黑体" w:eastAsia="黑体"/>
          <w:b w:val="0"/>
          <w:sz w:val="24"/>
          <w:szCs w:val="24"/>
        </w:rPr>
      </w:pPr>
      <w:r>
        <w:rPr>
          <w:rFonts w:hint="eastAsia" w:ascii="黑体" w:eastAsia="黑体"/>
          <w:b w:val="0"/>
          <w:sz w:val="24"/>
          <w:szCs w:val="24"/>
        </w:rPr>
        <w:t>四、项目详细报价</w:t>
      </w:r>
    </w:p>
    <w:p w14:paraId="647279A8">
      <w:pPr>
        <w:tabs>
          <w:tab w:val="left" w:pos="720"/>
        </w:tabs>
        <w:ind w:firstLine="3132" w:firstLineChars="1300"/>
        <w:rPr>
          <w:b/>
          <w:sz w:val="24"/>
        </w:rPr>
      </w:pPr>
      <w:r>
        <w:rPr>
          <w:rFonts w:hint="eastAsia"/>
          <w:b/>
          <w:sz w:val="24"/>
        </w:rPr>
        <w:t>（一）分项报价表</w:t>
      </w:r>
    </w:p>
    <w:tbl>
      <w:tblPr>
        <w:tblStyle w:val="42"/>
        <w:tblW w:w="8735" w:type="dxa"/>
        <w:tblInd w:w="0" w:type="dxa"/>
        <w:tblLayout w:type="fixed"/>
        <w:tblCellMar>
          <w:top w:w="0" w:type="dxa"/>
          <w:left w:w="108" w:type="dxa"/>
          <w:bottom w:w="0" w:type="dxa"/>
          <w:right w:w="108" w:type="dxa"/>
        </w:tblCellMar>
      </w:tblPr>
      <w:tblGrid>
        <w:gridCol w:w="479"/>
        <w:gridCol w:w="828"/>
        <w:gridCol w:w="3479"/>
        <w:gridCol w:w="1559"/>
        <w:gridCol w:w="1346"/>
        <w:gridCol w:w="1044"/>
      </w:tblGrid>
      <w:tr w14:paraId="5A432BEC">
        <w:tblPrEx>
          <w:tblCellMar>
            <w:top w:w="0" w:type="dxa"/>
            <w:left w:w="108" w:type="dxa"/>
            <w:bottom w:w="0" w:type="dxa"/>
            <w:right w:w="108" w:type="dxa"/>
          </w:tblCellMar>
        </w:tblPrEx>
        <w:trPr>
          <w:trHeight w:val="285" w:hRule="atLeast"/>
        </w:trPr>
        <w:tc>
          <w:tcPr>
            <w:tcW w:w="479" w:type="dxa"/>
            <w:tcBorders>
              <w:top w:val="single" w:color="auto" w:sz="8" w:space="0"/>
              <w:left w:val="single" w:color="auto" w:sz="8" w:space="0"/>
              <w:bottom w:val="single" w:color="auto" w:sz="4" w:space="0"/>
              <w:right w:val="single" w:color="auto" w:sz="4" w:space="0"/>
            </w:tcBorders>
            <w:shd w:val="clear" w:color="000000" w:fill="E7E6E6"/>
            <w:vAlign w:val="center"/>
          </w:tcPr>
          <w:p w14:paraId="7412B790">
            <w:pPr>
              <w:widowControl/>
              <w:jc w:val="center"/>
              <w:rPr>
                <w:rFonts w:ascii="宋体" w:hAnsi="宋体" w:cs="宋体"/>
                <w:b/>
                <w:bCs/>
                <w:kern w:val="0"/>
                <w:sz w:val="20"/>
                <w:szCs w:val="20"/>
              </w:rPr>
            </w:pPr>
            <w:r>
              <w:rPr>
                <w:rFonts w:hint="eastAsia" w:ascii="宋体" w:hAnsi="宋体" w:cs="宋体"/>
                <w:b/>
                <w:bCs/>
                <w:kern w:val="0"/>
                <w:sz w:val="20"/>
                <w:szCs w:val="20"/>
              </w:rPr>
              <w:t>序号</w:t>
            </w:r>
          </w:p>
        </w:tc>
        <w:tc>
          <w:tcPr>
            <w:tcW w:w="4307" w:type="dxa"/>
            <w:gridSpan w:val="2"/>
            <w:tcBorders>
              <w:top w:val="single" w:color="auto" w:sz="8" w:space="0"/>
              <w:left w:val="nil"/>
              <w:bottom w:val="single" w:color="auto" w:sz="4" w:space="0"/>
              <w:right w:val="single" w:color="auto" w:sz="4" w:space="0"/>
            </w:tcBorders>
            <w:shd w:val="clear" w:color="000000" w:fill="E7E6E6"/>
            <w:vAlign w:val="center"/>
          </w:tcPr>
          <w:p w14:paraId="64062438">
            <w:pPr>
              <w:widowControl/>
              <w:jc w:val="center"/>
              <w:rPr>
                <w:rFonts w:ascii="宋体" w:hAnsi="宋体" w:cs="宋体"/>
                <w:b/>
                <w:bCs/>
                <w:kern w:val="0"/>
                <w:sz w:val="20"/>
                <w:szCs w:val="20"/>
              </w:rPr>
            </w:pPr>
            <w:r>
              <w:rPr>
                <w:rFonts w:hint="eastAsia" w:ascii="宋体" w:hAnsi="宋体" w:cs="宋体"/>
                <w:b/>
                <w:bCs/>
                <w:kern w:val="0"/>
                <w:sz w:val="20"/>
                <w:szCs w:val="20"/>
              </w:rPr>
              <w:t>需求名称</w:t>
            </w:r>
          </w:p>
        </w:tc>
        <w:tc>
          <w:tcPr>
            <w:tcW w:w="1559" w:type="dxa"/>
            <w:tcBorders>
              <w:top w:val="single" w:color="auto" w:sz="8" w:space="0"/>
              <w:left w:val="nil"/>
              <w:bottom w:val="single" w:color="auto" w:sz="4" w:space="0"/>
              <w:right w:val="single" w:color="auto" w:sz="4" w:space="0"/>
            </w:tcBorders>
            <w:shd w:val="clear" w:color="000000" w:fill="E7E6E6"/>
            <w:vAlign w:val="top"/>
          </w:tcPr>
          <w:p w14:paraId="77434778">
            <w:pPr>
              <w:jc w:val="center"/>
              <w:rPr>
                <w:rFonts w:hint="eastAsia" w:ascii="宋体" w:hAnsi="宋体" w:cs="宋体"/>
                <w:b/>
                <w:bCs/>
                <w:kern w:val="0"/>
                <w:sz w:val="20"/>
                <w:szCs w:val="20"/>
              </w:rPr>
            </w:pPr>
            <w:r>
              <w:rPr>
                <w:rFonts w:hint="eastAsia"/>
                <w:bCs/>
                <w:szCs w:val="21"/>
                <w:lang w:val="en-US" w:eastAsia="zh-CN"/>
              </w:rPr>
              <w:t>分项报价（仅供参考）</w:t>
            </w:r>
          </w:p>
        </w:tc>
        <w:tc>
          <w:tcPr>
            <w:tcW w:w="1346" w:type="dxa"/>
            <w:tcBorders>
              <w:top w:val="single" w:color="auto" w:sz="8" w:space="0"/>
              <w:left w:val="nil"/>
              <w:bottom w:val="single" w:color="auto" w:sz="4" w:space="0"/>
              <w:right w:val="single" w:color="auto" w:sz="4" w:space="0"/>
            </w:tcBorders>
            <w:shd w:val="clear" w:color="000000" w:fill="E7E6E6"/>
            <w:vAlign w:val="center"/>
          </w:tcPr>
          <w:p w14:paraId="6D73A694">
            <w:pPr>
              <w:widowControl/>
              <w:jc w:val="center"/>
              <w:rPr>
                <w:rFonts w:ascii="宋体" w:hAnsi="宋体" w:cs="宋体"/>
                <w:b/>
                <w:bCs/>
                <w:kern w:val="0"/>
                <w:sz w:val="20"/>
                <w:szCs w:val="20"/>
              </w:rPr>
            </w:pPr>
            <w:r>
              <w:rPr>
                <w:rFonts w:hint="eastAsia" w:ascii="宋体" w:hAnsi="宋体" w:cs="宋体"/>
                <w:b/>
                <w:bCs/>
                <w:kern w:val="0"/>
                <w:sz w:val="20"/>
                <w:szCs w:val="20"/>
              </w:rPr>
              <w:t>金额（元）</w:t>
            </w:r>
          </w:p>
        </w:tc>
        <w:tc>
          <w:tcPr>
            <w:tcW w:w="1044" w:type="dxa"/>
            <w:tcBorders>
              <w:top w:val="single" w:color="auto" w:sz="8" w:space="0"/>
              <w:left w:val="nil"/>
              <w:bottom w:val="single" w:color="auto" w:sz="4" w:space="0"/>
              <w:right w:val="single" w:color="auto" w:sz="8" w:space="0"/>
            </w:tcBorders>
            <w:shd w:val="clear" w:color="000000" w:fill="E7E6E6"/>
            <w:vAlign w:val="center"/>
          </w:tcPr>
          <w:p w14:paraId="43108434">
            <w:pPr>
              <w:widowControl/>
              <w:jc w:val="center"/>
              <w:rPr>
                <w:rFonts w:ascii="宋体" w:hAnsi="宋体" w:cs="宋体"/>
                <w:b/>
                <w:bCs/>
                <w:kern w:val="0"/>
                <w:sz w:val="20"/>
                <w:szCs w:val="20"/>
              </w:rPr>
            </w:pPr>
            <w:r>
              <w:rPr>
                <w:rFonts w:hint="eastAsia" w:ascii="宋体" w:hAnsi="宋体" w:cs="宋体"/>
                <w:b/>
                <w:bCs/>
                <w:kern w:val="0"/>
                <w:sz w:val="20"/>
                <w:szCs w:val="20"/>
              </w:rPr>
              <w:t>说明</w:t>
            </w:r>
          </w:p>
        </w:tc>
      </w:tr>
      <w:tr w14:paraId="5AB37565">
        <w:tblPrEx>
          <w:tblCellMar>
            <w:top w:w="0" w:type="dxa"/>
            <w:left w:w="108" w:type="dxa"/>
            <w:bottom w:w="0" w:type="dxa"/>
            <w:right w:w="108" w:type="dxa"/>
          </w:tblCellMar>
        </w:tblPrEx>
        <w:trPr>
          <w:trHeight w:val="480" w:hRule="atLeast"/>
        </w:trPr>
        <w:tc>
          <w:tcPr>
            <w:tcW w:w="479" w:type="dxa"/>
            <w:vMerge w:val="restart"/>
            <w:tcBorders>
              <w:top w:val="nil"/>
              <w:left w:val="single" w:color="auto" w:sz="8" w:space="0"/>
              <w:right w:val="single" w:color="auto" w:sz="4" w:space="0"/>
            </w:tcBorders>
            <w:shd w:val="clear" w:color="auto" w:fill="auto"/>
            <w:vAlign w:val="center"/>
          </w:tcPr>
          <w:p w14:paraId="637D862C">
            <w:pPr>
              <w:widowControl/>
              <w:jc w:val="center"/>
              <w:rPr>
                <w:rFonts w:hint="eastAsia" w:ascii="宋体" w:hAnsi="宋体" w:eastAsia="宋体" w:cs="宋体"/>
                <w:kern w:val="0"/>
                <w:sz w:val="20"/>
                <w:szCs w:val="20"/>
                <w:lang w:eastAsia="zh-CN"/>
              </w:rPr>
            </w:pPr>
            <w:r>
              <w:rPr>
                <w:rFonts w:hint="eastAsia" w:ascii="宋体" w:hAnsi="宋体" w:cs="宋体"/>
                <w:kern w:val="0"/>
                <w:sz w:val="20"/>
                <w:szCs w:val="20"/>
                <w:lang w:val="en-US" w:eastAsia="zh-CN"/>
              </w:rPr>
              <w:t>一</w:t>
            </w:r>
          </w:p>
        </w:tc>
        <w:tc>
          <w:tcPr>
            <w:tcW w:w="828" w:type="dxa"/>
            <w:tcBorders>
              <w:top w:val="nil"/>
              <w:left w:val="single" w:color="auto" w:sz="4" w:space="0"/>
              <w:bottom w:val="single" w:color="auto" w:sz="4" w:space="0"/>
              <w:right w:val="single" w:color="auto" w:sz="4" w:space="0"/>
            </w:tcBorders>
            <w:shd w:val="clear" w:color="auto" w:fill="auto"/>
            <w:vAlign w:val="center"/>
          </w:tcPr>
          <w:p w14:paraId="08E330F5">
            <w:pPr>
              <w:jc w:val="center"/>
              <w:rPr>
                <w:rFonts w:ascii="宋体" w:hAnsi="宋体" w:cs="宋体"/>
                <w:kern w:val="0"/>
                <w:sz w:val="20"/>
                <w:szCs w:val="20"/>
              </w:rPr>
            </w:pPr>
            <w:r>
              <w:rPr>
                <w:rFonts w:hint="eastAsia"/>
                <w:bCs/>
                <w:szCs w:val="21"/>
              </w:rPr>
              <w:t>1</w:t>
            </w:r>
          </w:p>
        </w:tc>
        <w:tc>
          <w:tcPr>
            <w:tcW w:w="3479" w:type="dxa"/>
            <w:tcBorders>
              <w:top w:val="nil"/>
              <w:left w:val="nil"/>
              <w:bottom w:val="single" w:color="auto" w:sz="4" w:space="0"/>
              <w:right w:val="single" w:color="auto" w:sz="4" w:space="0"/>
            </w:tcBorders>
            <w:shd w:val="clear" w:color="auto" w:fill="auto"/>
            <w:vAlign w:val="center"/>
          </w:tcPr>
          <w:p w14:paraId="25BD5D99">
            <w:pPr>
              <w:jc w:val="center"/>
              <w:rPr>
                <w:rFonts w:ascii="宋体" w:hAnsi="宋体" w:cs="宋体"/>
                <w:kern w:val="0"/>
                <w:sz w:val="20"/>
                <w:szCs w:val="20"/>
              </w:rPr>
            </w:pPr>
            <w:r>
              <w:rPr>
                <w:rFonts w:hint="eastAsia"/>
                <w:bCs/>
                <w:szCs w:val="21"/>
              </w:rPr>
              <w:t>移动端门户小程序和APP（安卓+iOS）</w:t>
            </w:r>
          </w:p>
        </w:tc>
        <w:tc>
          <w:tcPr>
            <w:tcW w:w="1559" w:type="dxa"/>
            <w:tcBorders>
              <w:top w:val="nil"/>
              <w:left w:val="nil"/>
              <w:bottom w:val="single" w:color="auto" w:sz="4" w:space="0"/>
              <w:right w:val="single" w:color="auto" w:sz="4" w:space="0"/>
            </w:tcBorders>
            <w:shd w:val="clear" w:color="auto" w:fill="auto"/>
            <w:vAlign w:val="center"/>
          </w:tcPr>
          <w:p w14:paraId="1A971E44">
            <w:pPr>
              <w:jc w:val="center"/>
              <w:rPr>
                <w:rFonts w:hint="eastAsia" w:ascii="宋体" w:hAnsi="宋体" w:cs="宋体"/>
                <w:kern w:val="0"/>
                <w:sz w:val="20"/>
                <w:szCs w:val="20"/>
              </w:rPr>
            </w:pPr>
            <w:r>
              <w:rPr>
                <w:rFonts w:hint="eastAsia"/>
                <w:bCs/>
                <w:szCs w:val="21"/>
              </w:rPr>
              <w:t>187000</w:t>
            </w:r>
          </w:p>
        </w:tc>
        <w:tc>
          <w:tcPr>
            <w:tcW w:w="1346" w:type="dxa"/>
            <w:tcBorders>
              <w:top w:val="nil"/>
              <w:left w:val="nil"/>
              <w:bottom w:val="single" w:color="auto" w:sz="4" w:space="0"/>
              <w:right w:val="single" w:color="auto" w:sz="4" w:space="0"/>
            </w:tcBorders>
            <w:shd w:val="clear" w:color="auto" w:fill="auto"/>
            <w:vAlign w:val="center"/>
          </w:tcPr>
          <w:p w14:paraId="7F4A6BBE">
            <w:pPr>
              <w:widowControl/>
              <w:jc w:val="right"/>
              <w:rPr>
                <w:rFonts w:ascii="宋体" w:hAnsi="宋体" w:cs="宋体"/>
                <w:kern w:val="0"/>
                <w:sz w:val="20"/>
                <w:szCs w:val="20"/>
              </w:rPr>
            </w:pPr>
            <w:r>
              <w:rPr>
                <w:rFonts w:hint="eastAsia" w:ascii="宋体" w:hAnsi="宋体" w:cs="宋体"/>
                <w:kern w:val="0"/>
                <w:sz w:val="20"/>
                <w:szCs w:val="20"/>
              </w:rPr>
              <w:t>　</w:t>
            </w:r>
          </w:p>
        </w:tc>
        <w:tc>
          <w:tcPr>
            <w:tcW w:w="1044" w:type="dxa"/>
            <w:vMerge w:val="restart"/>
            <w:tcBorders>
              <w:top w:val="nil"/>
              <w:left w:val="nil"/>
              <w:right w:val="single" w:color="auto" w:sz="8" w:space="0"/>
            </w:tcBorders>
            <w:shd w:val="clear" w:color="auto" w:fill="auto"/>
            <w:vAlign w:val="center"/>
          </w:tcPr>
          <w:p w14:paraId="312D43B0">
            <w:pPr>
              <w:widowControl/>
              <w:jc w:val="left"/>
              <w:rPr>
                <w:rFonts w:ascii="宋体" w:hAnsi="宋体" w:cs="宋体"/>
                <w:kern w:val="0"/>
                <w:sz w:val="20"/>
                <w:szCs w:val="20"/>
              </w:rPr>
            </w:pPr>
            <w:r>
              <w:rPr>
                <w:rFonts w:hint="eastAsia" w:ascii="宋体" w:hAnsi="宋体" w:cs="宋体"/>
                <w:kern w:val="0"/>
                <w:sz w:val="20"/>
                <w:szCs w:val="20"/>
              </w:rPr>
              <w:t>　</w:t>
            </w:r>
            <w:r>
              <w:rPr>
                <w:rFonts w:hint="eastAsia"/>
                <w:bCs/>
                <w:szCs w:val="21"/>
              </w:rPr>
              <w:t>财政预算限额（元）</w:t>
            </w:r>
            <w:r>
              <w:rPr>
                <w:rFonts w:hint="eastAsia"/>
                <w:bCs/>
                <w:color w:val="FF0000"/>
                <w:szCs w:val="21"/>
              </w:rPr>
              <w:t>941800</w:t>
            </w:r>
          </w:p>
        </w:tc>
      </w:tr>
      <w:tr w14:paraId="4191D2C3">
        <w:tblPrEx>
          <w:tblCellMar>
            <w:top w:w="0" w:type="dxa"/>
            <w:left w:w="108" w:type="dxa"/>
            <w:bottom w:w="0" w:type="dxa"/>
            <w:right w:w="108" w:type="dxa"/>
          </w:tblCellMar>
        </w:tblPrEx>
        <w:trPr>
          <w:trHeight w:val="480" w:hRule="atLeast"/>
        </w:trPr>
        <w:tc>
          <w:tcPr>
            <w:tcW w:w="479" w:type="dxa"/>
            <w:vMerge w:val="continue"/>
            <w:tcBorders>
              <w:left w:val="single" w:color="auto" w:sz="8" w:space="0"/>
              <w:right w:val="single" w:color="auto" w:sz="4" w:space="0"/>
            </w:tcBorders>
            <w:shd w:val="clear" w:color="auto" w:fill="auto"/>
            <w:vAlign w:val="center"/>
          </w:tcPr>
          <w:p w14:paraId="49A7AF06">
            <w:pPr>
              <w:widowControl/>
              <w:jc w:val="center"/>
              <w:rPr>
                <w:rFonts w:hint="eastAsia" w:ascii="宋体" w:hAnsi="宋体" w:cs="宋体"/>
                <w:kern w:val="0"/>
                <w:sz w:val="20"/>
                <w:szCs w:val="20"/>
              </w:rPr>
            </w:pPr>
          </w:p>
        </w:tc>
        <w:tc>
          <w:tcPr>
            <w:tcW w:w="828" w:type="dxa"/>
            <w:tcBorders>
              <w:left w:val="single" w:color="auto" w:sz="4" w:space="0"/>
              <w:right w:val="single" w:color="auto" w:sz="4" w:space="0"/>
            </w:tcBorders>
            <w:shd w:val="clear" w:color="auto" w:fill="auto"/>
            <w:vAlign w:val="center"/>
          </w:tcPr>
          <w:p w14:paraId="083A16AB">
            <w:pPr>
              <w:jc w:val="center"/>
              <w:rPr>
                <w:rFonts w:hint="eastAsia" w:ascii="宋体" w:hAnsi="宋体" w:cs="宋体"/>
                <w:kern w:val="0"/>
                <w:sz w:val="20"/>
                <w:szCs w:val="20"/>
              </w:rPr>
            </w:pPr>
            <w:r>
              <w:rPr>
                <w:rFonts w:hint="eastAsia"/>
                <w:bCs/>
                <w:szCs w:val="21"/>
              </w:rPr>
              <w:t>2</w:t>
            </w:r>
          </w:p>
        </w:tc>
        <w:tc>
          <w:tcPr>
            <w:tcW w:w="3479" w:type="dxa"/>
            <w:tcBorders>
              <w:top w:val="nil"/>
              <w:left w:val="nil"/>
              <w:bottom w:val="single" w:color="auto" w:sz="4" w:space="0"/>
              <w:right w:val="single" w:color="auto" w:sz="4" w:space="0"/>
            </w:tcBorders>
            <w:shd w:val="clear" w:color="auto" w:fill="auto"/>
            <w:vAlign w:val="center"/>
          </w:tcPr>
          <w:p w14:paraId="74794578">
            <w:pPr>
              <w:jc w:val="center"/>
              <w:rPr>
                <w:rFonts w:ascii="宋体" w:hAnsi="宋体" w:cs="宋体"/>
                <w:kern w:val="0"/>
                <w:sz w:val="20"/>
                <w:szCs w:val="20"/>
              </w:rPr>
            </w:pPr>
            <w:r>
              <w:rPr>
                <w:rFonts w:hint="eastAsia"/>
                <w:bCs/>
                <w:szCs w:val="21"/>
              </w:rPr>
              <w:t>智能体管理和发布</w:t>
            </w:r>
          </w:p>
        </w:tc>
        <w:tc>
          <w:tcPr>
            <w:tcW w:w="1559" w:type="dxa"/>
            <w:tcBorders>
              <w:top w:val="nil"/>
              <w:left w:val="nil"/>
              <w:bottom w:val="single" w:color="auto" w:sz="4" w:space="0"/>
              <w:right w:val="single" w:color="auto" w:sz="4" w:space="0"/>
            </w:tcBorders>
            <w:shd w:val="clear" w:color="auto" w:fill="auto"/>
            <w:vAlign w:val="center"/>
          </w:tcPr>
          <w:p w14:paraId="07A34002">
            <w:pPr>
              <w:jc w:val="center"/>
              <w:rPr>
                <w:rFonts w:hint="eastAsia" w:ascii="宋体" w:hAnsi="宋体" w:cs="宋体"/>
                <w:kern w:val="0"/>
                <w:sz w:val="20"/>
                <w:szCs w:val="20"/>
              </w:rPr>
            </w:pPr>
            <w:r>
              <w:rPr>
                <w:rFonts w:hint="eastAsia"/>
                <w:bCs/>
                <w:szCs w:val="21"/>
              </w:rPr>
              <w:t>75000</w:t>
            </w:r>
          </w:p>
        </w:tc>
        <w:tc>
          <w:tcPr>
            <w:tcW w:w="1346" w:type="dxa"/>
            <w:tcBorders>
              <w:top w:val="nil"/>
              <w:left w:val="nil"/>
              <w:bottom w:val="single" w:color="auto" w:sz="4" w:space="0"/>
              <w:right w:val="single" w:color="auto" w:sz="4" w:space="0"/>
            </w:tcBorders>
            <w:shd w:val="clear" w:color="auto" w:fill="auto"/>
            <w:vAlign w:val="center"/>
          </w:tcPr>
          <w:p w14:paraId="1094265B">
            <w:pPr>
              <w:widowControl/>
              <w:jc w:val="right"/>
              <w:rPr>
                <w:rFonts w:hint="eastAsia" w:ascii="宋体" w:hAnsi="宋体" w:cs="宋体"/>
                <w:kern w:val="0"/>
                <w:sz w:val="20"/>
                <w:szCs w:val="20"/>
              </w:rPr>
            </w:pPr>
          </w:p>
        </w:tc>
        <w:tc>
          <w:tcPr>
            <w:tcW w:w="1044" w:type="dxa"/>
            <w:vMerge w:val="continue"/>
            <w:tcBorders>
              <w:left w:val="nil"/>
              <w:right w:val="single" w:color="auto" w:sz="8" w:space="0"/>
            </w:tcBorders>
            <w:shd w:val="clear" w:color="auto" w:fill="auto"/>
            <w:vAlign w:val="center"/>
          </w:tcPr>
          <w:p w14:paraId="0B462AB1">
            <w:pPr>
              <w:widowControl/>
              <w:jc w:val="left"/>
              <w:rPr>
                <w:rFonts w:hint="eastAsia" w:ascii="宋体" w:hAnsi="宋体" w:cs="宋体"/>
                <w:kern w:val="0"/>
                <w:sz w:val="20"/>
                <w:szCs w:val="20"/>
              </w:rPr>
            </w:pPr>
          </w:p>
        </w:tc>
      </w:tr>
      <w:tr w14:paraId="5B268418">
        <w:tblPrEx>
          <w:tblCellMar>
            <w:top w:w="0" w:type="dxa"/>
            <w:left w:w="108" w:type="dxa"/>
            <w:bottom w:w="0" w:type="dxa"/>
            <w:right w:w="108" w:type="dxa"/>
          </w:tblCellMar>
        </w:tblPrEx>
        <w:trPr>
          <w:trHeight w:val="285" w:hRule="atLeast"/>
        </w:trPr>
        <w:tc>
          <w:tcPr>
            <w:tcW w:w="479" w:type="dxa"/>
            <w:vMerge w:val="continue"/>
            <w:tcBorders>
              <w:left w:val="single" w:color="auto" w:sz="8" w:space="0"/>
              <w:right w:val="single" w:color="auto" w:sz="4" w:space="0"/>
            </w:tcBorders>
            <w:shd w:val="clear" w:color="auto" w:fill="auto"/>
            <w:vAlign w:val="center"/>
          </w:tcPr>
          <w:p w14:paraId="296DF3F2">
            <w:pPr>
              <w:jc w:val="center"/>
              <w:rPr>
                <w:rFonts w:ascii="宋体" w:hAnsi="宋体" w:cs="宋体"/>
                <w:kern w:val="0"/>
                <w:sz w:val="20"/>
                <w:szCs w:val="20"/>
              </w:rPr>
            </w:pPr>
          </w:p>
        </w:tc>
        <w:tc>
          <w:tcPr>
            <w:tcW w:w="828" w:type="dxa"/>
            <w:tcBorders>
              <w:top w:val="nil"/>
              <w:left w:val="single" w:color="auto" w:sz="4" w:space="0"/>
              <w:bottom w:val="single" w:color="auto" w:sz="4" w:space="0"/>
              <w:right w:val="single" w:color="auto" w:sz="4" w:space="0"/>
            </w:tcBorders>
            <w:vAlign w:val="center"/>
          </w:tcPr>
          <w:p w14:paraId="4B543A4A">
            <w:pPr>
              <w:jc w:val="center"/>
              <w:rPr>
                <w:rFonts w:ascii="宋体" w:hAnsi="宋体" w:cs="宋体"/>
                <w:kern w:val="0"/>
                <w:sz w:val="20"/>
                <w:szCs w:val="20"/>
              </w:rPr>
            </w:pPr>
            <w:r>
              <w:rPr>
                <w:rFonts w:hint="eastAsia"/>
                <w:bCs/>
                <w:szCs w:val="21"/>
              </w:rPr>
              <w:t>3</w:t>
            </w:r>
          </w:p>
        </w:tc>
        <w:tc>
          <w:tcPr>
            <w:tcW w:w="3479" w:type="dxa"/>
            <w:tcBorders>
              <w:top w:val="nil"/>
              <w:left w:val="nil"/>
              <w:bottom w:val="single" w:color="auto" w:sz="4" w:space="0"/>
              <w:right w:val="single" w:color="auto" w:sz="4" w:space="0"/>
            </w:tcBorders>
            <w:shd w:val="clear" w:color="auto" w:fill="auto"/>
            <w:vAlign w:val="center"/>
          </w:tcPr>
          <w:p w14:paraId="5BBC88B1">
            <w:pPr>
              <w:jc w:val="center"/>
              <w:rPr>
                <w:rFonts w:ascii="宋体" w:hAnsi="宋体" w:cs="宋体"/>
                <w:kern w:val="0"/>
                <w:sz w:val="20"/>
                <w:szCs w:val="20"/>
              </w:rPr>
            </w:pPr>
            <w:r>
              <w:rPr>
                <w:rFonts w:hint="eastAsia"/>
                <w:bCs/>
                <w:szCs w:val="21"/>
              </w:rPr>
              <w:t>外部应用接入管理和发布</w:t>
            </w:r>
          </w:p>
        </w:tc>
        <w:tc>
          <w:tcPr>
            <w:tcW w:w="1559" w:type="dxa"/>
            <w:tcBorders>
              <w:top w:val="nil"/>
              <w:left w:val="nil"/>
              <w:bottom w:val="single" w:color="auto" w:sz="4" w:space="0"/>
              <w:right w:val="single" w:color="auto" w:sz="4" w:space="0"/>
            </w:tcBorders>
            <w:shd w:val="clear" w:color="auto" w:fill="auto"/>
            <w:vAlign w:val="center"/>
          </w:tcPr>
          <w:p w14:paraId="42724760">
            <w:pPr>
              <w:jc w:val="center"/>
              <w:rPr>
                <w:rFonts w:hint="eastAsia" w:ascii="宋体" w:hAnsi="宋体" w:cs="宋体"/>
                <w:kern w:val="0"/>
                <w:sz w:val="20"/>
                <w:szCs w:val="20"/>
              </w:rPr>
            </w:pPr>
            <w:r>
              <w:rPr>
                <w:rFonts w:hint="eastAsia"/>
                <w:bCs/>
                <w:szCs w:val="21"/>
              </w:rPr>
              <w:t>58000</w:t>
            </w:r>
          </w:p>
        </w:tc>
        <w:tc>
          <w:tcPr>
            <w:tcW w:w="1346" w:type="dxa"/>
            <w:tcBorders>
              <w:top w:val="nil"/>
              <w:left w:val="nil"/>
              <w:bottom w:val="single" w:color="auto" w:sz="4" w:space="0"/>
              <w:right w:val="single" w:color="auto" w:sz="4" w:space="0"/>
            </w:tcBorders>
            <w:shd w:val="clear" w:color="auto" w:fill="auto"/>
            <w:vAlign w:val="center"/>
          </w:tcPr>
          <w:p w14:paraId="330A7474">
            <w:pPr>
              <w:widowControl/>
              <w:jc w:val="right"/>
              <w:rPr>
                <w:rFonts w:ascii="宋体" w:hAnsi="宋体" w:cs="宋体"/>
                <w:kern w:val="0"/>
                <w:sz w:val="20"/>
                <w:szCs w:val="20"/>
              </w:rPr>
            </w:pPr>
            <w:r>
              <w:rPr>
                <w:rFonts w:hint="eastAsia" w:ascii="宋体" w:hAnsi="宋体" w:cs="宋体"/>
                <w:kern w:val="0"/>
                <w:sz w:val="20"/>
                <w:szCs w:val="20"/>
              </w:rPr>
              <w:t>　</w:t>
            </w:r>
          </w:p>
        </w:tc>
        <w:tc>
          <w:tcPr>
            <w:tcW w:w="1044" w:type="dxa"/>
            <w:vMerge w:val="continue"/>
            <w:tcBorders>
              <w:left w:val="nil"/>
              <w:right w:val="single" w:color="auto" w:sz="8" w:space="0"/>
            </w:tcBorders>
            <w:shd w:val="clear" w:color="auto" w:fill="auto"/>
            <w:vAlign w:val="center"/>
          </w:tcPr>
          <w:p w14:paraId="1213F283">
            <w:pPr>
              <w:jc w:val="left"/>
              <w:rPr>
                <w:rFonts w:ascii="宋体" w:hAnsi="宋体" w:cs="宋体"/>
                <w:kern w:val="0"/>
                <w:sz w:val="20"/>
                <w:szCs w:val="20"/>
              </w:rPr>
            </w:pPr>
          </w:p>
        </w:tc>
      </w:tr>
      <w:tr w14:paraId="30DAB220">
        <w:trPr>
          <w:trHeight w:val="285" w:hRule="atLeast"/>
        </w:trPr>
        <w:tc>
          <w:tcPr>
            <w:tcW w:w="479" w:type="dxa"/>
            <w:vMerge w:val="continue"/>
            <w:tcBorders>
              <w:left w:val="single" w:color="auto" w:sz="8" w:space="0"/>
              <w:right w:val="single" w:color="auto" w:sz="4" w:space="0"/>
            </w:tcBorders>
            <w:shd w:val="clear" w:color="auto" w:fill="auto"/>
            <w:vAlign w:val="center"/>
          </w:tcPr>
          <w:p w14:paraId="7529DA49">
            <w:pPr>
              <w:jc w:val="center"/>
              <w:rPr>
                <w:rFonts w:ascii="宋体" w:hAnsi="宋体" w:cs="宋体"/>
                <w:kern w:val="0"/>
                <w:sz w:val="20"/>
                <w:szCs w:val="20"/>
              </w:rPr>
            </w:pPr>
          </w:p>
        </w:tc>
        <w:tc>
          <w:tcPr>
            <w:tcW w:w="828" w:type="dxa"/>
            <w:tcBorders>
              <w:top w:val="nil"/>
              <w:left w:val="single" w:color="auto" w:sz="4" w:space="0"/>
              <w:bottom w:val="single" w:color="auto" w:sz="4" w:space="0"/>
              <w:right w:val="single" w:color="auto" w:sz="4" w:space="0"/>
            </w:tcBorders>
            <w:vAlign w:val="center"/>
          </w:tcPr>
          <w:p w14:paraId="219FF2C1">
            <w:pPr>
              <w:jc w:val="center"/>
              <w:rPr>
                <w:rFonts w:ascii="宋体" w:hAnsi="宋体" w:cs="宋体"/>
                <w:kern w:val="0"/>
                <w:sz w:val="20"/>
                <w:szCs w:val="20"/>
              </w:rPr>
            </w:pPr>
            <w:r>
              <w:rPr>
                <w:rFonts w:hint="eastAsia"/>
                <w:bCs/>
                <w:szCs w:val="21"/>
              </w:rPr>
              <w:t>4</w:t>
            </w:r>
          </w:p>
        </w:tc>
        <w:tc>
          <w:tcPr>
            <w:tcW w:w="3479" w:type="dxa"/>
            <w:tcBorders>
              <w:top w:val="nil"/>
              <w:left w:val="nil"/>
              <w:bottom w:val="single" w:color="auto" w:sz="4" w:space="0"/>
              <w:right w:val="single" w:color="auto" w:sz="4" w:space="0"/>
            </w:tcBorders>
            <w:shd w:val="clear" w:color="auto" w:fill="auto"/>
            <w:vAlign w:val="center"/>
          </w:tcPr>
          <w:p w14:paraId="60C9885D">
            <w:pPr>
              <w:jc w:val="center"/>
              <w:rPr>
                <w:rFonts w:ascii="宋体" w:hAnsi="宋体" w:cs="宋体"/>
                <w:kern w:val="0"/>
                <w:sz w:val="20"/>
                <w:szCs w:val="20"/>
              </w:rPr>
            </w:pPr>
            <w:r>
              <w:rPr>
                <w:rFonts w:hint="eastAsia"/>
                <w:bCs/>
                <w:szCs w:val="21"/>
              </w:rPr>
              <w:t>内容管理和发布</w:t>
            </w:r>
          </w:p>
        </w:tc>
        <w:tc>
          <w:tcPr>
            <w:tcW w:w="1559" w:type="dxa"/>
            <w:tcBorders>
              <w:top w:val="nil"/>
              <w:left w:val="nil"/>
              <w:bottom w:val="single" w:color="auto" w:sz="4" w:space="0"/>
              <w:right w:val="single" w:color="auto" w:sz="4" w:space="0"/>
            </w:tcBorders>
            <w:shd w:val="clear" w:color="auto" w:fill="auto"/>
            <w:vAlign w:val="center"/>
          </w:tcPr>
          <w:p w14:paraId="56A0052E">
            <w:pPr>
              <w:jc w:val="center"/>
              <w:rPr>
                <w:rFonts w:hint="eastAsia" w:ascii="宋体" w:hAnsi="宋体" w:cs="宋体"/>
                <w:kern w:val="0"/>
                <w:sz w:val="20"/>
                <w:szCs w:val="20"/>
              </w:rPr>
            </w:pPr>
            <w:r>
              <w:rPr>
                <w:rFonts w:hint="eastAsia"/>
                <w:bCs/>
                <w:szCs w:val="21"/>
              </w:rPr>
              <w:t>47500</w:t>
            </w:r>
          </w:p>
        </w:tc>
        <w:tc>
          <w:tcPr>
            <w:tcW w:w="1346" w:type="dxa"/>
            <w:tcBorders>
              <w:top w:val="nil"/>
              <w:left w:val="nil"/>
              <w:bottom w:val="single" w:color="auto" w:sz="4" w:space="0"/>
              <w:right w:val="single" w:color="auto" w:sz="4" w:space="0"/>
            </w:tcBorders>
            <w:shd w:val="clear" w:color="auto" w:fill="auto"/>
            <w:vAlign w:val="center"/>
          </w:tcPr>
          <w:p w14:paraId="5A8A7047">
            <w:pPr>
              <w:widowControl/>
              <w:jc w:val="right"/>
              <w:rPr>
                <w:rFonts w:ascii="宋体" w:hAnsi="宋体" w:cs="宋体"/>
                <w:kern w:val="0"/>
                <w:sz w:val="20"/>
                <w:szCs w:val="20"/>
              </w:rPr>
            </w:pPr>
            <w:r>
              <w:rPr>
                <w:rFonts w:hint="eastAsia" w:ascii="宋体" w:hAnsi="宋体" w:cs="宋体"/>
                <w:kern w:val="0"/>
                <w:sz w:val="20"/>
                <w:szCs w:val="20"/>
              </w:rPr>
              <w:t>　</w:t>
            </w:r>
          </w:p>
        </w:tc>
        <w:tc>
          <w:tcPr>
            <w:tcW w:w="1044" w:type="dxa"/>
            <w:vMerge w:val="continue"/>
            <w:tcBorders>
              <w:left w:val="nil"/>
              <w:right w:val="single" w:color="auto" w:sz="8" w:space="0"/>
            </w:tcBorders>
            <w:shd w:val="clear" w:color="auto" w:fill="auto"/>
            <w:vAlign w:val="center"/>
          </w:tcPr>
          <w:p w14:paraId="5ECAD708">
            <w:pPr>
              <w:jc w:val="left"/>
              <w:rPr>
                <w:rFonts w:ascii="宋体" w:hAnsi="宋体" w:cs="宋体"/>
                <w:kern w:val="0"/>
                <w:sz w:val="20"/>
                <w:szCs w:val="20"/>
              </w:rPr>
            </w:pPr>
          </w:p>
        </w:tc>
      </w:tr>
      <w:tr w14:paraId="61D66470">
        <w:trPr>
          <w:trHeight w:val="285" w:hRule="atLeast"/>
        </w:trPr>
        <w:tc>
          <w:tcPr>
            <w:tcW w:w="479" w:type="dxa"/>
            <w:vMerge w:val="continue"/>
            <w:tcBorders>
              <w:left w:val="single" w:color="auto" w:sz="8" w:space="0"/>
              <w:right w:val="single" w:color="auto" w:sz="4" w:space="0"/>
            </w:tcBorders>
            <w:shd w:val="clear" w:color="auto" w:fill="auto"/>
            <w:vAlign w:val="center"/>
          </w:tcPr>
          <w:p w14:paraId="35591EDB">
            <w:pPr>
              <w:jc w:val="center"/>
              <w:rPr>
                <w:rFonts w:ascii="宋体" w:hAnsi="宋体" w:cs="宋体"/>
                <w:kern w:val="0"/>
                <w:sz w:val="20"/>
                <w:szCs w:val="20"/>
              </w:rPr>
            </w:pPr>
          </w:p>
        </w:tc>
        <w:tc>
          <w:tcPr>
            <w:tcW w:w="828" w:type="dxa"/>
            <w:tcBorders>
              <w:top w:val="nil"/>
              <w:left w:val="single" w:color="auto" w:sz="4" w:space="0"/>
              <w:bottom w:val="single" w:color="auto" w:sz="4" w:space="0"/>
              <w:right w:val="single" w:color="auto" w:sz="4" w:space="0"/>
            </w:tcBorders>
            <w:vAlign w:val="center"/>
          </w:tcPr>
          <w:p w14:paraId="1554B105">
            <w:pPr>
              <w:jc w:val="center"/>
              <w:rPr>
                <w:rFonts w:ascii="宋体" w:hAnsi="宋体" w:cs="宋体"/>
                <w:kern w:val="0"/>
                <w:sz w:val="20"/>
                <w:szCs w:val="20"/>
              </w:rPr>
            </w:pPr>
            <w:r>
              <w:rPr>
                <w:rFonts w:hint="eastAsia"/>
                <w:bCs/>
                <w:szCs w:val="21"/>
              </w:rPr>
              <w:t>5</w:t>
            </w:r>
          </w:p>
        </w:tc>
        <w:tc>
          <w:tcPr>
            <w:tcW w:w="3479" w:type="dxa"/>
            <w:tcBorders>
              <w:top w:val="nil"/>
              <w:left w:val="nil"/>
              <w:bottom w:val="single" w:color="auto" w:sz="4" w:space="0"/>
              <w:right w:val="single" w:color="auto" w:sz="4" w:space="0"/>
            </w:tcBorders>
            <w:shd w:val="clear" w:color="auto" w:fill="auto"/>
            <w:vAlign w:val="center"/>
          </w:tcPr>
          <w:p w14:paraId="31E1835C">
            <w:pPr>
              <w:jc w:val="center"/>
              <w:rPr>
                <w:rFonts w:ascii="宋体" w:hAnsi="宋体" w:cs="宋体"/>
                <w:kern w:val="0"/>
                <w:sz w:val="20"/>
                <w:szCs w:val="20"/>
              </w:rPr>
            </w:pPr>
            <w:r>
              <w:rPr>
                <w:rFonts w:hint="eastAsia"/>
                <w:bCs/>
                <w:szCs w:val="21"/>
              </w:rPr>
              <w:t>多机构区域化管理</w:t>
            </w:r>
          </w:p>
        </w:tc>
        <w:tc>
          <w:tcPr>
            <w:tcW w:w="1559" w:type="dxa"/>
            <w:tcBorders>
              <w:top w:val="nil"/>
              <w:left w:val="nil"/>
              <w:bottom w:val="single" w:color="auto" w:sz="4" w:space="0"/>
              <w:right w:val="single" w:color="auto" w:sz="4" w:space="0"/>
            </w:tcBorders>
            <w:shd w:val="clear" w:color="auto" w:fill="auto"/>
            <w:vAlign w:val="center"/>
          </w:tcPr>
          <w:p w14:paraId="5CF390F7">
            <w:pPr>
              <w:jc w:val="center"/>
              <w:rPr>
                <w:rFonts w:hint="eastAsia" w:ascii="宋体" w:hAnsi="宋体" w:cs="宋体"/>
                <w:kern w:val="0"/>
                <w:sz w:val="20"/>
                <w:szCs w:val="20"/>
              </w:rPr>
            </w:pPr>
            <w:r>
              <w:rPr>
                <w:rFonts w:hint="eastAsia"/>
                <w:bCs/>
                <w:szCs w:val="21"/>
              </w:rPr>
              <w:t>47250</w:t>
            </w:r>
          </w:p>
        </w:tc>
        <w:tc>
          <w:tcPr>
            <w:tcW w:w="1346" w:type="dxa"/>
            <w:tcBorders>
              <w:top w:val="nil"/>
              <w:left w:val="nil"/>
              <w:bottom w:val="single" w:color="auto" w:sz="4" w:space="0"/>
              <w:right w:val="single" w:color="auto" w:sz="4" w:space="0"/>
            </w:tcBorders>
            <w:shd w:val="clear" w:color="auto" w:fill="auto"/>
            <w:vAlign w:val="center"/>
          </w:tcPr>
          <w:p w14:paraId="27ADD00B">
            <w:pPr>
              <w:widowControl/>
              <w:jc w:val="right"/>
              <w:rPr>
                <w:rFonts w:hint="eastAsia" w:ascii="宋体" w:hAnsi="宋体" w:cs="宋体"/>
                <w:kern w:val="0"/>
                <w:sz w:val="20"/>
                <w:szCs w:val="20"/>
              </w:rPr>
            </w:pPr>
          </w:p>
        </w:tc>
        <w:tc>
          <w:tcPr>
            <w:tcW w:w="1044" w:type="dxa"/>
            <w:vMerge w:val="continue"/>
            <w:tcBorders>
              <w:left w:val="nil"/>
              <w:right w:val="single" w:color="auto" w:sz="8" w:space="0"/>
            </w:tcBorders>
            <w:shd w:val="clear" w:color="auto" w:fill="auto"/>
            <w:vAlign w:val="center"/>
          </w:tcPr>
          <w:p w14:paraId="1BAB9881">
            <w:pPr>
              <w:jc w:val="left"/>
              <w:rPr>
                <w:rFonts w:ascii="宋体" w:hAnsi="宋体" w:cs="宋体"/>
                <w:kern w:val="0"/>
                <w:sz w:val="20"/>
                <w:szCs w:val="20"/>
              </w:rPr>
            </w:pPr>
          </w:p>
        </w:tc>
      </w:tr>
      <w:tr w14:paraId="588183BF">
        <w:tblPrEx>
          <w:tblCellMar>
            <w:top w:w="0" w:type="dxa"/>
            <w:left w:w="108" w:type="dxa"/>
            <w:bottom w:w="0" w:type="dxa"/>
            <w:right w:w="108" w:type="dxa"/>
          </w:tblCellMar>
        </w:tblPrEx>
        <w:trPr>
          <w:trHeight w:val="285" w:hRule="atLeast"/>
        </w:trPr>
        <w:tc>
          <w:tcPr>
            <w:tcW w:w="479" w:type="dxa"/>
            <w:vMerge w:val="continue"/>
            <w:tcBorders>
              <w:left w:val="single" w:color="auto" w:sz="8" w:space="0"/>
              <w:right w:val="single" w:color="auto" w:sz="4" w:space="0"/>
            </w:tcBorders>
            <w:shd w:val="clear" w:color="auto" w:fill="auto"/>
            <w:vAlign w:val="center"/>
          </w:tcPr>
          <w:p w14:paraId="38FCBC95">
            <w:pPr>
              <w:jc w:val="center"/>
              <w:rPr>
                <w:rFonts w:ascii="宋体" w:hAnsi="宋体" w:cs="宋体"/>
                <w:kern w:val="0"/>
                <w:sz w:val="20"/>
                <w:szCs w:val="20"/>
              </w:rPr>
            </w:pPr>
          </w:p>
        </w:tc>
        <w:tc>
          <w:tcPr>
            <w:tcW w:w="828" w:type="dxa"/>
            <w:tcBorders>
              <w:top w:val="nil"/>
              <w:left w:val="single" w:color="auto" w:sz="4" w:space="0"/>
              <w:bottom w:val="single" w:color="auto" w:sz="4" w:space="0"/>
              <w:right w:val="single" w:color="auto" w:sz="4" w:space="0"/>
            </w:tcBorders>
            <w:vAlign w:val="center"/>
          </w:tcPr>
          <w:p w14:paraId="0DDD2834">
            <w:pPr>
              <w:jc w:val="center"/>
              <w:rPr>
                <w:rFonts w:ascii="宋体" w:hAnsi="宋体" w:cs="宋体"/>
                <w:kern w:val="0"/>
                <w:sz w:val="20"/>
                <w:szCs w:val="20"/>
              </w:rPr>
            </w:pPr>
            <w:r>
              <w:rPr>
                <w:rFonts w:hint="eastAsia"/>
                <w:bCs/>
                <w:szCs w:val="21"/>
              </w:rPr>
              <w:t>6</w:t>
            </w:r>
          </w:p>
        </w:tc>
        <w:tc>
          <w:tcPr>
            <w:tcW w:w="3479" w:type="dxa"/>
            <w:tcBorders>
              <w:top w:val="nil"/>
              <w:left w:val="nil"/>
              <w:bottom w:val="single" w:color="auto" w:sz="4" w:space="0"/>
              <w:right w:val="single" w:color="auto" w:sz="4" w:space="0"/>
            </w:tcBorders>
            <w:shd w:val="clear" w:color="auto" w:fill="auto"/>
            <w:vAlign w:val="center"/>
          </w:tcPr>
          <w:p w14:paraId="639AEF3C">
            <w:pPr>
              <w:jc w:val="center"/>
              <w:rPr>
                <w:rFonts w:ascii="宋体" w:hAnsi="宋体" w:cs="宋体"/>
                <w:kern w:val="0"/>
                <w:sz w:val="20"/>
                <w:szCs w:val="20"/>
              </w:rPr>
            </w:pPr>
            <w:r>
              <w:rPr>
                <w:rFonts w:hint="eastAsia"/>
                <w:bCs/>
                <w:szCs w:val="21"/>
              </w:rPr>
              <w:t>用户分享系统</w:t>
            </w:r>
          </w:p>
        </w:tc>
        <w:tc>
          <w:tcPr>
            <w:tcW w:w="1559" w:type="dxa"/>
            <w:tcBorders>
              <w:top w:val="nil"/>
              <w:left w:val="nil"/>
              <w:bottom w:val="single" w:color="auto" w:sz="4" w:space="0"/>
              <w:right w:val="single" w:color="auto" w:sz="4" w:space="0"/>
            </w:tcBorders>
            <w:shd w:val="clear" w:color="auto" w:fill="auto"/>
            <w:vAlign w:val="center"/>
          </w:tcPr>
          <w:p w14:paraId="6797C6C5">
            <w:pPr>
              <w:jc w:val="center"/>
              <w:rPr>
                <w:rFonts w:hint="eastAsia" w:ascii="宋体" w:hAnsi="宋体" w:cs="宋体"/>
                <w:kern w:val="0"/>
                <w:sz w:val="20"/>
                <w:szCs w:val="20"/>
              </w:rPr>
            </w:pPr>
            <w:r>
              <w:rPr>
                <w:rFonts w:hint="eastAsia"/>
                <w:bCs/>
                <w:szCs w:val="21"/>
              </w:rPr>
              <w:t>33250</w:t>
            </w:r>
          </w:p>
        </w:tc>
        <w:tc>
          <w:tcPr>
            <w:tcW w:w="1346" w:type="dxa"/>
            <w:tcBorders>
              <w:top w:val="nil"/>
              <w:left w:val="nil"/>
              <w:bottom w:val="single" w:color="auto" w:sz="4" w:space="0"/>
              <w:right w:val="single" w:color="auto" w:sz="4" w:space="0"/>
            </w:tcBorders>
            <w:shd w:val="clear" w:color="auto" w:fill="auto"/>
            <w:vAlign w:val="center"/>
          </w:tcPr>
          <w:p w14:paraId="0461F9E5">
            <w:pPr>
              <w:widowControl/>
              <w:jc w:val="right"/>
              <w:rPr>
                <w:rFonts w:hint="eastAsia" w:ascii="宋体" w:hAnsi="宋体" w:cs="宋体"/>
                <w:kern w:val="0"/>
                <w:sz w:val="20"/>
                <w:szCs w:val="20"/>
              </w:rPr>
            </w:pPr>
          </w:p>
        </w:tc>
        <w:tc>
          <w:tcPr>
            <w:tcW w:w="1044" w:type="dxa"/>
            <w:vMerge w:val="continue"/>
            <w:tcBorders>
              <w:left w:val="nil"/>
              <w:right w:val="single" w:color="auto" w:sz="8" w:space="0"/>
            </w:tcBorders>
            <w:shd w:val="clear" w:color="auto" w:fill="auto"/>
            <w:vAlign w:val="center"/>
          </w:tcPr>
          <w:p w14:paraId="7E22A31F">
            <w:pPr>
              <w:jc w:val="left"/>
              <w:rPr>
                <w:rFonts w:ascii="宋体" w:hAnsi="宋体" w:cs="宋体"/>
                <w:kern w:val="0"/>
                <w:sz w:val="20"/>
                <w:szCs w:val="20"/>
              </w:rPr>
            </w:pPr>
          </w:p>
        </w:tc>
      </w:tr>
      <w:tr w14:paraId="14167D84">
        <w:tblPrEx>
          <w:tblCellMar>
            <w:top w:w="0" w:type="dxa"/>
            <w:left w:w="108" w:type="dxa"/>
            <w:bottom w:w="0" w:type="dxa"/>
            <w:right w:w="108" w:type="dxa"/>
          </w:tblCellMar>
        </w:tblPrEx>
        <w:trPr>
          <w:trHeight w:val="285" w:hRule="atLeast"/>
        </w:trPr>
        <w:tc>
          <w:tcPr>
            <w:tcW w:w="479" w:type="dxa"/>
            <w:vMerge w:val="continue"/>
            <w:tcBorders>
              <w:left w:val="single" w:color="auto" w:sz="8" w:space="0"/>
              <w:right w:val="single" w:color="auto" w:sz="4" w:space="0"/>
            </w:tcBorders>
            <w:shd w:val="clear" w:color="auto" w:fill="auto"/>
            <w:vAlign w:val="center"/>
          </w:tcPr>
          <w:p w14:paraId="31BDDAE4">
            <w:pPr>
              <w:jc w:val="center"/>
              <w:rPr>
                <w:rFonts w:ascii="宋体" w:hAnsi="宋体" w:cs="宋体"/>
                <w:kern w:val="0"/>
                <w:sz w:val="20"/>
                <w:szCs w:val="20"/>
              </w:rPr>
            </w:pPr>
          </w:p>
        </w:tc>
        <w:tc>
          <w:tcPr>
            <w:tcW w:w="828" w:type="dxa"/>
            <w:tcBorders>
              <w:top w:val="nil"/>
              <w:left w:val="single" w:color="auto" w:sz="4" w:space="0"/>
              <w:bottom w:val="single" w:color="auto" w:sz="4" w:space="0"/>
              <w:right w:val="single" w:color="auto" w:sz="4" w:space="0"/>
            </w:tcBorders>
            <w:vAlign w:val="center"/>
          </w:tcPr>
          <w:p w14:paraId="407C1527">
            <w:pPr>
              <w:jc w:val="center"/>
              <w:rPr>
                <w:rFonts w:ascii="宋体" w:hAnsi="宋体" w:cs="宋体"/>
                <w:kern w:val="0"/>
                <w:sz w:val="20"/>
                <w:szCs w:val="20"/>
              </w:rPr>
            </w:pPr>
            <w:r>
              <w:rPr>
                <w:rFonts w:hint="eastAsia"/>
                <w:bCs/>
                <w:szCs w:val="21"/>
              </w:rPr>
              <w:t>7</w:t>
            </w:r>
          </w:p>
        </w:tc>
        <w:tc>
          <w:tcPr>
            <w:tcW w:w="3479" w:type="dxa"/>
            <w:tcBorders>
              <w:top w:val="nil"/>
              <w:left w:val="nil"/>
              <w:bottom w:val="single" w:color="auto" w:sz="4" w:space="0"/>
              <w:right w:val="single" w:color="auto" w:sz="4" w:space="0"/>
            </w:tcBorders>
            <w:shd w:val="clear" w:color="auto" w:fill="auto"/>
            <w:vAlign w:val="center"/>
          </w:tcPr>
          <w:p w14:paraId="46E04D5C">
            <w:pPr>
              <w:jc w:val="center"/>
              <w:rPr>
                <w:rFonts w:ascii="宋体" w:hAnsi="宋体" w:cs="宋体"/>
                <w:kern w:val="0"/>
                <w:sz w:val="20"/>
                <w:szCs w:val="20"/>
              </w:rPr>
            </w:pPr>
            <w:r>
              <w:rPr>
                <w:rFonts w:hint="eastAsia"/>
                <w:bCs/>
                <w:szCs w:val="21"/>
              </w:rPr>
              <w:t>搜索推荐引擎</w:t>
            </w:r>
          </w:p>
        </w:tc>
        <w:tc>
          <w:tcPr>
            <w:tcW w:w="1559" w:type="dxa"/>
            <w:tcBorders>
              <w:top w:val="nil"/>
              <w:left w:val="nil"/>
              <w:bottom w:val="single" w:color="auto" w:sz="4" w:space="0"/>
              <w:right w:val="single" w:color="auto" w:sz="4" w:space="0"/>
            </w:tcBorders>
            <w:shd w:val="clear" w:color="auto" w:fill="auto"/>
            <w:vAlign w:val="center"/>
          </w:tcPr>
          <w:p w14:paraId="7627DFAB">
            <w:pPr>
              <w:jc w:val="center"/>
              <w:rPr>
                <w:rFonts w:hint="eastAsia" w:ascii="宋体" w:hAnsi="宋体" w:cs="宋体"/>
                <w:kern w:val="0"/>
                <w:sz w:val="20"/>
                <w:szCs w:val="20"/>
              </w:rPr>
            </w:pPr>
            <w:r>
              <w:rPr>
                <w:rFonts w:hint="eastAsia"/>
                <w:bCs/>
                <w:szCs w:val="21"/>
              </w:rPr>
              <w:t>47250</w:t>
            </w:r>
          </w:p>
        </w:tc>
        <w:tc>
          <w:tcPr>
            <w:tcW w:w="1346" w:type="dxa"/>
            <w:tcBorders>
              <w:top w:val="nil"/>
              <w:left w:val="nil"/>
              <w:bottom w:val="single" w:color="auto" w:sz="4" w:space="0"/>
              <w:right w:val="single" w:color="auto" w:sz="4" w:space="0"/>
            </w:tcBorders>
            <w:shd w:val="clear" w:color="auto" w:fill="auto"/>
            <w:vAlign w:val="center"/>
          </w:tcPr>
          <w:p w14:paraId="70364FCB">
            <w:pPr>
              <w:widowControl/>
              <w:jc w:val="right"/>
              <w:rPr>
                <w:rFonts w:hint="eastAsia" w:ascii="宋体" w:hAnsi="宋体" w:cs="宋体"/>
                <w:kern w:val="0"/>
                <w:sz w:val="20"/>
                <w:szCs w:val="20"/>
              </w:rPr>
            </w:pPr>
          </w:p>
        </w:tc>
        <w:tc>
          <w:tcPr>
            <w:tcW w:w="1044" w:type="dxa"/>
            <w:vMerge w:val="continue"/>
            <w:tcBorders>
              <w:left w:val="nil"/>
              <w:right w:val="single" w:color="auto" w:sz="8" w:space="0"/>
            </w:tcBorders>
            <w:shd w:val="clear" w:color="auto" w:fill="auto"/>
            <w:vAlign w:val="center"/>
          </w:tcPr>
          <w:p w14:paraId="5FFA5B61">
            <w:pPr>
              <w:jc w:val="left"/>
              <w:rPr>
                <w:rFonts w:ascii="宋体" w:hAnsi="宋体" w:cs="宋体"/>
                <w:kern w:val="0"/>
                <w:sz w:val="20"/>
                <w:szCs w:val="20"/>
              </w:rPr>
            </w:pPr>
          </w:p>
        </w:tc>
      </w:tr>
      <w:tr w14:paraId="0851571C">
        <w:tblPrEx>
          <w:tblCellMar>
            <w:top w:w="0" w:type="dxa"/>
            <w:left w:w="108" w:type="dxa"/>
            <w:bottom w:w="0" w:type="dxa"/>
            <w:right w:w="108" w:type="dxa"/>
          </w:tblCellMar>
        </w:tblPrEx>
        <w:trPr>
          <w:trHeight w:val="285" w:hRule="atLeast"/>
        </w:trPr>
        <w:tc>
          <w:tcPr>
            <w:tcW w:w="479" w:type="dxa"/>
            <w:vMerge w:val="continue"/>
            <w:tcBorders>
              <w:left w:val="single" w:color="auto" w:sz="8" w:space="0"/>
              <w:right w:val="single" w:color="auto" w:sz="4" w:space="0"/>
            </w:tcBorders>
            <w:shd w:val="clear" w:color="auto" w:fill="auto"/>
            <w:vAlign w:val="center"/>
          </w:tcPr>
          <w:p w14:paraId="708EFD80">
            <w:pPr>
              <w:jc w:val="center"/>
              <w:rPr>
                <w:rFonts w:ascii="宋体" w:hAnsi="宋体" w:cs="宋体"/>
                <w:kern w:val="0"/>
                <w:sz w:val="20"/>
                <w:szCs w:val="20"/>
              </w:rPr>
            </w:pPr>
          </w:p>
        </w:tc>
        <w:tc>
          <w:tcPr>
            <w:tcW w:w="828" w:type="dxa"/>
            <w:tcBorders>
              <w:top w:val="nil"/>
              <w:left w:val="single" w:color="auto" w:sz="4" w:space="0"/>
              <w:bottom w:val="single" w:color="auto" w:sz="4" w:space="0"/>
              <w:right w:val="single" w:color="auto" w:sz="4" w:space="0"/>
            </w:tcBorders>
            <w:vAlign w:val="center"/>
          </w:tcPr>
          <w:p w14:paraId="2831C4ED">
            <w:pPr>
              <w:jc w:val="center"/>
              <w:rPr>
                <w:rFonts w:ascii="宋体" w:hAnsi="宋体" w:cs="宋体"/>
                <w:kern w:val="0"/>
                <w:sz w:val="20"/>
                <w:szCs w:val="20"/>
              </w:rPr>
            </w:pPr>
            <w:r>
              <w:rPr>
                <w:rFonts w:hint="eastAsia"/>
                <w:bCs/>
                <w:szCs w:val="21"/>
              </w:rPr>
              <w:t>8</w:t>
            </w:r>
          </w:p>
        </w:tc>
        <w:tc>
          <w:tcPr>
            <w:tcW w:w="3479" w:type="dxa"/>
            <w:tcBorders>
              <w:top w:val="nil"/>
              <w:left w:val="nil"/>
              <w:bottom w:val="single" w:color="auto" w:sz="4" w:space="0"/>
              <w:right w:val="single" w:color="auto" w:sz="4" w:space="0"/>
            </w:tcBorders>
            <w:shd w:val="clear" w:color="auto" w:fill="auto"/>
            <w:vAlign w:val="center"/>
          </w:tcPr>
          <w:p w14:paraId="6B129E24">
            <w:pPr>
              <w:jc w:val="center"/>
              <w:rPr>
                <w:rFonts w:ascii="宋体" w:hAnsi="宋体" w:cs="宋体"/>
                <w:kern w:val="0"/>
                <w:sz w:val="20"/>
                <w:szCs w:val="20"/>
              </w:rPr>
            </w:pPr>
            <w:r>
              <w:rPr>
                <w:rFonts w:hint="eastAsia"/>
                <w:bCs/>
                <w:szCs w:val="21"/>
              </w:rPr>
              <w:t>智能应用效果评估</w:t>
            </w:r>
          </w:p>
        </w:tc>
        <w:tc>
          <w:tcPr>
            <w:tcW w:w="1559" w:type="dxa"/>
            <w:tcBorders>
              <w:top w:val="nil"/>
              <w:left w:val="nil"/>
              <w:bottom w:val="single" w:color="auto" w:sz="4" w:space="0"/>
              <w:right w:val="single" w:color="auto" w:sz="4" w:space="0"/>
            </w:tcBorders>
            <w:shd w:val="clear" w:color="auto" w:fill="auto"/>
            <w:vAlign w:val="center"/>
          </w:tcPr>
          <w:p w14:paraId="30EC65E5">
            <w:pPr>
              <w:jc w:val="center"/>
              <w:rPr>
                <w:rFonts w:hint="eastAsia" w:ascii="宋体" w:hAnsi="宋体" w:cs="宋体"/>
                <w:kern w:val="0"/>
                <w:sz w:val="20"/>
                <w:szCs w:val="20"/>
              </w:rPr>
            </w:pPr>
            <w:r>
              <w:rPr>
                <w:rFonts w:hint="eastAsia"/>
                <w:bCs/>
                <w:szCs w:val="21"/>
              </w:rPr>
              <w:t>49000</w:t>
            </w:r>
          </w:p>
        </w:tc>
        <w:tc>
          <w:tcPr>
            <w:tcW w:w="1346" w:type="dxa"/>
            <w:tcBorders>
              <w:top w:val="nil"/>
              <w:left w:val="nil"/>
              <w:bottom w:val="single" w:color="auto" w:sz="4" w:space="0"/>
              <w:right w:val="single" w:color="auto" w:sz="4" w:space="0"/>
            </w:tcBorders>
            <w:shd w:val="clear" w:color="auto" w:fill="auto"/>
            <w:vAlign w:val="center"/>
          </w:tcPr>
          <w:p w14:paraId="431CFA7C">
            <w:pPr>
              <w:widowControl/>
              <w:jc w:val="right"/>
              <w:rPr>
                <w:rFonts w:hint="eastAsia" w:ascii="宋体" w:hAnsi="宋体" w:cs="宋体"/>
                <w:kern w:val="0"/>
                <w:sz w:val="20"/>
                <w:szCs w:val="20"/>
              </w:rPr>
            </w:pPr>
          </w:p>
        </w:tc>
        <w:tc>
          <w:tcPr>
            <w:tcW w:w="1044" w:type="dxa"/>
            <w:vMerge w:val="continue"/>
            <w:tcBorders>
              <w:left w:val="nil"/>
              <w:right w:val="single" w:color="auto" w:sz="8" w:space="0"/>
            </w:tcBorders>
            <w:shd w:val="clear" w:color="auto" w:fill="auto"/>
            <w:vAlign w:val="center"/>
          </w:tcPr>
          <w:p w14:paraId="68DF5F56">
            <w:pPr>
              <w:jc w:val="left"/>
              <w:rPr>
                <w:rFonts w:ascii="宋体" w:hAnsi="宋体" w:cs="宋体"/>
                <w:kern w:val="0"/>
                <w:sz w:val="20"/>
                <w:szCs w:val="20"/>
              </w:rPr>
            </w:pPr>
          </w:p>
        </w:tc>
      </w:tr>
      <w:tr w14:paraId="064B93ED">
        <w:tblPrEx>
          <w:tblCellMar>
            <w:top w:w="0" w:type="dxa"/>
            <w:left w:w="108" w:type="dxa"/>
            <w:bottom w:w="0" w:type="dxa"/>
            <w:right w:w="108" w:type="dxa"/>
          </w:tblCellMar>
        </w:tblPrEx>
        <w:trPr>
          <w:trHeight w:val="285" w:hRule="atLeast"/>
        </w:trPr>
        <w:tc>
          <w:tcPr>
            <w:tcW w:w="479" w:type="dxa"/>
            <w:vMerge w:val="continue"/>
            <w:tcBorders>
              <w:left w:val="single" w:color="auto" w:sz="8" w:space="0"/>
              <w:right w:val="single" w:color="auto" w:sz="4" w:space="0"/>
            </w:tcBorders>
            <w:shd w:val="clear" w:color="auto" w:fill="auto"/>
            <w:vAlign w:val="center"/>
          </w:tcPr>
          <w:p w14:paraId="643C2BBF">
            <w:pPr>
              <w:jc w:val="center"/>
              <w:rPr>
                <w:rFonts w:ascii="宋体" w:hAnsi="宋体" w:cs="宋体"/>
                <w:kern w:val="0"/>
                <w:sz w:val="20"/>
                <w:szCs w:val="20"/>
              </w:rPr>
            </w:pPr>
          </w:p>
        </w:tc>
        <w:tc>
          <w:tcPr>
            <w:tcW w:w="828" w:type="dxa"/>
            <w:tcBorders>
              <w:top w:val="nil"/>
              <w:left w:val="single" w:color="auto" w:sz="4" w:space="0"/>
              <w:bottom w:val="single" w:color="auto" w:sz="4" w:space="0"/>
              <w:right w:val="single" w:color="auto" w:sz="4" w:space="0"/>
            </w:tcBorders>
            <w:vAlign w:val="center"/>
          </w:tcPr>
          <w:p w14:paraId="4B819675">
            <w:pPr>
              <w:jc w:val="center"/>
              <w:rPr>
                <w:rFonts w:ascii="宋体" w:hAnsi="宋体" w:cs="宋体"/>
                <w:kern w:val="0"/>
                <w:sz w:val="20"/>
                <w:szCs w:val="20"/>
              </w:rPr>
            </w:pPr>
            <w:r>
              <w:rPr>
                <w:rFonts w:hint="eastAsia"/>
                <w:bCs/>
                <w:szCs w:val="21"/>
              </w:rPr>
              <w:t>9</w:t>
            </w:r>
          </w:p>
        </w:tc>
        <w:tc>
          <w:tcPr>
            <w:tcW w:w="3479" w:type="dxa"/>
            <w:tcBorders>
              <w:top w:val="nil"/>
              <w:left w:val="nil"/>
              <w:bottom w:val="single" w:color="auto" w:sz="4" w:space="0"/>
              <w:right w:val="single" w:color="auto" w:sz="4" w:space="0"/>
            </w:tcBorders>
            <w:shd w:val="clear" w:color="auto" w:fill="auto"/>
            <w:vAlign w:val="center"/>
          </w:tcPr>
          <w:p w14:paraId="778C2EF1">
            <w:pPr>
              <w:jc w:val="center"/>
              <w:rPr>
                <w:rFonts w:ascii="宋体" w:hAnsi="宋体" w:cs="宋体"/>
                <w:kern w:val="0"/>
                <w:sz w:val="20"/>
                <w:szCs w:val="20"/>
              </w:rPr>
            </w:pPr>
            <w:r>
              <w:rPr>
                <w:rFonts w:hint="eastAsia"/>
                <w:bCs/>
                <w:szCs w:val="21"/>
              </w:rPr>
              <w:t>用户档案数据管理</w:t>
            </w:r>
          </w:p>
        </w:tc>
        <w:tc>
          <w:tcPr>
            <w:tcW w:w="1559" w:type="dxa"/>
            <w:tcBorders>
              <w:top w:val="nil"/>
              <w:left w:val="nil"/>
              <w:bottom w:val="single" w:color="auto" w:sz="4" w:space="0"/>
              <w:right w:val="single" w:color="auto" w:sz="4" w:space="0"/>
            </w:tcBorders>
            <w:shd w:val="clear" w:color="auto" w:fill="auto"/>
            <w:vAlign w:val="center"/>
          </w:tcPr>
          <w:p w14:paraId="7B8FB715">
            <w:pPr>
              <w:jc w:val="center"/>
              <w:rPr>
                <w:rFonts w:hint="eastAsia" w:ascii="宋体" w:hAnsi="宋体" w:cs="宋体"/>
                <w:kern w:val="0"/>
                <w:sz w:val="20"/>
                <w:szCs w:val="20"/>
              </w:rPr>
            </w:pPr>
            <w:r>
              <w:rPr>
                <w:rFonts w:hint="eastAsia"/>
                <w:bCs/>
                <w:szCs w:val="21"/>
              </w:rPr>
              <w:t>33250</w:t>
            </w:r>
          </w:p>
        </w:tc>
        <w:tc>
          <w:tcPr>
            <w:tcW w:w="1346" w:type="dxa"/>
            <w:tcBorders>
              <w:top w:val="nil"/>
              <w:left w:val="nil"/>
              <w:bottom w:val="single" w:color="auto" w:sz="4" w:space="0"/>
              <w:right w:val="single" w:color="auto" w:sz="4" w:space="0"/>
            </w:tcBorders>
            <w:shd w:val="clear" w:color="auto" w:fill="auto"/>
            <w:vAlign w:val="center"/>
          </w:tcPr>
          <w:p w14:paraId="54BB025E">
            <w:pPr>
              <w:widowControl/>
              <w:jc w:val="right"/>
              <w:rPr>
                <w:rFonts w:ascii="宋体" w:hAnsi="宋体" w:cs="宋体"/>
                <w:kern w:val="0"/>
                <w:sz w:val="20"/>
                <w:szCs w:val="20"/>
              </w:rPr>
            </w:pPr>
            <w:r>
              <w:rPr>
                <w:rFonts w:hint="eastAsia" w:ascii="宋体" w:hAnsi="宋体" w:cs="宋体"/>
                <w:kern w:val="0"/>
                <w:sz w:val="20"/>
                <w:szCs w:val="20"/>
              </w:rPr>
              <w:t>　</w:t>
            </w:r>
          </w:p>
        </w:tc>
        <w:tc>
          <w:tcPr>
            <w:tcW w:w="1044" w:type="dxa"/>
            <w:vMerge w:val="continue"/>
            <w:tcBorders>
              <w:left w:val="nil"/>
              <w:right w:val="single" w:color="auto" w:sz="8" w:space="0"/>
            </w:tcBorders>
            <w:shd w:val="clear" w:color="auto" w:fill="auto"/>
            <w:vAlign w:val="center"/>
          </w:tcPr>
          <w:p w14:paraId="76131F2B">
            <w:pPr>
              <w:jc w:val="left"/>
              <w:rPr>
                <w:rFonts w:ascii="宋体" w:hAnsi="宋体" w:cs="宋体"/>
                <w:kern w:val="0"/>
                <w:sz w:val="20"/>
                <w:szCs w:val="20"/>
              </w:rPr>
            </w:pPr>
          </w:p>
        </w:tc>
      </w:tr>
      <w:tr w14:paraId="02B04915">
        <w:tblPrEx>
          <w:tblCellMar>
            <w:top w:w="0" w:type="dxa"/>
            <w:left w:w="108" w:type="dxa"/>
            <w:bottom w:w="0" w:type="dxa"/>
            <w:right w:w="108" w:type="dxa"/>
          </w:tblCellMar>
        </w:tblPrEx>
        <w:trPr>
          <w:trHeight w:val="285" w:hRule="atLeast"/>
        </w:trPr>
        <w:tc>
          <w:tcPr>
            <w:tcW w:w="479" w:type="dxa"/>
            <w:vMerge w:val="continue"/>
            <w:tcBorders>
              <w:left w:val="single" w:color="auto" w:sz="8" w:space="0"/>
              <w:right w:val="single" w:color="auto" w:sz="4" w:space="0"/>
            </w:tcBorders>
            <w:shd w:val="clear" w:color="auto" w:fill="auto"/>
            <w:vAlign w:val="center"/>
          </w:tcPr>
          <w:p w14:paraId="4366D21B">
            <w:pPr>
              <w:jc w:val="center"/>
              <w:rPr>
                <w:rFonts w:ascii="宋体" w:hAnsi="宋体" w:cs="宋体"/>
                <w:kern w:val="0"/>
                <w:sz w:val="20"/>
                <w:szCs w:val="20"/>
              </w:rPr>
            </w:pPr>
          </w:p>
        </w:tc>
        <w:tc>
          <w:tcPr>
            <w:tcW w:w="828" w:type="dxa"/>
            <w:tcBorders>
              <w:top w:val="nil"/>
              <w:left w:val="single" w:color="auto" w:sz="4" w:space="0"/>
              <w:bottom w:val="single" w:color="auto" w:sz="4" w:space="0"/>
              <w:right w:val="single" w:color="auto" w:sz="4" w:space="0"/>
            </w:tcBorders>
            <w:vAlign w:val="center"/>
          </w:tcPr>
          <w:p w14:paraId="6E525BE5">
            <w:pPr>
              <w:jc w:val="center"/>
              <w:rPr>
                <w:rFonts w:ascii="宋体" w:hAnsi="宋体" w:cs="宋体"/>
                <w:kern w:val="0"/>
                <w:sz w:val="20"/>
                <w:szCs w:val="20"/>
              </w:rPr>
            </w:pPr>
            <w:r>
              <w:rPr>
                <w:rFonts w:hint="eastAsia"/>
                <w:bCs/>
                <w:szCs w:val="21"/>
              </w:rPr>
              <w:t>10</w:t>
            </w:r>
          </w:p>
        </w:tc>
        <w:tc>
          <w:tcPr>
            <w:tcW w:w="3479" w:type="dxa"/>
            <w:tcBorders>
              <w:top w:val="nil"/>
              <w:left w:val="nil"/>
              <w:bottom w:val="single" w:color="auto" w:sz="4" w:space="0"/>
              <w:right w:val="single" w:color="auto" w:sz="4" w:space="0"/>
            </w:tcBorders>
            <w:shd w:val="clear" w:color="auto" w:fill="auto"/>
            <w:vAlign w:val="center"/>
          </w:tcPr>
          <w:p w14:paraId="7E00D5E2">
            <w:pPr>
              <w:jc w:val="center"/>
              <w:rPr>
                <w:rFonts w:ascii="宋体" w:hAnsi="宋体" w:cs="宋体"/>
                <w:kern w:val="0"/>
                <w:sz w:val="20"/>
                <w:szCs w:val="20"/>
              </w:rPr>
            </w:pPr>
            <w:r>
              <w:rPr>
                <w:rFonts w:hint="eastAsia"/>
                <w:bCs/>
                <w:szCs w:val="21"/>
              </w:rPr>
              <w:t>智能客服子系统</w:t>
            </w:r>
          </w:p>
        </w:tc>
        <w:tc>
          <w:tcPr>
            <w:tcW w:w="1559" w:type="dxa"/>
            <w:tcBorders>
              <w:top w:val="nil"/>
              <w:left w:val="nil"/>
              <w:bottom w:val="single" w:color="auto" w:sz="4" w:space="0"/>
              <w:right w:val="single" w:color="auto" w:sz="4" w:space="0"/>
            </w:tcBorders>
            <w:shd w:val="clear" w:color="auto" w:fill="auto"/>
            <w:vAlign w:val="center"/>
          </w:tcPr>
          <w:p w14:paraId="6F7D0608">
            <w:pPr>
              <w:jc w:val="center"/>
              <w:rPr>
                <w:rFonts w:hint="eastAsia" w:ascii="宋体" w:hAnsi="宋体" w:cs="宋体"/>
                <w:kern w:val="0"/>
                <w:sz w:val="20"/>
                <w:szCs w:val="20"/>
              </w:rPr>
            </w:pPr>
            <w:r>
              <w:rPr>
                <w:rFonts w:hint="eastAsia"/>
                <w:bCs/>
                <w:szCs w:val="21"/>
              </w:rPr>
              <w:t>49000</w:t>
            </w:r>
          </w:p>
        </w:tc>
        <w:tc>
          <w:tcPr>
            <w:tcW w:w="1346" w:type="dxa"/>
            <w:tcBorders>
              <w:top w:val="nil"/>
              <w:left w:val="nil"/>
              <w:bottom w:val="single" w:color="auto" w:sz="4" w:space="0"/>
              <w:right w:val="single" w:color="auto" w:sz="4" w:space="0"/>
            </w:tcBorders>
            <w:shd w:val="clear" w:color="auto" w:fill="auto"/>
            <w:vAlign w:val="center"/>
          </w:tcPr>
          <w:p w14:paraId="74DDEB3B">
            <w:pPr>
              <w:widowControl/>
              <w:jc w:val="right"/>
              <w:rPr>
                <w:rFonts w:hint="eastAsia" w:ascii="宋体" w:hAnsi="宋体" w:cs="宋体"/>
                <w:kern w:val="0"/>
                <w:sz w:val="20"/>
                <w:szCs w:val="20"/>
              </w:rPr>
            </w:pPr>
          </w:p>
        </w:tc>
        <w:tc>
          <w:tcPr>
            <w:tcW w:w="1044" w:type="dxa"/>
            <w:vMerge w:val="continue"/>
            <w:tcBorders>
              <w:left w:val="nil"/>
              <w:right w:val="single" w:color="auto" w:sz="8" w:space="0"/>
            </w:tcBorders>
            <w:shd w:val="clear" w:color="auto" w:fill="auto"/>
            <w:vAlign w:val="center"/>
          </w:tcPr>
          <w:p w14:paraId="7FCB21E7">
            <w:pPr>
              <w:jc w:val="left"/>
              <w:rPr>
                <w:rFonts w:ascii="宋体" w:hAnsi="宋体" w:cs="宋体"/>
                <w:kern w:val="0"/>
                <w:sz w:val="20"/>
                <w:szCs w:val="20"/>
              </w:rPr>
            </w:pPr>
          </w:p>
        </w:tc>
      </w:tr>
      <w:tr w14:paraId="23EE6265">
        <w:tblPrEx>
          <w:tblCellMar>
            <w:top w:w="0" w:type="dxa"/>
            <w:left w:w="108" w:type="dxa"/>
            <w:bottom w:w="0" w:type="dxa"/>
            <w:right w:w="108" w:type="dxa"/>
          </w:tblCellMar>
        </w:tblPrEx>
        <w:trPr>
          <w:trHeight w:val="285" w:hRule="atLeast"/>
        </w:trPr>
        <w:tc>
          <w:tcPr>
            <w:tcW w:w="479" w:type="dxa"/>
            <w:vMerge w:val="continue"/>
            <w:tcBorders>
              <w:left w:val="single" w:color="auto" w:sz="8" w:space="0"/>
              <w:right w:val="single" w:color="auto" w:sz="4" w:space="0"/>
            </w:tcBorders>
            <w:shd w:val="clear" w:color="auto" w:fill="auto"/>
            <w:vAlign w:val="center"/>
          </w:tcPr>
          <w:p w14:paraId="5BC1399B">
            <w:pPr>
              <w:jc w:val="center"/>
              <w:rPr>
                <w:rFonts w:ascii="宋体" w:hAnsi="宋体" w:cs="宋体"/>
                <w:kern w:val="0"/>
                <w:sz w:val="20"/>
                <w:szCs w:val="20"/>
              </w:rPr>
            </w:pPr>
          </w:p>
        </w:tc>
        <w:tc>
          <w:tcPr>
            <w:tcW w:w="828" w:type="dxa"/>
            <w:tcBorders>
              <w:top w:val="nil"/>
              <w:left w:val="single" w:color="auto" w:sz="4" w:space="0"/>
              <w:bottom w:val="single" w:color="auto" w:sz="4" w:space="0"/>
              <w:right w:val="single" w:color="auto" w:sz="4" w:space="0"/>
            </w:tcBorders>
            <w:vAlign w:val="center"/>
          </w:tcPr>
          <w:p w14:paraId="6E362A27">
            <w:pPr>
              <w:jc w:val="center"/>
              <w:rPr>
                <w:rFonts w:ascii="宋体" w:hAnsi="宋体" w:cs="宋体"/>
                <w:kern w:val="0"/>
                <w:sz w:val="20"/>
                <w:szCs w:val="20"/>
              </w:rPr>
            </w:pPr>
            <w:r>
              <w:rPr>
                <w:rFonts w:hint="eastAsia"/>
                <w:bCs/>
                <w:szCs w:val="21"/>
              </w:rPr>
              <w:t>11</w:t>
            </w:r>
          </w:p>
        </w:tc>
        <w:tc>
          <w:tcPr>
            <w:tcW w:w="3479" w:type="dxa"/>
            <w:tcBorders>
              <w:top w:val="nil"/>
              <w:left w:val="nil"/>
              <w:bottom w:val="single" w:color="auto" w:sz="4" w:space="0"/>
              <w:right w:val="single" w:color="auto" w:sz="4" w:space="0"/>
            </w:tcBorders>
            <w:shd w:val="clear" w:color="auto" w:fill="auto"/>
            <w:vAlign w:val="center"/>
          </w:tcPr>
          <w:p w14:paraId="7BA5BB0B">
            <w:pPr>
              <w:jc w:val="center"/>
              <w:rPr>
                <w:rFonts w:hint="eastAsia"/>
                <w:bCs/>
                <w:szCs w:val="21"/>
              </w:rPr>
            </w:pPr>
            <w:r>
              <w:rPr>
                <w:rFonts w:hint="eastAsia"/>
                <w:bCs/>
                <w:szCs w:val="21"/>
              </w:rPr>
              <w:t>持续升级开发和运维支持（服务期12个月）：</w:t>
            </w:r>
          </w:p>
          <w:p w14:paraId="0CA9795D">
            <w:pPr>
              <w:jc w:val="center"/>
              <w:rPr>
                <w:rFonts w:hint="eastAsia"/>
                <w:bCs/>
                <w:szCs w:val="21"/>
              </w:rPr>
            </w:pPr>
            <w:r>
              <w:rPr>
                <w:rFonts w:hint="eastAsia"/>
                <w:bCs/>
                <w:szCs w:val="21"/>
              </w:rPr>
              <w:t>1.后续持续升级完善的开发费用（服务期12个月内不少于5次的升级完善服务）98000元；</w:t>
            </w:r>
          </w:p>
          <w:p w14:paraId="0DA848E6">
            <w:pPr>
              <w:jc w:val="center"/>
              <w:rPr>
                <w:rFonts w:ascii="宋体" w:hAnsi="宋体" w:cs="宋体"/>
                <w:kern w:val="0"/>
                <w:sz w:val="20"/>
                <w:szCs w:val="20"/>
              </w:rPr>
            </w:pPr>
            <w:r>
              <w:rPr>
                <w:rFonts w:hint="eastAsia"/>
                <w:bCs/>
                <w:szCs w:val="21"/>
              </w:rPr>
              <w:t>2.运维支持（12个月）77000元。</w:t>
            </w:r>
          </w:p>
        </w:tc>
        <w:tc>
          <w:tcPr>
            <w:tcW w:w="1559" w:type="dxa"/>
            <w:tcBorders>
              <w:top w:val="nil"/>
              <w:left w:val="nil"/>
              <w:bottom w:val="single" w:color="auto" w:sz="4" w:space="0"/>
              <w:right w:val="single" w:color="auto" w:sz="4" w:space="0"/>
            </w:tcBorders>
            <w:shd w:val="clear" w:color="auto" w:fill="auto"/>
            <w:vAlign w:val="center"/>
          </w:tcPr>
          <w:p w14:paraId="3B32DBBD">
            <w:pPr>
              <w:jc w:val="center"/>
              <w:rPr>
                <w:rFonts w:hint="eastAsia" w:ascii="宋体" w:hAnsi="宋体" w:cs="宋体"/>
                <w:kern w:val="0"/>
                <w:sz w:val="20"/>
                <w:szCs w:val="20"/>
              </w:rPr>
            </w:pPr>
            <w:r>
              <w:rPr>
                <w:rFonts w:hint="eastAsia"/>
                <w:bCs/>
                <w:szCs w:val="21"/>
              </w:rPr>
              <w:t>175,000</w:t>
            </w:r>
          </w:p>
        </w:tc>
        <w:tc>
          <w:tcPr>
            <w:tcW w:w="1346" w:type="dxa"/>
            <w:tcBorders>
              <w:top w:val="nil"/>
              <w:left w:val="nil"/>
              <w:bottom w:val="single" w:color="auto" w:sz="4" w:space="0"/>
              <w:right w:val="single" w:color="auto" w:sz="4" w:space="0"/>
            </w:tcBorders>
            <w:shd w:val="clear" w:color="auto" w:fill="auto"/>
            <w:vAlign w:val="center"/>
          </w:tcPr>
          <w:p w14:paraId="58CBBBCB">
            <w:pPr>
              <w:widowControl/>
              <w:jc w:val="right"/>
              <w:rPr>
                <w:rFonts w:hint="eastAsia" w:ascii="宋体" w:hAnsi="宋体" w:cs="宋体"/>
                <w:kern w:val="0"/>
                <w:sz w:val="20"/>
                <w:szCs w:val="20"/>
              </w:rPr>
            </w:pPr>
          </w:p>
        </w:tc>
        <w:tc>
          <w:tcPr>
            <w:tcW w:w="1044" w:type="dxa"/>
            <w:vMerge w:val="continue"/>
            <w:tcBorders>
              <w:left w:val="nil"/>
              <w:right w:val="single" w:color="auto" w:sz="8" w:space="0"/>
            </w:tcBorders>
            <w:shd w:val="clear" w:color="auto" w:fill="auto"/>
            <w:vAlign w:val="center"/>
          </w:tcPr>
          <w:p w14:paraId="7C316BA9">
            <w:pPr>
              <w:jc w:val="left"/>
              <w:rPr>
                <w:rFonts w:ascii="宋体" w:hAnsi="宋体" w:cs="宋体"/>
                <w:kern w:val="0"/>
                <w:sz w:val="20"/>
                <w:szCs w:val="20"/>
              </w:rPr>
            </w:pPr>
          </w:p>
        </w:tc>
      </w:tr>
      <w:tr w14:paraId="2C2DBA41">
        <w:tblPrEx>
          <w:tblCellMar>
            <w:top w:w="0" w:type="dxa"/>
            <w:left w:w="108" w:type="dxa"/>
            <w:bottom w:w="0" w:type="dxa"/>
            <w:right w:w="108" w:type="dxa"/>
          </w:tblCellMar>
        </w:tblPrEx>
        <w:trPr>
          <w:trHeight w:val="285" w:hRule="atLeast"/>
        </w:trPr>
        <w:tc>
          <w:tcPr>
            <w:tcW w:w="479" w:type="dxa"/>
            <w:vMerge w:val="continue"/>
            <w:tcBorders>
              <w:left w:val="single" w:color="auto" w:sz="8" w:space="0"/>
              <w:right w:val="single" w:color="auto" w:sz="4" w:space="0"/>
            </w:tcBorders>
            <w:shd w:val="clear" w:color="auto" w:fill="auto"/>
            <w:vAlign w:val="center"/>
          </w:tcPr>
          <w:p w14:paraId="2C2746B5">
            <w:pPr>
              <w:jc w:val="center"/>
              <w:rPr>
                <w:rFonts w:ascii="宋体" w:hAnsi="宋体" w:cs="宋体"/>
                <w:kern w:val="0"/>
                <w:sz w:val="20"/>
                <w:szCs w:val="20"/>
              </w:rPr>
            </w:pPr>
          </w:p>
        </w:tc>
        <w:tc>
          <w:tcPr>
            <w:tcW w:w="828" w:type="dxa"/>
            <w:tcBorders>
              <w:top w:val="nil"/>
              <w:left w:val="single" w:color="auto" w:sz="4" w:space="0"/>
              <w:bottom w:val="single" w:color="auto" w:sz="4" w:space="0"/>
              <w:right w:val="single" w:color="auto" w:sz="4" w:space="0"/>
            </w:tcBorders>
            <w:vAlign w:val="center"/>
          </w:tcPr>
          <w:p w14:paraId="02C73930">
            <w:pPr>
              <w:jc w:val="center"/>
              <w:rPr>
                <w:rFonts w:ascii="宋体" w:hAnsi="宋体" w:cs="宋体"/>
                <w:kern w:val="0"/>
                <w:sz w:val="20"/>
                <w:szCs w:val="20"/>
              </w:rPr>
            </w:pPr>
            <w:r>
              <w:rPr>
                <w:rFonts w:hint="eastAsia"/>
                <w:bCs/>
                <w:szCs w:val="21"/>
              </w:rPr>
              <w:t>12</w:t>
            </w:r>
          </w:p>
        </w:tc>
        <w:tc>
          <w:tcPr>
            <w:tcW w:w="3479" w:type="dxa"/>
            <w:tcBorders>
              <w:top w:val="nil"/>
              <w:left w:val="nil"/>
              <w:bottom w:val="single" w:color="auto" w:sz="4" w:space="0"/>
              <w:right w:val="single" w:color="auto" w:sz="4" w:space="0"/>
            </w:tcBorders>
            <w:shd w:val="clear" w:color="auto" w:fill="auto"/>
            <w:vAlign w:val="center"/>
          </w:tcPr>
          <w:p w14:paraId="3FE5FA0E">
            <w:pPr>
              <w:jc w:val="center"/>
              <w:rPr>
                <w:rFonts w:ascii="宋体" w:hAnsi="宋体" w:cs="宋体"/>
                <w:kern w:val="0"/>
                <w:sz w:val="20"/>
                <w:szCs w:val="20"/>
              </w:rPr>
            </w:pPr>
            <w:r>
              <w:rPr>
                <w:rFonts w:hint="eastAsia"/>
                <w:bCs/>
                <w:szCs w:val="21"/>
              </w:rPr>
              <w:t>开发测试和试运营服务器和算力资源</w:t>
            </w:r>
          </w:p>
        </w:tc>
        <w:tc>
          <w:tcPr>
            <w:tcW w:w="1559" w:type="dxa"/>
            <w:tcBorders>
              <w:top w:val="nil"/>
              <w:left w:val="nil"/>
              <w:bottom w:val="single" w:color="auto" w:sz="4" w:space="0"/>
              <w:right w:val="single" w:color="auto" w:sz="4" w:space="0"/>
            </w:tcBorders>
            <w:shd w:val="clear" w:color="auto" w:fill="auto"/>
            <w:vAlign w:val="center"/>
          </w:tcPr>
          <w:p w14:paraId="1C37CA3D">
            <w:pPr>
              <w:jc w:val="center"/>
              <w:rPr>
                <w:rFonts w:hint="eastAsia" w:ascii="宋体" w:hAnsi="宋体" w:cs="宋体"/>
                <w:kern w:val="0"/>
                <w:sz w:val="20"/>
                <w:szCs w:val="20"/>
              </w:rPr>
            </w:pPr>
            <w:r>
              <w:rPr>
                <w:rFonts w:hint="eastAsia"/>
                <w:bCs/>
                <w:szCs w:val="21"/>
              </w:rPr>
              <w:t>120,000</w:t>
            </w:r>
          </w:p>
        </w:tc>
        <w:tc>
          <w:tcPr>
            <w:tcW w:w="1346" w:type="dxa"/>
            <w:tcBorders>
              <w:top w:val="nil"/>
              <w:left w:val="nil"/>
              <w:bottom w:val="single" w:color="auto" w:sz="4" w:space="0"/>
              <w:right w:val="single" w:color="auto" w:sz="4" w:space="0"/>
            </w:tcBorders>
            <w:shd w:val="clear" w:color="auto" w:fill="auto"/>
            <w:vAlign w:val="center"/>
          </w:tcPr>
          <w:p w14:paraId="29837BBE">
            <w:pPr>
              <w:widowControl/>
              <w:jc w:val="right"/>
              <w:rPr>
                <w:rFonts w:hint="eastAsia" w:ascii="宋体" w:hAnsi="宋体" w:cs="宋体"/>
                <w:kern w:val="0"/>
                <w:sz w:val="20"/>
                <w:szCs w:val="20"/>
              </w:rPr>
            </w:pPr>
          </w:p>
        </w:tc>
        <w:tc>
          <w:tcPr>
            <w:tcW w:w="1044" w:type="dxa"/>
            <w:vMerge w:val="continue"/>
            <w:tcBorders>
              <w:left w:val="nil"/>
              <w:right w:val="single" w:color="auto" w:sz="8" w:space="0"/>
            </w:tcBorders>
            <w:shd w:val="clear" w:color="auto" w:fill="auto"/>
            <w:vAlign w:val="center"/>
          </w:tcPr>
          <w:p w14:paraId="581E1F49">
            <w:pPr>
              <w:jc w:val="left"/>
              <w:rPr>
                <w:rFonts w:ascii="宋体" w:hAnsi="宋体" w:cs="宋体"/>
                <w:kern w:val="0"/>
                <w:sz w:val="20"/>
                <w:szCs w:val="20"/>
              </w:rPr>
            </w:pPr>
          </w:p>
        </w:tc>
      </w:tr>
      <w:tr w14:paraId="1AB3C2D5">
        <w:tblPrEx>
          <w:tblCellMar>
            <w:top w:w="0" w:type="dxa"/>
            <w:left w:w="108" w:type="dxa"/>
            <w:bottom w:w="0" w:type="dxa"/>
            <w:right w:w="108" w:type="dxa"/>
          </w:tblCellMar>
        </w:tblPrEx>
        <w:trPr>
          <w:trHeight w:val="285" w:hRule="atLeast"/>
        </w:trPr>
        <w:tc>
          <w:tcPr>
            <w:tcW w:w="479" w:type="dxa"/>
            <w:vMerge w:val="continue"/>
            <w:tcBorders>
              <w:left w:val="single" w:color="auto" w:sz="8" w:space="0"/>
              <w:right w:val="single" w:color="auto" w:sz="4" w:space="0"/>
            </w:tcBorders>
            <w:shd w:val="clear" w:color="auto" w:fill="auto"/>
            <w:vAlign w:val="center"/>
          </w:tcPr>
          <w:p w14:paraId="198F18C1">
            <w:pPr>
              <w:jc w:val="center"/>
              <w:rPr>
                <w:rFonts w:ascii="宋体" w:hAnsi="宋体" w:cs="宋体"/>
                <w:kern w:val="0"/>
                <w:sz w:val="20"/>
                <w:szCs w:val="20"/>
              </w:rPr>
            </w:pPr>
          </w:p>
        </w:tc>
        <w:tc>
          <w:tcPr>
            <w:tcW w:w="828" w:type="dxa"/>
            <w:tcBorders>
              <w:top w:val="nil"/>
              <w:left w:val="single" w:color="auto" w:sz="4" w:space="0"/>
              <w:bottom w:val="single" w:color="auto" w:sz="4" w:space="0"/>
              <w:right w:val="single" w:color="auto" w:sz="4" w:space="0"/>
            </w:tcBorders>
            <w:vAlign w:val="center"/>
          </w:tcPr>
          <w:p w14:paraId="5E0F75E7">
            <w:pPr>
              <w:jc w:val="center"/>
              <w:rPr>
                <w:rFonts w:ascii="宋体" w:hAnsi="宋体" w:cs="宋体"/>
                <w:kern w:val="0"/>
                <w:sz w:val="20"/>
                <w:szCs w:val="20"/>
              </w:rPr>
            </w:pPr>
            <w:r>
              <w:rPr>
                <w:rFonts w:hint="eastAsia"/>
                <w:bCs/>
                <w:szCs w:val="21"/>
              </w:rPr>
              <w:t>13</w:t>
            </w:r>
          </w:p>
        </w:tc>
        <w:tc>
          <w:tcPr>
            <w:tcW w:w="3479" w:type="dxa"/>
            <w:tcBorders>
              <w:top w:val="nil"/>
              <w:left w:val="nil"/>
              <w:bottom w:val="single" w:color="auto" w:sz="4" w:space="0"/>
              <w:right w:val="single" w:color="auto" w:sz="4" w:space="0"/>
            </w:tcBorders>
            <w:shd w:val="clear" w:color="auto" w:fill="auto"/>
            <w:vAlign w:val="center"/>
          </w:tcPr>
          <w:p w14:paraId="1A5668EC">
            <w:pPr>
              <w:jc w:val="center"/>
              <w:rPr>
                <w:rFonts w:ascii="宋体" w:hAnsi="宋体" w:cs="宋体"/>
                <w:kern w:val="0"/>
                <w:sz w:val="20"/>
                <w:szCs w:val="20"/>
              </w:rPr>
            </w:pPr>
            <w:r>
              <w:rPr>
                <w:rFonts w:hint="eastAsia"/>
                <w:bCs/>
                <w:szCs w:val="21"/>
              </w:rPr>
              <w:t>门户宣传视频（由AI工具制作）</w:t>
            </w:r>
          </w:p>
        </w:tc>
        <w:tc>
          <w:tcPr>
            <w:tcW w:w="1559" w:type="dxa"/>
            <w:tcBorders>
              <w:top w:val="nil"/>
              <w:left w:val="nil"/>
              <w:bottom w:val="single" w:color="auto" w:sz="4" w:space="0"/>
              <w:right w:val="single" w:color="auto" w:sz="4" w:space="0"/>
            </w:tcBorders>
            <w:shd w:val="clear" w:color="auto" w:fill="auto"/>
            <w:vAlign w:val="center"/>
          </w:tcPr>
          <w:p w14:paraId="505C640B">
            <w:pPr>
              <w:jc w:val="center"/>
              <w:rPr>
                <w:rFonts w:hint="eastAsia" w:ascii="宋体" w:hAnsi="宋体" w:cs="宋体"/>
                <w:kern w:val="0"/>
                <w:sz w:val="20"/>
                <w:szCs w:val="20"/>
              </w:rPr>
            </w:pPr>
            <w:r>
              <w:rPr>
                <w:rFonts w:hint="eastAsia"/>
                <w:bCs/>
                <w:szCs w:val="21"/>
              </w:rPr>
              <w:t>20,000</w:t>
            </w:r>
          </w:p>
        </w:tc>
        <w:tc>
          <w:tcPr>
            <w:tcW w:w="1346" w:type="dxa"/>
            <w:tcBorders>
              <w:top w:val="nil"/>
              <w:left w:val="nil"/>
              <w:bottom w:val="single" w:color="auto" w:sz="4" w:space="0"/>
              <w:right w:val="single" w:color="auto" w:sz="4" w:space="0"/>
            </w:tcBorders>
            <w:shd w:val="clear" w:color="auto" w:fill="auto"/>
            <w:vAlign w:val="center"/>
          </w:tcPr>
          <w:p w14:paraId="3CF01DF1">
            <w:pPr>
              <w:widowControl/>
              <w:jc w:val="right"/>
              <w:rPr>
                <w:rFonts w:ascii="宋体" w:hAnsi="宋体" w:cs="宋体"/>
                <w:kern w:val="0"/>
                <w:sz w:val="20"/>
                <w:szCs w:val="20"/>
              </w:rPr>
            </w:pPr>
            <w:r>
              <w:rPr>
                <w:rFonts w:hint="eastAsia" w:ascii="宋体" w:hAnsi="宋体" w:cs="宋体"/>
                <w:kern w:val="0"/>
                <w:sz w:val="20"/>
                <w:szCs w:val="20"/>
              </w:rPr>
              <w:t>　</w:t>
            </w:r>
          </w:p>
        </w:tc>
        <w:tc>
          <w:tcPr>
            <w:tcW w:w="1044" w:type="dxa"/>
            <w:vMerge w:val="continue"/>
            <w:tcBorders>
              <w:left w:val="nil"/>
              <w:right w:val="single" w:color="auto" w:sz="8" w:space="0"/>
            </w:tcBorders>
            <w:shd w:val="clear" w:color="auto" w:fill="auto"/>
            <w:vAlign w:val="center"/>
          </w:tcPr>
          <w:p w14:paraId="6A7B87CF">
            <w:pPr>
              <w:jc w:val="left"/>
              <w:rPr>
                <w:rFonts w:ascii="宋体" w:hAnsi="宋体" w:cs="宋体"/>
                <w:kern w:val="0"/>
                <w:sz w:val="20"/>
                <w:szCs w:val="20"/>
              </w:rPr>
            </w:pPr>
          </w:p>
        </w:tc>
      </w:tr>
      <w:tr w14:paraId="1992CD01">
        <w:tblPrEx>
          <w:tblCellMar>
            <w:top w:w="0" w:type="dxa"/>
            <w:left w:w="108" w:type="dxa"/>
            <w:bottom w:w="0" w:type="dxa"/>
            <w:right w:w="108" w:type="dxa"/>
          </w:tblCellMar>
        </w:tblPrEx>
        <w:trPr>
          <w:trHeight w:val="285" w:hRule="atLeast"/>
        </w:trPr>
        <w:tc>
          <w:tcPr>
            <w:tcW w:w="479" w:type="dxa"/>
            <w:vMerge w:val="continue"/>
            <w:tcBorders>
              <w:left w:val="single" w:color="auto" w:sz="8" w:space="0"/>
              <w:right w:val="single" w:color="auto" w:sz="4" w:space="0"/>
            </w:tcBorders>
            <w:shd w:val="clear" w:color="auto" w:fill="auto"/>
            <w:vAlign w:val="center"/>
          </w:tcPr>
          <w:p w14:paraId="4812489E">
            <w:pPr>
              <w:jc w:val="center"/>
              <w:rPr>
                <w:rFonts w:ascii="宋体" w:hAnsi="宋体" w:cs="宋体"/>
                <w:kern w:val="0"/>
                <w:sz w:val="20"/>
                <w:szCs w:val="20"/>
              </w:rPr>
            </w:pPr>
          </w:p>
        </w:tc>
        <w:tc>
          <w:tcPr>
            <w:tcW w:w="828" w:type="dxa"/>
            <w:tcBorders>
              <w:top w:val="nil"/>
              <w:left w:val="single" w:color="auto" w:sz="4" w:space="0"/>
              <w:bottom w:val="single" w:color="auto" w:sz="4" w:space="0"/>
              <w:right w:val="single" w:color="auto" w:sz="4" w:space="0"/>
            </w:tcBorders>
            <w:vAlign w:val="center"/>
          </w:tcPr>
          <w:p w14:paraId="6E63C4E0">
            <w:pPr>
              <w:jc w:val="center"/>
              <w:rPr>
                <w:rFonts w:ascii="宋体" w:hAnsi="宋体" w:cs="宋体"/>
                <w:kern w:val="0"/>
                <w:sz w:val="20"/>
                <w:szCs w:val="20"/>
              </w:rPr>
            </w:pPr>
            <w:r>
              <w:rPr>
                <w:rFonts w:hint="eastAsia"/>
                <w:bCs/>
                <w:szCs w:val="21"/>
              </w:rPr>
              <w:t>14</w:t>
            </w:r>
          </w:p>
        </w:tc>
        <w:tc>
          <w:tcPr>
            <w:tcW w:w="3479" w:type="dxa"/>
            <w:tcBorders>
              <w:top w:val="nil"/>
              <w:left w:val="nil"/>
              <w:bottom w:val="single" w:color="auto" w:sz="4" w:space="0"/>
              <w:right w:val="single" w:color="auto" w:sz="4" w:space="0"/>
            </w:tcBorders>
            <w:shd w:val="clear" w:color="auto" w:fill="auto"/>
            <w:vAlign w:val="center"/>
          </w:tcPr>
          <w:p w14:paraId="71FD80E0">
            <w:pPr>
              <w:jc w:val="center"/>
              <w:rPr>
                <w:rFonts w:ascii="宋体" w:hAnsi="宋体" w:cs="宋体"/>
                <w:kern w:val="0"/>
                <w:sz w:val="20"/>
                <w:szCs w:val="20"/>
              </w:rPr>
            </w:pPr>
            <w:r>
              <w:rPr>
                <w:rFonts w:hint="eastAsia"/>
                <w:bCs/>
                <w:szCs w:val="21"/>
              </w:rPr>
              <w:t>小程序注册审核（官费）</w:t>
            </w:r>
          </w:p>
        </w:tc>
        <w:tc>
          <w:tcPr>
            <w:tcW w:w="1559" w:type="dxa"/>
            <w:tcBorders>
              <w:top w:val="nil"/>
              <w:left w:val="nil"/>
              <w:bottom w:val="single" w:color="auto" w:sz="4" w:space="0"/>
              <w:right w:val="single" w:color="auto" w:sz="4" w:space="0"/>
            </w:tcBorders>
            <w:shd w:val="clear" w:color="auto" w:fill="auto"/>
            <w:vAlign w:val="center"/>
          </w:tcPr>
          <w:p w14:paraId="3B6D0CD5">
            <w:pPr>
              <w:jc w:val="center"/>
              <w:rPr>
                <w:rFonts w:hint="eastAsia" w:ascii="宋体" w:hAnsi="宋体" w:cs="宋体"/>
                <w:kern w:val="0"/>
                <w:sz w:val="20"/>
                <w:szCs w:val="20"/>
              </w:rPr>
            </w:pPr>
            <w:r>
              <w:rPr>
                <w:rFonts w:hint="eastAsia"/>
                <w:bCs/>
                <w:szCs w:val="21"/>
              </w:rPr>
              <w:t>300</w:t>
            </w:r>
          </w:p>
        </w:tc>
        <w:tc>
          <w:tcPr>
            <w:tcW w:w="1346" w:type="dxa"/>
            <w:tcBorders>
              <w:top w:val="nil"/>
              <w:left w:val="nil"/>
              <w:bottom w:val="single" w:color="auto" w:sz="4" w:space="0"/>
              <w:right w:val="single" w:color="auto" w:sz="4" w:space="0"/>
            </w:tcBorders>
            <w:shd w:val="clear" w:color="auto" w:fill="auto"/>
            <w:vAlign w:val="center"/>
          </w:tcPr>
          <w:p w14:paraId="6B1D11F8">
            <w:pPr>
              <w:widowControl/>
              <w:jc w:val="right"/>
              <w:rPr>
                <w:rFonts w:hint="eastAsia" w:ascii="宋体" w:hAnsi="宋体" w:cs="宋体"/>
                <w:kern w:val="0"/>
                <w:sz w:val="20"/>
                <w:szCs w:val="20"/>
              </w:rPr>
            </w:pPr>
          </w:p>
        </w:tc>
        <w:tc>
          <w:tcPr>
            <w:tcW w:w="1044" w:type="dxa"/>
            <w:vMerge w:val="continue"/>
            <w:tcBorders>
              <w:left w:val="nil"/>
              <w:right w:val="single" w:color="auto" w:sz="8" w:space="0"/>
            </w:tcBorders>
            <w:shd w:val="clear" w:color="auto" w:fill="auto"/>
            <w:vAlign w:val="center"/>
          </w:tcPr>
          <w:p w14:paraId="64598F99">
            <w:pPr>
              <w:jc w:val="left"/>
              <w:rPr>
                <w:rFonts w:ascii="宋体" w:hAnsi="宋体" w:cs="宋体"/>
                <w:kern w:val="0"/>
                <w:sz w:val="20"/>
                <w:szCs w:val="20"/>
              </w:rPr>
            </w:pPr>
          </w:p>
        </w:tc>
      </w:tr>
      <w:tr w14:paraId="4B8F81D6">
        <w:tblPrEx>
          <w:tblCellMar>
            <w:top w:w="0" w:type="dxa"/>
            <w:left w:w="108" w:type="dxa"/>
            <w:bottom w:w="0" w:type="dxa"/>
            <w:right w:w="108" w:type="dxa"/>
          </w:tblCellMar>
        </w:tblPrEx>
        <w:trPr>
          <w:trHeight w:val="285" w:hRule="atLeast"/>
        </w:trPr>
        <w:tc>
          <w:tcPr>
            <w:tcW w:w="479" w:type="dxa"/>
            <w:vMerge w:val="continue"/>
            <w:tcBorders>
              <w:left w:val="single" w:color="auto" w:sz="8" w:space="0"/>
              <w:bottom w:val="single" w:color="auto" w:sz="4" w:space="0"/>
              <w:right w:val="single" w:color="auto" w:sz="4" w:space="0"/>
            </w:tcBorders>
            <w:shd w:val="clear" w:color="000000" w:fill="FFFFFF"/>
            <w:vAlign w:val="center"/>
          </w:tcPr>
          <w:p w14:paraId="586BFD1B">
            <w:pPr>
              <w:widowControl/>
              <w:jc w:val="center"/>
              <w:rPr>
                <w:rFonts w:ascii="宋体" w:hAnsi="宋体" w:cs="宋体"/>
                <w:kern w:val="0"/>
                <w:sz w:val="20"/>
                <w:szCs w:val="20"/>
              </w:rPr>
            </w:pPr>
          </w:p>
        </w:tc>
        <w:tc>
          <w:tcPr>
            <w:tcW w:w="4307" w:type="dxa"/>
            <w:gridSpan w:val="2"/>
            <w:tcBorders>
              <w:top w:val="single" w:color="auto" w:sz="4" w:space="0"/>
              <w:left w:val="nil"/>
              <w:bottom w:val="single" w:color="auto" w:sz="4" w:space="0"/>
              <w:right w:val="single" w:color="auto" w:sz="4" w:space="0"/>
            </w:tcBorders>
            <w:shd w:val="clear" w:color="000000" w:fill="FFFFFF"/>
            <w:vAlign w:val="center"/>
          </w:tcPr>
          <w:p w14:paraId="278693B7">
            <w:pPr>
              <w:widowControl/>
              <w:jc w:val="center"/>
              <w:rPr>
                <w:rFonts w:ascii="宋体" w:hAnsi="宋体" w:cs="宋体"/>
                <w:kern w:val="0"/>
                <w:sz w:val="20"/>
                <w:szCs w:val="20"/>
              </w:rPr>
            </w:pPr>
            <w:r>
              <w:rPr>
                <w:rFonts w:hint="eastAsia" w:ascii="宋体" w:hAnsi="宋体" w:cs="宋体"/>
                <w:kern w:val="0"/>
                <w:sz w:val="20"/>
                <w:szCs w:val="20"/>
              </w:rPr>
              <w:t>*</w:t>
            </w:r>
            <w:r>
              <w:rPr>
                <w:rFonts w:ascii="宋体" w:hAnsi="宋体" w:cs="宋体"/>
                <w:kern w:val="0"/>
                <w:sz w:val="20"/>
                <w:szCs w:val="20"/>
              </w:rPr>
              <w:t>*</w:t>
            </w:r>
            <w:r>
              <w:rPr>
                <w:rFonts w:hint="eastAsia" w:ascii="宋体" w:hAnsi="宋体" w:cs="宋体"/>
                <w:kern w:val="0"/>
                <w:sz w:val="20"/>
                <w:szCs w:val="20"/>
              </w:rPr>
              <w:t>费用小计</w:t>
            </w:r>
          </w:p>
        </w:tc>
        <w:tc>
          <w:tcPr>
            <w:tcW w:w="1559" w:type="dxa"/>
            <w:tcBorders>
              <w:top w:val="nil"/>
              <w:left w:val="nil"/>
              <w:bottom w:val="single" w:color="auto" w:sz="4" w:space="0"/>
              <w:right w:val="single" w:color="auto" w:sz="4" w:space="0"/>
            </w:tcBorders>
            <w:shd w:val="clear" w:color="000000" w:fill="FFFFFF"/>
            <w:vAlign w:val="center"/>
          </w:tcPr>
          <w:p w14:paraId="6E357732">
            <w:pPr>
              <w:widowControl/>
              <w:jc w:val="right"/>
              <w:rPr>
                <w:rFonts w:hint="eastAsia" w:ascii="宋体" w:hAnsi="宋体" w:cs="宋体"/>
                <w:kern w:val="0"/>
                <w:sz w:val="20"/>
                <w:szCs w:val="20"/>
              </w:rPr>
            </w:pPr>
          </w:p>
        </w:tc>
        <w:tc>
          <w:tcPr>
            <w:tcW w:w="1346" w:type="dxa"/>
            <w:tcBorders>
              <w:top w:val="nil"/>
              <w:left w:val="nil"/>
              <w:bottom w:val="single" w:color="auto" w:sz="4" w:space="0"/>
              <w:right w:val="single" w:color="auto" w:sz="4" w:space="0"/>
            </w:tcBorders>
            <w:shd w:val="clear" w:color="000000" w:fill="FFFFFF"/>
            <w:vAlign w:val="center"/>
          </w:tcPr>
          <w:p w14:paraId="12554194">
            <w:pPr>
              <w:widowControl/>
              <w:jc w:val="right"/>
              <w:rPr>
                <w:rFonts w:ascii="宋体" w:hAnsi="宋体" w:cs="宋体"/>
                <w:kern w:val="0"/>
                <w:sz w:val="20"/>
                <w:szCs w:val="20"/>
              </w:rPr>
            </w:pPr>
            <w:r>
              <w:rPr>
                <w:rFonts w:hint="eastAsia" w:ascii="宋体" w:hAnsi="宋体" w:cs="宋体"/>
                <w:kern w:val="0"/>
                <w:sz w:val="20"/>
                <w:szCs w:val="20"/>
              </w:rPr>
              <w:t>　</w:t>
            </w:r>
          </w:p>
        </w:tc>
        <w:tc>
          <w:tcPr>
            <w:tcW w:w="1044" w:type="dxa"/>
            <w:tcBorders>
              <w:top w:val="nil"/>
              <w:left w:val="nil"/>
              <w:bottom w:val="single" w:color="auto" w:sz="4" w:space="0"/>
              <w:right w:val="single" w:color="auto" w:sz="8" w:space="0"/>
            </w:tcBorders>
            <w:shd w:val="clear" w:color="000000" w:fill="FFFFFF"/>
            <w:vAlign w:val="center"/>
          </w:tcPr>
          <w:p w14:paraId="37820DC9">
            <w:pPr>
              <w:widowControl/>
              <w:jc w:val="left"/>
              <w:rPr>
                <w:rFonts w:ascii="宋体" w:hAnsi="宋体" w:cs="宋体"/>
                <w:kern w:val="0"/>
                <w:sz w:val="20"/>
                <w:szCs w:val="20"/>
              </w:rPr>
            </w:pPr>
            <w:r>
              <w:rPr>
                <w:rFonts w:hint="eastAsia" w:ascii="宋体" w:hAnsi="宋体" w:cs="宋体"/>
                <w:kern w:val="0"/>
                <w:sz w:val="20"/>
                <w:szCs w:val="20"/>
              </w:rPr>
              <w:t>　</w:t>
            </w:r>
          </w:p>
        </w:tc>
      </w:tr>
      <w:tr w14:paraId="2176BD59">
        <w:tblPrEx>
          <w:tblCellMar>
            <w:top w:w="0" w:type="dxa"/>
            <w:left w:w="108" w:type="dxa"/>
            <w:bottom w:w="0" w:type="dxa"/>
            <w:right w:w="108" w:type="dxa"/>
          </w:tblCellMar>
        </w:tblPrEx>
        <w:trPr>
          <w:trHeight w:val="285" w:hRule="atLeast"/>
        </w:trPr>
        <w:tc>
          <w:tcPr>
            <w:tcW w:w="479" w:type="dxa"/>
            <w:vMerge w:val="restart"/>
            <w:tcBorders>
              <w:top w:val="nil"/>
              <w:left w:val="single" w:color="auto" w:sz="8" w:space="0"/>
              <w:right w:val="single" w:color="auto" w:sz="4" w:space="0"/>
            </w:tcBorders>
            <w:shd w:val="clear" w:color="000000" w:fill="FFFFFF"/>
            <w:vAlign w:val="center"/>
          </w:tcPr>
          <w:p w14:paraId="4420FFDB">
            <w:pPr>
              <w:widowControl/>
              <w:jc w:val="center"/>
              <w:rPr>
                <w:rFonts w:hint="eastAsia" w:ascii="宋体" w:hAnsi="宋体" w:eastAsia="宋体" w:cs="宋体"/>
                <w:kern w:val="0"/>
                <w:sz w:val="20"/>
                <w:szCs w:val="20"/>
                <w:lang w:eastAsia="zh-CN"/>
              </w:rPr>
            </w:pPr>
            <w:r>
              <w:rPr>
                <w:rFonts w:hint="eastAsia" w:ascii="宋体" w:hAnsi="宋体" w:cs="宋体"/>
                <w:kern w:val="0"/>
                <w:sz w:val="20"/>
                <w:szCs w:val="20"/>
                <w:lang w:val="en-US" w:eastAsia="zh-CN"/>
              </w:rPr>
              <w:t>二</w:t>
            </w:r>
          </w:p>
        </w:tc>
        <w:tc>
          <w:tcPr>
            <w:tcW w:w="828" w:type="dxa"/>
            <w:vMerge w:val="restart"/>
            <w:tcBorders>
              <w:top w:val="nil"/>
              <w:left w:val="single" w:color="auto" w:sz="4" w:space="0"/>
              <w:bottom w:val="single" w:color="auto" w:sz="4" w:space="0"/>
              <w:right w:val="single" w:color="auto" w:sz="4" w:space="0"/>
            </w:tcBorders>
            <w:shd w:val="clear" w:color="000000" w:fill="FFFFFF"/>
            <w:vAlign w:val="center"/>
          </w:tcPr>
          <w:p w14:paraId="07FF5631">
            <w:pPr>
              <w:widowControl/>
              <w:jc w:val="center"/>
              <w:rPr>
                <w:rFonts w:ascii="宋体" w:hAnsi="宋体" w:cs="宋体"/>
                <w:kern w:val="0"/>
                <w:sz w:val="20"/>
                <w:szCs w:val="20"/>
              </w:rPr>
            </w:pPr>
            <w:r>
              <w:rPr>
                <w:rFonts w:hint="eastAsia" w:ascii="宋体" w:hAnsi="宋体" w:cs="宋体"/>
                <w:kern w:val="0"/>
                <w:sz w:val="20"/>
                <w:szCs w:val="20"/>
              </w:rPr>
              <w:t>其他费用</w:t>
            </w:r>
          </w:p>
        </w:tc>
        <w:tc>
          <w:tcPr>
            <w:tcW w:w="3479" w:type="dxa"/>
            <w:tcBorders>
              <w:top w:val="nil"/>
              <w:left w:val="nil"/>
              <w:bottom w:val="single" w:color="auto" w:sz="4" w:space="0"/>
              <w:right w:val="single" w:color="auto" w:sz="4" w:space="0"/>
            </w:tcBorders>
            <w:shd w:val="clear" w:color="000000" w:fill="FFFFFF"/>
            <w:vAlign w:val="center"/>
          </w:tcPr>
          <w:p w14:paraId="347B513B">
            <w:pPr>
              <w:widowControl/>
              <w:jc w:val="left"/>
              <w:rPr>
                <w:rFonts w:ascii="宋体" w:hAnsi="宋体" w:cs="宋体"/>
                <w:kern w:val="0"/>
                <w:sz w:val="20"/>
                <w:szCs w:val="20"/>
              </w:rPr>
            </w:pPr>
            <w:r>
              <w:rPr>
                <w:rFonts w:hint="eastAsia" w:ascii="宋体" w:hAnsi="宋体" w:cs="宋体"/>
                <w:kern w:val="0"/>
                <w:sz w:val="20"/>
                <w:szCs w:val="20"/>
              </w:rPr>
              <w:t>*</w:t>
            </w:r>
            <w:r>
              <w:rPr>
                <w:rFonts w:ascii="宋体" w:hAnsi="宋体" w:cs="宋体"/>
                <w:kern w:val="0"/>
                <w:sz w:val="20"/>
                <w:szCs w:val="20"/>
              </w:rPr>
              <w:t>*</w:t>
            </w:r>
          </w:p>
        </w:tc>
        <w:tc>
          <w:tcPr>
            <w:tcW w:w="1559" w:type="dxa"/>
            <w:tcBorders>
              <w:top w:val="nil"/>
              <w:left w:val="nil"/>
              <w:bottom w:val="single" w:color="auto" w:sz="4" w:space="0"/>
              <w:right w:val="single" w:color="auto" w:sz="4" w:space="0"/>
            </w:tcBorders>
            <w:shd w:val="clear" w:color="000000" w:fill="FFFFFF"/>
            <w:vAlign w:val="center"/>
          </w:tcPr>
          <w:p w14:paraId="68C71B95">
            <w:pPr>
              <w:widowControl/>
              <w:jc w:val="right"/>
              <w:rPr>
                <w:rFonts w:hint="eastAsia" w:ascii="宋体" w:hAnsi="宋体" w:cs="宋体"/>
                <w:kern w:val="0"/>
                <w:sz w:val="20"/>
                <w:szCs w:val="20"/>
              </w:rPr>
            </w:pPr>
          </w:p>
        </w:tc>
        <w:tc>
          <w:tcPr>
            <w:tcW w:w="1346" w:type="dxa"/>
            <w:tcBorders>
              <w:top w:val="nil"/>
              <w:left w:val="nil"/>
              <w:bottom w:val="single" w:color="auto" w:sz="4" w:space="0"/>
              <w:right w:val="single" w:color="auto" w:sz="4" w:space="0"/>
            </w:tcBorders>
            <w:shd w:val="clear" w:color="000000" w:fill="FFFFFF"/>
            <w:vAlign w:val="center"/>
          </w:tcPr>
          <w:p w14:paraId="26235FC0">
            <w:pPr>
              <w:widowControl/>
              <w:jc w:val="right"/>
              <w:rPr>
                <w:rFonts w:ascii="宋体" w:hAnsi="宋体" w:cs="宋体"/>
                <w:kern w:val="0"/>
                <w:sz w:val="20"/>
                <w:szCs w:val="20"/>
              </w:rPr>
            </w:pPr>
            <w:r>
              <w:rPr>
                <w:rFonts w:hint="eastAsia" w:ascii="宋体" w:hAnsi="宋体" w:cs="宋体"/>
                <w:kern w:val="0"/>
                <w:sz w:val="20"/>
                <w:szCs w:val="20"/>
              </w:rPr>
              <w:t>　</w:t>
            </w:r>
          </w:p>
        </w:tc>
        <w:tc>
          <w:tcPr>
            <w:tcW w:w="1044" w:type="dxa"/>
            <w:tcBorders>
              <w:top w:val="nil"/>
              <w:left w:val="nil"/>
              <w:bottom w:val="single" w:color="auto" w:sz="4" w:space="0"/>
              <w:right w:val="single" w:color="auto" w:sz="8" w:space="0"/>
            </w:tcBorders>
            <w:shd w:val="clear" w:color="000000" w:fill="FFFFFF"/>
            <w:vAlign w:val="center"/>
          </w:tcPr>
          <w:p w14:paraId="5EFE315E">
            <w:pPr>
              <w:widowControl/>
              <w:jc w:val="left"/>
              <w:rPr>
                <w:rFonts w:ascii="宋体" w:hAnsi="宋体" w:cs="宋体"/>
                <w:kern w:val="0"/>
                <w:sz w:val="20"/>
                <w:szCs w:val="20"/>
              </w:rPr>
            </w:pPr>
          </w:p>
        </w:tc>
      </w:tr>
      <w:tr w14:paraId="7F0EA143">
        <w:tblPrEx>
          <w:tblCellMar>
            <w:top w:w="0" w:type="dxa"/>
            <w:left w:w="108" w:type="dxa"/>
            <w:bottom w:w="0" w:type="dxa"/>
            <w:right w:w="108" w:type="dxa"/>
          </w:tblCellMar>
        </w:tblPrEx>
        <w:trPr>
          <w:trHeight w:val="285" w:hRule="atLeast"/>
        </w:trPr>
        <w:tc>
          <w:tcPr>
            <w:tcW w:w="479" w:type="dxa"/>
            <w:vMerge w:val="continue"/>
            <w:tcBorders>
              <w:left w:val="single" w:color="auto" w:sz="8" w:space="0"/>
              <w:right w:val="single" w:color="auto" w:sz="4" w:space="0"/>
            </w:tcBorders>
            <w:shd w:val="clear" w:color="000000" w:fill="FFFFFF"/>
            <w:vAlign w:val="center"/>
          </w:tcPr>
          <w:p w14:paraId="7CD56C86">
            <w:pPr>
              <w:jc w:val="center"/>
              <w:rPr>
                <w:rFonts w:ascii="宋体" w:hAnsi="宋体" w:cs="宋体"/>
                <w:kern w:val="0"/>
                <w:sz w:val="20"/>
                <w:szCs w:val="20"/>
              </w:rPr>
            </w:pPr>
          </w:p>
        </w:tc>
        <w:tc>
          <w:tcPr>
            <w:tcW w:w="828" w:type="dxa"/>
            <w:vMerge w:val="continue"/>
            <w:tcBorders>
              <w:top w:val="nil"/>
              <w:left w:val="single" w:color="auto" w:sz="4" w:space="0"/>
              <w:bottom w:val="single" w:color="auto" w:sz="4" w:space="0"/>
              <w:right w:val="single" w:color="auto" w:sz="4" w:space="0"/>
            </w:tcBorders>
            <w:vAlign w:val="center"/>
          </w:tcPr>
          <w:p w14:paraId="2830A23A">
            <w:pPr>
              <w:widowControl/>
              <w:jc w:val="left"/>
              <w:rPr>
                <w:rFonts w:ascii="宋体" w:hAnsi="宋体" w:cs="宋体"/>
                <w:kern w:val="0"/>
                <w:sz w:val="20"/>
                <w:szCs w:val="20"/>
              </w:rPr>
            </w:pPr>
          </w:p>
        </w:tc>
        <w:tc>
          <w:tcPr>
            <w:tcW w:w="3479" w:type="dxa"/>
            <w:tcBorders>
              <w:top w:val="nil"/>
              <w:left w:val="nil"/>
              <w:bottom w:val="single" w:color="auto" w:sz="4" w:space="0"/>
              <w:right w:val="single" w:color="auto" w:sz="4" w:space="0"/>
            </w:tcBorders>
            <w:shd w:val="clear" w:color="000000" w:fill="FFFFFF"/>
            <w:vAlign w:val="center"/>
          </w:tcPr>
          <w:p w14:paraId="4661CCD5">
            <w:pPr>
              <w:widowControl/>
              <w:jc w:val="left"/>
              <w:rPr>
                <w:rFonts w:ascii="宋体" w:hAnsi="宋体" w:cs="宋体"/>
                <w:kern w:val="0"/>
                <w:sz w:val="20"/>
                <w:szCs w:val="20"/>
              </w:rPr>
            </w:pPr>
          </w:p>
        </w:tc>
        <w:tc>
          <w:tcPr>
            <w:tcW w:w="1559" w:type="dxa"/>
            <w:tcBorders>
              <w:top w:val="nil"/>
              <w:left w:val="nil"/>
              <w:bottom w:val="single" w:color="auto" w:sz="4" w:space="0"/>
              <w:right w:val="single" w:color="auto" w:sz="4" w:space="0"/>
            </w:tcBorders>
            <w:shd w:val="clear" w:color="000000" w:fill="FFFFFF"/>
            <w:vAlign w:val="center"/>
          </w:tcPr>
          <w:p w14:paraId="7504EE5A">
            <w:pPr>
              <w:widowControl/>
              <w:jc w:val="right"/>
              <w:rPr>
                <w:rFonts w:hint="eastAsia" w:ascii="宋体" w:hAnsi="宋体" w:cs="宋体"/>
                <w:kern w:val="0"/>
                <w:sz w:val="20"/>
                <w:szCs w:val="20"/>
              </w:rPr>
            </w:pPr>
          </w:p>
        </w:tc>
        <w:tc>
          <w:tcPr>
            <w:tcW w:w="1346" w:type="dxa"/>
            <w:tcBorders>
              <w:top w:val="nil"/>
              <w:left w:val="nil"/>
              <w:bottom w:val="single" w:color="auto" w:sz="4" w:space="0"/>
              <w:right w:val="single" w:color="auto" w:sz="4" w:space="0"/>
            </w:tcBorders>
            <w:shd w:val="clear" w:color="000000" w:fill="FFFFFF"/>
            <w:vAlign w:val="center"/>
          </w:tcPr>
          <w:p w14:paraId="6544AEBB">
            <w:pPr>
              <w:widowControl/>
              <w:jc w:val="right"/>
              <w:rPr>
                <w:rFonts w:ascii="宋体" w:hAnsi="宋体" w:cs="宋体"/>
                <w:kern w:val="0"/>
                <w:sz w:val="20"/>
                <w:szCs w:val="20"/>
              </w:rPr>
            </w:pPr>
            <w:r>
              <w:rPr>
                <w:rFonts w:hint="eastAsia" w:ascii="宋体" w:hAnsi="宋体" w:cs="宋体"/>
                <w:kern w:val="0"/>
                <w:sz w:val="20"/>
                <w:szCs w:val="20"/>
              </w:rPr>
              <w:t>　</w:t>
            </w:r>
          </w:p>
        </w:tc>
        <w:tc>
          <w:tcPr>
            <w:tcW w:w="1044" w:type="dxa"/>
            <w:tcBorders>
              <w:top w:val="nil"/>
              <w:left w:val="nil"/>
              <w:bottom w:val="single" w:color="auto" w:sz="4" w:space="0"/>
              <w:right w:val="single" w:color="auto" w:sz="8" w:space="0"/>
            </w:tcBorders>
            <w:shd w:val="clear" w:color="000000" w:fill="FFFFFF"/>
            <w:vAlign w:val="center"/>
          </w:tcPr>
          <w:p w14:paraId="3735329C">
            <w:pPr>
              <w:widowControl/>
              <w:jc w:val="left"/>
              <w:rPr>
                <w:rFonts w:ascii="宋体" w:hAnsi="宋体" w:cs="宋体"/>
                <w:kern w:val="0"/>
                <w:sz w:val="20"/>
                <w:szCs w:val="20"/>
              </w:rPr>
            </w:pPr>
          </w:p>
        </w:tc>
      </w:tr>
      <w:tr w14:paraId="0E27D85F">
        <w:tblPrEx>
          <w:tblCellMar>
            <w:top w:w="0" w:type="dxa"/>
            <w:left w:w="108" w:type="dxa"/>
            <w:bottom w:w="0" w:type="dxa"/>
            <w:right w:w="108" w:type="dxa"/>
          </w:tblCellMar>
        </w:tblPrEx>
        <w:trPr>
          <w:trHeight w:val="285" w:hRule="atLeast"/>
        </w:trPr>
        <w:tc>
          <w:tcPr>
            <w:tcW w:w="479" w:type="dxa"/>
            <w:vMerge w:val="continue"/>
            <w:tcBorders>
              <w:left w:val="single" w:color="auto" w:sz="8" w:space="0"/>
              <w:bottom w:val="single" w:color="auto" w:sz="4" w:space="0"/>
              <w:right w:val="single" w:color="auto" w:sz="4" w:space="0"/>
            </w:tcBorders>
            <w:shd w:val="clear" w:color="000000" w:fill="FFFFFF"/>
            <w:vAlign w:val="center"/>
          </w:tcPr>
          <w:p w14:paraId="7C1118E7">
            <w:pPr>
              <w:widowControl/>
              <w:jc w:val="center"/>
              <w:rPr>
                <w:rFonts w:ascii="宋体" w:hAnsi="宋体" w:cs="宋体"/>
                <w:kern w:val="0"/>
                <w:sz w:val="20"/>
                <w:szCs w:val="20"/>
              </w:rPr>
            </w:pPr>
          </w:p>
        </w:tc>
        <w:tc>
          <w:tcPr>
            <w:tcW w:w="4307" w:type="dxa"/>
            <w:gridSpan w:val="2"/>
            <w:tcBorders>
              <w:top w:val="single" w:color="auto" w:sz="4" w:space="0"/>
              <w:left w:val="nil"/>
              <w:bottom w:val="single" w:color="auto" w:sz="4" w:space="0"/>
              <w:right w:val="single" w:color="auto" w:sz="4" w:space="0"/>
            </w:tcBorders>
            <w:shd w:val="clear" w:color="000000" w:fill="FFFFFF"/>
            <w:vAlign w:val="center"/>
          </w:tcPr>
          <w:p w14:paraId="50A96F04">
            <w:pPr>
              <w:widowControl/>
              <w:jc w:val="center"/>
              <w:rPr>
                <w:rFonts w:ascii="宋体" w:hAnsi="宋体" w:cs="宋体"/>
                <w:kern w:val="0"/>
                <w:sz w:val="20"/>
                <w:szCs w:val="20"/>
              </w:rPr>
            </w:pPr>
            <w:r>
              <w:rPr>
                <w:rFonts w:hint="eastAsia" w:ascii="宋体" w:hAnsi="宋体" w:cs="宋体"/>
                <w:kern w:val="0"/>
                <w:sz w:val="20"/>
                <w:szCs w:val="20"/>
              </w:rPr>
              <w:t>其他费用小计</w:t>
            </w:r>
          </w:p>
        </w:tc>
        <w:tc>
          <w:tcPr>
            <w:tcW w:w="1559" w:type="dxa"/>
            <w:tcBorders>
              <w:top w:val="nil"/>
              <w:left w:val="nil"/>
              <w:bottom w:val="single" w:color="auto" w:sz="4" w:space="0"/>
              <w:right w:val="single" w:color="auto" w:sz="4" w:space="0"/>
            </w:tcBorders>
            <w:shd w:val="clear" w:color="000000" w:fill="FFFFFF"/>
            <w:vAlign w:val="center"/>
          </w:tcPr>
          <w:p w14:paraId="4158A338">
            <w:pPr>
              <w:widowControl/>
              <w:jc w:val="right"/>
              <w:rPr>
                <w:rFonts w:hint="eastAsia" w:ascii="宋体" w:hAnsi="宋体" w:cs="宋体"/>
                <w:kern w:val="0"/>
                <w:sz w:val="20"/>
                <w:szCs w:val="20"/>
              </w:rPr>
            </w:pPr>
          </w:p>
        </w:tc>
        <w:tc>
          <w:tcPr>
            <w:tcW w:w="1346" w:type="dxa"/>
            <w:tcBorders>
              <w:top w:val="nil"/>
              <w:left w:val="nil"/>
              <w:bottom w:val="single" w:color="auto" w:sz="4" w:space="0"/>
              <w:right w:val="single" w:color="auto" w:sz="4" w:space="0"/>
            </w:tcBorders>
            <w:shd w:val="clear" w:color="000000" w:fill="FFFFFF"/>
            <w:vAlign w:val="center"/>
          </w:tcPr>
          <w:p w14:paraId="5A15222A">
            <w:pPr>
              <w:widowControl/>
              <w:jc w:val="right"/>
              <w:rPr>
                <w:rFonts w:ascii="宋体" w:hAnsi="宋体" w:cs="宋体"/>
                <w:kern w:val="0"/>
                <w:sz w:val="20"/>
                <w:szCs w:val="20"/>
              </w:rPr>
            </w:pPr>
            <w:r>
              <w:rPr>
                <w:rFonts w:hint="eastAsia" w:ascii="宋体" w:hAnsi="宋体" w:cs="宋体"/>
                <w:kern w:val="0"/>
                <w:sz w:val="20"/>
                <w:szCs w:val="20"/>
              </w:rPr>
              <w:t>　</w:t>
            </w:r>
          </w:p>
        </w:tc>
        <w:tc>
          <w:tcPr>
            <w:tcW w:w="1044" w:type="dxa"/>
            <w:tcBorders>
              <w:top w:val="nil"/>
              <w:left w:val="nil"/>
              <w:bottom w:val="single" w:color="auto" w:sz="4" w:space="0"/>
              <w:right w:val="single" w:color="auto" w:sz="8" w:space="0"/>
            </w:tcBorders>
            <w:shd w:val="clear" w:color="000000" w:fill="FFFFFF"/>
            <w:vAlign w:val="center"/>
          </w:tcPr>
          <w:p w14:paraId="1659DE5D">
            <w:pPr>
              <w:widowControl/>
              <w:jc w:val="left"/>
              <w:rPr>
                <w:rFonts w:ascii="宋体" w:hAnsi="宋体" w:cs="宋体"/>
                <w:kern w:val="0"/>
                <w:sz w:val="20"/>
                <w:szCs w:val="20"/>
              </w:rPr>
            </w:pPr>
            <w:r>
              <w:rPr>
                <w:rFonts w:hint="eastAsia" w:ascii="宋体" w:hAnsi="宋体" w:cs="宋体"/>
                <w:kern w:val="0"/>
                <w:sz w:val="20"/>
                <w:szCs w:val="20"/>
              </w:rPr>
              <w:t>　</w:t>
            </w:r>
          </w:p>
        </w:tc>
      </w:tr>
      <w:tr w14:paraId="5B147581">
        <w:tblPrEx>
          <w:tblCellMar>
            <w:top w:w="0" w:type="dxa"/>
            <w:left w:w="108" w:type="dxa"/>
            <w:bottom w:w="0" w:type="dxa"/>
            <w:right w:w="108" w:type="dxa"/>
          </w:tblCellMar>
        </w:tblPrEx>
        <w:trPr>
          <w:trHeight w:val="285" w:hRule="atLeast"/>
        </w:trPr>
        <w:tc>
          <w:tcPr>
            <w:tcW w:w="479" w:type="dxa"/>
            <w:tcBorders>
              <w:top w:val="nil"/>
              <w:left w:val="single" w:color="auto" w:sz="8" w:space="0"/>
              <w:bottom w:val="single" w:color="auto" w:sz="4" w:space="0"/>
              <w:right w:val="single" w:color="auto" w:sz="4" w:space="0"/>
            </w:tcBorders>
            <w:shd w:val="clear" w:color="000000" w:fill="FFFFFF"/>
            <w:vAlign w:val="center"/>
          </w:tcPr>
          <w:p w14:paraId="70E7793A">
            <w:pPr>
              <w:widowControl/>
              <w:jc w:val="center"/>
              <w:rPr>
                <w:rFonts w:hint="eastAsia" w:ascii="宋体" w:hAnsi="宋体" w:eastAsia="宋体" w:cs="宋体"/>
                <w:kern w:val="0"/>
                <w:sz w:val="20"/>
                <w:szCs w:val="20"/>
                <w:lang w:eastAsia="zh-CN"/>
              </w:rPr>
            </w:pPr>
            <w:r>
              <w:rPr>
                <w:rFonts w:hint="eastAsia" w:ascii="宋体" w:hAnsi="宋体" w:cs="宋体"/>
                <w:kern w:val="0"/>
                <w:sz w:val="20"/>
                <w:szCs w:val="20"/>
                <w:lang w:val="en-US" w:eastAsia="zh-CN"/>
              </w:rPr>
              <w:t>三</w:t>
            </w:r>
          </w:p>
        </w:tc>
        <w:tc>
          <w:tcPr>
            <w:tcW w:w="4307" w:type="dxa"/>
            <w:gridSpan w:val="2"/>
            <w:tcBorders>
              <w:top w:val="single" w:color="auto" w:sz="4" w:space="0"/>
              <w:left w:val="nil"/>
              <w:bottom w:val="single" w:color="auto" w:sz="4" w:space="0"/>
              <w:right w:val="single" w:color="auto" w:sz="4" w:space="0"/>
            </w:tcBorders>
            <w:shd w:val="clear" w:color="000000" w:fill="FFFFFF"/>
            <w:vAlign w:val="center"/>
          </w:tcPr>
          <w:p w14:paraId="06FE70CB">
            <w:pPr>
              <w:widowControl/>
              <w:jc w:val="left"/>
              <w:rPr>
                <w:rFonts w:ascii="宋体" w:hAnsi="宋体" w:cs="宋体"/>
                <w:kern w:val="0"/>
                <w:sz w:val="20"/>
                <w:szCs w:val="20"/>
              </w:rPr>
            </w:pPr>
            <w:r>
              <w:rPr>
                <w:rFonts w:hint="eastAsia" w:ascii="宋体" w:hAnsi="宋体" w:cs="宋体"/>
                <w:kern w:val="0"/>
                <w:sz w:val="20"/>
                <w:szCs w:val="20"/>
              </w:rPr>
              <w:t>税金</w:t>
            </w:r>
          </w:p>
        </w:tc>
        <w:tc>
          <w:tcPr>
            <w:tcW w:w="1559" w:type="dxa"/>
            <w:tcBorders>
              <w:top w:val="nil"/>
              <w:left w:val="nil"/>
              <w:bottom w:val="single" w:color="auto" w:sz="4" w:space="0"/>
              <w:right w:val="single" w:color="auto" w:sz="4" w:space="0"/>
            </w:tcBorders>
            <w:shd w:val="clear" w:color="000000" w:fill="FFFFFF"/>
            <w:vAlign w:val="center"/>
          </w:tcPr>
          <w:p w14:paraId="2F4E89B5">
            <w:pPr>
              <w:widowControl/>
              <w:jc w:val="left"/>
              <w:rPr>
                <w:rFonts w:hint="eastAsia" w:ascii="宋体" w:hAnsi="宋体" w:cs="宋体"/>
                <w:kern w:val="0"/>
                <w:sz w:val="20"/>
                <w:szCs w:val="20"/>
              </w:rPr>
            </w:pPr>
          </w:p>
        </w:tc>
        <w:tc>
          <w:tcPr>
            <w:tcW w:w="1346" w:type="dxa"/>
            <w:tcBorders>
              <w:top w:val="nil"/>
              <w:left w:val="nil"/>
              <w:bottom w:val="single" w:color="auto" w:sz="4" w:space="0"/>
              <w:right w:val="single" w:color="auto" w:sz="4" w:space="0"/>
            </w:tcBorders>
            <w:shd w:val="clear" w:color="000000" w:fill="FFFFFF"/>
            <w:vAlign w:val="center"/>
          </w:tcPr>
          <w:p w14:paraId="59731797">
            <w:pPr>
              <w:widowControl/>
              <w:jc w:val="left"/>
              <w:rPr>
                <w:rFonts w:ascii="宋体" w:hAnsi="宋体" w:cs="宋体"/>
                <w:kern w:val="0"/>
                <w:sz w:val="20"/>
                <w:szCs w:val="20"/>
              </w:rPr>
            </w:pPr>
            <w:r>
              <w:rPr>
                <w:rFonts w:hint="eastAsia" w:ascii="宋体" w:hAnsi="宋体" w:cs="宋体"/>
                <w:kern w:val="0"/>
                <w:sz w:val="20"/>
                <w:szCs w:val="20"/>
              </w:rPr>
              <w:t>　</w:t>
            </w:r>
          </w:p>
        </w:tc>
        <w:tc>
          <w:tcPr>
            <w:tcW w:w="1044" w:type="dxa"/>
            <w:tcBorders>
              <w:top w:val="nil"/>
              <w:left w:val="nil"/>
              <w:bottom w:val="single" w:color="auto" w:sz="4" w:space="0"/>
              <w:right w:val="single" w:color="auto" w:sz="8" w:space="0"/>
            </w:tcBorders>
            <w:shd w:val="clear" w:color="000000" w:fill="FFFFFF"/>
            <w:vAlign w:val="center"/>
          </w:tcPr>
          <w:p w14:paraId="33E8CF3A">
            <w:pPr>
              <w:widowControl/>
              <w:jc w:val="left"/>
              <w:rPr>
                <w:rFonts w:ascii="宋体" w:hAnsi="宋体" w:cs="宋体"/>
                <w:kern w:val="0"/>
                <w:sz w:val="20"/>
                <w:szCs w:val="20"/>
              </w:rPr>
            </w:pPr>
            <w:r>
              <w:rPr>
                <w:rFonts w:hint="eastAsia" w:ascii="宋体" w:hAnsi="宋体" w:cs="宋体"/>
                <w:kern w:val="0"/>
                <w:sz w:val="20"/>
                <w:szCs w:val="20"/>
              </w:rPr>
              <w:t>　</w:t>
            </w:r>
          </w:p>
        </w:tc>
      </w:tr>
      <w:tr w14:paraId="66561DBE">
        <w:tblPrEx>
          <w:tblCellMar>
            <w:top w:w="0" w:type="dxa"/>
            <w:left w:w="108" w:type="dxa"/>
            <w:bottom w:w="0" w:type="dxa"/>
            <w:right w:w="108" w:type="dxa"/>
          </w:tblCellMar>
        </w:tblPrEx>
        <w:trPr>
          <w:trHeight w:val="285" w:hRule="atLeast"/>
        </w:trPr>
        <w:tc>
          <w:tcPr>
            <w:tcW w:w="479" w:type="dxa"/>
            <w:tcBorders>
              <w:top w:val="nil"/>
              <w:left w:val="single" w:color="auto" w:sz="8" w:space="0"/>
              <w:bottom w:val="single" w:color="auto" w:sz="4" w:space="0"/>
              <w:right w:val="single" w:color="auto" w:sz="4" w:space="0"/>
            </w:tcBorders>
            <w:shd w:val="clear" w:color="000000" w:fill="FFFFFF"/>
            <w:vAlign w:val="center"/>
          </w:tcPr>
          <w:p w14:paraId="01B2E6A0">
            <w:pPr>
              <w:widowControl/>
              <w:jc w:val="center"/>
              <w:rPr>
                <w:rFonts w:ascii="宋体" w:hAnsi="宋体" w:cs="宋体"/>
                <w:kern w:val="0"/>
                <w:sz w:val="20"/>
                <w:szCs w:val="20"/>
              </w:rPr>
            </w:pPr>
          </w:p>
        </w:tc>
        <w:tc>
          <w:tcPr>
            <w:tcW w:w="4307" w:type="dxa"/>
            <w:gridSpan w:val="2"/>
            <w:tcBorders>
              <w:top w:val="single" w:color="auto" w:sz="4" w:space="0"/>
              <w:left w:val="nil"/>
              <w:bottom w:val="single" w:color="auto" w:sz="4" w:space="0"/>
              <w:right w:val="single" w:color="auto" w:sz="4" w:space="0"/>
            </w:tcBorders>
            <w:shd w:val="clear" w:color="000000" w:fill="FFFFFF"/>
            <w:vAlign w:val="center"/>
          </w:tcPr>
          <w:p w14:paraId="5206A6EB">
            <w:pPr>
              <w:widowControl/>
              <w:jc w:val="left"/>
              <w:rPr>
                <w:rFonts w:ascii="宋体" w:hAnsi="宋体" w:cs="宋体"/>
                <w:kern w:val="0"/>
                <w:sz w:val="20"/>
                <w:szCs w:val="20"/>
              </w:rPr>
            </w:pPr>
            <w:r>
              <w:rPr>
                <w:rFonts w:hint="eastAsia" w:ascii="宋体" w:hAnsi="宋体" w:cs="宋体"/>
                <w:b/>
                <w:bCs/>
                <w:kern w:val="0"/>
                <w:sz w:val="20"/>
                <w:szCs w:val="20"/>
              </w:rPr>
              <w:t>……</w:t>
            </w:r>
          </w:p>
        </w:tc>
        <w:tc>
          <w:tcPr>
            <w:tcW w:w="1559" w:type="dxa"/>
            <w:tcBorders>
              <w:top w:val="nil"/>
              <w:left w:val="nil"/>
              <w:bottom w:val="single" w:color="auto" w:sz="4" w:space="0"/>
              <w:right w:val="single" w:color="auto" w:sz="4" w:space="0"/>
            </w:tcBorders>
            <w:shd w:val="clear" w:color="000000" w:fill="FFFFFF"/>
            <w:vAlign w:val="center"/>
          </w:tcPr>
          <w:p w14:paraId="78BA99A4">
            <w:pPr>
              <w:widowControl/>
              <w:jc w:val="left"/>
              <w:rPr>
                <w:rFonts w:ascii="宋体" w:hAnsi="宋体" w:cs="宋体"/>
                <w:kern w:val="0"/>
                <w:sz w:val="20"/>
                <w:szCs w:val="20"/>
              </w:rPr>
            </w:pPr>
          </w:p>
        </w:tc>
        <w:tc>
          <w:tcPr>
            <w:tcW w:w="1346" w:type="dxa"/>
            <w:tcBorders>
              <w:top w:val="nil"/>
              <w:left w:val="nil"/>
              <w:bottom w:val="single" w:color="auto" w:sz="4" w:space="0"/>
              <w:right w:val="single" w:color="auto" w:sz="4" w:space="0"/>
            </w:tcBorders>
            <w:shd w:val="clear" w:color="000000" w:fill="FFFFFF"/>
            <w:vAlign w:val="center"/>
          </w:tcPr>
          <w:p w14:paraId="510F86D1">
            <w:pPr>
              <w:widowControl/>
              <w:jc w:val="left"/>
              <w:rPr>
                <w:rFonts w:ascii="宋体" w:hAnsi="宋体" w:cs="宋体"/>
                <w:kern w:val="0"/>
                <w:sz w:val="20"/>
                <w:szCs w:val="20"/>
              </w:rPr>
            </w:pPr>
          </w:p>
        </w:tc>
        <w:tc>
          <w:tcPr>
            <w:tcW w:w="1044" w:type="dxa"/>
            <w:tcBorders>
              <w:top w:val="nil"/>
              <w:left w:val="nil"/>
              <w:bottom w:val="single" w:color="auto" w:sz="4" w:space="0"/>
              <w:right w:val="single" w:color="auto" w:sz="8" w:space="0"/>
            </w:tcBorders>
            <w:shd w:val="clear" w:color="000000" w:fill="FFFFFF"/>
            <w:vAlign w:val="center"/>
          </w:tcPr>
          <w:p w14:paraId="5F1EBF33">
            <w:pPr>
              <w:widowControl/>
              <w:jc w:val="left"/>
              <w:rPr>
                <w:rFonts w:ascii="宋体" w:hAnsi="宋体" w:cs="宋体"/>
                <w:kern w:val="0"/>
                <w:sz w:val="20"/>
                <w:szCs w:val="20"/>
              </w:rPr>
            </w:pPr>
          </w:p>
        </w:tc>
      </w:tr>
      <w:tr w14:paraId="4E1732FE">
        <w:tblPrEx>
          <w:tblCellMar>
            <w:top w:w="0" w:type="dxa"/>
            <w:left w:w="108" w:type="dxa"/>
            <w:bottom w:w="0" w:type="dxa"/>
            <w:right w:w="108" w:type="dxa"/>
          </w:tblCellMar>
        </w:tblPrEx>
        <w:trPr>
          <w:trHeight w:val="285" w:hRule="atLeast"/>
        </w:trPr>
        <w:tc>
          <w:tcPr>
            <w:tcW w:w="479" w:type="dxa"/>
            <w:tcBorders>
              <w:top w:val="nil"/>
              <w:left w:val="single" w:color="auto" w:sz="8" w:space="0"/>
              <w:bottom w:val="single" w:color="auto" w:sz="4" w:space="0"/>
              <w:right w:val="single" w:color="auto" w:sz="4" w:space="0"/>
            </w:tcBorders>
            <w:shd w:val="clear" w:color="000000" w:fill="FFFFFF"/>
            <w:vAlign w:val="center"/>
          </w:tcPr>
          <w:p w14:paraId="7AF290CD">
            <w:pPr>
              <w:widowControl/>
              <w:jc w:val="center"/>
              <w:rPr>
                <w:rFonts w:ascii="宋体" w:hAnsi="宋体" w:cs="宋体"/>
                <w:kern w:val="0"/>
                <w:sz w:val="20"/>
                <w:szCs w:val="20"/>
              </w:rPr>
            </w:pPr>
          </w:p>
        </w:tc>
        <w:tc>
          <w:tcPr>
            <w:tcW w:w="4307" w:type="dxa"/>
            <w:gridSpan w:val="2"/>
            <w:tcBorders>
              <w:top w:val="single" w:color="auto" w:sz="4" w:space="0"/>
              <w:left w:val="nil"/>
              <w:bottom w:val="single" w:color="auto" w:sz="4" w:space="0"/>
              <w:right w:val="single" w:color="auto" w:sz="4" w:space="0"/>
            </w:tcBorders>
            <w:shd w:val="clear" w:color="000000" w:fill="FFFFFF"/>
            <w:vAlign w:val="center"/>
          </w:tcPr>
          <w:p w14:paraId="3E2AEFCC">
            <w:pPr>
              <w:widowControl/>
              <w:jc w:val="center"/>
              <w:rPr>
                <w:rFonts w:ascii="宋体" w:hAnsi="宋体" w:cs="宋体"/>
                <w:b/>
                <w:bCs/>
                <w:kern w:val="0"/>
                <w:sz w:val="20"/>
                <w:szCs w:val="20"/>
              </w:rPr>
            </w:pPr>
            <w:r>
              <w:rPr>
                <w:rFonts w:hint="eastAsia" w:ascii="宋体" w:hAnsi="宋体" w:cs="宋体"/>
                <w:b/>
                <w:bCs/>
                <w:kern w:val="0"/>
                <w:sz w:val="20"/>
                <w:szCs w:val="20"/>
              </w:rPr>
              <w:t>合计(元)</w:t>
            </w:r>
          </w:p>
        </w:tc>
        <w:tc>
          <w:tcPr>
            <w:tcW w:w="2905" w:type="dxa"/>
            <w:gridSpan w:val="2"/>
            <w:tcBorders>
              <w:top w:val="nil"/>
              <w:left w:val="nil"/>
              <w:bottom w:val="single" w:color="auto" w:sz="4" w:space="0"/>
              <w:right w:val="single" w:color="auto" w:sz="4" w:space="0"/>
            </w:tcBorders>
            <w:shd w:val="clear" w:color="000000" w:fill="FFFFFF"/>
            <w:vAlign w:val="center"/>
          </w:tcPr>
          <w:p w14:paraId="0D86E52B">
            <w:pPr>
              <w:widowControl/>
              <w:jc w:val="right"/>
              <w:rPr>
                <w:rFonts w:ascii="宋体" w:hAnsi="宋体" w:cs="宋体"/>
                <w:b/>
                <w:bCs/>
                <w:kern w:val="0"/>
                <w:sz w:val="20"/>
                <w:szCs w:val="20"/>
              </w:rPr>
            </w:pPr>
            <w:r>
              <w:rPr>
                <w:rFonts w:hint="eastAsia" w:ascii="宋体" w:hAnsi="宋体" w:cs="宋体"/>
                <w:b/>
                <w:bCs/>
                <w:kern w:val="0"/>
                <w:sz w:val="20"/>
                <w:szCs w:val="20"/>
              </w:rPr>
              <w:t>　</w:t>
            </w:r>
          </w:p>
        </w:tc>
        <w:tc>
          <w:tcPr>
            <w:tcW w:w="1044" w:type="dxa"/>
            <w:tcBorders>
              <w:top w:val="nil"/>
              <w:left w:val="nil"/>
              <w:bottom w:val="single" w:color="auto" w:sz="4" w:space="0"/>
              <w:right w:val="single" w:color="auto" w:sz="8" w:space="0"/>
            </w:tcBorders>
            <w:shd w:val="clear" w:color="000000" w:fill="FFFFFF"/>
            <w:vAlign w:val="center"/>
          </w:tcPr>
          <w:p w14:paraId="1F8E5358">
            <w:pPr>
              <w:widowControl/>
              <w:jc w:val="center"/>
              <w:rPr>
                <w:rFonts w:ascii="宋体" w:hAnsi="宋体" w:cs="宋体"/>
                <w:kern w:val="0"/>
                <w:sz w:val="20"/>
                <w:szCs w:val="20"/>
              </w:rPr>
            </w:pPr>
            <w:r>
              <w:rPr>
                <w:rFonts w:hint="eastAsia" w:ascii="宋体" w:hAnsi="宋体" w:cs="宋体"/>
                <w:kern w:val="0"/>
                <w:sz w:val="20"/>
                <w:szCs w:val="20"/>
              </w:rPr>
              <w:t>　以上各项之和</w:t>
            </w:r>
          </w:p>
        </w:tc>
      </w:tr>
    </w:tbl>
    <w:p w14:paraId="0E6DBC27">
      <w:pPr>
        <w:ind w:firstLine="0" w:firstLineChars="0"/>
        <w:rPr>
          <w:rFonts w:hint="eastAsia" w:hAnsi="宋体"/>
          <w:b/>
          <w:bCs/>
          <w:color w:val="FF0000"/>
          <w:sz w:val="24"/>
          <w:lang w:val="en-US" w:eastAsia="zh-CN"/>
        </w:rPr>
      </w:pPr>
      <w:r>
        <w:rPr>
          <w:rFonts w:hint="eastAsia" w:hAnsi="宋体"/>
          <w:b/>
          <w:bCs/>
          <w:color w:val="FF0000"/>
          <w:sz w:val="24"/>
          <w:lang w:val="en-US" w:eastAsia="zh-CN"/>
        </w:rPr>
        <w:t>注：服务类项目包含硬件设备、产品等货物采购的，除了要求供应商响应服务方案及报价外，必须按照货物类公开招标文件模板规定的分项报价表格式，要求供应商响应货物标的产品规格型号并逐一分项报价。</w:t>
      </w:r>
    </w:p>
    <w:p w14:paraId="01884EF5">
      <w:pPr>
        <w:pStyle w:val="8"/>
        <w:rPr>
          <w:rFonts w:hint="default"/>
          <w:lang w:val="en-US" w:eastAsia="zh-CN"/>
        </w:rPr>
      </w:pPr>
    </w:p>
    <w:p w14:paraId="6DDA6CB5">
      <w:pPr>
        <w:tabs>
          <w:tab w:val="left" w:pos="720"/>
        </w:tabs>
        <w:jc w:val="center"/>
        <w:rPr>
          <w:b/>
          <w:sz w:val="24"/>
        </w:rPr>
      </w:pPr>
      <w:r>
        <w:rPr>
          <w:rFonts w:hint="eastAsia"/>
          <w:b/>
          <w:sz w:val="24"/>
        </w:rPr>
        <w:t>（二）</w:t>
      </w:r>
      <w:bookmarkStart w:id="44" w:name="_Hlk72073235"/>
      <w:r>
        <w:rPr>
          <w:rFonts w:hint="eastAsia"/>
          <w:b/>
          <w:sz w:val="24"/>
        </w:rPr>
        <w:t>投标人认为需要涉及的其他内容报价清单</w:t>
      </w:r>
      <w:bookmarkEnd w:id="44"/>
    </w:p>
    <w:p w14:paraId="17B6FA7A"/>
    <w:p w14:paraId="2838A38B">
      <w:pPr>
        <w:pStyle w:val="4"/>
        <w:spacing w:line="276" w:lineRule="auto"/>
        <w:jc w:val="center"/>
        <w:rPr>
          <w:rFonts w:ascii="黑体" w:eastAsia="黑体"/>
          <w:b w:val="0"/>
          <w:kern w:val="0"/>
          <w:sz w:val="24"/>
          <w:szCs w:val="24"/>
        </w:rPr>
      </w:pPr>
      <w:r>
        <w:rPr>
          <w:rFonts w:hint="eastAsia" w:ascii="黑体" w:eastAsia="黑体"/>
          <w:b w:val="0"/>
          <w:kern w:val="0"/>
          <w:sz w:val="24"/>
          <w:szCs w:val="24"/>
        </w:rPr>
        <w:t>五、同类项目业绩</w:t>
      </w:r>
    </w:p>
    <w:tbl>
      <w:tblPr>
        <w:tblStyle w:val="42"/>
        <w:tblW w:w="9015" w:type="dxa"/>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675"/>
        <w:gridCol w:w="1267"/>
        <w:gridCol w:w="1105"/>
        <w:gridCol w:w="1538"/>
        <w:gridCol w:w="1287"/>
        <w:gridCol w:w="1113"/>
        <w:gridCol w:w="907"/>
        <w:gridCol w:w="1123"/>
      </w:tblGrid>
      <w:tr w14:paraId="77495A9D">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756" w:hRule="atLeast"/>
          <w:jc w:val="center"/>
        </w:trPr>
        <w:tc>
          <w:tcPr>
            <w:tcW w:w="675" w:type="dxa"/>
            <w:vAlign w:val="center"/>
          </w:tcPr>
          <w:p w14:paraId="1E3851C7">
            <w:pPr>
              <w:spacing w:line="276" w:lineRule="auto"/>
              <w:jc w:val="center"/>
              <w:rPr>
                <w:rFonts w:ascii="宋体"/>
                <w:szCs w:val="21"/>
              </w:rPr>
            </w:pPr>
            <w:r>
              <w:rPr>
                <w:rFonts w:hint="eastAsia" w:ascii="宋体" w:hAnsi="宋体"/>
                <w:szCs w:val="21"/>
              </w:rPr>
              <w:t>序号</w:t>
            </w:r>
          </w:p>
        </w:tc>
        <w:tc>
          <w:tcPr>
            <w:tcW w:w="1267" w:type="dxa"/>
            <w:vAlign w:val="center"/>
          </w:tcPr>
          <w:p w14:paraId="01AB2C91">
            <w:pPr>
              <w:spacing w:line="276" w:lineRule="auto"/>
              <w:jc w:val="center"/>
              <w:rPr>
                <w:rFonts w:ascii="宋体"/>
                <w:szCs w:val="21"/>
              </w:rPr>
            </w:pPr>
            <w:r>
              <w:rPr>
                <w:rFonts w:hint="eastAsia" w:ascii="宋体" w:hAnsi="宋体"/>
                <w:szCs w:val="21"/>
              </w:rPr>
              <w:t>采购人</w:t>
            </w:r>
          </w:p>
        </w:tc>
        <w:tc>
          <w:tcPr>
            <w:tcW w:w="1105" w:type="dxa"/>
            <w:vAlign w:val="center"/>
          </w:tcPr>
          <w:p w14:paraId="2340AF83">
            <w:pPr>
              <w:spacing w:line="276" w:lineRule="auto"/>
              <w:jc w:val="center"/>
              <w:rPr>
                <w:rFonts w:ascii="宋体"/>
                <w:szCs w:val="21"/>
              </w:rPr>
            </w:pPr>
            <w:r>
              <w:rPr>
                <w:rFonts w:hint="eastAsia" w:ascii="宋体" w:hAnsi="宋体"/>
                <w:szCs w:val="21"/>
              </w:rPr>
              <w:t>项目名称</w:t>
            </w:r>
          </w:p>
        </w:tc>
        <w:tc>
          <w:tcPr>
            <w:tcW w:w="1538" w:type="dxa"/>
            <w:vAlign w:val="center"/>
          </w:tcPr>
          <w:p w14:paraId="27F77AD4">
            <w:pPr>
              <w:spacing w:line="276" w:lineRule="auto"/>
              <w:jc w:val="center"/>
              <w:rPr>
                <w:rFonts w:ascii="宋体"/>
                <w:szCs w:val="21"/>
              </w:rPr>
            </w:pPr>
            <w:r>
              <w:rPr>
                <w:rFonts w:hint="eastAsia" w:ascii="宋体"/>
                <w:szCs w:val="21"/>
              </w:rPr>
              <w:t>合同签订时间</w:t>
            </w:r>
          </w:p>
        </w:tc>
        <w:tc>
          <w:tcPr>
            <w:tcW w:w="1287" w:type="dxa"/>
            <w:vAlign w:val="center"/>
          </w:tcPr>
          <w:p w14:paraId="5B25B205">
            <w:pPr>
              <w:spacing w:line="276" w:lineRule="auto"/>
              <w:jc w:val="center"/>
              <w:rPr>
                <w:rFonts w:ascii="宋体"/>
                <w:szCs w:val="21"/>
              </w:rPr>
            </w:pPr>
            <w:r>
              <w:rPr>
                <w:rFonts w:hint="eastAsia" w:ascii="宋体" w:hAnsi="宋体"/>
                <w:szCs w:val="21"/>
              </w:rPr>
              <w:t>完成时间</w:t>
            </w:r>
          </w:p>
        </w:tc>
        <w:tc>
          <w:tcPr>
            <w:tcW w:w="1113" w:type="dxa"/>
            <w:vAlign w:val="center"/>
          </w:tcPr>
          <w:p w14:paraId="06C025CC">
            <w:pPr>
              <w:spacing w:line="276" w:lineRule="auto"/>
              <w:jc w:val="center"/>
              <w:rPr>
                <w:rFonts w:ascii="宋体"/>
                <w:szCs w:val="21"/>
              </w:rPr>
            </w:pPr>
            <w:r>
              <w:rPr>
                <w:rFonts w:hint="eastAsia" w:ascii="宋体" w:hAnsi="宋体"/>
                <w:szCs w:val="21"/>
              </w:rPr>
              <w:t>服务情况</w:t>
            </w:r>
          </w:p>
        </w:tc>
        <w:tc>
          <w:tcPr>
            <w:tcW w:w="907" w:type="dxa"/>
            <w:vAlign w:val="center"/>
          </w:tcPr>
          <w:p w14:paraId="390644CA">
            <w:pPr>
              <w:spacing w:line="276" w:lineRule="auto"/>
              <w:jc w:val="center"/>
              <w:rPr>
                <w:rFonts w:ascii="宋体"/>
                <w:szCs w:val="21"/>
              </w:rPr>
            </w:pPr>
            <w:r>
              <w:rPr>
                <w:rFonts w:hint="eastAsia" w:ascii="宋体" w:hAnsi="宋体"/>
                <w:szCs w:val="21"/>
              </w:rPr>
              <w:t>联系人</w:t>
            </w:r>
          </w:p>
        </w:tc>
        <w:tc>
          <w:tcPr>
            <w:tcW w:w="1123" w:type="dxa"/>
            <w:vAlign w:val="center"/>
          </w:tcPr>
          <w:p w14:paraId="148ED60A">
            <w:pPr>
              <w:spacing w:line="276" w:lineRule="auto"/>
              <w:jc w:val="center"/>
              <w:rPr>
                <w:rFonts w:ascii="宋体"/>
                <w:szCs w:val="21"/>
              </w:rPr>
            </w:pPr>
            <w:r>
              <w:rPr>
                <w:rFonts w:hint="eastAsia" w:ascii="宋体" w:hAnsi="宋体"/>
                <w:szCs w:val="21"/>
              </w:rPr>
              <w:t>联系电话</w:t>
            </w:r>
          </w:p>
        </w:tc>
      </w:tr>
      <w:tr w14:paraId="17742AF3">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cantSplit/>
          <w:trHeight w:val="392" w:hRule="atLeast"/>
          <w:jc w:val="center"/>
        </w:trPr>
        <w:tc>
          <w:tcPr>
            <w:tcW w:w="675" w:type="dxa"/>
          </w:tcPr>
          <w:p w14:paraId="02AE65DB">
            <w:pPr>
              <w:spacing w:line="276" w:lineRule="auto"/>
              <w:rPr>
                <w:rFonts w:ascii="宋体"/>
                <w:szCs w:val="21"/>
              </w:rPr>
            </w:pPr>
          </w:p>
        </w:tc>
        <w:tc>
          <w:tcPr>
            <w:tcW w:w="1267" w:type="dxa"/>
          </w:tcPr>
          <w:p w14:paraId="585AEA51">
            <w:pPr>
              <w:spacing w:line="276" w:lineRule="auto"/>
              <w:rPr>
                <w:rFonts w:ascii="宋体"/>
                <w:szCs w:val="21"/>
              </w:rPr>
            </w:pPr>
          </w:p>
        </w:tc>
        <w:tc>
          <w:tcPr>
            <w:tcW w:w="1105" w:type="dxa"/>
          </w:tcPr>
          <w:p w14:paraId="4E97D247">
            <w:pPr>
              <w:spacing w:line="276" w:lineRule="auto"/>
              <w:rPr>
                <w:rFonts w:ascii="宋体"/>
                <w:szCs w:val="21"/>
              </w:rPr>
            </w:pPr>
          </w:p>
        </w:tc>
        <w:tc>
          <w:tcPr>
            <w:tcW w:w="1538" w:type="dxa"/>
          </w:tcPr>
          <w:p w14:paraId="195EDFF6">
            <w:pPr>
              <w:spacing w:line="276" w:lineRule="auto"/>
              <w:rPr>
                <w:rFonts w:ascii="宋体"/>
                <w:szCs w:val="21"/>
              </w:rPr>
            </w:pPr>
          </w:p>
        </w:tc>
        <w:tc>
          <w:tcPr>
            <w:tcW w:w="1287" w:type="dxa"/>
          </w:tcPr>
          <w:p w14:paraId="22C42A89">
            <w:pPr>
              <w:spacing w:line="276" w:lineRule="auto"/>
              <w:rPr>
                <w:rFonts w:ascii="宋体"/>
                <w:szCs w:val="21"/>
              </w:rPr>
            </w:pPr>
          </w:p>
        </w:tc>
        <w:tc>
          <w:tcPr>
            <w:tcW w:w="1113" w:type="dxa"/>
          </w:tcPr>
          <w:p w14:paraId="73A32F61">
            <w:pPr>
              <w:spacing w:line="276" w:lineRule="auto"/>
              <w:rPr>
                <w:rFonts w:ascii="宋体"/>
                <w:szCs w:val="21"/>
              </w:rPr>
            </w:pPr>
          </w:p>
        </w:tc>
        <w:tc>
          <w:tcPr>
            <w:tcW w:w="907" w:type="dxa"/>
          </w:tcPr>
          <w:p w14:paraId="1104C171">
            <w:pPr>
              <w:spacing w:line="276" w:lineRule="auto"/>
              <w:rPr>
                <w:rFonts w:ascii="宋体"/>
                <w:szCs w:val="21"/>
              </w:rPr>
            </w:pPr>
          </w:p>
        </w:tc>
        <w:tc>
          <w:tcPr>
            <w:tcW w:w="1123" w:type="dxa"/>
          </w:tcPr>
          <w:p w14:paraId="60303422">
            <w:pPr>
              <w:spacing w:line="276" w:lineRule="auto"/>
              <w:rPr>
                <w:rFonts w:ascii="宋体"/>
                <w:szCs w:val="21"/>
              </w:rPr>
            </w:pPr>
          </w:p>
        </w:tc>
      </w:tr>
      <w:tr w14:paraId="2150C459">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cantSplit/>
          <w:trHeight w:val="392" w:hRule="atLeast"/>
          <w:jc w:val="center"/>
        </w:trPr>
        <w:tc>
          <w:tcPr>
            <w:tcW w:w="675" w:type="dxa"/>
          </w:tcPr>
          <w:p w14:paraId="357E8EB7">
            <w:pPr>
              <w:spacing w:line="276" w:lineRule="auto"/>
              <w:rPr>
                <w:rFonts w:ascii="宋体"/>
                <w:szCs w:val="21"/>
              </w:rPr>
            </w:pPr>
          </w:p>
        </w:tc>
        <w:tc>
          <w:tcPr>
            <w:tcW w:w="1267" w:type="dxa"/>
          </w:tcPr>
          <w:p w14:paraId="5B383B3C">
            <w:pPr>
              <w:spacing w:line="276" w:lineRule="auto"/>
              <w:rPr>
                <w:rFonts w:ascii="宋体"/>
                <w:szCs w:val="21"/>
              </w:rPr>
            </w:pPr>
          </w:p>
        </w:tc>
        <w:tc>
          <w:tcPr>
            <w:tcW w:w="1105" w:type="dxa"/>
          </w:tcPr>
          <w:p w14:paraId="24C6142B">
            <w:pPr>
              <w:spacing w:line="276" w:lineRule="auto"/>
              <w:rPr>
                <w:rFonts w:ascii="宋体"/>
                <w:szCs w:val="21"/>
              </w:rPr>
            </w:pPr>
          </w:p>
        </w:tc>
        <w:tc>
          <w:tcPr>
            <w:tcW w:w="1538" w:type="dxa"/>
          </w:tcPr>
          <w:p w14:paraId="78A6EB2C">
            <w:pPr>
              <w:spacing w:line="276" w:lineRule="auto"/>
              <w:rPr>
                <w:rFonts w:ascii="宋体"/>
                <w:szCs w:val="21"/>
              </w:rPr>
            </w:pPr>
          </w:p>
        </w:tc>
        <w:tc>
          <w:tcPr>
            <w:tcW w:w="1287" w:type="dxa"/>
          </w:tcPr>
          <w:p w14:paraId="31284DA3">
            <w:pPr>
              <w:spacing w:line="276" w:lineRule="auto"/>
              <w:rPr>
                <w:rFonts w:ascii="宋体"/>
                <w:szCs w:val="21"/>
              </w:rPr>
            </w:pPr>
          </w:p>
        </w:tc>
        <w:tc>
          <w:tcPr>
            <w:tcW w:w="1113" w:type="dxa"/>
          </w:tcPr>
          <w:p w14:paraId="3F1197ED">
            <w:pPr>
              <w:spacing w:line="276" w:lineRule="auto"/>
              <w:rPr>
                <w:rFonts w:ascii="宋体"/>
                <w:szCs w:val="21"/>
              </w:rPr>
            </w:pPr>
          </w:p>
        </w:tc>
        <w:tc>
          <w:tcPr>
            <w:tcW w:w="907" w:type="dxa"/>
          </w:tcPr>
          <w:p w14:paraId="315B58AD">
            <w:pPr>
              <w:spacing w:line="276" w:lineRule="auto"/>
              <w:rPr>
                <w:rFonts w:ascii="宋体"/>
                <w:szCs w:val="21"/>
              </w:rPr>
            </w:pPr>
          </w:p>
        </w:tc>
        <w:tc>
          <w:tcPr>
            <w:tcW w:w="1123" w:type="dxa"/>
          </w:tcPr>
          <w:p w14:paraId="59725419">
            <w:pPr>
              <w:spacing w:line="276" w:lineRule="auto"/>
              <w:rPr>
                <w:rFonts w:ascii="宋体"/>
                <w:szCs w:val="21"/>
              </w:rPr>
            </w:pPr>
          </w:p>
        </w:tc>
      </w:tr>
      <w:tr w14:paraId="34A7D613">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cantSplit/>
          <w:trHeight w:val="392" w:hRule="atLeast"/>
          <w:jc w:val="center"/>
        </w:trPr>
        <w:tc>
          <w:tcPr>
            <w:tcW w:w="675" w:type="dxa"/>
          </w:tcPr>
          <w:p w14:paraId="26358ECF">
            <w:pPr>
              <w:spacing w:line="276" w:lineRule="auto"/>
              <w:rPr>
                <w:rFonts w:ascii="宋体"/>
                <w:szCs w:val="21"/>
              </w:rPr>
            </w:pPr>
          </w:p>
        </w:tc>
        <w:tc>
          <w:tcPr>
            <w:tcW w:w="1267" w:type="dxa"/>
          </w:tcPr>
          <w:p w14:paraId="24A50B71">
            <w:pPr>
              <w:spacing w:line="276" w:lineRule="auto"/>
              <w:rPr>
                <w:rFonts w:ascii="宋体"/>
                <w:szCs w:val="21"/>
              </w:rPr>
            </w:pPr>
          </w:p>
        </w:tc>
        <w:tc>
          <w:tcPr>
            <w:tcW w:w="1105" w:type="dxa"/>
          </w:tcPr>
          <w:p w14:paraId="23337D4C">
            <w:pPr>
              <w:spacing w:line="276" w:lineRule="auto"/>
              <w:rPr>
                <w:rFonts w:ascii="宋体"/>
                <w:szCs w:val="21"/>
              </w:rPr>
            </w:pPr>
          </w:p>
        </w:tc>
        <w:tc>
          <w:tcPr>
            <w:tcW w:w="1538" w:type="dxa"/>
          </w:tcPr>
          <w:p w14:paraId="0841D090">
            <w:pPr>
              <w:spacing w:line="276" w:lineRule="auto"/>
              <w:rPr>
                <w:rFonts w:ascii="宋体"/>
                <w:szCs w:val="21"/>
              </w:rPr>
            </w:pPr>
          </w:p>
        </w:tc>
        <w:tc>
          <w:tcPr>
            <w:tcW w:w="1287" w:type="dxa"/>
          </w:tcPr>
          <w:p w14:paraId="1D093111">
            <w:pPr>
              <w:spacing w:line="276" w:lineRule="auto"/>
              <w:rPr>
                <w:rFonts w:ascii="宋体"/>
                <w:szCs w:val="21"/>
              </w:rPr>
            </w:pPr>
          </w:p>
        </w:tc>
        <w:tc>
          <w:tcPr>
            <w:tcW w:w="1113" w:type="dxa"/>
          </w:tcPr>
          <w:p w14:paraId="51CF878F">
            <w:pPr>
              <w:spacing w:line="276" w:lineRule="auto"/>
              <w:rPr>
                <w:rFonts w:ascii="宋体"/>
                <w:szCs w:val="21"/>
              </w:rPr>
            </w:pPr>
          </w:p>
        </w:tc>
        <w:tc>
          <w:tcPr>
            <w:tcW w:w="907" w:type="dxa"/>
          </w:tcPr>
          <w:p w14:paraId="6B195DDD">
            <w:pPr>
              <w:spacing w:line="276" w:lineRule="auto"/>
              <w:rPr>
                <w:rFonts w:ascii="宋体"/>
                <w:szCs w:val="21"/>
              </w:rPr>
            </w:pPr>
          </w:p>
        </w:tc>
        <w:tc>
          <w:tcPr>
            <w:tcW w:w="1123" w:type="dxa"/>
          </w:tcPr>
          <w:p w14:paraId="346B9BC8">
            <w:pPr>
              <w:spacing w:line="276" w:lineRule="auto"/>
              <w:rPr>
                <w:rFonts w:ascii="宋体"/>
                <w:szCs w:val="21"/>
              </w:rPr>
            </w:pPr>
          </w:p>
        </w:tc>
      </w:tr>
      <w:tr w14:paraId="1F435894">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cantSplit/>
          <w:trHeight w:val="392" w:hRule="atLeast"/>
          <w:jc w:val="center"/>
        </w:trPr>
        <w:tc>
          <w:tcPr>
            <w:tcW w:w="675" w:type="dxa"/>
          </w:tcPr>
          <w:p w14:paraId="2558C550">
            <w:pPr>
              <w:spacing w:line="276" w:lineRule="auto"/>
              <w:rPr>
                <w:rFonts w:ascii="宋体"/>
                <w:szCs w:val="21"/>
              </w:rPr>
            </w:pPr>
          </w:p>
        </w:tc>
        <w:tc>
          <w:tcPr>
            <w:tcW w:w="1267" w:type="dxa"/>
          </w:tcPr>
          <w:p w14:paraId="3C6DA75F">
            <w:pPr>
              <w:spacing w:line="276" w:lineRule="auto"/>
              <w:rPr>
                <w:rFonts w:ascii="宋体"/>
                <w:szCs w:val="21"/>
              </w:rPr>
            </w:pPr>
          </w:p>
        </w:tc>
        <w:tc>
          <w:tcPr>
            <w:tcW w:w="1105" w:type="dxa"/>
          </w:tcPr>
          <w:p w14:paraId="78F19007">
            <w:pPr>
              <w:spacing w:line="276" w:lineRule="auto"/>
              <w:rPr>
                <w:rFonts w:ascii="宋体"/>
                <w:szCs w:val="21"/>
              </w:rPr>
            </w:pPr>
          </w:p>
        </w:tc>
        <w:tc>
          <w:tcPr>
            <w:tcW w:w="1538" w:type="dxa"/>
          </w:tcPr>
          <w:p w14:paraId="1B50B017">
            <w:pPr>
              <w:spacing w:line="276" w:lineRule="auto"/>
              <w:rPr>
                <w:rFonts w:ascii="宋体"/>
                <w:szCs w:val="21"/>
              </w:rPr>
            </w:pPr>
          </w:p>
        </w:tc>
        <w:tc>
          <w:tcPr>
            <w:tcW w:w="1287" w:type="dxa"/>
          </w:tcPr>
          <w:p w14:paraId="7FB6FDA4">
            <w:pPr>
              <w:spacing w:line="276" w:lineRule="auto"/>
              <w:rPr>
                <w:rFonts w:ascii="宋体"/>
                <w:szCs w:val="21"/>
              </w:rPr>
            </w:pPr>
          </w:p>
        </w:tc>
        <w:tc>
          <w:tcPr>
            <w:tcW w:w="1113" w:type="dxa"/>
          </w:tcPr>
          <w:p w14:paraId="1D27D746">
            <w:pPr>
              <w:spacing w:line="276" w:lineRule="auto"/>
              <w:rPr>
                <w:rFonts w:ascii="宋体"/>
                <w:szCs w:val="21"/>
              </w:rPr>
            </w:pPr>
          </w:p>
        </w:tc>
        <w:tc>
          <w:tcPr>
            <w:tcW w:w="907" w:type="dxa"/>
          </w:tcPr>
          <w:p w14:paraId="142FC9F1">
            <w:pPr>
              <w:spacing w:line="276" w:lineRule="auto"/>
              <w:rPr>
                <w:rFonts w:ascii="宋体"/>
                <w:szCs w:val="21"/>
              </w:rPr>
            </w:pPr>
          </w:p>
        </w:tc>
        <w:tc>
          <w:tcPr>
            <w:tcW w:w="1123" w:type="dxa"/>
          </w:tcPr>
          <w:p w14:paraId="6B9C8E3B">
            <w:pPr>
              <w:spacing w:line="276" w:lineRule="auto"/>
              <w:rPr>
                <w:rFonts w:ascii="宋体"/>
                <w:szCs w:val="21"/>
              </w:rPr>
            </w:pPr>
          </w:p>
        </w:tc>
      </w:tr>
      <w:tr w14:paraId="191A6D2C">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cantSplit/>
          <w:trHeight w:val="423" w:hRule="atLeast"/>
          <w:jc w:val="center"/>
        </w:trPr>
        <w:tc>
          <w:tcPr>
            <w:tcW w:w="675" w:type="dxa"/>
          </w:tcPr>
          <w:p w14:paraId="3ADE4EC6">
            <w:pPr>
              <w:spacing w:line="276" w:lineRule="auto"/>
              <w:rPr>
                <w:rFonts w:ascii="宋体"/>
                <w:szCs w:val="21"/>
              </w:rPr>
            </w:pPr>
          </w:p>
        </w:tc>
        <w:tc>
          <w:tcPr>
            <w:tcW w:w="1267" w:type="dxa"/>
          </w:tcPr>
          <w:p w14:paraId="1A052E5D">
            <w:pPr>
              <w:spacing w:line="276" w:lineRule="auto"/>
              <w:rPr>
                <w:rFonts w:ascii="宋体"/>
                <w:szCs w:val="21"/>
              </w:rPr>
            </w:pPr>
          </w:p>
        </w:tc>
        <w:tc>
          <w:tcPr>
            <w:tcW w:w="1105" w:type="dxa"/>
          </w:tcPr>
          <w:p w14:paraId="0E90C370">
            <w:pPr>
              <w:spacing w:line="276" w:lineRule="auto"/>
              <w:rPr>
                <w:rFonts w:ascii="宋体"/>
                <w:szCs w:val="21"/>
              </w:rPr>
            </w:pPr>
          </w:p>
        </w:tc>
        <w:tc>
          <w:tcPr>
            <w:tcW w:w="1538" w:type="dxa"/>
          </w:tcPr>
          <w:p w14:paraId="3F7F1D4C">
            <w:pPr>
              <w:spacing w:line="276" w:lineRule="auto"/>
              <w:rPr>
                <w:rFonts w:ascii="宋体"/>
                <w:szCs w:val="21"/>
              </w:rPr>
            </w:pPr>
          </w:p>
        </w:tc>
        <w:tc>
          <w:tcPr>
            <w:tcW w:w="1287" w:type="dxa"/>
          </w:tcPr>
          <w:p w14:paraId="398C71FB">
            <w:pPr>
              <w:spacing w:line="276" w:lineRule="auto"/>
              <w:rPr>
                <w:rFonts w:ascii="宋体"/>
                <w:szCs w:val="21"/>
              </w:rPr>
            </w:pPr>
          </w:p>
        </w:tc>
        <w:tc>
          <w:tcPr>
            <w:tcW w:w="1113" w:type="dxa"/>
          </w:tcPr>
          <w:p w14:paraId="084BB348">
            <w:pPr>
              <w:spacing w:line="276" w:lineRule="auto"/>
              <w:rPr>
                <w:rFonts w:ascii="宋体"/>
                <w:szCs w:val="21"/>
              </w:rPr>
            </w:pPr>
          </w:p>
        </w:tc>
        <w:tc>
          <w:tcPr>
            <w:tcW w:w="907" w:type="dxa"/>
          </w:tcPr>
          <w:p w14:paraId="287B33AF">
            <w:pPr>
              <w:spacing w:line="276" w:lineRule="auto"/>
              <w:rPr>
                <w:rFonts w:ascii="宋体"/>
                <w:szCs w:val="21"/>
              </w:rPr>
            </w:pPr>
          </w:p>
        </w:tc>
        <w:tc>
          <w:tcPr>
            <w:tcW w:w="1123" w:type="dxa"/>
          </w:tcPr>
          <w:p w14:paraId="57BE09E6">
            <w:pPr>
              <w:spacing w:line="276" w:lineRule="auto"/>
              <w:rPr>
                <w:rFonts w:ascii="宋体"/>
                <w:szCs w:val="21"/>
              </w:rPr>
            </w:pPr>
          </w:p>
        </w:tc>
      </w:tr>
    </w:tbl>
    <w:p w14:paraId="6465EC7D">
      <w:pPr>
        <w:pStyle w:val="8"/>
        <w:spacing w:line="276" w:lineRule="auto"/>
        <w:rPr>
          <w:b w:val="0"/>
          <w:bCs w:val="0"/>
          <w:sz w:val="21"/>
          <w:szCs w:val="21"/>
        </w:rPr>
      </w:pPr>
      <w:r>
        <w:rPr>
          <w:rFonts w:hint="eastAsia"/>
          <w:b w:val="0"/>
          <w:bCs w:val="0"/>
          <w:sz w:val="21"/>
          <w:szCs w:val="21"/>
        </w:rPr>
        <w:t>（特别提示：以上表格仅供参考。投标人须按本招标文件评标信息中“同类项目业绩”这一评分因素要求，提供证明资料）</w:t>
      </w:r>
    </w:p>
    <w:p w14:paraId="5C5C13BD">
      <w:pPr>
        <w:pStyle w:val="4"/>
        <w:spacing w:line="276" w:lineRule="auto"/>
        <w:jc w:val="center"/>
        <w:rPr>
          <w:rFonts w:ascii="黑体" w:eastAsia="黑体"/>
          <w:b w:val="0"/>
          <w:kern w:val="0"/>
          <w:sz w:val="24"/>
          <w:szCs w:val="24"/>
        </w:rPr>
      </w:pPr>
      <w:bookmarkStart w:id="45" w:name="_Toc59916729"/>
      <w:r>
        <w:rPr>
          <w:rFonts w:hint="eastAsia" w:ascii="黑体" w:eastAsia="黑体"/>
          <w:b w:val="0"/>
          <w:kern w:val="0"/>
          <w:sz w:val="24"/>
          <w:szCs w:val="24"/>
        </w:rPr>
        <w:t>六、</w:t>
      </w:r>
      <w:bookmarkEnd w:id="45"/>
      <w:r>
        <w:rPr>
          <w:rFonts w:hint="eastAsia" w:ascii="黑体" w:eastAsia="黑体"/>
          <w:b w:val="0"/>
          <w:kern w:val="0"/>
          <w:sz w:val="24"/>
          <w:szCs w:val="24"/>
        </w:rPr>
        <w:t>履约评价</w:t>
      </w:r>
    </w:p>
    <w:tbl>
      <w:tblPr>
        <w:tblStyle w:val="42"/>
        <w:tblW w:w="9015" w:type="dxa"/>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675"/>
        <w:gridCol w:w="1267"/>
        <w:gridCol w:w="1105"/>
        <w:gridCol w:w="1538"/>
        <w:gridCol w:w="1287"/>
        <w:gridCol w:w="1113"/>
        <w:gridCol w:w="907"/>
        <w:gridCol w:w="1123"/>
      </w:tblGrid>
      <w:tr w14:paraId="69250850">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756" w:hRule="atLeast"/>
          <w:jc w:val="center"/>
        </w:trPr>
        <w:tc>
          <w:tcPr>
            <w:tcW w:w="675" w:type="dxa"/>
            <w:vAlign w:val="center"/>
          </w:tcPr>
          <w:p w14:paraId="32D5574F">
            <w:pPr>
              <w:spacing w:line="276" w:lineRule="auto"/>
              <w:jc w:val="center"/>
              <w:rPr>
                <w:rFonts w:ascii="宋体"/>
                <w:szCs w:val="21"/>
              </w:rPr>
            </w:pPr>
            <w:r>
              <w:rPr>
                <w:rFonts w:hint="eastAsia" w:ascii="宋体" w:hAnsi="宋体"/>
                <w:szCs w:val="21"/>
              </w:rPr>
              <w:t>序号</w:t>
            </w:r>
          </w:p>
        </w:tc>
        <w:tc>
          <w:tcPr>
            <w:tcW w:w="1267" w:type="dxa"/>
            <w:vAlign w:val="center"/>
          </w:tcPr>
          <w:p w14:paraId="0F137B26">
            <w:pPr>
              <w:spacing w:line="276" w:lineRule="auto"/>
              <w:jc w:val="center"/>
              <w:rPr>
                <w:rFonts w:ascii="宋体"/>
                <w:szCs w:val="21"/>
              </w:rPr>
            </w:pPr>
            <w:r>
              <w:rPr>
                <w:rFonts w:hint="eastAsia" w:ascii="宋体" w:hAnsi="宋体"/>
                <w:szCs w:val="21"/>
              </w:rPr>
              <w:t>采购人</w:t>
            </w:r>
          </w:p>
        </w:tc>
        <w:tc>
          <w:tcPr>
            <w:tcW w:w="1105" w:type="dxa"/>
            <w:vAlign w:val="center"/>
          </w:tcPr>
          <w:p w14:paraId="57FE7809">
            <w:pPr>
              <w:spacing w:line="276" w:lineRule="auto"/>
              <w:jc w:val="center"/>
              <w:rPr>
                <w:rFonts w:ascii="宋体"/>
                <w:szCs w:val="21"/>
              </w:rPr>
            </w:pPr>
            <w:r>
              <w:rPr>
                <w:rFonts w:hint="eastAsia" w:ascii="宋体" w:hAnsi="宋体"/>
                <w:szCs w:val="21"/>
              </w:rPr>
              <w:t>项目名称</w:t>
            </w:r>
          </w:p>
        </w:tc>
        <w:tc>
          <w:tcPr>
            <w:tcW w:w="1538" w:type="dxa"/>
            <w:vAlign w:val="center"/>
          </w:tcPr>
          <w:p w14:paraId="2F0D9AF5">
            <w:pPr>
              <w:spacing w:line="276" w:lineRule="auto"/>
              <w:jc w:val="center"/>
              <w:rPr>
                <w:rFonts w:ascii="宋体"/>
                <w:szCs w:val="21"/>
              </w:rPr>
            </w:pPr>
            <w:r>
              <w:rPr>
                <w:rFonts w:hint="eastAsia" w:ascii="宋体"/>
                <w:szCs w:val="21"/>
              </w:rPr>
              <w:t>合同签订时间</w:t>
            </w:r>
          </w:p>
        </w:tc>
        <w:tc>
          <w:tcPr>
            <w:tcW w:w="1287" w:type="dxa"/>
            <w:vAlign w:val="center"/>
          </w:tcPr>
          <w:p w14:paraId="134710F6">
            <w:pPr>
              <w:spacing w:line="276" w:lineRule="auto"/>
              <w:jc w:val="center"/>
              <w:rPr>
                <w:rFonts w:ascii="宋体"/>
                <w:szCs w:val="21"/>
              </w:rPr>
            </w:pPr>
            <w:r>
              <w:rPr>
                <w:rFonts w:hint="eastAsia" w:ascii="宋体" w:hAnsi="宋体"/>
                <w:szCs w:val="21"/>
              </w:rPr>
              <w:t>完成时间</w:t>
            </w:r>
          </w:p>
        </w:tc>
        <w:tc>
          <w:tcPr>
            <w:tcW w:w="1113" w:type="dxa"/>
            <w:vAlign w:val="center"/>
          </w:tcPr>
          <w:p w14:paraId="26610505">
            <w:pPr>
              <w:spacing w:line="276" w:lineRule="auto"/>
              <w:jc w:val="center"/>
              <w:rPr>
                <w:rFonts w:ascii="宋体"/>
                <w:szCs w:val="21"/>
              </w:rPr>
            </w:pPr>
            <w:r>
              <w:rPr>
                <w:rFonts w:hint="eastAsia" w:ascii="宋体" w:hAnsi="宋体"/>
                <w:szCs w:val="21"/>
              </w:rPr>
              <w:t>服务情况</w:t>
            </w:r>
          </w:p>
        </w:tc>
        <w:tc>
          <w:tcPr>
            <w:tcW w:w="907" w:type="dxa"/>
            <w:vAlign w:val="center"/>
          </w:tcPr>
          <w:p w14:paraId="2BEBC7CD">
            <w:pPr>
              <w:spacing w:line="276" w:lineRule="auto"/>
              <w:jc w:val="center"/>
              <w:rPr>
                <w:rFonts w:ascii="宋体"/>
                <w:szCs w:val="21"/>
              </w:rPr>
            </w:pPr>
            <w:r>
              <w:rPr>
                <w:rFonts w:hint="eastAsia" w:ascii="宋体" w:hAnsi="宋体"/>
                <w:szCs w:val="21"/>
              </w:rPr>
              <w:t>联系人</w:t>
            </w:r>
          </w:p>
        </w:tc>
        <w:tc>
          <w:tcPr>
            <w:tcW w:w="1123" w:type="dxa"/>
            <w:vAlign w:val="center"/>
          </w:tcPr>
          <w:p w14:paraId="666A2B3B">
            <w:pPr>
              <w:spacing w:line="276" w:lineRule="auto"/>
              <w:jc w:val="center"/>
              <w:rPr>
                <w:rFonts w:ascii="宋体"/>
                <w:szCs w:val="21"/>
              </w:rPr>
            </w:pPr>
            <w:r>
              <w:rPr>
                <w:rFonts w:hint="eastAsia" w:ascii="宋体" w:hAnsi="宋体"/>
                <w:szCs w:val="21"/>
              </w:rPr>
              <w:t>联系电话</w:t>
            </w:r>
          </w:p>
        </w:tc>
      </w:tr>
      <w:tr w14:paraId="2E6F02B7">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cantSplit/>
          <w:trHeight w:val="392" w:hRule="atLeast"/>
          <w:jc w:val="center"/>
        </w:trPr>
        <w:tc>
          <w:tcPr>
            <w:tcW w:w="675" w:type="dxa"/>
          </w:tcPr>
          <w:p w14:paraId="2B456C6D">
            <w:pPr>
              <w:spacing w:line="276" w:lineRule="auto"/>
              <w:rPr>
                <w:rFonts w:ascii="宋体"/>
                <w:szCs w:val="21"/>
              </w:rPr>
            </w:pPr>
          </w:p>
        </w:tc>
        <w:tc>
          <w:tcPr>
            <w:tcW w:w="1267" w:type="dxa"/>
          </w:tcPr>
          <w:p w14:paraId="292748CE">
            <w:pPr>
              <w:spacing w:line="276" w:lineRule="auto"/>
              <w:rPr>
                <w:rFonts w:ascii="宋体"/>
                <w:szCs w:val="21"/>
              </w:rPr>
            </w:pPr>
          </w:p>
        </w:tc>
        <w:tc>
          <w:tcPr>
            <w:tcW w:w="1105" w:type="dxa"/>
          </w:tcPr>
          <w:p w14:paraId="53AC4608">
            <w:pPr>
              <w:spacing w:line="276" w:lineRule="auto"/>
              <w:rPr>
                <w:rFonts w:ascii="宋体"/>
                <w:szCs w:val="21"/>
              </w:rPr>
            </w:pPr>
          </w:p>
        </w:tc>
        <w:tc>
          <w:tcPr>
            <w:tcW w:w="1538" w:type="dxa"/>
          </w:tcPr>
          <w:p w14:paraId="0E9ECA37">
            <w:pPr>
              <w:spacing w:line="276" w:lineRule="auto"/>
              <w:rPr>
                <w:rFonts w:ascii="宋体"/>
                <w:szCs w:val="21"/>
              </w:rPr>
            </w:pPr>
          </w:p>
        </w:tc>
        <w:tc>
          <w:tcPr>
            <w:tcW w:w="1287" w:type="dxa"/>
          </w:tcPr>
          <w:p w14:paraId="2310F7C9">
            <w:pPr>
              <w:spacing w:line="276" w:lineRule="auto"/>
              <w:rPr>
                <w:rFonts w:ascii="宋体"/>
                <w:szCs w:val="21"/>
              </w:rPr>
            </w:pPr>
          </w:p>
        </w:tc>
        <w:tc>
          <w:tcPr>
            <w:tcW w:w="1113" w:type="dxa"/>
          </w:tcPr>
          <w:p w14:paraId="5B434B63">
            <w:pPr>
              <w:spacing w:line="276" w:lineRule="auto"/>
              <w:rPr>
                <w:rFonts w:ascii="宋体"/>
                <w:szCs w:val="21"/>
              </w:rPr>
            </w:pPr>
          </w:p>
        </w:tc>
        <w:tc>
          <w:tcPr>
            <w:tcW w:w="907" w:type="dxa"/>
          </w:tcPr>
          <w:p w14:paraId="153E7F21">
            <w:pPr>
              <w:spacing w:line="276" w:lineRule="auto"/>
              <w:rPr>
                <w:rFonts w:ascii="宋体"/>
                <w:szCs w:val="21"/>
              </w:rPr>
            </w:pPr>
          </w:p>
        </w:tc>
        <w:tc>
          <w:tcPr>
            <w:tcW w:w="1123" w:type="dxa"/>
          </w:tcPr>
          <w:p w14:paraId="372CE66A">
            <w:pPr>
              <w:spacing w:line="276" w:lineRule="auto"/>
              <w:rPr>
                <w:rFonts w:ascii="宋体"/>
                <w:szCs w:val="21"/>
              </w:rPr>
            </w:pPr>
          </w:p>
        </w:tc>
      </w:tr>
      <w:tr w14:paraId="78640618">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cantSplit/>
          <w:trHeight w:val="392" w:hRule="atLeast"/>
          <w:jc w:val="center"/>
        </w:trPr>
        <w:tc>
          <w:tcPr>
            <w:tcW w:w="675" w:type="dxa"/>
          </w:tcPr>
          <w:p w14:paraId="55E5A2E2">
            <w:pPr>
              <w:spacing w:line="276" w:lineRule="auto"/>
              <w:rPr>
                <w:rFonts w:ascii="宋体"/>
                <w:szCs w:val="21"/>
              </w:rPr>
            </w:pPr>
          </w:p>
        </w:tc>
        <w:tc>
          <w:tcPr>
            <w:tcW w:w="1267" w:type="dxa"/>
          </w:tcPr>
          <w:p w14:paraId="55DB81E6">
            <w:pPr>
              <w:spacing w:line="276" w:lineRule="auto"/>
              <w:rPr>
                <w:rFonts w:ascii="宋体"/>
                <w:szCs w:val="21"/>
              </w:rPr>
            </w:pPr>
          </w:p>
        </w:tc>
        <w:tc>
          <w:tcPr>
            <w:tcW w:w="1105" w:type="dxa"/>
          </w:tcPr>
          <w:p w14:paraId="3C9B3E5E">
            <w:pPr>
              <w:spacing w:line="276" w:lineRule="auto"/>
              <w:rPr>
                <w:rFonts w:ascii="宋体"/>
                <w:szCs w:val="21"/>
              </w:rPr>
            </w:pPr>
          </w:p>
        </w:tc>
        <w:tc>
          <w:tcPr>
            <w:tcW w:w="1538" w:type="dxa"/>
          </w:tcPr>
          <w:p w14:paraId="54E0918A">
            <w:pPr>
              <w:spacing w:line="276" w:lineRule="auto"/>
              <w:rPr>
                <w:rFonts w:ascii="宋体"/>
                <w:szCs w:val="21"/>
              </w:rPr>
            </w:pPr>
          </w:p>
        </w:tc>
        <w:tc>
          <w:tcPr>
            <w:tcW w:w="1287" w:type="dxa"/>
          </w:tcPr>
          <w:p w14:paraId="2150D80A">
            <w:pPr>
              <w:spacing w:line="276" w:lineRule="auto"/>
              <w:rPr>
                <w:rFonts w:ascii="宋体"/>
                <w:szCs w:val="21"/>
              </w:rPr>
            </w:pPr>
          </w:p>
        </w:tc>
        <w:tc>
          <w:tcPr>
            <w:tcW w:w="1113" w:type="dxa"/>
          </w:tcPr>
          <w:p w14:paraId="0F5F184B">
            <w:pPr>
              <w:spacing w:line="276" w:lineRule="auto"/>
              <w:rPr>
                <w:rFonts w:ascii="宋体"/>
                <w:szCs w:val="21"/>
              </w:rPr>
            </w:pPr>
          </w:p>
        </w:tc>
        <w:tc>
          <w:tcPr>
            <w:tcW w:w="907" w:type="dxa"/>
          </w:tcPr>
          <w:p w14:paraId="6312D953">
            <w:pPr>
              <w:spacing w:line="276" w:lineRule="auto"/>
              <w:rPr>
                <w:rFonts w:ascii="宋体"/>
                <w:szCs w:val="21"/>
              </w:rPr>
            </w:pPr>
          </w:p>
        </w:tc>
        <w:tc>
          <w:tcPr>
            <w:tcW w:w="1123" w:type="dxa"/>
          </w:tcPr>
          <w:p w14:paraId="56177B7A">
            <w:pPr>
              <w:spacing w:line="276" w:lineRule="auto"/>
              <w:rPr>
                <w:rFonts w:ascii="宋体"/>
                <w:szCs w:val="21"/>
              </w:rPr>
            </w:pPr>
          </w:p>
        </w:tc>
      </w:tr>
      <w:tr w14:paraId="5694C40B">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cantSplit/>
          <w:trHeight w:val="392" w:hRule="atLeast"/>
          <w:jc w:val="center"/>
        </w:trPr>
        <w:tc>
          <w:tcPr>
            <w:tcW w:w="675" w:type="dxa"/>
          </w:tcPr>
          <w:p w14:paraId="7757B68A">
            <w:pPr>
              <w:spacing w:line="276" w:lineRule="auto"/>
              <w:rPr>
                <w:rFonts w:ascii="宋体"/>
                <w:szCs w:val="21"/>
              </w:rPr>
            </w:pPr>
          </w:p>
        </w:tc>
        <w:tc>
          <w:tcPr>
            <w:tcW w:w="1267" w:type="dxa"/>
          </w:tcPr>
          <w:p w14:paraId="599F4AFE">
            <w:pPr>
              <w:spacing w:line="276" w:lineRule="auto"/>
              <w:rPr>
                <w:rFonts w:ascii="宋体"/>
                <w:szCs w:val="21"/>
              </w:rPr>
            </w:pPr>
          </w:p>
        </w:tc>
        <w:tc>
          <w:tcPr>
            <w:tcW w:w="1105" w:type="dxa"/>
          </w:tcPr>
          <w:p w14:paraId="279EC3FF">
            <w:pPr>
              <w:spacing w:line="276" w:lineRule="auto"/>
              <w:rPr>
                <w:rFonts w:ascii="宋体"/>
                <w:szCs w:val="21"/>
              </w:rPr>
            </w:pPr>
          </w:p>
        </w:tc>
        <w:tc>
          <w:tcPr>
            <w:tcW w:w="1538" w:type="dxa"/>
          </w:tcPr>
          <w:p w14:paraId="58CA4A7F">
            <w:pPr>
              <w:spacing w:line="276" w:lineRule="auto"/>
              <w:rPr>
                <w:rFonts w:ascii="宋体"/>
                <w:szCs w:val="21"/>
              </w:rPr>
            </w:pPr>
          </w:p>
        </w:tc>
        <w:tc>
          <w:tcPr>
            <w:tcW w:w="1287" w:type="dxa"/>
          </w:tcPr>
          <w:p w14:paraId="0F351746">
            <w:pPr>
              <w:spacing w:line="276" w:lineRule="auto"/>
              <w:rPr>
                <w:rFonts w:ascii="宋体"/>
                <w:szCs w:val="21"/>
              </w:rPr>
            </w:pPr>
          </w:p>
        </w:tc>
        <w:tc>
          <w:tcPr>
            <w:tcW w:w="1113" w:type="dxa"/>
          </w:tcPr>
          <w:p w14:paraId="3D97D6AD">
            <w:pPr>
              <w:spacing w:line="276" w:lineRule="auto"/>
              <w:rPr>
                <w:rFonts w:ascii="宋体"/>
                <w:szCs w:val="21"/>
              </w:rPr>
            </w:pPr>
          </w:p>
        </w:tc>
        <w:tc>
          <w:tcPr>
            <w:tcW w:w="907" w:type="dxa"/>
          </w:tcPr>
          <w:p w14:paraId="349B57D7">
            <w:pPr>
              <w:spacing w:line="276" w:lineRule="auto"/>
              <w:rPr>
                <w:rFonts w:ascii="宋体"/>
                <w:szCs w:val="21"/>
              </w:rPr>
            </w:pPr>
          </w:p>
        </w:tc>
        <w:tc>
          <w:tcPr>
            <w:tcW w:w="1123" w:type="dxa"/>
          </w:tcPr>
          <w:p w14:paraId="55DEACFE">
            <w:pPr>
              <w:spacing w:line="276" w:lineRule="auto"/>
              <w:rPr>
                <w:rFonts w:ascii="宋体"/>
                <w:szCs w:val="21"/>
              </w:rPr>
            </w:pPr>
          </w:p>
        </w:tc>
      </w:tr>
      <w:tr w14:paraId="5CE06664">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cantSplit/>
          <w:trHeight w:val="392" w:hRule="atLeast"/>
          <w:jc w:val="center"/>
        </w:trPr>
        <w:tc>
          <w:tcPr>
            <w:tcW w:w="675" w:type="dxa"/>
          </w:tcPr>
          <w:p w14:paraId="542D668A">
            <w:pPr>
              <w:spacing w:line="276" w:lineRule="auto"/>
              <w:rPr>
                <w:rFonts w:ascii="宋体"/>
                <w:szCs w:val="21"/>
              </w:rPr>
            </w:pPr>
          </w:p>
        </w:tc>
        <w:tc>
          <w:tcPr>
            <w:tcW w:w="1267" w:type="dxa"/>
          </w:tcPr>
          <w:p w14:paraId="2978A5DB">
            <w:pPr>
              <w:spacing w:line="276" w:lineRule="auto"/>
              <w:rPr>
                <w:rFonts w:ascii="宋体"/>
                <w:szCs w:val="21"/>
              </w:rPr>
            </w:pPr>
          </w:p>
        </w:tc>
        <w:tc>
          <w:tcPr>
            <w:tcW w:w="1105" w:type="dxa"/>
          </w:tcPr>
          <w:p w14:paraId="150D18EB">
            <w:pPr>
              <w:spacing w:line="276" w:lineRule="auto"/>
              <w:rPr>
                <w:rFonts w:ascii="宋体"/>
                <w:szCs w:val="21"/>
              </w:rPr>
            </w:pPr>
          </w:p>
        </w:tc>
        <w:tc>
          <w:tcPr>
            <w:tcW w:w="1538" w:type="dxa"/>
          </w:tcPr>
          <w:p w14:paraId="57DBE566">
            <w:pPr>
              <w:spacing w:line="276" w:lineRule="auto"/>
              <w:rPr>
                <w:rFonts w:ascii="宋体"/>
                <w:szCs w:val="21"/>
              </w:rPr>
            </w:pPr>
          </w:p>
        </w:tc>
        <w:tc>
          <w:tcPr>
            <w:tcW w:w="1287" w:type="dxa"/>
          </w:tcPr>
          <w:p w14:paraId="3ED2DDEE">
            <w:pPr>
              <w:spacing w:line="276" w:lineRule="auto"/>
              <w:rPr>
                <w:rFonts w:ascii="宋体"/>
                <w:szCs w:val="21"/>
              </w:rPr>
            </w:pPr>
          </w:p>
        </w:tc>
        <w:tc>
          <w:tcPr>
            <w:tcW w:w="1113" w:type="dxa"/>
          </w:tcPr>
          <w:p w14:paraId="096D656C">
            <w:pPr>
              <w:spacing w:line="276" w:lineRule="auto"/>
              <w:rPr>
                <w:rFonts w:ascii="宋体"/>
                <w:szCs w:val="21"/>
              </w:rPr>
            </w:pPr>
          </w:p>
        </w:tc>
        <w:tc>
          <w:tcPr>
            <w:tcW w:w="907" w:type="dxa"/>
          </w:tcPr>
          <w:p w14:paraId="0EE91CDE">
            <w:pPr>
              <w:spacing w:line="276" w:lineRule="auto"/>
              <w:rPr>
                <w:rFonts w:ascii="宋体"/>
                <w:szCs w:val="21"/>
              </w:rPr>
            </w:pPr>
          </w:p>
        </w:tc>
        <w:tc>
          <w:tcPr>
            <w:tcW w:w="1123" w:type="dxa"/>
          </w:tcPr>
          <w:p w14:paraId="40F92A2F">
            <w:pPr>
              <w:spacing w:line="276" w:lineRule="auto"/>
              <w:rPr>
                <w:rFonts w:ascii="宋体"/>
                <w:szCs w:val="21"/>
              </w:rPr>
            </w:pPr>
          </w:p>
        </w:tc>
      </w:tr>
      <w:tr w14:paraId="6AEF0ED1">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cantSplit/>
          <w:trHeight w:val="423" w:hRule="atLeast"/>
          <w:jc w:val="center"/>
        </w:trPr>
        <w:tc>
          <w:tcPr>
            <w:tcW w:w="675" w:type="dxa"/>
          </w:tcPr>
          <w:p w14:paraId="5D6A6C72">
            <w:pPr>
              <w:spacing w:line="276" w:lineRule="auto"/>
              <w:rPr>
                <w:rFonts w:ascii="宋体"/>
                <w:szCs w:val="21"/>
              </w:rPr>
            </w:pPr>
          </w:p>
        </w:tc>
        <w:tc>
          <w:tcPr>
            <w:tcW w:w="1267" w:type="dxa"/>
          </w:tcPr>
          <w:p w14:paraId="2EB1A524">
            <w:pPr>
              <w:spacing w:line="276" w:lineRule="auto"/>
              <w:rPr>
                <w:rFonts w:ascii="宋体"/>
                <w:szCs w:val="21"/>
              </w:rPr>
            </w:pPr>
          </w:p>
        </w:tc>
        <w:tc>
          <w:tcPr>
            <w:tcW w:w="1105" w:type="dxa"/>
          </w:tcPr>
          <w:p w14:paraId="651BDFD3">
            <w:pPr>
              <w:spacing w:line="276" w:lineRule="auto"/>
              <w:rPr>
                <w:rFonts w:ascii="宋体"/>
                <w:szCs w:val="21"/>
              </w:rPr>
            </w:pPr>
          </w:p>
        </w:tc>
        <w:tc>
          <w:tcPr>
            <w:tcW w:w="1538" w:type="dxa"/>
          </w:tcPr>
          <w:p w14:paraId="151A1975">
            <w:pPr>
              <w:spacing w:line="276" w:lineRule="auto"/>
              <w:rPr>
                <w:rFonts w:ascii="宋体"/>
                <w:szCs w:val="21"/>
              </w:rPr>
            </w:pPr>
          </w:p>
        </w:tc>
        <w:tc>
          <w:tcPr>
            <w:tcW w:w="1287" w:type="dxa"/>
          </w:tcPr>
          <w:p w14:paraId="2CBC92C3">
            <w:pPr>
              <w:spacing w:line="276" w:lineRule="auto"/>
              <w:rPr>
                <w:rFonts w:ascii="宋体"/>
                <w:szCs w:val="21"/>
              </w:rPr>
            </w:pPr>
          </w:p>
        </w:tc>
        <w:tc>
          <w:tcPr>
            <w:tcW w:w="1113" w:type="dxa"/>
          </w:tcPr>
          <w:p w14:paraId="02EEA7F3">
            <w:pPr>
              <w:spacing w:line="276" w:lineRule="auto"/>
              <w:rPr>
                <w:rFonts w:ascii="宋体"/>
                <w:szCs w:val="21"/>
              </w:rPr>
            </w:pPr>
          </w:p>
        </w:tc>
        <w:tc>
          <w:tcPr>
            <w:tcW w:w="907" w:type="dxa"/>
          </w:tcPr>
          <w:p w14:paraId="68A92FC4">
            <w:pPr>
              <w:spacing w:line="276" w:lineRule="auto"/>
              <w:rPr>
                <w:rFonts w:ascii="宋体"/>
                <w:szCs w:val="21"/>
              </w:rPr>
            </w:pPr>
          </w:p>
        </w:tc>
        <w:tc>
          <w:tcPr>
            <w:tcW w:w="1123" w:type="dxa"/>
          </w:tcPr>
          <w:p w14:paraId="4C2A43BD">
            <w:pPr>
              <w:spacing w:line="276" w:lineRule="auto"/>
              <w:rPr>
                <w:rFonts w:ascii="宋体"/>
                <w:szCs w:val="21"/>
              </w:rPr>
            </w:pPr>
          </w:p>
        </w:tc>
      </w:tr>
    </w:tbl>
    <w:p w14:paraId="1FB8B62E">
      <w:pPr>
        <w:pStyle w:val="8"/>
        <w:spacing w:line="276" w:lineRule="auto"/>
        <w:rPr>
          <w:b w:val="0"/>
          <w:bCs w:val="0"/>
          <w:sz w:val="21"/>
          <w:szCs w:val="21"/>
        </w:rPr>
      </w:pPr>
      <w:r>
        <w:rPr>
          <w:rFonts w:hint="eastAsia"/>
          <w:b w:val="0"/>
          <w:bCs w:val="0"/>
          <w:sz w:val="21"/>
          <w:szCs w:val="21"/>
        </w:rPr>
        <w:t>（特别提示：以上表格仅供参考。投标人须按本招标文件评标信息中“履约评价”这一评分因素要求，提供证明资料）</w:t>
      </w:r>
    </w:p>
    <w:p w14:paraId="6D1E40F7">
      <w:pPr>
        <w:pStyle w:val="4"/>
        <w:spacing w:line="276" w:lineRule="auto"/>
        <w:jc w:val="center"/>
        <w:rPr>
          <w:rFonts w:ascii="黑体" w:eastAsia="黑体"/>
          <w:b w:val="0"/>
          <w:kern w:val="0"/>
          <w:sz w:val="24"/>
          <w:szCs w:val="24"/>
        </w:rPr>
      </w:pPr>
      <w:r>
        <w:rPr>
          <w:rFonts w:hint="eastAsia" w:ascii="黑体"/>
          <w:b w:val="0"/>
          <w:kern w:val="0"/>
          <w:sz w:val="24"/>
          <w:szCs w:val="24"/>
          <w:lang w:val="en-US" w:eastAsia="zh-CN"/>
        </w:rPr>
        <w:t>七</w:t>
      </w:r>
      <w:r>
        <w:rPr>
          <w:rFonts w:hint="eastAsia" w:ascii="黑体" w:eastAsia="黑体"/>
          <w:b w:val="0"/>
          <w:kern w:val="0"/>
          <w:sz w:val="24"/>
          <w:szCs w:val="24"/>
        </w:rPr>
        <w:t>、认证情况</w:t>
      </w:r>
    </w:p>
    <w:tbl>
      <w:tblPr>
        <w:tblStyle w:val="42"/>
        <w:tblW w:w="8529" w:type="dxa"/>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1067"/>
        <w:gridCol w:w="2002"/>
        <w:gridCol w:w="1745"/>
        <w:gridCol w:w="1861"/>
        <w:gridCol w:w="1854"/>
      </w:tblGrid>
      <w:tr w14:paraId="57101C47">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469" w:hRule="atLeast"/>
          <w:jc w:val="center"/>
        </w:trPr>
        <w:tc>
          <w:tcPr>
            <w:tcW w:w="1067" w:type="dxa"/>
            <w:vAlign w:val="center"/>
          </w:tcPr>
          <w:p w14:paraId="56E54EAD">
            <w:pPr>
              <w:spacing w:line="276" w:lineRule="auto"/>
              <w:jc w:val="center"/>
              <w:rPr>
                <w:rFonts w:ascii="宋体"/>
                <w:szCs w:val="21"/>
              </w:rPr>
            </w:pPr>
            <w:r>
              <w:rPr>
                <w:rFonts w:hint="eastAsia" w:ascii="宋体" w:hAnsi="宋体"/>
                <w:szCs w:val="21"/>
              </w:rPr>
              <w:t>序号</w:t>
            </w:r>
          </w:p>
        </w:tc>
        <w:tc>
          <w:tcPr>
            <w:tcW w:w="2002" w:type="dxa"/>
            <w:vAlign w:val="center"/>
          </w:tcPr>
          <w:p w14:paraId="6A4B0D69">
            <w:pPr>
              <w:spacing w:line="276" w:lineRule="auto"/>
              <w:jc w:val="center"/>
              <w:rPr>
                <w:rFonts w:ascii="宋体"/>
                <w:szCs w:val="21"/>
              </w:rPr>
            </w:pPr>
            <w:r>
              <w:rPr>
                <w:rFonts w:hint="eastAsia" w:ascii="宋体" w:hAnsi="宋体"/>
                <w:szCs w:val="21"/>
              </w:rPr>
              <w:t>证书名称</w:t>
            </w:r>
          </w:p>
        </w:tc>
        <w:tc>
          <w:tcPr>
            <w:tcW w:w="1745" w:type="dxa"/>
            <w:vAlign w:val="center"/>
          </w:tcPr>
          <w:p w14:paraId="60827344">
            <w:pPr>
              <w:spacing w:line="276" w:lineRule="auto"/>
              <w:jc w:val="center"/>
              <w:rPr>
                <w:rFonts w:ascii="宋体"/>
                <w:szCs w:val="21"/>
              </w:rPr>
            </w:pPr>
            <w:r>
              <w:rPr>
                <w:rFonts w:hint="eastAsia" w:ascii="宋体" w:hAnsi="宋体"/>
                <w:szCs w:val="21"/>
              </w:rPr>
              <w:t>证书有效期</w:t>
            </w:r>
          </w:p>
        </w:tc>
        <w:tc>
          <w:tcPr>
            <w:tcW w:w="1861" w:type="dxa"/>
            <w:vAlign w:val="center"/>
          </w:tcPr>
          <w:p w14:paraId="507AF42F">
            <w:pPr>
              <w:spacing w:line="276" w:lineRule="auto"/>
              <w:jc w:val="center"/>
              <w:rPr>
                <w:rFonts w:ascii="宋体"/>
                <w:szCs w:val="21"/>
              </w:rPr>
            </w:pPr>
            <w:r>
              <w:rPr>
                <w:rFonts w:hint="eastAsia" w:ascii="宋体" w:hAnsi="宋体"/>
                <w:szCs w:val="21"/>
              </w:rPr>
              <w:t>证书颁发机构</w:t>
            </w:r>
          </w:p>
        </w:tc>
        <w:tc>
          <w:tcPr>
            <w:tcW w:w="1854" w:type="dxa"/>
            <w:vAlign w:val="center"/>
          </w:tcPr>
          <w:p w14:paraId="7E6C49FA">
            <w:pPr>
              <w:spacing w:line="276" w:lineRule="auto"/>
              <w:jc w:val="center"/>
            </w:pPr>
            <w:r>
              <w:rPr>
                <w:rFonts w:hint="eastAsia"/>
              </w:rPr>
              <w:t>备注说明</w:t>
            </w:r>
          </w:p>
        </w:tc>
      </w:tr>
      <w:tr w14:paraId="5296055B">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cantSplit/>
          <w:trHeight w:val="300" w:hRule="atLeast"/>
          <w:jc w:val="center"/>
        </w:trPr>
        <w:tc>
          <w:tcPr>
            <w:tcW w:w="1067" w:type="dxa"/>
            <w:vAlign w:val="center"/>
          </w:tcPr>
          <w:p w14:paraId="5479222B">
            <w:pPr>
              <w:spacing w:line="276" w:lineRule="auto"/>
              <w:jc w:val="center"/>
              <w:rPr>
                <w:rFonts w:ascii="宋体"/>
                <w:szCs w:val="21"/>
              </w:rPr>
            </w:pPr>
          </w:p>
        </w:tc>
        <w:tc>
          <w:tcPr>
            <w:tcW w:w="2002" w:type="dxa"/>
            <w:vAlign w:val="center"/>
          </w:tcPr>
          <w:p w14:paraId="6521475F">
            <w:pPr>
              <w:spacing w:line="276" w:lineRule="auto"/>
              <w:jc w:val="center"/>
              <w:rPr>
                <w:rFonts w:ascii="宋体"/>
                <w:szCs w:val="21"/>
              </w:rPr>
            </w:pPr>
          </w:p>
        </w:tc>
        <w:tc>
          <w:tcPr>
            <w:tcW w:w="1745" w:type="dxa"/>
            <w:vAlign w:val="center"/>
          </w:tcPr>
          <w:p w14:paraId="577FEBE4">
            <w:pPr>
              <w:spacing w:line="276" w:lineRule="auto"/>
              <w:jc w:val="center"/>
              <w:rPr>
                <w:rFonts w:ascii="宋体"/>
                <w:szCs w:val="21"/>
              </w:rPr>
            </w:pPr>
          </w:p>
        </w:tc>
        <w:tc>
          <w:tcPr>
            <w:tcW w:w="1861" w:type="dxa"/>
            <w:vAlign w:val="center"/>
          </w:tcPr>
          <w:p w14:paraId="1A6CDDDF">
            <w:pPr>
              <w:spacing w:line="276" w:lineRule="auto"/>
              <w:jc w:val="center"/>
              <w:rPr>
                <w:rFonts w:ascii="宋体"/>
                <w:szCs w:val="21"/>
              </w:rPr>
            </w:pPr>
          </w:p>
        </w:tc>
        <w:tc>
          <w:tcPr>
            <w:tcW w:w="1854" w:type="dxa"/>
            <w:vAlign w:val="center"/>
          </w:tcPr>
          <w:p w14:paraId="2D749EAD">
            <w:pPr>
              <w:spacing w:line="276" w:lineRule="auto"/>
              <w:jc w:val="center"/>
              <w:rPr>
                <w:rFonts w:ascii="宋体"/>
                <w:szCs w:val="21"/>
              </w:rPr>
            </w:pPr>
          </w:p>
        </w:tc>
      </w:tr>
      <w:tr w14:paraId="249CAC7E">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cantSplit/>
          <w:trHeight w:val="300" w:hRule="atLeast"/>
          <w:jc w:val="center"/>
        </w:trPr>
        <w:tc>
          <w:tcPr>
            <w:tcW w:w="1067" w:type="dxa"/>
            <w:vAlign w:val="center"/>
          </w:tcPr>
          <w:p w14:paraId="6E2D3D65">
            <w:pPr>
              <w:spacing w:line="276" w:lineRule="auto"/>
              <w:jc w:val="center"/>
              <w:rPr>
                <w:rFonts w:ascii="宋体"/>
                <w:szCs w:val="21"/>
              </w:rPr>
            </w:pPr>
          </w:p>
        </w:tc>
        <w:tc>
          <w:tcPr>
            <w:tcW w:w="2002" w:type="dxa"/>
            <w:vAlign w:val="center"/>
          </w:tcPr>
          <w:p w14:paraId="2C4FE2B4">
            <w:pPr>
              <w:spacing w:line="276" w:lineRule="auto"/>
              <w:jc w:val="center"/>
              <w:rPr>
                <w:rFonts w:ascii="宋体"/>
                <w:szCs w:val="21"/>
              </w:rPr>
            </w:pPr>
          </w:p>
        </w:tc>
        <w:tc>
          <w:tcPr>
            <w:tcW w:w="1745" w:type="dxa"/>
            <w:vAlign w:val="center"/>
          </w:tcPr>
          <w:p w14:paraId="0CBB2C68">
            <w:pPr>
              <w:spacing w:line="276" w:lineRule="auto"/>
              <w:jc w:val="center"/>
              <w:rPr>
                <w:rFonts w:ascii="宋体"/>
                <w:szCs w:val="21"/>
              </w:rPr>
            </w:pPr>
          </w:p>
        </w:tc>
        <w:tc>
          <w:tcPr>
            <w:tcW w:w="1861" w:type="dxa"/>
            <w:vAlign w:val="center"/>
          </w:tcPr>
          <w:p w14:paraId="5357569E">
            <w:pPr>
              <w:spacing w:line="276" w:lineRule="auto"/>
              <w:jc w:val="center"/>
              <w:rPr>
                <w:rFonts w:ascii="宋体"/>
                <w:szCs w:val="21"/>
              </w:rPr>
            </w:pPr>
          </w:p>
        </w:tc>
        <w:tc>
          <w:tcPr>
            <w:tcW w:w="1854" w:type="dxa"/>
            <w:vAlign w:val="center"/>
          </w:tcPr>
          <w:p w14:paraId="4901E986">
            <w:pPr>
              <w:spacing w:line="276" w:lineRule="auto"/>
              <w:jc w:val="center"/>
              <w:rPr>
                <w:rFonts w:ascii="宋体"/>
                <w:szCs w:val="21"/>
              </w:rPr>
            </w:pPr>
          </w:p>
        </w:tc>
      </w:tr>
      <w:tr w14:paraId="6EAEF145">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cantSplit/>
          <w:trHeight w:val="300" w:hRule="atLeast"/>
          <w:jc w:val="center"/>
        </w:trPr>
        <w:tc>
          <w:tcPr>
            <w:tcW w:w="1067" w:type="dxa"/>
            <w:vAlign w:val="center"/>
          </w:tcPr>
          <w:p w14:paraId="7C65BC97">
            <w:pPr>
              <w:spacing w:line="276" w:lineRule="auto"/>
              <w:jc w:val="center"/>
              <w:rPr>
                <w:rFonts w:ascii="宋体"/>
                <w:szCs w:val="21"/>
              </w:rPr>
            </w:pPr>
          </w:p>
        </w:tc>
        <w:tc>
          <w:tcPr>
            <w:tcW w:w="2002" w:type="dxa"/>
            <w:vAlign w:val="center"/>
          </w:tcPr>
          <w:p w14:paraId="7512B894">
            <w:pPr>
              <w:spacing w:line="276" w:lineRule="auto"/>
              <w:jc w:val="center"/>
              <w:rPr>
                <w:rFonts w:ascii="宋体"/>
                <w:szCs w:val="21"/>
              </w:rPr>
            </w:pPr>
          </w:p>
        </w:tc>
        <w:tc>
          <w:tcPr>
            <w:tcW w:w="1745" w:type="dxa"/>
            <w:vAlign w:val="center"/>
          </w:tcPr>
          <w:p w14:paraId="45327B6A">
            <w:pPr>
              <w:spacing w:line="276" w:lineRule="auto"/>
              <w:jc w:val="center"/>
              <w:rPr>
                <w:rFonts w:ascii="宋体"/>
                <w:szCs w:val="21"/>
              </w:rPr>
            </w:pPr>
          </w:p>
        </w:tc>
        <w:tc>
          <w:tcPr>
            <w:tcW w:w="1861" w:type="dxa"/>
            <w:vAlign w:val="center"/>
          </w:tcPr>
          <w:p w14:paraId="6908BEDD">
            <w:pPr>
              <w:spacing w:line="276" w:lineRule="auto"/>
              <w:jc w:val="center"/>
              <w:rPr>
                <w:rFonts w:ascii="宋体"/>
                <w:szCs w:val="21"/>
              </w:rPr>
            </w:pPr>
          </w:p>
        </w:tc>
        <w:tc>
          <w:tcPr>
            <w:tcW w:w="1854" w:type="dxa"/>
            <w:vAlign w:val="center"/>
          </w:tcPr>
          <w:p w14:paraId="3CA9EC40">
            <w:pPr>
              <w:spacing w:line="276" w:lineRule="auto"/>
              <w:jc w:val="center"/>
              <w:rPr>
                <w:rFonts w:ascii="宋体"/>
                <w:szCs w:val="21"/>
              </w:rPr>
            </w:pPr>
          </w:p>
        </w:tc>
      </w:tr>
    </w:tbl>
    <w:p w14:paraId="773D0ED9">
      <w:pPr>
        <w:pStyle w:val="8"/>
        <w:spacing w:line="276" w:lineRule="auto"/>
        <w:rPr>
          <w:b w:val="0"/>
          <w:bCs w:val="0"/>
          <w:sz w:val="21"/>
          <w:szCs w:val="21"/>
        </w:rPr>
      </w:pPr>
      <w:r>
        <w:rPr>
          <w:rFonts w:hint="eastAsia"/>
          <w:b w:val="0"/>
          <w:bCs w:val="0"/>
          <w:sz w:val="21"/>
          <w:szCs w:val="21"/>
        </w:rPr>
        <w:t>（特别提示：以上表格仅供参考。投标人须按本招标文件评标信息中“认证情况”这一评分因素要求，提供证明资料）</w:t>
      </w:r>
    </w:p>
    <w:p w14:paraId="10A85031">
      <w:pPr>
        <w:pStyle w:val="4"/>
        <w:spacing w:line="276" w:lineRule="auto"/>
        <w:jc w:val="center"/>
        <w:rPr>
          <w:rFonts w:ascii="黑体" w:eastAsia="黑体"/>
          <w:b w:val="0"/>
          <w:kern w:val="0"/>
          <w:sz w:val="24"/>
          <w:szCs w:val="24"/>
        </w:rPr>
      </w:pPr>
      <w:r>
        <w:rPr>
          <w:rFonts w:hint="eastAsia" w:ascii="黑体" w:eastAsia="黑体"/>
          <w:b w:val="0"/>
          <w:kern w:val="0"/>
          <w:sz w:val="24"/>
          <w:szCs w:val="24"/>
        </w:rPr>
        <w:t>八、自主知识产权产品（创新、设计）情况</w:t>
      </w:r>
    </w:p>
    <w:tbl>
      <w:tblPr>
        <w:tblStyle w:val="42"/>
        <w:tblW w:w="8529" w:type="dxa"/>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1067"/>
        <w:gridCol w:w="2002"/>
        <w:gridCol w:w="1745"/>
        <w:gridCol w:w="1861"/>
        <w:gridCol w:w="1854"/>
      </w:tblGrid>
      <w:tr w14:paraId="7364DC27">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469" w:hRule="atLeast"/>
          <w:jc w:val="center"/>
        </w:trPr>
        <w:tc>
          <w:tcPr>
            <w:tcW w:w="1067" w:type="dxa"/>
            <w:vAlign w:val="center"/>
          </w:tcPr>
          <w:p w14:paraId="0437CD3B">
            <w:pPr>
              <w:spacing w:line="276" w:lineRule="auto"/>
              <w:jc w:val="center"/>
              <w:rPr>
                <w:rFonts w:ascii="宋体"/>
                <w:szCs w:val="21"/>
              </w:rPr>
            </w:pPr>
            <w:r>
              <w:rPr>
                <w:rFonts w:hint="eastAsia" w:ascii="宋体" w:hAnsi="宋体"/>
                <w:szCs w:val="21"/>
              </w:rPr>
              <w:t>序号</w:t>
            </w:r>
          </w:p>
        </w:tc>
        <w:tc>
          <w:tcPr>
            <w:tcW w:w="2002" w:type="dxa"/>
            <w:vAlign w:val="center"/>
          </w:tcPr>
          <w:p w14:paraId="59845DDD">
            <w:pPr>
              <w:spacing w:line="276" w:lineRule="auto"/>
              <w:jc w:val="center"/>
              <w:rPr>
                <w:rFonts w:ascii="宋体"/>
                <w:szCs w:val="21"/>
              </w:rPr>
            </w:pPr>
            <w:r>
              <w:rPr>
                <w:rFonts w:hint="eastAsia" w:ascii="宋体" w:hAnsi="宋体"/>
                <w:szCs w:val="21"/>
              </w:rPr>
              <w:t>证书名称</w:t>
            </w:r>
          </w:p>
        </w:tc>
        <w:tc>
          <w:tcPr>
            <w:tcW w:w="1745" w:type="dxa"/>
            <w:vAlign w:val="center"/>
          </w:tcPr>
          <w:p w14:paraId="353A47B7">
            <w:pPr>
              <w:spacing w:line="276" w:lineRule="auto"/>
              <w:jc w:val="center"/>
              <w:rPr>
                <w:rFonts w:ascii="宋体"/>
                <w:szCs w:val="21"/>
              </w:rPr>
            </w:pPr>
            <w:r>
              <w:rPr>
                <w:rFonts w:hint="eastAsia" w:ascii="宋体" w:hAnsi="宋体"/>
                <w:szCs w:val="21"/>
              </w:rPr>
              <w:t>证书有效期</w:t>
            </w:r>
          </w:p>
        </w:tc>
        <w:tc>
          <w:tcPr>
            <w:tcW w:w="1861" w:type="dxa"/>
            <w:vAlign w:val="center"/>
          </w:tcPr>
          <w:p w14:paraId="65EBA8E0">
            <w:pPr>
              <w:spacing w:line="276" w:lineRule="auto"/>
              <w:jc w:val="center"/>
              <w:rPr>
                <w:rFonts w:ascii="宋体"/>
                <w:szCs w:val="21"/>
              </w:rPr>
            </w:pPr>
            <w:r>
              <w:rPr>
                <w:rFonts w:hint="eastAsia" w:ascii="宋体" w:hAnsi="宋体"/>
                <w:szCs w:val="21"/>
              </w:rPr>
              <w:t>证书颁发机构</w:t>
            </w:r>
          </w:p>
        </w:tc>
        <w:tc>
          <w:tcPr>
            <w:tcW w:w="1854" w:type="dxa"/>
            <w:vAlign w:val="center"/>
          </w:tcPr>
          <w:p w14:paraId="088A64A5">
            <w:pPr>
              <w:spacing w:line="276" w:lineRule="auto"/>
              <w:jc w:val="center"/>
            </w:pPr>
            <w:r>
              <w:rPr>
                <w:rFonts w:hint="eastAsia"/>
              </w:rPr>
              <w:t>备注说明</w:t>
            </w:r>
          </w:p>
        </w:tc>
      </w:tr>
      <w:tr w14:paraId="6E2743FE">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cantSplit/>
          <w:trHeight w:val="300" w:hRule="atLeast"/>
          <w:jc w:val="center"/>
        </w:trPr>
        <w:tc>
          <w:tcPr>
            <w:tcW w:w="1067" w:type="dxa"/>
            <w:vAlign w:val="center"/>
          </w:tcPr>
          <w:p w14:paraId="2CAEB39D">
            <w:pPr>
              <w:spacing w:line="276" w:lineRule="auto"/>
              <w:jc w:val="center"/>
              <w:rPr>
                <w:rFonts w:ascii="宋体"/>
                <w:szCs w:val="21"/>
              </w:rPr>
            </w:pPr>
          </w:p>
        </w:tc>
        <w:tc>
          <w:tcPr>
            <w:tcW w:w="2002" w:type="dxa"/>
            <w:vAlign w:val="center"/>
          </w:tcPr>
          <w:p w14:paraId="29D0C9BF">
            <w:pPr>
              <w:spacing w:line="276" w:lineRule="auto"/>
              <w:jc w:val="center"/>
              <w:rPr>
                <w:rFonts w:ascii="宋体"/>
                <w:szCs w:val="21"/>
              </w:rPr>
            </w:pPr>
          </w:p>
        </w:tc>
        <w:tc>
          <w:tcPr>
            <w:tcW w:w="1745" w:type="dxa"/>
            <w:vAlign w:val="center"/>
          </w:tcPr>
          <w:p w14:paraId="361DE5EC">
            <w:pPr>
              <w:spacing w:line="276" w:lineRule="auto"/>
              <w:jc w:val="center"/>
              <w:rPr>
                <w:rFonts w:ascii="宋体"/>
                <w:szCs w:val="21"/>
              </w:rPr>
            </w:pPr>
          </w:p>
        </w:tc>
        <w:tc>
          <w:tcPr>
            <w:tcW w:w="1861" w:type="dxa"/>
            <w:vAlign w:val="center"/>
          </w:tcPr>
          <w:p w14:paraId="75BDE94C">
            <w:pPr>
              <w:spacing w:line="276" w:lineRule="auto"/>
              <w:jc w:val="center"/>
              <w:rPr>
                <w:rFonts w:ascii="宋体"/>
                <w:szCs w:val="21"/>
              </w:rPr>
            </w:pPr>
          </w:p>
        </w:tc>
        <w:tc>
          <w:tcPr>
            <w:tcW w:w="1854" w:type="dxa"/>
            <w:vAlign w:val="center"/>
          </w:tcPr>
          <w:p w14:paraId="3E8471C4">
            <w:pPr>
              <w:spacing w:line="276" w:lineRule="auto"/>
              <w:jc w:val="center"/>
              <w:rPr>
                <w:rFonts w:ascii="宋体"/>
                <w:szCs w:val="21"/>
              </w:rPr>
            </w:pPr>
          </w:p>
        </w:tc>
      </w:tr>
      <w:tr w14:paraId="782E1870">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cantSplit/>
          <w:trHeight w:val="300" w:hRule="atLeast"/>
          <w:jc w:val="center"/>
        </w:trPr>
        <w:tc>
          <w:tcPr>
            <w:tcW w:w="1067" w:type="dxa"/>
            <w:vAlign w:val="center"/>
          </w:tcPr>
          <w:p w14:paraId="09D1C085">
            <w:pPr>
              <w:spacing w:line="276" w:lineRule="auto"/>
              <w:jc w:val="center"/>
              <w:rPr>
                <w:rFonts w:ascii="宋体"/>
                <w:szCs w:val="21"/>
              </w:rPr>
            </w:pPr>
          </w:p>
        </w:tc>
        <w:tc>
          <w:tcPr>
            <w:tcW w:w="2002" w:type="dxa"/>
            <w:vAlign w:val="center"/>
          </w:tcPr>
          <w:p w14:paraId="4F110ED3">
            <w:pPr>
              <w:spacing w:line="276" w:lineRule="auto"/>
              <w:jc w:val="center"/>
              <w:rPr>
                <w:rFonts w:ascii="宋体"/>
                <w:szCs w:val="21"/>
              </w:rPr>
            </w:pPr>
          </w:p>
        </w:tc>
        <w:tc>
          <w:tcPr>
            <w:tcW w:w="1745" w:type="dxa"/>
            <w:vAlign w:val="center"/>
          </w:tcPr>
          <w:p w14:paraId="78842B34">
            <w:pPr>
              <w:spacing w:line="276" w:lineRule="auto"/>
              <w:jc w:val="center"/>
              <w:rPr>
                <w:rFonts w:ascii="宋体"/>
                <w:szCs w:val="21"/>
              </w:rPr>
            </w:pPr>
          </w:p>
        </w:tc>
        <w:tc>
          <w:tcPr>
            <w:tcW w:w="1861" w:type="dxa"/>
            <w:vAlign w:val="center"/>
          </w:tcPr>
          <w:p w14:paraId="6B1887E4">
            <w:pPr>
              <w:spacing w:line="276" w:lineRule="auto"/>
              <w:jc w:val="center"/>
              <w:rPr>
                <w:rFonts w:ascii="宋体"/>
                <w:szCs w:val="21"/>
              </w:rPr>
            </w:pPr>
          </w:p>
        </w:tc>
        <w:tc>
          <w:tcPr>
            <w:tcW w:w="1854" w:type="dxa"/>
            <w:vAlign w:val="center"/>
          </w:tcPr>
          <w:p w14:paraId="261823B9">
            <w:pPr>
              <w:spacing w:line="276" w:lineRule="auto"/>
              <w:jc w:val="center"/>
              <w:rPr>
                <w:rFonts w:ascii="宋体"/>
                <w:szCs w:val="21"/>
              </w:rPr>
            </w:pPr>
          </w:p>
        </w:tc>
      </w:tr>
      <w:tr w14:paraId="333A0E19">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cantSplit/>
          <w:trHeight w:val="300" w:hRule="atLeast"/>
          <w:jc w:val="center"/>
        </w:trPr>
        <w:tc>
          <w:tcPr>
            <w:tcW w:w="1067" w:type="dxa"/>
            <w:vAlign w:val="center"/>
          </w:tcPr>
          <w:p w14:paraId="682A2919">
            <w:pPr>
              <w:spacing w:line="276" w:lineRule="auto"/>
              <w:jc w:val="center"/>
              <w:rPr>
                <w:rFonts w:ascii="宋体"/>
                <w:szCs w:val="21"/>
              </w:rPr>
            </w:pPr>
          </w:p>
        </w:tc>
        <w:tc>
          <w:tcPr>
            <w:tcW w:w="2002" w:type="dxa"/>
            <w:vAlign w:val="center"/>
          </w:tcPr>
          <w:p w14:paraId="557A4B98">
            <w:pPr>
              <w:spacing w:line="276" w:lineRule="auto"/>
              <w:jc w:val="center"/>
              <w:rPr>
                <w:rFonts w:ascii="宋体"/>
                <w:szCs w:val="21"/>
              </w:rPr>
            </w:pPr>
          </w:p>
        </w:tc>
        <w:tc>
          <w:tcPr>
            <w:tcW w:w="1745" w:type="dxa"/>
            <w:vAlign w:val="center"/>
          </w:tcPr>
          <w:p w14:paraId="3137F52B">
            <w:pPr>
              <w:spacing w:line="276" w:lineRule="auto"/>
              <w:jc w:val="center"/>
              <w:rPr>
                <w:rFonts w:ascii="宋体"/>
                <w:szCs w:val="21"/>
              </w:rPr>
            </w:pPr>
          </w:p>
        </w:tc>
        <w:tc>
          <w:tcPr>
            <w:tcW w:w="1861" w:type="dxa"/>
            <w:vAlign w:val="center"/>
          </w:tcPr>
          <w:p w14:paraId="5691C2BA">
            <w:pPr>
              <w:spacing w:line="276" w:lineRule="auto"/>
              <w:jc w:val="center"/>
              <w:rPr>
                <w:rFonts w:ascii="宋体"/>
                <w:szCs w:val="21"/>
              </w:rPr>
            </w:pPr>
          </w:p>
        </w:tc>
        <w:tc>
          <w:tcPr>
            <w:tcW w:w="1854" w:type="dxa"/>
            <w:vAlign w:val="center"/>
          </w:tcPr>
          <w:p w14:paraId="6D50AB8D">
            <w:pPr>
              <w:spacing w:line="276" w:lineRule="auto"/>
              <w:jc w:val="center"/>
              <w:rPr>
                <w:rFonts w:ascii="宋体"/>
                <w:szCs w:val="21"/>
              </w:rPr>
            </w:pPr>
          </w:p>
        </w:tc>
      </w:tr>
    </w:tbl>
    <w:p w14:paraId="4CAD2920">
      <w:pPr>
        <w:pStyle w:val="8"/>
        <w:spacing w:line="276" w:lineRule="auto"/>
        <w:rPr>
          <w:b w:val="0"/>
          <w:bCs w:val="0"/>
          <w:sz w:val="21"/>
          <w:szCs w:val="21"/>
        </w:rPr>
      </w:pPr>
      <w:r>
        <w:rPr>
          <w:rFonts w:hint="eastAsia"/>
          <w:b w:val="0"/>
          <w:bCs w:val="0"/>
          <w:sz w:val="21"/>
          <w:szCs w:val="21"/>
        </w:rPr>
        <w:t>（特别提示：以上表格仅供参考。投标人须按本招标文件评标信息中“自主知识产权产品（创新、设计）情况”这一评分因素要求，提供证明资料）</w:t>
      </w:r>
    </w:p>
    <w:p w14:paraId="69283C7F">
      <w:pPr>
        <w:spacing w:line="240" w:lineRule="auto"/>
      </w:pPr>
    </w:p>
    <w:p w14:paraId="14DBE0FE">
      <w:pPr>
        <w:rPr>
          <w:rFonts w:hint="default" w:eastAsia="宋体"/>
          <w:lang w:val="en-US" w:eastAsia="zh-CN"/>
        </w:rPr>
      </w:pPr>
    </w:p>
    <w:p w14:paraId="4A75AA52">
      <w:pPr>
        <w:ind w:firstLine="1446" w:firstLineChars="600"/>
      </w:pPr>
      <w:r>
        <w:rPr>
          <w:rFonts w:hint="eastAsia"/>
          <w:b/>
          <w:color w:val="FF0000"/>
          <w:sz w:val="24"/>
        </w:rPr>
        <w:t>（信息公开部分的内容到此为止！以下为信息不公开部分。）</w:t>
      </w:r>
    </w:p>
    <w:p w14:paraId="12380833">
      <w:pPr>
        <w:outlineLvl w:val="1"/>
        <w:rPr>
          <w:rFonts w:hint="eastAsia" w:ascii="宋体" w:hAnsi="宋体"/>
          <w:b/>
          <w:color w:val="FF0000"/>
          <w:sz w:val="28"/>
          <w:szCs w:val="28"/>
        </w:rPr>
      </w:pPr>
    </w:p>
    <w:p w14:paraId="1B127043">
      <w:pPr>
        <w:outlineLvl w:val="1"/>
        <w:rPr>
          <w:rFonts w:hint="eastAsia" w:ascii="宋体" w:hAnsi="宋体"/>
          <w:b/>
          <w:color w:val="FF0000"/>
          <w:sz w:val="28"/>
          <w:szCs w:val="28"/>
        </w:rPr>
      </w:pPr>
    </w:p>
    <w:p w14:paraId="4409458B">
      <w:pPr>
        <w:outlineLvl w:val="1"/>
        <w:rPr>
          <w:rFonts w:hint="eastAsia" w:ascii="宋体" w:hAnsi="宋体"/>
          <w:b/>
          <w:color w:val="FF0000"/>
          <w:sz w:val="28"/>
          <w:szCs w:val="28"/>
        </w:rPr>
      </w:pPr>
    </w:p>
    <w:p w14:paraId="09DF7E4A">
      <w:pPr>
        <w:outlineLvl w:val="1"/>
        <w:rPr>
          <w:rFonts w:hint="eastAsia" w:ascii="宋体" w:hAnsi="宋体"/>
          <w:b/>
          <w:color w:val="FF0000"/>
          <w:sz w:val="28"/>
          <w:szCs w:val="28"/>
        </w:rPr>
      </w:pPr>
    </w:p>
    <w:p w14:paraId="428136B2">
      <w:pPr>
        <w:outlineLvl w:val="1"/>
        <w:rPr>
          <w:rFonts w:hint="eastAsia" w:ascii="宋体" w:hAnsi="宋体"/>
          <w:b/>
          <w:color w:val="FF0000"/>
          <w:sz w:val="28"/>
          <w:szCs w:val="28"/>
        </w:rPr>
      </w:pPr>
    </w:p>
    <w:p w14:paraId="5DBE4E0B">
      <w:pPr>
        <w:outlineLvl w:val="1"/>
        <w:rPr>
          <w:rFonts w:hint="eastAsia" w:ascii="宋体" w:hAnsi="宋体"/>
          <w:b/>
          <w:color w:val="FF0000"/>
          <w:sz w:val="28"/>
          <w:szCs w:val="28"/>
        </w:rPr>
      </w:pPr>
    </w:p>
    <w:p w14:paraId="7C8C5193">
      <w:pPr>
        <w:outlineLvl w:val="1"/>
        <w:rPr>
          <w:rFonts w:hint="eastAsia" w:ascii="宋体" w:hAnsi="宋体"/>
          <w:b/>
          <w:color w:val="FF0000"/>
          <w:sz w:val="28"/>
          <w:szCs w:val="28"/>
        </w:rPr>
      </w:pPr>
    </w:p>
    <w:p w14:paraId="03F03A97">
      <w:pPr>
        <w:outlineLvl w:val="1"/>
        <w:rPr>
          <w:rFonts w:hint="eastAsia" w:ascii="宋体" w:hAnsi="宋体"/>
          <w:b/>
          <w:color w:val="FF0000"/>
          <w:sz w:val="28"/>
          <w:szCs w:val="28"/>
        </w:rPr>
      </w:pPr>
    </w:p>
    <w:p w14:paraId="32BE6DDC">
      <w:pPr>
        <w:outlineLvl w:val="1"/>
        <w:rPr>
          <w:rFonts w:hint="eastAsia" w:ascii="宋体" w:hAnsi="宋体"/>
          <w:b/>
          <w:color w:val="FF0000"/>
          <w:sz w:val="28"/>
          <w:szCs w:val="28"/>
        </w:rPr>
      </w:pPr>
    </w:p>
    <w:p w14:paraId="111903FC">
      <w:pPr>
        <w:outlineLvl w:val="1"/>
        <w:rPr>
          <w:rFonts w:hint="eastAsia" w:ascii="宋体" w:hAnsi="宋体"/>
          <w:b/>
          <w:color w:val="FF0000"/>
          <w:sz w:val="28"/>
          <w:szCs w:val="28"/>
        </w:rPr>
      </w:pPr>
    </w:p>
    <w:p w14:paraId="4961A213">
      <w:pPr>
        <w:outlineLvl w:val="1"/>
        <w:rPr>
          <w:rFonts w:hint="eastAsia" w:ascii="宋体" w:hAnsi="宋体"/>
          <w:b/>
          <w:color w:val="FF0000"/>
          <w:sz w:val="28"/>
          <w:szCs w:val="28"/>
        </w:rPr>
      </w:pPr>
    </w:p>
    <w:p w14:paraId="5319AF9B">
      <w:pPr>
        <w:outlineLvl w:val="1"/>
        <w:rPr>
          <w:rFonts w:hint="eastAsia" w:ascii="宋体" w:hAnsi="宋体"/>
          <w:b/>
          <w:color w:val="FF0000"/>
          <w:sz w:val="28"/>
          <w:szCs w:val="28"/>
        </w:rPr>
      </w:pPr>
    </w:p>
    <w:p w14:paraId="22EE2423">
      <w:pPr>
        <w:outlineLvl w:val="1"/>
        <w:rPr>
          <w:rFonts w:hint="eastAsia" w:ascii="宋体" w:hAnsi="宋体"/>
          <w:b/>
          <w:color w:val="FF0000"/>
          <w:sz w:val="28"/>
          <w:szCs w:val="28"/>
        </w:rPr>
      </w:pPr>
    </w:p>
    <w:p w14:paraId="428A7FD3">
      <w:pPr>
        <w:outlineLvl w:val="1"/>
        <w:rPr>
          <w:rFonts w:hint="eastAsia" w:ascii="宋体" w:hAnsi="宋体"/>
          <w:b/>
          <w:color w:val="FF0000"/>
          <w:sz w:val="28"/>
          <w:szCs w:val="28"/>
        </w:rPr>
      </w:pPr>
    </w:p>
    <w:p w14:paraId="64228F5D">
      <w:pPr>
        <w:outlineLvl w:val="1"/>
        <w:rPr>
          <w:rFonts w:hint="eastAsia" w:ascii="宋体" w:hAnsi="宋体"/>
          <w:b/>
          <w:color w:val="FF0000"/>
          <w:sz w:val="28"/>
          <w:szCs w:val="28"/>
        </w:rPr>
      </w:pPr>
    </w:p>
    <w:p w14:paraId="17F40340">
      <w:pPr>
        <w:outlineLvl w:val="1"/>
        <w:rPr>
          <w:rFonts w:hint="eastAsia" w:ascii="宋体" w:hAnsi="宋体"/>
          <w:b/>
          <w:color w:val="FF0000"/>
          <w:sz w:val="28"/>
          <w:szCs w:val="28"/>
        </w:rPr>
      </w:pPr>
    </w:p>
    <w:p w14:paraId="43CC04B0">
      <w:pPr>
        <w:outlineLvl w:val="1"/>
        <w:rPr>
          <w:rFonts w:hint="eastAsia" w:ascii="宋体" w:hAnsi="宋体"/>
          <w:b/>
          <w:color w:val="FF0000"/>
          <w:sz w:val="28"/>
          <w:szCs w:val="28"/>
        </w:rPr>
      </w:pPr>
    </w:p>
    <w:p w14:paraId="0FD31EB7">
      <w:pPr>
        <w:outlineLvl w:val="1"/>
        <w:rPr>
          <w:rFonts w:hint="eastAsia" w:ascii="宋体" w:hAnsi="宋体"/>
          <w:b/>
          <w:color w:val="FF0000"/>
          <w:sz w:val="28"/>
          <w:szCs w:val="28"/>
        </w:rPr>
      </w:pPr>
    </w:p>
    <w:p w14:paraId="43C69EC3">
      <w:pPr>
        <w:outlineLvl w:val="1"/>
        <w:rPr>
          <w:rFonts w:hint="eastAsia" w:ascii="宋体" w:hAnsi="宋体"/>
          <w:b/>
          <w:color w:val="FF0000"/>
          <w:sz w:val="28"/>
          <w:szCs w:val="28"/>
        </w:rPr>
      </w:pPr>
    </w:p>
    <w:p w14:paraId="392288DF">
      <w:pPr>
        <w:outlineLvl w:val="1"/>
        <w:rPr>
          <w:rFonts w:ascii="宋体" w:hAnsi="宋体"/>
          <w:b/>
          <w:color w:val="FF0000"/>
          <w:sz w:val="28"/>
          <w:szCs w:val="28"/>
        </w:rPr>
      </w:pPr>
      <w:r>
        <w:rPr>
          <w:rFonts w:hint="eastAsia" w:ascii="宋体" w:hAnsi="宋体"/>
          <w:b/>
          <w:color w:val="FF0000"/>
          <w:sz w:val="28"/>
          <w:szCs w:val="28"/>
        </w:rPr>
        <w:t>投标文件附件（信息不公开部分）</w:t>
      </w:r>
    </w:p>
    <w:p w14:paraId="090D30F3">
      <w:pPr>
        <w:widowControl w:val="0"/>
        <w:snapToGrid w:val="0"/>
        <w:spacing w:before="0" w:after="0" w:line="240" w:lineRule="auto"/>
        <w:jc w:val="center"/>
        <w:outlineLvl w:val="0"/>
        <w:rPr>
          <w:rFonts w:hint="eastAsia" w:ascii="黑体" w:hAnsi="宋体" w:eastAsia="黑体" w:cs="Times New Roman"/>
          <w:b w:val="0"/>
          <w:bCs/>
          <w:kern w:val="2"/>
          <w:sz w:val="24"/>
          <w:szCs w:val="32"/>
          <w:lang w:val="en-US" w:eastAsia="zh-CN" w:bidi="ar-SA"/>
        </w:rPr>
      </w:pPr>
      <w:r>
        <w:rPr>
          <w:rFonts w:hint="eastAsia" w:ascii="黑体" w:hAnsi="宋体" w:eastAsia="黑体" w:cs="Times New Roman"/>
          <w:b w:val="0"/>
          <w:bCs/>
          <w:kern w:val="2"/>
          <w:sz w:val="24"/>
          <w:szCs w:val="32"/>
          <w:lang w:val="en-US" w:eastAsia="zh-CN" w:bidi="ar-SA"/>
        </w:rPr>
        <w:t>一、供应商基本情况表</w:t>
      </w:r>
    </w:p>
    <w:tbl>
      <w:tblPr>
        <w:tblStyle w:val="43"/>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0"/>
        <w:gridCol w:w="645"/>
        <w:gridCol w:w="1530"/>
        <w:gridCol w:w="904"/>
        <w:gridCol w:w="752"/>
        <w:gridCol w:w="1146"/>
        <w:gridCol w:w="1429"/>
        <w:gridCol w:w="1420"/>
      </w:tblGrid>
      <w:tr w14:paraId="1D910C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89" w:type="pct"/>
            <w:gridSpan w:val="2"/>
            <w:noWrap w:val="0"/>
            <w:vAlign w:val="center"/>
          </w:tcPr>
          <w:p w14:paraId="51D71770">
            <w:pPr>
              <w:jc w:val="both"/>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投标（响应）供应商</w:t>
            </w:r>
          </w:p>
        </w:tc>
        <w:tc>
          <w:tcPr>
            <w:tcW w:w="1427" w:type="pct"/>
            <w:gridSpan w:val="2"/>
            <w:noWrap w:val="0"/>
            <w:vAlign w:val="center"/>
          </w:tcPr>
          <w:p w14:paraId="443E37CC">
            <w:pPr>
              <w:jc w:val="center"/>
              <w:rPr>
                <w:rFonts w:hint="eastAsia" w:ascii="宋体" w:hAnsi="宋体" w:eastAsia="宋体" w:cs="宋体"/>
                <w:color w:val="auto"/>
                <w:sz w:val="21"/>
                <w:szCs w:val="21"/>
                <w:vertAlign w:val="baseline"/>
                <w:lang w:val="en-US" w:eastAsia="zh-CN"/>
              </w:rPr>
            </w:pPr>
          </w:p>
        </w:tc>
        <w:tc>
          <w:tcPr>
            <w:tcW w:w="1113" w:type="pct"/>
            <w:gridSpan w:val="2"/>
            <w:noWrap w:val="0"/>
            <w:vAlign w:val="center"/>
          </w:tcPr>
          <w:p w14:paraId="17514690">
            <w:pPr>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项目名称及编号</w:t>
            </w:r>
          </w:p>
        </w:tc>
        <w:tc>
          <w:tcPr>
            <w:tcW w:w="1669" w:type="pct"/>
            <w:gridSpan w:val="2"/>
            <w:noWrap w:val="0"/>
            <w:vAlign w:val="center"/>
          </w:tcPr>
          <w:p w14:paraId="595AF32F">
            <w:pPr>
              <w:jc w:val="center"/>
              <w:rPr>
                <w:rFonts w:hint="eastAsia" w:ascii="宋体" w:hAnsi="宋体" w:eastAsia="宋体" w:cs="宋体"/>
                <w:color w:val="auto"/>
                <w:sz w:val="21"/>
                <w:szCs w:val="21"/>
                <w:vertAlign w:val="baseline"/>
                <w:lang w:val="en-US" w:eastAsia="zh-CN"/>
              </w:rPr>
            </w:pPr>
          </w:p>
        </w:tc>
      </w:tr>
      <w:tr w14:paraId="37F74E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8"/>
            <w:noWrap w:val="0"/>
            <w:vAlign w:val="center"/>
          </w:tcPr>
          <w:p w14:paraId="702F6E21">
            <w:pPr>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b/>
                <w:bCs/>
                <w:color w:val="auto"/>
                <w:sz w:val="21"/>
                <w:szCs w:val="21"/>
                <w:vertAlign w:val="baseline"/>
                <w:lang w:val="en-US" w:eastAsia="zh-CN"/>
              </w:rPr>
              <w:t>投标（响应）供应商相关人员情况</w:t>
            </w:r>
          </w:p>
        </w:tc>
      </w:tr>
      <w:tr w14:paraId="055BCD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1" w:type="pct"/>
            <w:tcBorders>
              <w:bottom w:val="single" w:color="auto" w:sz="4" w:space="0"/>
            </w:tcBorders>
            <w:noWrap w:val="0"/>
            <w:vAlign w:val="center"/>
          </w:tcPr>
          <w:p w14:paraId="41AC4A9A">
            <w:pPr>
              <w:snapToGrid w:val="0"/>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序号</w:t>
            </w:r>
          </w:p>
        </w:tc>
        <w:tc>
          <w:tcPr>
            <w:tcW w:w="1275" w:type="pct"/>
            <w:gridSpan w:val="2"/>
            <w:tcBorders>
              <w:bottom w:val="single" w:color="auto" w:sz="4" w:space="0"/>
            </w:tcBorders>
            <w:noWrap w:val="0"/>
            <w:vAlign w:val="center"/>
          </w:tcPr>
          <w:p w14:paraId="7FD38B23">
            <w:pPr>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职务</w:t>
            </w:r>
          </w:p>
        </w:tc>
        <w:tc>
          <w:tcPr>
            <w:tcW w:w="529" w:type="pct"/>
            <w:tcBorders>
              <w:bottom w:val="single" w:color="auto" w:sz="4" w:space="0"/>
            </w:tcBorders>
            <w:noWrap w:val="0"/>
            <w:vAlign w:val="center"/>
          </w:tcPr>
          <w:p w14:paraId="485A1962">
            <w:pPr>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姓名</w:t>
            </w:r>
          </w:p>
        </w:tc>
        <w:tc>
          <w:tcPr>
            <w:tcW w:w="1113" w:type="pct"/>
            <w:gridSpan w:val="2"/>
            <w:tcBorders>
              <w:bottom w:val="single" w:color="auto" w:sz="4" w:space="0"/>
            </w:tcBorders>
            <w:noWrap w:val="0"/>
            <w:vAlign w:val="center"/>
          </w:tcPr>
          <w:p w14:paraId="5AE0DFAC">
            <w:pPr>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身份证号码</w:t>
            </w:r>
          </w:p>
        </w:tc>
        <w:tc>
          <w:tcPr>
            <w:tcW w:w="838" w:type="pct"/>
            <w:tcBorders>
              <w:bottom w:val="single" w:color="auto" w:sz="4" w:space="0"/>
            </w:tcBorders>
            <w:noWrap w:val="0"/>
            <w:vAlign w:val="center"/>
          </w:tcPr>
          <w:p w14:paraId="3FB9A7A2">
            <w:pPr>
              <w:snapToGrid w:val="0"/>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劳动合同</w:t>
            </w:r>
          </w:p>
          <w:p w14:paraId="4A6EE18B">
            <w:pPr>
              <w:snapToGrid w:val="0"/>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关系单位</w:t>
            </w:r>
          </w:p>
        </w:tc>
        <w:tc>
          <w:tcPr>
            <w:tcW w:w="830" w:type="pct"/>
            <w:tcBorders>
              <w:bottom w:val="single" w:color="auto" w:sz="4" w:space="0"/>
            </w:tcBorders>
            <w:noWrap w:val="0"/>
            <w:vAlign w:val="center"/>
          </w:tcPr>
          <w:p w14:paraId="55804749">
            <w:pPr>
              <w:snapToGrid w:val="0"/>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缴纳社会</w:t>
            </w:r>
          </w:p>
          <w:p w14:paraId="6F5321CE">
            <w:pPr>
              <w:snapToGrid w:val="0"/>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保险单位</w:t>
            </w:r>
          </w:p>
        </w:tc>
      </w:tr>
      <w:tr w14:paraId="5B585D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1" w:type="pct"/>
            <w:tcBorders>
              <w:top w:val="single" w:color="auto" w:sz="4" w:space="0"/>
              <w:left w:val="single" w:color="auto" w:sz="4" w:space="0"/>
              <w:bottom w:val="single" w:color="auto" w:sz="4" w:space="0"/>
              <w:right w:val="single" w:color="auto" w:sz="4" w:space="0"/>
            </w:tcBorders>
            <w:noWrap w:val="0"/>
            <w:vAlign w:val="center"/>
          </w:tcPr>
          <w:p w14:paraId="362ED6BE">
            <w:pPr>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val="en-US" w:eastAsia="zh-CN"/>
              </w:rPr>
              <w:t>1</w:t>
            </w:r>
          </w:p>
        </w:tc>
        <w:tc>
          <w:tcPr>
            <w:tcW w:w="1275" w:type="pct"/>
            <w:gridSpan w:val="2"/>
            <w:tcBorders>
              <w:top w:val="single" w:color="auto" w:sz="4" w:space="0"/>
              <w:left w:val="single" w:color="auto" w:sz="4" w:space="0"/>
              <w:bottom w:val="single" w:color="auto" w:sz="4" w:space="0"/>
              <w:right w:val="single" w:color="auto" w:sz="4" w:space="0"/>
            </w:tcBorders>
            <w:noWrap w:val="0"/>
            <w:vAlign w:val="center"/>
          </w:tcPr>
          <w:p w14:paraId="08FE00D7">
            <w:pPr>
              <w:spacing w:line="460" w:lineRule="exact"/>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sz w:val="21"/>
                <w:szCs w:val="21"/>
                <w:highlight w:val="none"/>
                <w:lang w:val="en-US" w:eastAsia="zh-CN"/>
              </w:rPr>
              <w:t>/单位负责人/主要经营负责人</w:t>
            </w:r>
          </w:p>
        </w:tc>
        <w:tc>
          <w:tcPr>
            <w:tcW w:w="529" w:type="pct"/>
            <w:tcBorders>
              <w:top w:val="single" w:color="auto" w:sz="4" w:space="0"/>
              <w:left w:val="single" w:color="auto" w:sz="4" w:space="0"/>
              <w:bottom w:val="single" w:color="auto" w:sz="4" w:space="0"/>
              <w:right w:val="single" w:color="auto" w:sz="4" w:space="0"/>
            </w:tcBorders>
            <w:noWrap w:val="0"/>
            <w:vAlign w:val="center"/>
          </w:tcPr>
          <w:p w14:paraId="5EB1DF04">
            <w:pPr>
              <w:jc w:val="center"/>
              <w:rPr>
                <w:rFonts w:hint="eastAsia" w:ascii="宋体" w:hAnsi="宋体" w:eastAsia="宋体" w:cs="宋体"/>
                <w:color w:val="auto"/>
                <w:sz w:val="21"/>
                <w:szCs w:val="21"/>
                <w:vertAlign w:val="baseline"/>
                <w:lang w:val="en-US" w:eastAsia="zh-CN"/>
              </w:rPr>
            </w:pPr>
          </w:p>
        </w:tc>
        <w:tc>
          <w:tcPr>
            <w:tcW w:w="1113" w:type="pct"/>
            <w:gridSpan w:val="2"/>
            <w:tcBorders>
              <w:top w:val="single" w:color="auto" w:sz="4" w:space="0"/>
              <w:left w:val="single" w:color="auto" w:sz="4" w:space="0"/>
              <w:bottom w:val="single" w:color="auto" w:sz="4" w:space="0"/>
              <w:right w:val="single" w:color="auto" w:sz="4" w:space="0"/>
            </w:tcBorders>
            <w:noWrap w:val="0"/>
            <w:vAlign w:val="center"/>
          </w:tcPr>
          <w:p w14:paraId="40F3D7B2">
            <w:pPr>
              <w:jc w:val="center"/>
              <w:rPr>
                <w:rFonts w:hint="eastAsia" w:ascii="宋体" w:hAnsi="宋体" w:eastAsia="宋体" w:cs="宋体"/>
                <w:color w:val="auto"/>
                <w:sz w:val="21"/>
                <w:szCs w:val="21"/>
                <w:vertAlign w:val="baseline"/>
                <w:lang w:val="en-US" w:eastAsia="zh-CN"/>
              </w:rPr>
            </w:pPr>
          </w:p>
        </w:tc>
        <w:tc>
          <w:tcPr>
            <w:tcW w:w="838" w:type="pct"/>
            <w:tcBorders>
              <w:top w:val="single" w:color="auto" w:sz="4" w:space="0"/>
              <w:left w:val="single" w:color="auto" w:sz="4" w:space="0"/>
              <w:bottom w:val="single" w:color="auto" w:sz="4" w:space="0"/>
              <w:right w:val="single" w:color="auto" w:sz="4" w:space="0"/>
            </w:tcBorders>
            <w:noWrap w:val="0"/>
            <w:vAlign w:val="center"/>
          </w:tcPr>
          <w:p w14:paraId="5BC28D00">
            <w:pPr>
              <w:jc w:val="center"/>
              <w:rPr>
                <w:rFonts w:hint="eastAsia" w:ascii="宋体" w:hAnsi="宋体" w:eastAsia="宋体" w:cs="宋体"/>
                <w:color w:val="auto"/>
                <w:sz w:val="21"/>
                <w:szCs w:val="21"/>
                <w:vertAlign w:val="baseline"/>
                <w:lang w:val="en-US" w:eastAsia="zh-CN"/>
              </w:rPr>
            </w:pPr>
          </w:p>
        </w:tc>
        <w:tc>
          <w:tcPr>
            <w:tcW w:w="830" w:type="pct"/>
            <w:tcBorders>
              <w:top w:val="single" w:color="auto" w:sz="4" w:space="0"/>
              <w:left w:val="single" w:color="auto" w:sz="4" w:space="0"/>
              <w:bottom w:val="single" w:color="auto" w:sz="4" w:space="0"/>
              <w:right w:val="single" w:color="auto" w:sz="4" w:space="0"/>
            </w:tcBorders>
            <w:noWrap w:val="0"/>
            <w:vAlign w:val="center"/>
          </w:tcPr>
          <w:p w14:paraId="785E579B">
            <w:pPr>
              <w:jc w:val="center"/>
              <w:rPr>
                <w:rFonts w:hint="eastAsia" w:ascii="宋体" w:hAnsi="宋体" w:eastAsia="宋体" w:cs="宋体"/>
                <w:color w:val="auto"/>
                <w:sz w:val="21"/>
                <w:szCs w:val="21"/>
                <w:vertAlign w:val="baseline"/>
                <w:lang w:val="en-US" w:eastAsia="zh-CN"/>
              </w:rPr>
            </w:pPr>
          </w:p>
        </w:tc>
      </w:tr>
      <w:tr w14:paraId="4168A9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1" w:type="pct"/>
            <w:tcBorders>
              <w:top w:val="single" w:color="auto" w:sz="4" w:space="0"/>
              <w:left w:val="single" w:color="auto" w:sz="4" w:space="0"/>
              <w:bottom w:val="single" w:color="auto" w:sz="4" w:space="0"/>
              <w:right w:val="single" w:color="auto" w:sz="4" w:space="0"/>
            </w:tcBorders>
            <w:noWrap w:val="0"/>
            <w:vAlign w:val="center"/>
          </w:tcPr>
          <w:p w14:paraId="4DDA5D02">
            <w:pPr>
              <w:spacing w:beforeLines="0" w:afterLines="0"/>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rPr>
              <w:t>2</w:t>
            </w:r>
          </w:p>
        </w:tc>
        <w:tc>
          <w:tcPr>
            <w:tcW w:w="1275" w:type="pct"/>
            <w:gridSpan w:val="2"/>
            <w:tcBorders>
              <w:top w:val="single" w:color="auto" w:sz="4" w:space="0"/>
              <w:left w:val="single" w:color="auto" w:sz="4" w:space="0"/>
              <w:bottom w:val="single" w:color="auto" w:sz="4" w:space="0"/>
              <w:right w:val="single" w:color="auto" w:sz="4" w:space="0"/>
            </w:tcBorders>
            <w:noWrap w:val="0"/>
            <w:vAlign w:val="center"/>
          </w:tcPr>
          <w:p w14:paraId="16A12C39">
            <w:pPr>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highlight w:val="none"/>
              </w:rPr>
              <w:t>项目投标授权代表人</w:t>
            </w:r>
          </w:p>
        </w:tc>
        <w:tc>
          <w:tcPr>
            <w:tcW w:w="529" w:type="pct"/>
            <w:tcBorders>
              <w:top w:val="single" w:color="auto" w:sz="4" w:space="0"/>
              <w:left w:val="single" w:color="auto" w:sz="4" w:space="0"/>
              <w:bottom w:val="single" w:color="auto" w:sz="4" w:space="0"/>
              <w:right w:val="single" w:color="auto" w:sz="4" w:space="0"/>
            </w:tcBorders>
            <w:noWrap w:val="0"/>
            <w:vAlign w:val="center"/>
          </w:tcPr>
          <w:p w14:paraId="08FDE2EC">
            <w:pPr>
              <w:jc w:val="center"/>
              <w:rPr>
                <w:rFonts w:hint="eastAsia" w:ascii="宋体" w:hAnsi="宋体" w:eastAsia="宋体" w:cs="宋体"/>
                <w:color w:val="auto"/>
                <w:sz w:val="21"/>
                <w:szCs w:val="21"/>
                <w:vertAlign w:val="baseline"/>
                <w:lang w:val="en-US" w:eastAsia="zh-CN"/>
              </w:rPr>
            </w:pPr>
          </w:p>
        </w:tc>
        <w:tc>
          <w:tcPr>
            <w:tcW w:w="1113" w:type="pct"/>
            <w:gridSpan w:val="2"/>
            <w:tcBorders>
              <w:top w:val="single" w:color="auto" w:sz="4" w:space="0"/>
              <w:left w:val="single" w:color="auto" w:sz="4" w:space="0"/>
              <w:bottom w:val="single" w:color="auto" w:sz="4" w:space="0"/>
              <w:right w:val="single" w:color="auto" w:sz="4" w:space="0"/>
            </w:tcBorders>
            <w:noWrap w:val="0"/>
            <w:vAlign w:val="center"/>
          </w:tcPr>
          <w:p w14:paraId="6DCF5F3E">
            <w:pPr>
              <w:jc w:val="center"/>
              <w:rPr>
                <w:rFonts w:hint="eastAsia" w:ascii="宋体" w:hAnsi="宋体" w:eastAsia="宋体" w:cs="宋体"/>
                <w:color w:val="auto"/>
                <w:sz w:val="21"/>
                <w:szCs w:val="21"/>
                <w:vertAlign w:val="baseline"/>
                <w:lang w:val="en-US" w:eastAsia="zh-CN"/>
              </w:rPr>
            </w:pPr>
          </w:p>
        </w:tc>
        <w:tc>
          <w:tcPr>
            <w:tcW w:w="838" w:type="pct"/>
            <w:tcBorders>
              <w:top w:val="single" w:color="auto" w:sz="4" w:space="0"/>
              <w:left w:val="single" w:color="auto" w:sz="4" w:space="0"/>
              <w:bottom w:val="single" w:color="auto" w:sz="4" w:space="0"/>
              <w:right w:val="single" w:color="auto" w:sz="4" w:space="0"/>
            </w:tcBorders>
            <w:noWrap w:val="0"/>
            <w:vAlign w:val="center"/>
          </w:tcPr>
          <w:p w14:paraId="6DFBD439">
            <w:pPr>
              <w:jc w:val="center"/>
              <w:rPr>
                <w:rFonts w:hint="eastAsia" w:ascii="宋体" w:hAnsi="宋体" w:eastAsia="宋体" w:cs="宋体"/>
                <w:color w:val="auto"/>
                <w:sz w:val="21"/>
                <w:szCs w:val="21"/>
                <w:vertAlign w:val="baseline"/>
                <w:lang w:val="en-US" w:eastAsia="zh-CN"/>
              </w:rPr>
            </w:pPr>
          </w:p>
        </w:tc>
        <w:tc>
          <w:tcPr>
            <w:tcW w:w="830" w:type="pct"/>
            <w:tcBorders>
              <w:top w:val="single" w:color="auto" w:sz="4" w:space="0"/>
              <w:left w:val="single" w:color="auto" w:sz="4" w:space="0"/>
              <w:bottom w:val="single" w:color="auto" w:sz="4" w:space="0"/>
              <w:right w:val="single" w:color="auto" w:sz="4" w:space="0"/>
            </w:tcBorders>
            <w:noWrap w:val="0"/>
            <w:vAlign w:val="center"/>
          </w:tcPr>
          <w:p w14:paraId="6A43A49F">
            <w:pPr>
              <w:jc w:val="center"/>
              <w:rPr>
                <w:rFonts w:hint="eastAsia" w:ascii="宋体" w:hAnsi="宋体" w:eastAsia="宋体" w:cs="宋体"/>
                <w:color w:val="auto"/>
                <w:sz w:val="21"/>
                <w:szCs w:val="21"/>
                <w:vertAlign w:val="baseline"/>
                <w:lang w:val="en-US" w:eastAsia="zh-CN"/>
              </w:rPr>
            </w:pPr>
          </w:p>
        </w:tc>
      </w:tr>
      <w:tr w14:paraId="2B7701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1" w:type="pct"/>
            <w:tcBorders>
              <w:top w:val="single" w:color="auto" w:sz="4" w:space="0"/>
            </w:tcBorders>
            <w:noWrap w:val="0"/>
            <w:vAlign w:val="center"/>
          </w:tcPr>
          <w:p w14:paraId="555566FA">
            <w:pPr>
              <w:spacing w:beforeLines="0" w:afterLines="0"/>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lang w:bidi="ar"/>
              </w:rPr>
              <w:t>3</w:t>
            </w:r>
          </w:p>
        </w:tc>
        <w:tc>
          <w:tcPr>
            <w:tcW w:w="1275" w:type="pct"/>
            <w:gridSpan w:val="2"/>
            <w:tcBorders>
              <w:top w:val="single" w:color="auto" w:sz="4" w:space="0"/>
            </w:tcBorders>
            <w:noWrap w:val="0"/>
            <w:vAlign w:val="center"/>
          </w:tcPr>
          <w:p w14:paraId="306CFC41">
            <w:pPr>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highlight w:val="none"/>
              </w:rPr>
              <w:t>项目负责人</w:t>
            </w:r>
          </w:p>
        </w:tc>
        <w:tc>
          <w:tcPr>
            <w:tcW w:w="529" w:type="pct"/>
            <w:tcBorders>
              <w:top w:val="single" w:color="auto" w:sz="4" w:space="0"/>
            </w:tcBorders>
            <w:noWrap w:val="0"/>
            <w:vAlign w:val="center"/>
          </w:tcPr>
          <w:p w14:paraId="7AFD2CC2">
            <w:pPr>
              <w:jc w:val="center"/>
              <w:rPr>
                <w:rFonts w:hint="eastAsia" w:ascii="宋体" w:hAnsi="宋体" w:eastAsia="宋体" w:cs="宋体"/>
                <w:color w:val="auto"/>
                <w:sz w:val="21"/>
                <w:szCs w:val="21"/>
                <w:vertAlign w:val="baseline"/>
                <w:lang w:val="en-US" w:eastAsia="zh-CN"/>
              </w:rPr>
            </w:pPr>
          </w:p>
        </w:tc>
        <w:tc>
          <w:tcPr>
            <w:tcW w:w="1113" w:type="pct"/>
            <w:gridSpan w:val="2"/>
            <w:tcBorders>
              <w:top w:val="single" w:color="auto" w:sz="4" w:space="0"/>
            </w:tcBorders>
            <w:noWrap w:val="0"/>
            <w:vAlign w:val="center"/>
          </w:tcPr>
          <w:p w14:paraId="6851722D">
            <w:pPr>
              <w:jc w:val="center"/>
              <w:rPr>
                <w:rFonts w:hint="eastAsia" w:ascii="宋体" w:hAnsi="宋体" w:eastAsia="宋体" w:cs="宋体"/>
                <w:color w:val="auto"/>
                <w:sz w:val="21"/>
                <w:szCs w:val="21"/>
                <w:vertAlign w:val="baseline"/>
                <w:lang w:val="en-US" w:eastAsia="zh-CN"/>
              </w:rPr>
            </w:pPr>
          </w:p>
        </w:tc>
        <w:tc>
          <w:tcPr>
            <w:tcW w:w="838" w:type="pct"/>
            <w:tcBorders>
              <w:top w:val="single" w:color="auto" w:sz="4" w:space="0"/>
            </w:tcBorders>
            <w:noWrap w:val="0"/>
            <w:vAlign w:val="center"/>
          </w:tcPr>
          <w:p w14:paraId="6E470951">
            <w:pPr>
              <w:jc w:val="center"/>
              <w:rPr>
                <w:rFonts w:hint="eastAsia" w:ascii="宋体" w:hAnsi="宋体" w:eastAsia="宋体" w:cs="宋体"/>
                <w:color w:val="auto"/>
                <w:sz w:val="21"/>
                <w:szCs w:val="21"/>
                <w:vertAlign w:val="baseline"/>
                <w:lang w:val="en-US" w:eastAsia="zh-CN"/>
              </w:rPr>
            </w:pPr>
          </w:p>
        </w:tc>
        <w:tc>
          <w:tcPr>
            <w:tcW w:w="830" w:type="pct"/>
            <w:tcBorders>
              <w:top w:val="single" w:color="auto" w:sz="4" w:space="0"/>
            </w:tcBorders>
            <w:noWrap w:val="0"/>
            <w:vAlign w:val="center"/>
          </w:tcPr>
          <w:p w14:paraId="6C330245">
            <w:pPr>
              <w:jc w:val="center"/>
              <w:rPr>
                <w:rFonts w:hint="eastAsia" w:ascii="宋体" w:hAnsi="宋体" w:eastAsia="宋体" w:cs="宋体"/>
                <w:color w:val="auto"/>
                <w:sz w:val="21"/>
                <w:szCs w:val="21"/>
                <w:vertAlign w:val="baseline"/>
                <w:lang w:val="en-US" w:eastAsia="zh-CN"/>
              </w:rPr>
            </w:pPr>
          </w:p>
        </w:tc>
      </w:tr>
      <w:tr w14:paraId="0F1F5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1" w:type="pct"/>
            <w:noWrap w:val="0"/>
            <w:vAlign w:val="center"/>
          </w:tcPr>
          <w:p w14:paraId="24C13F01">
            <w:pPr>
              <w:spacing w:beforeLines="0" w:afterLines="0"/>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lang w:bidi="ar"/>
              </w:rPr>
              <w:t>4</w:t>
            </w:r>
          </w:p>
        </w:tc>
        <w:tc>
          <w:tcPr>
            <w:tcW w:w="1275" w:type="pct"/>
            <w:gridSpan w:val="2"/>
            <w:noWrap w:val="0"/>
            <w:vAlign w:val="center"/>
          </w:tcPr>
          <w:p w14:paraId="659BA575">
            <w:pPr>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highlight w:val="none"/>
              </w:rPr>
              <w:t>主要技术人员</w:t>
            </w:r>
          </w:p>
        </w:tc>
        <w:tc>
          <w:tcPr>
            <w:tcW w:w="529" w:type="pct"/>
            <w:noWrap w:val="0"/>
            <w:vAlign w:val="center"/>
          </w:tcPr>
          <w:p w14:paraId="41C65D53">
            <w:pPr>
              <w:jc w:val="center"/>
              <w:rPr>
                <w:rFonts w:hint="eastAsia" w:ascii="宋体" w:hAnsi="宋体" w:eastAsia="宋体" w:cs="宋体"/>
                <w:color w:val="auto"/>
                <w:sz w:val="21"/>
                <w:szCs w:val="21"/>
                <w:vertAlign w:val="baseline"/>
                <w:lang w:val="en-US" w:eastAsia="zh-CN"/>
              </w:rPr>
            </w:pPr>
          </w:p>
        </w:tc>
        <w:tc>
          <w:tcPr>
            <w:tcW w:w="1113" w:type="pct"/>
            <w:gridSpan w:val="2"/>
            <w:noWrap w:val="0"/>
            <w:vAlign w:val="center"/>
          </w:tcPr>
          <w:p w14:paraId="1159D1E0">
            <w:pPr>
              <w:jc w:val="center"/>
              <w:rPr>
                <w:rFonts w:hint="eastAsia" w:ascii="宋体" w:hAnsi="宋体" w:eastAsia="宋体" w:cs="宋体"/>
                <w:color w:val="auto"/>
                <w:sz w:val="21"/>
                <w:szCs w:val="21"/>
                <w:vertAlign w:val="baseline"/>
                <w:lang w:val="en-US" w:eastAsia="zh-CN"/>
              </w:rPr>
            </w:pPr>
          </w:p>
        </w:tc>
        <w:tc>
          <w:tcPr>
            <w:tcW w:w="838" w:type="pct"/>
            <w:noWrap w:val="0"/>
            <w:vAlign w:val="center"/>
          </w:tcPr>
          <w:p w14:paraId="36BF85C9">
            <w:pPr>
              <w:jc w:val="center"/>
              <w:rPr>
                <w:rFonts w:hint="eastAsia" w:ascii="宋体" w:hAnsi="宋体" w:eastAsia="宋体" w:cs="宋体"/>
                <w:color w:val="auto"/>
                <w:sz w:val="21"/>
                <w:szCs w:val="21"/>
                <w:vertAlign w:val="baseline"/>
                <w:lang w:val="en-US" w:eastAsia="zh-CN"/>
              </w:rPr>
            </w:pPr>
          </w:p>
        </w:tc>
        <w:tc>
          <w:tcPr>
            <w:tcW w:w="830" w:type="pct"/>
            <w:noWrap w:val="0"/>
            <w:vAlign w:val="center"/>
          </w:tcPr>
          <w:p w14:paraId="2D134E31">
            <w:pPr>
              <w:jc w:val="center"/>
              <w:rPr>
                <w:rFonts w:hint="eastAsia" w:ascii="宋体" w:hAnsi="宋体" w:eastAsia="宋体" w:cs="宋体"/>
                <w:color w:val="auto"/>
                <w:sz w:val="21"/>
                <w:szCs w:val="21"/>
                <w:vertAlign w:val="baseline"/>
                <w:lang w:val="en-US" w:eastAsia="zh-CN"/>
              </w:rPr>
            </w:pPr>
          </w:p>
        </w:tc>
      </w:tr>
      <w:tr w14:paraId="67337D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1" w:type="pct"/>
            <w:noWrap w:val="0"/>
            <w:vAlign w:val="center"/>
          </w:tcPr>
          <w:p w14:paraId="579BBA35">
            <w:pPr>
              <w:spacing w:beforeLines="0" w:afterLines="0"/>
              <w:jc w:val="center"/>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lang w:bidi="ar"/>
              </w:rPr>
              <w:t>5</w:t>
            </w:r>
          </w:p>
        </w:tc>
        <w:tc>
          <w:tcPr>
            <w:tcW w:w="1275" w:type="pct"/>
            <w:gridSpan w:val="2"/>
            <w:noWrap w:val="0"/>
            <w:vAlign w:val="center"/>
          </w:tcPr>
          <w:p w14:paraId="7540B359">
            <w:pPr>
              <w:widowControl w:val="0"/>
              <w:snapToGrid w:val="0"/>
              <w:ind w:left="0" w:leftChars="0" w:firstLine="0" w:firstLineChars="0"/>
              <w:jc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highlight w:val="none"/>
                <w:lang w:val="en-US" w:eastAsia="zh-CN" w:bidi="ar-SA"/>
              </w:rPr>
              <w:t>投标文件编制人员</w:t>
            </w:r>
          </w:p>
        </w:tc>
        <w:tc>
          <w:tcPr>
            <w:tcW w:w="529" w:type="pct"/>
            <w:noWrap w:val="0"/>
            <w:vAlign w:val="center"/>
          </w:tcPr>
          <w:p w14:paraId="058763C7">
            <w:pPr>
              <w:jc w:val="center"/>
              <w:rPr>
                <w:rFonts w:hint="eastAsia" w:ascii="宋体" w:hAnsi="宋体" w:eastAsia="宋体" w:cs="宋体"/>
                <w:color w:val="auto"/>
                <w:sz w:val="21"/>
                <w:szCs w:val="21"/>
                <w:vertAlign w:val="baseline"/>
                <w:lang w:val="en-US" w:eastAsia="zh-CN"/>
              </w:rPr>
            </w:pPr>
          </w:p>
        </w:tc>
        <w:tc>
          <w:tcPr>
            <w:tcW w:w="1113" w:type="pct"/>
            <w:gridSpan w:val="2"/>
            <w:noWrap w:val="0"/>
            <w:vAlign w:val="center"/>
          </w:tcPr>
          <w:p w14:paraId="68F9275B">
            <w:pPr>
              <w:jc w:val="center"/>
              <w:rPr>
                <w:rFonts w:hint="eastAsia" w:ascii="宋体" w:hAnsi="宋体" w:eastAsia="宋体" w:cs="宋体"/>
                <w:color w:val="auto"/>
                <w:sz w:val="21"/>
                <w:szCs w:val="21"/>
                <w:vertAlign w:val="baseline"/>
                <w:lang w:val="en-US" w:eastAsia="zh-CN"/>
              </w:rPr>
            </w:pPr>
          </w:p>
        </w:tc>
        <w:tc>
          <w:tcPr>
            <w:tcW w:w="838" w:type="pct"/>
            <w:noWrap w:val="0"/>
            <w:vAlign w:val="center"/>
          </w:tcPr>
          <w:p w14:paraId="367DC40F">
            <w:pPr>
              <w:jc w:val="center"/>
              <w:rPr>
                <w:rFonts w:hint="eastAsia" w:ascii="宋体" w:hAnsi="宋体" w:eastAsia="宋体" w:cs="宋体"/>
                <w:color w:val="auto"/>
                <w:sz w:val="21"/>
                <w:szCs w:val="21"/>
                <w:vertAlign w:val="baseline"/>
                <w:lang w:val="en-US" w:eastAsia="zh-CN"/>
              </w:rPr>
            </w:pPr>
          </w:p>
        </w:tc>
        <w:tc>
          <w:tcPr>
            <w:tcW w:w="830" w:type="pct"/>
            <w:noWrap w:val="0"/>
            <w:vAlign w:val="center"/>
          </w:tcPr>
          <w:p w14:paraId="1316ED22">
            <w:pPr>
              <w:jc w:val="center"/>
              <w:rPr>
                <w:rFonts w:hint="eastAsia" w:ascii="宋体" w:hAnsi="宋体" w:eastAsia="宋体" w:cs="宋体"/>
                <w:color w:val="auto"/>
                <w:sz w:val="21"/>
                <w:szCs w:val="21"/>
                <w:vertAlign w:val="baseline"/>
                <w:lang w:val="en-US" w:eastAsia="zh-CN"/>
              </w:rPr>
            </w:pPr>
          </w:p>
        </w:tc>
      </w:tr>
      <w:tr w14:paraId="7E3B4A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8"/>
            <w:noWrap w:val="0"/>
            <w:vAlign w:val="center"/>
          </w:tcPr>
          <w:p w14:paraId="1A9426EF">
            <w:pPr>
              <w:jc w:val="both"/>
              <w:rPr>
                <w:rFonts w:hint="eastAsia" w:ascii="宋体" w:hAnsi="宋体" w:eastAsia="宋体" w:cs="宋体"/>
                <w:color w:val="auto"/>
                <w:sz w:val="21"/>
                <w:szCs w:val="21"/>
                <w:vertAlign w:val="baseline"/>
                <w:lang w:val="en-US" w:eastAsia="zh-CN"/>
              </w:rPr>
            </w:pPr>
            <w:r>
              <w:rPr>
                <w:rFonts w:hint="eastAsia" w:ascii="宋体" w:hAnsi="宋体" w:eastAsia="宋体" w:cs="宋体"/>
                <w:b/>
                <w:bCs/>
                <w:color w:val="auto"/>
                <w:sz w:val="21"/>
                <w:szCs w:val="21"/>
                <w:highlight w:val="none"/>
                <w:vertAlign w:val="baseline"/>
                <w:lang w:val="en-US" w:eastAsia="zh-CN"/>
              </w:rPr>
              <w:t>说明：同一职务有多人担任（如主要技术人员），应分行填写。</w:t>
            </w:r>
          </w:p>
        </w:tc>
      </w:tr>
      <w:tr w14:paraId="75C8D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5000" w:type="pct"/>
            <w:gridSpan w:val="8"/>
            <w:noWrap w:val="0"/>
            <w:vAlign w:val="center"/>
          </w:tcPr>
          <w:p w14:paraId="61BD2F08">
            <w:pPr>
              <w:jc w:val="center"/>
              <w:rPr>
                <w:rFonts w:hint="eastAsia" w:ascii="宋体" w:hAnsi="宋体" w:eastAsia="宋体" w:cs="宋体"/>
                <w:b/>
                <w:bCs/>
                <w:color w:val="auto"/>
                <w:sz w:val="21"/>
                <w:szCs w:val="21"/>
                <w:vertAlign w:val="baseline"/>
                <w:lang w:val="en-US" w:eastAsia="zh-CN"/>
              </w:rPr>
            </w:pPr>
            <w:r>
              <w:rPr>
                <w:rFonts w:hint="eastAsia" w:ascii="宋体" w:hAnsi="宋体" w:eastAsia="宋体" w:cs="宋体"/>
                <w:b/>
                <w:bCs/>
                <w:color w:val="auto"/>
                <w:sz w:val="21"/>
                <w:szCs w:val="21"/>
                <w:vertAlign w:val="baseline"/>
                <w:lang w:val="en-US" w:eastAsia="zh-CN"/>
              </w:rPr>
              <w:t>投标（响应）供应商关联关系情况</w:t>
            </w:r>
          </w:p>
        </w:tc>
      </w:tr>
      <w:tr w14:paraId="296290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1" w:type="pct"/>
            <w:tcBorders>
              <w:bottom w:val="single" w:color="auto" w:sz="4" w:space="0"/>
            </w:tcBorders>
            <w:noWrap w:val="0"/>
            <w:vAlign w:val="center"/>
          </w:tcPr>
          <w:p w14:paraId="799E7F2D">
            <w:pPr>
              <w:jc w:val="center"/>
              <w:rPr>
                <w:rFonts w:hint="eastAsia" w:ascii="宋体" w:hAnsi="宋体" w:eastAsia="宋体" w:cs="宋体"/>
                <w:color w:val="auto"/>
                <w:sz w:val="21"/>
                <w:szCs w:val="21"/>
                <w:vertAlign w:val="baseline"/>
                <w:lang w:val="en-US" w:eastAsia="zh-CN" w:bidi="ar"/>
              </w:rPr>
            </w:pPr>
            <w:r>
              <w:rPr>
                <w:rFonts w:hint="eastAsia" w:ascii="宋体" w:hAnsi="宋体" w:eastAsia="宋体" w:cs="宋体"/>
                <w:color w:val="auto"/>
                <w:sz w:val="21"/>
                <w:szCs w:val="21"/>
                <w:vertAlign w:val="baseline"/>
                <w:lang w:val="en-US" w:eastAsia="zh-CN" w:bidi="ar"/>
              </w:rPr>
              <w:t>序号</w:t>
            </w:r>
          </w:p>
        </w:tc>
        <w:tc>
          <w:tcPr>
            <w:tcW w:w="1275" w:type="pct"/>
            <w:gridSpan w:val="2"/>
            <w:tcBorders>
              <w:bottom w:val="single" w:color="auto" w:sz="4" w:space="0"/>
            </w:tcBorders>
            <w:noWrap w:val="0"/>
            <w:vAlign w:val="center"/>
          </w:tcPr>
          <w:p w14:paraId="78A8BDA1">
            <w:pP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vertAlign w:val="baseline"/>
                <w:lang w:val="en-US" w:eastAsia="zh-CN"/>
              </w:rPr>
              <w:t>关联关系类型</w:t>
            </w:r>
          </w:p>
        </w:tc>
        <w:tc>
          <w:tcPr>
            <w:tcW w:w="971" w:type="pct"/>
            <w:gridSpan w:val="2"/>
            <w:tcBorders>
              <w:bottom w:val="single" w:color="auto" w:sz="4" w:space="0"/>
            </w:tcBorders>
            <w:noWrap w:val="0"/>
            <w:vAlign w:val="center"/>
          </w:tcPr>
          <w:p w14:paraId="416B6EDF">
            <w:pPr>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关联主体名称</w:t>
            </w:r>
          </w:p>
        </w:tc>
        <w:tc>
          <w:tcPr>
            <w:tcW w:w="2340" w:type="pct"/>
            <w:gridSpan w:val="3"/>
            <w:tcBorders>
              <w:bottom w:val="single" w:color="auto" w:sz="4" w:space="0"/>
            </w:tcBorders>
            <w:noWrap w:val="0"/>
            <w:vAlign w:val="center"/>
          </w:tcPr>
          <w:p w14:paraId="1549185C">
            <w:pPr>
              <w:jc w:val="center"/>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备注</w:t>
            </w:r>
          </w:p>
        </w:tc>
      </w:tr>
      <w:tr w14:paraId="57A5A2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1" w:type="pct"/>
            <w:tcBorders>
              <w:top w:val="single" w:color="auto" w:sz="4" w:space="0"/>
              <w:left w:val="single" w:color="auto" w:sz="4" w:space="0"/>
              <w:bottom w:val="single" w:color="auto" w:sz="4" w:space="0"/>
              <w:right w:val="single" w:color="auto" w:sz="4" w:space="0"/>
            </w:tcBorders>
            <w:noWrap w:val="0"/>
            <w:vAlign w:val="center"/>
          </w:tcPr>
          <w:p w14:paraId="3D9306AD">
            <w:pPr>
              <w:jc w:val="center"/>
              <w:rPr>
                <w:rFonts w:hint="eastAsia" w:ascii="宋体" w:hAnsi="宋体" w:eastAsia="宋体" w:cs="宋体"/>
                <w:color w:val="auto"/>
                <w:sz w:val="21"/>
                <w:szCs w:val="21"/>
                <w:vertAlign w:val="baseline"/>
                <w:lang w:val="en-US" w:eastAsia="zh-CN" w:bidi="ar"/>
              </w:rPr>
            </w:pPr>
            <w:r>
              <w:rPr>
                <w:rFonts w:hint="eastAsia" w:ascii="宋体" w:hAnsi="宋体" w:eastAsia="宋体" w:cs="宋体"/>
                <w:color w:val="auto"/>
                <w:sz w:val="21"/>
                <w:szCs w:val="21"/>
                <w:vertAlign w:val="baseline"/>
                <w:lang w:val="en-US" w:eastAsia="zh-CN" w:bidi="ar"/>
              </w:rPr>
              <w:t>1</w:t>
            </w:r>
          </w:p>
        </w:tc>
        <w:tc>
          <w:tcPr>
            <w:tcW w:w="1275" w:type="pct"/>
            <w:gridSpan w:val="2"/>
            <w:tcBorders>
              <w:top w:val="single" w:color="auto" w:sz="4" w:space="0"/>
              <w:left w:val="single" w:color="auto" w:sz="4" w:space="0"/>
              <w:bottom w:val="single" w:color="auto" w:sz="4" w:space="0"/>
              <w:right w:val="single" w:color="auto" w:sz="4" w:space="0"/>
            </w:tcBorders>
            <w:noWrap w:val="0"/>
            <w:vAlign w:val="center"/>
          </w:tcPr>
          <w:p w14:paraId="76CC62D9">
            <w:pP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控股股东</w:t>
            </w:r>
          </w:p>
        </w:tc>
        <w:tc>
          <w:tcPr>
            <w:tcW w:w="971" w:type="pct"/>
            <w:gridSpan w:val="2"/>
            <w:tcBorders>
              <w:top w:val="single" w:color="auto" w:sz="4" w:space="0"/>
              <w:left w:val="single" w:color="auto" w:sz="4" w:space="0"/>
              <w:bottom w:val="single" w:color="auto" w:sz="4" w:space="0"/>
              <w:right w:val="single" w:color="auto" w:sz="4" w:space="0"/>
            </w:tcBorders>
            <w:noWrap w:val="0"/>
            <w:vAlign w:val="center"/>
          </w:tcPr>
          <w:p w14:paraId="68EE797D">
            <w:pPr>
              <w:jc w:val="center"/>
              <w:rPr>
                <w:rFonts w:hint="eastAsia" w:ascii="宋体" w:hAnsi="宋体" w:eastAsia="宋体" w:cs="宋体"/>
                <w:color w:val="auto"/>
                <w:sz w:val="21"/>
                <w:szCs w:val="21"/>
                <w:highlight w:val="none"/>
                <w:vertAlign w:val="baseline"/>
                <w:lang w:val="en-US" w:eastAsia="zh-CN"/>
              </w:rPr>
            </w:pPr>
          </w:p>
        </w:tc>
        <w:tc>
          <w:tcPr>
            <w:tcW w:w="2340" w:type="pct"/>
            <w:gridSpan w:val="3"/>
            <w:tcBorders>
              <w:top w:val="single" w:color="auto" w:sz="4" w:space="0"/>
              <w:left w:val="single" w:color="auto" w:sz="4" w:space="0"/>
              <w:bottom w:val="single" w:color="auto" w:sz="4" w:space="0"/>
              <w:right w:val="single" w:color="auto" w:sz="4" w:space="0"/>
            </w:tcBorders>
            <w:noWrap w:val="0"/>
            <w:vAlign w:val="center"/>
          </w:tcPr>
          <w:p w14:paraId="56DE7CD9">
            <w:pPr>
              <w:snapToGrid w:val="0"/>
              <w:jc w:val="both"/>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指出资额（或持有股份）占投标（响应）供应商资本总额（或股本总额）50%以上的股东，以及出资额（或持有股份）的比例虽然不足50%，但依其出资额（或持有股份）所享有的表决权已足以对投标（响应）供应商股东会（或股东大会）的决议产生重要影响的股东。</w:t>
            </w:r>
          </w:p>
        </w:tc>
      </w:tr>
      <w:tr w14:paraId="04729C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jc w:val="center"/>
        </w:trPr>
        <w:tc>
          <w:tcPr>
            <w:tcW w:w="411" w:type="pct"/>
            <w:tcBorders>
              <w:top w:val="single" w:color="auto" w:sz="4" w:space="0"/>
              <w:left w:val="single" w:color="auto" w:sz="4" w:space="0"/>
              <w:bottom w:val="single" w:color="auto" w:sz="4" w:space="0"/>
              <w:right w:val="single" w:color="auto" w:sz="4" w:space="0"/>
            </w:tcBorders>
            <w:noWrap w:val="0"/>
            <w:vAlign w:val="center"/>
          </w:tcPr>
          <w:p w14:paraId="30C090D9">
            <w:pPr>
              <w:jc w:val="center"/>
              <w:rPr>
                <w:rFonts w:hint="eastAsia" w:ascii="宋体" w:hAnsi="宋体" w:eastAsia="宋体" w:cs="宋体"/>
                <w:color w:val="auto"/>
                <w:sz w:val="21"/>
                <w:szCs w:val="21"/>
                <w:vertAlign w:val="baseline"/>
                <w:lang w:val="en-US" w:eastAsia="zh-CN" w:bidi="ar"/>
              </w:rPr>
            </w:pPr>
            <w:r>
              <w:rPr>
                <w:rFonts w:hint="eastAsia" w:ascii="宋体" w:hAnsi="宋体" w:eastAsia="宋体" w:cs="宋体"/>
                <w:color w:val="auto"/>
                <w:sz w:val="21"/>
                <w:szCs w:val="21"/>
                <w:vertAlign w:val="baseline"/>
                <w:lang w:val="en-US" w:eastAsia="zh-CN" w:bidi="ar"/>
              </w:rPr>
              <w:t>2</w:t>
            </w:r>
          </w:p>
        </w:tc>
        <w:tc>
          <w:tcPr>
            <w:tcW w:w="1275" w:type="pct"/>
            <w:gridSpan w:val="2"/>
            <w:tcBorders>
              <w:top w:val="single" w:color="auto" w:sz="4" w:space="0"/>
              <w:left w:val="single" w:color="auto" w:sz="4" w:space="0"/>
              <w:bottom w:val="single" w:color="auto" w:sz="4" w:space="0"/>
              <w:right w:val="single" w:color="auto" w:sz="4" w:space="0"/>
            </w:tcBorders>
            <w:noWrap w:val="0"/>
            <w:vAlign w:val="center"/>
          </w:tcPr>
          <w:p w14:paraId="587A3507">
            <w:pP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管理关系</w:t>
            </w:r>
          </w:p>
        </w:tc>
        <w:tc>
          <w:tcPr>
            <w:tcW w:w="971" w:type="pct"/>
            <w:gridSpan w:val="2"/>
            <w:tcBorders>
              <w:top w:val="single" w:color="auto" w:sz="4" w:space="0"/>
              <w:left w:val="single" w:color="auto" w:sz="4" w:space="0"/>
              <w:bottom w:val="single" w:color="auto" w:sz="4" w:space="0"/>
              <w:right w:val="single" w:color="auto" w:sz="4" w:space="0"/>
            </w:tcBorders>
            <w:noWrap w:val="0"/>
            <w:vAlign w:val="center"/>
          </w:tcPr>
          <w:p w14:paraId="34960FDA">
            <w:pPr>
              <w:jc w:val="center"/>
              <w:rPr>
                <w:rFonts w:hint="eastAsia" w:ascii="宋体" w:hAnsi="宋体" w:eastAsia="宋体" w:cs="宋体"/>
                <w:color w:val="auto"/>
                <w:sz w:val="21"/>
                <w:szCs w:val="21"/>
                <w:highlight w:val="none"/>
                <w:vertAlign w:val="baseline"/>
                <w:lang w:val="en-US" w:eastAsia="zh-CN"/>
              </w:rPr>
            </w:pPr>
          </w:p>
        </w:tc>
        <w:tc>
          <w:tcPr>
            <w:tcW w:w="2340" w:type="pct"/>
            <w:gridSpan w:val="3"/>
            <w:tcBorders>
              <w:top w:val="single" w:color="auto" w:sz="4" w:space="0"/>
              <w:left w:val="single" w:color="auto" w:sz="4" w:space="0"/>
              <w:bottom w:val="single" w:color="auto" w:sz="4" w:space="0"/>
              <w:right w:val="single" w:color="auto" w:sz="4" w:space="0"/>
            </w:tcBorders>
            <w:noWrap w:val="0"/>
            <w:vAlign w:val="center"/>
          </w:tcPr>
          <w:p w14:paraId="0C2FE644">
            <w:pPr>
              <w:snapToGrid w:val="0"/>
              <w:jc w:val="both"/>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color w:val="auto"/>
                <w:sz w:val="21"/>
                <w:szCs w:val="21"/>
                <w:highlight w:val="none"/>
                <w:vertAlign w:val="baseline"/>
                <w:lang w:val="en-US" w:eastAsia="zh-CN"/>
              </w:rPr>
              <w:t>指对投标（响应）供应商不具有出资持股关系，但对其存在管理关系的主体。</w:t>
            </w:r>
          </w:p>
        </w:tc>
      </w:tr>
      <w:tr w14:paraId="067F17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5000" w:type="pct"/>
            <w:gridSpan w:val="8"/>
            <w:tcBorders>
              <w:top w:val="single" w:color="auto" w:sz="4" w:space="0"/>
              <w:left w:val="single" w:color="auto" w:sz="4" w:space="0"/>
              <w:bottom w:val="single" w:color="auto" w:sz="4" w:space="0"/>
              <w:right w:val="single" w:color="auto" w:sz="4" w:space="0"/>
            </w:tcBorders>
            <w:noWrap w:val="0"/>
            <w:vAlign w:val="center"/>
          </w:tcPr>
          <w:p w14:paraId="034ACE45">
            <w:pPr>
              <w:snapToGrid w:val="0"/>
              <w:jc w:val="both"/>
              <w:rPr>
                <w:rFonts w:hint="eastAsia" w:ascii="宋体" w:hAnsi="宋体" w:eastAsia="宋体" w:cs="宋体"/>
                <w:color w:val="auto"/>
                <w:sz w:val="21"/>
                <w:szCs w:val="21"/>
                <w:highlight w:val="none"/>
                <w:vertAlign w:val="baseline"/>
                <w:lang w:val="en-US" w:eastAsia="zh-CN"/>
              </w:rPr>
            </w:pPr>
            <w:r>
              <w:rPr>
                <w:rFonts w:hint="eastAsia" w:ascii="宋体" w:hAnsi="宋体" w:eastAsia="宋体" w:cs="宋体"/>
                <w:b/>
                <w:bCs/>
                <w:color w:val="auto"/>
                <w:sz w:val="21"/>
                <w:szCs w:val="21"/>
                <w:highlight w:val="none"/>
                <w:vertAlign w:val="baseline"/>
                <w:lang w:val="en-US" w:eastAsia="zh-CN"/>
              </w:rPr>
              <w:t>说明：同一关联关系类型有多个主体的，应分行填写。</w:t>
            </w:r>
          </w:p>
        </w:tc>
      </w:tr>
    </w:tbl>
    <w:p w14:paraId="4129AD07">
      <w:pPr>
        <w:pStyle w:val="50"/>
        <w:rPr>
          <w:rFonts w:hint="eastAsia" w:ascii="宋体" w:hAnsi="宋体"/>
          <w:b/>
          <w:color w:val="FF0000"/>
          <w:sz w:val="28"/>
          <w:szCs w:val="28"/>
        </w:rPr>
      </w:pPr>
    </w:p>
    <w:p w14:paraId="6106A523">
      <w:pPr>
        <w:pStyle w:val="3"/>
        <w:jc w:val="center"/>
        <w:rPr>
          <w:rFonts w:ascii="黑体" w:eastAsia="黑体"/>
          <w:b w:val="0"/>
          <w:sz w:val="24"/>
        </w:rPr>
      </w:pPr>
      <w:r>
        <w:rPr>
          <w:rFonts w:hint="eastAsia" w:ascii="黑体" w:eastAsia="黑体"/>
          <w:b w:val="0"/>
          <w:sz w:val="24"/>
          <w:lang w:val="en-US" w:eastAsia="zh-CN"/>
        </w:rPr>
        <w:t>二</w:t>
      </w:r>
      <w:r>
        <w:rPr>
          <w:rFonts w:hint="eastAsia" w:ascii="黑体" w:eastAsia="黑体"/>
          <w:b w:val="0"/>
          <w:sz w:val="24"/>
        </w:rPr>
        <w:t>、</w:t>
      </w:r>
      <w:bookmarkStart w:id="46" w:name="_Hlk72092499"/>
      <w:r>
        <w:rPr>
          <w:rFonts w:hint="eastAsia" w:ascii="黑体" w:eastAsia="黑体"/>
          <w:b w:val="0"/>
          <w:sz w:val="24"/>
        </w:rPr>
        <w:t>法定代表人（负责人）证明书</w:t>
      </w:r>
      <w:bookmarkEnd w:id="46"/>
    </w:p>
    <w:p w14:paraId="749C1DD0">
      <w:pPr>
        <w:rPr>
          <w:sz w:val="24"/>
        </w:rPr>
      </w:pPr>
    </w:p>
    <w:p w14:paraId="1A34E5DF">
      <w:pPr>
        <w:spacing w:line="360" w:lineRule="auto"/>
        <w:ind w:firstLine="420" w:firstLineChars="200"/>
        <w:rPr>
          <w:rFonts w:hint="default" w:eastAsia="宋体"/>
          <w:szCs w:val="21"/>
          <w:lang w:val="en-US" w:eastAsia="zh-CN"/>
        </w:rPr>
      </w:pPr>
      <w:r>
        <w:rPr>
          <w:rFonts w:hint="eastAsia"/>
          <w:szCs w:val="21"/>
          <w:u w:val="single"/>
        </w:rPr>
        <w:t xml:space="preserve">         </w:t>
      </w:r>
      <w:r>
        <w:rPr>
          <w:rFonts w:hint="eastAsia" w:ascii="Times New Roman" w:eastAsia="宋体"/>
          <w:szCs w:val="21"/>
          <w:u w:val="single"/>
          <w:lang w:val="en-US" w:eastAsia="zh-CN"/>
        </w:rPr>
        <w:t xml:space="preserve">  </w:t>
      </w:r>
      <w:r>
        <w:rPr>
          <w:rFonts w:hint="eastAsia"/>
          <w:szCs w:val="21"/>
          <w:u w:val="single"/>
        </w:rPr>
        <w:t xml:space="preserve">   </w:t>
      </w:r>
      <w:r>
        <w:rPr>
          <w:rFonts w:hint="eastAsia" w:ascii="Times New Roman" w:eastAsia="宋体"/>
          <w:szCs w:val="21"/>
          <w:u w:val="single"/>
          <w:lang w:val="en-US" w:eastAsia="zh-CN"/>
        </w:rPr>
        <w:t xml:space="preserve">   </w:t>
      </w:r>
      <w:r>
        <w:rPr>
          <w:rFonts w:hint="eastAsia" w:eastAsia="宋体"/>
          <w:szCs w:val="21"/>
          <w:u w:val="none"/>
          <w:lang w:eastAsia="zh-CN"/>
        </w:rPr>
        <w:t>（</w:t>
      </w:r>
      <w:r>
        <w:rPr>
          <w:rFonts w:hint="eastAsia" w:ascii="Times New Roman" w:eastAsia="宋体"/>
          <w:szCs w:val="21"/>
          <w:u w:val="none"/>
          <w:lang w:val="en-US" w:eastAsia="zh-CN"/>
        </w:rPr>
        <w:t>姓名</w:t>
      </w:r>
      <w:r>
        <w:rPr>
          <w:rFonts w:hint="eastAsia" w:eastAsia="宋体"/>
          <w:szCs w:val="21"/>
          <w:u w:val="none"/>
          <w:lang w:eastAsia="zh-CN"/>
        </w:rPr>
        <w:t>）</w:t>
      </w:r>
      <w:r>
        <w:rPr>
          <w:rFonts w:hint="eastAsia"/>
          <w:szCs w:val="21"/>
        </w:rPr>
        <w:t>，现任我单位</w:t>
      </w:r>
      <w:r>
        <w:rPr>
          <w:rFonts w:hint="eastAsia"/>
          <w:szCs w:val="21"/>
          <w:u w:val="single"/>
        </w:rPr>
        <w:t xml:space="preserve">     </w:t>
      </w:r>
      <w:r>
        <w:rPr>
          <w:rFonts w:hint="eastAsia" w:ascii="Times New Roman" w:eastAsia="宋体"/>
          <w:szCs w:val="21"/>
          <w:u w:val="single"/>
          <w:lang w:val="en-US" w:eastAsia="zh-CN"/>
        </w:rPr>
        <w:t xml:space="preserve">    </w:t>
      </w:r>
      <w:r>
        <w:rPr>
          <w:rFonts w:hint="eastAsia"/>
          <w:szCs w:val="21"/>
          <w:u w:val="single"/>
        </w:rPr>
        <w:t xml:space="preserve">    </w:t>
      </w:r>
      <w:r>
        <w:rPr>
          <w:rFonts w:hint="eastAsia"/>
          <w:szCs w:val="21"/>
        </w:rPr>
        <w:t>职务，为法定代表人（负责人），</w:t>
      </w:r>
      <w:r>
        <w:rPr>
          <w:rFonts w:hint="eastAsia" w:ascii="Times New Roman" w:eastAsia="宋体"/>
          <w:szCs w:val="21"/>
          <w:lang w:val="en-US" w:eastAsia="zh-CN"/>
        </w:rPr>
        <w:t>身份证件</w:t>
      </w:r>
      <w:r>
        <w:rPr>
          <w:rFonts w:hint="eastAsia"/>
          <w:szCs w:val="21"/>
        </w:rPr>
        <w:t>号</w:t>
      </w:r>
      <w:r>
        <w:rPr>
          <w:rFonts w:hint="eastAsia" w:ascii="Times New Roman" w:eastAsia="宋体"/>
          <w:szCs w:val="21"/>
          <w:lang w:val="en-US" w:eastAsia="zh-CN"/>
        </w:rPr>
        <w:t>为</w:t>
      </w:r>
      <w:r>
        <w:rPr>
          <w:rFonts w:hint="eastAsia"/>
          <w:szCs w:val="21"/>
        </w:rPr>
        <w:t>：</w:t>
      </w:r>
      <w:r>
        <w:rPr>
          <w:rFonts w:hint="eastAsia"/>
          <w:szCs w:val="21"/>
          <w:u w:val="single"/>
        </w:rPr>
        <w:t xml:space="preserve">                                     </w:t>
      </w:r>
      <w:r>
        <w:rPr>
          <w:rFonts w:hint="eastAsia" w:eastAsia="宋体"/>
          <w:szCs w:val="21"/>
          <w:u w:val="none"/>
          <w:lang w:eastAsia="zh-CN"/>
        </w:rPr>
        <w:t>，</w:t>
      </w:r>
      <w:r>
        <w:rPr>
          <w:rFonts w:hint="eastAsia"/>
          <w:szCs w:val="21"/>
        </w:rPr>
        <w:t>联系电话：</w:t>
      </w:r>
      <w:r>
        <w:rPr>
          <w:rFonts w:hint="eastAsia" w:ascii="Times New Roman" w:eastAsia="宋体"/>
          <w:szCs w:val="21"/>
          <w:u w:val="single"/>
          <w:lang w:val="en-US" w:eastAsia="zh-CN"/>
        </w:rPr>
        <w:t xml:space="preserve">                </w:t>
      </w:r>
      <w:r>
        <w:rPr>
          <w:rFonts w:hint="eastAsia" w:ascii="Times New Roman" w:eastAsia="宋体"/>
          <w:szCs w:val="21"/>
          <w:lang w:val="en-US" w:eastAsia="zh-CN"/>
        </w:rPr>
        <w:t>。</w:t>
      </w:r>
    </w:p>
    <w:p w14:paraId="4C126757">
      <w:pPr>
        <w:spacing w:line="360" w:lineRule="auto"/>
        <w:ind w:firstLine="420" w:firstLineChars="200"/>
        <w:rPr>
          <w:szCs w:val="21"/>
        </w:rPr>
      </w:pPr>
      <w:r>
        <w:rPr>
          <w:rFonts w:hint="eastAsia"/>
          <w:szCs w:val="21"/>
        </w:rPr>
        <w:t>特此证明。</w:t>
      </w:r>
    </w:p>
    <w:p w14:paraId="0C0A8E96">
      <w:pPr>
        <w:spacing w:line="360" w:lineRule="auto"/>
        <w:ind w:firstLine="420" w:firstLineChars="200"/>
        <w:rPr>
          <w:rFonts w:hint="eastAsia"/>
          <w:szCs w:val="21"/>
        </w:rPr>
      </w:pPr>
      <w:r>
        <w:rPr>
          <w:rFonts w:hint="eastAsia"/>
          <w:szCs w:val="21"/>
        </w:rPr>
        <w:t>说明：1</w:t>
      </w:r>
      <w:r>
        <w:rPr>
          <w:rFonts w:hint="eastAsia"/>
          <w:szCs w:val="21"/>
          <w:lang w:val="en-US" w:eastAsia="zh-CN"/>
        </w:rPr>
        <w:t>.</w:t>
      </w:r>
      <w:r>
        <w:rPr>
          <w:rFonts w:hint="eastAsia"/>
          <w:szCs w:val="21"/>
        </w:rPr>
        <w:t>法定代表人为投标人（企业事业单位、国家机关、社会团体）的主要行政负责人。</w:t>
      </w:r>
    </w:p>
    <w:p w14:paraId="2A54D060">
      <w:pPr>
        <w:numPr>
          <w:ilvl w:val="0"/>
          <w:numId w:val="0"/>
        </w:numPr>
        <w:spacing w:line="360" w:lineRule="auto"/>
        <w:ind w:firstLine="420" w:firstLineChars="200"/>
        <w:rPr>
          <w:rFonts w:hint="eastAsia"/>
          <w:color w:val="auto"/>
          <w:szCs w:val="21"/>
          <w:lang w:val="en-US" w:eastAsia="zh-CN"/>
        </w:rPr>
      </w:pPr>
      <w:r>
        <w:rPr>
          <w:rFonts w:hint="eastAsia"/>
          <w:color w:val="auto"/>
          <w:szCs w:val="21"/>
          <w:lang w:val="en-US" w:eastAsia="zh-CN"/>
        </w:rPr>
        <w:t>2.</w:t>
      </w:r>
      <w:r>
        <w:rPr>
          <w:rFonts w:hint="eastAsia" w:eastAsia="宋体"/>
          <w:color w:val="auto"/>
          <w:szCs w:val="21"/>
          <w:lang w:eastAsia="zh-Hans"/>
        </w:rPr>
        <w:t>本证明书要供法定代表人（负责人）</w:t>
      </w:r>
      <w:r>
        <w:rPr>
          <w:rFonts w:hint="eastAsia" w:ascii="Times New Roman" w:eastAsia="宋体"/>
          <w:color w:val="auto"/>
          <w:szCs w:val="21"/>
          <w:lang w:val="en-US" w:eastAsia="zh-CN"/>
        </w:rPr>
        <w:t>相关身份证明文件：身份证扫描件（正反两面）</w:t>
      </w:r>
      <w:r>
        <w:rPr>
          <w:rFonts w:hint="eastAsia"/>
          <w:color w:val="auto"/>
          <w:szCs w:val="21"/>
          <w:lang w:val="en-US" w:eastAsia="zh-CN"/>
        </w:rPr>
        <w:t>方为有效</w:t>
      </w:r>
      <w:r>
        <w:rPr>
          <w:rFonts w:hint="eastAsia" w:ascii="Times New Roman" w:eastAsia="宋体"/>
          <w:color w:val="auto"/>
          <w:szCs w:val="21"/>
          <w:lang w:val="en-US" w:eastAsia="zh-CN"/>
        </w:rPr>
        <w:t>；港澳台居民可提供来往通行证扫描件；非中国国籍管辖范围人员，可提供公安部门认可的身份证明材料扫描件。</w:t>
      </w:r>
    </w:p>
    <w:p w14:paraId="360F95F2">
      <w:pPr>
        <w:numPr>
          <w:ilvl w:val="0"/>
          <w:numId w:val="0"/>
        </w:numPr>
        <w:spacing w:line="360" w:lineRule="auto"/>
        <w:ind w:firstLine="420" w:firstLineChars="200"/>
        <w:rPr>
          <w:szCs w:val="21"/>
        </w:rPr>
      </w:pPr>
      <w:r>
        <w:rPr>
          <w:rFonts w:hint="eastAsia"/>
          <w:color w:val="auto"/>
          <w:szCs w:val="21"/>
          <w:lang w:val="en-US" w:eastAsia="zh-CN"/>
        </w:rPr>
        <w:t>3.</w:t>
      </w:r>
      <w:r>
        <w:rPr>
          <w:rFonts w:hint="eastAsia" w:eastAsia="宋体"/>
          <w:color w:val="auto"/>
          <w:szCs w:val="21"/>
          <w:lang w:eastAsia="zh-Hans"/>
        </w:rPr>
        <w:t>本项目投标授权代表为法定代表人（负责人）的，无需提供</w:t>
      </w:r>
      <w:r>
        <w:rPr>
          <w:rFonts w:hint="eastAsia"/>
          <w:color w:val="auto"/>
          <w:szCs w:val="21"/>
        </w:rPr>
        <w:t>《投标文件签署授权委托书》</w:t>
      </w:r>
      <w:r>
        <w:rPr>
          <w:rFonts w:hint="eastAsia" w:eastAsia="宋体"/>
          <w:color w:val="auto"/>
          <w:szCs w:val="21"/>
          <w:lang w:eastAsia="zh-Hans"/>
        </w:rPr>
        <w:t>。</w:t>
      </w:r>
    </w:p>
    <w:p w14:paraId="0AEB52E7">
      <w:pPr>
        <w:numPr>
          <w:ilvl w:val="0"/>
          <w:numId w:val="0"/>
        </w:numPr>
        <w:spacing w:line="360" w:lineRule="auto"/>
        <w:ind w:firstLine="420" w:firstLineChars="200"/>
        <w:rPr>
          <w:szCs w:val="21"/>
        </w:rPr>
      </w:pPr>
      <w:r>
        <w:rPr>
          <w:rFonts w:hint="eastAsia"/>
          <w:szCs w:val="21"/>
          <w:lang w:val="en-US" w:eastAsia="zh-CN"/>
        </w:rPr>
        <w:t>4.</w:t>
      </w:r>
      <w:r>
        <w:rPr>
          <w:rFonts w:hint="eastAsia"/>
          <w:szCs w:val="21"/>
        </w:rPr>
        <w:t>内容必须填写真实、清楚，涂改无效，不得转让、买卖。</w:t>
      </w:r>
    </w:p>
    <w:tbl>
      <w:tblPr>
        <w:tblStyle w:val="43"/>
        <w:tblW w:w="85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4"/>
        <w:gridCol w:w="4265"/>
      </w:tblGrid>
      <w:tr w14:paraId="1BB548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4" w:type="dxa"/>
            <w:vAlign w:val="top"/>
          </w:tcPr>
          <w:p w14:paraId="572E2C63">
            <w:pPr>
              <w:jc w:val="center"/>
              <w:rPr>
                <w:rFonts w:hint="eastAsia"/>
                <w:lang w:val="en-US" w:eastAsia="zh-CN"/>
              </w:rPr>
            </w:pPr>
            <w:r>
              <w:rPr>
                <w:rFonts w:hint="eastAsia" w:ascii="Times New Roman" w:eastAsia="宋体"/>
                <w:lang w:val="en-US" w:eastAsia="zh-CN"/>
              </w:rPr>
              <w:t>证件扫描件正面</w:t>
            </w:r>
          </w:p>
          <w:p w14:paraId="41FABA5B">
            <w:pPr>
              <w:pStyle w:val="8"/>
              <w:jc w:val="center"/>
              <w:rPr>
                <w:rFonts w:hint="eastAsia"/>
                <w:lang w:val="en-US" w:eastAsia="zh-CN"/>
              </w:rPr>
            </w:pPr>
            <w:r>
              <w:rPr>
                <w:rFonts w:hint="eastAsia"/>
                <w:lang w:val="en-US" w:eastAsia="zh-CN"/>
              </w:rPr>
              <w:t xml:space="preserve"> </w:t>
            </w:r>
          </w:p>
          <w:p w14:paraId="5F879759">
            <w:pPr>
              <w:pStyle w:val="9"/>
              <w:rPr>
                <w:rFonts w:hint="eastAsia"/>
                <w:lang w:val="en-US" w:eastAsia="zh-CN"/>
              </w:rPr>
            </w:pPr>
          </w:p>
          <w:p w14:paraId="0A7102FF">
            <w:pPr>
              <w:pStyle w:val="9"/>
              <w:rPr>
                <w:rFonts w:hint="eastAsia"/>
                <w:lang w:val="en-US" w:eastAsia="zh-CN"/>
              </w:rPr>
            </w:pPr>
          </w:p>
          <w:p w14:paraId="055E0BDD">
            <w:pPr>
              <w:pStyle w:val="9"/>
              <w:rPr>
                <w:rFonts w:hint="eastAsia"/>
                <w:lang w:val="en-US" w:eastAsia="zh-CN"/>
              </w:rPr>
            </w:pPr>
          </w:p>
          <w:p w14:paraId="3D3B325F">
            <w:pPr>
              <w:pStyle w:val="9"/>
              <w:rPr>
                <w:rFonts w:hint="default"/>
                <w:lang w:val="en-US" w:eastAsia="zh-CN"/>
              </w:rPr>
            </w:pPr>
          </w:p>
          <w:p w14:paraId="1F4B7D06">
            <w:pPr>
              <w:pStyle w:val="9"/>
              <w:jc w:val="center"/>
              <w:rPr>
                <w:rFonts w:hint="default"/>
                <w:lang w:val="en-US" w:eastAsia="zh-CN"/>
              </w:rPr>
            </w:pPr>
          </w:p>
        </w:tc>
        <w:tc>
          <w:tcPr>
            <w:tcW w:w="4265" w:type="dxa"/>
            <w:vAlign w:val="top"/>
          </w:tcPr>
          <w:p w14:paraId="4506D4F6">
            <w:pPr>
              <w:jc w:val="center"/>
              <w:rPr>
                <w:rFonts w:hint="eastAsia"/>
                <w:lang w:val="en-US" w:eastAsia="zh-CN"/>
              </w:rPr>
            </w:pPr>
            <w:r>
              <w:rPr>
                <w:rFonts w:hint="eastAsia" w:ascii="Times New Roman" w:eastAsia="宋体"/>
                <w:lang w:val="en-US" w:eastAsia="zh-CN"/>
              </w:rPr>
              <w:t>证件扫描件反面</w:t>
            </w:r>
          </w:p>
          <w:p w14:paraId="1F6503D2">
            <w:pPr>
              <w:pStyle w:val="8"/>
              <w:jc w:val="center"/>
              <w:rPr>
                <w:rFonts w:hint="eastAsia"/>
                <w:lang w:val="en-US" w:eastAsia="zh-CN"/>
              </w:rPr>
            </w:pPr>
          </w:p>
          <w:p w14:paraId="1F9BA0B2">
            <w:pPr>
              <w:pStyle w:val="9"/>
              <w:jc w:val="center"/>
              <w:rPr>
                <w:rFonts w:hint="eastAsia"/>
                <w:sz w:val="24"/>
                <w:vertAlign w:val="baseline"/>
                <w:lang w:val="en-US" w:eastAsia="zh-CN"/>
              </w:rPr>
            </w:pPr>
          </w:p>
        </w:tc>
      </w:tr>
    </w:tbl>
    <w:p w14:paraId="782A99E7">
      <w:pPr>
        <w:rPr>
          <w:color w:val="auto"/>
          <w:sz w:val="24"/>
          <w:highlight w:val="none"/>
        </w:rPr>
      </w:pPr>
      <w:r>
        <w:rPr>
          <w:rFonts w:hint="eastAsia"/>
          <w:color w:val="auto"/>
          <w:highlight w:val="none"/>
          <w:lang w:val="en-US" w:eastAsia="zh-CN"/>
        </w:rPr>
        <w:t>温馨提示：为避免出现《深圳经济特区政府采购条例实施细则》第七十五条第二项所列情形，请投标供应商核实你单位法定代表人、本项目投标授权代表人、项目负责人（如有）、主要技术人员（如有）等是否在你公司缴纳社会保险。</w:t>
      </w:r>
    </w:p>
    <w:p w14:paraId="2D92AAD2">
      <w:pPr>
        <w:rPr>
          <w:sz w:val="24"/>
        </w:rPr>
      </w:pPr>
    </w:p>
    <w:p w14:paraId="3D6BAADD">
      <w:pPr>
        <w:pStyle w:val="3"/>
        <w:spacing w:before="120" w:after="120"/>
        <w:jc w:val="center"/>
        <w:rPr>
          <w:rFonts w:ascii="黑体" w:eastAsia="黑体"/>
          <w:b w:val="0"/>
          <w:sz w:val="24"/>
        </w:rPr>
      </w:pPr>
      <w:r>
        <w:rPr>
          <w:rFonts w:hint="eastAsia" w:ascii="黑体" w:eastAsia="黑体"/>
          <w:b w:val="0"/>
          <w:sz w:val="24"/>
          <w:lang w:val="en-US" w:eastAsia="zh-CN"/>
        </w:rPr>
        <w:t>三</w:t>
      </w:r>
      <w:r>
        <w:rPr>
          <w:rFonts w:hint="eastAsia" w:ascii="黑体" w:eastAsia="黑体"/>
          <w:b w:val="0"/>
          <w:sz w:val="24"/>
        </w:rPr>
        <w:t>、投标文件签署授权委托书</w:t>
      </w:r>
    </w:p>
    <w:p w14:paraId="344F47B6">
      <w:pPr>
        <w:spacing w:line="360" w:lineRule="auto"/>
        <w:ind w:firstLine="420" w:firstLineChars="200"/>
        <w:rPr>
          <w:rFonts w:hint="eastAsia"/>
          <w:szCs w:val="21"/>
        </w:rPr>
      </w:pPr>
      <w:r>
        <w:rPr>
          <w:rFonts w:hint="eastAsia"/>
          <w:szCs w:val="21"/>
        </w:rPr>
        <w:t>本授权委托书声明：我</w:t>
      </w:r>
      <w:r>
        <w:rPr>
          <w:rFonts w:hint="eastAsia"/>
          <w:szCs w:val="21"/>
          <w:u w:val="single"/>
        </w:rPr>
        <w:t xml:space="preserve">           </w:t>
      </w:r>
      <w:r>
        <w:rPr>
          <w:rFonts w:hint="eastAsia"/>
          <w:szCs w:val="21"/>
        </w:rPr>
        <w:t>（姓名）系</w:t>
      </w:r>
      <w:r>
        <w:rPr>
          <w:rFonts w:hint="eastAsia"/>
          <w:szCs w:val="21"/>
          <w:u w:val="single"/>
        </w:rPr>
        <w:t xml:space="preserve">             </w:t>
      </w:r>
      <w:r>
        <w:rPr>
          <w:rFonts w:hint="eastAsia"/>
          <w:szCs w:val="21"/>
        </w:rPr>
        <w:t>（投标人名称）的法定代表人（负责人），现授权委托</w:t>
      </w:r>
      <w:r>
        <w:rPr>
          <w:rFonts w:hint="eastAsia"/>
          <w:szCs w:val="21"/>
          <w:u w:val="single"/>
        </w:rPr>
        <w:t xml:space="preserve">            </w:t>
      </w:r>
      <w:r>
        <w:rPr>
          <w:rFonts w:hint="eastAsia"/>
          <w:szCs w:val="21"/>
        </w:rPr>
        <w:t>（姓名）为我单位签署本项目已递交的投标文件的法定代表人（负责人）的授权委托代理人，代理人全权代表我所签署的本项目已递交的投标文件内容我均承认。</w:t>
      </w:r>
    </w:p>
    <w:p w14:paraId="35253610">
      <w:pPr>
        <w:spacing w:line="360" w:lineRule="auto"/>
        <w:ind w:firstLine="420" w:firstLineChars="200"/>
        <w:rPr>
          <w:rFonts w:hint="eastAsia"/>
          <w:szCs w:val="21"/>
        </w:rPr>
      </w:pPr>
      <w:r>
        <w:rPr>
          <w:rFonts w:hint="eastAsia"/>
          <w:szCs w:val="21"/>
        </w:rPr>
        <w:t>代理人无转委托权，特此委托。</w:t>
      </w:r>
    </w:p>
    <w:p w14:paraId="3F08AA43">
      <w:pPr>
        <w:spacing w:line="360" w:lineRule="auto"/>
        <w:ind w:firstLine="420" w:firstLineChars="200"/>
        <w:rPr>
          <w:rFonts w:hint="eastAsia"/>
          <w:szCs w:val="21"/>
        </w:rPr>
      </w:pPr>
    </w:p>
    <w:p w14:paraId="42268B42">
      <w:pPr>
        <w:spacing w:line="360" w:lineRule="auto"/>
        <w:ind w:firstLine="420" w:firstLineChars="200"/>
        <w:rPr>
          <w:rFonts w:hint="eastAsia"/>
          <w:szCs w:val="21"/>
          <w:u w:val="none"/>
          <w:lang w:eastAsia="zh-CN"/>
        </w:rPr>
      </w:pPr>
      <w:r>
        <w:rPr>
          <w:rFonts w:hint="eastAsia"/>
          <w:szCs w:val="21"/>
        </w:rPr>
        <w:t>代理人</w:t>
      </w:r>
      <w:r>
        <w:rPr>
          <w:rFonts w:hint="eastAsia" w:eastAsia="宋体"/>
          <w:szCs w:val="21"/>
          <w:lang w:eastAsia="zh-CN"/>
        </w:rPr>
        <w:t>：</w:t>
      </w:r>
      <w:r>
        <w:rPr>
          <w:rFonts w:hint="eastAsia"/>
          <w:szCs w:val="21"/>
          <w:u w:val="single"/>
        </w:rPr>
        <w:t xml:space="preserve">      </w:t>
      </w:r>
      <w:r>
        <w:rPr>
          <w:rFonts w:hint="eastAsia" w:ascii="Times New Roman" w:eastAsia="宋体"/>
          <w:szCs w:val="21"/>
          <w:u w:val="single"/>
          <w:lang w:val="en-US" w:eastAsia="zh-CN"/>
        </w:rPr>
        <w:t xml:space="preserve">  </w:t>
      </w:r>
      <w:r>
        <w:rPr>
          <w:rFonts w:hint="eastAsia"/>
          <w:szCs w:val="21"/>
          <w:u w:val="single"/>
        </w:rPr>
        <w:t xml:space="preserve">      </w:t>
      </w:r>
      <w:r>
        <w:rPr>
          <w:rFonts w:hint="eastAsia" w:eastAsia="宋体"/>
          <w:szCs w:val="21"/>
          <w:u w:val="none"/>
          <w:lang w:eastAsia="zh-CN"/>
        </w:rPr>
        <w:t>；</w:t>
      </w:r>
    </w:p>
    <w:p w14:paraId="6B69F726">
      <w:pPr>
        <w:spacing w:line="360" w:lineRule="auto"/>
        <w:ind w:firstLine="420" w:firstLineChars="200"/>
        <w:rPr>
          <w:rFonts w:hint="eastAsia"/>
          <w:szCs w:val="21"/>
          <w:u w:val="none"/>
          <w:lang w:eastAsia="zh-CN"/>
        </w:rPr>
      </w:pPr>
      <w:r>
        <w:rPr>
          <w:rFonts w:hint="eastAsia"/>
          <w:szCs w:val="21"/>
        </w:rPr>
        <w:t>身份</w:t>
      </w:r>
      <w:r>
        <w:rPr>
          <w:rFonts w:hint="eastAsia" w:ascii="Times New Roman" w:eastAsia="宋体"/>
          <w:szCs w:val="21"/>
          <w:lang w:val="en-US" w:eastAsia="zh-CN"/>
        </w:rPr>
        <w:t>证件号</w:t>
      </w:r>
      <w:r>
        <w:rPr>
          <w:rFonts w:hint="eastAsia"/>
          <w:szCs w:val="21"/>
        </w:rPr>
        <w:t>：</w:t>
      </w:r>
      <w:r>
        <w:rPr>
          <w:rFonts w:hint="eastAsia"/>
          <w:szCs w:val="21"/>
          <w:u w:val="single"/>
        </w:rPr>
        <w:t xml:space="preserve">                        </w:t>
      </w:r>
      <w:r>
        <w:rPr>
          <w:rFonts w:hint="eastAsia" w:eastAsia="宋体"/>
          <w:szCs w:val="21"/>
          <w:u w:val="none"/>
          <w:lang w:eastAsia="zh-CN"/>
        </w:rPr>
        <w:t>，</w:t>
      </w:r>
      <w:r>
        <w:rPr>
          <w:rFonts w:hint="eastAsia"/>
          <w:szCs w:val="21"/>
        </w:rPr>
        <w:t>职务：</w:t>
      </w:r>
      <w:r>
        <w:rPr>
          <w:rFonts w:hint="eastAsia"/>
          <w:szCs w:val="21"/>
          <w:u w:val="single"/>
        </w:rPr>
        <w:t xml:space="preserve">   </w:t>
      </w:r>
      <w:r>
        <w:rPr>
          <w:rFonts w:hint="eastAsia" w:ascii="Times New Roman" w:eastAsia="宋体"/>
          <w:szCs w:val="21"/>
          <w:u w:val="single"/>
          <w:lang w:val="en-US" w:eastAsia="zh-CN"/>
        </w:rPr>
        <w:t xml:space="preserve">         </w:t>
      </w:r>
      <w:r>
        <w:rPr>
          <w:rFonts w:hint="eastAsia"/>
          <w:szCs w:val="21"/>
          <w:u w:val="single"/>
        </w:rPr>
        <w:t xml:space="preserve">    </w:t>
      </w:r>
      <w:r>
        <w:rPr>
          <w:rFonts w:hint="eastAsia" w:eastAsia="宋体"/>
          <w:szCs w:val="21"/>
          <w:u w:val="none"/>
          <w:lang w:eastAsia="zh-CN"/>
        </w:rPr>
        <w:t>；</w:t>
      </w:r>
    </w:p>
    <w:p w14:paraId="0B4C5557">
      <w:pPr>
        <w:spacing w:line="360" w:lineRule="auto"/>
        <w:ind w:firstLine="420" w:firstLineChars="200"/>
        <w:rPr>
          <w:rFonts w:hint="default"/>
          <w:szCs w:val="21"/>
          <w:u w:val="none"/>
          <w:lang w:val="en-US" w:eastAsia="zh-CN"/>
        </w:rPr>
      </w:pPr>
      <w:r>
        <w:rPr>
          <w:rFonts w:hint="eastAsia"/>
          <w:szCs w:val="21"/>
        </w:rPr>
        <w:t>联系电话：</w:t>
      </w:r>
      <w:r>
        <w:rPr>
          <w:rFonts w:hint="eastAsia"/>
          <w:szCs w:val="21"/>
          <w:u w:val="single"/>
        </w:rPr>
        <w:t xml:space="preserve">         </w:t>
      </w:r>
      <w:r>
        <w:rPr>
          <w:rFonts w:hint="eastAsia" w:eastAsia="宋体"/>
          <w:szCs w:val="21"/>
          <w:lang w:eastAsia="zh-CN"/>
        </w:rPr>
        <w:t>，</w:t>
      </w:r>
      <w:r>
        <w:rPr>
          <w:rFonts w:hint="eastAsia"/>
          <w:szCs w:val="21"/>
        </w:rPr>
        <w:t>手机：</w:t>
      </w:r>
      <w:r>
        <w:rPr>
          <w:rFonts w:hint="eastAsia"/>
          <w:szCs w:val="21"/>
          <w:u w:val="single"/>
        </w:rPr>
        <w:t xml:space="preserve">                </w:t>
      </w:r>
      <w:r>
        <w:rPr>
          <w:rFonts w:hint="eastAsia" w:eastAsia="宋体"/>
          <w:szCs w:val="21"/>
          <w:u w:val="none"/>
          <w:lang w:eastAsia="zh-CN"/>
        </w:rPr>
        <w:t>，</w:t>
      </w:r>
      <w:r>
        <w:rPr>
          <w:rFonts w:hint="eastAsia" w:ascii="Times New Roman" w:eastAsia="宋体"/>
          <w:szCs w:val="21"/>
          <w:u w:val="none"/>
          <w:lang w:val="en-US" w:eastAsia="zh-CN"/>
        </w:rPr>
        <w:t>电子邮箱：</w:t>
      </w:r>
      <w:r>
        <w:rPr>
          <w:rFonts w:hint="eastAsia"/>
          <w:szCs w:val="21"/>
          <w:u w:val="single"/>
        </w:rPr>
        <w:t xml:space="preserve">            </w:t>
      </w:r>
      <w:r>
        <w:rPr>
          <w:rFonts w:hint="eastAsia" w:ascii="Times New Roman" w:eastAsia="宋体"/>
          <w:szCs w:val="21"/>
          <w:u w:val="single"/>
          <w:lang w:val="en-US" w:eastAsia="zh-CN"/>
        </w:rPr>
        <w:t xml:space="preserve">  </w:t>
      </w:r>
      <w:r>
        <w:rPr>
          <w:rFonts w:hint="eastAsia"/>
          <w:szCs w:val="21"/>
          <w:u w:val="single"/>
        </w:rPr>
        <w:t xml:space="preserve">       </w:t>
      </w:r>
      <w:r>
        <w:rPr>
          <w:rFonts w:hint="eastAsia" w:eastAsia="宋体"/>
          <w:szCs w:val="21"/>
          <w:u w:val="none"/>
          <w:lang w:eastAsia="zh-CN"/>
        </w:rPr>
        <w:t>；</w:t>
      </w:r>
    </w:p>
    <w:p w14:paraId="37375A0D">
      <w:pPr>
        <w:spacing w:line="360" w:lineRule="auto"/>
        <w:ind w:firstLine="420" w:firstLineChars="200"/>
        <w:rPr>
          <w:rFonts w:hint="eastAsia" w:eastAsia="宋体"/>
          <w:szCs w:val="21"/>
          <w:lang w:eastAsia="zh-CN"/>
        </w:rPr>
      </w:pPr>
      <w:r>
        <w:rPr>
          <w:rFonts w:hint="eastAsia"/>
          <w:szCs w:val="21"/>
        </w:rPr>
        <w:t>授权委托日期：</w:t>
      </w:r>
      <w:r>
        <w:rPr>
          <w:rFonts w:hint="eastAsia"/>
          <w:szCs w:val="21"/>
          <w:u w:val="single"/>
        </w:rPr>
        <w:t xml:space="preserve">         </w:t>
      </w:r>
      <w:r>
        <w:rPr>
          <w:rFonts w:hint="eastAsia"/>
          <w:szCs w:val="21"/>
        </w:rPr>
        <w:t>年</w:t>
      </w:r>
      <w:r>
        <w:rPr>
          <w:rFonts w:hint="eastAsia"/>
          <w:szCs w:val="21"/>
          <w:u w:val="single"/>
        </w:rPr>
        <w:t xml:space="preserve">     </w:t>
      </w:r>
      <w:r>
        <w:rPr>
          <w:rFonts w:hint="eastAsia"/>
          <w:szCs w:val="21"/>
        </w:rPr>
        <w:t xml:space="preserve">月 </w:t>
      </w:r>
      <w:r>
        <w:rPr>
          <w:rFonts w:hint="eastAsia"/>
          <w:szCs w:val="21"/>
          <w:u w:val="single"/>
        </w:rPr>
        <w:t xml:space="preserve">      </w:t>
      </w:r>
      <w:r>
        <w:rPr>
          <w:rFonts w:hint="eastAsia"/>
          <w:szCs w:val="21"/>
        </w:rPr>
        <w:t>日</w:t>
      </w:r>
      <w:r>
        <w:rPr>
          <w:rFonts w:hint="eastAsia" w:eastAsia="宋体"/>
          <w:szCs w:val="21"/>
          <w:lang w:eastAsia="zh-CN"/>
        </w:rPr>
        <w:t>。</w:t>
      </w:r>
    </w:p>
    <w:p w14:paraId="67579316">
      <w:pPr>
        <w:spacing w:line="360" w:lineRule="auto"/>
        <w:ind w:firstLine="422" w:firstLineChars="200"/>
        <w:rPr>
          <w:b/>
          <w:color w:val="FF0000"/>
          <w:szCs w:val="21"/>
        </w:rPr>
      </w:pPr>
      <w:r>
        <w:rPr>
          <w:rFonts w:hint="eastAsia"/>
          <w:b/>
          <w:color w:val="FF0000"/>
          <w:szCs w:val="21"/>
        </w:rPr>
        <w:t>附：请提供代理人身份证扫描件（正反两面）</w:t>
      </w:r>
      <w:r>
        <w:rPr>
          <w:rFonts w:hint="eastAsia"/>
          <w:b/>
          <w:color w:val="FF0000"/>
          <w:szCs w:val="21"/>
          <w:lang w:val="en-US" w:eastAsia="zh-CN"/>
        </w:rPr>
        <w:t>方为有效</w:t>
      </w:r>
      <w:r>
        <w:rPr>
          <w:rFonts w:hint="eastAsia"/>
          <w:b/>
          <w:color w:val="FF0000"/>
          <w:szCs w:val="21"/>
        </w:rPr>
        <w:t>；港澳台居民可提供来往通行证扫描件；非中国国籍管辖范围人员，可提供公安部门认可的身份证明材料扫描件。</w:t>
      </w:r>
    </w:p>
    <w:tbl>
      <w:tblPr>
        <w:tblStyle w:val="43"/>
        <w:tblW w:w="85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4"/>
        <w:gridCol w:w="4265"/>
      </w:tblGrid>
      <w:tr w14:paraId="668320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4" w:type="dxa"/>
            <w:vAlign w:val="top"/>
          </w:tcPr>
          <w:p w14:paraId="6AB19E3E">
            <w:pPr>
              <w:jc w:val="center"/>
              <w:rPr>
                <w:rFonts w:hint="eastAsia"/>
                <w:lang w:val="en-US" w:eastAsia="zh-CN"/>
              </w:rPr>
            </w:pPr>
            <w:r>
              <w:rPr>
                <w:rFonts w:hint="eastAsia" w:ascii="Times New Roman" w:eastAsia="宋体"/>
                <w:lang w:val="en-US" w:eastAsia="zh-CN"/>
              </w:rPr>
              <w:t>证件扫描件正面</w:t>
            </w:r>
          </w:p>
          <w:p w14:paraId="07D49AD5">
            <w:pPr>
              <w:pStyle w:val="8"/>
              <w:jc w:val="center"/>
              <w:rPr>
                <w:rFonts w:hint="eastAsia"/>
                <w:lang w:val="en-US" w:eastAsia="zh-CN"/>
              </w:rPr>
            </w:pPr>
          </w:p>
          <w:p w14:paraId="2D133FC3">
            <w:pPr>
              <w:pStyle w:val="9"/>
              <w:jc w:val="center"/>
              <w:rPr>
                <w:rFonts w:hint="default"/>
                <w:lang w:val="en-US" w:eastAsia="zh-CN"/>
              </w:rPr>
            </w:pPr>
          </w:p>
        </w:tc>
        <w:tc>
          <w:tcPr>
            <w:tcW w:w="4265" w:type="dxa"/>
            <w:vAlign w:val="top"/>
          </w:tcPr>
          <w:p w14:paraId="3309C23C">
            <w:pPr>
              <w:jc w:val="center"/>
              <w:rPr>
                <w:rFonts w:hint="eastAsia"/>
                <w:lang w:val="en-US" w:eastAsia="zh-CN"/>
              </w:rPr>
            </w:pPr>
            <w:r>
              <w:rPr>
                <w:rFonts w:hint="eastAsia" w:ascii="Times New Roman" w:eastAsia="宋体"/>
                <w:lang w:val="en-US" w:eastAsia="zh-CN"/>
              </w:rPr>
              <w:t>证件扫描件反面</w:t>
            </w:r>
          </w:p>
          <w:p w14:paraId="3D1A15BA">
            <w:pPr>
              <w:pStyle w:val="8"/>
              <w:jc w:val="center"/>
              <w:rPr>
                <w:rFonts w:hint="eastAsia"/>
                <w:lang w:val="en-US" w:eastAsia="zh-CN"/>
              </w:rPr>
            </w:pPr>
          </w:p>
          <w:p w14:paraId="6238CC88">
            <w:pPr>
              <w:pStyle w:val="9"/>
              <w:jc w:val="center"/>
              <w:rPr>
                <w:rFonts w:hint="eastAsia"/>
                <w:sz w:val="24"/>
                <w:vertAlign w:val="baseline"/>
                <w:lang w:val="en-US" w:eastAsia="zh-CN"/>
              </w:rPr>
            </w:pPr>
          </w:p>
        </w:tc>
      </w:tr>
    </w:tbl>
    <w:p w14:paraId="6A47A43E">
      <w:pPr>
        <w:rPr>
          <w:rFonts w:hint="eastAsia"/>
          <w:color w:val="auto"/>
          <w:sz w:val="21"/>
          <w:highlight w:val="none"/>
        </w:rPr>
      </w:pPr>
      <w:r>
        <w:rPr>
          <w:rFonts w:hint="eastAsia"/>
          <w:color w:val="auto"/>
          <w:highlight w:val="none"/>
          <w:lang w:val="en-US" w:eastAsia="zh-CN"/>
        </w:rPr>
        <w:t>温馨提示：为避免出现《深圳经济特区政府采购条例实施细则》第七十五条第二项所列情形，请投标供应商核实你单位法定代表人、本项目投标授权代表人、项目负责人（如有）、主要技术人员（如有）等是否在你公司缴纳社会保险。</w:t>
      </w:r>
    </w:p>
    <w:p w14:paraId="6744F9E4">
      <w:pPr>
        <w:pStyle w:val="3"/>
        <w:jc w:val="center"/>
        <w:rPr>
          <w:rFonts w:ascii="黑体" w:eastAsia="黑体"/>
          <w:b w:val="0"/>
          <w:kern w:val="0"/>
          <w:sz w:val="24"/>
          <w:szCs w:val="24"/>
        </w:rPr>
      </w:pPr>
      <w:r>
        <w:rPr>
          <w:rFonts w:hint="eastAsia" w:ascii="黑体" w:eastAsia="黑体"/>
          <w:b w:val="0"/>
          <w:kern w:val="0"/>
          <w:sz w:val="24"/>
          <w:szCs w:val="24"/>
          <w:lang w:val="en-US" w:eastAsia="zh-CN"/>
        </w:rPr>
        <w:t>四</w:t>
      </w:r>
      <w:r>
        <w:rPr>
          <w:rFonts w:hint="eastAsia" w:ascii="黑体" w:eastAsia="黑体"/>
          <w:b w:val="0"/>
          <w:kern w:val="0"/>
          <w:sz w:val="24"/>
          <w:szCs w:val="24"/>
        </w:rPr>
        <w:t>、</w:t>
      </w:r>
      <w:bookmarkStart w:id="47" w:name="_Hlk72092634"/>
      <w:r>
        <w:rPr>
          <w:rFonts w:hint="eastAsia" w:ascii="黑体" w:eastAsia="黑体"/>
          <w:b w:val="0"/>
          <w:kern w:val="0"/>
          <w:sz w:val="24"/>
          <w:szCs w:val="24"/>
        </w:rPr>
        <w:t>实质性条款响应情况表</w:t>
      </w:r>
      <w:bookmarkEnd w:id="47"/>
    </w:p>
    <w:tbl>
      <w:tblPr>
        <w:tblStyle w:val="42"/>
        <w:tblW w:w="82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5"/>
        <w:gridCol w:w="3196"/>
        <w:gridCol w:w="1524"/>
        <w:gridCol w:w="1374"/>
        <w:gridCol w:w="1418"/>
      </w:tblGrid>
      <w:tr w14:paraId="161C43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705" w:type="dxa"/>
            <w:vAlign w:val="center"/>
          </w:tcPr>
          <w:p w14:paraId="77B4F005">
            <w:pPr>
              <w:adjustRightInd w:val="0"/>
              <w:snapToGrid w:val="0"/>
              <w:spacing w:line="360" w:lineRule="auto"/>
              <w:jc w:val="center"/>
              <w:rPr>
                <w:rFonts w:ascii="宋体" w:hAnsi="宋体"/>
                <w:kern w:val="0"/>
                <w:szCs w:val="21"/>
              </w:rPr>
            </w:pPr>
            <w:bookmarkStart w:id="48" w:name="_Hlk72092651"/>
            <w:r>
              <w:rPr>
                <w:rFonts w:hint="eastAsia" w:ascii="宋体" w:hAnsi="宋体"/>
                <w:kern w:val="0"/>
                <w:szCs w:val="21"/>
              </w:rPr>
              <w:t>序号</w:t>
            </w:r>
          </w:p>
        </w:tc>
        <w:tc>
          <w:tcPr>
            <w:tcW w:w="3196" w:type="dxa"/>
            <w:vAlign w:val="center"/>
          </w:tcPr>
          <w:p w14:paraId="5AFAE304">
            <w:pPr>
              <w:adjustRightInd w:val="0"/>
              <w:snapToGrid w:val="0"/>
              <w:spacing w:line="360" w:lineRule="auto"/>
              <w:jc w:val="center"/>
              <w:rPr>
                <w:rFonts w:ascii="宋体" w:hAnsi="宋体"/>
                <w:kern w:val="0"/>
                <w:szCs w:val="21"/>
              </w:rPr>
            </w:pPr>
            <w:r>
              <w:rPr>
                <w:rFonts w:hint="eastAsia" w:ascii="宋体" w:hAnsi="宋体"/>
                <w:kern w:val="0"/>
                <w:szCs w:val="21"/>
              </w:rPr>
              <w:t>实质性条款具体内容</w:t>
            </w:r>
          </w:p>
        </w:tc>
        <w:tc>
          <w:tcPr>
            <w:tcW w:w="1524" w:type="dxa"/>
            <w:vAlign w:val="center"/>
          </w:tcPr>
          <w:p w14:paraId="186576DA">
            <w:pPr>
              <w:adjustRightInd w:val="0"/>
              <w:snapToGrid w:val="0"/>
              <w:spacing w:line="360" w:lineRule="auto"/>
              <w:jc w:val="center"/>
              <w:rPr>
                <w:rFonts w:ascii="宋体" w:hAnsi="宋体"/>
                <w:kern w:val="0"/>
                <w:szCs w:val="21"/>
              </w:rPr>
            </w:pPr>
            <w:r>
              <w:rPr>
                <w:rFonts w:hint="eastAsia"/>
              </w:rPr>
              <w:t>投标响应</w:t>
            </w:r>
          </w:p>
        </w:tc>
        <w:tc>
          <w:tcPr>
            <w:tcW w:w="1374" w:type="dxa"/>
            <w:vAlign w:val="center"/>
          </w:tcPr>
          <w:p w14:paraId="67488C0C">
            <w:pPr>
              <w:adjustRightInd w:val="0"/>
              <w:snapToGrid w:val="0"/>
              <w:spacing w:line="360" w:lineRule="auto"/>
              <w:jc w:val="center"/>
              <w:rPr>
                <w:rFonts w:ascii="宋体" w:hAnsi="宋体"/>
                <w:kern w:val="0"/>
                <w:szCs w:val="21"/>
              </w:rPr>
            </w:pPr>
            <w:r>
              <w:rPr>
                <w:rFonts w:hint="eastAsia"/>
              </w:rPr>
              <w:t>偏离情况</w:t>
            </w:r>
          </w:p>
        </w:tc>
        <w:tc>
          <w:tcPr>
            <w:tcW w:w="1418" w:type="dxa"/>
            <w:vAlign w:val="center"/>
          </w:tcPr>
          <w:p w14:paraId="44FD2E67">
            <w:pPr>
              <w:adjustRightInd w:val="0"/>
              <w:snapToGrid w:val="0"/>
              <w:spacing w:line="360" w:lineRule="auto"/>
              <w:jc w:val="center"/>
              <w:rPr>
                <w:rFonts w:ascii="宋体" w:hAnsi="宋体"/>
                <w:kern w:val="0"/>
                <w:szCs w:val="21"/>
              </w:rPr>
            </w:pPr>
            <w:r>
              <w:rPr>
                <w:rFonts w:hint="eastAsia"/>
              </w:rPr>
              <w:t>说明</w:t>
            </w:r>
          </w:p>
        </w:tc>
      </w:tr>
      <w:bookmarkEnd w:id="48"/>
      <w:tr w14:paraId="60CF3C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5" w:type="dxa"/>
          </w:tcPr>
          <w:p w14:paraId="4B1AF3DB">
            <w:pPr>
              <w:adjustRightInd w:val="0"/>
              <w:snapToGrid w:val="0"/>
              <w:spacing w:line="360" w:lineRule="auto"/>
              <w:rPr>
                <w:rFonts w:ascii="宋体" w:hAnsi="宋体"/>
                <w:kern w:val="0"/>
                <w:szCs w:val="21"/>
              </w:rPr>
            </w:pPr>
            <w:r>
              <w:rPr>
                <w:rFonts w:hint="eastAsia" w:ascii="宋体" w:hAnsi="宋体"/>
                <w:kern w:val="0"/>
                <w:szCs w:val="21"/>
              </w:rPr>
              <w:t>1</w:t>
            </w:r>
          </w:p>
        </w:tc>
        <w:tc>
          <w:tcPr>
            <w:tcW w:w="3196" w:type="dxa"/>
            <w:vAlign w:val="center"/>
          </w:tcPr>
          <w:p w14:paraId="62716321">
            <w:pPr>
              <w:adjustRightInd w:val="0"/>
              <w:snapToGrid w:val="0"/>
              <w:spacing w:line="360" w:lineRule="auto"/>
              <w:jc w:val="center"/>
              <w:rPr>
                <w:rFonts w:hAnsi="宋体"/>
                <w:kern w:val="0"/>
                <w:szCs w:val="21"/>
              </w:rPr>
            </w:pPr>
            <w:r>
              <w:rPr>
                <w:rFonts w:hint="eastAsia" w:ascii="宋体" w:hAnsi="宋体" w:cs="宋体"/>
                <w:b/>
                <w:color w:val="FF0000"/>
                <w:kern w:val="0"/>
                <w:szCs w:val="21"/>
              </w:rPr>
              <w:t>满足本项目标★的条款要求</w:t>
            </w:r>
            <w:r>
              <w:rPr>
                <w:rFonts w:hint="eastAsia" w:ascii="宋体" w:hAnsi="宋体" w:cs="宋体"/>
                <w:b/>
                <w:color w:val="FF0000"/>
                <w:kern w:val="0"/>
                <w:szCs w:val="21"/>
                <w:lang w:eastAsia="zh-CN"/>
              </w:rPr>
              <w:t>。</w:t>
            </w:r>
          </w:p>
        </w:tc>
        <w:tc>
          <w:tcPr>
            <w:tcW w:w="1524" w:type="dxa"/>
          </w:tcPr>
          <w:p w14:paraId="75A43ED4">
            <w:pPr>
              <w:adjustRightInd w:val="0"/>
              <w:snapToGrid w:val="0"/>
              <w:spacing w:line="360" w:lineRule="auto"/>
              <w:rPr>
                <w:rFonts w:ascii="宋体" w:hAnsi="宋体"/>
                <w:kern w:val="0"/>
                <w:szCs w:val="21"/>
              </w:rPr>
            </w:pPr>
          </w:p>
        </w:tc>
        <w:tc>
          <w:tcPr>
            <w:tcW w:w="1374" w:type="dxa"/>
          </w:tcPr>
          <w:p w14:paraId="32F75D78">
            <w:pPr>
              <w:adjustRightInd w:val="0"/>
              <w:snapToGrid w:val="0"/>
              <w:spacing w:line="360" w:lineRule="auto"/>
              <w:rPr>
                <w:rFonts w:ascii="宋体" w:hAnsi="宋体"/>
                <w:kern w:val="0"/>
                <w:szCs w:val="21"/>
              </w:rPr>
            </w:pPr>
          </w:p>
        </w:tc>
        <w:tc>
          <w:tcPr>
            <w:tcW w:w="1418" w:type="dxa"/>
          </w:tcPr>
          <w:p w14:paraId="6B3C330B">
            <w:pPr>
              <w:adjustRightInd w:val="0"/>
              <w:snapToGrid w:val="0"/>
              <w:spacing w:line="360" w:lineRule="auto"/>
              <w:rPr>
                <w:rFonts w:ascii="宋体" w:hAnsi="宋体"/>
                <w:kern w:val="0"/>
                <w:szCs w:val="21"/>
              </w:rPr>
            </w:pPr>
          </w:p>
        </w:tc>
      </w:tr>
    </w:tbl>
    <w:p w14:paraId="3A0E5DD6">
      <w:pPr>
        <w:ind w:firstLine="482" w:firstLineChars="200"/>
        <w:rPr>
          <w:b/>
          <w:sz w:val="24"/>
          <w:szCs w:val="22"/>
        </w:rPr>
      </w:pPr>
      <w:r>
        <w:rPr>
          <w:rFonts w:hint="eastAsia"/>
          <w:b/>
          <w:sz w:val="24"/>
          <w:szCs w:val="22"/>
        </w:rPr>
        <w:t>注：1.上表所列各项均为不可负偏离条款。</w:t>
      </w:r>
    </w:p>
    <w:p w14:paraId="5A5BE9A5">
      <w:pPr>
        <w:ind w:firstLine="482" w:firstLineChars="200"/>
        <w:rPr>
          <w:b/>
          <w:sz w:val="24"/>
          <w:szCs w:val="22"/>
        </w:rPr>
      </w:pPr>
      <w:r>
        <w:rPr>
          <w:rFonts w:hint="eastAsia"/>
          <w:b/>
          <w:sz w:val="24"/>
          <w:szCs w:val="22"/>
        </w:rPr>
        <w:t>2.“投标响应”一栏应当详细填写投标人自身响应情况</w:t>
      </w:r>
      <w:r>
        <w:rPr>
          <w:rFonts w:hint="eastAsia" w:ascii="宋体" w:hAnsi="宋体" w:cs="宋体"/>
          <w:szCs w:val="21"/>
          <w:lang w:eastAsia="zh-CN"/>
        </w:rPr>
        <w:t>，</w:t>
      </w:r>
      <w:r>
        <w:rPr>
          <w:rFonts w:hint="eastAsia" w:ascii="宋体" w:hAnsi="宋体" w:cs="宋体"/>
          <w:b/>
          <w:szCs w:val="21"/>
        </w:rPr>
        <w:t>如完全满足实质性条款具体内容可填写“完全响应”</w:t>
      </w:r>
      <w:r>
        <w:rPr>
          <w:rFonts w:hint="eastAsia"/>
          <w:b/>
          <w:sz w:val="24"/>
          <w:szCs w:val="22"/>
        </w:rPr>
        <w:t>。</w:t>
      </w:r>
    </w:p>
    <w:p w14:paraId="4B05A94B">
      <w:pPr>
        <w:ind w:firstLine="482" w:firstLineChars="200"/>
        <w:rPr>
          <w:b/>
          <w:sz w:val="24"/>
          <w:szCs w:val="22"/>
        </w:rPr>
      </w:pPr>
      <w:r>
        <w:rPr>
          <w:rFonts w:hint="eastAsia"/>
          <w:b/>
          <w:sz w:val="24"/>
          <w:szCs w:val="22"/>
        </w:rPr>
        <w:t>3</w:t>
      </w:r>
      <w:r>
        <w:rPr>
          <w:b/>
          <w:sz w:val="24"/>
          <w:szCs w:val="22"/>
        </w:rPr>
        <w:t>.</w:t>
      </w:r>
      <w:r>
        <w:rPr>
          <w:rFonts w:hint="eastAsia"/>
          <w:b/>
          <w:sz w:val="24"/>
          <w:szCs w:val="22"/>
        </w:rPr>
        <w:t>“偏离情况”一栏应填写“正偏离”、“负偏离”或“无偏离”，</w:t>
      </w:r>
      <w:r>
        <w:rPr>
          <w:rFonts w:hint="eastAsia"/>
          <w:b/>
          <w:sz w:val="24"/>
        </w:rPr>
        <w:t>“正偏离”表示“投标响应优于实质性条款具体内容要求”，“负偏离”表示“投标响应不满足实质性条款具体内容要求”，“无偏离”表示“投标响应与实质性条款具体内容要求一致”。</w:t>
      </w:r>
    </w:p>
    <w:p w14:paraId="2B37F01C">
      <w:pPr>
        <w:ind w:firstLine="482" w:firstLineChars="200"/>
        <w:rPr>
          <w:b/>
          <w:sz w:val="24"/>
        </w:rPr>
      </w:pPr>
      <w:r>
        <w:rPr>
          <w:b/>
          <w:sz w:val="24"/>
        </w:rPr>
        <w:t>4.</w:t>
      </w:r>
      <w:r>
        <w:rPr>
          <w:rFonts w:hint="eastAsia"/>
          <w:b/>
          <w:sz w:val="24"/>
        </w:rPr>
        <w:t>评审委员会有权对投标响应情况作出判断（作出评审结论）。</w:t>
      </w:r>
    </w:p>
    <w:p w14:paraId="0B1C4400">
      <w:pPr>
        <w:ind w:firstLine="482" w:firstLineChars="200"/>
        <w:rPr>
          <w:b/>
          <w:sz w:val="24"/>
          <w:szCs w:val="22"/>
        </w:rPr>
      </w:pPr>
      <w:r>
        <w:rPr>
          <w:b/>
          <w:sz w:val="24"/>
          <w:szCs w:val="22"/>
        </w:rPr>
        <w:t>5</w:t>
      </w:r>
      <w:r>
        <w:rPr>
          <w:rFonts w:hint="eastAsia"/>
          <w:b/>
          <w:sz w:val="24"/>
          <w:szCs w:val="22"/>
        </w:rPr>
        <w:t>.实质性响应条款“投标响应情况”与投标文件其它内容冲突的，以实质性响应条款“投标响应情况”为准。</w:t>
      </w:r>
    </w:p>
    <w:p w14:paraId="3B123E60">
      <w:pPr>
        <w:ind w:firstLine="482" w:firstLineChars="200"/>
        <w:rPr>
          <w:b/>
          <w:sz w:val="24"/>
          <w:szCs w:val="22"/>
        </w:rPr>
      </w:pPr>
      <w:r>
        <w:rPr>
          <w:rFonts w:hint="eastAsia"/>
          <w:b/>
          <w:sz w:val="24"/>
          <w:szCs w:val="22"/>
        </w:rPr>
        <w:t>6.要求提供证明资料，在“说明”一栏中列明证明资料的位置,以便评审；未要求提供证明材料的，投标人可以不提供。</w:t>
      </w:r>
    </w:p>
    <w:p w14:paraId="73B47702">
      <w:pPr>
        <w:ind w:firstLine="420" w:firstLineChars="200"/>
      </w:pPr>
    </w:p>
    <w:p w14:paraId="0BFA5A8C">
      <w:pPr>
        <w:rPr>
          <w:b/>
          <w:bCs/>
          <w:sz w:val="24"/>
        </w:rPr>
      </w:pPr>
    </w:p>
    <w:p w14:paraId="2C068CE7">
      <w:pPr>
        <w:pStyle w:val="4"/>
        <w:adjustRightInd w:val="0"/>
        <w:snapToGrid w:val="0"/>
        <w:spacing w:line="276" w:lineRule="auto"/>
        <w:jc w:val="center"/>
        <w:rPr>
          <w:rFonts w:ascii="黑体" w:eastAsia="黑体"/>
          <w:b w:val="0"/>
          <w:kern w:val="0"/>
          <w:sz w:val="24"/>
          <w:szCs w:val="24"/>
        </w:rPr>
      </w:pPr>
      <w:r>
        <w:rPr>
          <w:rFonts w:hint="eastAsia" w:ascii="黑体"/>
          <w:b w:val="0"/>
          <w:kern w:val="0"/>
          <w:sz w:val="24"/>
          <w:szCs w:val="24"/>
          <w:lang w:val="en-US" w:eastAsia="zh-CN"/>
        </w:rPr>
        <w:t>五</w:t>
      </w:r>
      <w:r>
        <w:rPr>
          <w:rFonts w:hint="eastAsia" w:ascii="黑体" w:eastAsia="黑体"/>
          <w:b w:val="0"/>
          <w:kern w:val="0"/>
          <w:sz w:val="24"/>
          <w:szCs w:val="24"/>
        </w:rPr>
        <w:t>、实施方案</w:t>
      </w:r>
    </w:p>
    <w:p w14:paraId="398A5311">
      <w:pPr>
        <w:pStyle w:val="8"/>
        <w:adjustRightInd w:val="0"/>
        <w:snapToGrid w:val="0"/>
        <w:spacing w:line="276" w:lineRule="auto"/>
        <w:rPr>
          <w:b w:val="0"/>
          <w:bCs w:val="0"/>
          <w:sz w:val="21"/>
          <w:szCs w:val="21"/>
        </w:rPr>
      </w:pPr>
      <w:r>
        <w:rPr>
          <w:rFonts w:hint="eastAsia"/>
          <w:b w:val="0"/>
          <w:bCs w:val="0"/>
          <w:sz w:val="21"/>
          <w:szCs w:val="21"/>
        </w:rPr>
        <w:t>（特别提示：投标人须按本招标文件评标信息中“实施方案”这一评分因素要求，提供证明资料）</w:t>
      </w:r>
    </w:p>
    <w:p w14:paraId="3AE29C4F">
      <w:pPr>
        <w:pStyle w:val="4"/>
        <w:adjustRightInd w:val="0"/>
        <w:snapToGrid w:val="0"/>
        <w:spacing w:line="276" w:lineRule="auto"/>
        <w:jc w:val="center"/>
        <w:rPr>
          <w:rFonts w:ascii="黑体" w:eastAsia="黑体"/>
          <w:b w:val="0"/>
          <w:kern w:val="0"/>
          <w:sz w:val="24"/>
          <w:szCs w:val="24"/>
        </w:rPr>
      </w:pPr>
      <w:r>
        <w:rPr>
          <w:rFonts w:hint="eastAsia" w:ascii="黑体"/>
          <w:b w:val="0"/>
          <w:kern w:val="0"/>
          <w:sz w:val="24"/>
          <w:szCs w:val="24"/>
          <w:lang w:val="en-US" w:eastAsia="zh-CN"/>
        </w:rPr>
        <w:t>六</w:t>
      </w:r>
      <w:r>
        <w:rPr>
          <w:rFonts w:hint="eastAsia" w:ascii="黑体" w:eastAsia="黑体"/>
          <w:b w:val="0"/>
          <w:kern w:val="0"/>
          <w:sz w:val="24"/>
          <w:szCs w:val="24"/>
        </w:rPr>
        <w:t>、项目重点难点分析、应对措施及相关的合理化建议</w:t>
      </w:r>
    </w:p>
    <w:p w14:paraId="572139C3">
      <w:pPr>
        <w:pStyle w:val="8"/>
        <w:adjustRightInd w:val="0"/>
        <w:snapToGrid w:val="0"/>
        <w:spacing w:line="276" w:lineRule="auto"/>
        <w:rPr>
          <w:b w:val="0"/>
          <w:bCs w:val="0"/>
          <w:sz w:val="21"/>
          <w:szCs w:val="21"/>
        </w:rPr>
      </w:pPr>
      <w:r>
        <w:rPr>
          <w:rFonts w:hint="eastAsia"/>
          <w:b w:val="0"/>
          <w:bCs w:val="0"/>
          <w:sz w:val="21"/>
          <w:szCs w:val="21"/>
        </w:rPr>
        <w:t>（特别提示：投标人须按本招标文件评标信息中“项目重点难点分析、应对措施及相关的合理化建议”这一评分因素要求，提供证明资料）</w:t>
      </w:r>
    </w:p>
    <w:p w14:paraId="5F687B0F">
      <w:pPr>
        <w:pStyle w:val="4"/>
        <w:adjustRightInd w:val="0"/>
        <w:snapToGrid w:val="0"/>
        <w:spacing w:line="276" w:lineRule="auto"/>
        <w:jc w:val="center"/>
        <w:rPr>
          <w:rFonts w:ascii="黑体" w:eastAsia="黑体"/>
          <w:b w:val="0"/>
          <w:kern w:val="0"/>
          <w:sz w:val="24"/>
          <w:szCs w:val="24"/>
        </w:rPr>
      </w:pPr>
      <w:r>
        <w:rPr>
          <w:rFonts w:hint="eastAsia" w:ascii="黑体"/>
          <w:b w:val="0"/>
          <w:kern w:val="0"/>
          <w:sz w:val="24"/>
          <w:szCs w:val="24"/>
          <w:lang w:val="en-US" w:eastAsia="zh-CN"/>
        </w:rPr>
        <w:t>七</w:t>
      </w:r>
      <w:r>
        <w:rPr>
          <w:rFonts w:hint="eastAsia" w:ascii="黑体" w:eastAsia="黑体"/>
          <w:b w:val="0"/>
          <w:kern w:val="0"/>
          <w:sz w:val="24"/>
          <w:szCs w:val="24"/>
        </w:rPr>
        <w:t>、质量（完成时间、安全、环保）保障措施及方案</w:t>
      </w:r>
    </w:p>
    <w:p w14:paraId="06E59356">
      <w:pPr>
        <w:pStyle w:val="8"/>
        <w:adjustRightInd w:val="0"/>
        <w:snapToGrid w:val="0"/>
        <w:spacing w:line="276" w:lineRule="auto"/>
        <w:rPr>
          <w:b w:val="0"/>
          <w:bCs w:val="0"/>
          <w:sz w:val="21"/>
          <w:szCs w:val="21"/>
        </w:rPr>
      </w:pPr>
      <w:r>
        <w:rPr>
          <w:rFonts w:hint="eastAsia"/>
          <w:b w:val="0"/>
          <w:bCs w:val="0"/>
          <w:sz w:val="21"/>
          <w:szCs w:val="21"/>
        </w:rPr>
        <w:t>（特别提示：投标人须按本招标文件评标信息中“质量（完成时间、安全、环保）保障措施及方案”这一评分因素要求，提供证明资料）</w:t>
      </w:r>
    </w:p>
    <w:p w14:paraId="67F8C8D3">
      <w:pPr>
        <w:rPr>
          <w:rFonts w:ascii="黑体" w:hAnsi="宋体" w:eastAsia="黑体"/>
          <w:bCs/>
          <w:kern w:val="0"/>
          <w:sz w:val="24"/>
        </w:rPr>
      </w:pPr>
    </w:p>
    <w:p w14:paraId="00C8F901">
      <w:pPr>
        <w:pStyle w:val="4"/>
        <w:adjustRightInd w:val="0"/>
        <w:snapToGrid w:val="0"/>
        <w:spacing w:line="276" w:lineRule="auto"/>
        <w:jc w:val="center"/>
        <w:rPr>
          <w:rFonts w:ascii="黑体" w:eastAsia="黑体"/>
          <w:b w:val="0"/>
          <w:kern w:val="0"/>
          <w:sz w:val="24"/>
          <w:szCs w:val="24"/>
        </w:rPr>
      </w:pPr>
      <w:r>
        <w:rPr>
          <w:rFonts w:hint="eastAsia" w:ascii="黑体"/>
          <w:b w:val="0"/>
          <w:kern w:val="0"/>
          <w:sz w:val="24"/>
          <w:szCs w:val="24"/>
          <w:lang w:val="en-US" w:eastAsia="zh-CN"/>
        </w:rPr>
        <w:t>八</w:t>
      </w:r>
      <w:r>
        <w:rPr>
          <w:rFonts w:hint="eastAsia" w:ascii="黑体" w:eastAsia="黑体"/>
          <w:b w:val="0"/>
          <w:kern w:val="0"/>
          <w:sz w:val="24"/>
          <w:szCs w:val="24"/>
        </w:rPr>
        <w:t>、拟安排的项目负责人情况（仅限一人）</w:t>
      </w:r>
    </w:p>
    <w:p w14:paraId="6C2CF15A">
      <w:pPr>
        <w:pStyle w:val="6"/>
        <w:spacing w:before="0" w:after="0" w:line="240" w:lineRule="auto"/>
        <w:jc w:val="left"/>
        <w:rPr>
          <w:rFonts w:ascii="宋体" w:hAnsi="宋体" w:eastAsia="宋体"/>
          <w:sz w:val="21"/>
          <w:szCs w:val="21"/>
        </w:rPr>
      </w:pPr>
      <w:r>
        <w:rPr>
          <w:rFonts w:hint="eastAsia" w:ascii="宋体" w:hAnsi="宋体"/>
          <w:sz w:val="21"/>
          <w:szCs w:val="21"/>
          <w:lang w:val="en-US" w:eastAsia="zh-CN"/>
        </w:rPr>
        <w:t>8</w:t>
      </w:r>
      <w:r>
        <w:rPr>
          <w:rFonts w:hint="eastAsia" w:ascii="宋体" w:hAnsi="宋体" w:eastAsia="宋体"/>
          <w:sz w:val="21"/>
          <w:szCs w:val="21"/>
        </w:rPr>
        <w:t>-1人员配备承诺</w:t>
      </w:r>
    </w:p>
    <w:p w14:paraId="6E979680">
      <w:pPr>
        <w:adjustRightInd w:val="0"/>
        <w:snapToGrid w:val="0"/>
        <w:spacing w:line="276" w:lineRule="auto"/>
        <w:jc w:val="center"/>
        <w:rPr>
          <w:rFonts w:ascii="宋体"/>
          <w:kern w:val="0"/>
          <w:szCs w:val="21"/>
        </w:rPr>
      </w:pPr>
      <w:r>
        <w:rPr>
          <w:rFonts w:hint="eastAsia" w:ascii="宋体" w:hAnsi="宋体"/>
          <w:b/>
          <w:szCs w:val="21"/>
        </w:rPr>
        <w:t>人员配备承诺</w:t>
      </w:r>
    </w:p>
    <w:p w14:paraId="041A0EF0">
      <w:pPr>
        <w:adjustRightInd w:val="0"/>
        <w:snapToGrid w:val="0"/>
        <w:spacing w:line="276" w:lineRule="auto"/>
        <w:jc w:val="left"/>
        <w:rPr>
          <w:rFonts w:ascii="宋体"/>
          <w:color w:val="000000"/>
          <w:szCs w:val="21"/>
          <w:u w:val="single"/>
        </w:rPr>
      </w:pPr>
      <w:r>
        <w:rPr>
          <w:rFonts w:hint="eastAsia" w:ascii="宋体" w:hAnsi="宋体"/>
          <w:color w:val="000000"/>
          <w:szCs w:val="21"/>
        </w:rPr>
        <w:t>致：</w:t>
      </w:r>
      <w:r>
        <w:rPr>
          <w:rFonts w:ascii="宋体" w:hAnsi="宋体"/>
          <w:color w:val="000000"/>
          <w:szCs w:val="21"/>
          <w:u w:val="single"/>
        </w:rPr>
        <w:t xml:space="preserve">     </w:t>
      </w:r>
      <w:r>
        <w:rPr>
          <w:rFonts w:hint="eastAsia" w:ascii="宋体" w:hAnsi="宋体"/>
          <w:color w:val="000000"/>
          <w:szCs w:val="21"/>
          <w:u w:val="single"/>
        </w:rPr>
        <w:t>（采购人）</w:t>
      </w:r>
      <w:r>
        <w:rPr>
          <w:rFonts w:ascii="宋体" w:hAnsi="宋体"/>
          <w:color w:val="000000"/>
          <w:szCs w:val="21"/>
          <w:u w:val="single"/>
        </w:rPr>
        <w:t xml:space="preserve">          </w:t>
      </w:r>
    </w:p>
    <w:p w14:paraId="590C4297">
      <w:pPr>
        <w:adjustRightInd w:val="0"/>
        <w:snapToGrid w:val="0"/>
        <w:spacing w:line="276"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根据已收到贵方的项目编号为</w:t>
      </w:r>
      <w:r>
        <w:rPr>
          <w:rFonts w:hint="eastAsia" w:ascii="宋体" w:hAnsi="宋体"/>
          <w:b/>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的</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招标文件，遵照《中华人民共和国政府采购法》和《深圳网上政府采购管理暂行办法》等有关规定，我方经考察现场和研究上述招标文件的投标须知、合同条款、技术规范、澄清公告、答疑公告及所有相关文件后，我方完全认可贵方提供的上述文件，做出承诺满足以下要求：</w:t>
      </w:r>
    </w:p>
    <w:p w14:paraId="36A2F0DB">
      <w:pPr>
        <w:numPr>
          <w:ilvl w:val="0"/>
          <w:numId w:val="12"/>
        </w:numPr>
        <w:jc w:val="left"/>
        <w:rPr>
          <w:rFonts w:ascii="宋体" w:hAnsi="宋体" w:cs="宋体"/>
          <w:color w:val="FF0000"/>
          <w:kern w:val="0"/>
          <w:szCs w:val="21"/>
        </w:rPr>
      </w:pPr>
      <w:r>
        <w:rPr>
          <w:rFonts w:hint="eastAsia" w:ascii="宋体" w:hAnsi="宋体" w:cs="宋体"/>
          <w:color w:val="FF0000"/>
          <w:kern w:val="0"/>
          <w:szCs w:val="21"/>
        </w:rPr>
        <w:t>人数：不少于</w:t>
      </w:r>
      <w:r>
        <w:rPr>
          <w:rFonts w:hint="eastAsia" w:ascii="宋体" w:hAnsi="宋体" w:cs="宋体"/>
          <w:color w:val="FF0000"/>
          <w:kern w:val="0"/>
          <w:szCs w:val="21"/>
          <w:lang w:val="en-US" w:eastAsia="zh-CN"/>
        </w:rPr>
        <w:t>2</w:t>
      </w:r>
      <w:r>
        <w:rPr>
          <w:rFonts w:hint="eastAsia" w:ascii="宋体" w:hAnsi="宋体" w:cs="宋体"/>
          <w:color w:val="FF0000"/>
          <w:kern w:val="0"/>
          <w:szCs w:val="21"/>
        </w:rPr>
        <w:t>0人的技术研发团队</w:t>
      </w:r>
    </w:p>
    <w:p w14:paraId="15967636">
      <w:pPr>
        <w:numPr>
          <w:ilvl w:val="0"/>
          <w:numId w:val="12"/>
        </w:numPr>
        <w:jc w:val="left"/>
        <w:rPr>
          <w:rFonts w:ascii="宋体" w:hAnsi="宋体" w:cs="宋体"/>
          <w:color w:val="FF0000"/>
          <w:kern w:val="0"/>
          <w:szCs w:val="21"/>
        </w:rPr>
      </w:pPr>
      <w:r>
        <w:rPr>
          <w:rFonts w:hint="eastAsia" w:ascii="宋体" w:hAnsi="宋体" w:cs="宋体"/>
          <w:color w:val="FF0000"/>
          <w:kern w:val="0"/>
          <w:szCs w:val="21"/>
        </w:rPr>
        <w:t>人员素质：包括学历、职称、工作经验等：具有大学本科以上学历，且具有</w:t>
      </w:r>
      <w:r>
        <w:rPr>
          <w:rFonts w:hint="eastAsia"/>
          <w:color w:val="FF0000"/>
        </w:rPr>
        <w:t>三年软件和信息技术编程开发经验，其中项目技术团队负责人须具有十年以上软件和信息技术编程开发经验；</w:t>
      </w:r>
    </w:p>
    <w:p w14:paraId="0824A568">
      <w:pPr>
        <w:adjustRightInd w:val="0"/>
        <w:snapToGrid w:val="0"/>
        <w:spacing w:line="276" w:lineRule="auto"/>
        <w:ind w:firstLine="420" w:firstLineChars="200"/>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如果违反本承诺书中任何条款，我方愿意接受：</w:t>
      </w:r>
    </w:p>
    <w:p w14:paraId="79F4B60F">
      <w:pPr>
        <w:adjustRightInd w:val="0"/>
        <w:snapToGrid w:val="0"/>
        <w:spacing w:line="276" w:lineRule="auto"/>
        <w:ind w:firstLine="420" w:firstLineChars="200"/>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1.取消我方中标资格并按照虚假投标进行相应处理；</w:t>
      </w:r>
    </w:p>
    <w:p w14:paraId="4539647E">
      <w:pPr>
        <w:adjustRightInd w:val="0"/>
        <w:snapToGrid w:val="0"/>
        <w:spacing w:line="276" w:lineRule="auto"/>
        <w:ind w:firstLine="420" w:firstLineChars="200"/>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2.视作我方单方面违约，并按照合同规定向贵方支付违约金或解除合同；</w:t>
      </w:r>
    </w:p>
    <w:p w14:paraId="3609116C">
      <w:pPr>
        <w:adjustRightInd w:val="0"/>
        <w:snapToGrid w:val="0"/>
        <w:spacing w:line="276" w:lineRule="auto"/>
        <w:ind w:firstLine="420" w:firstLineChars="200"/>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3.履约评价评定为合格及以下；</w:t>
      </w:r>
    </w:p>
    <w:p w14:paraId="6412AD41">
      <w:pPr>
        <w:adjustRightInd w:val="0"/>
        <w:snapToGrid w:val="0"/>
        <w:spacing w:line="276" w:lineRule="auto"/>
        <w:ind w:firstLine="420" w:firstLineChars="200"/>
        <w:rPr>
          <w:rFonts w:ascii="宋体" w:hAnsi="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4.行政主管部门或相关主管部门的不良行为记录、行政处</w:t>
      </w:r>
      <w:r>
        <w:rPr>
          <w:rFonts w:hint="eastAsia" w:ascii="宋体" w:hAnsi="宋体"/>
          <w:bCs/>
          <w:color w:val="000000" w:themeColor="text1"/>
          <w:szCs w:val="21"/>
          <w14:textFill>
            <w14:solidFill>
              <w14:schemeClr w14:val="tx1"/>
            </w14:solidFill>
          </w14:textFill>
        </w:rPr>
        <w:t>罚。</w:t>
      </w:r>
    </w:p>
    <w:p w14:paraId="6ADCF3E1">
      <w:pPr>
        <w:adjustRightInd w:val="0"/>
        <w:snapToGrid w:val="0"/>
        <w:spacing w:line="276" w:lineRule="auto"/>
        <w:ind w:right="960" w:firstLine="210" w:firstLineChars="100"/>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       </w:t>
      </w:r>
    </w:p>
    <w:p w14:paraId="2B64E199">
      <w:pPr>
        <w:adjustRightInd w:val="0"/>
        <w:snapToGrid w:val="0"/>
        <w:spacing w:line="276" w:lineRule="auto"/>
        <w:ind w:right="960" w:firstLine="210" w:firstLineChars="100"/>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          投标供应商：  </w:t>
      </w:r>
    </w:p>
    <w:p w14:paraId="537C87C2">
      <w:pPr>
        <w:adjustRightInd w:val="0"/>
        <w:snapToGrid w:val="0"/>
        <w:spacing w:line="276" w:lineRule="auto"/>
        <w:jc w:val="center"/>
        <w:rPr>
          <w:rFonts w:ascii="宋体" w:hAnsi="宋体"/>
          <w:color w:val="000000" w:themeColor="text1"/>
          <w:szCs w:val="21"/>
          <w:u w:val="single"/>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                          日      期：  </w:t>
      </w:r>
      <w:r>
        <w:rPr>
          <w:rFonts w:hint="eastAsia" w:ascii="宋体" w:hAnsi="宋体"/>
          <w:color w:val="000000" w:themeColor="text1"/>
          <w:szCs w:val="21"/>
          <w:u w:val="single"/>
          <w14:textFill>
            <w14:solidFill>
              <w14:schemeClr w14:val="tx1"/>
            </w14:solidFill>
          </w14:textFill>
        </w:rPr>
        <w:t xml:space="preserve">       年    月 </w:t>
      </w:r>
      <w:r>
        <w:rPr>
          <w:rFonts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日</w:t>
      </w:r>
    </w:p>
    <w:p w14:paraId="75E54B8C">
      <w:pPr>
        <w:pStyle w:val="6"/>
        <w:adjustRightInd w:val="0"/>
        <w:snapToGrid w:val="0"/>
        <w:spacing w:before="0" w:after="0" w:line="276" w:lineRule="auto"/>
        <w:jc w:val="left"/>
      </w:pPr>
      <w:r>
        <w:rPr>
          <w:rFonts w:hint="eastAsia" w:ascii="宋体" w:hAnsi="宋体"/>
          <w:sz w:val="21"/>
          <w:szCs w:val="21"/>
          <w:lang w:val="en-US" w:eastAsia="zh-CN"/>
        </w:rPr>
        <w:t>8</w:t>
      </w:r>
      <w:r>
        <w:rPr>
          <w:rFonts w:ascii="宋体" w:hAnsi="宋体" w:eastAsia="宋体"/>
          <w:sz w:val="21"/>
          <w:szCs w:val="21"/>
        </w:rPr>
        <w:t>-2</w:t>
      </w:r>
      <w:r>
        <w:rPr>
          <w:rFonts w:hint="eastAsia" w:ascii="宋体" w:hAnsi="宋体" w:eastAsia="宋体"/>
          <w:sz w:val="21"/>
          <w:szCs w:val="21"/>
        </w:rPr>
        <w:t>拟安排的项目负责人情况（仅限一人）情况</w:t>
      </w:r>
    </w:p>
    <w:tbl>
      <w:tblPr>
        <w:tblStyle w:val="42"/>
        <w:tblW w:w="8457"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5"/>
        <w:gridCol w:w="932"/>
        <w:gridCol w:w="932"/>
        <w:gridCol w:w="932"/>
        <w:gridCol w:w="1224"/>
        <w:gridCol w:w="992"/>
        <w:gridCol w:w="1171"/>
        <w:gridCol w:w="1149"/>
      </w:tblGrid>
      <w:tr w14:paraId="3514FBF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27" w:hRule="atLeast"/>
          <w:jc w:val="center"/>
        </w:trPr>
        <w:tc>
          <w:tcPr>
            <w:tcW w:w="1125" w:type="dxa"/>
            <w:vMerge w:val="restart"/>
            <w:vAlign w:val="center"/>
          </w:tcPr>
          <w:p w14:paraId="716DF47E">
            <w:pPr>
              <w:spacing w:line="276" w:lineRule="auto"/>
              <w:jc w:val="center"/>
              <w:rPr>
                <w:rFonts w:ascii="宋体" w:hAnsi="宋体"/>
                <w:szCs w:val="21"/>
              </w:rPr>
            </w:pPr>
            <w:r>
              <w:rPr>
                <w:rFonts w:hint="eastAsia" w:ascii="宋体" w:hAnsi="宋体"/>
                <w:szCs w:val="21"/>
              </w:rPr>
              <w:t>类别</w:t>
            </w:r>
          </w:p>
        </w:tc>
        <w:tc>
          <w:tcPr>
            <w:tcW w:w="932" w:type="dxa"/>
            <w:vMerge w:val="restart"/>
            <w:vAlign w:val="center"/>
          </w:tcPr>
          <w:p w14:paraId="6106397E">
            <w:pPr>
              <w:spacing w:line="276" w:lineRule="auto"/>
              <w:jc w:val="center"/>
              <w:rPr>
                <w:rFonts w:ascii="宋体" w:hAnsi="宋体"/>
                <w:szCs w:val="21"/>
              </w:rPr>
            </w:pPr>
            <w:r>
              <w:rPr>
                <w:rFonts w:hint="eastAsia" w:ascii="宋体" w:hAnsi="宋体"/>
                <w:szCs w:val="21"/>
              </w:rPr>
              <w:t>姓名</w:t>
            </w:r>
          </w:p>
        </w:tc>
        <w:tc>
          <w:tcPr>
            <w:tcW w:w="932" w:type="dxa"/>
            <w:vMerge w:val="restart"/>
            <w:vAlign w:val="center"/>
          </w:tcPr>
          <w:p w14:paraId="363B803B">
            <w:pPr>
              <w:spacing w:line="276" w:lineRule="auto"/>
              <w:jc w:val="center"/>
              <w:rPr>
                <w:rFonts w:ascii="宋体" w:hAnsi="宋体"/>
                <w:szCs w:val="21"/>
              </w:rPr>
            </w:pPr>
            <w:r>
              <w:rPr>
                <w:rFonts w:hint="eastAsia" w:ascii="宋体" w:hAnsi="宋体"/>
                <w:szCs w:val="21"/>
              </w:rPr>
              <w:t>职称</w:t>
            </w:r>
          </w:p>
        </w:tc>
        <w:tc>
          <w:tcPr>
            <w:tcW w:w="932" w:type="dxa"/>
            <w:vMerge w:val="restart"/>
            <w:vAlign w:val="center"/>
          </w:tcPr>
          <w:p w14:paraId="3527E007">
            <w:pPr>
              <w:spacing w:line="276" w:lineRule="auto"/>
              <w:jc w:val="center"/>
              <w:rPr>
                <w:rFonts w:ascii="宋体" w:hAnsi="宋体"/>
                <w:szCs w:val="21"/>
              </w:rPr>
            </w:pPr>
            <w:r>
              <w:rPr>
                <w:rFonts w:hint="eastAsia" w:ascii="宋体" w:hAnsi="宋体"/>
                <w:szCs w:val="21"/>
              </w:rPr>
              <w:t>学历</w:t>
            </w:r>
          </w:p>
        </w:tc>
        <w:tc>
          <w:tcPr>
            <w:tcW w:w="4536" w:type="dxa"/>
            <w:gridSpan w:val="4"/>
            <w:vAlign w:val="center"/>
          </w:tcPr>
          <w:p w14:paraId="50176D27">
            <w:pPr>
              <w:spacing w:line="276" w:lineRule="auto"/>
              <w:jc w:val="center"/>
              <w:rPr>
                <w:rFonts w:ascii="宋体" w:hAnsi="宋体"/>
                <w:szCs w:val="21"/>
              </w:rPr>
            </w:pPr>
            <w:r>
              <w:rPr>
                <w:rFonts w:hint="eastAsia" w:ascii="宋体" w:hAnsi="宋体"/>
                <w:szCs w:val="21"/>
              </w:rPr>
              <w:t>上岗资格证明</w:t>
            </w:r>
          </w:p>
        </w:tc>
      </w:tr>
      <w:tr w14:paraId="538581F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320" w:hRule="atLeast"/>
          <w:jc w:val="center"/>
        </w:trPr>
        <w:tc>
          <w:tcPr>
            <w:tcW w:w="1125" w:type="dxa"/>
            <w:vMerge w:val="continue"/>
            <w:vAlign w:val="center"/>
          </w:tcPr>
          <w:p w14:paraId="71FD3CDE">
            <w:pPr>
              <w:spacing w:line="276" w:lineRule="auto"/>
              <w:jc w:val="center"/>
              <w:rPr>
                <w:rFonts w:ascii="宋体" w:hAnsi="宋体"/>
                <w:szCs w:val="21"/>
              </w:rPr>
            </w:pPr>
          </w:p>
        </w:tc>
        <w:tc>
          <w:tcPr>
            <w:tcW w:w="932" w:type="dxa"/>
            <w:vMerge w:val="continue"/>
            <w:vAlign w:val="center"/>
          </w:tcPr>
          <w:p w14:paraId="6F5685C3">
            <w:pPr>
              <w:spacing w:line="276" w:lineRule="auto"/>
              <w:jc w:val="center"/>
              <w:rPr>
                <w:rFonts w:ascii="宋体" w:hAnsi="宋体"/>
                <w:szCs w:val="21"/>
              </w:rPr>
            </w:pPr>
          </w:p>
        </w:tc>
        <w:tc>
          <w:tcPr>
            <w:tcW w:w="932" w:type="dxa"/>
            <w:vMerge w:val="continue"/>
          </w:tcPr>
          <w:p w14:paraId="372EBFB4">
            <w:pPr>
              <w:spacing w:line="276" w:lineRule="auto"/>
              <w:jc w:val="center"/>
              <w:rPr>
                <w:rFonts w:ascii="宋体" w:hAnsi="宋体"/>
                <w:szCs w:val="21"/>
              </w:rPr>
            </w:pPr>
          </w:p>
        </w:tc>
        <w:tc>
          <w:tcPr>
            <w:tcW w:w="932" w:type="dxa"/>
            <w:vMerge w:val="continue"/>
            <w:vAlign w:val="center"/>
          </w:tcPr>
          <w:p w14:paraId="38F65E6F">
            <w:pPr>
              <w:spacing w:line="276" w:lineRule="auto"/>
              <w:jc w:val="center"/>
              <w:rPr>
                <w:rFonts w:ascii="宋体" w:hAnsi="宋体"/>
                <w:szCs w:val="21"/>
              </w:rPr>
            </w:pPr>
          </w:p>
        </w:tc>
        <w:tc>
          <w:tcPr>
            <w:tcW w:w="1224" w:type="dxa"/>
            <w:vAlign w:val="center"/>
          </w:tcPr>
          <w:p w14:paraId="2A77B87D">
            <w:pPr>
              <w:spacing w:line="276" w:lineRule="auto"/>
              <w:jc w:val="center"/>
              <w:rPr>
                <w:rFonts w:ascii="宋体" w:hAnsi="宋体"/>
                <w:szCs w:val="21"/>
              </w:rPr>
            </w:pPr>
            <w:r>
              <w:rPr>
                <w:rFonts w:hint="eastAsia" w:ascii="宋体" w:hAnsi="宋体"/>
                <w:szCs w:val="21"/>
              </w:rPr>
              <w:t>证书名称</w:t>
            </w:r>
          </w:p>
        </w:tc>
        <w:tc>
          <w:tcPr>
            <w:tcW w:w="992" w:type="dxa"/>
            <w:vAlign w:val="center"/>
          </w:tcPr>
          <w:p w14:paraId="219B0D44">
            <w:pPr>
              <w:spacing w:line="276" w:lineRule="auto"/>
              <w:jc w:val="center"/>
              <w:rPr>
                <w:rFonts w:ascii="宋体" w:hAnsi="宋体"/>
                <w:szCs w:val="21"/>
              </w:rPr>
            </w:pPr>
            <w:r>
              <w:rPr>
                <w:rFonts w:hint="eastAsia" w:ascii="宋体" w:hAnsi="宋体"/>
                <w:szCs w:val="21"/>
              </w:rPr>
              <w:t>级别</w:t>
            </w:r>
          </w:p>
        </w:tc>
        <w:tc>
          <w:tcPr>
            <w:tcW w:w="1171" w:type="dxa"/>
            <w:vAlign w:val="center"/>
          </w:tcPr>
          <w:p w14:paraId="465E922D">
            <w:pPr>
              <w:spacing w:line="276" w:lineRule="auto"/>
              <w:jc w:val="center"/>
              <w:rPr>
                <w:rFonts w:ascii="宋体" w:hAnsi="宋体"/>
                <w:szCs w:val="21"/>
              </w:rPr>
            </w:pPr>
            <w:r>
              <w:rPr>
                <w:rFonts w:hint="eastAsia" w:ascii="宋体" w:hAnsi="宋体"/>
                <w:szCs w:val="21"/>
              </w:rPr>
              <w:t>证号</w:t>
            </w:r>
          </w:p>
        </w:tc>
        <w:tc>
          <w:tcPr>
            <w:tcW w:w="1149" w:type="dxa"/>
            <w:vAlign w:val="center"/>
          </w:tcPr>
          <w:p w14:paraId="040E866A">
            <w:pPr>
              <w:spacing w:line="276" w:lineRule="auto"/>
              <w:jc w:val="center"/>
              <w:rPr>
                <w:rFonts w:ascii="宋体" w:hAnsi="宋体"/>
                <w:szCs w:val="21"/>
              </w:rPr>
            </w:pPr>
            <w:r>
              <w:rPr>
                <w:rFonts w:hint="eastAsia" w:ascii="宋体" w:hAnsi="宋体"/>
                <w:szCs w:val="21"/>
              </w:rPr>
              <w:t>专业</w:t>
            </w:r>
          </w:p>
        </w:tc>
      </w:tr>
      <w:tr w14:paraId="255847E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601" w:hRule="atLeast"/>
          <w:jc w:val="center"/>
        </w:trPr>
        <w:tc>
          <w:tcPr>
            <w:tcW w:w="1125" w:type="dxa"/>
            <w:vAlign w:val="center"/>
          </w:tcPr>
          <w:p w14:paraId="7E54A246">
            <w:pPr>
              <w:spacing w:line="276" w:lineRule="auto"/>
              <w:jc w:val="center"/>
              <w:rPr>
                <w:rFonts w:ascii="宋体" w:hAnsi="宋体"/>
                <w:szCs w:val="21"/>
              </w:rPr>
            </w:pPr>
            <w:r>
              <w:rPr>
                <w:rFonts w:hint="eastAsia" w:ascii="宋体" w:hAnsi="宋体"/>
                <w:szCs w:val="21"/>
              </w:rPr>
              <w:t>拟派项目负责人</w:t>
            </w:r>
          </w:p>
        </w:tc>
        <w:tc>
          <w:tcPr>
            <w:tcW w:w="932" w:type="dxa"/>
            <w:vAlign w:val="center"/>
          </w:tcPr>
          <w:p w14:paraId="199352C4">
            <w:pPr>
              <w:spacing w:line="276" w:lineRule="auto"/>
              <w:jc w:val="center"/>
              <w:rPr>
                <w:rFonts w:ascii="宋体" w:hAnsi="宋体"/>
                <w:szCs w:val="21"/>
              </w:rPr>
            </w:pPr>
          </w:p>
        </w:tc>
        <w:tc>
          <w:tcPr>
            <w:tcW w:w="932" w:type="dxa"/>
          </w:tcPr>
          <w:p w14:paraId="3E8169E0">
            <w:pPr>
              <w:spacing w:line="276" w:lineRule="auto"/>
              <w:jc w:val="center"/>
              <w:rPr>
                <w:rFonts w:ascii="宋体" w:hAnsi="宋体"/>
                <w:szCs w:val="21"/>
              </w:rPr>
            </w:pPr>
          </w:p>
        </w:tc>
        <w:tc>
          <w:tcPr>
            <w:tcW w:w="932" w:type="dxa"/>
            <w:vAlign w:val="center"/>
          </w:tcPr>
          <w:p w14:paraId="13008143">
            <w:pPr>
              <w:spacing w:line="276" w:lineRule="auto"/>
              <w:jc w:val="center"/>
              <w:rPr>
                <w:rFonts w:ascii="宋体" w:hAnsi="宋体"/>
                <w:szCs w:val="21"/>
              </w:rPr>
            </w:pPr>
          </w:p>
        </w:tc>
        <w:tc>
          <w:tcPr>
            <w:tcW w:w="1224" w:type="dxa"/>
            <w:vAlign w:val="center"/>
          </w:tcPr>
          <w:p w14:paraId="77886E30">
            <w:pPr>
              <w:spacing w:line="276" w:lineRule="auto"/>
              <w:jc w:val="center"/>
              <w:rPr>
                <w:rFonts w:ascii="宋体" w:hAnsi="宋体"/>
                <w:szCs w:val="21"/>
              </w:rPr>
            </w:pPr>
          </w:p>
        </w:tc>
        <w:tc>
          <w:tcPr>
            <w:tcW w:w="992" w:type="dxa"/>
            <w:vAlign w:val="center"/>
          </w:tcPr>
          <w:p w14:paraId="3413A088">
            <w:pPr>
              <w:spacing w:line="276" w:lineRule="auto"/>
              <w:jc w:val="center"/>
              <w:rPr>
                <w:rFonts w:ascii="宋体" w:hAnsi="宋体"/>
                <w:szCs w:val="21"/>
              </w:rPr>
            </w:pPr>
          </w:p>
        </w:tc>
        <w:tc>
          <w:tcPr>
            <w:tcW w:w="1171" w:type="dxa"/>
            <w:vAlign w:val="center"/>
          </w:tcPr>
          <w:p w14:paraId="322853BF">
            <w:pPr>
              <w:spacing w:line="276" w:lineRule="auto"/>
              <w:jc w:val="center"/>
              <w:rPr>
                <w:rFonts w:ascii="宋体" w:hAnsi="宋体"/>
                <w:szCs w:val="21"/>
              </w:rPr>
            </w:pPr>
          </w:p>
        </w:tc>
        <w:tc>
          <w:tcPr>
            <w:tcW w:w="1149" w:type="dxa"/>
            <w:vAlign w:val="center"/>
          </w:tcPr>
          <w:p w14:paraId="2C99C40A">
            <w:pPr>
              <w:spacing w:line="276" w:lineRule="auto"/>
              <w:jc w:val="center"/>
              <w:rPr>
                <w:rFonts w:ascii="宋体" w:hAnsi="宋体"/>
                <w:szCs w:val="21"/>
              </w:rPr>
            </w:pPr>
          </w:p>
        </w:tc>
      </w:tr>
    </w:tbl>
    <w:p w14:paraId="1244BBCC">
      <w:pPr>
        <w:pStyle w:val="8"/>
        <w:spacing w:line="276" w:lineRule="auto"/>
        <w:rPr>
          <w:b w:val="0"/>
          <w:bCs w:val="0"/>
          <w:sz w:val="21"/>
          <w:szCs w:val="21"/>
        </w:rPr>
      </w:pPr>
      <w:r>
        <w:rPr>
          <w:rFonts w:hint="eastAsia"/>
          <w:b w:val="0"/>
          <w:bCs w:val="0"/>
          <w:sz w:val="21"/>
          <w:szCs w:val="21"/>
        </w:rPr>
        <w:t>（特别提示：以上表格仅供参考。投标人须按本招标文件评标信息中“拟安排的项目负责人情况（仅限一人）”这一评分因素要求，提供证明资料）</w:t>
      </w:r>
    </w:p>
    <w:p w14:paraId="69FA8E68">
      <w:pPr>
        <w:adjustRightInd w:val="0"/>
        <w:snapToGrid w:val="0"/>
      </w:pPr>
    </w:p>
    <w:p w14:paraId="7B484A02">
      <w:pPr>
        <w:pStyle w:val="4"/>
        <w:jc w:val="center"/>
        <w:rPr>
          <w:rFonts w:ascii="黑体" w:eastAsia="黑体"/>
          <w:b w:val="0"/>
          <w:kern w:val="0"/>
          <w:sz w:val="24"/>
          <w:szCs w:val="24"/>
        </w:rPr>
      </w:pPr>
      <w:bookmarkStart w:id="49" w:name="_Toc59916727"/>
      <w:r>
        <w:rPr>
          <w:rFonts w:hint="eastAsia" w:ascii="黑体"/>
          <w:b w:val="0"/>
          <w:kern w:val="0"/>
          <w:sz w:val="24"/>
          <w:szCs w:val="24"/>
          <w:lang w:val="en-US" w:eastAsia="zh-CN"/>
        </w:rPr>
        <w:t>九</w:t>
      </w:r>
      <w:r>
        <w:rPr>
          <w:rFonts w:hint="eastAsia" w:ascii="黑体" w:eastAsia="黑体"/>
          <w:b w:val="0"/>
          <w:kern w:val="0"/>
          <w:sz w:val="24"/>
          <w:szCs w:val="24"/>
        </w:rPr>
        <w:t>、</w:t>
      </w:r>
      <w:bookmarkEnd w:id="49"/>
      <w:r>
        <w:rPr>
          <w:rFonts w:hint="eastAsia" w:ascii="黑体" w:eastAsia="黑体"/>
          <w:b w:val="0"/>
          <w:kern w:val="0"/>
          <w:sz w:val="24"/>
          <w:szCs w:val="24"/>
        </w:rPr>
        <w:t>拟安排的项目主要团队成员（主要技术人员）情况（项目负责人除外）情况</w:t>
      </w:r>
    </w:p>
    <w:tbl>
      <w:tblPr>
        <w:tblStyle w:val="42"/>
        <w:tblW w:w="8830"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8"/>
        <w:gridCol w:w="876"/>
        <w:gridCol w:w="877"/>
        <w:gridCol w:w="877"/>
        <w:gridCol w:w="877"/>
        <w:gridCol w:w="1151"/>
        <w:gridCol w:w="933"/>
        <w:gridCol w:w="1101"/>
        <w:gridCol w:w="1080"/>
      </w:tblGrid>
      <w:tr w14:paraId="0C1A65D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058" w:type="dxa"/>
            <w:vMerge w:val="restart"/>
            <w:vAlign w:val="center"/>
          </w:tcPr>
          <w:p w14:paraId="79EB95A1">
            <w:pPr>
              <w:spacing w:line="276" w:lineRule="auto"/>
              <w:jc w:val="center"/>
              <w:rPr>
                <w:rFonts w:ascii="宋体" w:hAnsi="宋体" w:cs="宋体"/>
                <w:szCs w:val="21"/>
              </w:rPr>
            </w:pPr>
            <w:r>
              <w:rPr>
                <w:rFonts w:hint="eastAsia" w:ascii="宋体" w:hAnsi="宋体" w:cs="宋体"/>
                <w:szCs w:val="21"/>
              </w:rPr>
              <w:t>类别</w:t>
            </w:r>
          </w:p>
        </w:tc>
        <w:tc>
          <w:tcPr>
            <w:tcW w:w="876" w:type="dxa"/>
            <w:vMerge w:val="restart"/>
            <w:vAlign w:val="center"/>
          </w:tcPr>
          <w:p w14:paraId="115FB901">
            <w:pPr>
              <w:spacing w:line="276" w:lineRule="auto"/>
              <w:jc w:val="center"/>
              <w:rPr>
                <w:rFonts w:ascii="宋体" w:hAnsi="宋体" w:cs="宋体"/>
                <w:szCs w:val="21"/>
              </w:rPr>
            </w:pPr>
            <w:r>
              <w:rPr>
                <w:rFonts w:hint="eastAsia" w:ascii="宋体" w:hAnsi="宋体" w:cs="宋体"/>
                <w:szCs w:val="21"/>
              </w:rPr>
              <w:t>职务</w:t>
            </w:r>
          </w:p>
        </w:tc>
        <w:tc>
          <w:tcPr>
            <w:tcW w:w="877" w:type="dxa"/>
            <w:vMerge w:val="restart"/>
            <w:vAlign w:val="center"/>
          </w:tcPr>
          <w:p w14:paraId="2EA6013A">
            <w:pPr>
              <w:spacing w:line="276" w:lineRule="auto"/>
              <w:jc w:val="center"/>
              <w:rPr>
                <w:rFonts w:ascii="宋体" w:hAnsi="宋体" w:cs="宋体"/>
                <w:szCs w:val="21"/>
              </w:rPr>
            </w:pPr>
            <w:r>
              <w:rPr>
                <w:rFonts w:hint="eastAsia" w:ascii="宋体" w:hAnsi="宋体" w:cs="宋体"/>
                <w:szCs w:val="21"/>
              </w:rPr>
              <w:t>姓名</w:t>
            </w:r>
          </w:p>
        </w:tc>
        <w:tc>
          <w:tcPr>
            <w:tcW w:w="877" w:type="dxa"/>
            <w:vMerge w:val="restart"/>
            <w:vAlign w:val="center"/>
          </w:tcPr>
          <w:p w14:paraId="49990DB8">
            <w:pPr>
              <w:spacing w:line="276" w:lineRule="auto"/>
              <w:jc w:val="center"/>
              <w:rPr>
                <w:rFonts w:ascii="宋体" w:hAnsi="宋体" w:cs="宋体"/>
                <w:szCs w:val="21"/>
              </w:rPr>
            </w:pPr>
            <w:r>
              <w:rPr>
                <w:rFonts w:hint="eastAsia" w:ascii="宋体" w:hAnsi="宋体" w:cs="宋体"/>
                <w:szCs w:val="21"/>
              </w:rPr>
              <w:t>职称</w:t>
            </w:r>
          </w:p>
        </w:tc>
        <w:tc>
          <w:tcPr>
            <w:tcW w:w="877" w:type="dxa"/>
            <w:vMerge w:val="restart"/>
            <w:vAlign w:val="center"/>
          </w:tcPr>
          <w:p w14:paraId="423343E1">
            <w:pPr>
              <w:spacing w:line="276" w:lineRule="auto"/>
              <w:jc w:val="center"/>
              <w:rPr>
                <w:rFonts w:ascii="宋体" w:hAnsi="宋体" w:cs="宋体"/>
                <w:szCs w:val="21"/>
              </w:rPr>
            </w:pPr>
            <w:r>
              <w:rPr>
                <w:rFonts w:hint="eastAsia" w:ascii="宋体" w:hAnsi="宋体" w:cs="宋体"/>
                <w:szCs w:val="21"/>
              </w:rPr>
              <w:t>学历</w:t>
            </w:r>
          </w:p>
        </w:tc>
        <w:tc>
          <w:tcPr>
            <w:tcW w:w="4265" w:type="dxa"/>
            <w:gridSpan w:val="4"/>
            <w:vAlign w:val="center"/>
          </w:tcPr>
          <w:p w14:paraId="4663C99D">
            <w:pPr>
              <w:spacing w:line="276" w:lineRule="auto"/>
              <w:jc w:val="center"/>
              <w:rPr>
                <w:rFonts w:ascii="宋体" w:hAnsi="宋体" w:cs="宋体"/>
                <w:szCs w:val="21"/>
              </w:rPr>
            </w:pPr>
            <w:r>
              <w:rPr>
                <w:rFonts w:hint="eastAsia" w:ascii="宋体" w:hAnsi="宋体" w:cs="宋体"/>
                <w:szCs w:val="21"/>
              </w:rPr>
              <w:t>上岗资格证明</w:t>
            </w:r>
          </w:p>
        </w:tc>
      </w:tr>
      <w:tr w14:paraId="5515BDD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1058" w:type="dxa"/>
            <w:vMerge w:val="continue"/>
            <w:vAlign w:val="center"/>
          </w:tcPr>
          <w:p w14:paraId="038520DA">
            <w:pPr>
              <w:spacing w:line="276" w:lineRule="auto"/>
              <w:jc w:val="center"/>
              <w:rPr>
                <w:rFonts w:ascii="宋体" w:hAnsi="宋体" w:cs="宋体"/>
                <w:szCs w:val="21"/>
              </w:rPr>
            </w:pPr>
          </w:p>
        </w:tc>
        <w:tc>
          <w:tcPr>
            <w:tcW w:w="876" w:type="dxa"/>
            <w:vMerge w:val="continue"/>
            <w:vAlign w:val="center"/>
          </w:tcPr>
          <w:p w14:paraId="43DA6252">
            <w:pPr>
              <w:spacing w:line="276" w:lineRule="auto"/>
              <w:jc w:val="center"/>
              <w:rPr>
                <w:rFonts w:ascii="宋体" w:hAnsi="宋体" w:cs="宋体"/>
                <w:szCs w:val="21"/>
              </w:rPr>
            </w:pPr>
          </w:p>
        </w:tc>
        <w:tc>
          <w:tcPr>
            <w:tcW w:w="877" w:type="dxa"/>
            <w:vMerge w:val="continue"/>
            <w:vAlign w:val="center"/>
          </w:tcPr>
          <w:p w14:paraId="5104CCED">
            <w:pPr>
              <w:spacing w:line="276" w:lineRule="auto"/>
              <w:jc w:val="center"/>
              <w:rPr>
                <w:rFonts w:ascii="宋体" w:hAnsi="宋体" w:cs="宋体"/>
                <w:szCs w:val="21"/>
              </w:rPr>
            </w:pPr>
          </w:p>
        </w:tc>
        <w:tc>
          <w:tcPr>
            <w:tcW w:w="877" w:type="dxa"/>
            <w:vMerge w:val="continue"/>
          </w:tcPr>
          <w:p w14:paraId="26AC7971">
            <w:pPr>
              <w:spacing w:line="276" w:lineRule="auto"/>
              <w:jc w:val="center"/>
              <w:rPr>
                <w:rFonts w:ascii="宋体" w:hAnsi="宋体" w:cs="宋体"/>
                <w:szCs w:val="21"/>
              </w:rPr>
            </w:pPr>
          </w:p>
        </w:tc>
        <w:tc>
          <w:tcPr>
            <w:tcW w:w="877" w:type="dxa"/>
            <w:vMerge w:val="continue"/>
            <w:vAlign w:val="center"/>
          </w:tcPr>
          <w:p w14:paraId="11184DB5">
            <w:pPr>
              <w:spacing w:line="276" w:lineRule="auto"/>
              <w:jc w:val="center"/>
              <w:rPr>
                <w:rFonts w:ascii="宋体" w:hAnsi="宋体" w:cs="宋体"/>
                <w:szCs w:val="21"/>
              </w:rPr>
            </w:pPr>
          </w:p>
        </w:tc>
        <w:tc>
          <w:tcPr>
            <w:tcW w:w="1151" w:type="dxa"/>
            <w:vAlign w:val="center"/>
          </w:tcPr>
          <w:p w14:paraId="4F8D91CB">
            <w:pPr>
              <w:spacing w:line="276" w:lineRule="auto"/>
              <w:jc w:val="center"/>
              <w:rPr>
                <w:rFonts w:ascii="宋体" w:hAnsi="宋体" w:cs="宋体"/>
                <w:szCs w:val="21"/>
              </w:rPr>
            </w:pPr>
            <w:r>
              <w:rPr>
                <w:rFonts w:hint="eastAsia" w:ascii="宋体" w:hAnsi="宋体" w:cs="宋体"/>
                <w:szCs w:val="21"/>
              </w:rPr>
              <w:t>证书名称</w:t>
            </w:r>
          </w:p>
        </w:tc>
        <w:tc>
          <w:tcPr>
            <w:tcW w:w="933" w:type="dxa"/>
            <w:vAlign w:val="center"/>
          </w:tcPr>
          <w:p w14:paraId="3D3D7BF2">
            <w:pPr>
              <w:spacing w:line="276" w:lineRule="auto"/>
              <w:jc w:val="center"/>
              <w:rPr>
                <w:rFonts w:ascii="宋体" w:hAnsi="宋体" w:cs="宋体"/>
                <w:szCs w:val="21"/>
              </w:rPr>
            </w:pPr>
            <w:r>
              <w:rPr>
                <w:rFonts w:hint="eastAsia" w:ascii="宋体" w:hAnsi="宋体" w:cs="宋体"/>
                <w:szCs w:val="21"/>
              </w:rPr>
              <w:t>级别</w:t>
            </w:r>
          </w:p>
        </w:tc>
        <w:tc>
          <w:tcPr>
            <w:tcW w:w="1101" w:type="dxa"/>
            <w:vAlign w:val="center"/>
          </w:tcPr>
          <w:p w14:paraId="1E5EB03C">
            <w:pPr>
              <w:spacing w:line="276" w:lineRule="auto"/>
              <w:jc w:val="center"/>
              <w:rPr>
                <w:rFonts w:ascii="宋体" w:hAnsi="宋体" w:cs="宋体"/>
                <w:szCs w:val="21"/>
              </w:rPr>
            </w:pPr>
            <w:r>
              <w:rPr>
                <w:rFonts w:hint="eastAsia" w:ascii="宋体" w:hAnsi="宋体" w:cs="宋体"/>
                <w:szCs w:val="21"/>
              </w:rPr>
              <w:t>证号</w:t>
            </w:r>
          </w:p>
        </w:tc>
        <w:tc>
          <w:tcPr>
            <w:tcW w:w="1080" w:type="dxa"/>
            <w:vAlign w:val="center"/>
          </w:tcPr>
          <w:p w14:paraId="64B3BDFF">
            <w:pPr>
              <w:spacing w:line="276" w:lineRule="auto"/>
              <w:jc w:val="center"/>
              <w:rPr>
                <w:rFonts w:ascii="宋体" w:hAnsi="宋体" w:cs="宋体"/>
                <w:szCs w:val="21"/>
              </w:rPr>
            </w:pPr>
            <w:r>
              <w:rPr>
                <w:rFonts w:hint="eastAsia" w:ascii="宋体" w:hAnsi="宋体" w:cs="宋体"/>
                <w:szCs w:val="21"/>
              </w:rPr>
              <w:t>专业</w:t>
            </w:r>
          </w:p>
        </w:tc>
      </w:tr>
      <w:tr w14:paraId="6C39DB6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1058" w:type="dxa"/>
            <w:vMerge w:val="restart"/>
            <w:vAlign w:val="center"/>
          </w:tcPr>
          <w:p w14:paraId="26C6D25A">
            <w:pPr>
              <w:spacing w:line="276" w:lineRule="auto"/>
              <w:jc w:val="center"/>
              <w:rPr>
                <w:rFonts w:ascii="宋体" w:hAnsi="宋体" w:cs="宋体"/>
                <w:szCs w:val="21"/>
              </w:rPr>
            </w:pPr>
            <w:r>
              <w:rPr>
                <w:rFonts w:hint="eastAsia" w:ascii="宋体" w:hAnsi="宋体" w:cs="宋体"/>
                <w:szCs w:val="21"/>
              </w:rPr>
              <w:t>拟安排的项目团队成员</w:t>
            </w:r>
          </w:p>
        </w:tc>
        <w:tc>
          <w:tcPr>
            <w:tcW w:w="876" w:type="dxa"/>
            <w:vAlign w:val="center"/>
          </w:tcPr>
          <w:p w14:paraId="6AFDEFFC">
            <w:pPr>
              <w:spacing w:line="276" w:lineRule="auto"/>
              <w:jc w:val="center"/>
              <w:rPr>
                <w:rFonts w:ascii="宋体" w:hAnsi="宋体" w:cs="宋体"/>
                <w:szCs w:val="21"/>
              </w:rPr>
            </w:pPr>
          </w:p>
        </w:tc>
        <w:tc>
          <w:tcPr>
            <w:tcW w:w="877" w:type="dxa"/>
            <w:vAlign w:val="center"/>
          </w:tcPr>
          <w:p w14:paraId="0D7808B5">
            <w:pPr>
              <w:spacing w:line="276" w:lineRule="auto"/>
              <w:jc w:val="center"/>
              <w:rPr>
                <w:rFonts w:ascii="宋体" w:hAnsi="宋体" w:cs="宋体"/>
                <w:szCs w:val="21"/>
              </w:rPr>
            </w:pPr>
          </w:p>
        </w:tc>
        <w:tc>
          <w:tcPr>
            <w:tcW w:w="877" w:type="dxa"/>
          </w:tcPr>
          <w:p w14:paraId="0D91EBCA">
            <w:pPr>
              <w:spacing w:line="276" w:lineRule="auto"/>
              <w:jc w:val="center"/>
              <w:rPr>
                <w:rFonts w:ascii="宋体" w:hAnsi="宋体" w:cs="宋体"/>
                <w:szCs w:val="21"/>
              </w:rPr>
            </w:pPr>
          </w:p>
        </w:tc>
        <w:tc>
          <w:tcPr>
            <w:tcW w:w="877" w:type="dxa"/>
            <w:vAlign w:val="center"/>
          </w:tcPr>
          <w:p w14:paraId="5D07BD1C">
            <w:pPr>
              <w:spacing w:line="276" w:lineRule="auto"/>
              <w:jc w:val="center"/>
              <w:rPr>
                <w:rFonts w:ascii="宋体" w:hAnsi="宋体" w:cs="宋体"/>
                <w:szCs w:val="21"/>
              </w:rPr>
            </w:pPr>
          </w:p>
        </w:tc>
        <w:tc>
          <w:tcPr>
            <w:tcW w:w="1151" w:type="dxa"/>
            <w:vAlign w:val="center"/>
          </w:tcPr>
          <w:p w14:paraId="61FB7892">
            <w:pPr>
              <w:spacing w:line="276" w:lineRule="auto"/>
              <w:jc w:val="center"/>
              <w:rPr>
                <w:rFonts w:ascii="宋体" w:hAnsi="宋体" w:cs="宋体"/>
                <w:szCs w:val="21"/>
              </w:rPr>
            </w:pPr>
          </w:p>
        </w:tc>
        <w:tc>
          <w:tcPr>
            <w:tcW w:w="933" w:type="dxa"/>
            <w:vAlign w:val="center"/>
          </w:tcPr>
          <w:p w14:paraId="246E4124">
            <w:pPr>
              <w:spacing w:line="276" w:lineRule="auto"/>
              <w:jc w:val="center"/>
              <w:rPr>
                <w:rFonts w:ascii="宋体" w:hAnsi="宋体" w:cs="宋体"/>
                <w:szCs w:val="21"/>
              </w:rPr>
            </w:pPr>
          </w:p>
        </w:tc>
        <w:tc>
          <w:tcPr>
            <w:tcW w:w="1101" w:type="dxa"/>
            <w:vAlign w:val="center"/>
          </w:tcPr>
          <w:p w14:paraId="61F6D5BE">
            <w:pPr>
              <w:spacing w:line="276" w:lineRule="auto"/>
              <w:jc w:val="center"/>
              <w:rPr>
                <w:rFonts w:ascii="宋体" w:hAnsi="宋体" w:cs="宋体"/>
                <w:szCs w:val="21"/>
              </w:rPr>
            </w:pPr>
          </w:p>
        </w:tc>
        <w:tc>
          <w:tcPr>
            <w:tcW w:w="1080" w:type="dxa"/>
            <w:vAlign w:val="center"/>
          </w:tcPr>
          <w:p w14:paraId="03A49406">
            <w:pPr>
              <w:spacing w:line="276" w:lineRule="auto"/>
              <w:jc w:val="center"/>
              <w:rPr>
                <w:rFonts w:ascii="宋体" w:hAnsi="宋体" w:cs="宋体"/>
                <w:szCs w:val="21"/>
              </w:rPr>
            </w:pPr>
          </w:p>
        </w:tc>
      </w:tr>
      <w:tr w14:paraId="3A41CA3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1058" w:type="dxa"/>
            <w:vMerge w:val="continue"/>
            <w:vAlign w:val="center"/>
          </w:tcPr>
          <w:p w14:paraId="6F5B5ECB">
            <w:pPr>
              <w:spacing w:line="276" w:lineRule="auto"/>
              <w:jc w:val="center"/>
              <w:rPr>
                <w:rFonts w:ascii="宋体" w:hAnsi="宋体" w:cs="宋体"/>
                <w:szCs w:val="21"/>
              </w:rPr>
            </w:pPr>
          </w:p>
        </w:tc>
        <w:tc>
          <w:tcPr>
            <w:tcW w:w="876" w:type="dxa"/>
            <w:vAlign w:val="center"/>
          </w:tcPr>
          <w:p w14:paraId="773DAEAB">
            <w:pPr>
              <w:spacing w:line="276" w:lineRule="auto"/>
              <w:jc w:val="center"/>
              <w:rPr>
                <w:rFonts w:ascii="宋体" w:hAnsi="宋体" w:cs="宋体"/>
                <w:szCs w:val="21"/>
              </w:rPr>
            </w:pPr>
          </w:p>
        </w:tc>
        <w:tc>
          <w:tcPr>
            <w:tcW w:w="877" w:type="dxa"/>
            <w:vAlign w:val="center"/>
          </w:tcPr>
          <w:p w14:paraId="77E2F528">
            <w:pPr>
              <w:spacing w:line="276" w:lineRule="auto"/>
              <w:jc w:val="center"/>
              <w:rPr>
                <w:rFonts w:ascii="宋体" w:hAnsi="宋体" w:cs="宋体"/>
                <w:szCs w:val="21"/>
              </w:rPr>
            </w:pPr>
          </w:p>
        </w:tc>
        <w:tc>
          <w:tcPr>
            <w:tcW w:w="877" w:type="dxa"/>
          </w:tcPr>
          <w:p w14:paraId="2535B472">
            <w:pPr>
              <w:spacing w:line="276" w:lineRule="auto"/>
              <w:jc w:val="center"/>
              <w:rPr>
                <w:rFonts w:ascii="宋体" w:hAnsi="宋体" w:cs="宋体"/>
                <w:szCs w:val="21"/>
              </w:rPr>
            </w:pPr>
          </w:p>
        </w:tc>
        <w:tc>
          <w:tcPr>
            <w:tcW w:w="877" w:type="dxa"/>
            <w:vAlign w:val="center"/>
          </w:tcPr>
          <w:p w14:paraId="1F7D37E9">
            <w:pPr>
              <w:spacing w:line="276" w:lineRule="auto"/>
              <w:jc w:val="center"/>
              <w:rPr>
                <w:rFonts w:ascii="宋体" w:hAnsi="宋体" w:cs="宋体"/>
                <w:szCs w:val="21"/>
              </w:rPr>
            </w:pPr>
          </w:p>
        </w:tc>
        <w:tc>
          <w:tcPr>
            <w:tcW w:w="1151" w:type="dxa"/>
            <w:vAlign w:val="center"/>
          </w:tcPr>
          <w:p w14:paraId="0384958C">
            <w:pPr>
              <w:spacing w:line="276" w:lineRule="auto"/>
              <w:jc w:val="center"/>
              <w:rPr>
                <w:rFonts w:ascii="宋体" w:hAnsi="宋体" w:cs="宋体"/>
                <w:szCs w:val="21"/>
              </w:rPr>
            </w:pPr>
          </w:p>
        </w:tc>
        <w:tc>
          <w:tcPr>
            <w:tcW w:w="933" w:type="dxa"/>
            <w:vAlign w:val="center"/>
          </w:tcPr>
          <w:p w14:paraId="0A5DD309">
            <w:pPr>
              <w:spacing w:line="276" w:lineRule="auto"/>
              <w:jc w:val="center"/>
              <w:rPr>
                <w:rFonts w:ascii="宋体" w:hAnsi="宋体" w:cs="宋体"/>
                <w:szCs w:val="21"/>
              </w:rPr>
            </w:pPr>
          </w:p>
        </w:tc>
        <w:tc>
          <w:tcPr>
            <w:tcW w:w="1101" w:type="dxa"/>
            <w:vAlign w:val="center"/>
          </w:tcPr>
          <w:p w14:paraId="226918FD">
            <w:pPr>
              <w:spacing w:line="276" w:lineRule="auto"/>
              <w:jc w:val="center"/>
              <w:rPr>
                <w:rFonts w:ascii="宋体" w:hAnsi="宋体" w:cs="宋体"/>
                <w:szCs w:val="21"/>
              </w:rPr>
            </w:pPr>
          </w:p>
        </w:tc>
        <w:tc>
          <w:tcPr>
            <w:tcW w:w="1080" w:type="dxa"/>
            <w:vAlign w:val="center"/>
          </w:tcPr>
          <w:p w14:paraId="1CE7267F">
            <w:pPr>
              <w:spacing w:line="276" w:lineRule="auto"/>
              <w:jc w:val="center"/>
              <w:rPr>
                <w:rFonts w:ascii="宋体" w:hAnsi="宋体" w:cs="宋体"/>
                <w:szCs w:val="21"/>
              </w:rPr>
            </w:pPr>
          </w:p>
        </w:tc>
      </w:tr>
      <w:tr w14:paraId="61C9314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1058" w:type="dxa"/>
            <w:vMerge w:val="continue"/>
            <w:vAlign w:val="center"/>
          </w:tcPr>
          <w:p w14:paraId="0C036CE1">
            <w:pPr>
              <w:spacing w:line="276" w:lineRule="auto"/>
              <w:jc w:val="center"/>
              <w:rPr>
                <w:rFonts w:ascii="宋体" w:hAnsi="宋体" w:cs="宋体"/>
                <w:szCs w:val="21"/>
              </w:rPr>
            </w:pPr>
          </w:p>
        </w:tc>
        <w:tc>
          <w:tcPr>
            <w:tcW w:w="876" w:type="dxa"/>
            <w:vAlign w:val="center"/>
          </w:tcPr>
          <w:p w14:paraId="063BE435">
            <w:pPr>
              <w:spacing w:line="276" w:lineRule="auto"/>
              <w:jc w:val="center"/>
              <w:rPr>
                <w:rFonts w:ascii="宋体" w:hAnsi="宋体" w:cs="宋体"/>
                <w:szCs w:val="21"/>
              </w:rPr>
            </w:pPr>
          </w:p>
        </w:tc>
        <w:tc>
          <w:tcPr>
            <w:tcW w:w="877" w:type="dxa"/>
            <w:vAlign w:val="center"/>
          </w:tcPr>
          <w:p w14:paraId="75C98573">
            <w:pPr>
              <w:spacing w:line="276" w:lineRule="auto"/>
              <w:jc w:val="center"/>
              <w:rPr>
                <w:rFonts w:ascii="宋体" w:hAnsi="宋体" w:cs="宋体"/>
                <w:szCs w:val="21"/>
              </w:rPr>
            </w:pPr>
          </w:p>
        </w:tc>
        <w:tc>
          <w:tcPr>
            <w:tcW w:w="877" w:type="dxa"/>
          </w:tcPr>
          <w:p w14:paraId="30ED52A4">
            <w:pPr>
              <w:spacing w:line="276" w:lineRule="auto"/>
              <w:jc w:val="center"/>
              <w:rPr>
                <w:rFonts w:ascii="宋体" w:hAnsi="宋体" w:cs="宋体"/>
                <w:szCs w:val="21"/>
              </w:rPr>
            </w:pPr>
          </w:p>
        </w:tc>
        <w:tc>
          <w:tcPr>
            <w:tcW w:w="877" w:type="dxa"/>
            <w:vAlign w:val="center"/>
          </w:tcPr>
          <w:p w14:paraId="303C8AEE">
            <w:pPr>
              <w:spacing w:line="276" w:lineRule="auto"/>
              <w:jc w:val="center"/>
              <w:rPr>
                <w:rFonts w:ascii="宋体" w:hAnsi="宋体" w:cs="宋体"/>
                <w:szCs w:val="21"/>
              </w:rPr>
            </w:pPr>
          </w:p>
        </w:tc>
        <w:tc>
          <w:tcPr>
            <w:tcW w:w="1151" w:type="dxa"/>
            <w:vAlign w:val="center"/>
          </w:tcPr>
          <w:p w14:paraId="56165D5D">
            <w:pPr>
              <w:spacing w:line="276" w:lineRule="auto"/>
              <w:jc w:val="center"/>
              <w:rPr>
                <w:rFonts w:ascii="宋体" w:hAnsi="宋体" w:cs="宋体"/>
                <w:szCs w:val="21"/>
              </w:rPr>
            </w:pPr>
          </w:p>
        </w:tc>
        <w:tc>
          <w:tcPr>
            <w:tcW w:w="933" w:type="dxa"/>
            <w:vAlign w:val="center"/>
          </w:tcPr>
          <w:p w14:paraId="031B0E51">
            <w:pPr>
              <w:spacing w:line="276" w:lineRule="auto"/>
              <w:jc w:val="center"/>
              <w:rPr>
                <w:rFonts w:ascii="宋体" w:hAnsi="宋体" w:cs="宋体"/>
                <w:szCs w:val="21"/>
              </w:rPr>
            </w:pPr>
          </w:p>
        </w:tc>
        <w:tc>
          <w:tcPr>
            <w:tcW w:w="1101" w:type="dxa"/>
            <w:vAlign w:val="center"/>
          </w:tcPr>
          <w:p w14:paraId="7F515A86">
            <w:pPr>
              <w:spacing w:line="276" w:lineRule="auto"/>
              <w:jc w:val="center"/>
              <w:rPr>
                <w:rFonts w:ascii="宋体" w:hAnsi="宋体" w:cs="宋体"/>
                <w:szCs w:val="21"/>
              </w:rPr>
            </w:pPr>
          </w:p>
        </w:tc>
        <w:tc>
          <w:tcPr>
            <w:tcW w:w="1080" w:type="dxa"/>
            <w:vAlign w:val="center"/>
          </w:tcPr>
          <w:p w14:paraId="446FF7D4">
            <w:pPr>
              <w:spacing w:line="276" w:lineRule="auto"/>
              <w:jc w:val="center"/>
              <w:rPr>
                <w:rFonts w:ascii="宋体" w:hAnsi="宋体" w:cs="宋体"/>
                <w:szCs w:val="21"/>
              </w:rPr>
            </w:pPr>
          </w:p>
        </w:tc>
      </w:tr>
      <w:tr w14:paraId="0A54FF0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058" w:type="dxa"/>
            <w:vMerge w:val="restart"/>
            <w:vAlign w:val="center"/>
          </w:tcPr>
          <w:p w14:paraId="141366B3">
            <w:pPr>
              <w:spacing w:line="276" w:lineRule="auto"/>
              <w:jc w:val="center"/>
              <w:rPr>
                <w:rFonts w:ascii="宋体" w:hAnsi="宋体" w:cs="宋体"/>
                <w:szCs w:val="21"/>
              </w:rPr>
            </w:pPr>
            <w:r>
              <w:rPr>
                <w:rFonts w:hint="eastAsia" w:ascii="宋体" w:hAnsi="宋体" w:cs="宋体"/>
                <w:szCs w:val="21"/>
              </w:rPr>
              <w:t>其他</w:t>
            </w:r>
          </w:p>
        </w:tc>
        <w:tc>
          <w:tcPr>
            <w:tcW w:w="876" w:type="dxa"/>
          </w:tcPr>
          <w:p w14:paraId="5032A07F">
            <w:pPr>
              <w:spacing w:line="276" w:lineRule="auto"/>
              <w:rPr>
                <w:rFonts w:ascii="宋体" w:hAnsi="宋体" w:cs="宋体"/>
                <w:szCs w:val="21"/>
              </w:rPr>
            </w:pPr>
          </w:p>
        </w:tc>
        <w:tc>
          <w:tcPr>
            <w:tcW w:w="877" w:type="dxa"/>
          </w:tcPr>
          <w:p w14:paraId="67B1696F">
            <w:pPr>
              <w:spacing w:line="276" w:lineRule="auto"/>
              <w:rPr>
                <w:rFonts w:ascii="宋体" w:hAnsi="宋体" w:cs="宋体"/>
                <w:szCs w:val="21"/>
              </w:rPr>
            </w:pPr>
          </w:p>
        </w:tc>
        <w:tc>
          <w:tcPr>
            <w:tcW w:w="877" w:type="dxa"/>
          </w:tcPr>
          <w:p w14:paraId="19727E3C">
            <w:pPr>
              <w:spacing w:line="276" w:lineRule="auto"/>
              <w:rPr>
                <w:rFonts w:ascii="宋体" w:hAnsi="宋体" w:cs="宋体"/>
                <w:szCs w:val="21"/>
              </w:rPr>
            </w:pPr>
          </w:p>
        </w:tc>
        <w:tc>
          <w:tcPr>
            <w:tcW w:w="877" w:type="dxa"/>
          </w:tcPr>
          <w:p w14:paraId="26F99D1F">
            <w:pPr>
              <w:spacing w:line="276" w:lineRule="auto"/>
              <w:rPr>
                <w:rFonts w:ascii="宋体" w:hAnsi="宋体" w:cs="宋体"/>
                <w:szCs w:val="21"/>
              </w:rPr>
            </w:pPr>
          </w:p>
        </w:tc>
        <w:tc>
          <w:tcPr>
            <w:tcW w:w="1151" w:type="dxa"/>
          </w:tcPr>
          <w:p w14:paraId="25185CCD">
            <w:pPr>
              <w:spacing w:line="276" w:lineRule="auto"/>
              <w:rPr>
                <w:rFonts w:ascii="宋体" w:hAnsi="宋体" w:cs="宋体"/>
                <w:szCs w:val="21"/>
              </w:rPr>
            </w:pPr>
          </w:p>
        </w:tc>
        <w:tc>
          <w:tcPr>
            <w:tcW w:w="933" w:type="dxa"/>
          </w:tcPr>
          <w:p w14:paraId="21B3FA35">
            <w:pPr>
              <w:spacing w:line="276" w:lineRule="auto"/>
              <w:rPr>
                <w:rFonts w:ascii="宋体" w:hAnsi="宋体" w:cs="宋体"/>
                <w:szCs w:val="21"/>
              </w:rPr>
            </w:pPr>
          </w:p>
        </w:tc>
        <w:tc>
          <w:tcPr>
            <w:tcW w:w="1101" w:type="dxa"/>
          </w:tcPr>
          <w:p w14:paraId="69ADA9FF">
            <w:pPr>
              <w:spacing w:line="276" w:lineRule="auto"/>
              <w:rPr>
                <w:rFonts w:ascii="宋体" w:hAnsi="宋体" w:cs="宋体"/>
                <w:szCs w:val="21"/>
              </w:rPr>
            </w:pPr>
          </w:p>
        </w:tc>
        <w:tc>
          <w:tcPr>
            <w:tcW w:w="1080" w:type="dxa"/>
          </w:tcPr>
          <w:p w14:paraId="358869F5">
            <w:pPr>
              <w:spacing w:line="276" w:lineRule="auto"/>
              <w:rPr>
                <w:rFonts w:ascii="宋体" w:hAnsi="宋体" w:cs="宋体"/>
                <w:szCs w:val="21"/>
              </w:rPr>
            </w:pPr>
          </w:p>
        </w:tc>
      </w:tr>
      <w:tr w14:paraId="422382B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058" w:type="dxa"/>
            <w:vMerge w:val="continue"/>
          </w:tcPr>
          <w:p w14:paraId="6509F555">
            <w:pPr>
              <w:spacing w:line="276" w:lineRule="auto"/>
              <w:rPr>
                <w:rFonts w:ascii="宋体" w:hAnsi="宋体" w:cs="宋体"/>
                <w:szCs w:val="21"/>
              </w:rPr>
            </w:pPr>
          </w:p>
        </w:tc>
        <w:tc>
          <w:tcPr>
            <w:tcW w:w="876" w:type="dxa"/>
          </w:tcPr>
          <w:p w14:paraId="2146F056">
            <w:pPr>
              <w:spacing w:line="276" w:lineRule="auto"/>
              <w:rPr>
                <w:rFonts w:ascii="宋体" w:hAnsi="宋体" w:cs="宋体"/>
                <w:szCs w:val="21"/>
              </w:rPr>
            </w:pPr>
          </w:p>
        </w:tc>
        <w:tc>
          <w:tcPr>
            <w:tcW w:w="877" w:type="dxa"/>
          </w:tcPr>
          <w:p w14:paraId="646B036F">
            <w:pPr>
              <w:spacing w:line="276" w:lineRule="auto"/>
              <w:rPr>
                <w:rFonts w:ascii="宋体" w:hAnsi="宋体" w:cs="宋体"/>
                <w:szCs w:val="21"/>
              </w:rPr>
            </w:pPr>
          </w:p>
        </w:tc>
        <w:tc>
          <w:tcPr>
            <w:tcW w:w="877" w:type="dxa"/>
          </w:tcPr>
          <w:p w14:paraId="4816B612">
            <w:pPr>
              <w:spacing w:line="276" w:lineRule="auto"/>
              <w:rPr>
                <w:rFonts w:ascii="宋体" w:hAnsi="宋体" w:cs="宋体"/>
                <w:szCs w:val="21"/>
              </w:rPr>
            </w:pPr>
          </w:p>
        </w:tc>
        <w:tc>
          <w:tcPr>
            <w:tcW w:w="877" w:type="dxa"/>
          </w:tcPr>
          <w:p w14:paraId="48C05554">
            <w:pPr>
              <w:spacing w:line="276" w:lineRule="auto"/>
              <w:rPr>
                <w:rFonts w:ascii="宋体" w:hAnsi="宋体" w:cs="宋体"/>
                <w:szCs w:val="21"/>
              </w:rPr>
            </w:pPr>
          </w:p>
        </w:tc>
        <w:tc>
          <w:tcPr>
            <w:tcW w:w="1151" w:type="dxa"/>
          </w:tcPr>
          <w:p w14:paraId="3B36BFAB">
            <w:pPr>
              <w:spacing w:line="276" w:lineRule="auto"/>
              <w:rPr>
                <w:rFonts w:ascii="宋体" w:hAnsi="宋体" w:cs="宋体"/>
                <w:szCs w:val="21"/>
              </w:rPr>
            </w:pPr>
          </w:p>
        </w:tc>
        <w:tc>
          <w:tcPr>
            <w:tcW w:w="933" w:type="dxa"/>
          </w:tcPr>
          <w:p w14:paraId="425CD3E6">
            <w:pPr>
              <w:spacing w:line="276" w:lineRule="auto"/>
              <w:rPr>
                <w:rFonts w:ascii="宋体" w:hAnsi="宋体" w:cs="宋体"/>
                <w:szCs w:val="21"/>
              </w:rPr>
            </w:pPr>
          </w:p>
        </w:tc>
        <w:tc>
          <w:tcPr>
            <w:tcW w:w="1101" w:type="dxa"/>
          </w:tcPr>
          <w:p w14:paraId="46DCE634">
            <w:pPr>
              <w:spacing w:line="276" w:lineRule="auto"/>
              <w:rPr>
                <w:rFonts w:ascii="宋体" w:hAnsi="宋体" w:cs="宋体"/>
                <w:szCs w:val="21"/>
              </w:rPr>
            </w:pPr>
          </w:p>
        </w:tc>
        <w:tc>
          <w:tcPr>
            <w:tcW w:w="1080" w:type="dxa"/>
          </w:tcPr>
          <w:p w14:paraId="0C4CA6DB">
            <w:pPr>
              <w:spacing w:line="276" w:lineRule="auto"/>
              <w:rPr>
                <w:rFonts w:ascii="宋体" w:hAnsi="宋体" w:cs="宋体"/>
                <w:szCs w:val="21"/>
              </w:rPr>
            </w:pPr>
          </w:p>
        </w:tc>
      </w:tr>
    </w:tbl>
    <w:p w14:paraId="21CCACF5">
      <w:pPr>
        <w:pStyle w:val="8"/>
        <w:spacing w:line="276" w:lineRule="auto"/>
        <w:rPr>
          <w:b w:val="0"/>
          <w:bCs w:val="0"/>
          <w:sz w:val="21"/>
          <w:szCs w:val="21"/>
        </w:rPr>
      </w:pPr>
      <w:r>
        <w:rPr>
          <w:rFonts w:hint="eastAsia"/>
          <w:b w:val="0"/>
          <w:bCs w:val="0"/>
          <w:sz w:val="21"/>
          <w:szCs w:val="21"/>
        </w:rPr>
        <w:t>（特别提示：以上表格仅供参考。投标人须按本招标文件评标信息中“拟安排的项目主要团队成员（主要技术人员）情况（项目负责人除外）情况”这一评分因素要求，提供证明资料）</w:t>
      </w:r>
    </w:p>
    <w:p w14:paraId="2C3699D0">
      <w:pPr>
        <w:pStyle w:val="7"/>
        <w:spacing w:before="60" w:beforeLines="25" w:after="60" w:afterLines="25"/>
        <w:ind w:firstLine="0"/>
        <w:rPr>
          <w:rFonts w:ascii="黑体" w:hAnsi="宋体" w:eastAsia="黑体"/>
          <w:sz w:val="24"/>
        </w:rPr>
      </w:pPr>
    </w:p>
    <w:p w14:paraId="491492A3">
      <w:pPr>
        <w:bidi w:val="0"/>
        <w:rPr>
          <w:rFonts w:hint="eastAsia"/>
          <w:lang w:val="en-US" w:eastAsia="zh-CN"/>
        </w:rPr>
      </w:pPr>
    </w:p>
    <w:p w14:paraId="1D0320C1">
      <w:pPr>
        <w:pStyle w:val="4"/>
        <w:jc w:val="center"/>
        <w:rPr>
          <w:rFonts w:hint="eastAsia" w:ascii="黑体" w:eastAsia="黑体" w:cs="Times New Roman"/>
          <w:b w:val="0"/>
          <w:bCs w:val="0"/>
          <w:sz w:val="24"/>
          <w:szCs w:val="28"/>
        </w:rPr>
      </w:pPr>
      <w:r>
        <w:rPr>
          <w:rFonts w:hint="eastAsia" w:ascii="黑体" w:eastAsia="黑体" w:cs="Times New Roman"/>
          <w:b w:val="0"/>
          <w:bCs w:val="0"/>
          <w:sz w:val="24"/>
          <w:szCs w:val="28"/>
          <w:lang w:val="en-US" w:eastAsia="zh-CN"/>
        </w:rPr>
        <w:t>十</w:t>
      </w:r>
      <w:r>
        <w:rPr>
          <w:rFonts w:hint="eastAsia" w:ascii="黑体" w:eastAsia="黑体" w:cs="Times New Roman"/>
          <w:b w:val="0"/>
          <w:bCs w:val="0"/>
          <w:sz w:val="24"/>
          <w:szCs w:val="28"/>
        </w:rPr>
        <w:t>、</w:t>
      </w:r>
      <w:bookmarkStart w:id="50" w:name="_Hlk72062872"/>
      <w:r>
        <w:rPr>
          <w:rFonts w:hint="eastAsia" w:ascii="黑体" w:eastAsia="黑体" w:cs="Times New Roman"/>
          <w:b w:val="0"/>
          <w:bCs w:val="0"/>
          <w:sz w:val="24"/>
          <w:szCs w:val="28"/>
        </w:rPr>
        <w:t>投标人认为需要加以说明的其他内容</w:t>
      </w:r>
      <w:bookmarkEnd w:id="50"/>
    </w:p>
    <w:p w14:paraId="779DEC67">
      <w:pPr>
        <w:keepNext w:val="0"/>
        <w:keepLines w:val="0"/>
        <w:widowControl/>
        <w:suppressLineNumbers w:val="0"/>
        <w:jc w:val="center"/>
        <w:rPr>
          <w:rFonts w:hint="eastAsia" w:ascii="黑体" w:hAnsi="黑体" w:eastAsia="黑体" w:cs="黑体"/>
          <w:color w:val="auto"/>
          <w:sz w:val="24"/>
          <w:szCs w:val="24"/>
        </w:rPr>
      </w:pPr>
      <w:r>
        <w:rPr>
          <w:rFonts w:hint="eastAsia" w:ascii="黑体" w:hAnsi="黑体" w:eastAsia="黑体" w:cs="黑体"/>
          <w:color w:val="auto"/>
          <w:kern w:val="0"/>
          <w:sz w:val="24"/>
          <w:szCs w:val="24"/>
          <w:lang w:val="en-US" w:eastAsia="zh-CN"/>
        </w:rPr>
        <w:t>政府采购违法行为风险知悉确认书</w:t>
      </w:r>
    </w:p>
    <w:p w14:paraId="73B69562">
      <w:pPr>
        <w:spacing w:before="0" w:beforeLines="0" w:after="156" w:afterLines="50" w:line="360" w:lineRule="exact"/>
        <w:ind w:firstLine="422" w:firstLineChars="200"/>
        <w:rPr>
          <w:rFonts w:hint="eastAsia" w:eastAsia="宋体" w:cs="Times New Roman"/>
          <w:b/>
          <w:bCs/>
          <w:color w:val="auto"/>
          <w:sz w:val="24"/>
          <w:lang w:val="en-US" w:eastAsia="zh-CN"/>
        </w:rPr>
      </w:pPr>
      <w:r>
        <w:rPr>
          <w:rFonts w:hint="eastAsia"/>
          <w:b/>
          <w:bCs/>
          <w:color w:val="auto"/>
          <w:sz w:val="21"/>
          <w:szCs w:val="21"/>
          <w:lang w:eastAsia="zh-CN"/>
        </w:rPr>
        <w:t>我</w:t>
      </w:r>
      <w:r>
        <w:rPr>
          <w:rFonts w:hint="eastAsia" w:ascii="Calibri" w:hAnsi="Calibri" w:eastAsia="宋体" w:cs="Times New Roman"/>
          <w:b/>
          <w:bCs/>
          <w:color w:val="auto"/>
          <w:sz w:val="21"/>
          <w:szCs w:val="21"/>
          <w:lang w:val="en-US" w:eastAsia="zh-CN"/>
        </w:rPr>
        <w:t>单位</w:t>
      </w:r>
      <w:r>
        <w:rPr>
          <w:rFonts w:hint="eastAsia" w:eastAsia="宋体"/>
          <w:b/>
          <w:bCs/>
          <w:color w:val="auto"/>
          <w:sz w:val="21"/>
          <w:szCs w:val="21"/>
        </w:rPr>
        <w:t>在</w:t>
      </w:r>
      <w:r>
        <w:rPr>
          <w:rFonts w:hint="eastAsia"/>
          <w:b/>
          <w:bCs/>
          <w:color w:val="auto"/>
          <w:sz w:val="21"/>
          <w:szCs w:val="21"/>
        </w:rPr>
        <w:t>投标前已充分知悉以下情形为参与政府采购活动时的重大风险事项，并承诺已对下述风险提示事项重点排查，</w:t>
      </w:r>
      <w:r>
        <w:rPr>
          <w:rFonts w:hint="eastAsia" w:eastAsia="宋体" w:cs="Times New Roman"/>
          <w:b/>
          <w:bCs/>
          <w:color w:val="auto"/>
          <w:sz w:val="21"/>
          <w:szCs w:val="21"/>
          <w:lang w:val="en-US" w:eastAsia="zh-CN"/>
        </w:rPr>
        <w:t>若存在下述情况，我单位愿意依法承担被记入供应商诚信档案、罚款、取消参与政府采购资格、吊销营业执照等处罚；构成犯罪的，依法承担刑事责任</w:t>
      </w:r>
      <w:r>
        <w:rPr>
          <w:rFonts w:hint="eastAsia" w:eastAsia="宋体" w:cs="Times New Roman"/>
          <w:b/>
          <w:bCs/>
          <w:color w:val="auto"/>
          <w:sz w:val="24"/>
          <w:lang w:val="en-US" w:eastAsia="zh-CN"/>
        </w:rPr>
        <w:t>。</w:t>
      </w:r>
    </w:p>
    <w:tbl>
      <w:tblPr>
        <w:tblStyle w:val="4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1"/>
        <w:gridCol w:w="7811"/>
      </w:tblGrid>
      <w:tr w14:paraId="24B5B8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 w:hRule="atLeast"/>
        </w:trPr>
        <w:tc>
          <w:tcPr>
            <w:tcW w:w="711" w:type="dxa"/>
            <w:noWrap w:val="0"/>
            <w:vAlign w:val="top"/>
          </w:tcPr>
          <w:p w14:paraId="2E882D4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序号</w:t>
            </w:r>
          </w:p>
        </w:tc>
        <w:tc>
          <w:tcPr>
            <w:tcW w:w="7811" w:type="dxa"/>
            <w:noWrap w:val="0"/>
            <w:vAlign w:val="top"/>
          </w:tcPr>
          <w:p w14:paraId="6BD8652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b/>
                <w:bCs/>
                <w:color w:val="auto"/>
                <w:sz w:val="24"/>
                <w:szCs w:val="24"/>
                <w:highlight w:val="none"/>
                <w:lang w:val="en-US" w:eastAsia="zh-CN"/>
              </w:rPr>
              <w:t>供应商参与投标禁止情形</w:t>
            </w:r>
          </w:p>
        </w:tc>
      </w:tr>
      <w:tr w14:paraId="09C808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1" w:type="dxa"/>
            <w:noWrap w:val="0"/>
            <w:vAlign w:val="top"/>
          </w:tcPr>
          <w:p w14:paraId="19EDBD5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w:t>
            </w:r>
          </w:p>
        </w:tc>
        <w:tc>
          <w:tcPr>
            <w:tcW w:w="7811" w:type="dxa"/>
            <w:noWrap w:val="0"/>
            <w:vAlign w:val="center"/>
          </w:tcPr>
          <w:p w14:paraId="2D554E4F">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与其他投标供应商的法定代表人、主要经营负责人、投标授权代表人、项目负责人、主要技术人员为</w:t>
            </w:r>
            <w:r>
              <w:rPr>
                <w:rFonts w:hint="eastAsia" w:ascii="仿宋_GB2312" w:hAnsi="仿宋_GB2312" w:eastAsia="仿宋_GB2312" w:cs="仿宋_GB2312"/>
                <w:b/>
                <w:bCs/>
                <w:color w:val="auto"/>
                <w:sz w:val="24"/>
                <w:szCs w:val="24"/>
                <w:highlight w:val="none"/>
                <w:lang w:val="en-US" w:eastAsia="zh-CN"/>
              </w:rPr>
              <w:t>同一人、属同一单位或者在同一单位缴纳社会保险</w:t>
            </w:r>
            <w:r>
              <w:rPr>
                <w:rFonts w:hint="eastAsia" w:ascii="仿宋_GB2312" w:hAnsi="仿宋_GB2312" w:eastAsia="仿宋_GB2312" w:cs="仿宋_GB2312"/>
                <w:color w:val="auto"/>
                <w:sz w:val="24"/>
                <w:szCs w:val="24"/>
                <w:highlight w:val="none"/>
                <w:lang w:val="en-US" w:eastAsia="zh-CN"/>
              </w:rPr>
              <w:t>。</w:t>
            </w:r>
          </w:p>
        </w:tc>
      </w:tr>
      <w:tr w14:paraId="6C54EC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11" w:type="dxa"/>
            <w:noWrap w:val="0"/>
            <w:vAlign w:val="top"/>
          </w:tcPr>
          <w:p w14:paraId="2EC5A8F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w:t>
            </w:r>
          </w:p>
        </w:tc>
        <w:tc>
          <w:tcPr>
            <w:tcW w:w="7811" w:type="dxa"/>
            <w:noWrap w:val="0"/>
            <w:vAlign w:val="center"/>
          </w:tcPr>
          <w:p w14:paraId="1F18BFC3">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参与本项目政府采购活动时，与其他投标供应商存在单位负责人为</w:t>
            </w:r>
            <w:r>
              <w:rPr>
                <w:rFonts w:hint="eastAsia" w:ascii="仿宋_GB2312" w:hAnsi="仿宋_GB2312" w:eastAsia="仿宋_GB2312" w:cs="仿宋_GB2312"/>
                <w:b/>
                <w:bCs/>
                <w:color w:val="auto"/>
                <w:sz w:val="24"/>
                <w:szCs w:val="24"/>
                <w:highlight w:val="none"/>
                <w:lang w:val="en-US" w:eastAsia="zh-CN"/>
              </w:rPr>
              <w:t>同一人或直接控股、管理关系</w:t>
            </w:r>
            <w:r>
              <w:rPr>
                <w:rFonts w:hint="eastAsia" w:ascii="仿宋_GB2312" w:hAnsi="仿宋_GB2312" w:eastAsia="仿宋_GB2312" w:cs="仿宋_GB2312"/>
                <w:color w:val="auto"/>
                <w:sz w:val="24"/>
                <w:szCs w:val="24"/>
                <w:highlight w:val="none"/>
                <w:lang w:val="en-US" w:eastAsia="zh-CN"/>
              </w:rPr>
              <w:t>。</w:t>
            </w:r>
          </w:p>
        </w:tc>
      </w:tr>
      <w:tr w14:paraId="02D7F7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1" w:type="dxa"/>
            <w:noWrap w:val="0"/>
            <w:vAlign w:val="top"/>
          </w:tcPr>
          <w:p w14:paraId="415EFE1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w:t>
            </w:r>
          </w:p>
        </w:tc>
        <w:tc>
          <w:tcPr>
            <w:tcW w:w="7811" w:type="dxa"/>
            <w:noWrap w:val="0"/>
            <w:vAlign w:val="center"/>
          </w:tcPr>
          <w:p w14:paraId="65586523">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与其他投标供应商的投标文件或部分投标文件</w:t>
            </w:r>
            <w:r>
              <w:rPr>
                <w:rFonts w:hint="eastAsia" w:ascii="仿宋_GB2312" w:hAnsi="仿宋_GB2312" w:eastAsia="仿宋_GB2312" w:cs="仿宋_GB2312"/>
                <w:b/>
                <w:bCs/>
                <w:color w:val="auto"/>
                <w:sz w:val="24"/>
                <w:szCs w:val="24"/>
                <w:highlight w:val="none"/>
                <w:lang w:val="en-US" w:eastAsia="zh-CN"/>
              </w:rPr>
              <w:t>相互混装或存在非正常一致</w:t>
            </w:r>
            <w:r>
              <w:rPr>
                <w:rFonts w:hint="eastAsia" w:ascii="仿宋_GB2312" w:hAnsi="仿宋_GB2312" w:eastAsia="仿宋_GB2312" w:cs="仿宋_GB2312"/>
                <w:color w:val="auto"/>
                <w:sz w:val="24"/>
                <w:szCs w:val="24"/>
                <w:highlight w:val="none"/>
                <w:lang w:val="en-US" w:eastAsia="zh-CN"/>
              </w:rPr>
              <w:t>。</w:t>
            </w:r>
          </w:p>
        </w:tc>
      </w:tr>
      <w:tr w14:paraId="560F8E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1" w:type="dxa"/>
            <w:noWrap w:val="0"/>
            <w:vAlign w:val="top"/>
          </w:tcPr>
          <w:p w14:paraId="12737DD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w:t>
            </w:r>
          </w:p>
        </w:tc>
        <w:tc>
          <w:tcPr>
            <w:tcW w:w="7811" w:type="dxa"/>
            <w:noWrap w:val="0"/>
            <w:vAlign w:val="center"/>
          </w:tcPr>
          <w:p w14:paraId="12C32DB2">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与其他投标供应商的投标文件由</w:t>
            </w:r>
            <w:r>
              <w:rPr>
                <w:rFonts w:hint="eastAsia" w:ascii="仿宋_GB2312" w:hAnsi="仿宋_GB2312" w:eastAsia="仿宋_GB2312" w:cs="仿宋_GB2312"/>
                <w:b/>
                <w:bCs/>
                <w:color w:val="auto"/>
                <w:sz w:val="24"/>
                <w:szCs w:val="24"/>
                <w:highlight w:val="none"/>
                <w:lang w:val="en-US" w:eastAsia="zh-CN"/>
              </w:rPr>
              <w:t>同一单位或者同一人编制</w:t>
            </w:r>
            <w:r>
              <w:rPr>
                <w:rFonts w:hint="eastAsia" w:ascii="仿宋_GB2312" w:hAnsi="仿宋_GB2312" w:eastAsia="仿宋_GB2312" w:cs="仿宋_GB2312"/>
                <w:color w:val="auto"/>
                <w:sz w:val="24"/>
                <w:szCs w:val="24"/>
                <w:highlight w:val="none"/>
                <w:lang w:val="en-US" w:eastAsia="zh-CN"/>
              </w:rPr>
              <w:t>，或者使用</w:t>
            </w:r>
            <w:r>
              <w:rPr>
                <w:rFonts w:hint="eastAsia" w:ascii="仿宋_GB2312" w:hAnsi="仿宋_GB2312" w:eastAsia="仿宋_GB2312" w:cs="仿宋_GB2312"/>
                <w:b/>
                <w:bCs/>
                <w:color w:val="auto"/>
                <w:sz w:val="24"/>
                <w:szCs w:val="24"/>
                <w:highlight w:val="none"/>
                <w:lang w:val="en-US" w:eastAsia="zh-CN"/>
              </w:rPr>
              <w:t>同一设备编制</w:t>
            </w:r>
            <w:r>
              <w:rPr>
                <w:rFonts w:hint="eastAsia" w:ascii="仿宋_GB2312" w:hAnsi="仿宋_GB2312" w:eastAsia="仿宋_GB2312" w:cs="仿宋_GB2312"/>
                <w:color w:val="auto"/>
                <w:sz w:val="24"/>
                <w:szCs w:val="24"/>
                <w:highlight w:val="none"/>
                <w:lang w:val="en-US" w:eastAsia="zh-CN"/>
              </w:rPr>
              <w:t>（“文件制作机器码”“文件创建标识码”一致）。</w:t>
            </w:r>
          </w:p>
        </w:tc>
      </w:tr>
      <w:tr w14:paraId="48D5F8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11" w:type="dxa"/>
            <w:noWrap w:val="0"/>
            <w:vAlign w:val="top"/>
          </w:tcPr>
          <w:p w14:paraId="3E9CAEC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5</w:t>
            </w:r>
          </w:p>
        </w:tc>
        <w:tc>
          <w:tcPr>
            <w:tcW w:w="7811" w:type="dxa"/>
            <w:noWrap w:val="0"/>
            <w:vAlign w:val="center"/>
          </w:tcPr>
          <w:p w14:paraId="323F0BAC">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提供</w:t>
            </w:r>
            <w:r>
              <w:rPr>
                <w:rFonts w:hint="eastAsia" w:ascii="仿宋_GB2312" w:hAnsi="仿宋_GB2312" w:eastAsia="仿宋_GB2312" w:cs="仿宋_GB2312"/>
                <w:b/>
                <w:bCs/>
                <w:color w:val="auto"/>
                <w:sz w:val="24"/>
                <w:szCs w:val="24"/>
                <w:highlight w:val="none"/>
                <w:lang w:val="en-US" w:eastAsia="zh-CN"/>
              </w:rPr>
              <w:t>未经出具机构核实</w:t>
            </w:r>
            <w:r>
              <w:rPr>
                <w:rFonts w:hint="eastAsia" w:ascii="仿宋_GB2312" w:hAnsi="仿宋_GB2312" w:eastAsia="仿宋_GB2312" w:cs="仿宋_GB2312"/>
                <w:color w:val="auto"/>
                <w:sz w:val="24"/>
                <w:szCs w:val="24"/>
                <w:highlight w:val="none"/>
                <w:lang w:val="en-US" w:eastAsia="zh-CN"/>
              </w:rPr>
              <w:t>的虚假的检验检测报告、业绩材料、社保缴纳证明、学历学位证书、职称认证证书等材料。</w:t>
            </w:r>
          </w:p>
        </w:tc>
      </w:tr>
      <w:tr w14:paraId="75B53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1" w:type="dxa"/>
            <w:noWrap w:val="0"/>
            <w:vAlign w:val="top"/>
          </w:tcPr>
          <w:p w14:paraId="7BB7AA5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6</w:t>
            </w:r>
          </w:p>
        </w:tc>
        <w:tc>
          <w:tcPr>
            <w:tcW w:w="7811" w:type="dxa"/>
            <w:noWrap w:val="0"/>
            <w:vAlign w:val="center"/>
          </w:tcPr>
          <w:p w14:paraId="3CF312C7">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lang w:val="en-US" w:eastAsia="zh-CN"/>
              </w:rPr>
              <w:t>擅自将投标密钥或电子营业执照出借他人使用或未妥善保管。</w:t>
            </w:r>
          </w:p>
        </w:tc>
      </w:tr>
    </w:tbl>
    <w:p w14:paraId="7D679D84">
      <w:pPr>
        <w:spacing w:before="156" w:beforeLines="50" w:line="380" w:lineRule="exact"/>
        <w:ind w:firstLine="422" w:firstLineChars="200"/>
        <w:rPr>
          <w:b/>
          <w:color w:val="auto"/>
        </w:rPr>
      </w:pPr>
      <w:r>
        <w:rPr>
          <w:rFonts w:hint="eastAsia"/>
          <w:b/>
          <w:color w:val="auto"/>
        </w:rPr>
        <w:t>一、</w:t>
      </w:r>
      <w:r>
        <w:rPr>
          <w:rFonts w:hint="eastAsia"/>
          <w:b/>
          <w:color w:val="auto"/>
          <w:lang w:eastAsia="zh-CN"/>
        </w:rPr>
        <w:t>我</w:t>
      </w:r>
      <w:r>
        <w:rPr>
          <w:rFonts w:hint="eastAsia"/>
          <w:b/>
          <w:color w:val="auto"/>
          <w:lang w:val="en-US" w:eastAsia="zh-CN"/>
        </w:rPr>
        <w:t>单位</w:t>
      </w:r>
      <w:r>
        <w:rPr>
          <w:rFonts w:hint="eastAsia"/>
          <w:b/>
          <w:color w:val="auto"/>
        </w:rPr>
        <w:t>已充分知悉“隐瞒真实情况，提供虚假资料”的法定情形，包括但不限于：</w:t>
      </w:r>
    </w:p>
    <w:p w14:paraId="26660CCF">
      <w:pPr>
        <w:spacing w:beforeLines="0" w:line="380" w:lineRule="exact"/>
        <w:ind w:firstLine="420" w:firstLineChars="200"/>
        <w:rPr>
          <w:color w:val="auto"/>
        </w:rPr>
      </w:pPr>
      <w:r>
        <w:rPr>
          <w:rFonts w:hint="eastAsia"/>
          <w:color w:val="auto"/>
        </w:rPr>
        <w:t>（一）通过转让或者租借等方式从其他单位获取资格或者资质证书投标的</w:t>
      </w:r>
      <w:r>
        <w:rPr>
          <w:rFonts w:hint="eastAsia"/>
          <w:color w:val="auto"/>
          <w:highlight w:val="none"/>
        </w:rPr>
        <w:t>。</w:t>
      </w:r>
    </w:p>
    <w:p w14:paraId="51A3F537">
      <w:pPr>
        <w:spacing w:beforeLines="0" w:line="380" w:lineRule="exact"/>
        <w:ind w:firstLine="420" w:firstLineChars="200"/>
        <w:rPr>
          <w:color w:val="auto"/>
        </w:rPr>
      </w:pPr>
      <w:r>
        <w:rPr>
          <w:rFonts w:hint="eastAsia"/>
          <w:color w:val="auto"/>
        </w:rPr>
        <w:t>（二）由其他单位或者其他单位负责人在投标供应商编制的投标文件上加盖印章或者签字的。</w:t>
      </w:r>
    </w:p>
    <w:p w14:paraId="54A4293D">
      <w:pPr>
        <w:spacing w:beforeLines="0" w:line="380" w:lineRule="exact"/>
        <w:ind w:firstLine="420" w:firstLineChars="200"/>
        <w:rPr>
          <w:color w:val="auto"/>
        </w:rPr>
      </w:pPr>
      <w:r>
        <w:rPr>
          <w:rFonts w:hint="eastAsia"/>
          <w:color w:val="auto"/>
        </w:rPr>
        <w:t>（三）项目负责人或者主要技术人员不是本单位人员的。</w:t>
      </w:r>
    </w:p>
    <w:p w14:paraId="079D65D3">
      <w:pPr>
        <w:spacing w:beforeLines="0" w:line="380" w:lineRule="exact"/>
        <w:ind w:firstLine="420" w:firstLineChars="200"/>
        <w:rPr>
          <w:color w:val="auto"/>
        </w:rPr>
      </w:pPr>
      <w:r>
        <w:rPr>
          <w:rFonts w:hint="eastAsia"/>
          <w:color w:val="auto"/>
        </w:rPr>
        <w:t>（四）投标保证金不是从投标供应商基本账户转出的。</w:t>
      </w:r>
    </w:p>
    <w:p w14:paraId="2CA7AFFA">
      <w:pPr>
        <w:spacing w:beforeLines="0" w:line="380" w:lineRule="exact"/>
        <w:ind w:firstLine="420" w:firstLineChars="200"/>
        <w:rPr>
          <w:color w:val="auto"/>
        </w:rPr>
      </w:pPr>
      <w:r>
        <w:rPr>
          <w:rFonts w:hint="eastAsia"/>
          <w:color w:val="auto"/>
        </w:rPr>
        <w:t>（五）其他隐瞒真实情况、提供虚假资料的行为。</w:t>
      </w:r>
    </w:p>
    <w:p w14:paraId="7032384E">
      <w:pPr>
        <w:spacing w:beforeLines="0" w:line="380" w:lineRule="exact"/>
        <w:ind w:firstLine="422" w:firstLineChars="200"/>
        <w:rPr>
          <w:b/>
          <w:color w:val="auto"/>
        </w:rPr>
      </w:pPr>
      <w:r>
        <w:rPr>
          <w:rFonts w:hint="eastAsia"/>
          <w:b/>
          <w:color w:val="auto"/>
        </w:rPr>
        <w:t>二、</w:t>
      </w:r>
      <w:r>
        <w:rPr>
          <w:rFonts w:hint="eastAsia"/>
          <w:b/>
          <w:color w:val="auto"/>
          <w:lang w:eastAsia="zh-CN"/>
        </w:rPr>
        <w:t>我</w:t>
      </w:r>
      <w:r>
        <w:rPr>
          <w:rFonts w:hint="eastAsia"/>
          <w:b/>
          <w:color w:val="auto"/>
          <w:lang w:val="en-US" w:eastAsia="zh-CN"/>
        </w:rPr>
        <w:t>单位</w:t>
      </w:r>
      <w:r>
        <w:rPr>
          <w:rFonts w:hint="eastAsia"/>
          <w:b/>
          <w:color w:val="auto"/>
        </w:rPr>
        <w:t>已充分知悉“与其他采购参加人串通投标”的法定情形，包括但不限于：</w:t>
      </w:r>
    </w:p>
    <w:p w14:paraId="7F29D974">
      <w:pPr>
        <w:spacing w:beforeLines="0" w:line="380" w:lineRule="exact"/>
        <w:ind w:firstLine="420" w:firstLineChars="200"/>
        <w:rPr>
          <w:color w:val="auto"/>
        </w:rPr>
      </w:pPr>
      <w:r>
        <w:rPr>
          <w:rFonts w:hint="eastAsia"/>
          <w:color w:val="auto"/>
        </w:rPr>
        <w:t>（一）投标供应商之间相互约定给予未中标的供应商利益补偿。</w:t>
      </w:r>
    </w:p>
    <w:p w14:paraId="7CCB2A94">
      <w:pPr>
        <w:spacing w:beforeLines="0" w:line="380" w:lineRule="exact"/>
        <w:ind w:firstLine="420" w:firstLineChars="200"/>
        <w:rPr>
          <w:color w:val="auto"/>
        </w:rPr>
      </w:pPr>
      <w:r>
        <w:rPr>
          <w:rFonts w:hint="eastAsia"/>
          <w:color w:val="auto"/>
        </w:rPr>
        <w:t>（二）不同投标供应商的法定代表人、主要经营负责人、项目投标授权代表人、项目负责人、主要技术人员为同一人、属同一单位或者在同一单位缴纳社会保险。</w:t>
      </w:r>
    </w:p>
    <w:p w14:paraId="35E3EE09">
      <w:pPr>
        <w:spacing w:beforeLines="0" w:line="340" w:lineRule="exact"/>
        <w:ind w:firstLine="420" w:firstLineChars="200"/>
        <w:rPr>
          <w:color w:val="auto"/>
        </w:rPr>
      </w:pPr>
      <w:r>
        <w:rPr>
          <w:rFonts w:hint="eastAsia"/>
          <w:color w:val="auto"/>
        </w:rPr>
        <w:t>（三）不同投标供应商的投标文件由同一单位或者同一人编制，或者由同一人分阶段参与编制的。</w:t>
      </w:r>
    </w:p>
    <w:p w14:paraId="210B6CDB">
      <w:pPr>
        <w:spacing w:beforeLines="0" w:line="340" w:lineRule="exact"/>
        <w:ind w:firstLine="420" w:firstLineChars="200"/>
        <w:rPr>
          <w:color w:val="auto"/>
        </w:rPr>
      </w:pPr>
      <w:r>
        <w:rPr>
          <w:rFonts w:hint="eastAsia"/>
          <w:color w:val="auto"/>
        </w:rPr>
        <w:t>（四）不同投标供应商的投标文件或部分投标文件相互混装。</w:t>
      </w:r>
    </w:p>
    <w:p w14:paraId="2BFC3B3D">
      <w:pPr>
        <w:spacing w:beforeLines="0" w:line="340" w:lineRule="exact"/>
        <w:ind w:firstLine="420" w:firstLineChars="200"/>
        <w:rPr>
          <w:color w:val="auto"/>
        </w:rPr>
      </w:pPr>
      <w:r>
        <w:rPr>
          <w:rFonts w:hint="eastAsia"/>
          <w:color w:val="auto"/>
        </w:rPr>
        <w:t>（五）不同投标供应商的投标文件内容存在非正常一致。</w:t>
      </w:r>
    </w:p>
    <w:p w14:paraId="022872D9">
      <w:pPr>
        <w:spacing w:beforeLines="0" w:line="340" w:lineRule="exact"/>
        <w:ind w:firstLine="420" w:firstLineChars="200"/>
        <w:rPr>
          <w:color w:val="auto"/>
        </w:rPr>
      </w:pPr>
      <w:r>
        <w:rPr>
          <w:rFonts w:hint="eastAsia"/>
          <w:color w:val="auto"/>
        </w:rPr>
        <w:t>（六）由同一单位工作人员为两家以上（含两家）供应商进行同一项投标活动的。</w:t>
      </w:r>
    </w:p>
    <w:p w14:paraId="38C25D30">
      <w:pPr>
        <w:spacing w:beforeLines="0" w:line="340" w:lineRule="exact"/>
        <w:ind w:firstLine="420" w:firstLineChars="200"/>
        <w:rPr>
          <w:color w:val="auto"/>
        </w:rPr>
      </w:pPr>
      <w:r>
        <w:rPr>
          <w:rFonts w:hint="eastAsia"/>
          <w:color w:val="auto"/>
        </w:rPr>
        <w:t>（七）不同投标人的投标报价呈规律性差异。</w:t>
      </w:r>
    </w:p>
    <w:p w14:paraId="23B69A9F">
      <w:pPr>
        <w:spacing w:beforeLines="0" w:line="340" w:lineRule="exact"/>
        <w:ind w:firstLine="420" w:firstLineChars="200"/>
        <w:rPr>
          <w:color w:val="auto"/>
        </w:rPr>
      </w:pPr>
      <w:r>
        <w:rPr>
          <w:rFonts w:hint="eastAsia"/>
          <w:color w:val="auto"/>
        </w:rPr>
        <w:t>（八）不同投标人的投标保证金从同一单位或者个人的账户转出。</w:t>
      </w:r>
    </w:p>
    <w:p w14:paraId="48B3C432">
      <w:pPr>
        <w:spacing w:beforeLines="0" w:line="340" w:lineRule="exact"/>
        <w:ind w:firstLine="420" w:firstLineChars="200"/>
        <w:rPr>
          <w:color w:val="auto"/>
        </w:rPr>
      </w:pPr>
      <w:r>
        <w:rPr>
          <w:rFonts w:hint="eastAsia"/>
          <w:color w:val="auto"/>
        </w:rPr>
        <w:t>（九）主管部门依照法律、法规认定的其他情形。</w:t>
      </w:r>
    </w:p>
    <w:p w14:paraId="3892C924">
      <w:pPr>
        <w:spacing w:beforeLines="0" w:line="340" w:lineRule="exact"/>
        <w:ind w:firstLine="422" w:firstLineChars="200"/>
        <w:rPr>
          <w:b/>
          <w:color w:val="auto"/>
        </w:rPr>
      </w:pPr>
      <w:r>
        <w:rPr>
          <w:rFonts w:hint="eastAsia"/>
          <w:b/>
          <w:color w:val="auto"/>
        </w:rPr>
        <w:t>三、</w:t>
      </w:r>
      <w:r>
        <w:rPr>
          <w:rFonts w:hint="eastAsia"/>
          <w:b/>
          <w:color w:val="auto"/>
          <w:lang w:eastAsia="zh-CN"/>
        </w:rPr>
        <w:t>我</w:t>
      </w:r>
      <w:r>
        <w:rPr>
          <w:rFonts w:hint="eastAsia"/>
          <w:b/>
          <w:color w:val="auto"/>
          <w:lang w:val="en-US" w:eastAsia="zh-CN"/>
        </w:rPr>
        <w:t>单位</w:t>
      </w:r>
      <w:r>
        <w:rPr>
          <w:rFonts w:hint="eastAsia"/>
          <w:b/>
          <w:color w:val="auto"/>
        </w:rPr>
        <w:t>已充分知悉下列情形</w:t>
      </w:r>
      <w:r>
        <w:rPr>
          <w:rFonts w:hint="eastAsia"/>
          <w:b/>
          <w:color w:val="auto"/>
          <w:lang w:eastAsia="zh-CN"/>
        </w:rPr>
        <w:t>存在</w:t>
      </w:r>
      <w:r>
        <w:rPr>
          <w:rFonts w:hint="eastAsia"/>
          <w:b/>
          <w:color w:val="auto"/>
        </w:rPr>
        <w:t>法律风险，在投标前已对相关风险事项进行排</w:t>
      </w:r>
      <w:r>
        <w:rPr>
          <w:rFonts w:hint="eastAsia"/>
          <w:b/>
          <w:color w:val="auto"/>
          <w:highlight w:val="none"/>
        </w:rPr>
        <w:t>查。</w:t>
      </w:r>
    </w:p>
    <w:p w14:paraId="3E4F7384">
      <w:pPr>
        <w:spacing w:beforeLines="0" w:line="340" w:lineRule="exact"/>
        <w:ind w:firstLine="420" w:firstLineChars="200"/>
        <w:rPr>
          <w:b/>
          <w:color w:val="auto"/>
        </w:rPr>
      </w:pPr>
      <w:r>
        <w:rPr>
          <w:rFonts w:hint="eastAsia"/>
          <w:color w:val="auto"/>
        </w:rPr>
        <w:t>（一）对于从其他主体获取的投标资料，</w:t>
      </w:r>
      <w:r>
        <w:rPr>
          <w:rFonts w:hint="eastAsia"/>
          <w:color w:val="auto"/>
          <w:lang w:eastAsia="zh-CN"/>
        </w:rPr>
        <w:t>我</w:t>
      </w:r>
      <w:r>
        <w:rPr>
          <w:rFonts w:hint="eastAsia"/>
          <w:color w:val="auto"/>
          <w:lang w:val="en-US" w:eastAsia="zh-CN"/>
        </w:rPr>
        <w:t>单位</w:t>
      </w:r>
      <w:r>
        <w:rPr>
          <w:rFonts w:hint="eastAsia"/>
          <w:color w:val="auto"/>
        </w:rPr>
        <w:t>应审慎核查，确保</w:t>
      </w:r>
      <w:r>
        <w:rPr>
          <w:rFonts w:hint="eastAsia"/>
          <w:color w:val="auto"/>
          <w:lang w:eastAsia="zh-CN"/>
        </w:rPr>
        <w:t>其</w:t>
      </w:r>
      <w:r>
        <w:rPr>
          <w:rFonts w:hint="eastAsia"/>
          <w:color w:val="auto"/>
        </w:rPr>
        <w:t>真实性。</w:t>
      </w:r>
      <w:r>
        <w:rPr>
          <w:rFonts w:hint="eastAsia"/>
          <w:b/>
          <w:color w:val="auto"/>
        </w:rPr>
        <w:t>如主管部门查实投标文件中存在虚假资料的，无论相关资料是否由第三方或本公司员工提供，均不影响主管部门对供应商存在“隐瞒真实情况，提供虚假资料”违法行为的认定。</w:t>
      </w:r>
    </w:p>
    <w:p w14:paraId="5E17EB99">
      <w:pPr>
        <w:spacing w:beforeLines="0" w:line="340" w:lineRule="exact"/>
        <w:ind w:firstLine="420" w:firstLineChars="200"/>
        <w:rPr>
          <w:color w:val="auto"/>
        </w:rPr>
      </w:pPr>
      <w:r>
        <w:rPr>
          <w:rFonts w:hint="eastAsia"/>
          <w:color w:val="auto"/>
        </w:rPr>
        <w:t>（二）对于涉及国家机关出具的公文、证件、证明材料等文件，一旦涉嫌虚假，经查实，主管部门将依法从严处理，并移送有关部门追究法律责任；涉嫌犯罪的，移送司法机关</w:t>
      </w:r>
      <w:r>
        <w:rPr>
          <w:rFonts w:hint="eastAsia"/>
          <w:color w:val="auto"/>
          <w:lang w:eastAsia="zh-CN"/>
        </w:rPr>
        <w:t>处理</w:t>
      </w:r>
      <w:r>
        <w:rPr>
          <w:rFonts w:hint="eastAsia"/>
          <w:color w:val="auto"/>
        </w:rPr>
        <w:t>。</w:t>
      </w:r>
    </w:p>
    <w:p w14:paraId="5FDA8608">
      <w:pPr>
        <w:spacing w:beforeLines="0" w:line="340" w:lineRule="exact"/>
        <w:ind w:firstLine="420" w:firstLineChars="200"/>
        <w:rPr>
          <w:color w:val="auto"/>
        </w:rPr>
      </w:pPr>
      <w:r>
        <w:rPr>
          <w:rFonts w:hint="eastAsia"/>
          <w:color w:val="auto"/>
        </w:rPr>
        <w:t>（</w:t>
      </w:r>
      <w:r>
        <w:rPr>
          <w:rFonts w:hint="eastAsia"/>
          <w:color w:val="auto"/>
          <w:lang w:eastAsia="zh-CN"/>
        </w:rPr>
        <w:t>三</w:t>
      </w:r>
      <w:r>
        <w:rPr>
          <w:rFonts w:hint="eastAsia"/>
          <w:color w:val="auto"/>
        </w:rPr>
        <w:t>）</w:t>
      </w:r>
      <w:r>
        <w:rPr>
          <w:rFonts w:hint="eastAsia"/>
          <w:color w:val="auto"/>
          <w:lang w:eastAsia="zh-CN"/>
        </w:rPr>
        <w:t>我</w:t>
      </w:r>
      <w:r>
        <w:rPr>
          <w:rFonts w:hint="eastAsia"/>
          <w:color w:val="auto"/>
          <w:lang w:val="en-US" w:eastAsia="zh-CN"/>
        </w:rPr>
        <w:t>单位</w:t>
      </w:r>
      <w:r>
        <w:rPr>
          <w:rFonts w:hint="eastAsia"/>
          <w:color w:val="auto"/>
        </w:rPr>
        <w:t>对投标电子密钥</w:t>
      </w:r>
      <w:r>
        <w:rPr>
          <w:rFonts w:hint="eastAsia"/>
          <w:color w:val="auto"/>
          <w:lang w:eastAsia="zh-CN"/>
        </w:rPr>
        <w:t>或</w:t>
      </w:r>
      <w:r>
        <w:rPr>
          <w:rFonts w:hint="eastAsia"/>
          <w:color w:val="auto"/>
          <w:lang w:val="en-US" w:eastAsia="zh-CN"/>
        </w:rPr>
        <w:t>电子营业执照</w:t>
      </w:r>
      <w:r>
        <w:rPr>
          <w:rFonts w:hint="eastAsia"/>
          <w:color w:val="auto"/>
        </w:rPr>
        <w:t>负有妥善保管、及时变更和续期等主体责任</w:t>
      </w:r>
      <w:r>
        <w:rPr>
          <w:rFonts w:hint="eastAsia"/>
          <w:color w:val="auto"/>
          <w:lang w:eastAsia="zh-CN"/>
        </w:rPr>
        <w:t>；</w:t>
      </w:r>
      <w:r>
        <w:rPr>
          <w:rFonts w:hint="eastAsia"/>
          <w:color w:val="auto"/>
        </w:rPr>
        <w:t>使用电子密钥</w:t>
      </w:r>
      <w:r>
        <w:rPr>
          <w:rFonts w:hint="eastAsia"/>
          <w:color w:val="auto"/>
          <w:lang w:eastAsia="zh-CN"/>
        </w:rPr>
        <w:t>或</w:t>
      </w:r>
      <w:r>
        <w:rPr>
          <w:rFonts w:hint="eastAsia"/>
          <w:color w:val="auto"/>
          <w:lang w:val="en-US" w:eastAsia="zh-CN"/>
        </w:rPr>
        <w:t>电子营业执照</w:t>
      </w:r>
      <w:r>
        <w:rPr>
          <w:rFonts w:hint="eastAsia"/>
          <w:color w:val="auto"/>
        </w:rPr>
        <w:t>在深圳政府采购网站进行的活动，均具有法律效力，须承担相应的法律后果。</w:t>
      </w:r>
      <w:r>
        <w:rPr>
          <w:rFonts w:hint="eastAsia"/>
          <w:color w:val="auto"/>
          <w:lang w:eastAsia="zh-CN"/>
        </w:rPr>
        <w:t>若</w:t>
      </w:r>
      <w:r>
        <w:rPr>
          <w:rFonts w:hint="eastAsia"/>
          <w:b/>
          <w:bCs/>
          <w:color w:val="auto"/>
        </w:rPr>
        <w:t>擅自将投标密钥</w:t>
      </w:r>
      <w:r>
        <w:rPr>
          <w:rFonts w:hint="eastAsia"/>
          <w:b/>
          <w:bCs/>
          <w:color w:val="auto"/>
          <w:lang w:eastAsia="zh-CN"/>
        </w:rPr>
        <w:t>或</w:t>
      </w:r>
      <w:r>
        <w:rPr>
          <w:rFonts w:hint="eastAsia"/>
          <w:b/>
          <w:bCs/>
          <w:color w:val="auto"/>
          <w:lang w:val="en-US" w:eastAsia="zh-CN"/>
        </w:rPr>
        <w:t>电子营业执照</w:t>
      </w:r>
      <w:r>
        <w:rPr>
          <w:rFonts w:hint="eastAsia"/>
          <w:b/>
          <w:bCs/>
          <w:color w:val="auto"/>
        </w:rPr>
        <w:t>出借他人使用所造成的法律后果，由</w:t>
      </w:r>
      <w:r>
        <w:rPr>
          <w:rFonts w:hint="eastAsia"/>
          <w:b/>
          <w:bCs/>
          <w:color w:val="auto"/>
          <w:lang w:eastAsia="zh-CN"/>
        </w:rPr>
        <w:t>我</w:t>
      </w:r>
      <w:r>
        <w:rPr>
          <w:rFonts w:hint="eastAsia"/>
          <w:b/>
          <w:bCs/>
          <w:color w:val="auto"/>
          <w:lang w:val="en-US" w:eastAsia="zh-CN"/>
        </w:rPr>
        <w:t>单位</w:t>
      </w:r>
      <w:r>
        <w:rPr>
          <w:rFonts w:hint="eastAsia"/>
          <w:b/>
          <w:bCs/>
          <w:color w:val="auto"/>
        </w:rPr>
        <w:t>自行承担</w:t>
      </w:r>
      <w:r>
        <w:rPr>
          <w:rFonts w:hint="eastAsia"/>
          <w:color w:val="auto"/>
        </w:rPr>
        <w:t>。</w:t>
      </w:r>
    </w:p>
    <w:p w14:paraId="3352E021">
      <w:pPr>
        <w:spacing w:beforeLines="0" w:line="340" w:lineRule="exact"/>
        <w:ind w:firstLine="422" w:firstLineChars="200"/>
        <w:rPr>
          <w:b/>
          <w:color w:val="auto"/>
        </w:rPr>
      </w:pPr>
      <w:r>
        <w:rPr>
          <w:rFonts w:hint="eastAsia"/>
          <w:b/>
          <w:color w:val="auto"/>
        </w:rPr>
        <w:t>四、</w:t>
      </w:r>
      <w:r>
        <w:rPr>
          <w:rFonts w:hint="eastAsia"/>
          <w:b/>
          <w:color w:val="auto"/>
          <w:lang w:eastAsia="zh-CN"/>
        </w:rPr>
        <w:t>我</w:t>
      </w:r>
      <w:r>
        <w:rPr>
          <w:rFonts w:hint="eastAsia"/>
          <w:b/>
          <w:color w:val="auto"/>
          <w:lang w:val="en-US" w:eastAsia="zh-CN"/>
        </w:rPr>
        <w:t>单位</w:t>
      </w:r>
      <w:r>
        <w:rPr>
          <w:rFonts w:hint="eastAsia"/>
          <w:b/>
          <w:color w:val="auto"/>
        </w:rPr>
        <w:t>已充分知悉政府采购违法、违规行为的法律</w:t>
      </w:r>
      <w:r>
        <w:rPr>
          <w:rFonts w:hint="eastAsia"/>
          <w:b/>
          <w:color w:val="auto"/>
          <w:highlight w:val="none"/>
        </w:rPr>
        <w:t>后果。</w:t>
      </w:r>
    </w:p>
    <w:p w14:paraId="2457D088">
      <w:pPr>
        <w:spacing w:beforeLines="0" w:line="340" w:lineRule="exact"/>
        <w:ind w:firstLine="420" w:firstLineChars="200"/>
        <w:rPr>
          <w:color w:val="auto"/>
          <w:highlight w:val="none"/>
        </w:rPr>
      </w:pPr>
      <w:r>
        <w:rPr>
          <w:rFonts w:hint="eastAsia"/>
          <w:color w:val="auto"/>
        </w:rPr>
        <w:t>经查实，若</w:t>
      </w:r>
      <w:r>
        <w:rPr>
          <w:rFonts w:hint="eastAsia"/>
          <w:color w:val="auto"/>
          <w:lang w:eastAsia="zh-CN"/>
        </w:rPr>
        <w:t>我</w:t>
      </w:r>
      <w:r>
        <w:rPr>
          <w:rFonts w:hint="eastAsia"/>
          <w:color w:val="auto"/>
          <w:lang w:val="en-US" w:eastAsia="zh-CN"/>
        </w:rPr>
        <w:t>单位</w:t>
      </w:r>
      <w:r>
        <w:rPr>
          <w:rFonts w:hint="eastAsia"/>
          <w:color w:val="auto"/>
        </w:rPr>
        <w:t>存在政府采购违法、违规行为，主管部门将依据《深圳经济特区政府采购条例》第五十七条的规定，处以一至三年内禁止参与本市政府采购，并记入供应商诚信档案，处采购金额千分之十以上千分之二十以下罚款；情节严重的，取消参与本市政府采购资格，处采购金额千</w:t>
      </w:r>
      <w:r>
        <w:rPr>
          <w:rFonts w:hint="eastAsia"/>
          <w:color w:val="auto"/>
          <w:highlight w:val="none"/>
        </w:rPr>
        <w:t>分之二十以上千分之三十以下罚款，由市场监管部门依法吊销营业执照。</w:t>
      </w:r>
    </w:p>
    <w:p w14:paraId="5E9AD97B">
      <w:pPr>
        <w:spacing w:beforeLines="0" w:line="340" w:lineRule="exact"/>
        <w:ind w:firstLine="420" w:firstLineChars="200"/>
        <w:rPr>
          <w:color w:val="auto"/>
          <w:highlight w:val="none"/>
        </w:rPr>
      </w:pPr>
      <w:r>
        <w:rPr>
          <w:rFonts w:hint="eastAsia"/>
          <w:color w:val="auto"/>
          <w:highlight w:val="none"/>
        </w:rPr>
        <w:t>以下文字请投标供应商抄写并确认：“</w:t>
      </w:r>
      <w:r>
        <w:rPr>
          <w:rFonts w:hint="eastAsia"/>
          <w:color w:val="auto"/>
          <w:highlight w:val="none"/>
          <w:lang w:eastAsia="zh-CN"/>
        </w:rPr>
        <w:t>我</w:t>
      </w:r>
      <w:r>
        <w:rPr>
          <w:rFonts w:hint="eastAsia"/>
          <w:color w:val="auto"/>
          <w:lang w:val="en-US" w:eastAsia="zh-CN"/>
        </w:rPr>
        <w:t>单位</w:t>
      </w:r>
      <w:r>
        <w:rPr>
          <w:rFonts w:hint="eastAsia"/>
          <w:color w:val="auto"/>
          <w:highlight w:val="none"/>
        </w:rPr>
        <w:t>已仔细阅读《政府采购违法行为风险知悉确认书》，充分知悉违法行为的法律后果，并承诺将严谨、诚信、依法依规参与政府采购活动”。</w:t>
      </w:r>
    </w:p>
    <w:tbl>
      <w:tblPr>
        <w:tblStyle w:val="191"/>
        <w:tblW w:w="8529" w:type="dxa"/>
        <w:tblInd w:w="0" w:type="dxa"/>
        <w:tblBorders>
          <w:top w:val="none" w:color="auto" w:sz="0"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529"/>
      </w:tblGrid>
      <w:tr w14:paraId="4F4478EC">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4" w:hRule="atLeast"/>
        </w:trPr>
        <w:tc>
          <w:tcPr>
            <w:tcW w:w="8529" w:type="dxa"/>
            <w:tcBorders>
              <w:top w:val="nil"/>
              <w:left w:val="nil"/>
              <w:bottom w:val="single" w:color="000000" w:sz="8" w:space="0"/>
              <w:right w:val="nil"/>
            </w:tcBorders>
            <w:noWrap w:val="0"/>
            <w:vAlign w:val="top"/>
          </w:tcPr>
          <w:p w14:paraId="044835AD">
            <w:pPr>
              <w:autoSpaceDE w:val="0"/>
              <w:autoSpaceDN w:val="0"/>
              <w:spacing w:beforeLines="0" w:line="340" w:lineRule="exact"/>
              <w:ind w:firstLine="1866"/>
              <w:rPr>
                <w:rFonts w:ascii="宋体" w:hAnsi="宋体" w:eastAsia="宋体"/>
                <w:color w:val="auto"/>
                <w:spacing w:val="-4"/>
                <w:kern w:val="0"/>
                <w:szCs w:val="21"/>
                <w:highlight w:val="none"/>
              </w:rPr>
            </w:pPr>
          </w:p>
        </w:tc>
      </w:tr>
      <w:tr w14:paraId="5A85819A">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8529" w:type="dxa"/>
            <w:tcBorders>
              <w:top w:val="single" w:color="000000" w:sz="8" w:space="0"/>
              <w:left w:val="nil"/>
              <w:bottom w:val="single" w:color="000000" w:sz="8" w:space="0"/>
              <w:right w:val="nil"/>
            </w:tcBorders>
            <w:noWrap w:val="0"/>
            <w:vAlign w:val="top"/>
          </w:tcPr>
          <w:p w14:paraId="41377CAE">
            <w:pPr>
              <w:autoSpaceDE w:val="0"/>
              <w:autoSpaceDN w:val="0"/>
              <w:spacing w:beforeLines="0" w:line="340" w:lineRule="exact"/>
              <w:ind w:firstLine="1866"/>
              <w:rPr>
                <w:rFonts w:ascii="宋体" w:hAnsi="宋体" w:eastAsia="宋体"/>
                <w:color w:val="auto"/>
                <w:spacing w:val="-4"/>
                <w:kern w:val="0"/>
                <w:szCs w:val="21"/>
              </w:rPr>
            </w:pPr>
          </w:p>
        </w:tc>
      </w:tr>
      <w:tr w14:paraId="6482B522">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8529" w:type="dxa"/>
            <w:tcBorders>
              <w:top w:val="single" w:color="000000" w:sz="8" w:space="0"/>
              <w:left w:val="nil"/>
              <w:bottom w:val="single" w:color="000000" w:sz="8" w:space="0"/>
              <w:right w:val="nil"/>
            </w:tcBorders>
            <w:noWrap w:val="0"/>
            <w:vAlign w:val="top"/>
          </w:tcPr>
          <w:p w14:paraId="02D45436">
            <w:pPr>
              <w:autoSpaceDE w:val="0"/>
              <w:autoSpaceDN w:val="0"/>
              <w:spacing w:beforeLines="0" w:line="340" w:lineRule="exact"/>
              <w:ind w:firstLine="1866"/>
              <w:rPr>
                <w:rFonts w:ascii="宋体" w:hAnsi="宋体" w:eastAsia="宋体"/>
                <w:color w:val="auto"/>
                <w:spacing w:val="-4"/>
                <w:kern w:val="0"/>
                <w:szCs w:val="21"/>
              </w:rPr>
            </w:pPr>
          </w:p>
        </w:tc>
      </w:tr>
      <w:tr w14:paraId="2C676B4C">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8529" w:type="dxa"/>
            <w:tcBorders>
              <w:top w:val="single" w:color="000000" w:sz="8" w:space="0"/>
              <w:left w:val="nil"/>
              <w:bottom w:val="single" w:color="auto" w:sz="8" w:space="0"/>
              <w:right w:val="nil"/>
            </w:tcBorders>
            <w:noWrap w:val="0"/>
            <w:vAlign w:val="top"/>
          </w:tcPr>
          <w:p w14:paraId="7FD8F9E2">
            <w:pPr>
              <w:autoSpaceDE w:val="0"/>
              <w:autoSpaceDN w:val="0"/>
              <w:spacing w:beforeLines="0" w:line="340" w:lineRule="exact"/>
              <w:ind w:firstLine="1866"/>
              <w:rPr>
                <w:rFonts w:ascii="宋体" w:hAnsi="宋体" w:eastAsia="宋体"/>
                <w:color w:val="auto"/>
                <w:spacing w:val="-4"/>
                <w:kern w:val="0"/>
                <w:szCs w:val="21"/>
              </w:rPr>
            </w:pPr>
          </w:p>
        </w:tc>
      </w:tr>
    </w:tbl>
    <w:p w14:paraId="1400DE70">
      <w:pPr>
        <w:widowControl/>
        <w:wordWrap w:val="0"/>
        <w:autoSpaceDE w:val="0"/>
        <w:autoSpaceDN w:val="0"/>
        <w:spacing w:beforeLines="0" w:line="340" w:lineRule="exact"/>
        <w:ind w:right="808" w:firstLine="404" w:firstLineChars="200"/>
        <w:jc w:val="right"/>
        <w:rPr>
          <w:rFonts w:hint="eastAsia" w:ascii="宋体" w:hAnsi="宋体" w:eastAsia="宋体"/>
          <w:color w:val="auto"/>
          <w:spacing w:val="-4"/>
          <w:kern w:val="0"/>
          <w:szCs w:val="21"/>
        </w:rPr>
      </w:pPr>
    </w:p>
    <w:p w14:paraId="18AC39AF">
      <w:pPr>
        <w:widowControl/>
        <w:wordWrap w:val="0"/>
        <w:autoSpaceDE w:val="0"/>
        <w:autoSpaceDN w:val="0"/>
        <w:spacing w:beforeLines="0" w:line="340" w:lineRule="exact"/>
        <w:ind w:right="808" w:firstLine="404" w:firstLineChars="200"/>
        <w:jc w:val="right"/>
        <w:rPr>
          <w:rFonts w:ascii="宋体" w:hAnsi="宋体" w:eastAsia="宋体"/>
          <w:color w:val="auto"/>
          <w:spacing w:val="-4"/>
          <w:kern w:val="0"/>
          <w:szCs w:val="21"/>
          <w:u w:val="single"/>
        </w:rPr>
      </w:pPr>
      <w:r>
        <w:rPr>
          <w:rFonts w:hint="eastAsia" w:ascii="宋体" w:hAnsi="宋体" w:eastAsia="宋体"/>
          <w:color w:val="auto"/>
          <w:spacing w:val="-4"/>
          <w:kern w:val="0"/>
          <w:szCs w:val="21"/>
          <w:lang w:eastAsia="zh-CN"/>
        </w:rPr>
        <w:t>单位</w:t>
      </w:r>
      <w:r>
        <w:rPr>
          <w:rFonts w:hint="eastAsia" w:ascii="宋体" w:hAnsi="宋体" w:eastAsia="宋体"/>
          <w:color w:val="auto"/>
          <w:spacing w:val="-4"/>
          <w:kern w:val="0"/>
          <w:szCs w:val="21"/>
        </w:rPr>
        <w:t>负责人签名：</w:t>
      </w:r>
      <w:r>
        <w:rPr>
          <w:rFonts w:hint="eastAsia" w:ascii="宋体" w:hAnsi="宋体" w:eastAsia="宋体"/>
          <w:color w:val="auto"/>
          <w:spacing w:val="-4"/>
          <w:kern w:val="0"/>
          <w:szCs w:val="21"/>
          <w:u w:val="single"/>
        </w:rPr>
        <w:t xml:space="preserve">              </w:t>
      </w:r>
    </w:p>
    <w:p w14:paraId="66121A6E">
      <w:pPr>
        <w:widowControl/>
        <w:wordWrap w:val="0"/>
        <w:autoSpaceDE w:val="0"/>
        <w:autoSpaceDN w:val="0"/>
        <w:spacing w:beforeLines="0" w:line="340" w:lineRule="exact"/>
        <w:ind w:right="808" w:firstLine="404" w:firstLineChars="200"/>
        <w:jc w:val="center"/>
        <w:rPr>
          <w:rFonts w:ascii="宋体" w:hAnsi="宋体" w:eastAsia="宋体"/>
          <w:color w:val="auto"/>
          <w:spacing w:val="-4"/>
          <w:kern w:val="0"/>
          <w:szCs w:val="21"/>
          <w:u w:val="single"/>
        </w:rPr>
      </w:pPr>
      <w:r>
        <w:rPr>
          <w:rFonts w:hint="eastAsia" w:ascii="宋体" w:hAnsi="宋体" w:eastAsia="宋体"/>
          <w:color w:val="auto"/>
          <w:spacing w:val="-4"/>
          <w:kern w:val="0"/>
          <w:szCs w:val="21"/>
          <w:lang w:val="en-US" w:eastAsia="zh-CN"/>
        </w:rPr>
        <w:t xml:space="preserve">                                 </w:t>
      </w:r>
      <w:r>
        <w:rPr>
          <w:rFonts w:hint="eastAsia" w:ascii="宋体" w:hAnsi="宋体" w:eastAsia="宋体"/>
          <w:color w:val="auto"/>
          <w:spacing w:val="-4"/>
          <w:kern w:val="0"/>
          <w:szCs w:val="21"/>
          <w:lang w:eastAsia="zh-CN"/>
        </w:rPr>
        <w:t>（加盖</w:t>
      </w:r>
      <w:r>
        <w:rPr>
          <w:rFonts w:hint="eastAsia" w:ascii="宋体" w:hAnsi="宋体" w:eastAsia="宋体"/>
          <w:color w:val="auto"/>
          <w:spacing w:val="-4"/>
          <w:kern w:val="0"/>
          <w:szCs w:val="21"/>
        </w:rPr>
        <w:t>公章</w:t>
      </w:r>
      <w:r>
        <w:rPr>
          <w:rFonts w:hint="eastAsia" w:ascii="宋体" w:hAnsi="宋体" w:eastAsia="宋体"/>
          <w:color w:val="auto"/>
          <w:spacing w:val="-4"/>
          <w:kern w:val="0"/>
          <w:szCs w:val="21"/>
          <w:lang w:eastAsia="zh-CN"/>
        </w:rPr>
        <w:t>）</w:t>
      </w:r>
    </w:p>
    <w:p w14:paraId="216D388D">
      <w:pPr>
        <w:widowControl/>
        <w:wordWrap w:val="0"/>
        <w:autoSpaceDE w:val="0"/>
        <w:autoSpaceDN w:val="0"/>
        <w:spacing w:beforeLines="0" w:line="340" w:lineRule="exact"/>
        <w:ind w:right="808" w:firstLine="404" w:firstLineChars="200"/>
        <w:jc w:val="right"/>
        <w:rPr>
          <w:rFonts w:ascii="宋体" w:hAnsi="宋体" w:eastAsia="宋体"/>
          <w:color w:val="auto"/>
          <w:spacing w:val="-4"/>
          <w:kern w:val="0"/>
          <w:szCs w:val="21"/>
          <w:u w:val="single"/>
        </w:rPr>
      </w:pPr>
      <w:r>
        <w:rPr>
          <w:rFonts w:hint="eastAsia" w:ascii="宋体" w:hAnsi="宋体" w:eastAsia="宋体"/>
          <w:color w:val="auto"/>
          <w:spacing w:val="-4"/>
          <w:kern w:val="0"/>
          <w:szCs w:val="21"/>
        </w:rPr>
        <w:t xml:space="preserve">     日期：</w:t>
      </w:r>
      <w:r>
        <w:rPr>
          <w:rFonts w:hint="eastAsia" w:ascii="宋体" w:hAnsi="宋体" w:eastAsia="宋体"/>
          <w:color w:val="auto"/>
          <w:spacing w:val="-4"/>
          <w:kern w:val="0"/>
          <w:szCs w:val="21"/>
          <w:u w:val="single"/>
        </w:rPr>
        <w:t xml:space="preserve">              </w:t>
      </w:r>
    </w:p>
    <w:p w14:paraId="3BD35F57">
      <w:pPr>
        <w:widowControl/>
        <w:autoSpaceDE w:val="0"/>
        <w:autoSpaceDN w:val="0"/>
        <w:spacing w:beforeLines="0" w:line="340" w:lineRule="exact"/>
        <w:ind w:firstLine="406" w:firstLineChars="200"/>
        <w:jc w:val="left"/>
        <w:rPr>
          <w:rFonts w:hint="eastAsia" w:ascii="宋体" w:hAnsi="宋体" w:eastAsia="宋体"/>
          <w:b/>
          <w:bCs/>
          <w:color w:val="auto"/>
          <w:spacing w:val="-4"/>
          <w:kern w:val="0"/>
          <w:szCs w:val="21"/>
        </w:rPr>
      </w:pPr>
    </w:p>
    <w:p w14:paraId="14F90A26">
      <w:pPr>
        <w:widowControl/>
        <w:wordWrap w:val="0"/>
        <w:autoSpaceDE w:val="0"/>
        <w:autoSpaceDN w:val="0"/>
        <w:spacing w:line="400" w:lineRule="exact"/>
        <w:ind w:right="1414" w:firstLine="404" w:firstLineChars="200"/>
        <w:jc w:val="right"/>
        <w:rPr>
          <w:rFonts w:ascii="宋体" w:hAnsi="宋体" w:eastAsiaTheme="minorEastAsia"/>
          <w:spacing w:val="-4"/>
          <w:kern w:val="0"/>
          <w:szCs w:val="21"/>
        </w:rPr>
      </w:pPr>
      <w:r>
        <w:rPr>
          <w:rFonts w:hint="eastAsia" w:ascii="宋体" w:hAnsi="宋体" w:eastAsiaTheme="minorEastAsia"/>
          <w:spacing w:val="-4"/>
          <w:kern w:val="0"/>
          <w:szCs w:val="21"/>
        </w:rPr>
        <w:t xml:space="preserve">     </w:t>
      </w:r>
    </w:p>
    <w:p w14:paraId="43377CE3">
      <w:pPr>
        <w:widowControl/>
        <w:autoSpaceDE w:val="0"/>
        <w:autoSpaceDN w:val="0"/>
        <w:spacing w:line="400" w:lineRule="exact"/>
        <w:ind w:firstLine="406" w:firstLineChars="200"/>
        <w:jc w:val="left"/>
        <w:rPr>
          <w:rFonts w:ascii="宋体" w:hAnsi="宋体" w:eastAsiaTheme="minorEastAsia"/>
          <w:b/>
          <w:bCs/>
          <w:color w:val="FF0000"/>
          <w:spacing w:val="-4"/>
          <w:kern w:val="0"/>
          <w:szCs w:val="21"/>
        </w:rPr>
      </w:pPr>
      <w:r>
        <w:rPr>
          <w:rFonts w:hint="eastAsia" w:ascii="宋体" w:hAnsi="宋体" w:eastAsiaTheme="minorEastAsia"/>
          <w:b/>
          <w:bCs/>
          <w:color w:val="FF0000"/>
          <w:spacing w:val="-4"/>
          <w:kern w:val="0"/>
          <w:szCs w:val="21"/>
        </w:rPr>
        <w:t>注：</w:t>
      </w:r>
    </w:p>
    <w:p w14:paraId="5906A9F2">
      <w:pPr>
        <w:widowControl/>
        <w:autoSpaceDE w:val="0"/>
        <w:autoSpaceDN w:val="0"/>
        <w:spacing w:line="400" w:lineRule="exact"/>
        <w:ind w:firstLine="406" w:firstLineChars="200"/>
        <w:jc w:val="left"/>
        <w:rPr>
          <w:rFonts w:ascii="宋体" w:hAnsi="宋体" w:eastAsiaTheme="minorEastAsia"/>
          <w:b/>
          <w:bCs/>
          <w:color w:val="FF0000"/>
          <w:spacing w:val="-4"/>
          <w:kern w:val="0"/>
          <w:szCs w:val="21"/>
        </w:rPr>
      </w:pPr>
      <w:r>
        <w:rPr>
          <w:rFonts w:hint="eastAsia" w:ascii="宋体" w:hAnsi="宋体" w:eastAsiaTheme="minorEastAsia"/>
          <w:b/>
          <w:bCs/>
          <w:color w:val="FF0000"/>
          <w:spacing w:val="-4"/>
          <w:kern w:val="0"/>
          <w:szCs w:val="21"/>
        </w:rPr>
        <w:t>1.</w:t>
      </w:r>
      <w:r>
        <w:rPr>
          <w:rFonts w:hint="eastAsia"/>
        </w:rPr>
        <w:t xml:space="preserve"> </w:t>
      </w:r>
      <w:r>
        <w:rPr>
          <w:rFonts w:hint="eastAsia" w:ascii="宋体" w:hAnsi="宋体" w:eastAsiaTheme="minorEastAsia"/>
          <w:b/>
          <w:bCs/>
          <w:color w:val="FF0000"/>
          <w:spacing w:val="-4"/>
          <w:kern w:val="0"/>
          <w:szCs w:val="21"/>
        </w:rPr>
        <w:t>根据《深圳市财政局关于在采购文件及深圳政府采购智慧平台增设供应商投标特别警示条款等事宜的通知》（深财购〔202</w:t>
      </w:r>
      <w:r>
        <w:rPr>
          <w:rFonts w:hint="eastAsia" w:ascii="宋体" w:hAnsi="宋体" w:eastAsiaTheme="minorEastAsia"/>
          <w:b/>
          <w:bCs/>
          <w:color w:val="FF0000"/>
          <w:spacing w:val="-4"/>
          <w:kern w:val="0"/>
          <w:szCs w:val="21"/>
          <w:lang w:val="en-US" w:eastAsia="zh-CN"/>
        </w:rPr>
        <w:t>5</w:t>
      </w:r>
      <w:r>
        <w:rPr>
          <w:rFonts w:hint="eastAsia" w:ascii="宋体" w:hAnsi="宋体" w:eastAsiaTheme="minorEastAsia"/>
          <w:b/>
          <w:bCs/>
          <w:color w:val="FF0000"/>
          <w:spacing w:val="-4"/>
          <w:kern w:val="0"/>
          <w:szCs w:val="21"/>
        </w:rPr>
        <w:t>〕</w:t>
      </w:r>
      <w:r>
        <w:rPr>
          <w:rFonts w:hint="eastAsia" w:ascii="宋体" w:hAnsi="宋体" w:eastAsiaTheme="minorEastAsia"/>
          <w:b/>
          <w:bCs/>
          <w:color w:val="FF0000"/>
          <w:spacing w:val="-4"/>
          <w:kern w:val="0"/>
          <w:szCs w:val="21"/>
          <w:lang w:val="en-US" w:eastAsia="zh-CN"/>
        </w:rPr>
        <w:t>7</w:t>
      </w:r>
      <w:r>
        <w:rPr>
          <w:rFonts w:hint="eastAsia" w:ascii="宋体" w:hAnsi="宋体" w:eastAsiaTheme="minorEastAsia"/>
          <w:b/>
          <w:bCs/>
          <w:color w:val="FF0000"/>
          <w:spacing w:val="-4"/>
          <w:kern w:val="0"/>
          <w:szCs w:val="21"/>
        </w:rPr>
        <w:t xml:space="preserve"> 号），该风险知悉确认书用于对供应商违法行为的警示，不作为供应商资格性审查及符合性审查条件。</w:t>
      </w:r>
    </w:p>
    <w:p w14:paraId="18EDF23F">
      <w:pPr>
        <w:widowControl/>
        <w:autoSpaceDE w:val="0"/>
        <w:autoSpaceDN w:val="0"/>
        <w:spacing w:line="400" w:lineRule="exact"/>
        <w:ind w:firstLine="406" w:firstLineChars="200"/>
        <w:jc w:val="left"/>
        <w:rPr>
          <w:rFonts w:ascii="宋体" w:hAnsi="宋体" w:eastAsiaTheme="minorEastAsia"/>
          <w:color w:val="FF0000"/>
          <w:spacing w:val="-4"/>
          <w:kern w:val="0"/>
          <w:szCs w:val="21"/>
        </w:rPr>
      </w:pPr>
      <w:r>
        <w:rPr>
          <w:rFonts w:hint="eastAsia" w:ascii="宋体" w:hAnsi="宋体" w:eastAsiaTheme="minorEastAsia"/>
          <w:b/>
          <w:bCs/>
          <w:color w:val="FF0000"/>
          <w:spacing w:val="-4"/>
          <w:kern w:val="0"/>
          <w:szCs w:val="21"/>
        </w:rPr>
        <w:t>2.</w:t>
      </w:r>
      <w:r>
        <w:rPr>
          <w:rFonts w:hint="eastAsia" w:ascii="宋体" w:hAnsi="宋体" w:eastAsia="宋体" w:cs="宋体"/>
          <w:b/>
          <w:bCs/>
          <w:color w:val="auto"/>
          <w:spacing w:val="-4"/>
          <w:kern w:val="0"/>
          <w:szCs w:val="21"/>
          <w:lang w:eastAsia="zh-CN"/>
        </w:rPr>
        <w:t>《</w:t>
      </w:r>
      <w:r>
        <w:rPr>
          <w:rFonts w:hint="eastAsia" w:ascii="宋体" w:hAnsi="宋体" w:eastAsia="宋体" w:cs="宋体"/>
          <w:b/>
          <w:bCs/>
          <w:color w:val="auto"/>
          <w:spacing w:val="-4"/>
          <w:kern w:val="0"/>
          <w:szCs w:val="21"/>
          <w:lang w:val="en-US" w:eastAsia="zh-CN"/>
        </w:rPr>
        <w:t>政府采购违法行为风险知悉确认书</w:t>
      </w:r>
      <w:r>
        <w:rPr>
          <w:rFonts w:hint="eastAsia" w:ascii="宋体" w:hAnsi="宋体" w:eastAsia="宋体" w:cs="宋体"/>
          <w:b/>
          <w:bCs/>
          <w:color w:val="auto"/>
          <w:spacing w:val="-4"/>
          <w:kern w:val="0"/>
          <w:szCs w:val="21"/>
          <w:lang w:eastAsia="zh-CN"/>
        </w:rPr>
        <w:t>》需由</w:t>
      </w:r>
      <w:r>
        <w:rPr>
          <w:rFonts w:hint="eastAsia" w:ascii="宋体" w:hAnsi="宋体" w:eastAsiaTheme="minorEastAsia"/>
          <w:b/>
          <w:bCs/>
          <w:color w:val="FF0000"/>
          <w:spacing w:val="-4"/>
          <w:kern w:val="0"/>
          <w:szCs w:val="21"/>
        </w:rPr>
        <w:t>投标供应商负责人或投标授权代表签字</w:t>
      </w:r>
      <w:r>
        <w:rPr>
          <w:rFonts w:hint="eastAsia" w:ascii="宋体" w:hAnsi="宋体" w:eastAsiaTheme="minorEastAsia"/>
          <w:b/>
          <w:bCs/>
          <w:color w:val="FF0000"/>
          <w:spacing w:val="-4"/>
          <w:kern w:val="0"/>
          <w:szCs w:val="21"/>
          <w:highlight w:val="yellow"/>
        </w:rPr>
        <w:t>并加盖单位公章</w:t>
      </w:r>
      <w:r>
        <w:rPr>
          <w:rFonts w:hint="eastAsia" w:ascii="宋体" w:hAnsi="宋体" w:eastAsiaTheme="minorEastAsia"/>
          <w:b/>
          <w:bCs/>
          <w:color w:val="FF0000"/>
          <w:spacing w:val="-4"/>
          <w:kern w:val="0"/>
          <w:szCs w:val="21"/>
        </w:rPr>
        <w:t>后，扫描上传至投标文件一并提交。</w:t>
      </w:r>
    </w:p>
    <w:p w14:paraId="4A2A8648">
      <w:pPr>
        <w:widowControl/>
        <w:autoSpaceDE w:val="0"/>
        <w:autoSpaceDN w:val="0"/>
        <w:spacing w:line="400" w:lineRule="exact"/>
        <w:ind w:right="1414" w:firstLine="480" w:firstLineChars="200"/>
        <w:jc w:val="right"/>
        <w:rPr>
          <w:rFonts w:eastAsiaTheme="minorEastAsia"/>
          <w:kern w:val="0"/>
          <w:sz w:val="24"/>
        </w:rPr>
      </w:pPr>
    </w:p>
    <w:p w14:paraId="318E124A">
      <w:pPr>
        <w:jc w:val="center"/>
        <w:rPr>
          <w:rFonts w:hint="eastAsia" w:ascii="黑体" w:eastAsia="黑体"/>
          <w:b w:val="0"/>
          <w:bCs w:val="0"/>
          <w:sz w:val="24"/>
          <w:szCs w:val="20"/>
          <w:lang w:val="en-US" w:eastAsia="zh-CN"/>
        </w:rPr>
      </w:pPr>
      <w:r>
        <w:rPr>
          <w:rFonts w:hint="eastAsia" w:ascii="黑体" w:eastAsia="黑体"/>
          <w:b w:val="0"/>
          <w:bCs w:val="0"/>
          <w:sz w:val="24"/>
          <w:szCs w:val="20"/>
          <w:lang w:val="en-US" w:eastAsia="zh-CN"/>
        </w:rPr>
        <w:t>（二）订单融资情况</w:t>
      </w:r>
    </w:p>
    <w:p w14:paraId="0F97637E">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ascii="宋体" w:hAnsi="宋体" w:cs="宋体"/>
          <w:b/>
          <w:bCs/>
        </w:rPr>
      </w:pPr>
      <w:r>
        <w:rPr>
          <w:rFonts w:hint="eastAsia" w:ascii="宋体" w:hAnsi="宋体" w:cs="宋体"/>
          <w:b/>
          <w:bCs/>
          <w:lang w:val="en-US" w:eastAsia="zh-CN"/>
        </w:rPr>
        <w:t>1</w:t>
      </w:r>
      <w:r>
        <w:rPr>
          <w:rFonts w:hint="eastAsia" w:ascii="宋体" w:hAnsi="宋体" w:cs="宋体"/>
          <w:b/>
          <w:bCs/>
          <w:lang w:eastAsia="zh-CN"/>
        </w:rPr>
        <w:t>、</w:t>
      </w:r>
      <w:r>
        <w:rPr>
          <w:rFonts w:hint="eastAsia" w:ascii="宋体" w:hAnsi="宋体" w:cs="宋体"/>
          <w:b/>
          <w:bCs/>
        </w:rPr>
        <w:t>关于政府采购订单融资政策</w:t>
      </w:r>
    </w:p>
    <w:p w14:paraId="6278C486">
      <w:pPr>
        <w:pStyle w:val="8"/>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Times New Roman" w:hAnsi="Times New Roman" w:eastAsia="宋体" w:cs="Times New Roman"/>
          <w:b w:val="0"/>
          <w:bCs/>
          <w:kern w:val="2"/>
          <w:sz w:val="21"/>
          <w:szCs w:val="21"/>
          <w:lang w:val="en-US" w:eastAsia="zh-CN" w:bidi="ar-SA"/>
        </w:rPr>
      </w:pPr>
      <w:r>
        <w:rPr>
          <w:rFonts w:hint="eastAsia" w:ascii="Times New Roman" w:hAnsi="Times New Roman" w:eastAsia="宋体" w:cs="Times New Roman"/>
          <w:b w:val="0"/>
          <w:bCs/>
          <w:kern w:val="2"/>
          <w:sz w:val="21"/>
          <w:szCs w:val="21"/>
          <w:lang w:val="en-US" w:eastAsia="zh-CN" w:bidi="ar-SA"/>
        </w:rPr>
        <w:t>为深入贯彻落实国家深化政府采购制度改革精神，充分发挥政府采购扶持中小企业发展的政策功能，缓解中小微企业融资难、融资贵的问题，根据《深圳市财政局关于加大力度运用政府采购订单融资政策支持企业发展的通知》要求，参与深圳市政府采购活动供应商可凭借所获取的深圳市政府采购中标通知书与采购合同，向参与订单融资业务的金融机构提出融资申请，金融机构以各自信贷政策为基础，为中标（成交）供应商提供融资授信，订单融资具体流程可登录深圳要素交易金融服务平台(https://finance.szexgrp.com/gtm/web/guarantee/#/)，相关政策法规参阅深圳市政府采购监管网（http://zfcg.sz.gov.cn/）信息公开栏目。</w:t>
      </w:r>
    </w:p>
    <w:p w14:paraId="582F1F24">
      <w:pPr>
        <w:keepNext w:val="0"/>
        <w:keepLines w:val="0"/>
        <w:pageBreakBefore w:val="0"/>
        <w:widowControl w:val="0"/>
        <w:kinsoku/>
        <w:wordWrap/>
        <w:overflowPunct/>
        <w:topLinePunct w:val="0"/>
        <w:autoSpaceDE/>
        <w:autoSpaceDN/>
        <w:bidi w:val="0"/>
        <w:adjustRightInd/>
        <w:snapToGrid/>
        <w:spacing w:line="240" w:lineRule="auto"/>
        <w:ind w:firstLine="422" w:firstLineChars="200"/>
        <w:textAlignment w:val="auto"/>
        <w:rPr>
          <w:rFonts w:hint="eastAsia" w:ascii="宋体" w:hAnsi="宋体" w:cs="宋体"/>
          <w:b/>
          <w:bCs/>
          <w:lang w:val="en-US" w:eastAsia="zh-CN"/>
        </w:rPr>
      </w:pPr>
      <w:r>
        <w:rPr>
          <w:rFonts w:hint="eastAsia" w:ascii="宋体" w:hAnsi="宋体" w:cs="宋体"/>
          <w:b/>
          <w:bCs/>
          <w:lang w:val="en-US" w:eastAsia="zh-CN"/>
        </w:rPr>
        <w:t>2</w:t>
      </w:r>
      <w:r>
        <w:rPr>
          <w:rFonts w:hint="eastAsia" w:ascii="宋体" w:hAnsi="宋体" w:cs="宋体"/>
          <w:b/>
          <w:bCs/>
          <w:lang w:eastAsia="zh-CN"/>
        </w:rPr>
        <w:t>、</w:t>
      </w:r>
      <w:r>
        <w:rPr>
          <w:rFonts w:hint="eastAsia" w:ascii="宋体" w:hAnsi="宋体" w:cs="宋体"/>
          <w:b/>
          <w:bCs/>
          <w:lang w:val="en-US" w:eastAsia="zh-CN"/>
        </w:rPr>
        <w:t>供应商账户信息</w:t>
      </w:r>
    </w:p>
    <w:p w14:paraId="6D3DF335">
      <w:pPr>
        <w:ind w:left="420" w:leftChars="200" w:firstLine="210" w:firstLineChars="100"/>
        <w:rPr>
          <w:rFonts w:hint="eastAsia"/>
          <w:szCs w:val="21"/>
        </w:rPr>
      </w:pPr>
      <w:r>
        <w:rPr>
          <w:rFonts w:hint="eastAsia"/>
          <w:szCs w:val="21"/>
        </w:rPr>
        <w:t>投标人</w:t>
      </w:r>
      <w:r>
        <w:rPr>
          <w:rFonts w:hint="eastAsia"/>
          <w:szCs w:val="21"/>
          <w:lang w:eastAsia="zh-CN"/>
        </w:rPr>
        <w:t>（</w:t>
      </w:r>
      <w:r>
        <w:rPr>
          <w:rFonts w:hint="eastAsia"/>
          <w:szCs w:val="21"/>
          <w:lang w:val="en-US" w:eastAsia="zh-CN"/>
        </w:rPr>
        <w:t>单位全称</w:t>
      </w:r>
      <w:r>
        <w:rPr>
          <w:rFonts w:hint="eastAsia"/>
          <w:szCs w:val="21"/>
          <w:lang w:eastAsia="zh-CN"/>
        </w:rPr>
        <w:t>）</w:t>
      </w:r>
      <w:r>
        <w:rPr>
          <w:rFonts w:hint="eastAsia"/>
          <w:szCs w:val="21"/>
        </w:rPr>
        <w:t>：</w:t>
      </w:r>
      <w:r>
        <w:rPr>
          <w:rFonts w:hint="eastAsia"/>
          <w:szCs w:val="21"/>
          <w:u w:val="thick"/>
        </w:rPr>
        <w:t xml:space="preserve">       </w:t>
      </w:r>
      <w:r>
        <w:rPr>
          <w:rFonts w:hint="eastAsia"/>
          <w:szCs w:val="21"/>
          <w:u w:val="thick"/>
          <w:lang w:val="en-US" w:eastAsia="zh-CN"/>
        </w:rPr>
        <w:t xml:space="preserve">                    </w:t>
      </w:r>
      <w:r>
        <w:rPr>
          <w:rFonts w:hint="eastAsia" w:eastAsia="宋体"/>
          <w:szCs w:val="21"/>
          <w:lang w:eastAsia="zh-CN"/>
        </w:rPr>
        <w:t>；</w:t>
      </w:r>
      <w:r>
        <w:rPr>
          <w:rFonts w:hint="eastAsia"/>
          <w:szCs w:val="21"/>
        </w:rPr>
        <w:t xml:space="preserve">  </w:t>
      </w:r>
    </w:p>
    <w:p w14:paraId="3EF9EC41">
      <w:pPr>
        <w:ind w:left="420" w:leftChars="200" w:firstLine="210" w:firstLineChars="100"/>
        <w:rPr>
          <w:rFonts w:hint="eastAsia"/>
          <w:szCs w:val="21"/>
          <w:u w:val="none"/>
          <w:lang w:eastAsia="zh-CN"/>
        </w:rPr>
      </w:pPr>
      <w:r>
        <w:rPr>
          <w:rFonts w:hint="eastAsia"/>
          <w:szCs w:val="21"/>
          <w:lang w:val="en-US" w:eastAsia="zh-CN"/>
        </w:rPr>
        <w:t>投标人</w:t>
      </w:r>
      <w:r>
        <w:rPr>
          <w:rFonts w:hint="eastAsia"/>
          <w:szCs w:val="21"/>
        </w:rPr>
        <w:t>单位地址：</w:t>
      </w:r>
      <w:r>
        <w:rPr>
          <w:rFonts w:hint="eastAsia"/>
          <w:szCs w:val="21"/>
          <w:u w:val="thick"/>
        </w:rPr>
        <w:t xml:space="preserve">       </w:t>
      </w:r>
      <w:r>
        <w:rPr>
          <w:rFonts w:hint="eastAsia" w:ascii="Times New Roman" w:eastAsia="宋体"/>
          <w:szCs w:val="21"/>
          <w:u w:val="thick"/>
          <w:lang w:val="en-US" w:eastAsia="zh-CN"/>
        </w:rPr>
        <w:t xml:space="preserve">          </w:t>
      </w:r>
      <w:r>
        <w:rPr>
          <w:rFonts w:hint="eastAsia"/>
          <w:szCs w:val="21"/>
          <w:u w:val="thick"/>
          <w:lang w:val="en-US" w:eastAsia="zh-CN"/>
        </w:rPr>
        <w:t xml:space="preserve"> </w:t>
      </w:r>
      <w:r>
        <w:rPr>
          <w:rFonts w:hint="eastAsia" w:ascii="Times New Roman" w:eastAsia="宋体"/>
          <w:szCs w:val="21"/>
          <w:u w:val="thick"/>
          <w:lang w:val="en-US" w:eastAsia="zh-CN"/>
        </w:rPr>
        <w:t xml:space="preserve">  </w:t>
      </w:r>
      <w:r>
        <w:rPr>
          <w:rFonts w:hint="eastAsia" w:eastAsia="宋体"/>
          <w:szCs w:val="21"/>
          <w:u w:val="none"/>
          <w:lang w:eastAsia="zh-CN"/>
        </w:rPr>
        <w:t>；</w:t>
      </w:r>
    </w:p>
    <w:p w14:paraId="785AB6E2">
      <w:pPr>
        <w:ind w:left="420" w:leftChars="200" w:firstLine="210" w:firstLineChars="100"/>
        <w:rPr>
          <w:rFonts w:hint="eastAsia"/>
          <w:szCs w:val="21"/>
          <w:u w:val="none"/>
          <w:lang w:eastAsia="zh-CN"/>
        </w:rPr>
      </w:pPr>
      <w:r>
        <w:rPr>
          <w:rFonts w:hint="eastAsia"/>
          <w:szCs w:val="21"/>
        </w:rPr>
        <w:t>法定代表人（负责人）或其</w:t>
      </w:r>
      <w:r>
        <w:rPr>
          <w:rFonts w:hint="eastAsia" w:ascii="Times New Roman" w:eastAsia="宋体"/>
          <w:szCs w:val="21"/>
          <w:lang w:val="en-US" w:eastAsia="zh-CN"/>
        </w:rPr>
        <w:t>授权</w:t>
      </w:r>
      <w:r>
        <w:rPr>
          <w:rFonts w:hint="eastAsia"/>
          <w:szCs w:val="21"/>
        </w:rPr>
        <w:t>委托代理人：</w:t>
      </w:r>
      <w:r>
        <w:rPr>
          <w:rFonts w:hint="eastAsia"/>
          <w:szCs w:val="21"/>
          <w:u w:val="thick"/>
        </w:rPr>
        <w:t xml:space="preserve">       </w:t>
      </w:r>
      <w:r>
        <w:rPr>
          <w:rFonts w:hint="eastAsia"/>
          <w:szCs w:val="21"/>
          <w:u w:val="thick"/>
          <w:lang w:val="en-US" w:eastAsia="zh-CN"/>
        </w:rPr>
        <w:t xml:space="preserve">    </w:t>
      </w:r>
      <w:r>
        <w:rPr>
          <w:rFonts w:hint="eastAsia"/>
          <w:szCs w:val="21"/>
          <w:u w:val="thick"/>
        </w:rPr>
        <w:t xml:space="preserve"> </w:t>
      </w:r>
      <w:r>
        <w:rPr>
          <w:rFonts w:hint="eastAsia"/>
          <w:szCs w:val="21"/>
          <w:u w:val="thick"/>
          <w:lang w:val="en-US" w:eastAsia="zh-CN"/>
        </w:rPr>
        <w:t xml:space="preserve">         </w:t>
      </w:r>
      <w:r>
        <w:rPr>
          <w:rFonts w:hint="eastAsia"/>
          <w:szCs w:val="21"/>
          <w:u w:val="thick"/>
        </w:rPr>
        <w:t xml:space="preserve"> </w:t>
      </w:r>
      <w:r>
        <w:rPr>
          <w:rFonts w:hint="eastAsia" w:eastAsia="宋体"/>
          <w:szCs w:val="21"/>
          <w:u w:val="none"/>
          <w:lang w:eastAsia="zh-CN"/>
        </w:rPr>
        <w:t>；</w:t>
      </w:r>
    </w:p>
    <w:p w14:paraId="0F146A02">
      <w:pPr>
        <w:ind w:left="420" w:leftChars="200" w:firstLine="210" w:firstLineChars="100"/>
        <w:rPr>
          <w:rFonts w:hint="eastAsia"/>
          <w:szCs w:val="21"/>
          <w:u w:val="thick"/>
        </w:rPr>
      </w:pPr>
      <w:r>
        <w:rPr>
          <w:rFonts w:hint="eastAsia"/>
          <w:szCs w:val="21"/>
          <w:lang w:val="en-US" w:eastAsia="zh-CN"/>
        </w:rPr>
        <w:t>联系</w:t>
      </w:r>
      <w:r>
        <w:rPr>
          <w:rFonts w:hint="eastAsia"/>
          <w:szCs w:val="21"/>
        </w:rPr>
        <w:t>电话</w:t>
      </w:r>
      <w:r>
        <w:rPr>
          <w:rFonts w:hint="eastAsia"/>
          <w:szCs w:val="21"/>
          <w:u w:val="none"/>
        </w:rPr>
        <w:t>：</w:t>
      </w:r>
      <w:r>
        <w:rPr>
          <w:rFonts w:hint="eastAsia"/>
          <w:szCs w:val="21"/>
          <w:u w:val="thick"/>
        </w:rPr>
        <w:t xml:space="preserve">        </w:t>
      </w:r>
      <w:r>
        <w:rPr>
          <w:rFonts w:hint="eastAsia" w:ascii="Times New Roman" w:eastAsia="宋体"/>
          <w:szCs w:val="21"/>
          <w:u w:val="thick"/>
          <w:lang w:val="en-US" w:eastAsia="zh-CN"/>
        </w:rPr>
        <w:t xml:space="preserve">          </w:t>
      </w:r>
      <w:r>
        <w:rPr>
          <w:rFonts w:hint="eastAsia"/>
          <w:szCs w:val="21"/>
          <w:u w:val="thick"/>
          <w:lang w:val="en-US" w:eastAsia="zh-CN"/>
        </w:rPr>
        <w:t xml:space="preserve"> </w:t>
      </w:r>
      <w:r>
        <w:rPr>
          <w:rFonts w:hint="eastAsia" w:ascii="Times New Roman" w:eastAsia="宋体"/>
          <w:szCs w:val="21"/>
          <w:u w:val="thick"/>
          <w:lang w:val="en-US" w:eastAsia="zh-CN"/>
        </w:rPr>
        <w:t xml:space="preserve">  </w:t>
      </w:r>
      <w:r>
        <w:rPr>
          <w:rFonts w:hint="eastAsia" w:eastAsia="宋体"/>
          <w:szCs w:val="21"/>
          <w:u w:val="none"/>
          <w:lang w:eastAsia="zh-CN"/>
        </w:rPr>
        <w:t>；</w:t>
      </w:r>
    </w:p>
    <w:p w14:paraId="575D34DC">
      <w:pPr>
        <w:ind w:left="420" w:leftChars="200" w:firstLine="210" w:firstLineChars="100"/>
        <w:rPr>
          <w:rFonts w:hint="eastAsia"/>
          <w:szCs w:val="21"/>
          <w:u w:val="none"/>
          <w:lang w:eastAsia="zh-CN"/>
        </w:rPr>
      </w:pPr>
      <w:r>
        <w:rPr>
          <w:rFonts w:hint="eastAsia" w:ascii="Times New Roman" w:eastAsia="宋体"/>
          <w:szCs w:val="21"/>
          <w:lang w:val="en-US" w:eastAsia="zh-CN"/>
        </w:rPr>
        <w:t>开户银行名称：</w:t>
      </w:r>
      <w:r>
        <w:rPr>
          <w:rFonts w:hint="eastAsia"/>
          <w:szCs w:val="21"/>
          <w:u w:val="thick"/>
        </w:rPr>
        <w:t xml:space="preserve">                       </w:t>
      </w:r>
      <w:r>
        <w:rPr>
          <w:rFonts w:hint="eastAsia"/>
          <w:szCs w:val="21"/>
          <w:u w:val="thick"/>
          <w:lang w:val="en-US" w:eastAsia="zh-CN"/>
        </w:rPr>
        <w:t xml:space="preserve">                         </w:t>
      </w:r>
      <w:r>
        <w:rPr>
          <w:rFonts w:hint="eastAsia"/>
          <w:szCs w:val="21"/>
          <w:u w:val="thick"/>
        </w:rPr>
        <w:t xml:space="preserve"> </w:t>
      </w:r>
      <w:r>
        <w:rPr>
          <w:rFonts w:hint="eastAsia" w:eastAsia="宋体"/>
          <w:szCs w:val="21"/>
          <w:u w:val="none"/>
          <w:lang w:eastAsia="zh-CN"/>
        </w:rPr>
        <w:t>；</w:t>
      </w:r>
    </w:p>
    <w:p w14:paraId="2BC2E7CF">
      <w:pPr>
        <w:ind w:left="420" w:leftChars="200" w:firstLine="210" w:firstLineChars="100"/>
        <w:rPr>
          <w:rFonts w:hint="eastAsia"/>
          <w:szCs w:val="21"/>
          <w:u w:val="thick"/>
          <w:lang w:eastAsia="zh-CN"/>
        </w:rPr>
      </w:pPr>
      <w:r>
        <w:rPr>
          <w:rFonts w:hint="eastAsia"/>
          <w:szCs w:val="21"/>
          <w:u w:val="none"/>
          <w:lang w:val="en-US" w:eastAsia="zh-CN"/>
        </w:rPr>
        <w:t>开户银行账号：</w:t>
      </w:r>
      <w:r>
        <w:rPr>
          <w:rFonts w:hint="eastAsia"/>
          <w:szCs w:val="21"/>
          <w:u w:val="thick"/>
        </w:rPr>
        <w:t xml:space="preserve">      </w:t>
      </w:r>
      <w:r>
        <w:rPr>
          <w:rFonts w:hint="eastAsia"/>
          <w:szCs w:val="21"/>
          <w:u w:val="thick"/>
          <w:lang w:val="en-US" w:eastAsia="zh-CN"/>
        </w:rPr>
        <w:t xml:space="preserve">            </w:t>
      </w:r>
      <w:r>
        <w:rPr>
          <w:rFonts w:hint="eastAsia"/>
          <w:szCs w:val="21"/>
          <w:u w:val="thick"/>
        </w:rPr>
        <w:t xml:space="preserve">     </w:t>
      </w:r>
      <w:r>
        <w:rPr>
          <w:rFonts w:hint="eastAsia"/>
          <w:szCs w:val="21"/>
          <w:u w:val="thick"/>
          <w:lang w:val="en-US" w:eastAsia="zh-CN"/>
        </w:rPr>
        <w:t xml:space="preserve">                          </w:t>
      </w:r>
      <w:r>
        <w:rPr>
          <w:rFonts w:hint="eastAsia"/>
          <w:szCs w:val="21"/>
          <w:u w:val="thick"/>
        </w:rPr>
        <w:t xml:space="preserve"> </w:t>
      </w:r>
      <w:r>
        <w:rPr>
          <w:rFonts w:hint="eastAsia"/>
          <w:szCs w:val="21"/>
          <w:u w:val="none"/>
          <w:lang w:eastAsia="zh-CN"/>
        </w:rPr>
        <w:t>；</w:t>
      </w:r>
    </w:p>
    <w:p w14:paraId="0ED712C5">
      <w:pPr>
        <w:ind w:left="420" w:leftChars="200" w:firstLine="210" w:firstLineChars="100"/>
        <w:rPr>
          <w:rFonts w:hint="eastAsia"/>
          <w:szCs w:val="21"/>
          <w:u w:val="none"/>
          <w:lang w:eastAsia="zh-CN"/>
        </w:rPr>
      </w:pPr>
      <w:r>
        <w:rPr>
          <w:rFonts w:hint="eastAsia"/>
          <w:szCs w:val="21"/>
          <w:u w:val="none"/>
          <w:lang w:val="en-US" w:eastAsia="zh-CN"/>
        </w:rPr>
        <w:t>开户银行地址：</w:t>
      </w:r>
      <w:r>
        <w:rPr>
          <w:rFonts w:hint="eastAsia"/>
          <w:szCs w:val="21"/>
          <w:u w:val="thick"/>
        </w:rPr>
        <w:t xml:space="preserve">      </w:t>
      </w:r>
      <w:r>
        <w:rPr>
          <w:rFonts w:hint="eastAsia"/>
          <w:szCs w:val="21"/>
          <w:u w:val="thick"/>
          <w:lang w:val="en-US" w:eastAsia="zh-CN"/>
        </w:rPr>
        <w:t xml:space="preserve">            </w:t>
      </w:r>
      <w:r>
        <w:rPr>
          <w:rFonts w:hint="eastAsia"/>
          <w:szCs w:val="21"/>
          <w:u w:val="thick"/>
        </w:rPr>
        <w:t xml:space="preserve">      </w:t>
      </w:r>
      <w:r>
        <w:rPr>
          <w:rFonts w:hint="eastAsia"/>
          <w:szCs w:val="21"/>
          <w:u w:val="thick"/>
          <w:lang w:val="en-US" w:eastAsia="zh-CN"/>
        </w:rPr>
        <w:t xml:space="preserve">                          </w:t>
      </w:r>
      <w:r>
        <w:rPr>
          <w:rFonts w:hint="eastAsia"/>
          <w:szCs w:val="21"/>
          <w:u w:val="none"/>
          <w:lang w:eastAsia="zh-CN"/>
        </w:rPr>
        <w:t>。</w:t>
      </w:r>
    </w:p>
    <w:p w14:paraId="7AC2A0CC">
      <w:pPr>
        <w:ind w:left="420" w:leftChars="200" w:firstLine="210" w:firstLineChars="100"/>
        <w:rPr>
          <w:rFonts w:hint="eastAsia"/>
          <w:szCs w:val="21"/>
          <w:u w:val="none"/>
        </w:rPr>
      </w:pPr>
      <w:r>
        <w:rPr>
          <w:rFonts w:hint="eastAsia"/>
          <w:szCs w:val="21"/>
          <w:u w:val="none"/>
        </w:rPr>
        <w:t xml:space="preserve"> </w:t>
      </w:r>
      <w:r>
        <w:rPr>
          <w:rFonts w:hint="eastAsia" w:ascii="宋体" w:hAnsi="宋体" w:eastAsiaTheme="minorEastAsia"/>
          <w:b/>
          <w:bCs/>
          <w:color w:val="FF0000"/>
          <w:spacing w:val="-4"/>
          <w:kern w:val="0"/>
          <w:szCs w:val="21"/>
          <w:lang w:val="en-US" w:eastAsia="zh-CN"/>
        </w:rPr>
        <w:t>注：本项填写内容作为订单融资开展的参考信息，</w:t>
      </w:r>
      <w:r>
        <w:rPr>
          <w:rFonts w:hint="eastAsia" w:ascii="宋体" w:hAnsi="宋体" w:eastAsiaTheme="minorEastAsia"/>
          <w:b/>
          <w:bCs/>
          <w:color w:val="FF0000"/>
          <w:spacing w:val="-4"/>
          <w:kern w:val="0"/>
          <w:szCs w:val="21"/>
        </w:rPr>
        <w:t>不作为供应商资格性审查及符合性审查条件。</w:t>
      </w:r>
    </w:p>
    <w:p w14:paraId="5F169ED2">
      <w:pPr>
        <w:widowControl/>
        <w:autoSpaceDE w:val="0"/>
        <w:autoSpaceDN w:val="0"/>
        <w:spacing w:line="400" w:lineRule="exact"/>
        <w:ind w:right="1414" w:firstLine="480" w:firstLineChars="200"/>
        <w:jc w:val="right"/>
        <w:rPr>
          <w:rFonts w:eastAsiaTheme="minorEastAsia"/>
          <w:kern w:val="0"/>
          <w:sz w:val="24"/>
        </w:rPr>
      </w:pPr>
    </w:p>
    <w:p w14:paraId="1D33A906">
      <w:pPr>
        <w:widowControl/>
        <w:autoSpaceDE w:val="0"/>
        <w:autoSpaceDN w:val="0"/>
        <w:spacing w:line="400" w:lineRule="exact"/>
        <w:ind w:right="1414" w:firstLine="480" w:firstLineChars="200"/>
        <w:jc w:val="right"/>
        <w:rPr>
          <w:rFonts w:eastAsiaTheme="minorEastAsia"/>
          <w:kern w:val="0"/>
          <w:sz w:val="24"/>
        </w:rPr>
      </w:pPr>
    </w:p>
    <w:p w14:paraId="3E1C1158">
      <w:pPr>
        <w:ind w:firstLine="630" w:firstLineChars="300"/>
        <w:rPr>
          <w:rFonts w:ascii="宋体" w:hAnsi="宋体"/>
        </w:rPr>
      </w:pPr>
      <w:r>
        <w:t xml:space="preserve">  </w:t>
      </w:r>
      <w:r>
        <w:rPr>
          <w:rFonts w:hint="eastAsia" w:ascii="宋体" w:hAnsi="宋体"/>
        </w:rPr>
        <w:t>………………（根据项目具体情况增加与综合实力评审相关的节点）</w:t>
      </w:r>
    </w:p>
    <w:p w14:paraId="29D20A6F">
      <w:pPr>
        <w:ind w:firstLine="720" w:firstLineChars="300"/>
        <w:rPr>
          <w:sz w:val="24"/>
        </w:rPr>
      </w:pPr>
    </w:p>
    <w:p w14:paraId="4D851201">
      <w:pPr>
        <w:widowControl/>
        <w:spacing w:line="360" w:lineRule="auto"/>
        <w:jc w:val="left"/>
        <w:rPr>
          <w:rFonts w:eastAsiaTheme="minorEastAsia"/>
          <w:b/>
          <w:bCs/>
          <w:kern w:val="0"/>
          <w:sz w:val="24"/>
        </w:rPr>
      </w:pPr>
    </w:p>
    <w:p w14:paraId="543AA5CD">
      <w:pPr>
        <w:widowControl/>
        <w:jc w:val="center"/>
        <w:rPr>
          <w:rFonts w:ascii="黑体" w:hAnsi="宋体" w:eastAsia="黑体"/>
          <w:kern w:val="0"/>
          <w:sz w:val="24"/>
          <w:szCs w:val="20"/>
        </w:rPr>
      </w:pPr>
      <w:r>
        <w:rPr>
          <w:rFonts w:hint="eastAsia" w:ascii="黑体" w:hAnsi="宋体" w:eastAsia="黑体"/>
          <w:kern w:val="0"/>
          <w:sz w:val="24"/>
          <w:szCs w:val="20"/>
        </w:rPr>
        <w:t>（</w:t>
      </w:r>
      <w:r>
        <w:rPr>
          <w:rFonts w:hint="eastAsia" w:ascii="黑体" w:hAnsi="宋体" w:eastAsia="黑体"/>
          <w:kern w:val="0"/>
          <w:sz w:val="24"/>
          <w:szCs w:val="20"/>
          <w:lang w:val="en-US" w:eastAsia="zh-CN"/>
        </w:rPr>
        <w:t>三</w:t>
      </w:r>
      <w:r>
        <w:rPr>
          <w:rFonts w:hint="eastAsia" w:ascii="黑体" w:hAnsi="宋体" w:eastAsia="黑体"/>
          <w:kern w:val="0"/>
          <w:sz w:val="24"/>
          <w:szCs w:val="20"/>
        </w:rPr>
        <w:t>）投标人认为需要加以说明的其他内容（格式自定）</w:t>
      </w:r>
    </w:p>
    <w:p w14:paraId="72B58E2C"/>
    <w:p w14:paraId="65311088">
      <w:pPr>
        <w:pStyle w:val="8"/>
        <w:sectPr>
          <w:pgSz w:w="11907" w:h="16840"/>
          <w:pgMar w:top="1440" w:right="1797" w:bottom="1440" w:left="1797" w:header="851" w:footer="992" w:gutter="0"/>
          <w:cols w:space="425" w:num="1"/>
          <w:titlePg/>
          <w:docGrid w:linePitch="462" w:charSpace="0"/>
        </w:sectPr>
      </w:pPr>
    </w:p>
    <w:p w14:paraId="5551FD1F">
      <w:pPr>
        <w:pStyle w:val="8"/>
      </w:pPr>
    </w:p>
    <w:p w14:paraId="4B146149">
      <w:pPr>
        <w:pStyle w:val="5"/>
      </w:pPr>
      <w:r>
        <w:rPr>
          <w:rFonts w:hint="eastAsia"/>
        </w:rPr>
        <w:t>第五章  合同条款及格式</w:t>
      </w:r>
    </w:p>
    <w:p w14:paraId="60B03FCE">
      <w:pPr>
        <w:ind w:firstLine="411" w:firstLineChars="196"/>
      </w:pPr>
    </w:p>
    <w:p w14:paraId="0D248F4A">
      <w:pPr>
        <w:jc w:val="center"/>
        <w:outlineLvl w:val="0"/>
      </w:pPr>
      <w:r>
        <w:rPr>
          <w:rFonts w:hint="eastAsia"/>
          <w:b/>
          <w:sz w:val="24"/>
        </w:rPr>
        <w:t>（仅供参考，具体以项目需求及采购结果为准）</w:t>
      </w:r>
    </w:p>
    <w:p w14:paraId="02FE5FDD">
      <w:pPr>
        <w:rPr>
          <w:rFonts w:ascii="宋体" w:hAnsi="宋体"/>
          <w:b/>
          <w:bCs/>
          <w:szCs w:val="21"/>
        </w:rPr>
      </w:pPr>
      <w:r>
        <w:rPr>
          <w:rFonts w:hint="eastAsia" w:ascii="宋体" w:hAnsi="宋体"/>
          <w:b/>
          <w:bCs/>
          <w:szCs w:val="21"/>
        </w:rPr>
        <w:t>甲方：</w:t>
      </w:r>
    </w:p>
    <w:p w14:paraId="6327308B">
      <w:pPr>
        <w:rPr>
          <w:rFonts w:ascii="宋体" w:hAnsi="宋体"/>
          <w:szCs w:val="21"/>
        </w:rPr>
      </w:pPr>
      <w:r>
        <w:rPr>
          <w:rFonts w:hint="eastAsia" w:ascii="宋体" w:hAnsi="宋体"/>
          <w:szCs w:val="21"/>
        </w:rPr>
        <w:t>地址：</w:t>
      </w:r>
    </w:p>
    <w:p w14:paraId="4106A567">
      <w:pPr>
        <w:rPr>
          <w:rFonts w:ascii="宋体" w:hAnsi="宋体"/>
          <w:szCs w:val="21"/>
        </w:rPr>
      </w:pPr>
      <w:r>
        <w:rPr>
          <w:rFonts w:hint="eastAsia" w:ascii="宋体" w:hAnsi="宋体"/>
          <w:szCs w:val="21"/>
        </w:rPr>
        <w:t>联系人：</w:t>
      </w:r>
      <w:r>
        <w:rPr>
          <w:rFonts w:ascii="宋体" w:hAnsi="宋体"/>
          <w:szCs w:val="21"/>
        </w:rPr>
        <w:t xml:space="preserve">                          </w:t>
      </w:r>
    </w:p>
    <w:p w14:paraId="16165531">
      <w:pPr>
        <w:rPr>
          <w:rFonts w:ascii="宋体" w:hAnsi="宋体"/>
          <w:b/>
          <w:bCs/>
          <w:szCs w:val="21"/>
        </w:rPr>
      </w:pPr>
      <w:r>
        <w:rPr>
          <w:rFonts w:hint="eastAsia" w:ascii="宋体" w:hAnsi="宋体"/>
          <w:szCs w:val="21"/>
        </w:rPr>
        <w:t>联系电话：</w:t>
      </w:r>
    </w:p>
    <w:p w14:paraId="580F2863">
      <w:pPr>
        <w:rPr>
          <w:rFonts w:ascii="宋体" w:hAnsi="宋体"/>
          <w:b/>
          <w:bCs/>
          <w:szCs w:val="21"/>
        </w:rPr>
      </w:pPr>
      <w:r>
        <w:rPr>
          <w:rFonts w:ascii="宋体" w:hAnsi="宋体"/>
          <w:b/>
          <w:bCs/>
          <w:szCs w:val="21"/>
        </w:rPr>
        <w:t xml:space="preserve"> </w:t>
      </w:r>
      <w:r>
        <w:rPr>
          <w:rFonts w:hint="eastAsia" w:ascii="宋体" w:hAnsi="宋体"/>
          <w:b/>
          <w:bCs/>
          <w:szCs w:val="21"/>
        </w:rPr>
        <w:t xml:space="preserve"> </w:t>
      </w:r>
      <w:r>
        <w:rPr>
          <w:rFonts w:ascii="宋体" w:hAnsi="宋体"/>
          <w:b/>
          <w:bCs/>
          <w:szCs w:val="21"/>
        </w:rPr>
        <w:t xml:space="preserve"> </w:t>
      </w:r>
    </w:p>
    <w:p w14:paraId="378A7CD2">
      <w:pPr>
        <w:rPr>
          <w:rFonts w:ascii="宋体" w:hAnsi="宋体"/>
          <w:b/>
          <w:bCs/>
          <w:szCs w:val="21"/>
        </w:rPr>
      </w:pPr>
      <w:r>
        <w:rPr>
          <w:rFonts w:hint="eastAsia" w:ascii="宋体" w:hAnsi="宋体"/>
          <w:b/>
          <w:bCs/>
          <w:szCs w:val="21"/>
        </w:rPr>
        <w:t>乙方：</w:t>
      </w:r>
    </w:p>
    <w:p w14:paraId="4D056874">
      <w:pPr>
        <w:rPr>
          <w:rFonts w:ascii="宋体" w:hAnsi="宋体"/>
          <w:szCs w:val="21"/>
        </w:rPr>
      </w:pPr>
      <w:r>
        <w:rPr>
          <w:rFonts w:hint="eastAsia" w:ascii="宋体" w:hAnsi="宋体"/>
          <w:szCs w:val="21"/>
        </w:rPr>
        <w:t>地址：</w:t>
      </w:r>
    </w:p>
    <w:p w14:paraId="36210C18">
      <w:pPr>
        <w:rPr>
          <w:rFonts w:ascii="宋体" w:hAnsi="宋体"/>
          <w:szCs w:val="21"/>
        </w:rPr>
      </w:pPr>
      <w:r>
        <w:rPr>
          <w:rFonts w:hint="eastAsia" w:ascii="宋体" w:hAnsi="宋体"/>
          <w:szCs w:val="21"/>
        </w:rPr>
        <w:t>联系人：</w:t>
      </w:r>
      <w:r>
        <w:rPr>
          <w:rFonts w:ascii="宋体" w:hAnsi="宋体"/>
          <w:szCs w:val="21"/>
        </w:rPr>
        <w:t xml:space="preserve">                          </w:t>
      </w:r>
    </w:p>
    <w:p w14:paraId="0ACAABAC">
      <w:pPr>
        <w:rPr>
          <w:rFonts w:ascii="宋体" w:hAnsi="宋体"/>
          <w:b/>
          <w:bCs/>
          <w:szCs w:val="21"/>
        </w:rPr>
      </w:pPr>
      <w:r>
        <w:rPr>
          <w:rFonts w:hint="eastAsia" w:ascii="宋体" w:hAnsi="宋体"/>
          <w:szCs w:val="21"/>
        </w:rPr>
        <w:t>联系电话：</w:t>
      </w:r>
    </w:p>
    <w:p w14:paraId="185F0C4F">
      <w:pPr>
        <w:rPr>
          <w:rFonts w:ascii="宋体" w:hAnsi="宋体"/>
          <w:szCs w:val="21"/>
        </w:rPr>
      </w:pPr>
      <w:r>
        <w:rPr>
          <w:rFonts w:ascii="宋体" w:hAnsi="宋体"/>
          <w:b/>
          <w:bCs/>
          <w:szCs w:val="21"/>
        </w:rPr>
        <w:t xml:space="preserve">            </w:t>
      </w:r>
      <w:r>
        <w:rPr>
          <w:rFonts w:hint="eastAsia" w:ascii="宋体" w:hAnsi="宋体"/>
          <w:b/>
          <w:bCs/>
          <w:szCs w:val="21"/>
        </w:rPr>
        <w:t xml:space="preserve">          </w:t>
      </w:r>
    </w:p>
    <w:p w14:paraId="0778360A">
      <w:pPr>
        <w:rPr>
          <w:rFonts w:ascii="宋体" w:hAnsi="宋体"/>
          <w:szCs w:val="21"/>
        </w:rPr>
      </w:pPr>
    </w:p>
    <w:p w14:paraId="043F7999">
      <w:pPr>
        <w:ind w:firstLine="420" w:firstLineChars="200"/>
        <w:rPr>
          <w:rFonts w:ascii="宋体" w:hAnsi="宋体"/>
          <w:szCs w:val="21"/>
        </w:rPr>
      </w:pPr>
      <w:r>
        <w:rPr>
          <w:rFonts w:hint="eastAsia" w:ascii="宋体" w:hAnsi="宋体"/>
          <w:szCs w:val="21"/>
        </w:rPr>
        <w:t>根据深圳公共资源交易中心（深圳交易集团有限公司</w:t>
      </w:r>
      <w:r>
        <w:rPr>
          <w:rFonts w:hint="eastAsia" w:ascii="宋体" w:hAnsi="宋体"/>
          <w:szCs w:val="21"/>
          <w:lang w:val="en-US" w:eastAsia="zh-CN"/>
        </w:rPr>
        <w:t>福田</w:t>
      </w:r>
      <w:r>
        <w:rPr>
          <w:rFonts w:hint="eastAsia" w:ascii="宋体" w:hAnsi="宋体"/>
          <w:szCs w:val="21"/>
        </w:rPr>
        <w:t>分公司）*</w:t>
      </w:r>
      <w:r>
        <w:rPr>
          <w:rFonts w:ascii="宋体" w:hAnsi="宋体"/>
          <w:szCs w:val="21"/>
        </w:rPr>
        <w:t>**</w:t>
      </w:r>
      <w:r>
        <w:rPr>
          <w:rFonts w:hint="eastAsia" w:ascii="宋体" w:hAnsi="宋体"/>
          <w:szCs w:val="21"/>
        </w:rPr>
        <w:t>号项目结果，*</w:t>
      </w:r>
      <w:r>
        <w:rPr>
          <w:rFonts w:ascii="宋体" w:hAnsi="宋体"/>
          <w:szCs w:val="21"/>
        </w:rPr>
        <w:t>**</w:t>
      </w:r>
      <w:r>
        <w:rPr>
          <w:rFonts w:hint="eastAsia" w:ascii="宋体" w:hAnsi="宋体"/>
          <w:szCs w:val="21"/>
        </w:rPr>
        <w:t>单位为中标人。按照《中华人民共和国民法典》（第三编 合同）》和《深圳经济特区政府采购条例》，经深圳市（以下简称甲方）和单位（以下简称乙方）协商，就甲方委托乙方承担</w:t>
      </w:r>
      <w:r>
        <w:rPr>
          <w:rFonts w:hint="eastAsia" w:ascii="宋体" w:hAnsi="宋体"/>
          <w:b/>
          <w:bCs/>
          <w:snapToGrid w:val="0"/>
          <w:kern w:val="0"/>
          <w:szCs w:val="21"/>
          <w:u w:val="single"/>
          <w:lang w:val="zh-CN"/>
        </w:rPr>
        <w:t xml:space="preserve">                      服务项目</w:t>
      </w:r>
      <w:r>
        <w:rPr>
          <w:rFonts w:hint="eastAsia" w:ascii="宋体" w:hAnsi="宋体"/>
          <w:szCs w:val="21"/>
        </w:rPr>
        <w:t>，达成以下合同条款：</w:t>
      </w:r>
    </w:p>
    <w:p w14:paraId="41974157">
      <w:pPr>
        <w:ind w:firstLine="422" w:firstLineChars="200"/>
        <w:rPr>
          <w:rFonts w:ascii="宋体" w:hAnsi="宋体"/>
          <w:b/>
          <w:bCs/>
          <w:szCs w:val="21"/>
        </w:rPr>
      </w:pPr>
      <w:r>
        <w:rPr>
          <w:rFonts w:hint="eastAsia" w:ascii="宋体" w:hAnsi="宋体"/>
          <w:b/>
          <w:bCs/>
          <w:szCs w:val="21"/>
        </w:rPr>
        <w:t>第一条　项目概况</w:t>
      </w:r>
    </w:p>
    <w:p w14:paraId="061D44C6">
      <w:pPr>
        <w:ind w:firstLine="420" w:firstLineChars="200"/>
        <w:rPr>
          <w:rFonts w:ascii="宋体" w:hAnsi="宋体"/>
          <w:szCs w:val="21"/>
        </w:rPr>
      </w:pPr>
      <w:r>
        <w:rPr>
          <w:rFonts w:hint="eastAsia" w:ascii="宋体" w:hAnsi="宋体"/>
          <w:szCs w:val="21"/>
        </w:rPr>
        <w:t xml:space="preserve">项目名称： </w:t>
      </w:r>
    </w:p>
    <w:p w14:paraId="2CF76EDD">
      <w:pPr>
        <w:ind w:firstLine="420" w:firstLineChars="200"/>
        <w:rPr>
          <w:rFonts w:ascii="宋体" w:hAnsi="宋体"/>
          <w:szCs w:val="21"/>
        </w:rPr>
      </w:pPr>
      <w:r>
        <w:rPr>
          <w:rFonts w:hint="eastAsia" w:ascii="宋体" w:hAnsi="宋体"/>
          <w:szCs w:val="21"/>
        </w:rPr>
        <w:t xml:space="preserve">项目内容： </w:t>
      </w:r>
    </w:p>
    <w:p w14:paraId="0B00C204">
      <w:pPr>
        <w:ind w:firstLine="420" w:firstLineChars="200"/>
        <w:rPr>
          <w:rFonts w:ascii="宋体" w:hAnsi="宋体"/>
          <w:szCs w:val="21"/>
        </w:rPr>
      </w:pPr>
      <w:r>
        <w:rPr>
          <w:rFonts w:hint="eastAsia" w:ascii="宋体" w:hAnsi="宋体"/>
          <w:szCs w:val="21"/>
        </w:rPr>
        <w:t xml:space="preserve">服务时间： </w:t>
      </w:r>
    </w:p>
    <w:p w14:paraId="1BE504F5">
      <w:pPr>
        <w:ind w:firstLine="420" w:firstLineChars="200"/>
        <w:rPr>
          <w:rFonts w:ascii="宋体" w:hAnsi="宋体"/>
          <w:szCs w:val="21"/>
        </w:rPr>
      </w:pPr>
      <w:r>
        <w:rPr>
          <w:rFonts w:hint="eastAsia" w:ascii="宋体" w:hAnsi="宋体"/>
          <w:szCs w:val="21"/>
        </w:rPr>
        <w:t>合同价款：合同总价为元，含一切税、费。</w:t>
      </w:r>
      <w:r>
        <w:t>本合同总价包括</w:t>
      </w:r>
      <w:r>
        <w:rPr>
          <w:rFonts w:hint="eastAsia" w:ascii="宋体" w:hAnsi="宋体"/>
          <w:szCs w:val="21"/>
        </w:rPr>
        <w:t>乙方为实施本项目*</w:t>
      </w:r>
      <w:r>
        <w:rPr>
          <w:rFonts w:ascii="宋体" w:hAnsi="宋体"/>
          <w:szCs w:val="21"/>
        </w:rPr>
        <w:t>**</w:t>
      </w:r>
      <w:r>
        <w:rPr>
          <w:rFonts w:hint="eastAsia" w:ascii="宋体" w:hAnsi="宋体"/>
          <w:szCs w:val="21"/>
        </w:rPr>
        <w:t>所需的设备仪器费、车辆租赁费、</w:t>
      </w:r>
      <w:r>
        <w:t>服务</w:t>
      </w:r>
      <w:r>
        <w:rPr>
          <w:rFonts w:hint="eastAsia"/>
        </w:rPr>
        <w:t>和</w:t>
      </w:r>
      <w:r>
        <w:t>技术费用</w:t>
      </w:r>
      <w:r>
        <w:rPr>
          <w:rFonts w:hint="eastAsia"/>
        </w:rPr>
        <w:t>等</w:t>
      </w:r>
      <w:r>
        <w:t>，为固定不变价格，且不随通货膨胀的影响而波动。合同总价包括</w:t>
      </w:r>
      <w:r>
        <w:rPr>
          <w:rFonts w:hint="eastAsia" w:ascii="宋体" w:hAnsi="宋体"/>
          <w:szCs w:val="21"/>
        </w:rPr>
        <w:t>乙方</w:t>
      </w:r>
      <w:r>
        <w:t>履行本合同义务所发生的一切费用和支出和以各种方式寄送技术资料到</w:t>
      </w:r>
      <w:r>
        <w:rPr>
          <w:rFonts w:hint="eastAsia"/>
        </w:rPr>
        <w:t>甲</w:t>
      </w:r>
      <w:r>
        <w:t>方办公室所发生的费用。</w:t>
      </w:r>
    </w:p>
    <w:p w14:paraId="602E7E99">
      <w:pPr>
        <w:pStyle w:val="7"/>
        <w:rPr>
          <w:rFonts w:ascii="宋体" w:hAnsi="宋体"/>
          <w:szCs w:val="21"/>
        </w:rPr>
      </w:pPr>
      <w:r>
        <w:rPr>
          <w:rFonts w:hint="eastAsia" w:ascii="宋体" w:hAnsi="宋体"/>
          <w:szCs w:val="21"/>
        </w:rPr>
        <w:t>支付方式：分期支付。</w:t>
      </w:r>
    </w:p>
    <w:p w14:paraId="30BF8044">
      <w:pPr>
        <w:ind w:firstLine="422" w:firstLineChars="200"/>
        <w:rPr>
          <w:rFonts w:ascii="宋体" w:hAnsi="宋体"/>
          <w:b/>
          <w:bCs/>
          <w:szCs w:val="21"/>
        </w:rPr>
      </w:pPr>
      <w:r>
        <w:rPr>
          <w:rFonts w:hint="eastAsia" w:ascii="宋体" w:hAnsi="宋体"/>
          <w:b/>
          <w:bCs/>
          <w:szCs w:val="21"/>
        </w:rPr>
        <w:t>第二条  服务范围</w:t>
      </w:r>
    </w:p>
    <w:p w14:paraId="3F68740D">
      <w:pPr>
        <w:ind w:firstLine="420" w:firstLineChars="200"/>
        <w:rPr>
          <w:rFonts w:ascii="宋体" w:hAnsi="宋体"/>
          <w:szCs w:val="21"/>
        </w:rPr>
      </w:pPr>
      <w:r>
        <w:rPr>
          <w:rFonts w:hint="eastAsia" w:ascii="宋体" w:hAnsi="宋体"/>
          <w:szCs w:val="21"/>
        </w:rPr>
        <w:t xml:space="preserve">1、  </w:t>
      </w:r>
    </w:p>
    <w:p w14:paraId="71DD2B01">
      <w:pPr>
        <w:ind w:firstLine="420" w:firstLineChars="200"/>
        <w:rPr>
          <w:rFonts w:ascii="宋体" w:hAnsi="宋体"/>
          <w:szCs w:val="21"/>
        </w:rPr>
      </w:pPr>
      <w:r>
        <w:rPr>
          <w:rFonts w:hint="eastAsia" w:ascii="宋体" w:hAnsi="宋体"/>
          <w:szCs w:val="21"/>
        </w:rPr>
        <w:t xml:space="preserve">2、  </w:t>
      </w:r>
    </w:p>
    <w:p w14:paraId="61D1160F">
      <w:pPr>
        <w:ind w:firstLine="420" w:firstLineChars="200"/>
        <w:rPr>
          <w:rFonts w:ascii="宋体" w:hAnsi="宋体"/>
          <w:szCs w:val="21"/>
        </w:rPr>
      </w:pPr>
      <w:r>
        <w:rPr>
          <w:rFonts w:hint="eastAsia" w:ascii="宋体" w:hAnsi="宋体"/>
          <w:szCs w:val="21"/>
        </w:rPr>
        <w:t xml:space="preserve">3、  </w:t>
      </w:r>
    </w:p>
    <w:p w14:paraId="45F35301">
      <w:pPr>
        <w:ind w:firstLine="420" w:firstLineChars="200"/>
        <w:rPr>
          <w:rFonts w:ascii="宋体" w:hAnsi="宋体"/>
          <w:szCs w:val="21"/>
        </w:rPr>
      </w:pPr>
      <w:r>
        <w:rPr>
          <w:rFonts w:hint="eastAsia" w:ascii="宋体" w:hAnsi="宋体"/>
          <w:szCs w:val="21"/>
        </w:rPr>
        <w:t>4、 其他合同未明示的相关工作。</w:t>
      </w:r>
    </w:p>
    <w:p w14:paraId="0D5BBCA4">
      <w:pPr>
        <w:ind w:firstLine="422" w:firstLineChars="200"/>
        <w:rPr>
          <w:rFonts w:ascii="宋体" w:hAnsi="宋体"/>
          <w:b/>
          <w:bCs/>
          <w:szCs w:val="21"/>
        </w:rPr>
      </w:pPr>
      <w:r>
        <w:rPr>
          <w:rFonts w:hint="eastAsia" w:ascii="宋体" w:hAnsi="宋体"/>
          <w:b/>
          <w:bCs/>
          <w:szCs w:val="21"/>
        </w:rPr>
        <w:t>第三条  时间要求及阶段成果</w:t>
      </w:r>
    </w:p>
    <w:p w14:paraId="77F43284">
      <w:pPr>
        <w:ind w:firstLine="420" w:firstLineChars="200"/>
        <w:rPr>
          <w:rFonts w:ascii="宋体" w:hAnsi="宋体"/>
          <w:szCs w:val="21"/>
        </w:rPr>
      </w:pPr>
      <w:r>
        <w:rPr>
          <w:rFonts w:hint="eastAsia" w:ascii="宋体" w:hAnsi="宋体"/>
          <w:szCs w:val="21"/>
        </w:rPr>
        <w:t>1、合同签订天内完成项目实施的准备工作，包括工作大纲和试验细则的编制；</w:t>
      </w:r>
    </w:p>
    <w:p w14:paraId="6DB19367">
      <w:pPr>
        <w:ind w:firstLine="420" w:firstLineChars="200"/>
        <w:rPr>
          <w:rFonts w:ascii="宋体" w:hAnsi="宋体"/>
          <w:szCs w:val="21"/>
        </w:rPr>
      </w:pPr>
      <w:r>
        <w:rPr>
          <w:rFonts w:hint="eastAsia" w:ascii="宋体" w:hAnsi="宋体"/>
          <w:szCs w:val="21"/>
        </w:rPr>
        <w:t xml:space="preserve">2、 </w:t>
      </w:r>
    </w:p>
    <w:p w14:paraId="330BB745">
      <w:pPr>
        <w:ind w:firstLine="420" w:firstLineChars="200"/>
        <w:rPr>
          <w:rFonts w:ascii="宋体" w:hAnsi="宋体"/>
          <w:szCs w:val="21"/>
        </w:rPr>
      </w:pPr>
      <w:r>
        <w:rPr>
          <w:rFonts w:hint="eastAsia" w:ascii="宋体" w:hAnsi="宋体"/>
          <w:szCs w:val="21"/>
        </w:rPr>
        <w:t>3、</w:t>
      </w:r>
    </w:p>
    <w:p w14:paraId="4D4F222F">
      <w:pPr>
        <w:ind w:firstLine="420" w:firstLineChars="200"/>
        <w:rPr>
          <w:rFonts w:ascii="宋体" w:hAnsi="宋体"/>
          <w:szCs w:val="21"/>
        </w:rPr>
      </w:pPr>
      <w:r>
        <w:rPr>
          <w:rFonts w:hint="eastAsia" w:ascii="宋体" w:hAnsi="宋体"/>
          <w:szCs w:val="21"/>
        </w:rPr>
        <w:t>4、</w:t>
      </w:r>
    </w:p>
    <w:p w14:paraId="67C5D3F4">
      <w:pPr>
        <w:ind w:firstLine="422" w:firstLineChars="200"/>
        <w:rPr>
          <w:rFonts w:ascii="宋体" w:hAnsi="宋体"/>
          <w:b/>
          <w:bCs/>
          <w:szCs w:val="21"/>
        </w:rPr>
      </w:pPr>
      <w:r>
        <w:rPr>
          <w:rFonts w:hint="eastAsia" w:ascii="宋体" w:hAnsi="宋体"/>
          <w:b/>
          <w:bCs/>
          <w:szCs w:val="21"/>
        </w:rPr>
        <w:t>第四条  服务资料归属</w:t>
      </w:r>
    </w:p>
    <w:p w14:paraId="094A1468">
      <w:pPr>
        <w:ind w:firstLine="420" w:firstLineChars="200"/>
      </w:pPr>
      <w:r>
        <w:t>1</w:t>
      </w:r>
      <w:r>
        <w:rPr>
          <w:rFonts w:hint="eastAsia"/>
        </w:rPr>
        <w:t>、</w:t>
      </w:r>
      <w:r>
        <w:t>所有提交给</w:t>
      </w:r>
      <w:r>
        <w:rPr>
          <w:rFonts w:hint="eastAsia"/>
        </w:rPr>
        <w:t>甲</w:t>
      </w:r>
      <w:r>
        <w:t>方的服务</w:t>
      </w:r>
      <w:r>
        <w:rPr>
          <w:rFonts w:hint="eastAsia"/>
        </w:rPr>
        <w:t>文件</w:t>
      </w:r>
      <w:r>
        <w:t>及相关的资料的最后文本，包括为履行技术服务范围所编制的图纸、计划和证明资料等，都属于</w:t>
      </w:r>
      <w:r>
        <w:rPr>
          <w:rFonts w:hint="eastAsia"/>
        </w:rPr>
        <w:t>甲</w:t>
      </w:r>
      <w:r>
        <w:t>方的财产，</w:t>
      </w:r>
      <w:r>
        <w:rPr>
          <w:rFonts w:hint="eastAsia" w:ascii="宋体" w:hAnsi="宋体"/>
          <w:szCs w:val="21"/>
        </w:rPr>
        <w:t>乙</w:t>
      </w:r>
      <w:r>
        <w:t>方在提交给</w:t>
      </w:r>
      <w:r>
        <w:rPr>
          <w:rFonts w:hint="eastAsia"/>
        </w:rPr>
        <w:t>甲</w:t>
      </w:r>
      <w:r>
        <w:t>方之前应将上述资料进行整理归类和编制索引</w:t>
      </w:r>
      <w:r>
        <w:rPr>
          <w:rFonts w:hint="eastAsia"/>
        </w:rPr>
        <w:t>。</w:t>
      </w:r>
    </w:p>
    <w:p w14:paraId="575877FD">
      <w:pPr>
        <w:ind w:firstLine="420" w:firstLineChars="200"/>
      </w:pPr>
      <w:r>
        <w:t>2</w:t>
      </w:r>
      <w:r>
        <w:rPr>
          <w:rFonts w:hint="eastAsia"/>
        </w:rPr>
        <w:t>、</w:t>
      </w:r>
      <w:r>
        <w:rPr>
          <w:rFonts w:hint="eastAsia" w:ascii="宋体" w:hAnsi="宋体"/>
          <w:szCs w:val="21"/>
        </w:rPr>
        <w:t>乙</w:t>
      </w:r>
      <w:r>
        <w:t>方未经</w:t>
      </w:r>
      <w:r>
        <w:rPr>
          <w:rFonts w:hint="eastAsia"/>
        </w:rPr>
        <w:t>甲</w:t>
      </w:r>
      <w:r>
        <w:t>方的书面同意，不得将上述资料用于与本服务项目之外的任何项目</w:t>
      </w:r>
      <w:r>
        <w:rPr>
          <w:rFonts w:hint="eastAsia"/>
        </w:rPr>
        <w:t>。</w:t>
      </w:r>
    </w:p>
    <w:p w14:paraId="2D8A0937">
      <w:pPr>
        <w:ind w:firstLine="420" w:firstLineChars="200"/>
      </w:pPr>
      <w:r>
        <w:rPr>
          <w:rFonts w:hint="eastAsia"/>
        </w:rPr>
        <w:t>3、</w:t>
      </w:r>
      <w:r>
        <w:t>合同履行</w:t>
      </w:r>
      <w:r>
        <w:rPr>
          <w:rFonts w:hint="eastAsia"/>
        </w:rPr>
        <w:t>完毕，</w:t>
      </w:r>
      <w:r>
        <w:t>未经</w:t>
      </w:r>
      <w:r>
        <w:rPr>
          <w:rFonts w:hint="eastAsia"/>
        </w:rPr>
        <w:t>甲</w:t>
      </w:r>
      <w:r>
        <w:t>方的书面同意</w:t>
      </w:r>
      <w:r>
        <w:rPr>
          <w:rFonts w:hint="eastAsia"/>
        </w:rPr>
        <w:t>，</w:t>
      </w:r>
      <w:r>
        <w:rPr>
          <w:rFonts w:hint="eastAsia" w:ascii="宋体" w:hAnsi="宋体"/>
          <w:szCs w:val="21"/>
        </w:rPr>
        <w:t>乙</w:t>
      </w:r>
      <w:r>
        <w:t>方</w:t>
      </w:r>
      <w:r>
        <w:rPr>
          <w:rFonts w:hint="eastAsia"/>
        </w:rPr>
        <w:t>不得保存在</w:t>
      </w:r>
      <w:r>
        <w:t>履行合同过程中所获得或接触到的任何</w:t>
      </w:r>
      <w:r>
        <w:rPr>
          <w:rFonts w:hint="eastAsia" w:ascii="宋体" w:hAnsi="宋体"/>
          <w:szCs w:val="21"/>
        </w:rPr>
        <w:t>内部数据资料。</w:t>
      </w:r>
    </w:p>
    <w:p w14:paraId="12AABBCE">
      <w:pPr>
        <w:ind w:firstLine="422" w:firstLineChars="200"/>
        <w:rPr>
          <w:rFonts w:ascii="宋体" w:hAnsi="宋体"/>
          <w:b/>
          <w:bCs/>
          <w:szCs w:val="21"/>
        </w:rPr>
      </w:pPr>
      <w:r>
        <w:rPr>
          <w:rFonts w:hint="eastAsia" w:ascii="宋体" w:hAnsi="宋体"/>
          <w:b/>
          <w:bCs/>
          <w:szCs w:val="21"/>
        </w:rPr>
        <w:t>第五条  甲方的义务</w:t>
      </w:r>
    </w:p>
    <w:p w14:paraId="6B1530EF">
      <w:pPr>
        <w:ind w:firstLine="420" w:firstLineChars="200"/>
        <w:rPr>
          <w:rFonts w:ascii="宋体" w:hAnsi="宋体"/>
          <w:szCs w:val="21"/>
        </w:rPr>
      </w:pPr>
      <w:r>
        <w:rPr>
          <w:rFonts w:hint="eastAsia" w:ascii="宋体" w:hAnsi="宋体"/>
          <w:szCs w:val="21"/>
        </w:rPr>
        <w:t>1、负责与本服务项目有关的第三方的协调，提供开展服务工作的外部条件。</w:t>
      </w:r>
    </w:p>
    <w:p w14:paraId="5ACA827F">
      <w:pPr>
        <w:ind w:firstLine="420" w:firstLineChars="200"/>
        <w:rPr>
          <w:rFonts w:ascii="宋体" w:hAnsi="宋体"/>
          <w:szCs w:val="21"/>
        </w:rPr>
      </w:pPr>
      <w:r>
        <w:rPr>
          <w:rFonts w:hint="eastAsia" w:ascii="宋体" w:hAnsi="宋体"/>
          <w:szCs w:val="21"/>
        </w:rPr>
        <w:t>2、向乙方提供与本项目服务工作有关的资料。</w:t>
      </w:r>
    </w:p>
    <w:p w14:paraId="6BCEB56E">
      <w:pPr>
        <w:ind w:firstLine="420" w:firstLineChars="200"/>
        <w:rPr>
          <w:rFonts w:ascii="宋体" w:hAnsi="宋体"/>
          <w:szCs w:val="21"/>
        </w:rPr>
      </w:pPr>
      <w:r>
        <w:rPr>
          <w:rFonts w:hint="eastAsia" w:ascii="宋体" w:hAnsi="宋体"/>
          <w:szCs w:val="21"/>
        </w:rPr>
        <w:t>3、负责组织有关专家对项目试验成果评估报告的评审。</w:t>
      </w:r>
    </w:p>
    <w:p w14:paraId="30593922">
      <w:pPr>
        <w:ind w:firstLine="422" w:firstLineChars="200"/>
        <w:rPr>
          <w:rFonts w:ascii="宋体" w:hAnsi="宋体"/>
          <w:b/>
          <w:bCs/>
          <w:szCs w:val="21"/>
        </w:rPr>
      </w:pPr>
      <w:r>
        <w:rPr>
          <w:rFonts w:hint="eastAsia" w:ascii="宋体" w:hAnsi="宋体"/>
          <w:b/>
          <w:bCs/>
          <w:szCs w:val="21"/>
        </w:rPr>
        <w:t>第六条　乙方的义务</w:t>
      </w:r>
    </w:p>
    <w:p w14:paraId="17A85AA0">
      <w:pPr>
        <w:ind w:firstLine="420" w:firstLineChars="200"/>
        <w:rPr>
          <w:rFonts w:ascii="宋体" w:hAnsi="宋体"/>
          <w:szCs w:val="21"/>
        </w:rPr>
      </w:pPr>
      <w:r>
        <w:rPr>
          <w:rFonts w:hint="eastAsia" w:ascii="宋体" w:hAnsi="宋体"/>
          <w:szCs w:val="21"/>
        </w:rPr>
        <w:t>１、应按照招标文件、投标文件要求按期完成本项目服务工作。</w:t>
      </w:r>
    </w:p>
    <w:p w14:paraId="3D56C460">
      <w:pPr>
        <w:ind w:firstLine="420" w:firstLineChars="200"/>
        <w:rPr>
          <w:rFonts w:ascii="宋体" w:hAnsi="宋体"/>
          <w:szCs w:val="21"/>
        </w:rPr>
      </w:pPr>
      <w:r>
        <w:rPr>
          <w:rFonts w:hint="eastAsia" w:ascii="宋体" w:hAnsi="宋体"/>
          <w:szCs w:val="21"/>
        </w:rPr>
        <w:t>2、负责组织项目的实施，保证工程进度和成桥荷载试验工作质量，并满足交通部交工验收相关标准。</w:t>
      </w:r>
    </w:p>
    <w:p w14:paraId="491BCA27">
      <w:pPr>
        <w:ind w:firstLine="420" w:firstLineChars="200"/>
        <w:rPr>
          <w:rFonts w:ascii="宋体" w:hAnsi="宋体"/>
          <w:szCs w:val="21"/>
        </w:rPr>
      </w:pPr>
      <w:r>
        <w:rPr>
          <w:rFonts w:hint="eastAsia" w:ascii="宋体" w:hAnsi="宋体"/>
          <w:szCs w:val="21"/>
        </w:rPr>
        <w:t>3、</w:t>
      </w:r>
      <w:r>
        <w:rPr>
          <w:rFonts w:hint="eastAsia" w:ascii="宋体" w:hAnsi="宋体"/>
        </w:rPr>
        <w:t>向甲方提交检测资料等各套，一套电子版文件。</w:t>
      </w:r>
    </w:p>
    <w:p w14:paraId="5BA4BBCC">
      <w:pPr>
        <w:ind w:firstLine="420" w:firstLineChars="200"/>
        <w:rPr>
          <w:rFonts w:ascii="宋体" w:hAnsi="宋体"/>
          <w:szCs w:val="21"/>
        </w:rPr>
      </w:pPr>
      <w:r>
        <w:rPr>
          <w:rFonts w:hint="eastAsia" w:ascii="宋体" w:hAnsi="宋体"/>
          <w:szCs w:val="21"/>
        </w:rPr>
        <w:t>4、在履行合同期间或合同规定期限内，不得泄露与本合同规定业务活动有关的保密资料。</w:t>
      </w:r>
    </w:p>
    <w:p w14:paraId="33ECDB30">
      <w:pPr>
        <w:ind w:firstLine="422" w:firstLineChars="200"/>
        <w:rPr>
          <w:rFonts w:ascii="宋体" w:hAnsi="宋体"/>
          <w:b/>
          <w:bCs/>
          <w:szCs w:val="21"/>
        </w:rPr>
      </w:pPr>
      <w:r>
        <w:rPr>
          <w:rFonts w:hint="eastAsia" w:ascii="宋体" w:hAnsi="宋体"/>
          <w:b/>
          <w:bCs/>
          <w:szCs w:val="21"/>
        </w:rPr>
        <w:t>第七条  甲方的权利</w:t>
      </w:r>
    </w:p>
    <w:p w14:paraId="52D53BAC">
      <w:pPr>
        <w:ind w:firstLine="420" w:firstLineChars="200"/>
        <w:rPr>
          <w:rFonts w:ascii="宋体" w:hAnsi="宋体"/>
          <w:szCs w:val="21"/>
        </w:rPr>
      </w:pPr>
      <w:r>
        <w:rPr>
          <w:rFonts w:ascii="宋体" w:hAnsi="宋体"/>
          <w:szCs w:val="21"/>
        </w:rPr>
        <w:t>1</w:t>
      </w:r>
      <w:r>
        <w:rPr>
          <w:rFonts w:hint="eastAsia" w:ascii="宋体" w:hAnsi="宋体"/>
          <w:szCs w:val="21"/>
        </w:rPr>
        <w:t>、有权向乙方询问工作进展情况及相关的内容。</w:t>
      </w:r>
    </w:p>
    <w:p w14:paraId="119B526F">
      <w:pPr>
        <w:ind w:firstLine="420" w:firstLineChars="200"/>
        <w:rPr>
          <w:rFonts w:ascii="宋体" w:hAnsi="宋体"/>
          <w:szCs w:val="21"/>
        </w:rPr>
      </w:pPr>
      <w:r>
        <w:rPr>
          <w:rFonts w:ascii="宋体" w:hAnsi="宋体"/>
          <w:szCs w:val="21"/>
        </w:rPr>
        <w:t>2</w:t>
      </w:r>
      <w:r>
        <w:rPr>
          <w:rFonts w:hint="eastAsia" w:ascii="宋体" w:hAnsi="宋体"/>
          <w:szCs w:val="21"/>
        </w:rPr>
        <w:t>、有权阐述对具体问题的意见和建议。</w:t>
      </w:r>
    </w:p>
    <w:p w14:paraId="3BA62A3E">
      <w:pPr>
        <w:ind w:firstLine="420" w:firstLineChars="200"/>
        <w:rPr>
          <w:rFonts w:ascii="宋体" w:hAnsi="宋体"/>
          <w:szCs w:val="21"/>
        </w:rPr>
      </w:pPr>
      <w:r>
        <w:rPr>
          <w:rFonts w:ascii="宋体" w:hAnsi="宋体"/>
          <w:szCs w:val="21"/>
        </w:rPr>
        <w:t>3</w:t>
      </w:r>
      <w:r>
        <w:rPr>
          <w:rFonts w:hint="eastAsia" w:ascii="宋体" w:hAnsi="宋体"/>
          <w:szCs w:val="21"/>
        </w:rPr>
        <w:t>、当甲方认定乙方人员不按合同履行其职责，或与第三人串通给甲方造成经济损失的，甲方有权要求更换人员，直至终止合同并要求乙方承担相应的赔偿责任。</w:t>
      </w:r>
    </w:p>
    <w:p w14:paraId="627A10DA">
      <w:pPr>
        <w:ind w:firstLine="422" w:firstLineChars="200"/>
        <w:rPr>
          <w:rFonts w:ascii="宋体" w:hAnsi="宋体"/>
          <w:b/>
          <w:bCs/>
          <w:szCs w:val="21"/>
        </w:rPr>
      </w:pPr>
      <w:r>
        <w:rPr>
          <w:rFonts w:hint="eastAsia" w:ascii="宋体" w:hAnsi="宋体"/>
          <w:b/>
          <w:bCs/>
          <w:szCs w:val="21"/>
        </w:rPr>
        <w:t>第八条  乙方的权利</w:t>
      </w:r>
    </w:p>
    <w:p w14:paraId="67C3BC57">
      <w:pPr>
        <w:ind w:firstLine="420" w:firstLineChars="200"/>
        <w:rPr>
          <w:rFonts w:ascii="宋体" w:hAnsi="宋体"/>
          <w:szCs w:val="21"/>
        </w:rPr>
      </w:pPr>
      <w:r>
        <w:rPr>
          <w:rFonts w:ascii="宋体" w:hAnsi="宋体"/>
          <w:szCs w:val="21"/>
        </w:rPr>
        <w:t>1</w:t>
      </w:r>
      <w:r>
        <w:rPr>
          <w:rFonts w:hint="eastAsia" w:ascii="宋体" w:hAnsi="宋体"/>
          <w:szCs w:val="21"/>
        </w:rPr>
        <w:t>、乙方在本项目服务过程中，如甲方提供的资料不明确时可向甲方提出书面报告。</w:t>
      </w:r>
    </w:p>
    <w:p w14:paraId="4EA59EFC">
      <w:pPr>
        <w:ind w:firstLine="420" w:firstLineChars="200"/>
        <w:rPr>
          <w:rFonts w:ascii="宋体" w:hAnsi="宋体"/>
          <w:szCs w:val="21"/>
        </w:rPr>
      </w:pPr>
      <w:r>
        <w:rPr>
          <w:rFonts w:ascii="宋体" w:hAnsi="宋体"/>
          <w:szCs w:val="21"/>
        </w:rPr>
        <w:t>2</w:t>
      </w:r>
      <w:r>
        <w:rPr>
          <w:rFonts w:hint="eastAsia" w:ascii="宋体" w:hAnsi="宋体"/>
          <w:szCs w:val="21"/>
        </w:rPr>
        <w:t>、乙方在本项目服务过程中，有权对第三方提出与本服务业务有关的问题进行核对或查问。</w:t>
      </w:r>
    </w:p>
    <w:p w14:paraId="12BEF6B4">
      <w:pPr>
        <w:ind w:firstLine="420" w:firstLineChars="200"/>
        <w:rPr>
          <w:rFonts w:ascii="宋体" w:hAnsi="宋体"/>
          <w:szCs w:val="21"/>
        </w:rPr>
      </w:pPr>
      <w:r>
        <w:rPr>
          <w:rFonts w:ascii="宋体" w:hAnsi="宋体"/>
          <w:szCs w:val="21"/>
        </w:rPr>
        <w:t>3</w:t>
      </w:r>
      <w:r>
        <w:rPr>
          <w:rFonts w:hint="eastAsia" w:ascii="宋体" w:hAnsi="宋体"/>
          <w:szCs w:val="21"/>
        </w:rPr>
        <w:t>、乙方在本项目服务过程中，有到工程现场勘察的权利。</w:t>
      </w:r>
    </w:p>
    <w:p w14:paraId="3F4BFDF1">
      <w:pPr>
        <w:ind w:firstLine="422" w:firstLineChars="200"/>
        <w:rPr>
          <w:rFonts w:ascii="宋体" w:hAnsi="宋体"/>
          <w:b/>
          <w:bCs/>
          <w:szCs w:val="21"/>
        </w:rPr>
      </w:pPr>
      <w:r>
        <w:rPr>
          <w:rFonts w:hint="eastAsia" w:ascii="宋体" w:hAnsi="宋体"/>
          <w:b/>
          <w:bCs/>
          <w:szCs w:val="21"/>
        </w:rPr>
        <w:t>第九条  甲方的责任</w:t>
      </w:r>
    </w:p>
    <w:p w14:paraId="3735114E">
      <w:pPr>
        <w:ind w:firstLine="420" w:firstLineChars="200"/>
        <w:rPr>
          <w:rFonts w:ascii="宋体" w:hAnsi="宋体"/>
          <w:szCs w:val="21"/>
        </w:rPr>
      </w:pPr>
      <w:r>
        <w:rPr>
          <w:rFonts w:hint="eastAsia" w:ascii="宋体" w:hAnsi="宋体"/>
          <w:szCs w:val="21"/>
        </w:rPr>
        <w:t>1、应当履行本合同约定的义务，如有违反则应当承担违约责任，赔偿给乙方造成的损失。</w:t>
      </w:r>
    </w:p>
    <w:p w14:paraId="402C9B86">
      <w:pPr>
        <w:ind w:firstLine="420" w:firstLineChars="200"/>
        <w:rPr>
          <w:rFonts w:ascii="宋体" w:hAnsi="宋体"/>
          <w:szCs w:val="21"/>
        </w:rPr>
      </w:pPr>
      <w:r>
        <w:rPr>
          <w:rFonts w:hint="eastAsia" w:ascii="宋体" w:hAnsi="宋体"/>
          <w:szCs w:val="21"/>
        </w:rPr>
        <w:t>2、甲方向乙方提出赔偿要求不能成立时，则应补偿由于该赔偿或其他要求所导致乙方的各种费用的支出。</w:t>
      </w:r>
    </w:p>
    <w:p w14:paraId="0FCCDB4B">
      <w:pPr>
        <w:ind w:firstLine="422" w:firstLineChars="200"/>
        <w:rPr>
          <w:rFonts w:ascii="宋体" w:hAnsi="宋体"/>
          <w:b/>
          <w:bCs/>
          <w:szCs w:val="21"/>
        </w:rPr>
      </w:pPr>
      <w:r>
        <w:rPr>
          <w:rFonts w:hint="eastAsia" w:ascii="宋体" w:hAnsi="宋体"/>
          <w:b/>
          <w:bCs/>
          <w:szCs w:val="21"/>
        </w:rPr>
        <w:t>第十条  乙方的责任</w:t>
      </w:r>
    </w:p>
    <w:p w14:paraId="69B3701D">
      <w:pPr>
        <w:ind w:firstLine="420" w:firstLineChars="200"/>
        <w:rPr>
          <w:rFonts w:ascii="宋体" w:hAnsi="宋体"/>
          <w:szCs w:val="21"/>
        </w:rPr>
      </w:pPr>
      <w:r>
        <w:rPr>
          <w:rFonts w:hint="eastAsia" w:ascii="宋体" w:hAnsi="宋体"/>
          <w:szCs w:val="21"/>
        </w:rPr>
        <w:t>1、乙方的责任期即本合同有效期。如因非乙方的责任造成进度的推迟或延误而超过约定的日期，双方应进一步约定相应延长合同有效期。</w:t>
      </w:r>
    </w:p>
    <w:p w14:paraId="3C4C6886">
      <w:pPr>
        <w:ind w:firstLine="420" w:firstLineChars="200"/>
        <w:rPr>
          <w:rFonts w:ascii="宋体" w:hAnsi="宋体"/>
          <w:szCs w:val="21"/>
        </w:rPr>
      </w:pPr>
      <w:r>
        <w:rPr>
          <w:rFonts w:hint="eastAsia" w:ascii="宋体" w:hAnsi="宋体"/>
          <w:szCs w:val="21"/>
        </w:rPr>
        <w:t>2、乙方的责任期内，应当履行本合同中约定的义务，因乙方的单方过失造成的经济损失，应当向甲方进行赔偿。</w:t>
      </w:r>
    </w:p>
    <w:p w14:paraId="6F0CE415">
      <w:pPr>
        <w:ind w:firstLine="420" w:firstLineChars="200"/>
        <w:rPr>
          <w:rFonts w:ascii="宋体" w:hAnsi="宋体"/>
          <w:szCs w:val="21"/>
        </w:rPr>
      </w:pPr>
      <w:r>
        <w:rPr>
          <w:rFonts w:hint="eastAsia" w:ascii="宋体" w:hAnsi="宋体"/>
          <w:szCs w:val="21"/>
        </w:rPr>
        <w:t>3、乙方对甲方或第三方所提出的问题不能及时核对或答复，导致合同不能全部或部分履行，乙方应承担责任。</w:t>
      </w:r>
    </w:p>
    <w:p w14:paraId="17850292">
      <w:pPr>
        <w:ind w:firstLine="420" w:firstLineChars="200"/>
        <w:rPr>
          <w:rFonts w:ascii="宋体" w:hAnsi="宋体"/>
          <w:szCs w:val="21"/>
        </w:rPr>
      </w:pPr>
      <w:r>
        <w:rPr>
          <w:rFonts w:hint="eastAsia" w:ascii="宋体" w:hAnsi="宋体"/>
          <w:szCs w:val="21"/>
        </w:rPr>
        <w:t>4、乙方向甲方提出赔偿要求不能成立时，则应补偿由于该赔偿或其他要求所导致甲方的各种费用的支出。</w:t>
      </w:r>
    </w:p>
    <w:p w14:paraId="25833E02">
      <w:pPr>
        <w:ind w:firstLine="422" w:firstLineChars="200"/>
        <w:rPr>
          <w:rFonts w:ascii="宋体" w:hAnsi="宋体"/>
          <w:b/>
          <w:bCs/>
          <w:szCs w:val="21"/>
        </w:rPr>
      </w:pPr>
      <w:r>
        <w:rPr>
          <w:rFonts w:hint="eastAsia" w:ascii="宋体" w:hAnsi="宋体"/>
          <w:b/>
          <w:bCs/>
          <w:szCs w:val="21"/>
        </w:rPr>
        <w:t>第十一条  人员要求</w:t>
      </w:r>
    </w:p>
    <w:p w14:paraId="06B8D33A">
      <w:pPr>
        <w:ind w:firstLine="420" w:firstLineChars="200"/>
        <w:rPr>
          <w:rFonts w:ascii="宋体" w:hAnsi="宋体"/>
          <w:szCs w:val="21"/>
        </w:rPr>
      </w:pPr>
      <w:r>
        <w:rPr>
          <w:rFonts w:hint="eastAsia" w:ascii="宋体" w:hAnsi="宋体"/>
          <w:szCs w:val="21"/>
        </w:rPr>
        <w:t>1、参加本项目试验的人员必须具有国家和有关部门规定的相应资质。</w:t>
      </w:r>
    </w:p>
    <w:p w14:paraId="5195DF8F">
      <w:pPr>
        <w:ind w:firstLine="420" w:firstLineChars="200"/>
        <w:rPr>
          <w:rFonts w:ascii="宋体" w:hAnsi="宋体"/>
          <w:szCs w:val="21"/>
        </w:rPr>
      </w:pPr>
      <w:r>
        <w:rPr>
          <w:rFonts w:hint="eastAsia" w:ascii="宋体" w:hAnsi="宋体"/>
          <w:szCs w:val="21"/>
        </w:rPr>
        <w:t>2、 参加本项目的试验人员的配置必须与投标文件中的服务承诺书和试验服务组织实施方案一致。</w:t>
      </w:r>
    </w:p>
    <w:p w14:paraId="78BF93FF">
      <w:pPr>
        <w:ind w:firstLine="420" w:firstLineChars="200"/>
        <w:rPr>
          <w:rFonts w:ascii="宋体" w:hAnsi="宋体"/>
          <w:szCs w:val="21"/>
        </w:rPr>
      </w:pPr>
      <w:r>
        <w:rPr>
          <w:rFonts w:hint="eastAsia" w:ascii="宋体" w:hAnsi="宋体"/>
          <w:szCs w:val="21"/>
        </w:rPr>
        <w:t>3、必须以直属试验人员参与本项目服务，不得使用挂靠队伍。</w:t>
      </w:r>
    </w:p>
    <w:p w14:paraId="2F413682">
      <w:pPr>
        <w:ind w:firstLine="422" w:firstLineChars="200"/>
        <w:rPr>
          <w:rFonts w:ascii="宋体" w:hAnsi="宋体"/>
          <w:b/>
          <w:bCs/>
          <w:szCs w:val="21"/>
        </w:rPr>
      </w:pPr>
      <w:r>
        <w:rPr>
          <w:rFonts w:hint="eastAsia" w:ascii="宋体" w:hAnsi="宋体"/>
          <w:b/>
          <w:bCs/>
          <w:szCs w:val="21"/>
        </w:rPr>
        <w:t>第十二条  乙方服务工具要求</w:t>
      </w:r>
    </w:p>
    <w:p w14:paraId="1353D865">
      <w:pPr>
        <w:ind w:firstLine="420" w:firstLineChars="200"/>
        <w:rPr>
          <w:rFonts w:ascii="宋体" w:hAnsi="宋体"/>
          <w:szCs w:val="21"/>
        </w:rPr>
      </w:pPr>
      <w:r>
        <w:rPr>
          <w:rFonts w:hint="eastAsia" w:ascii="宋体" w:hAnsi="宋体"/>
          <w:szCs w:val="21"/>
        </w:rPr>
        <w:t>1、乙方应配备中标项目所需的足够数量的仪器、仪表以及工具等设备。用户不需向乙方提供施工工具和仪器、仪表。</w:t>
      </w:r>
    </w:p>
    <w:p w14:paraId="1BB8E1AC">
      <w:pPr>
        <w:ind w:firstLine="420" w:firstLineChars="200"/>
        <w:rPr>
          <w:rFonts w:ascii="宋体" w:hAnsi="宋体"/>
          <w:szCs w:val="21"/>
        </w:rPr>
      </w:pPr>
      <w:r>
        <w:rPr>
          <w:rFonts w:hint="eastAsia" w:ascii="宋体" w:hAnsi="宋体"/>
          <w:szCs w:val="21"/>
        </w:rPr>
        <w:t>2、乙方在提供服务过程中应自备车辆。</w:t>
      </w:r>
    </w:p>
    <w:p w14:paraId="73299660">
      <w:pPr>
        <w:ind w:firstLine="422" w:firstLineChars="200"/>
        <w:rPr>
          <w:rFonts w:ascii="宋体" w:hAnsi="宋体"/>
          <w:b/>
          <w:bCs/>
          <w:szCs w:val="21"/>
        </w:rPr>
      </w:pPr>
      <w:r>
        <w:rPr>
          <w:rFonts w:hint="eastAsia" w:ascii="宋体" w:hAnsi="宋体"/>
          <w:b/>
          <w:bCs/>
          <w:szCs w:val="21"/>
        </w:rPr>
        <w:t>第十三条  保密要求</w:t>
      </w:r>
    </w:p>
    <w:p w14:paraId="58A7FADE">
      <w:pPr>
        <w:ind w:firstLine="420" w:firstLineChars="200"/>
        <w:rPr>
          <w:rFonts w:ascii="宋体" w:hAnsi="宋体"/>
          <w:szCs w:val="21"/>
        </w:rPr>
      </w:pPr>
      <w:r>
        <w:rPr>
          <w:rFonts w:hint="eastAsia" w:ascii="宋体" w:hAnsi="宋体"/>
          <w:szCs w:val="21"/>
        </w:rPr>
        <w:t>1、</w:t>
      </w:r>
      <w:r>
        <w:rPr>
          <w:rFonts w:ascii="宋体" w:hAnsi="宋体"/>
          <w:szCs w:val="21"/>
        </w:rPr>
        <w:t>由甲方收集的、开发的、整理的、复制的、研究的和准备的与本合同项下工作有关的所有资料在提供给乙方时，均被视为保密的，不得泄漏给除甲方或其指定的代表之外的任何人、企业或公司，不管本合同因何种原因终止，本条款一直约束乙方。</w:t>
      </w:r>
    </w:p>
    <w:p w14:paraId="7215D3B4">
      <w:pPr>
        <w:ind w:firstLine="420" w:firstLineChars="200"/>
        <w:rPr>
          <w:rFonts w:ascii="宋体" w:hAnsi="宋体"/>
          <w:szCs w:val="21"/>
        </w:rPr>
      </w:pPr>
      <w:r>
        <w:rPr>
          <w:rFonts w:hint="eastAsia" w:ascii="宋体" w:hAnsi="宋体"/>
          <w:szCs w:val="21"/>
        </w:rPr>
        <w:t>2、</w:t>
      </w:r>
      <w:r>
        <w:rPr>
          <w:rFonts w:ascii="宋体" w:hAnsi="宋体"/>
          <w:szCs w:val="21"/>
        </w:rPr>
        <w:t>乙方在履行合同过程中所获得或接触到的任何</w:t>
      </w:r>
      <w:r>
        <w:rPr>
          <w:rFonts w:hint="eastAsia" w:ascii="宋体" w:hAnsi="宋体"/>
          <w:szCs w:val="21"/>
        </w:rPr>
        <w:t>内部数据资料，未经甲方同意，不得向第三方透露。</w:t>
      </w:r>
    </w:p>
    <w:p w14:paraId="35AC174B">
      <w:pPr>
        <w:ind w:firstLine="420" w:firstLineChars="200"/>
        <w:rPr>
          <w:rFonts w:ascii="宋体" w:hAnsi="宋体"/>
          <w:szCs w:val="21"/>
        </w:rPr>
      </w:pPr>
      <w:r>
        <w:rPr>
          <w:rFonts w:hint="eastAsia" w:ascii="宋体" w:hAnsi="宋体"/>
          <w:szCs w:val="21"/>
        </w:rPr>
        <w:t>3、</w:t>
      </w:r>
      <w:r>
        <w:rPr>
          <w:rFonts w:ascii="宋体" w:hAnsi="宋体"/>
          <w:szCs w:val="21"/>
        </w:rPr>
        <w:t>乙方</w:t>
      </w:r>
      <w:r>
        <w:rPr>
          <w:rFonts w:hint="eastAsia" w:ascii="宋体" w:hAnsi="宋体"/>
          <w:szCs w:val="21"/>
        </w:rPr>
        <w:t>实施项目的一切程序都应符合国家安全、保密的有关规定和标准。</w:t>
      </w:r>
    </w:p>
    <w:p w14:paraId="49492828">
      <w:pPr>
        <w:ind w:firstLine="420" w:firstLineChars="200"/>
        <w:rPr>
          <w:rFonts w:ascii="宋体" w:hAnsi="宋体"/>
          <w:szCs w:val="21"/>
        </w:rPr>
      </w:pPr>
      <w:r>
        <w:rPr>
          <w:rFonts w:hint="eastAsia" w:ascii="宋体" w:hAnsi="宋体"/>
          <w:szCs w:val="21"/>
        </w:rPr>
        <w:t>4、</w:t>
      </w:r>
      <w:r>
        <w:rPr>
          <w:rFonts w:ascii="宋体" w:hAnsi="宋体"/>
          <w:szCs w:val="21"/>
        </w:rPr>
        <w:t>乙方</w:t>
      </w:r>
      <w:r>
        <w:rPr>
          <w:rFonts w:hint="eastAsia" w:ascii="宋体" w:hAnsi="宋体"/>
          <w:szCs w:val="21"/>
        </w:rPr>
        <w:t>参加项目的有关人员均需同甲方签订保密协议。</w:t>
      </w:r>
    </w:p>
    <w:p w14:paraId="38D9D073">
      <w:pPr>
        <w:ind w:firstLine="422" w:firstLineChars="200"/>
        <w:rPr>
          <w:rFonts w:ascii="宋体" w:hAnsi="宋体"/>
          <w:b/>
          <w:bCs/>
          <w:szCs w:val="21"/>
        </w:rPr>
      </w:pPr>
      <w:r>
        <w:rPr>
          <w:rFonts w:hint="eastAsia" w:ascii="宋体" w:hAnsi="宋体"/>
          <w:b/>
          <w:bCs/>
          <w:szCs w:val="21"/>
        </w:rPr>
        <w:t xml:space="preserve">第十四条  验收     </w:t>
      </w:r>
    </w:p>
    <w:p w14:paraId="1E9BE869">
      <w:pPr>
        <w:ind w:firstLine="420" w:firstLineChars="200"/>
        <w:rPr>
          <w:rFonts w:ascii="宋体" w:hAnsi="宋体"/>
          <w:szCs w:val="21"/>
        </w:rPr>
      </w:pPr>
      <w:r>
        <w:rPr>
          <w:rFonts w:hint="eastAsia" w:ascii="宋体" w:hAnsi="宋体"/>
          <w:szCs w:val="21"/>
        </w:rPr>
        <w:t>1、下列文件的验收分为</w:t>
      </w:r>
      <w:r>
        <w:rPr>
          <w:rFonts w:hint="eastAsia" w:ascii="宋体" w:hAnsi="宋体"/>
          <w:szCs w:val="21"/>
          <w:u w:val="single"/>
        </w:rPr>
        <w:t xml:space="preserve">          三</w:t>
      </w:r>
      <w:r>
        <w:rPr>
          <w:rFonts w:hint="eastAsia" w:ascii="宋体" w:hAnsi="宋体"/>
          <w:szCs w:val="21"/>
        </w:rPr>
        <w:t>个阶段:</w:t>
      </w:r>
    </w:p>
    <w:p w14:paraId="3EDC62FE">
      <w:pPr>
        <w:ind w:firstLine="420" w:firstLineChars="200"/>
        <w:rPr>
          <w:rFonts w:ascii="宋体" w:hAnsi="宋体"/>
          <w:szCs w:val="21"/>
        </w:rPr>
      </w:pPr>
      <w:r>
        <w:rPr>
          <w:rFonts w:hint="eastAsia" w:ascii="宋体" w:hAnsi="宋体"/>
          <w:szCs w:val="21"/>
        </w:rPr>
        <w:t>2、其余文件和工作由用户组织有关技术人员根据国家和行业有关规范、规程、标准和用户需求直接验收。</w:t>
      </w:r>
    </w:p>
    <w:p w14:paraId="2A9D819C">
      <w:pPr>
        <w:ind w:firstLine="420" w:firstLineChars="200"/>
        <w:rPr>
          <w:rFonts w:ascii="宋体" w:hAnsi="宋体"/>
          <w:szCs w:val="21"/>
        </w:rPr>
      </w:pPr>
      <w:r>
        <w:rPr>
          <w:rFonts w:hint="eastAsia" w:ascii="宋体" w:hAnsi="宋体"/>
          <w:szCs w:val="21"/>
        </w:rPr>
        <w:t>3、验收依据为招标文件、投标文件，国家和行业有关规范、规程和标准。</w:t>
      </w:r>
    </w:p>
    <w:p w14:paraId="1DC74336">
      <w:pPr>
        <w:ind w:firstLine="422" w:firstLineChars="200"/>
        <w:rPr>
          <w:rFonts w:ascii="宋体" w:hAnsi="宋体"/>
          <w:b/>
          <w:bCs/>
          <w:szCs w:val="21"/>
        </w:rPr>
      </w:pPr>
      <w:r>
        <w:rPr>
          <w:rFonts w:hint="eastAsia" w:ascii="宋体" w:hAnsi="宋体"/>
          <w:b/>
          <w:bCs/>
          <w:szCs w:val="21"/>
        </w:rPr>
        <w:t>第十五条  付款方式</w:t>
      </w:r>
    </w:p>
    <w:p w14:paraId="4589F473">
      <w:pPr>
        <w:ind w:firstLine="420" w:firstLineChars="200"/>
        <w:rPr>
          <w:rFonts w:ascii="宋体" w:hAnsi="宋体"/>
          <w:szCs w:val="21"/>
        </w:rPr>
      </w:pPr>
      <w:r>
        <w:rPr>
          <w:rFonts w:hint="eastAsia" w:ascii="宋体" w:hAnsi="宋体"/>
          <w:szCs w:val="21"/>
        </w:rPr>
        <w:t>1、合同签订后   天内乙方向甲方开具合法有效的发票后，甲方于   天内向乙方支付合同总价%的款项。</w:t>
      </w:r>
    </w:p>
    <w:p w14:paraId="67A73744">
      <w:pPr>
        <w:ind w:firstLine="420" w:firstLineChars="200"/>
        <w:rPr>
          <w:rFonts w:ascii="宋体" w:hAnsi="宋体"/>
          <w:szCs w:val="21"/>
        </w:rPr>
      </w:pPr>
      <w:r>
        <w:rPr>
          <w:rFonts w:hint="eastAsia" w:ascii="宋体" w:hAnsi="宋体"/>
          <w:szCs w:val="21"/>
        </w:rPr>
        <w:t>2、检测完成并提交评估报告后  天内，乙方向甲方开具合法有效发票后 天，甲方向乙方支付合同总价%的款项。</w:t>
      </w:r>
    </w:p>
    <w:p w14:paraId="1FA0A61B">
      <w:pPr>
        <w:ind w:firstLine="420" w:firstLineChars="200"/>
        <w:rPr>
          <w:rFonts w:ascii="宋体" w:hAnsi="宋体"/>
          <w:szCs w:val="21"/>
        </w:rPr>
      </w:pPr>
      <w:r>
        <w:rPr>
          <w:rFonts w:hint="eastAsia" w:ascii="宋体" w:hAnsi="宋体"/>
          <w:szCs w:val="21"/>
        </w:rPr>
        <w:t>3、报告通过专家评审后，甲方向乙方支付合同总价%的款项。</w:t>
      </w:r>
    </w:p>
    <w:p w14:paraId="14EAB9F6">
      <w:pPr>
        <w:ind w:firstLine="422" w:firstLineChars="200"/>
        <w:rPr>
          <w:rFonts w:ascii="宋体" w:hAnsi="宋体"/>
          <w:b/>
          <w:bCs/>
          <w:szCs w:val="21"/>
        </w:rPr>
      </w:pPr>
      <w:r>
        <w:rPr>
          <w:rFonts w:hint="eastAsia" w:ascii="宋体" w:hAnsi="宋体"/>
          <w:b/>
          <w:bCs/>
          <w:szCs w:val="21"/>
        </w:rPr>
        <w:t>第十六条  争议解决办法</w:t>
      </w:r>
    </w:p>
    <w:p w14:paraId="4A3064EB">
      <w:pPr>
        <w:ind w:firstLine="420" w:firstLineChars="200"/>
        <w:rPr>
          <w:rFonts w:ascii="宋体" w:hAnsi="宋体"/>
          <w:szCs w:val="21"/>
        </w:rPr>
      </w:pPr>
      <w:r>
        <w:rPr>
          <w:rFonts w:hint="eastAsia" w:ascii="宋体" w:hAnsi="宋体"/>
          <w:szCs w:val="21"/>
        </w:rPr>
        <w:t>执行本合同发生的争议，由甲乙双方协商解决，如协商不成的，应提交甲方所在地人民法院诉讼解决。</w:t>
      </w:r>
    </w:p>
    <w:p w14:paraId="76807FA9">
      <w:pPr>
        <w:ind w:firstLine="422" w:firstLineChars="200"/>
        <w:rPr>
          <w:rFonts w:ascii="宋体" w:hAnsi="宋体"/>
          <w:b/>
          <w:bCs/>
          <w:szCs w:val="21"/>
        </w:rPr>
      </w:pPr>
      <w:r>
        <w:rPr>
          <w:rFonts w:hint="eastAsia" w:ascii="宋体" w:hAnsi="宋体"/>
          <w:b/>
          <w:bCs/>
          <w:szCs w:val="21"/>
        </w:rPr>
        <w:t>第十七条  风险责任</w:t>
      </w:r>
    </w:p>
    <w:p w14:paraId="45BDC16C">
      <w:pPr>
        <w:ind w:firstLine="420" w:firstLineChars="200"/>
        <w:rPr>
          <w:rFonts w:ascii="宋体" w:hAnsi="宋体"/>
          <w:szCs w:val="21"/>
        </w:rPr>
      </w:pPr>
      <w:r>
        <w:rPr>
          <w:rFonts w:hint="eastAsia" w:ascii="宋体" w:hAnsi="宋体"/>
          <w:szCs w:val="21"/>
        </w:rPr>
        <w:t>１、乙方应完全地按照招标文件的要求和乙方投标文件的承诺完成本项目，出于自身财务、技术、人力等原因导致项目失败的，应承担全部责任。</w:t>
      </w:r>
    </w:p>
    <w:p w14:paraId="4586E8D0">
      <w:pPr>
        <w:ind w:firstLine="420" w:firstLineChars="200"/>
        <w:rPr>
          <w:rFonts w:ascii="宋体" w:hAnsi="宋体"/>
          <w:szCs w:val="21"/>
        </w:rPr>
      </w:pPr>
      <w:r>
        <w:rPr>
          <w:rFonts w:hint="eastAsia" w:ascii="宋体" w:hAnsi="宋体"/>
          <w:szCs w:val="21"/>
        </w:rPr>
        <w:t>2、乙方在实施荷载试验过程中应对自身的安全生产负责，若非因甲方原因发生的各种事故甲方不承担任何责任。</w:t>
      </w:r>
    </w:p>
    <w:p w14:paraId="5CF43DA5">
      <w:pPr>
        <w:ind w:firstLine="422" w:firstLineChars="200"/>
        <w:rPr>
          <w:rFonts w:ascii="宋体" w:hAnsi="宋体"/>
          <w:b/>
          <w:bCs/>
          <w:szCs w:val="21"/>
        </w:rPr>
      </w:pPr>
      <w:r>
        <w:rPr>
          <w:rFonts w:hint="eastAsia" w:ascii="宋体" w:hAnsi="宋体"/>
          <w:b/>
          <w:bCs/>
          <w:szCs w:val="21"/>
        </w:rPr>
        <w:t>第十八条  违约责任</w:t>
      </w:r>
    </w:p>
    <w:p w14:paraId="28E1C8D7">
      <w:pPr>
        <w:pStyle w:val="20"/>
        <w:spacing w:line="240" w:lineRule="auto"/>
        <w:rPr>
          <w:rFonts w:ascii="宋体" w:hAnsi="宋体"/>
          <w:szCs w:val="21"/>
        </w:rPr>
      </w:pPr>
      <w:r>
        <w:rPr>
          <w:rFonts w:hint="eastAsia" w:ascii="宋体" w:hAnsi="宋体"/>
          <w:szCs w:val="21"/>
        </w:rPr>
        <w:t>１、因乙方原因，未能按规定时间完成有关工作的，每延误一天，甲方可在支付合同余款中扣除合同价款千分之一。</w:t>
      </w:r>
    </w:p>
    <w:p w14:paraId="7BF06249">
      <w:pPr>
        <w:ind w:firstLine="420" w:firstLineChars="200"/>
        <w:rPr>
          <w:rFonts w:ascii="宋体" w:hAnsi="宋体"/>
          <w:szCs w:val="21"/>
        </w:rPr>
      </w:pPr>
      <w:r>
        <w:rPr>
          <w:rFonts w:hint="eastAsia" w:ascii="宋体" w:hAnsi="宋体"/>
          <w:szCs w:val="21"/>
        </w:rPr>
        <w:t>2、由于乙方原因造成试验成果质量低劣，不能满足大纲要求时，应继续完善试验工作，其费用由乙方承担。</w:t>
      </w:r>
    </w:p>
    <w:p w14:paraId="51942530">
      <w:pPr>
        <w:ind w:firstLine="420" w:firstLineChars="200"/>
        <w:rPr>
          <w:rFonts w:ascii="宋体" w:hAnsi="宋体"/>
          <w:szCs w:val="21"/>
        </w:rPr>
      </w:pPr>
      <w:r>
        <w:rPr>
          <w:rFonts w:hint="eastAsia" w:ascii="宋体" w:hAnsi="宋体"/>
          <w:szCs w:val="21"/>
        </w:rPr>
        <w:t>3、乙方交付的成果经验收不合格，应于7日内无条件修改，费用由乙方自行承担，在甲方要求整改后再次验收不合格的，甲方有权解除合同、要求乙方返还甲方已支付的合同款项，并有权要求乙方按合同总额   %支付违约金。。</w:t>
      </w:r>
    </w:p>
    <w:p w14:paraId="4AC6B9CA">
      <w:pPr>
        <w:ind w:firstLine="420" w:firstLineChars="200"/>
        <w:rPr>
          <w:rFonts w:ascii="宋体" w:hAnsi="宋体"/>
          <w:szCs w:val="21"/>
        </w:rPr>
      </w:pPr>
      <w:r>
        <w:rPr>
          <w:rFonts w:hint="eastAsia" w:ascii="宋体" w:hAnsi="宋体"/>
          <w:szCs w:val="21"/>
        </w:rPr>
        <w:t>4、若甲方发现乙方派出的试验服务人员或提供的试验仪器设备不符合合同要求，乙方应在3天之内按要求派出人员或提供满足投标文件承诺的仪器设备，否则甲方有权终止合同，并保留追究乙方责任及要求赔偿损失的权利。</w:t>
      </w:r>
    </w:p>
    <w:p w14:paraId="31E8F552">
      <w:pPr>
        <w:ind w:firstLine="420" w:firstLineChars="200"/>
        <w:rPr>
          <w:rFonts w:ascii="宋体" w:hAnsi="宋体"/>
          <w:szCs w:val="21"/>
        </w:rPr>
      </w:pPr>
      <w:r>
        <w:rPr>
          <w:rFonts w:hint="eastAsia" w:ascii="宋体" w:hAnsi="宋体"/>
          <w:szCs w:val="21"/>
        </w:rPr>
        <w:t>5、乙方或其工作人员违反本合同约定的保密义务，甲方有权要求乙方按合同总额   %支付违约金；造成不良影响或对甲方造成损失的，甲方有权要求乙方消除影响，承担赔偿责任，并有权解除合同。</w:t>
      </w:r>
    </w:p>
    <w:p w14:paraId="759B060D">
      <w:pPr>
        <w:ind w:firstLine="420" w:firstLineChars="200"/>
        <w:rPr>
          <w:rFonts w:ascii="宋体" w:hAnsi="宋体"/>
          <w:szCs w:val="21"/>
        </w:rPr>
      </w:pPr>
      <w:r>
        <w:rPr>
          <w:rFonts w:hint="eastAsia" w:ascii="宋体" w:hAnsi="宋体"/>
          <w:szCs w:val="21"/>
        </w:rPr>
        <w:t>6、因乙方提供的服务成果受到侵权指控或者引发法律纠纷，影响甲方使用服务成果或者导致合同目的不能实现的，甲方有权要求乙方按合同总额   %支付违约金，并有权解除合同。</w:t>
      </w:r>
    </w:p>
    <w:p w14:paraId="4B3FFDA6">
      <w:pPr>
        <w:ind w:firstLine="422" w:firstLineChars="200"/>
        <w:rPr>
          <w:rFonts w:ascii="宋体" w:hAnsi="宋体"/>
          <w:b/>
          <w:bCs/>
          <w:szCs w:val="21"/>
        </w:rPr>
      </w:pPr>
      <w:r>
        <w:rPr>
          <w:rFonts w:hint="eastAsia" w:ascii="宋体" w:hAnsi="宋体"/>
          <w:b/>
          <w:bCs/>
          <w:szCs w:val="21"/>
        </w:rPr>
        <w:t>第十九条  其他</w:t>
      </w:r>
    </w:p>
    <w:p w14:paraId="60CB1167">
      <w:pPr>
        <w:ind w:firstLine="420" w:firstLineChars="200"/>
        <w:rPr>
          <w:rFonts w:hint="eastAsia" w:ascii="宋体" w:hAnsi="宋体"/>
          <w:szCs w:val="21"/>
        </w:rPr>
      </w:pPr>
      <w:r>
        <w:rPr>
          <w:rFonts w:hint="eastAsia" w:ascii="宋体" w:hAnsi="宋体"/>
          <w:szCs w:val="21"/>
        </w:rPr>
        <w:t>1、本协议书与下列文件一起构成合同文件，如下述文件之间有任何抵触、矛盾或歧义，应按以下顺序解释：</w:t>
      </w:r>
    </w:p>
    <w:p w14:paraId="4EC42C0A">
      <w:pPr>
        <w:ind w:firstLine="420" w:firstLineChars="200"/>
        <w:rPr>
          <w:rFonts w:hint="eastAsia" w:ascii="宋体" w:hAnsi="宋体"/>
          <w:szCs w:val="21"/>
        </w:rPr>
      </w:pPr>
      <w:r>
        <w:rPr>
          <w:rFonts w:hint="eastAsia" w:ascii="宋体" w:hAnsi="宋体"/>
          <w:szCs w:val="21"/>
        </w:rPr>
        <w:t>（1）政府采购合同协议书及其变更、补充协议</w:t>
      </w:r>
    </w:p>
    <w:p w14:paraId="46CFE5A7">
      <w:pPr>
        <w:ind w:firstLine="420" w:firstLineChars="200"/>
        <w:rPr>
          <w:rFonts w:hint="eastAsia" w:ascii="宋体" w:hAnsi="宋体"/>
          <w:szCs w:val="21"/>
        </w:rPr>
      </w:pPr>
      <w:r>
        <w:rPr>
          <w:rFonts w:hint="eastAsia" w:ascii="宋体" w:hAnsi="宋体"/>
          <w:szCs w:val="21"/>
        </w:rPr>
        <w:t>（2）政府采购合同专用条款</w:t>
      </w:r>
    </w:p>
    <w:p w14:paraId="3606D823">
      <w:pPr>
        <w:ind w:firstLine="420" w:firstLineChars="200"/>
        <w:rPr>
          <w:rFonts w:hint="eastAsia" w:ascii="宋体" w:hAnsi="宋体"/>
          <w:szCs w:val="21"/>
        </w:rPr>
      </w:pPr>
      <w:r>
        <w:rPr>
          <w:rFonts w:hint="eastAsia" w:ascii="宋体" w:hAnsi="宋体"/>
          <w:szCs w:val="21"/>
        </w:rPr>
        <w:t>（3）政府采购合同通用条款</w:t>
      </w:r>
    </w:p>
    <w:p w14:paraId="5775BEEF">
      <w:pPr>
        <w:ind w:firstLine="420" w:firstLineChars="200"/>
        <w:rPr>
          <w:rFonts w:hint="eastAsia" w:ascii="宋体" w:hAnsi="宋体"/>
          <w:szCs w:val="21"/>
        </w:rPr>
      </w:pPr>
      <w:r>
        <w:rPr>
          <w:rFonts w:hint="eastAsia" w:ascii="宋体" w:hAnsi="宋体"/>
          <w:szCs w:val="21"/>
        </w:rPr>
        <w:t>（4）中标（成交）通知书</w:t>
      </w:r>
    </w:p>
    <w:p w14:paraId="649252A1">
      <w:pPr>
        <w:ind w:firstLine="420" w:firstLineChars="200"/>
        <w:rPr>
          <w:rFonts w:hint="eastAsia" w:ascii="宋体" w:hAnsi="宋体"/>
          <w:szCs w:val="21"/>
        </w:rPr>
      </w:pPr>
      <w:r>
        <w:rPr>
          <w:rFonts w:hint="eastAsia" w:ascii="宋体" w:hAnsi="宋体"/>
          <w:szCs w:val="21"/>
        </w:rPr>
        <w:t>（5）投标（响应）文件</w:t>
      </w:r>
    </w:p>
    <w:p w14:paraId="03DD0661">
      <w:pPr>
        <w:ind w:firstLine="420" w:firstLineChars="200"/>
        <w:rPr>
          <w:rFonts w:hint="eastAsia" w:ascii="宋体" w:hAnsi="宋体"/>
          <w:szCs w:val="21"/>
        </w:rPr>
      </w:pPr>
      <w:r>
        <w:rPr>
          <w:rFonts w:hint="eastAsia" w:ascii="宋体" w:hAnsi="宋体"/>
          <w:szCs w:val="21"/>
        </w:rPr>
        <w:t>（6）采购文件</w:t>
      </w:r>
    </w:p>
    <w:p w14:paraId="644943D3">
      <w:pPr>
        <w:ind w:firstLine="420" w:firstLineChars="200"/>
        <w:rPr>
          <w:rFonts w:hint="eastAsia" w:ascii="宋体" w:hAnsi="宋体"/>
          <w:szCs w:val="21"/>
        </w:rPr>
      </w:pPr>
      <w:r>
        <w:rPr>
          <w:rFonts w:hint="eastAsia" w:ascii="宋体" w:hAnsi="宋体"/>
          <w:szCs w:val="21"/>
        </w:rPr>
        <w:t>（7）有关技术文件，图纸</w:t>
      </w:r>
    </w:p>
    <w:p w14:paraId="44D5F95D">
      <w:pPr>
        <w:ind w:firstLine="420" w:firstLineChars="200"/>
        <w:rPr>
          <w:rFonts w:ascii="宋体" w:hAnsi="宋体"/>
          <w:szCs w:val="21"/>
        </w:rPr>
      </w:pPr>
      <w:r>
        <w:rPr>
          <w:rFonts w:hint="eastAsia" w:ascii="宋体" w:hAnsi="宋体"/>
          <w:szCs w:val="21"/>
        </w:rPr>
        <w:t>（8）国家法律、行政法规和规章制度规定或合同约定的作为合同组成部分的其他文件。</w:t>
      </w:r>
    </w:p>
    <w:p w14:paraId="5EFB2D73">
      <w:pPr>
        <w:ind w:firstLine="420" w:firstLineChars="200"/>
        <w:rPr>
          <w:rFonts w:ascii="宋体" w:hAnsi="宋体"/>
          <w:szCs w:val="21"/>
        </w:rPr>
      </w:pPr>
      <w:r>
        <w:rPr>
          <w:rFonts w:hint="eastAsia" w:ascii="宋体" w:hAnsi="宋体"/>
          <w:szCs w:val="21"/>
        </w:rPr>
        <w:t>2、下列文件均为本合同的组成部分：</w:t>
      </w:r>
    </w:p>
    <w:p w14:paraId="6454B8B7">
      <w:pPr>
        <w:ind w:firstLine="420" w:firstLineChars="200"/>
        <w:rPr>
          <w:rFonts w:ascii="宋体" w:hAnsi="宋体"/>
          <w:szCs w:val="21"/>
        </w:rPr>
      </w:pPr>
      <w:r>
        <w:rPr>
          <w:rFonts w:hint="eastAsia" w:ascii="宋体" w:hAnsi="宋体"/>
          <w:szCs w:val="21"/>
        </w:rPr>
        <w:t>（1）号招标文件、答疑及补充通知；</w:t>
      </w:r>
    </w:p>
    <w:p w14:paraId="7F5C8B82">
      <w:pPr>
        <w:ind w:firstLine="420" w:firstLineChars="200"/>
        <w:rPr>
          <w:rFonts w:ascii="宋体" w:hAnsi="宋体"/>
          <w:szCs w:val="21"/>
        </w:rPr>
      </w:pPr>
      <w:r>
        <w:rPr>
          <w:rFonts w:hint="eastAsia" w:ascii="宋体" w:hAnsi="宋体"/>
          <w:szCs w:val="21"/>
        </w:rPr>
        <w:t>（2）投标文件；</w:t>
      </w:r>
    </w:p>
    <w:p w14:paraId="326E87DB">
      <w:pPr>
        <w:ind w:firstLine="420" w:firstLineChars="200"/>
        <w:rPr>
          <w:rFonts w:ascii="宋体" w:hAnsi="宋体"/>
          <w:szCs w:val="21"/>
        </w:rPr>
      </w:pPr>
      <w:r>
        <w:rPr>
          <w:rFonts w:hint="eastAsia" w:ascii="宋体" w:hAnsi="宋体"/>
          <w:szCs w:val="21"/>
        </w:rPr>
        <w:t>（3）本合同执行中共同签署的补充与修正文件。</w:t>
      </w:r>
    </w:p>
    <w:p w14:paraId="74161AA9">
      <w:pPr>
        <w:ind w:firstLine="420" w:firstLineChars="200"/>
        <w:rPr>
          <w:rFonts w:ascii="宋体" w:hAnsi="宋体"/>
          <w:szCs w:val="21"/>
        </w:rPr>
      </w:pPr>
      <w:r>
        <w:rPr>
          <w:rFonts w:hint="eastAsia" w:ascii="宋体" w:hAnsi="宋体"/>
          <w:szCs w:val="21"/>
        </w:rPr>
        <w:t>本合同一式份，甲、乙方双方各执份，具有同等法律效力。本合同自双方法人代表签字（盖章）认可之日起生效。</w:t>
      </w:r>
    </w:p>
    <w:p w14:paraId="313AA391">
      <w:pPr>
        <w:ind w:firstLine="420" w:firstLineChars="200"/>
        <w:rPr>
          <w:rFonts w:ascii="宋体" w:hAnsi="宋体"/>
          <w:szCs w:val="21"/>
        </w:rPr>
      </w:pPr>
      <w:r>
        <w:rPr>
          <w:rFonts w:hint="eastAsia" w:ascii="宋体" w:hAnsi="宋体"/>
          <w:szCs w:val="21"/>
        </w:rPr>
        <w:t>本合同未尽事宜，双方友好协商，达成解决方案，经双方签字后，可作为本合同的有效附件。</w:t>
      </w:r>
    </w:p>
    <w:p w14:paraId="06AF6F6D">
      <w:pPr>
        <w:ind w:firstLine="420" w:firstLineChars="200"/>
        <w:rPr>
          <w:rFonts w:ascii="宋体" w:hAnsi="宋体"/>
          <w:szCs w:val="21"/>
        </w:rPr>
      </w:pPr>
    </w:p>
    <w:p w14:paraId="35354C0E">
      <w:pPr>
        <w:ind w:firstLine="420" w:firstLineChars="200"/>
        <w:rPr>
          <w:rFonts w:ascii="宋体" w:hAnsi="宋体"/>
          <w:szCs w:val="21"/>
        </w:rPr>
      </w:pPr>
    </w:p>
    <w:p w14:paraId="56D82191">
      <w:pPr>
        <w:spacing w:line="360" w:lineRule="auto"/>
        <w:ind w:firstLine="560"/>
        <w:jc w:val="left"/>
        <w:rPr>
          <w:rFonts w:ascii="宋体" w:hAnsi="宋体"/>
          <w:szCs w:val="21"/>
        </w:rPr>
      </w:pPr>
      <w:r>
        <w:rPr>
          <w:rFonts w:hint="eastAsia" w:ascii="宋体" w:hAnsi="宋体"/>
          <w:szCs w:val="21"/>
        </w:rPr>
        <w:t>甲方（采购人）：   （盖章）       乙方（供应商）：    （盖章）</w:t>
      </w:r>
    </w:p>
    <w:p w14:paraId="570FFD4F">
      <w:pPr>
        <w:spacing w:line="360" w:lineRule="auto"/>
        <w:ind w:firstLine="560"/>
        <w:jc w:val="left"/>
        <w:rPr>
          <w:rFonts w:ascii="宋体" w:hAnsi="宋体"/>
          <w:szCs w:val="21"/>
        </w:rPr>
      </w:pPr>
      <w:r>
        <w:rPr>
          <w:rFonts w:hint="eastAsia" w:ascii="宋体" w:hAnsi="宋体"/>
          <w:szCs w:val="21"/>
        </w:rPr>
        <w:t xml:space="preserve">法定代表人：                     法定代表人： </w:t>
      </w:r>
    </w:p>
    <w:p w14:paraId="7E64BEDB">
      <w:pPr>
        <w:spacing w:line="360" w:lineRule="auto"/>
        <w:ind w:firstLine="560"/>
        <w:jc w:val="left"/>
        <w:rPr>
          <w:rFonts w:ascii="宋体" w:hAnsi="宋体"/>
          <w:szCs w:val="21"/>
        </w:rPr>
      </w:pPr>
      <w:r>
        <w:rPr>
          <w:rFonts w:hint="eastAsia" w:ascii="宋体" w:hAnsi="宋体"/>
          <w:szCs w:val="21"/>
        </w:rPr>
        <w:t>委托代理人：                     委托代理人：</w:t>
      </w:r>
    </w:p>
    <w:p w14:paraId="2EF3F388">
      <w:pPr>
        <w:ind w:firstLine="420" w:firstLineChars="200"/>
        <w:rPr>
          <w:rFonts w:ascii="宋体" w:hAnsi="宋体"/>
          <w:szCs w:val="21"/>
        </w:rPr>
      </w:pPr>
      <w:r>
        <w:rPr>
          <w:rFonts w:hint="eastAsia" w:ascii="宋体" w:hAnsi="宋体"/>
          <w:szCs w:val="21"/>
        </w:rPr>
        <w:t>日期：   年     月    日         日期：   年     月    日</w:t>
      </w:r>
    </w:p>
    <w:p w14:paraId="3B3E0B39">
      <w:pPr>
        <w:ind w:firstLine="420" w:firstLineChars="200"/>
        <w:rPr>
          <w:rFonts w:ascii="宋体" w:hAnsi="宋体"/>
          <w:szCs w:val="21"/>
        </w:rPr>
      </w:pPr>
    </w:p>
    <w:p w14:paraId="5362AB3A">
      <w:pPr>
        <w:ind w:firstLine="420" w:firstLineChars="200"/>
        <w:rPr>
          <w:rFonts w:ascii="宋体" w:hAnsi="宋体"/>
          <w:szCs w:val="21"/>
        </w:rPr>
      </w:pPr>
    </w:p>
    <w:p w14:paraId="5462CBC7">
      <w:pPr>
        <w:ind w:firstLine="420" w:firstLineChars="200"/>
        <w:rPr>
          <w:rFonts w:ascii="宋体" w:hAnsi="宋体"/>
          <w:szCs w:val="21"/>
        </w:rPr>
      </w:pPr>
    </w:p>
    <w:p w14:paraId="7DACB58D">
      <w:pPr>
        <w:ind w:firstLine="420" w:firstLineChars="200"/>
        <w:rPr>
          <w:rFonts w:ascii="宋体" w:hAnsi="宋体"/>
          <w:szCs w:val="21"/>
        </w:rPr>
      </w:pPr>
    </w:p>
    <w:p w14:paraId="48048B99">
      <w:pPr>
        <w:ind w:firstLine="420" w:firstLineChars="200"/>
        <w:rPr>
          <w:rFonts w:ascii="宋体" w:hAnsi="宋体"/>
          <w:szCs w:val="21"/>
        </w:rPr>
      </w:pPr>
    </w:p>
    <w:p w14:paraId="3194221D">
      <w:pPr>
        <w:widowControl/>
        <w:jc w:val="left"/>
        <w:rPr>
          <w:rFonts w:ascii="宋体" w:hAnsi="宋体"/>
          <w:szCs w:val="21"/>
        </w:rPr>
      </w:pPr>
      <w:r>
        <w:rPr>
          <w:rFonts w:ascii="宋体" w:hAnsi="宋体"/>
          <w:szCs w:val="21"/>
        </w:rPr>
        <w:br w:type="page"/>
      </w:r>
    </w:p>
    <w:p w14:paraId="322D4639">
      <w:pPr>
        <w:pStyle w:val="5"/>
        <w:spacing w:before="120" w:beforeLines="50" w:after="120" w:afterLines="50"/>
        <w:ind w:left="562"/>
        <w:rPr>
          <w:sz w:val="28"/>
          <w:szCs w:val="28"/>
        </w:rPr>
      </w:pPr>
      <w:r>
        <w:rPr>
          <w:rFonts w:hint="eastAsia"/>
          <w:sz w:val="28"/>
          <w:szCs w:val="28"/>
        </w:rPr>
        <w:t>第二册  通用条款（公开招标）</w:t>
      </w:r>
    </w:p>
    <w:p w14:paraId="4242705D">
      <w:pPr>
        <w:pStyle w:val="5"/>
        <w:numPr>
          <w:ilvl w:val="0"/>
          <w:numId w:val="13"/>
        </w:numPr>
        <w:spacing w:before="120" w:beforeLines="50" w:after="120" w:afterLines="50"/>
        <w:ind w:left="562" w:hanging="562"/>
        <w:rPr>
          <w:sz w:val="28"/>
          <w:szCs w:val="28"/>
        </w:rPr>
      </w:pPr>
      <w:bookmarkStart w:id="51" w:name="_Hlk72399513"/>
      <w:r>
        <w:rPr>
          <w:rFonts w:hint="eastAsia"/>
          <w:sz w:val="28"/>
          <w:szCs w:val="28"/>
        </w:rPr>
        <w:t>总则</w:t>
      </w:r>
    </w:p>
    <w:bookmarkEnd w:id="51"/>
    <w:p w14:paraId="6FBC71E8">
      <w:pPr>
        <w:rPr>
          <w:rFonts w:ascii="黑体" w:hAnsi="宋体" w:eastAsia="黑体"/>
          <w:sz w:val="24"/>
        </w:rPr>
      </w:pPr>
      <w:r>
        <w:rPr>
          <w:rFonts w:hint="eastAsia" w:ascii="黑体" w:hAnsi="宋体" w:eastAsia="黑体"/>
          <w:sz w:val="24"/>
        </w:rPr>
        <w:t>1. 通用条款说明</w:t>
      </w:r>
    </w:p>
    <w:p w14:paraId="097CD4D9">
      <w:pPr>
        <w:ind w:firstLine="411" w:firstLineChars="196"/>
        <w:rPr>
          <w:rFonts w:ascii="宋体" w:hAnsi="宋体"/>
          <w:szCs w:val="21"/>
        </w:rPr>
      </w:pPr>
      <w:r>
        <w:rPr>
          <w:rFonts w:hint="eastAsia" w:ascii="宋体" w:hAnsi="宋体"/>
          <w:szCs w:val="21"/>
        </w:rPr>
        <w:t>1.1政府集中采购机构发出招标文件通用条款版本，列出深圳市政府采购项目进行招标采购所适用的通用条款内容。</w:t>
      </w:r>
      <w:bookmarkStart w:id="52" w:name="_Hlk72399729"/>
      <w:r>
        <w:rPr>
          <w:rFonts w:hint="eastAsia" w:ascii="宋体" w:hAnsi="宋体"/>
          <w:szCs w:val="21"/>
        </w:rPr>
        <w:t>如有需要，政府集中采购机构可以对通用条款的内容进行补充。</w:t>
      </w:r>
      <w:bookmarkEnd w:id="52"/>
    </w:p>
    <w:p w14:paraId="1D771273">
      <w:pPr>
        <w:ind w:firstLine="411" w:firstLineChars="196"/>
        <w:rPr>
          <w:rFonts w:ascii="宋体" w:hAnsi="宋体"/>
          <w:szCs w:val="21"/>
        </w:rPr>
      </w:pPr>
      <w:r>
        <w:rPr>
          <w:rFonts w:hint="eastAsia" w:ascii="宋体" w:hAnsi="宋体"/>
          <w:szCs w:val="21"/>
        </w:rPr>
        <w:t>1.2招标文件分为第一册“专用条款”和第二册“通用条款”。</w:t>
      </w:r>
    </w:p>
    <w:p w14:paraId="33742A01">
      <w:pPr>
        <w:ind w:firstLine="411" w:firstLineChars="196"/>
        <w:rPr>
          <w:rFonts w:ascii="宋体" w:hAnsi="宋体"/>
          <w:szCs w:val="21"/>
        </w:rPr>
      </w:pPr>
      <w:r>
        <w:rPr>
          <w:rFonts w:hint="eastAsia" w:ascii="宋体" w:hAnsi="宋体"/>
          <w:szCs w:val="21"/>
        </w:rPr>
        <w:t>1.3“专用条款”是对本次采购项目的具体要求，包含招标公告、对通用条款的补充内容及其他关键信息、用户需求书、投标文件格式及附件、合同条款及格式等内容。</w:t>
      </w:r>
    </w:p>
    <w:p w14:paraId="1C2F2C17">
      <w:pPr>
        <w:ind w:firstLine="411" w:firstLineChars="196"/>
        <w:rPr>
          <w:rFonts w:ascii="宋体" w:hAnsi="宋体"/>
          <w:szCs w:val="21"/>
        </w:rPr>
      </w:pPr>
      <w:r>
        <w:rPr>
          <w:rFonts w:hint="eastAsia" w:ascii="宋体" w:hAnsi="宋体"/>
          <w:szCs w:val="21"/>
        </w:rPr>
        <w:t>1.4“通用条款”是适用于政府采购公开招标项目的基础性条款，具有普遍性和通用性。</w:t>
      </w:r>
    </w:p>
    <w:p w14:paraId="2194929D">
      <w:pPr>
        <w:ind w:firstLine="411" w:firstLineChars="196"/>
        <w:rPr>
          <w:rFonts w:ascii="宋体" w:hAnsi="宋体"/>
          <w:szCs w:val="21"/>
        </w:rPr>
      </w:pPr>
      <w:r>
        <w:rPr>
          <w:rFonts w:hint="eastAsia" w:ascii="宋体" w:hAnsi="宋体"/>
          <w:szCs w:val="21"/>
        </w:rPr>
        <w:t>1.5 “专用条款”和“通用条款”表述不一致或有冲突时，以“专用条款”为准。</w:t>
      </w:r>
    </w:p>
    <w:p w14:paraId="1252C522">
      <w:pPr>
        <w:rPr>
          <w:rFonts w:ascii="黑体" w:hAnsi="宋体" w:eastAsia="黑体"/>
          <w:sz w:val="24"/>
        </w:rPr>
      </w:pPr>
      <w:r>
        <w:rPr>
          <w:rFonts w:hint="eastAsia" w:ascii="黑体" w:hAnsi="宋体" w:eastAsia="黑体"/>
          <w:sz w:val="24"/>
        </w:rPr>
        <w:t>2</w:t>
      </w:r>
      <w:r>
        <w:rPr>
          <w:rFonts w:ascii="黑体" w:hAnsi="宋体" w:eastAsia="黑体"/>
          <w:sz w:val="24"/>
        </w:rPr>
        <w:t>．</w:t>
      </w:r>
      <w:r>
        <w:rPr>
          <w:rFonts w:hint="eastAsia" w:ascii="黑体" w:hAnsi="宋体" w:eastAsia="黑体"/>
          <w:sz w:val="24"/>
        </w:rPr>
        <w:t>招标说明</w:t>
      </w:r>
    </w:p>
    <w:p w14:paraId="09400A0B">
      <w:pPr>
        <w:ind w:firstLine="411" w:firstLineChars="196"/>
        <w:rPr>
          <w:rFonts w:ascii="宋体" w:hAnsi="宋体"/>
          <w:szCs w:val="21"/>
        </w:rPr>
      </w:pPr>
      <w:r>
        <w:rPr>
          <w:rFonts w:hint="eastAsia" w:ascii="宋体" w:hAnsi="宋体"/>
          <w:szCs w:val="21"/>
        </w:rPr>
        <w:t>本项目按照《深圳经济特区政府采购条例》、《深圳经济特区政府采购条例实施细则》及政府采购其他法律法规，通过公开招标方式确定中标供应商。</w:t>
      </w:r>
    </w:p>
    <w:p w14:paraId="44F16FBA">
      <w:pPr>
        <w:rPr>
          <w:rFonts w:ascii="黑体" w:hAnsi="宋体" w:eastAsia="黑体"/>
          <w:sz w:val="24"/>
        </w:rPr>
      </w:pPr>
      <w:r>
        <w:rPr>
          <w:rFonts w:hint="eastAsia" w:ascii="黑体" w:hAnsi="宋体" w:eastAsia="黑体"/>
          <w:sz w:val="24"/>
        </w:rPr>
        <w:t>3．定义</w:t>
      </w:r>
    </w:p>
    <w:p w14:paraId="077BC9A0">
      <w:pPr>
        <w:ind w:firstLine="420" w:firstLineChars="200"/>
        <w:rPr>
          <w:rFonts w:ascii="宋体" w:hAnsi="宋体"/>
          <w:szCs w:val="21"/>
        </w:rPr>
      </w:pPr>
      <w:r>
        <w:rPr>
          <w:rFonts w:ascii="宋体" w:hAnsi="宋体"/>
          <w:szCs w:val="21"/>
        </w:rPr>
        <w:t>招标文件中下列术语应解释为：</w:t>
      </w:r>
    </w:p>
    <w:p w14:paraId="06B7A829">
      <w:pPr>
        <w:ind w:firstLine="411" w:firstLineChars="196"/>
        <w:rPr>
          <w:rFonts w:ascii="宋体" w:hAnsi="宋体"/>
          <w:szCs w:val="21"/>
        </w:rPr>
      </w:pPr>
      <w:r>
        <w:rPr>
          <w:rFonts w:hint="eastAsia" w:ascii="宋体" w:hAnsi="宋体"/>
          <w:szCs w:val="21"/>
        </w:rPr>
        <w:t>3.</w:t>
      </w:r>
      <w:r>
        <w:rPr>
          <w:rFonts w:ascii="宋体" w:hAnsi="宋体"/>
          <w:szCs w:val="21"/>
        </w:rPr>
        <w:t>1</w:t>
      </w:r>
      <w:r>
        <w:rPr>
          <w:rFonts w:hint="eastAsia" w:ascii="宋体" w:hAnsi="宋体"/>
          <w:szCs w:val="21"/>
        </w:rPr>
        <w:t>“采购人”：指利用财政性资金依法进行政府采购的国家机关、事业单位、团体组织；</w:t>
      </w:r>
      <w:r>
        <w:rPr>
          <w:rFonts w:ascii="宋体" w:hAnsi="宋体"/>
          <w:szCs w:val="21"/>
        </w:rPr>
        <w:t xml:space="preserve"> </w:t>
      </w:r>
    </w:p>
    <w:p w14:paraId="63D36600">
      <w:pPr>
        <w:ind w:firstLine="411" w:firstLineChars="196"/>
        <w:rPr>
          <w:rFonts w:ascii="宋体" w:hAnsi="宋体"/>
          <w:szCs w:val="21"/>
        </w:rPr>
      </w:pPr>
      <w:r>
        <w:rPr>
          <w:rFonts w:hint="eastAsia" w:ascii="宋体" w:hAnsi="宋体"/>
          <w:szCs w:val="21"/>
        </w:rPr>
        <w:t>3.2 “政府集中采购机构”</w:t>
      </w:r>
      <w:r>
        <w:rPr>
          <w:rFonts w:hint="eastAsia" w:ascii="Arial" w:hAnsi="Arial" w:cs="Arial"/>
          <w:szCs w:val="21"/>
          <w:shd w:val="clear" w:color="auto" w:fill="FFFFFF"/>
        </w:rPr>
        <w:t>是指市政府设立的，组织实施政府采购项目，并对政府采购活动提供服务的专门机构；</w:t>
      </w:r>
      <w:r>
        <w:rPr>
          <w:rFonts w:hint="eastAsia" w:ascii="宋体" w:hAnsi="宋体"/>
          <w:szCs w:val="21"/>
        </w:rPr>
        <w:t>本文件所述的“政府集中采购机构”</w:t>
      </w:r>
      <w:r>
        <w:rPr>
          <w:rFonts w:ascii="宋体" w:hAnsi="宋体"/>
          <w:szCs w:val="21"/>
        </w:rPr>
        <w:t>指</w:t>
      </w:r>
      <w:r>
        <w:rPr>
          <w:rFonts w:hint="eastAsia" w:ascii="宋体" w:hAnsi="宋体"/>
          <w:b/>
          <w:bCs/>
          <w:szCs w:val="21"/>
        </w:rPr>
        <w:t>深圳公共资源交易中心</w:t>
      </w:r>
      <w:r>
        <w:rPr>
          <w:rFonts w:hint="eastAsia" w:ascii="宋体" w:hAnsi="宋体"/>
          <w:szCs w:val="21"/>
        </w:rPr>
        <w:t>；</w:t>
      </w:r>
    </w:p>
    <w:p w14:paraId="60654EEB">
      <w:pPr>
        <w:ind w:firstLine="411" w:firstLineChars="196"/>
        <w:rPr>
          <w:rFonts w:ascii="宋体" w:hAnsi="宋体"/>
          <w:szCs w:val="21"/>
        </w:rPr>
      </w:pPr>
      <w:r>
        <w:rPr>
          <w:rFonts w:hint="eastAsia" w:ascii="宋体" w:hAnsi="宋体"/>
          <w:szCs w:val="21"/>
        </w:rPr>
        <w:t>3.3“投标人”，即供应商，指参加投标竞争并愿意按照招标文件要求向采购人提供货物、工程或者服务的依法成立的法人、其他组织或者自然人；</w:t>
      </w:r>
    </w:p>
    <w:p w14:paraId="537EA224">
      <w:pPr>
        <w:ind w:firstLine="411" w:firstLineChars="196"/>
        <w:rPr>
          <w:rFonts w:ascii="宋体" w:hAnsi="宋体"/>
          <w:szCs w:val="21"/>
        </w:rPr>
      </w:pPr>
      <w:r>
        <w:rPr>
          <w:rFonts w:hint="eastAsia" w:ascii="宋体" w:hAnsi="宋体"/>
          <w:szCs w:val="21"/>
        </w:rPr>
        <w:t>3.4“评审委员会”是依据《深圳经济特区政府采购条例》、《深圳经济特区政府采购条例实施细则》等有关规定组建的专门负责本次招标其评审工作的临时性机构；</w:t>
      </w:r>
    </w:p>
    <w:p w14:paraId="4B6BE558">
      <w:pPr>
        <w:ind w:firstLine="411" w:firstLineChars="196"/>
        <w:rPr>
          <w:rFonts w:ascii="宋体" w:hAnsi="宋体"/>
          <w:szCs w:val="21"/>
        </w:rPr>
      </w:pPr>
      <w:r>
        <w:rPr>
          <w:rFonts w:hint="eastAsia" w:ascii="宋体" w:hAnsi="宋体"/>
          <w:szCs w:val="21"/>
        </w:rPr>
        <w:t>3.5“日期”</w:t>
      </w:r>
      <w:r>
        <w:rPr>
          <w:rFonts w:ascii="宋体" w:hAnsi="宋体"/>
          <w:szCs w:val="21"/>
        </w:rPr>
        <w:t>指</w:t>
      </w:r>
      <w:r>
        <w:rPr>
          <w:rFonts w:hint="eastAsia" w:ascii="宋体" w:hAnsi="宋体"/>
          <w:szCs w:val="21"/>
        </w:rPr>
        <w:t>公历日；</w:t>
      </w:r>
    </w:p>
    <w:p w14:paraId="02173D2E">
      <w:pPr>
        <w:ind w:firstLine="411" w:firstLineChars="196"/>
        <w:rPr>
          <w:rFonts w:ascii="宋体" w:hAnsi="宋体"/>
          <w:szCs w:val="21"/>
        </w:rPr>
      </w:pPr>
      <w:r>
        <w:rPr>
          <w:rFonts w:hint="eastAsia" w:ascii="宋体" w:hAnsi="宋体"/>
          <w:szCs w:val="21"/>
        </w:rPr>
        <w:t>3.6“合同”指由本次招标所产生的合同或合约文件；</w:t>
      </w:r>
    </w:p>
    <w:p w14:paraId="0351A718">
      <w:pPr>
        <w:ind w:firstLine="411" w:firstLineChars="196"/>
        <w:rPr>
          <w:rFonts w:ascii="宋体" w:hAnsi="宋体"/>
          <w:szCs w:val="21"/>
        </w:rPr>
      </w:pPr>
      <w:r>
        <w:rPr>
          <w:rFonts w:hint="eastAsia" w:ascii="宋体" w:hAnsi="宋体"/>
          <w:szCs w:val="21"/>
        </w:rPr>
        <w:t>3.7“电子投标文件”指利用</w:t>
      </w:r>
      <w:r>
        <w:rPr>
          <w:b/>
          <w:bCs/>
          <w:color w:val="FF0000"/>
          <w:szCs w:val="21"/>
        </w:rPr>
        <w:t>深圳公共资源交易中心（深圳交易集团有限公司</w:t>
      </w:r>
      <w:r>
        <w:rPr>
          <w:rFonts w:hint="eastAsia"/>
          <w:b/>
          <w:bCs/>
          <w:color w:val="FF0000"/>
          <w:szCs w:val="21"/>
        </w:rPr>
        <w:t>福田</w:t>
      </w:r>
      <w:r>
        <w:rPr>
          <w:b/>
          <w:bCs/>
          <w:color w:val="FF0000"/>
          <w:szCs w:val="21"/>
        </w:rPr>
        <w:t>分公司）</w:t>
      </w:r>
      <w:r>
        <w:rPr>
          <w:rFonts w:ascii="Times New Roman" w:hAnsi="Times New Roman" w:eastAsia="宋体" w:cs="Times New Roman"/>
          <w:b/>
          <w:bCs/>
          <w:szCs w:val="21"/>
        </w:rPr>
        <w:t>网站提供的</w:t>
      </w:r>
      <w:r>
        <w:rPr>
          <w:rFonts w:hint="eastAsia" w:ascii="Times New Roman" w:hAnsi="Times New Roman" w:eastAsia="宋体" w:cs="Times New Roman"/>
          <w:b/>
          <w:bCs/>
          <w:szCs w:val="24"/>
        </w:rPr>
        <w:t>深圳市自行采购系统投标文件制作专用软件（以下简称：投标文件制作软件）制作并加密的投标文件，适用于网上投标；（投标文件制作软件可从“下载地址：</w:t>
      </w:r>
      <w:r>
        <w:rPr>
          <w:rFonts w:ascii="Times New Roman" w:hAnsi="Times New Roman" w:eastAsia="宋体" w:cs="Times New Roman"/>
          <w:b/>
          <w:bCs/>
          <w:szCs w:val="24"/>
        </w:rPr>
        <w:t>https://www.szggzy.com/jyfw/details.html?contentId=2053275</w:t>
      </w:r>
      <w:r>
        <w:rPr>
          <w:rFonts w:hint="eastAsia" w:ascii="Times New Roman" w:hAnsi="Times New Roman" w:eastAsia="宋体" w:cs="Times New Roman"/>
          <w:b/>
          <w:bCs/>
          <w:szCs w:val="24"/>
        </w:rPr>
        <w:t>深圳市自行采购系统投标文件编制工具”下载）</w:t>
      </w:r>
      <w:r>
        <w:rPr>
          <w:rFonts w:ascii="Times New Roman" w:hAnsi="Times New Roman" w:eastAsia="宋体" w:cs="Times New Roman"/>
          <w:b/>
          <w:bCs/>
          <w:szCs w:val="21"/>
        </w:rPr>
        <w:t>；</w:t>
      </w:r>
    </w:p>
    <w:p w14:paraId="43245AC6">
      <w:pPr>
        <w:ind w:firstLine="411" w:firstLineChars="196"/>
        <w:rPr>
          <w:rFonts w:ascii="宋体" w:hAnsi="宋体"/>
          <w:szCs w:val="21"/>
        </w:rPr>
      </w:pPr>
      <w:r>
        <w:rPr>
          <w:rFonts w:hint="eastAsia" w:ascii="宋体" w:hAnsi="宋体"/>
          <w:szCs w:val="21"/>
        </w:rPr>
        <w:t>3.8“网上投标”指通过</w:t>
      </w:r>
      <w:r>
        <w:rPr>
          <w:rFonts w:hint="eastAsia" w:ascii="宋体" w:hAnsi="宋体"/>
          <w:b/>
          <w:bCs/>
          <w:color w:val="FF0000"/>
          <w:szCs w:val="21"/>
        </w:rPr>
        <w:t>深圳公共资源交易中心（深圳交易集团有限公司</w:t>
      </w:r>
      <w:r>
        <w:rPr>
          <w:rFonts w:hint="eastAsia" w:ascii="宋体" w:hAnsi="宋体"/>
          <w:b/>
          <w:bCs/>
          <w:color w:val="FF0000"/>
          <w:szCs w:val="21"/>
          <w:lang w:val="en-US" w:eastAsia="zh-CN"/>
        </w:rPr>
        <w:t>福田</w:t>
      </w:r>
      <w:r>
        <w:rPr>
          <w:rFonts w:hint="eastAsia" w:ascii="宋体" w:hAnsi="宋体"/>
          <w:b/>
          <w:bCs/>
          <w:color w:val="FF0000"/>
          <w:szCs w:val="21"/>
        </w:rPr>
        <w:t>分公司）</w:t>
      </w:r>
      <w:r>
        <w:rPr>
          <w:rFonts w:hint="eastAsia" w:ascii="宋体" w:hAnsi="宋体"/>
          <w:szCs w:val="21"/>
        </w:rPr>
        <w:t>网站上传电子投标文件；</w:t>
      </w:r>
    </w:p>
    <w:p w14:paraId="13EA4300">
      <w:pPr>
        <w:ind w:firstLine="411" w:firstLineChars="196"/>
        <w:rPr>
          <w:rFonts w:ascii="宋体" w:hAnsi="宋体"/>
          <w:szCs w:val="21"/>
        </w:rPr>
      </w:pPr>
      <w:r>
        <w:rPr>
          <w:rFonts w:hint="eastAsia" w:ascii="宋体" w:hAnsi="宋体"/>
          <w:szCs w:val="21"/>
        </w:rPr>
        <w:t>3.9招标文件中的标题或题名仅起引导作用，而不应视为对招标文件内容的理解和解释。</w:t>
      </w:r>
    </w:p>
    <w:p w14:paraId="0823F3F5">
      <w:pPr>
        <w:rPr>
          <w:rFonts w:ascii="黑体" w:hAnsi="宋体" w:eastAsia="黑体"/>
          <w:sz w:val="24"/>
        </w:rPr>
      </w:pPr>
      <w:r>
        <w:rPr>
          <w:rFonts w:hint="eastAsia" w:ascii="黑体" w:hAnsi="宋体" w:eastAsia="黑体"/>
          <w:sz w:val="24"/>
        </w:rPr>
        <w:t xml:space="preserve">4. </w:t>
      </w:r>
      <w:bookmarkStart w:id="53" w:name="_Hlk72398643"/>
      <w:r>
        <w:rPr>
          <w:rFonts w:hint="eastAsia" w:ascii="黑体" w:hAnsi="宋体" w:eastAsia="黑体"/>
          <w:sz w:val="24"/>
        </w:rPr>
        <w:t>政府采购供应商责任</w:t>
      </w:r>
    </w:p>
    <w:p w14:paraId="68734AD8">
      <w:pPr>
        <w:ind w:firstLine="411" w:firstLineChars="196"/>
        <w:rPr>
          <w:rFonts w:ascii="宋体" w:hAnsi="宋体"/>
          <w:szCs w:val="21"/>
        </w:rPr>
      </w:pPr>
      <w:r>
        <w:rPr>
          <w:rFonts w:hint="eastAsia" w:ascii="宋体" w:hAnsi="宋体"/>
          <w:szCs w:val="21"/>
        </w:rPr>
        <w:t>4.1欢迎诚信、有实力和有社会责任心的供应商参与政府采购事业。</w:t>
      </w:r>
    </w:p>
    <w:p w14:paraId="68BF1302">
      <w:pPr>
        <w:ind w:firstLine="411" w:firstLineChars="196"/>
        <w:rPr>
          <w:rFonts w:ascii="宋体" w:hAnsi="宋体"/>
          <w:szCs w:val="21"/>
        </w:rPr>
      </w:pPr>
      <w:r>
        <w:rPr>
          <w:rFonts w:hint="eastAsia" w:ascii="宋体" w:hAnsi="宋体"/>
          <w:szCs w:val="21"/>
        </w:rPr>
        <w:t>4.2投标人应当遵循公平竞争的原则，不得恶意串通，不得妨碍其他投标人的竞争行为，不得损害采购人或者其他投标人的合法权益。如违反上述要求，经核实后，供应商的投标无效。</w:t>
      </w:r>
    </w:p>
    <w:p w14:paraId="6F1437E7">
      <w:pPr>
        <w:rPr>
          <w:rFonts w:ascii="黑体" w:hAnsi="宋体" w:eastAsia="黑体"/>
          <w:sz w:val="24"/>
        </w:rPr>
      </w:pPr>
      <w:r>
        <w:rPr>
          <w:rFonts w:hint="eastAsia" w:ascii="黑体" w:hAnsi="宋体" w:eastAsia="黑体"/>
          <w:sz w:val="24"/>
        </w:rPr>
        <w:t>5．投标人参加政府采购的条件</w:t>
      </w:r>
    </w:p>
    <w:p w14:paraId="3A455F65">
      <w:pPr>
        <w:ind w:firstLine="411" w:firstLineChars="196"/>
        <w:rPr>
          <w:rFonts w:ascii="宋体" w:hAnsi="宋体"/>
          <w:szCs w:val="21"/>
        </w:rPr>
      </w:pPr>
      <w:r>
        <w:rPr>
          <w:rFonts w:hint="eastAsia" w:ascii="宋体" w:hAnsi="宋体"/>
          <w:szCs w:val="21"/>
        </w:rPr>
        <w:t>5.1投标人应在投标前到</w:t>
      </w:r>
      <w:r>
        <w:rPr>
          <w:rFonts w:hint="eastAsia" w:ascii="宋体" w:hAnsi="宋体"/>
          <w:b/>
          <w:bCs/>
          <w:szCs w:val="21"/>
        </w:rPr>
        <w:t>深圳公共资源交易中心（具体在深圳交易集团有限公司政府采购业务分公司进行办理）</w:t>
      </w:r>
      <w:r>
        <w:rPr>
          <w:rFonts w:hint="eastAsia" w:ascii="宋体" w:hAnsi="宋体"/>
          <w:szCs w:val="21"/>
        </w:rPr>
        <w:t>进行注册并办理电子密钥。《供应商注册及信息变更指引》详见www.szggzy.com网站“交易服务指南-政府采购”</w:t>
      </w:r>
      <w:r>
        <w:rPr>
          <w:rFonts w:hint="eastAsia" w:ascii="宋体" w:hAnsi="宋体"/>
          <w:szCs w:val="21"/>
          <w:lang w:val="en-US" w:eastAsia="zh-CN"/>
        </w:rPr>
        <w:t>。</w:t>
      </w:r>
      <w:r>
        <w:rPr>
          <w:rFonts w:hint="eastAsia" w:ascii="宋体" w:hAnsi="宋体"/>
          <w:szCs w:val="21"/>
        </w:rPr>
        <w:t>。</w:t>
      </w:r>
    </w:p>
    <w:p w14:paraId="64790132">
      <w:pPr>
        <w:ind w:firstLine="411" w:firstLineChars="196"/>
        <w:rPr>
          <w:rFonts w:ascii="宋体" w:hAnsi="宋体"/>
          <w:szCs w:val="21"/>
        </w:rPr>
      </w:pPr>
      <w:r>
        <w:rPr>
          <w:rFonts w:hint="eastAsia" w:ascii="宋体" w:hAnsi="宋体"/>
          <w:szCs w:val="21"/>
        </w:rPr>
        <w:t>5.2投标人资格要求</w:t>
      </w:r>
    </w:p>
    <w:p w14:paraId="0FB94F6A">
      <w:pPr>
        <w:ind w:firstLine="411" w:firstLineChars="196"/>
        <w:rPr>
          <w:rFonts w:ascii="宋体" w:hAnsi="宋体"/>
          <w:szCs w:val="21"/>
        </w:rPr>
      </w:pPr>
      <w:r>
        <w:rPr>
          <w:rFonts w:hint="eastAsia" w:ascii="宋体" w:hAnsi="宋体"/>
          <w:szCs w:val="21"/>
        </w:rPr>
        <w:t>参加本项目的投标人应具备的资格条件详见本项目招标公告中 “投标人资格要求”（即申请人的资格要求）的内容。</w:t>
      </w:r>
    </w:p>
    <w:p w14:paraId="3C4E93C2">
      <w:pPr>
        <w:ind w:firstLine="411" w:firstLineChars="196"/>
        <w:rPr>
          <w:rFonts w:ascii="宋体" w:hAnsi="宋体"/>
          <w:szCs w:val="21"/>
        </w:rPr>
      </w:pPr>
      <w:r>
        <w:rPr>
          <w:rFonts w:hint="eastAsia" w:ascii="宋体" w:hAnsi="宋体"/>
          <w:szCs w:val="21"/>
        </w:rPr>
        <w:t>5.3联合体投标</w:t>
      </w:r>
    </w:p>
    <w:p w14:paraId="3779ED59">
      <w:pPr>
        <w:ind w:firstLine="411" w:firstLineChars="196"/>
        <w:rPr>
          <w:rFonts w:ascii="宋体" w:hAnsi="宋体"/>
          <w:szCs w:val="21"/>
        </w:rPr>
      </w:pPr>
      <w:r>
        <w:rPr>
          <w:rFonts w:hint="eastAsia" w:ascii="宋体" w:hAnsi="宋体"/>
          <w:szCs w:val="21"/>
        </w:rPr>
        <w:t>5.3.1　以下有关联合体投标的条款仅适用于允许投标人组成联合体投标的项目。</w:t>
      </w:r>
    </w:p>
    <w:p w14:paraId="77D08203">
      <w:pPr>
        <w:ind w:firstLine="411" w:firstLineChars="196"/>
        <w:rPr>
          <w:rFonts w:ascii="宋体" w:hAnsi="宋体"/>
          <w:szCs w:val="21"/>
        </w:rPr>
      </w:pPr>
      <w:r>
        <w:rPr>
          <w:rFonts w:hint="eastAsia" w:ascii="宋体" w:hAnsi="宋体"/>
          <w:szCs w:val="21"/>
        </w:rPr>
        <w:t>5.3.2  由两个或两个以上的自然人、法人或者其他组织可以组成一个联合体，以一个供应商的身份共同投标时，应符合以下原则：</w:t>
      </w:r>
    </w:p>
    <w:p w14:paraId="010CF866">
      <w:pPr>
        <w:ind w:firstLine="411" w:firstLineChars="196"/>
        <w:rPr>
          <w:rFonts w:ascii="宋体" w:hAnsi="宋体"/>
        </w:rPr>
      </w:pPr>
      <w:r>
        <w:rPr>
          <w:rFonts w:hint="eastAsia" w:ascii="宋体" w:hAnsi="宋体"/>
        </w:rPr>
        <w:t>（1）投标联合体各方参加政府采购活动应当具备下列条件：</w:t>
      </w:r>
      <w:r>
        <w:rPr>
          <w:rFonts w:ascii="宋体" w:hAnsi="宋体"/>
        </w:rPr>
        <w:t xml:space="preserve"> </w:t>
      </w:r>
    </w:p>
    <w:p w14:paraId="179D60F2">
      <w:pPr>
        <w:ind w:left="420" w:leftChars="200" w:firstLine="411" w:firstLineChars="196"/>
        <w:rPr>
          <w:rFonts w:ascii="宋体" w:hAnsi="宋体"/>
        </w:rPr>
      </w:pPr>
      <w:r>
        <w:rPr>
          <w:rFonts w:hint="eastAsia" w:ascii="宋体" w:hAnsi="宋体"/>
        </w:rPr>
        <w:t>1、具有独立承担民事责任的能力；</w:t>
      </w:r>
      <w:r>
        <w:rPr>
          <w:rFonts w:ascii="宋体" w:hAnsi="宋体"/>
        </w:rPr>
        <w:t xml:space="preserve"> </w:t>
      </w:r>
    </w:p>
    <w:p w14:paraId="685664BB">
      <w:pPr>
        <w:ind w:left="420" w:firstLine="411" w:firstLineChars="196"/>
        <w:rPr>
          <w:rFonts w:ascii="宋体" w:hAnsi="宋体"/>
        </w:rPr>
      </w:pPr>
      <w:r>
        <w:rPr>
          <w:rFonts w:hint="eastAsia" w:ascii="宋体" w:hAnsi="宋体"/>
        </w:rPr>
        <w:t>2、有良好的商业信誉和健全的财务会计制度；</w:t>
      </w:r>
      <w:r>
        <w:rPr>
          <w:rFonts w:ascii="宋体" w:hAnsi="宋体"/>
        </w:rPr>
        <w:t xml:space="preserve"> </w:t>
      </w:r>
    </w:p>
    <w:p w14:paraId="2544903D">
      <w:pPr>
        <w:ind w:left="420" w:leftChars="200" w:firstLine="411" w:firstLineChars="196"/>
        <w:rPr>
          <w:rFonts w:ascii="宋体" w:hAnsi="宋体"/>
        </w:rPr>
      </w:pPr>
      <w:r>
        <w:rPr>
          <w:rFonts w:hint="eastAsia" w:ascii="宋体" w:hAnsi="宋体"/>
        </w:rPr>
        <w:t>3、具有履行合同所必需的设备和专业技术能力；</w:t>
      </w:r>
      <w:r>
        <w:rPr>
          <w:rFonts w:ascii="宋体" w:hAnsi="宋体"/>
        </w:rPr>
        <w:t xml:space="preserve"> </w:t>
      </w:r>
    </w:p>
    <w:p w14:paraId="43711E23">
      <w:pPr>
        <w:ind w:left="420" w:leftChars="200" w:firstLine="411" w:firstLineChars="196"/>
        <w:rPr>
          <w:rFonts w:ascii="宋体" w:hAnsi="宋体"/>
        </w:rPr>
      </w:pPr>
      <w:r>
        <w:rPr>
          <w:rFonts w:hint="eastAsia" w:ascii="宋体" w:hAnsi="宋体"/>
        </w:rPr>
        <w:t>4、有依法缴纳税收和社会保障资金的良好记录；</w:t>
      </w:r>
      <w:r>
        <w:rPr>
          <w:rFonts w:ascii="宋体" w:hAnsi="宋体"/>
        </w:rPr>
        <w:t xml:space="preserve"> </w:t>
      </w:r>
    </w:p>
    <w:p w14:paraId="1B089099">
      <w:pPr>
        <w:ind w:left="420" w:leftChars="200" w:firstLine="411" w:firstLineChars="196"/>
        <w:rPr>
          <w:rFonts w:ascii="宋体" w:hAnsi="宋体"/>
        </w:rPr>
      </w:pPr>
      <w:r>
        <w:rPr>
          <w:rFonts w:hint="eastAsia" w:ascii="宋体" w:hAnsi="宋体"/>
        </w:rPr>
        <w:t>5、参加政府采购活动前三年内，在经营活动中没有重大违法记录；</w:t>
      </w:r>
      <w:r>
        <w:rPr>
          <w:rFonts w:ascii="宋体" w:hAnsi="宋体"/>
        </w:rPr>
        <w:t xml:space="preserve"> </w:t>
      </w:r>
    </w:p>
    <w:p w14:paraId="3C3B5954">
      <w:pPr>
        <w:ind w:left="420" w:leftChars="200" w:firstLine="411" w:firstLineChars="196"/>
        <w:rPr>
          <w:rFonts w:ascii="宋体" w:hAnsi="宋体"/>
        </w:rPr>
      </w:pPr>
      <w:r>
        <w:rPr>
          <w:rFonts w:hint="eastAsia" w:ascii="宋体" w:hAnsi="宋体"/>
        </w:rPr>
        <w:t>6、法律、行政法规规定的其他条件。</w:t>
      </w:r>
      <w:r>
        <w:rPr>
          <w:rFonts w:ascii="宋体" w:hAnsi="宋体"/>
        </w:rPr>
        <w:t xml:space="preserve"> </w:t>
      </w:r>
    </w:p>
    <w:p w14:paraId="13E6ADE7">
      <w:pPr>
        <w:ind w:firstLine="411" w:firstLineChars="196"/>
        <w:rPr>
          <w:rFonts w:ascii="宋体" w:hAnsi="宋体"/>
        </w:rPr>
      </w:pPr>
      <w:r>
        <w:rPr>
          <w:rFonts w:hint="eastAsia" w:ascii="宋体" w:hAnsi="宋体"/>
        </w:rPr>
        <w:t>（2）在投标截止前，投标联合体各方均应注册成政府集中采购机构供应商；</w:t>
      </w:r>
    </w:p>
    <w:p w14:paraId="66A42C0B">
      <w:pPr>
        <w:ind w:firstLine="411" w:firstLineChars="196"/>
        <w:rPr>
          <w:rFonts w:ascii="宋体" w:hAnsi="宋体"/>
        </w:rPr>
      </w:pPr>
      <w:r>
        <w:rPr>
          <w:rFonts w:hint="eastAsia" w:ascii="宋体" w:hAnsi="宋体"/>
        </w:rPr>
        <w:t>（3）联合体中有同类资质的供应商按照联合体分工承担相同工作的，应当按照资质等级较低的供应商确定资质等级；</w:t>
      </w:r>
    </w:p>
    <w:p w14:paraId="599B5226">
      <w:pPr>
        <w:ind w:firstLine="411" w:firstLineChars="196"/>
      </w:pPr>
      <w:r>
        <w:rPr>
          <w:rFonts w:hint="eastAsia"/>
        </w:rPr>
        <w:t>（4）是否允许联合体参加投标，应当由采购人和采购代理机构根据项目的实际情况和潜在供应商的数量自主决定，如果决定接受联合体投标则应当在招标公告中明示；</w:t>
      </w:r>
    </w:p>
    <w:p w14:paraId="1B40138C">
      <w:pPr>
        <w:ind w:firstLine="411" w:firstLineChars="196"/>
        <w:rPr>
          <w:rFonts w:ascii="宋体" w:hAnsi="宋体"/>
        </w:rPr>
      </w:pPr>
      <w:r>
        <w:rPr>
          <w:rFonts w:hint="eastAsia" w:ascii="宋体" w:hAnsi="宋体"/>
        </w:rPr>
        <w:t>（5）投标人的投标文件及中标后签署的合同协议对联合体各方均具法律约束力；</w:t>
      </w:r>
    </w:p>
    <w:p w14:paraId="18F89645">
      <w:pPr>
        <w:ind w:firstLine="411" w:firstLineChars="196"/>
        <w:rPr>
          <w:rFonts w:ascii="宋体" w:hAnsi="宋体"/>
        </w:rPr>
      </w:pPr>
      <w:r>
        <w:rPr>
          <w:rFonts w:hint="eastAsia" w:ascii="宋体" w:hAnsi="宋体"/>
        </w:rPr>
        <w:t>（6）联合体各方应当签订联合体投标协议，明确约定各方拟承担的工作和责任，并将该协议随投标文件一并递交给政府集中采购机构；</w:t>
      </w:r>
    </w:p>
    <w:p w14:paraId="69D7A518">
      <w:pPr>
        <w:ind w:firstLine="411" w:firstLineChars="196"/>
        <w:rPr>
          <w:rFonts w:ascii="宋体" w:hAnsi="宋体"/>
        </w:rPr>
      </w:pPr>
      <w:r>
        <w:rPr>
          <w:rFonts w:hint="eastAsia" w:ascii="宋体" w:hAnsi="宋体"/>
        </w:rPr>
        <w:t>（7）联合体中标后，联合体各方应当共同与采购人签订合同，就中标项目向采购人承担连带责任；</w:t>
      </w:r>
    </w:p>
    <w:p w14:paraId="00AAE991">
      <w:pPr>
        <w:ind w:firstLine="411" w:firstLineChars="196"/>
        <w:rPr>
          <w:rFonts w:ascii="宋体" w:hAnsi="宋体"/>
        </w:rPr>
      </w:pPr>
      <w:r>
        <w:rPr>
          <w:rFonts w:hint="eastAsia" w:ascii="宋体" w:hAnsi="宋体"/>
        </w:rPr>
        <w:t>（8）以联合体形式参加政府采购活动的，联合体各方不得再单独参加或者与其他供应商另外组成联合体参加同一合同项下的政府采购活动，出现上述情况者，其投标和与此有关联合体、总包单位的投标将被拒绝；</w:t>
      </w:r>
    </w:p>
    <w:p w14:paraId="5DA63A9E">
      <w:pPr>
        <w:ind w:firstLine="411" w:firstLineChars="196"/>
        <w:rPr>
          <w:rFonts w:ascii="宋体" w:hAnsi="宋体"/>
          <w:szCs w:val="21"/>
        </w:rPr>
      </w:pPr>
      <w:r>
        <w:rPr>
          <w:rFonts w:hint="eastAsia" w:ascii="宋体" w:hAnsi="宋体"/>
        </w:rPr>
        <w:t>（9）本通用条款中“投标人”一词亦指联合体各方，专用条款另有规定或说明的除外。</w:t>
      </w:r>
    </w:p>
    <w:p w14:paraId="7C497A7A">
      <w:pPr>
        <w:rPr>
          <w:rFonts w:ascii="黑体" w:hAnsi="宋体" w:eastAsia="黑体"/>
          <w:sz w:val="24"/>
        </w:rPr>
      </w:pPr>
      <w:r>
        <w:rPr>
          <w:rFonts w:hint="eastAsia" w:ascii="黑体" w:hAnsi="宋体" w:eastAsia="黑体"/>
          <w:sz w:val="24"/>
        </w:rPr>
        <w:t>6．政策导向</w:t>
      </w:r>
    </w:p>
    <w:p w14:paraId="16A74B5F">
      <w:pPr>
        <w:ind w:firstLine="411" w:firstLineChars="196"/>
        <w:rPr>
          <w:rFonts w:ascii="宋体" w:hAnsi="宋体"/>
        </w:rPr>
      </w:pPr>
      <w:r>
        <w:rPr>
          <w:rFonts w:hint="eastAsia" w:ascii="宋体" w:hAnsi="宋体"/>
        </w:rPr>
        <w:t>6.1</w:t>
      </w:r>
      <w:r>
        <w:rPr>
          <w:rFonts w:ascii="宋体" w:hAnsi="宋体"/>
        </w:rPr>
        <w:t xml:space="preserve">  </w:t>
      </w:r>
      <w:r>
        <w:rPr>
          <w:rFonts w:hint="eastAsia" w:ascii="宋体" w:hAnsi="宋体"/>
        </w:rPr>
        <w:t>政府采购扶持贫困地区、中小企业、监狱企业和残疾人福利性单位发展，支持节能减排、环境保护。</w:t>
      </w:r>
    </w:p>
    <w:p w14:paraId="0F847946">
      <w:pPr>
        <w:ind w:firstLine="405"/>
        <w:rPr>
          <w:rFonts w:hint="eastAsia" w:ascii="宋体" w:hAnsi="宋体"/>
        </w:rPr>
      </w:pPr>
      <w:r>
        <w:rPr>
          <w:rFonts w:hint="eastAsia" w:ascii="宋体" w:hAnsi="宋体"/>
        </w:rPr>
        <w:t>6.2</w:t>
      </w:r>
      <w:r>
        <w:rPr>
          <w:rFonts w:ascii="宋体" w:hAnsi="宋体"/>
        </w:rPr>
        <w:t xml:space="preserve">  </w:t>
      </w:r>
      <w:r>
        <w:rPr>
          <w:rFonts w:hint="eastAsia" w:ascii="宋体" w:hAnsi="宋体"/>
        </w:rPr>
        <w:t>本项目落实深圳市政府采购供应商诚信管理政策要求。</w:t>
      </w:r>
    </w:p>
    <w:p w14:paraId="73E5E434">
      <w:pPr>
        <w:ind w:firstLine="405"/>
        <w:rPr>
          <w:rFonts w:hint="default" w:eastAsia="宋体"/>
          <w:lang w:val="en-US" w:eastAsia="zh-CN"/>
        </w:rPr>
      </w:pPr>
      <w:r>
        <w:rPr>
          <w:rFonts w:hint="eastAsia" w:ascii="宋体" w:hAnsi="宋体"/>
          <w:lang w:val="en-US" w:eastAsia="zh-CN"/>
        </w:rPr>
        <w:t>6.3  本项目支持投标人性别平等的相关政策。</w:t>
      </w:r>
    </w:p>
    <w:p w14:paraId="1A48E4F6">
      <w:pPr>
        <w:rPr>
          <w:rFonts w:ascii="黑体" w:hAnsi="宋体" w:eastAsia="黑体"/>
          <w:sz w:val="24"/>
        </w:rPr>
      </w:pPr>
      <w:r>
        <w:rPr>
          <w:rFonts w:hint="eastAsia" w:ascii="黑体" w:hAnsi="宋体" w:eastAsia="黑体"/>
          <w:sz w:val="24"/>
        </w:rPr>
        <w:t>7. 本项目若涉及采购货物，则合格的货物及相应服务应满足以下要求：</w:t>
      </w:r>
    </w:p>
    <w:p w14:paraId="3618DF80">
      <w:pPr>
        <w:ind w:firstLine="411" w:firstLineChars="196"/>
        <w:rPr>
          <w:rFonts w:ascii="宋体" w:hAnsi="宋体"/>
        </w:rPr>
      </w:pPr>
      <w:r>
        <w:rPr>
          <w:rFonts w:hint="eastAsia" w:ascii="宋体" w:hAnsi="宋体"/>
        </w:rPr>
        <w:t>7</w:t>
      </w:r>
      <w:r>
        <w:rPr>
          <w:rFonts w:ascii="宋体" w:hAnsi="宋体"/>
        </w:rPr>
        <w:t xml:space="preserve">.1  </w:t>
      </w:r>
      <w:r>
        <w:rPr>
          <w:rFonts w:hint="eastAsia" w:ascii="宋体" w:hAnsi="宋体"/>
        </w:rPr>
        <w:t>必须是全新、未使用过的原装合格正品（包括零部件），如安装或配置了软件的，须为正版软件。</w:t>
      </w:r>
    </w:p>
    <w:p w14:paraId="571D8D37">
      <w:pPr>
        <w:ind w:firstLine="411" w:firstLineChars="196"/>
        <w:rPr>
          <w:rFonts w:ascii="宋体" w:hAnsi="宋体"/>
        </w:rPr>
      </w:pPr>
      <w:r>
        <w:rPr>
          <w:rFonts w:hint="eastAsia" w:ascii="宋体" w:hAnsi="宋体"/>
        </w:rPr>
        <w:t>7.2  国产的货物及其有关服务必须符合中华人民共和国的设计、制造生产标准及行业标准。招标公告有其他要求的，亦应符合其要求。</w:t>
      </w:r>
    </w:p>
    <w:p w14:paraId="2EDC8422">
      <w:pPr>
        <w:ind w:firstLine="411" w:firstLineChars="196"/>
        <w:rPr>
          <w:rFonts w:ascii="宋体" w:hAnsi="宋体"/>
        </w:rPr>
      </w:pPr>
      <w:r>
        <w:rPr>
          <w:rFonts w:hint="eastAsia" w:ascii="宋体" w:hAnsi="宋体"/>
        </w:rPr>
        <w:t>7</w:t>
      </w:r>
      <w:r>
        <w:rPr>
          <w:rFonts w:ascii="宋体" w:hAnsi="宋体"/>
        </w:rPr>
        <w:t>.</w:t>
      </w:r>
      <w:r>
        <w:rPr>
          <w:rFonts w:hint="eastAsia" w:ascii="宋体" w:hAnsi="宋体"/>
        </w:rPr>
        <w:t>3</w:t>
      </w:r>
      <w:r>
        <w:rPr>
          <w:rFonts w:ascii="宋体" w:hAnsi="宋体"/>
        </w:rPr>
        <w:t xml:space="preserve">  </w:t>
      </w:r>
      <w:r>
        <w:rPr>
          <w:rFonts w:hint="eastAsia" w:ascii="宋体" w:hAnsi="宋体"/>
        </w:rPr>
        <w:t>进口货物及其有关服务必须符合原产地和中华人民共和国的设计、制造生产标准及行业标准。进口的货物必须具有合法的进口手续和途径，并通过中华人民共和国商检部门检验。招标公告有其他要求的，亦应符合其要求。</w:t>
      </w:r>
    </w:p>
    <w:p w14:paraId="617DC581">
      <w:pPr>
        <w:ind w:firstLine="411" w:firstLineChars="196"/>
        <w:rPr>
          <w:rFonts w:ascii="宋体" w:hAnsi="宋体"/>
        </w:rPr>
      </w:pPr>
      <w:r>
        <w:rPr>
          <w:rFonts w:hint="eastAsia" w:ascii="宋体" w:hAnsi="宋体"/>
        </w:rPr>
        <w:t>7</w:t>
      </w:r>
      <w:r>
        <w:rPr>
          <w:rFonts w:ascii="宋体" w:hAnsi="宋体"/>
        </w:rPr>
        <w:t>.</w:t>
      </w:r>
      <w:r>
        <w:rPr>
          <w:rFonts w:hint="eastAsia" w:ascii="宋体" w:hAnsi="宋体"/>
        </w:rPr>
        <w:t>4</w:t>
      </w:r>
      <w:r>
        <w:rPr>
          <w:rFonts w:ascii="宋体" w:hAnsi="宋体"/>
        </w:rPr>
        <w:t xml:space="preserve">  </w:t>
      </w:r>
      <w:r>
        <w:rPr>
          <w:rFonts w:hint="eastAsia" w:ascii="宋体" w:hAnsi="宋体"/>
        </w:rPr>
        <w:t>投标人</w:t>
      </w:r>
      <w:bookmarkStart w:id="54" w:name="_Hlk72152753"/>
      <w:r>
        <w:rPr>
          <w:rFonts w:hint="eastAsia" w:ascii="宋体" w:hAnsi="宋体"/>
        </w:rPr>
        <w:t>应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投标人应承担全部责任。</w:t>
      </w:r>
      <w:bookmarkEnd w:id="54"/>
    </w:p>
    <w:p w14:paraId="3BA808B0">
      <w:pPr>
        <w:ind w:firstLine="411" w:firstLineChars="196"/>
        <w:rPr>
          <w:rFonts w:ascii="宋体" w:hAnsi="宋体"/>
        </w:rPr>
      </w:pPr>
      <w:r>
        <w:rPr>
          <w:rFonts w:hint="eastAsia" w:ascii="宋体" w:hAnsi="宋体"/>
        </w:rPr>
        <w:t>7.5  投标人应保证，其所提供的货物符合国家强制性标准要求；符合相关行业标准（如具备行政主管部门颁发的资质证书或国家质量监督部门的产品《检验报告》等）。设备到货验收时，还必须提供设备的产品合格证、质量保证文件。若中标后，除非另有约定，投标人必须按合同规定完成设备的安装，并达到验收标准。</w:t>
      </w:r>
    </w:p>
    <w:p w14:paraId="36135A20">
      <w:pPr>
        <w:ind w:firstLine="411" w:firstLineChars="196"/>
        <w:rPr>
          <w:rFonts w:ascii="宋体" w:hAnsi="宋体"/>
        </w:rPr>
      </w:pPr>
      <w:r>
        <w:rPr>
          <w:rFonts w:hint="eastAsia" w:ascii="宋体" w:hAnsi="宋体"/>
        </w:rPr>
        <w:t>7.6  工期要求：投标人在投标时对其所投项目应提交交货进度、交货计划等，在合同规定的时间内完成项目实施工作。</w:t>
      </w:r>
    </w:p>
    <w:p w14:paraId="77BB3E47">
      <w:pPr>
        <w:ind w:firstLine="411" w:firstLineChars="196"/>
        <w:rPr>
          <w:rFonts w:ascii="宋体" w:hAnsi="宋体"/>
        </w:rPr>
      </w:pPr>
      <w:r>
        <w:rPr>
          <w:rFonts w:hint="eastAsia" w:ascii="宋体" w:hAnsi="宋体"/>
        </w:rPr>
        <w:t>7.7  投标人必须承担的设备运输、安装调试、验收检测和提供设备操作说明书、图纸等其他相关及类似的义务。</w:t>
      </w:r>
    </w:p>
    <w:p w14:paraId="0DB2B56D">
      <w:pPr>
        <w:rPr>
          <w:rFonts w:ascii="黑体" w:hAnsi="宋体" w:eastAsia="黑体"/>
          <w:sz w:val="24"/>
        </w:rPr>
      </w:pPr>
      <w:r>
        <w:rPr>
          <w:rFonts w:hint="eastAsia" w:ascii="黑体" w:hAnsi="宋体" w:eastAsia="黑体"/>
          <w:sz w:val="24"/>
        </w:rPr>
        <w:t>8．投标费用</w:t>
      </w:r>
    </w:p>
    <w:p w14:paraId="370C7843">
      <w:pPr>
        <w:ind w:firstLine="411" w:firstLineChars="196"/>
        <w:rPr>
          <w:rFonts w:ascii="宋体" w:hAnsi="宋体"/>
          <w:szCs w:val="21"/>
        </w:rPr>
      </w:pPr>
      <w:r>
        <w:rPr>
          <w:rFonts w:hint="eastAsia" w:ascii="宋体" w:hAnsi="宋体"/>
          <w:szCs w:val="21"/>
        </w:rPr>
        <w:t>不论投标结果如何，投标人应承担其编制投标文件与递交投标文件所涉及的一切费用。</w:t>
      </w:r>
    </w:p>
    <w:p w14:paraId="503A3E08">
      <w:pPr>
        <w:rPr>
          <w:rFonts w:ascii="黑体" w:hAnsi="宋体" w:eastAsia="黑体"/>
          <w:sz w:val="24"/>
        </w:rPr>
      </w:pPr>
      <w:r>
        <w:rPr>
          <w:rFonts w:hint="eastAsia" w:ascii="黑体" w:hAnsi="宋体" w:eastAsia="黑体"/>
          <w:sz w:val="24"/>
        </w:rPr>
        <w:t>9．踏勘现场</w:t>
      </w:r>
    </w:p>
    <w:p w14:paraId="3AD16694">
      <w:pPr>
        <w:ind w:firstLine="411" w:firstLineChars="196"/>
        <w:rPr>
          <w:rFonts w:ascii="宋体" w:hAnsi="宋体"/>
          <w:szCs w:val="21"/>
        </w:rPr>
      </w:pPr>
      <w:r>
        <w:rPr>
          <w:rFonts w:hint="eastAsia" w:ascii="宋体" w:hAnsi="宋体"/>
          <w:szCs w:val="21"/>
        </w:rPr>
        <w:t>9.1如有需要（详见专用条款），采购人或政府集中采购机构将组织投标人对项目现场及周围环境进行踏勘，以便投标人获取有关编制投标文件和签署合同所需的资料。踏勘现场所发生的费用由投标人自行承担。投标人应按招标文件所约定的时间、地点踏勘现场。</w:t>
      </w:r>
    </w:p>
    <w:p w14:paraId="183F08F1">
      <w:pPr>
        <w:ind w:firstLine="411" w:firstLineChars="196"/>
        <w:rPr>
          <w:rFonts w:ascii="宋体" w:hAnsi="宋体"/>
        </w:rPr>
      </w:pPr>
      <w:r>
        <w:rPr>
          <w:rFonts w:hint="eastAsia" w:ascii="宋体" w:hAnsi="宋体"/>
        </w:rPr>
        <w:t>9.2投标人及其人员经过采购人的允许，可以进入采购人的项目现场踏勘。若招标文件要求投标人于统一时间地点踏勘现场的，投标人应当按时前往。</w:t>
      </w:r>
    </w:p>
    <w:p w14:paraId="227B3B8B">
      <w:pPr>
        <w:ind w:firstLine="411" w:firstLineChars="196"/>
        <w:rPr>
          <w:rFonts w:ascii="宋体" w:hAnsi="宋体"/>
        </w:rPr>
      </w:pPr>
      <w:r>
        <w:rPr>
          <w:rFonts w:hint="eastAsia" w:ascii="宋体" w:hAnsi="宋体"/>
        </w:rPr>
        <w:t>9.3采购人应当通过政府集中采购机构向投标人提供有关现场的书面资料和数据。</w:t>
      </w:r>
    </w:p>
    <w:p w14:paraId="3C10A4B1">
      <w:pPr>
        <w:ind w:firstLine="411" w:firstLineChars="196"/>
        <w:rPr>
          <w:rFonts w:ascii="宋体" w:hAnsi="宋体"/>
        </w:rPr>
      </w:pPr>
      <w:r>
        <w:rPr>
          <w:rFonts w:hint="eastAsia" w:ascii="宋体" w:hAnsi="宋体"/>
        </w:rPr>
        <w:t>9.4任何人或任何组织在踏勘现场时向投标人提供的任何书面资料或口头承诺，未经政府集中采购机构在网上发布或书面通知，均作无效处理。</w:t>
      </w:r>
    </w:p>
    <w:p w14:paraId="32A54F7E">
      <w:pPr>
        <w:ind w:firstLine="411" w:firstLineChars="196"/>
        <w:rPr>
          <w:rFonts w:ascii="宋体" w:hAnsi="宋体"/>
        </w:rPr>
      </w:pPr>
      <w:r>
        <w:rPr>
          <w:rFonts w:ascii="宋体" w:hAnsi="宋体"/>
          <w:szCs w:val="21"/>
        </w:rPr>
        <w:t>9</w:t>
      </w:r>
      <w:r>
        <w:rPr>
          <w:rFonts w:hint="eastAsia" w:ascii="宋体" w:hAnsi="宋体"/>
          <w:szCs w:val="21"/>
        </w:rPr>
        <w:t>.</w:t>
      </w:r>
      <w:r>
        <w:rPr>
          <w:rFonts w:ascii="宋体" w:hAnsi="宋体"/>
          <w:szCs w:val="21"/>
        </w:rPr>
        <w:t>5</w:t>
      </w:r>
      <w:r>
        <w:rPr>
          <w:rFonts w:hint="eastAsia" w:ascii="宋体" w:hAnsi="宋体"/>
          <w:szCs w:val="21"/>
        </w:rPr>
        <w:t>未参与踏勘现场不作为否定投标人资格的理由。</w:t>
      </w:r>
    </w:p>
    <w:p w14:paraId="295DBE42">
      <w:pPr>
        <w:rPr>
          <w:rFonts w:ascii="宋体" w:hAnsi="宋体"/>
          <w:szCs w:val="21"/>
        </w:rPr>
      </w:pPr>
      <w:r>
        <w:rPr>
          <w:rFonts w:hint="eastAsia" w:ascii="黑体" w:hAnsi="宋体" w:eastAsia="黑体"/>
          <w:sz w:val="24"/>
        </w:rPr>
        <w:t>1</w:t>
      </w:r>
      <w:r>
        <w:rPr>
          <w:rFonts w:ascii="黑体" w:hAnsi="宋体" w:eastAsia="黑体"/>
          <w:sz w:val="24"/>
        </w:rPr>
        <w:t>0</w:t>
      </w:r>
      <w:r>
        <w:rPr>
          <w:rFonts w:hint="eastAsia" w:ascii="黑体" w:hAnsi="宋体" w:eastAsia="黑体"/>
          <w:sz w:val="24"/>
        </w:rPr>
        <w:t>．标前会议</w:t>
      </w:r>
    </w:p>
    <w:p w14:paraId="309BE2C4">
      <w:pPr>
        <w:ind w:firstLine="411" w:firstLineChars="196"/>
        <w:rPr>
          <w:rFonts w:ascii="宋体" w:hAnsi="宋体"/>
          <w:szCs w:val="21"/>
        </w:rPr>
      </w:pPr>
      <w:r>
        <w:rPr>
          <w:rFonts w:hint="eastAsia" w:ascii="宋体" w:hAnsi="宋体"/>
          <w:szCs w:val="21"/>
        </w:rPr>
        <w:t>1</w:t>
      </w:r>
      <w:r>
        <w:rPr>
          <w:rFonts w:ascii="宋体" w:hAnsi="宋体"/>
          <w:szCs w:val="21"/>
        </w:rPr>
        <w:t>0</w:t>
      </w:r>
      <w:r>
        <w:rPr>
          <w:rFonts w:hint="eastAsia" w:ascii="宋体" w:hAnsi="宋体"/>
          <w:szCs w:val="21"/>
        </w:rPr>
        <w:t>.</w:t>
      </w:r>
      <w:r>
        <w:rPr>
          <w:rFonts w:ascii="宋体" w:hAnsi="宋体"/>
          <w:szCs w:val="21"/>
        </w:rPr>
        <w:t>1</w:t>
      </w:r>
      <w:r>
        <w:rPr>
          <w:rFonts w:hint="eastAsia" w:ascii="宋体" w:hAnsi="宋体"/>
          <w:szCs w:val="21"/>
        </w:rPr>
        <w:t>如采购人或政府集中采购机构认为有必要组织标前会议，投标人应按照招标文件规定的时间或政府集中采购机构另行书面通知（包括政府集中采购机构网站发布方式，如更正公告等）的时间和地点，参与标前会议。</w:t>
      </w:r>
    </w:p>
    <w:p w14:paraId="204AD659">
      <w:pPr>
        <w:ind w:firstLine="411" w:firstLineChars="196"/>
        <w:rPr>
          <w:rFonts w:ascii="宋体" w:hAnsi="宋体"/>
          <w:szCs w:val="21"/>
        </w:rPr>
      </w:pPr>
      <w:r>
        <w:rPr>
          <w:rFonts w:ascii="宋体" w:hAnsi="宋体"/>
        </w:rPr>
        <w:t>10</w:t>
      </w:r>
      <w:r>
        <w:rPr>
          <w:rFonts w:hint="eastAsia" w:ascii="宋体" w:hAnsi="宋体"/>
        </w:rPr>
        <w:t>.</w:t>
      </w:r>
      <w:r>
        <w:rPr>
          <w:rFonts w:ascii="宋体" w:hAnsi="宋体"/>
        </w:rPr>
        <w:t>2</w:t>
      </w:r>
      <w:r>
        <w:rPr>
          <w:rFonts w:hint="eastAsia" w:ascii="宋体" w:hAnsi="宋体"/>
        </w:rPr>
        <w:t>任何人或任何组织在标前会议时向投标人提供的任何书面资料或口头承诺，未经政府集中采购机构在网上发布或书面通知，均作无效处理。</w:t>
      </w:r>
    </w:p>
    <w:p w14:paraId="6E65B4D4">
      <w:pPr>
        <w:ind w:firstLine="411" w:firstLineChars="196"/>
        <w:rPr>
          <w:rFonts w:ascii="宋体" w:hAnsi="宋体"/>
          <w:szCs w:val="21"/>
        </w:rPr>
      </w:pPr>
      <w:r>
        <w:rPr>
          <w:rFonts w:hint="eastAsia" w:ascii="宋体" w:hAnsi="宋体"/>
          <w:szCs w:val="21"/>
        </w:rPr>
        <w:t>1</w:t>
      </w:r>
      <w:r>
        <w:rPr>
          <w:rFonts w:ascii="宋体" w:hAnsi="宋体"/>
          <w:szCs w:val="21"/>
        </w:rPr>
        <w:t>0</w:t>
      </w:r>
      <w:r>
        <w:rPr>
          <w:rFonts w:hint="eastAsia" w:ascii="宋体" w:hAnsi="宋体"/>
          <w:szCs w:val="21"/>
        </w:rPr>
        <w:t>.</w:t>
      </w:r>
      <w:r>
        <w:rPr>
          <w:rFonts w:ascii="宋体" w:hAnsi="宋体"/>
          <w:szCs w:val="21"/>
        </w:rPr>
        <w:t>3</w:t>
      </w:r>
      <w:r>
        <w:rPr>
          <w:rFonts w:hint="eastAsia" w:ascii="宋体" w:hAnsi="宋体"/>
          <w:szCs w:val="21"/>
        </w:rPr>
        <w:t>未参与标前会议不作为否定投标人资格的理由。</w:t>
      </w:r>
    </w:p>
    <w:bookmarkEnd w:id="53"/>
    <w:p w14:paraId="4393BA98">
      <w:pPr>
        <w:ind w:firstLine="411" w:firstLineChars="196"/>
        <w:rPr>
          <w:rFonts w:ascii="宋体" w:hAnsi="宋体"/>
        </w:rPr>
      </w:pPr>
    </w:p>
    <w:p w14:paraId="17CED699">
      <w:pPr>
        <w:pStyle w:val="5"/>
        <w:numPr>
          <w:ilvl w:val="0"/>
          <w:numId w:val="13"/>
        </w:numPr>
        <w:spacing w:before="120" w:beforeLines="50" w:after="120" w:afterLines="50"/>
        <w:ind w:left="562" w:hanging="562"/>
        <w:rPr>
          <w:sz w:val="28"/>
          <w:szCs w:val="28"/>
        </w:rPr>
      </w:pPr>
      <w:r>
        <w:rPr>
          <w:rFonts w:hint="eastAsia"/>
          <w:sz w:val="28"/>
          <w:szCs w:val="28"/>
        </w:rPr>
        <w:t>招标文件</w:t>
      </w:r>
    </w:p>
    <w:p w14:paraId="1B8F07D9">
      <w:pPr>
        <w:rPr>
          <w:rFonts w:ascii="黑体" w:hAnsi="宋体" w:eastAsia="黑体"/>
          <w:sz w:val="24"/>
        </w:rPr>
      </w:pPr>
      <w:r>
        <w:rPr>
          <w:rFonts w:hint="eastAsia" w:ascii="黑体" w:hAnsi="宋体" w:eastAsia="黑体"/>
          <w:sz w:val="24"/>
        </w:rPr>
        <w:t>1</w:t>
      </w:r>
      <w:r>
        <w:rPr>
          <w:rFonts w:ascii="黑体" w:hAnsi="宋体" w:eastAsia="黑体"/>
          <w:sz w:val="24"/>
        </w:rPr>
        <w:t>1</w:t>
      </w:r>
      <w:r>
        <w:rPr>
          <w:rFonts w:hint="eastAsia" w:ascii="黑体" w:hAnsi="宋体" w:eastAsia="黑体"/>
          <w:sz w:val="24"/>
        </w:rPr>
        <w:t>．</w:t>
      </w:r>
      <w:bookmarkStart w:id="55" w:name="_Hlk72399819"/>
      <w:r>
        <w:rPr>
          <w:rFonts w:hint="eastAsia" w:ascii="黑体" w:hAnsi="宋体" w:eastAsia="黑体"/>
          <w:sz w:val="24"/>
        </w:rPr>
        <w:t>招标文件的编制与组成</w:t>
      </w:r>
    </w:p>
    <w:p w14:paraId="78D07D94">
      <w:pPr>
        <w:snapToGrid w:val="0"/>
        <w:ind w:firstLine="420" w:firstLineChars="200"/>
        <w:rPr>
          <w:rFonts w:ascii="宋体" w:hAnsi="宋体"/>
          <w:szCs w:val="21"/>
        </w:rPr>
      </w:pPr>
      <w:r>
        <w:rPr>
          <w:rFonts w:hint="eastAsia" w:ascii="宋体" w:hAnsi="宋体"/>
          <w:szCs w:val="21"/>
        </w:rPr>
        <w:t>1</w:t>
      </w:r>
      <w:r>
        <w:rPr>
          <w:rFonts w:ascii="宋体" w:hAnsi="宋体"/>
          <w:szCs w:val="21"/>
        </w:rPr>
        <w:t>1</w:t>
      </w:r>
      <w:r>
        <w:rPr>
          <w:rFonts w:hint="eastAsia" w:ascii="宋体" w:hAnsi="宋体"/>
          <w:szCs w:val="21"/>
        </w:rPr>
        <w:t>.1招标文件除以下内容外，政府集中采购机构在招标期间发出的澄清或修改等相关公告或通知内容，均是招标文件的组成部分，对投标人起约束作用；</w:t>
      </w:r>
    </w:p>
    <w:p w14:paraId="7200B028">
      <w:pPr>
        <w:ind w:firstLine="411" w:firstLineChars="196"/>
        <w:rPr>
          <w:rFonts w:ascii="宋体" w:hAnsi="宋体"/>
          <w:szCs w:val="21"/>
        </w:rPr>
      </w:pPr>
      <w:r>
        <w:rPr>
          <w:rFonts w:hint="eastAsia" w:ascii="宋体" w:hAnsi="宋体"/>
          <w:szCs w:val="21"/>
        </w:rPr>
        <w:t>招标文件包括下列内容：</w:t>
      </w:r>
    </w:p>
    <w:p w14:paraId="4398E6F1">
      <w:pPr>
        <w:ind w:left="420" w:leftChars="200" w:firstLine="413" w:firstLineChars="196"/>
        <w:rPr>
          <w:rFonts w:ascii="宋体" w:hAnsi="宋体"/>
          <w:b/>
          <w:szCs w:val="21"/>
        </w:rPr>
      </w:pPr>
      <w:r>
        <w:rPr>
          <w:rFonts w:hint="eastAsia" w:ascii="宋体" w:hAnsi="宋体"/>
          <w:b/>
          <w:szCs w:val="21"/>
        </w:rPr>
        <w:t>第一册  专用条款</w:t>
      </w:r>
    </w:p>
    <w:p w14:paraId="20FA6DF4">
      <w:pPr>
        <w:ind w:left="1079" w:leftChars="514"/>
        <w:rPr>
          <w:rFonts w:ascii="宋体" w:hAnsi="宋体"/>
          <w:b/>
          <w:szCs w:val="21"/>
        </w:rPr>
      </w:pPr>
      <w:r>
        <w:rPr>
          <w:rFonts w:hint="eastAsia" w:ascii="宋体" w:hAnsi="宋体"/>
          <w:b/>
          <w:szCs w:val="21"/>
        </w:rPr>
        <w:t>关键信息</w:t>
      </w:r>
    </w:p>
    <w:p w14:paraId="79A38930">
      <w:pPr>
        <w:ind w:left="630" w:leftChars="300" w:firstLine="411" w:firstLineChars="196"/>
        <w:rPr>
          <w:rFonts w:ascii="宋体" w:hAnsi="宋体"/>
          <w:szCs w:val="21"/>
        </w:rPr>
      </w:pPr>
      <w:r>
        <w:rPr>
          <w:rFonts w:hint="eastAsia" w:ascii="宋体" w:hAnsi="宋体"/>
          <w:szCs w:val="21"/>
        </w:rPr>
        <w:t>第一章  招标公告</w:t>
      </w:r>
    </w:p>
    <w:p w14:paraId="5583BF85">
      <w:pPr>
        <w:ind w:left="630" w:leftChars="300" w:firstLine="411" w:firstLineChars="196"/>
        <w:rPr>
          <w:rFonts w:ascii="宋体" w:hAnsi="宋体"/>
          <w:szCs w:val="21"/>
        </w:rPr>
      </w:pPr>
      <w:r>
        <w:rPr>
          <w:rFonts w:hint="eastAsia" w:ascii="宋体" w:hAnsi="宋体"/>
          <w:szCs w:val="21"/>
        </w:rPr>
        <w:t>第二章  对通用条款的补充内容及其他关键信息</w:t>
      </w:r>
    </w:p>
    <w:p w14:paraId="5A2D7629">
      <w:pPr>
        <w:ind w:left="630" w:leftChars="300" w:firstLine="411" w:firstLineChars="196"/>
        <w:rPr>
          <w:rFonts w:ascii="宋体" w:hAnsi="宋体"/>
          <w:szCs w:val="21"/>
        </w:rPr>
      </w:pPr>
      <w:r>
        <w:rPr>
          <w:rFonts w:hint="eastAsia" w:ascii="宋体" w:hAnsi="宋体"/>
          <w:szCs w:val="21"/>
        </w:rPr>
        <w:t>第三章  用户需求书</w:t>
      </w:r>
    </w:p>
    <w:p w14:paraId="064689DF">
      <w:pPr>
        <w:ind w:left="630" w:leftChars="300" w:firstLine="411" w:firstLineChars="196"/>
        <w:rPr>
          <w:rFonts w:ascii="宋体" w:hAnsi="宋体"/>
          <w:szCs w:val="21"/>
        </w:rPr>
      </w:pPr>
      <w:r>
        <w:rPr>
          <w:rFonts w:hint="eastAsia"/>
        </w:rPr>
        <w:t xml:space="preserve">第四章 </w:t>
      </w:r>
      <w:r>
        <w:t xml:space="preserve"> </w:t>
      </w:r>
      <w:r>
        <w:rPr>
          <w:rFonts w:hint="eastAsia"/>
        </w:rPr>
        <w:t>投标文件格式及附件</w:t>
      </w:r>
    </w:p>
    <w:p w14:paraId="2B3568FB">
      <w:pPr>
        <w:ind w:left="630" w:leftChars="300" w:firstLine="411" w:firstLineChars="196"/>
        <w:rPr>
          <w:rFonts w:ascii="宋体" w:hAnsi="宋体"/>
          <w:szCs w:val="21"/>
        </w:rPr>
      </w:pPr>
      <w:r>
        <w:rPr>
          <w:rFonts w:hint="eastAsia" w:ascii="宋体" w:hAnsi="宋体"/>
          <w:szCs w:val="21"/>
        </w:rPr>
        <w:t>第五章  合同条款及格式</w:t>
      </w:r>
    </w:p>
    <w:p w14:paraId="2849A355">
      <w:pPr>
        <w:ind w:left="420" w:leftChars="200" w:firstLine="413" w:firstLineChars="196"/>
        <w:rPr>
          <w:rFonts w:ascii="宋体" w:hAnsi="宋体"/>
          <w:b/>
          <w:szCs w:val="21"/>
        </w:rPr>
      </w:pPr>
      <w:r>
        <w:rPr>
          <w:rFonts w:hint="eastAsia" w:ascii="宋体" w:hAnsi="宋体"/>
          <w:b/>
          <w:szCs w:val="21"/>
        </w:rPr>
        <w:t>第二册  通用条款</w:t>
      </w:r>
    </w:p>
    <w:p w14:paraId="7569B61A">
      <w:pPr>
        <w:ind w:left="630" w:leftChars="300" w:firstLine="411" w:firstLineChars="196"/>
        <w:rPr>
          <w:rFonts w:ascii="宋体" w:hAnsi="宋体"/>
          <w:szCs w:val="21"/>
        </w:rPr>
      </w:pPr>
      <w:r>
        <w:rPr>
          <w:rFonts w:hint="eastAsia" w:ascii="宋体" w:hAnsi="宋体"/>
          <w:szCs w:val="21"/>
        </w:rPr>
        <w:t>第一章  总则</w:t>
      </w:r>
    </w:p>
    <w:p w14:paraId="5142FF27">
      <w:pPr>
        <w:ind w:left="630" w:leftChars="300" w:firstLine="411" w:firstLineChars="196"/>
        <w:rPr>
          <w:rFonts w:ascii="宋体" w:hAnsi="宋体"/>
          <w:szCs w:val="21"/>
        </w:rPr>
      </w:pPr>
      <w:r>
        <w:rPr>
          <w:rFonts w:hint="eastAsia" w:ascii="宋体" w:hAnsi="宋体"/>
          <w:szCs w:val="21"/>
        </w:rPr>
        <w:t>第二章  招标文件</w:t>
      </w:r>
    </w:p>
    <w:p w14:paraId="6F454E97">
      <w:pPr>
        <w:ind w:left="630" w:leftChars="300" w:firstLine="411" w:firstLineChars="196"/>
        <w:rPr>
          <w:rFonts w:ascii="宋体" w:hAnsi="宋体"/>
          <w:szCs w:val="21"/>
        </w:rPr>
      </w:pPr>
      <w:r>
        <w:rPr>
          <w:rFonts w:hint="eastAsia" w:ascii="宋体" w:hAnsi="宋体"/>
          <w:szCs w:val="21"/>
        </w:rPr>
        <w:t>第三章  投标文件的编制</w:t>
      </w:r>
    </w:p>
    <w:p w14:paraId="28B44E5D">
      <w:pPr>
        <w:ind w:left="630" w:leftChars="300" w:firstLine="411" w:firstLineChars="196"/>
        <w:rPr>
          <w:rFonts w:ascii="宋体" w:hAnsi="宋体"/>
          <w:szCs w:val="21"/>
        </w:rPr>
      </w:pPr>
      <w:r>
        <w:rPr>
          <w:rFonts w:hint="eastAsia" w:ascii="宋体" w:hAnsi="宋体"/>
          <w:szCs w:val="21"/>
        </w:rPr>
        <w:t>第四章  投标文件的递交</w:t>
      </w:r>
    </w:p>
    <w:p w14:paraId="4B795A6E">
      <w:pPr>
        <w:ind w:left="630" w:leftChars="300" w:firstLine="411" w:firstLineChars="196"/>
        <w:rPr>
          <w:rFonts w:ascii="宋体" w:hAnsi="宋体"/>
          <w:szCs w:val="21"/>
        </w:rPr>
      </w:pPr>
      <w:r>
        <w:rPr>
          <w:rFonts w:hint="eastAsia" w:ascii="宋体" w:hAnsi="宋体"/>
          <w:szCs w:val="21"/>
        </w:rPr>
        <w:t>第五章  开标</w:t>
      </w:r>
    </w:p>
    <w:p w14:paraId="4BBBD15A">
      <w:pPr>
        <w:ind w:left="630" w:leftChars="300" w:firstLine="411" w:firstLineChars="196"/>
        <w:rPr>
          <w:rFonts w:ascii="宋体" w:hAnsi="宋体"/>
          <w:szCs w:val="21"/>
        </w:rPr>
      </w:pPr>
      <w:r>
        <w:rPr>
          <w:rFonts w:hint="eastAsia" w:ascii="宋体" w:hAnsi="宋体"/>
          <w:szCs w:val="21"/>
        </w:rPr>
        <w:t>第六章  评审要求</w:t>
      </w:r>
    </w:p>
    <w:p w14:paraId="66ECCBE7">
      <w:pPr>
        <w:ind w:left="630" w:leftChars="300" w:firstLine="411" w:firstLineChars="196"/>
        <w:rPr>
          <w:rFonts w:ascii="宋体" w:hAnsi="宋体"/>
          <w:szCs w:val="21"/>
        </w:rPr>
      </w:pPr>
      <w:r>
        <w:rPr>
          <w:rFonts w:hint="eastAsia" w:ascii="宋体" w:hAnsi="宋体"/>
          <w:szCs w:val="21"/>
        </w:rPr>
        <w:t>第七章  评审程序及评审方法</w:t>
      </w:r>
    </w:p>
    <w:p w14:paraId="297085E4">
      <w:pPr>
        <w:ind w:left="630" w:leftChars="300" w:firstLine="411" w:firstLineChars="196"/>
        <w:rPr>
          <w:rFonts w:ascii="宋体" w:hAnsi="宋体"/>
          <w:szCs w:val="21"/>
        </w:rPr>
      </w:pPr>
      <w:r>
        <w:rPr>
          <w:rFonts w:hint="eastAsia" w:ascii="宋体" w:hAnsi="宋体"/>
          <w:szCs w:val="21"/>
        </w:rPr>
        <w:t>第八章  定标及公示</w:t>
      </w:r>
    </w:p>
    <w:p w14:paraId="49C6943E">
      <w:pPr>
        <w:ind w:left="630" w:leftChars="300" w:firstLine="411" w:firstLineChars="196"/>
        <w:rPr>
          <w:rFonts w:ascii="宋体" w:hAnsi="宋体"/>
          <w:szCs w:val="21"/>
        </w:rPr>
      </w:pPr>
      <w:r>
        <w:rPr>
          <w:rFonts w:hint="eastAsia" w:ascii="宋体" w:hAnsi="宋体"/>
          <w:szCs w:val="21"/>
        </w:rPr>
        <w:t>第九章  公开招标失败的后续处理</w:t>
      </w:r>
    </w:p>
    <w:p w14:paraId="23687F21">
      <w:pPr>
        <w:ind w:left="630" w:leftChars="300" w:firstLine="411" w:firstLineChars="196"/>
        <w:rPr>
          <w:rFonts w:ascii="宋体" w:hAnsi="宋体"/>
          <w:szCs w:val="21"/>
        </w:rPr>
      </w:pPr>
      <w:r>
        <w:rPr>
          <w:rFonts w:hint="eastAsia" w:ascii="宋体" w:hAnsi="宋体"/>
          <w:szCs w:val="21"/>
        </w:rPr>
        <w:t>第十章  合同的授予与备案</w:t>
      </w:r>
    </w:p>
    <w:p w14:paraId="05E97842">
      <w:pPr>
        <w:ind w:left="630" w:leftChars="300" w:firstLine="411" w:firstLineChars="196"/>
        <w:rPr>
          <w:rFonts w:ascii="宋体" w:hAnsi="宋体"/>
          <w:szCs w:val="21"/>
        </w:rPr>
      </w:pPr>
      <w:r>
        <w:rPr>
          <w:rFonts w:hint="eastAsia" w:ascii="宋体" w:hAnsi="宋体"/>
          <w:szCs w:val="21"/>
        </w:rPr>
        <w:t>第十一章  质疑处理</w:t>
      </w:r>
    </w:p>
    <w:p w14:paraId="7473BAD0">
      <w:pPr>
        <w:ind w:firstLine="411" w:firstLineChars="196"/>
        <w:rPr>
          <w:rFonts w:ascii="宋体" w:hAnsi="宋体"/>
          <w:szCs w:val="21"/>
        </w:rPr>
      </w:pPr>
      <w:r>
        <w:rPr>
          <w:rFonts w:hint="eastAsia" w:ascii="宋体" w:hAnsi="宋体"/>
          <w:szCs w:val="21"/>
        </w:rPr>
        <w:t>1</w:t>
      </w:r>
      <w:r>
        <w:rPr>
          <w:rFonts w:ascii="宋体" w:hAnsi="宋体"/>
          <w:szCs w:val="21"/>
        </w:rPr>
        <w:t>1</w:t>
      </w:r>
      <w:r>
        <w:rPr>
          <w:rFonts w:hint="eastAsia" w:ascii="宋体" w:hAnsi="宋体"/>
          <w:szCs w:val="21"/>
        </w:rPr>
        <w:t>.2 投标人下载招标文件后，应仔细检查招标文件的所有内容，如有疑问应在答疑截止时间之前向政府集中采购机构提出，否则，由此引起的投标损失自负；投标人同时应认真审阅招标文件所有的事项、格式、条款和规范要求等，如果投标人的投标文件未按招标文件要求提交全部资料或者投标文件未对招标文件做出实质性响应，其风险由投标人自行承担。</w:t>
      </w:r>
    </w:p>
    <w:p w14:paraId="59917647">
      <w:pPr>
        <w:ind w:firstLine="411" w:firstLineChars="196"/>
        <w:rPr>
          <w:rFonts w:hint="eastAsia" w:ascii="宋体" w:hAnsi="宋体"/>
        </w:rPr>
      </w:pPr>
      <w:r>
        <w:rPr>
          <w:rFonts w:hint="eastAsia" w:ascii="宋体" w:hAnsi="宋体"/>
          <w:szCs w:val="21"/>
        </w:rPr>
        <w:t>1</w:t>
      </w:r>
      <w:r>
        <w:rPr>
          <w:rFonts w:ascii="宋体" w:hAnsi="宋体"/>
          <w:szCs w:val="21"/>
        </w:rPr>
        <w:t>1</w:t>
      </w:r>
      <w:r>
        <w:rPr>
          <w:rFonts w:hint="eastAsia" w:ascii="宋体" w:hAnsi="宋体"/>
          <w:szCs w:val="21"/>
        </w:rPr>
        <w:t>.3</w:t>
      </w:r>
      <w:r>
        <w:rPr>
          <w:rFonts w:hint="eastAsia" w:ascii="宋体" w:hAnsi="宋体"/>
        </w:rPr>
        <w:t>任何人或任何组织向投标人提交的任何书面或口头资料，未经政府集中采购机构在网上发布或书面通知，均作无效处理，不得作为招标文件的组成部分。政府集中采购机构对投标人由此而做出的推论、理解和结论概不负责。</w:t>
      </w:r>
    </w:p>
    <w:p w14:paraId="23994E27">
      <w:pPr>
        <w:pStyle w:val="8"/>
        <w:ind w:firstLine="420" w:firstLineChars="200"/>
      </w:pPr>
      <w:r>
        <w:rPr>
          <w:rFonts w:hint="eastAsia" w:ascii="宋体" w:hAnsi="宋体" w:eastAsia="宋体" w:cs="Times New Roman"/>
          <w:b w:val="0"/>
          <w:bCs w:val="0"/>
          <w:kern w:val="2"/>
          <w:sz w:val="21"/>
          <w:szCs w:val="24"/>
          <w:lang w:val="en-US" w:eastAsia="zh-CN" w:bidi="ar-SA"/>
        </w:rPr>
        <w:t>11.4</w:t>
      </w:r>
      <w:r>
        <w:rPr>
          <w:rFonts w:hint="eastAsia" w:ascii="宋体" w:hAnsi="宋体" w:cs="Times New Roman"/>
          <w:b w:val="0"/>
          <w:bCs w:val="0"/>
          <w:kern w:val="2"/>
          <w:sz w:val="21"/>
          <w:szCs w:val="24"/>
          <w:lang w:val="en-US" w:eastAsia="zh-CN" w:bidi="ar-SA"/>
        </w:rPr>
        <w:t>招标文件所称“原件</w:t>
      </w:r>
      <w:r>
        <w:rPr>
          <w:rFonts w:hint="eastAsia" w:ascii="宋体" w:hAnsi="宋体" w:eastAsia="宋体" w:cs="Times New Roman"/>
          <w:b w:val="0"/>
          <w:bCs w:val="0"/>
          <w:kern w:val="2"/>
          <w:sz w:val="21"/>
          <w:szCs w:val="24"/>
          <w:lang w:val="en-US" w:eastAsia="zh-CN" w:bidi="ar-SA"/>
        </w:rPr>
        <w:t>备查</w:t>
      </w:r>
      <w:r>
        <w:rPr>
          <w:rFonts w:hint="eastAsia" w:ascii="宋体" w:hAnsi="宋体" w:cs="Times New Roman"/>
          <w:b w:val="0"/>
          <w:bCs w:val="0"/>
          <w:kern w:val="2"/>
          <w:sz w:val="21"/>
          <w:szCs w:val="24"/>
          <w:lang w:val="en-US" w:eastAsia="zh-CN" w:bidi="ar-SA"/>
        </w:rPr>
        <w:t>”，</w:t>
      </w:r>
      <w:r>
        <w:rPr>
          <w:rFonts w:hint="eastAsia" w:ascii="宋体" w:hAnsi="宋体" w:eastAsia="宋体" w:cs="Times New Roman"/>
          <w:b w:val="0"/>
          <w:bCs w:val="0"/>
          <w:kern w:val="2"/>
          <w:sz w:val="21"/>
          <w:szCs w:val="24"/>
          <w:lang w:val="en-US" w:eastAsia="zh-CN" w:bidi="ar-SA"/>
        </w:rPr>
        <w:t>是指在项目产生质疑、投诉等阶段，主管部门、采购人、代理机构、评审委员会等可以要求供应商提供原件进行核查。</w:t>
      </w:r>
    </w:p>
    <w:p w14:paraId="352B0899">
      <w:pPr>
        <w:rPr>
          <w:rFonts w:ascii="黑体" w:hAnsi="宋体" w:eastAsia="黑体"/>
          <w:sz w:val="24"/>
        </w:rPr>
      </w:pPr>
      <w:r>
        <w:rPr>
          <w:rFonts w:hint="eastAsia" w:ascii="黑体" w:hAnsi="宋体" w:eastAsia="黑体"/>
          <w:sz w:val="24"/>
        </w:rPr>
        <w:t>1</w:t>
      </w:r>
      <w:r>
        <w:rPr>
          <w:rFonts w:ascii="黑体" w:hAnsi="宋体" w:eastAsia="黑体"/>
          <w:sz w:val="24"/>
        </w:rPr>
        <w:t>2</w:t>
      </w:r>
      <w:r>
        <w:rPr>
          <w:rFonts w:hint="eastAsia" w:ascii="黑体" w:hAnsi="宋体" w:eastAsia="黑体"/>
          <w:sz w:val="24"/>
        </w:rPr>
        <w:t>．招标文件的澄清</w:t>
      </w:r>
    </w:p>
    <w:p w14:paraId="122396FA">
      <w:pPr>
        <w:ind w:firstLine="411" w:firstLineChars="196"/>
        <w:rPr>
          <w:rFonts w:ascii="宋体" w:hAnsi="宋体"/>
          <w:szCs w:val="21"/>
        </w:rPr>
      </w:pPr>
      <w:r>
        <w:rPr>
          <w:rFonts w:hint="eastAsia" w:ascii="宋体" w:hAnsi="宋体"/>
          <w:szCs w:val="21"/>
        </w:rPr>
        <w:t>1</w:t>
      </w:r>
      <w:r>
        <w:rPr>
          <w:rFonts w:ascii="宋体" w:hAnsi="宋体"/>
          <w:szCs w:val="21"/>
        </w:rPr>
        <w:t>2</w:t>
      </w:r>
      <w:r>
        <w:rPr>
          <w:rFonts w:hint="eastAsia" w:ascii="宋体" w:hAnsi="宋体"/>
          <w:szCs w:val="21"/>
        </w:rPr>
        <w:t>.1招标文件澄清的目的是澄清、解答投标人在查阅招标文件后或现场踏勘中可能提出的与投标有关的疑问或询问。</w:t>
      </w:r>
    </w:p>
    <w:p w14:paraId="687C0CF6">
      <w:pPr>
        <w:ind w:firstLine="411" w:firstLineChars="196"/>
        <w:rPr>
          <w:rFonts w:ascii="宋体" w:hAnsi="宋体"/>
          <w:szCs w:val="21"/>
        </w:rPr>
      </w:pPr>
      <w:r>
        <w:rPr>
          <w:rFonts w:hint="eastAsia" w:ascii="宋体" w:hAnsi="宋体"/>
          <w:szCs w:val="21"/>
        </w:rPr>
        <w:t>1</w:t>
      </w:r>
      <w:r>
        <w:rPr>
          <w:rFonts w:ascii="宋体" w:hAnsi="宋体"/>
          <w:szCs w:val="21"/>
        </w:rPr>
        <w:t>2</w:t>
      </w:r>
      <w:r>
        <w:rPr>
          <w:rFonts w:hint="eastAsia" w:ascii="宋体" w:hAnsi="宋体"/>
          <w:szCs w:val="21"/>
        </w:rPr>
        <w:t>.2投标人如对招标文件内容有疑问，应当在招标公告规定的澄清（提问）截止时间前以网上提问的形式通过网上政府采购系统提交政府集中采购机构。</w:t>
      </w:r>
    </w:p>
    <w:p w14:paraId="665B6ED3">
      <w:pPr>
        <w:ind w:firstLine="411" w:firstLineChars="196"/>
        <w:rPr>
          <w:rFonts w:ascii="宋体" w:hAnsi="宋体"/>
          <w:szCs w:val="21"/>
        </w:rPr>
      </w:pPr>
      <w:r>
        <w:rPr>
          <w:rFonts w:hint="eastAsia" w:ascii="宋体" w:hAnsi="宋体"/>
          <w:szCs w:val="21"/>
        </w:rPr>
        <w:t>1</w:t>
      </w:r>
      <w:r>
        <w:rPr>
          <w:rFonts w:ascii="宋体" w:hAnsi="宋体"/>
          <w:szCs w:val="21"/>
        </w:rPr>
        <w:t>2</w:t>
      </w:r>
      <w:r>
        <w:rPr>
          <w:rFonts w:hint="eastAsia" w:ascii="宋体" w:hAnsi="宋体"/>
          <w:szCs w:val="21"/>
        </w:rPr>
        <w:t>.3不论是政府集中采购机构根据需要主动对招标文件进行必要的澄清或是根据投标人的要求对招标文件做出澄清，政府集中采购机构都将在投标截止日期前以书面形式（包括政府集中采购机构网站发布方式）答复或发送给所有投标人。答复内容是招标文件的组成部分，对投标人起约束作用，其有效性按照本通用条款第1</w:t>
      </w:r>
      <w:r>
        <w:rPr>
          <w:rFonts w:ascii="宋体" w:hAnsi="宋体"/>
          <w:szCs w:val="21"/>
        </w:rPr>
        <w:t>3.3</w:t>
      </w:r>
      <w:r>
        <w:rPr>
          <w:rFonts w:hint="eastAsia" w:ascii="宋体" w:hAnsi="宋体"/>
          <w:szCs w:val="21"/>
        </w:rPr>
        <w:t>、1</w:t>
      </w:r>
      <w:r>
        <w:rPr>
          <w:rFonts w:ascii="宋体" w:hAnsi="宋体"/>
          <w:szCs w:val="21"/>
        </w:rPr>
        <w:t>3.4</w:t>
      </w:r>
      <w:r>
        <w:rPr>
          <w:rFonts w:hint="eastAsia" w:ascii="宋体" w:hAnsi="宋体"/>
          <w:szCs w:val="21"/>
        </w:rPr>
        <w:t>款规定执行。</w:t>
      </w:r>
    </w:p>
    <w:p w14:paraId="0C5550DC">
      <w:pPr>
        <w:rPr>
          <w:rFonts w:ascii="黑体" w:hAnsi="宋体" w:eastAsia="黑体"/>
          <w:sz w:val="24"/>
        </w:rPr>
      </w:pPr>
      <w:r>
        <w:rPr>
          <w:rFonts w:ascii="黑体" w:hAnsi="宋体" w:eastAsia="黑体"/>
          <w:sz w:val="24"/>
        </w:rPr>
        <w:t>1</w:t>
      </w:r>
      <w:r>
        <w:rPr>
          <w:rFonts w:hint="eastAsia" w:ascii="黑体" w:hAnsi="宋体" w:eastAsia="黑体"/>
          <w:sz w:val="24"/>
        </w:rPr>
        <w:t>3．招标文件的修改</w:t>
      </w:r>
    </w:p>
    <w:p w14:paraId="50FAD32C">
      <w:pPr>
        <w:ind w:firstLine="411" w:firstLineChars="196"/>
        <w:rPr>
          <w:rFonts w:ascii="宋体" w:hAnsi="宋体"/>
          <w:szCs w:val="21"/>
        </w:rPr>
      </w:pPr>
      <w:r>
        <w:rPr>
          <w:rFonts w:ascii="宋体" w:hAnsi="宋体"/>
          <w:szCs w:val="21"/>
        </w:rPr>
        <w:t>1</w:t>
      </w:r>
      <w:r>
        <w:rPr>
          <w:rFonts w:hint="eastAsia" w:ascii="宋体" w:hAnsi="宋体"/>
          <w:szCs w:val="21"/>
        </w:rPr>
        <w:t>3.1招标文件发出后，在投标截止日期前任何时候，确需要变更招标文件内容的，政府集中采购机构可主动或在解答投标人提出的澄清问题时对招标文件进行修改。</w:t>
      </w:r>
    </w:p>
    <w:p w14:paraId="137EF51D">
      <w:pPr>
        <w:ind w:firstLine="411" w:firstLineChars="196"/>
        <w:rPr>
          <w:rFonts w:ascii="宋体" w:hAnsi="宋体"/>
          <w:szCs w:val="21"/>
        </w:rPr>
      </w:pPr>
      <w:r>
        <w:rPr>
          <w:rFonts w:ascii="宋体" w:hAnsi="宋体"/>
          <w:szCs w:val="21"/>
        </w:rPr>
        <w:t>1</w:t>
      </w:r>
      <w:r>
        <w:rPr>
          <w:rFonts w:hint="eastAsia" w:ascii="宋体" w:hAnsi="宋体"/>
          <w:szCs w:val="21"/>
        </w:rPr>
        <w:t>3.2招标文件的修改以书面形式（包括政府集中采购机构网站发布方式，如更正公告等）发送给所有投标人，招标文件的修改内容作为招标文件的组成部分，并具有约束力。</w:t>
      </w:r>
    </w:p>
    <w:p w14:paraId="0C0BE820">
      <w:pPr>
        <w:ind w:firstLine="411" w:firstLineChars="196"/>
        <w:rPr>
          <w:rFonts w:ascii="宋体" w:hAnsi="宋体"/>
          <w:szCs w:val="21"/>
        </w:rPr>
      </w:pPr>
      <w:r>
        <w:rPr>
          <w:rFonts w:ascii="宋体" w:hAnsi="宋体"/>
          <w:szCs w:val="21"/>
        </w:rPr>
        <w:t>1</w:t>
      </w:r>
      <w:r>
        <w:rPr>
          <w:rFonts w:hint="eastAsia" w:ascii="宋体" w:hAnsi="宋体"/>
          <w:szCs w:val="21"/>
        </w:rPr>
        <w:t>3.3招标文件、招标文件澄清答复内容、招标文件修改补充内容均以书面形式（包括政府集中采购机构网站公开发布方式，如更正公告等）明确的内容为准。当招标文件、修改补充通知、招标文件澄清答复内容相互矛盾时，以最后发出的内容为准。</w:t>
      </w:r>
    </w:p>
    <w:p w14:paraId="5F599791">
      <w:pPr>
        <w:ind w:firstLine="411" w:firstLineChars="196"/>
        <w:rPr>
          <w:rFonts w:ascii="宋体" w:hAnsi="宋体"/>
          <w:szCs w:val="21"/>
        </w:rPr>
      </w:pPr>
      <w:r>
        <w:rPr>
          <w:rFonts w:ascii="宋体" w:hAnsi="宋体"/>
          <w:szCs w:val="21"/>
        </w:rPr>
        <w:t>1</w:t>
      </w:r>
      <w:r>
        <w:rPr>
          <w:rFonts w:hint="eastAsia" w:ascii="宋体" w:hAnsi="宋体"/>
          <w:szCs w:val="21"/>
        </w:rPr>
        <w:t>3.4政府集中采购机构保证招标文件澄清答复内容和招标文件修改补充内容在投标截止时间前以书面形式（包括政府集中采购机构网站发布方式，如更正公告等）发送给所有投标人。为使投标人在编制投标文件时有充分时间对招标文件的修改部分进行研究，政府集中采购机构可以酌情延长递交投标文件的截止日期。</w:t>
      </w:r>
      <w:bookmarkEnd w:id="55"/>
    </w:p>
    <w:p w14:paraId="01DE5B9B">
      <w:pPr>
        <w:rPr>
          <w:rFonts w:ascii="宋体" w:hAnsi="宋体"/>
          <w:szCs w:val="21"/>
        </w:rPr>
      </w:pPr>
    </w:p>
    <w:p w14:paraId="57886C65">
      <w:pPr>
        <w:pStyle w:val="5"/>
        <w:numPr>
          <w:ilvl w:val="0"/>
          <w:numId w:val="13"/>
        </w:numPr>
        <w:spacing w:before="120" w:beforeLines="50" w:after="120" w:afterLines="50"/>
        <w:ind w:left="562" w:hanging="562"/>
        <w:rPr>
          <w:sz w:val="28"/>
          <w:szCs w:val="28"/>
        </w:rPr>
      </w:pPr>
      <w:r>
        <w:rPr>
          <w:rFonts w:hint="eastAsia"/>
          <w:sz w:val="28"/>
          <w:szCs w:val="28"/>
        </w:rPr>
        <w:t>投标文件的编制</w:t>
      </w:r>
    </w:p>
    <w:p w14:paraId="14716256">
      <w:pPr>
        <w:rPr>
          <w:rFonts w:ascii="黑体" w:hAnsi="宋体" w:eastAsia="黑体"/>
          <w:sz w:val="24"/>
        </w:rPr>
      </w:pPr>
      <w:r>
        <w:rPr>
          <w:rFonts w:hint="eastAsia" w:ascii="黑体" w:hAnsi="宋体" w:eastAsia="黑体"/>
          <w:sz w:val="24"/>
        </w:rPr>
        <w:t>14．</w:t>
      </w:r>
      <w:bookmarkStart w:id="56" w:name="_Hlk72400236"/>
      <w:r>
        <w:rPr>
          <w:rFonts w:hint="eastAsia" w:ascii="黑体" w:hAnsi="宋体" w:eastAsia="黑体"/>
          <w:sz w:val="24"/>
        </w:rPr>
        <w:t>投标文件的语言及度量单位</w:t>
      </w:r>
    </w:p>
    <w:p w14:paraId="205DFFF0">
      <w:pPr>
        <w:ind w:firstLine="411" w:firstLineChars="196"/>
        <w:rPr>
          <w:rFonts w:ascii="宋体" w:hAnsi="宋体"/>
          <w:szCs w:val="21"/>
        </w:rPr>
      </w:pPr>
      <w:r>
        <w:rPr>
          <w:rFonts w:hint="eastAsia" w:ascii="宋体" w:hAnsi="宋体"/>
          <w:szCs w:val="21"/>
        </w:rPr>
        <w:t>14.1 投标人与政府集中采购机构之间与投标有关的所有往来通知、函件和投标文件均用中文表述。投标人随投标文件提供的证明文件和资料可以为其它语言，但必须附中文译文。翻译的中文资料与外文资料如果出现差异时，以中文为准。</w:t>
      </w:r>
    </w:p>
    <w:p w14:paraId="3439F1A5">
      <w:pPr>
        <w:ind w:firstLine="411" w:firstLineChars="196"/>
        <w:rPr>
          <w:rFonts w:ascii="宋体" w:hAnsi="宋体"/>
          <w:szCs w:val="21"/>
        </w:rPr>
      </w:pPr>
      <w:r>
        <w:rPr>
          <w:rFonts w:hint="eastAsia" w:ascii="宋体" w:hAnsi="宋体"/>
          <w:szCs w:val="21"/>
        </w:rPr>
        <w:t>14.2 除技术规范另有规定外，投标文件使用的度量单位，均采用中华人民共和国法定计量单位。</w:t>
      </w:r>
    </w:p>
    <w:bookmarkEnd w:id="56"/>
    <w:p w14:paraId="7EB3CF8D">
      <w:pPr>
        <w:rPr>
          <w:rFonts w:ascii="黑体" w:hAnsi="宋体" w:eastAsia="黑体"/>
          <w:sz w:val="24"/>
        </w:rPr>
      </w:pPr>
      <w:r>
        <w:rPr>
          <w:rFonts w:hint="eastAsia" w:ascii="黑体" w:hAnsi="宋体" w:eastAsia="黑体"/>
          <w:sz w:val="24"/>
        </w:rPr>
        <w:t>15．</w:t>
      </w:r>
      <w:bookmarkStart w:id="57" w:name="_Hlk72401567"/>
      <w:r>
        <w:rPr>
          <w:rFonts w:hint="eastAsia" w:ascii="黑体" w:hAnsi="宋体" w:eastAsia="黑体"/>
          <w:sz w:val="24"/>
        </w:rPr>
        <w:t>投标文件的组成</w:t>
      </w:r>
    </w:p>
    <w:p w14:paraId="03DF9D15">
      <w:pPr>
        <w:ind w:firstLine="411" w:firstLineChars="196"/>
        <w:rPr>
          <w:rFonts w:ascii="宋体" w:hAnsi="宋体"/>
          <w:szCs w:val="21"/>
        </w:rPr>
      </w:pPr>
      <w:r>
        <w:rPr>
          <w:rFonts w:hint="eastAsia" w:ascii="宋体" w:hAnsi="宋体"/>
          <w:szCs w:val="21"/>
        </w:rPr>
        <w:t>具体内容在招标文件专用条款中进行规定。</w:t>
      </w:r>
    </w:p>
    <w:p w14:paraId="4D6249B6">
      <w:pPr>
        <w:rPr>
          <w:rFonts w:ascii="黑体" w:hAnsi="宋体" w:eastAsia="黑体"/>
          <w:sz w:val="24"/>
        </w:rPr>
      </w:pPr>
      <w:r>
        <w:rPr>
          <w:rFonts w:ascii="黑体" w:hAnsi="宋体" w:eastAsia="黑体"/>
          <w:sz w:val="24"/>
        </w:rPr>
        <w:t>16．投标文件格式</w:t>
      </w:r>
    </w:p>
    <w:p w14:paraId="31B2A2E4">
      <w:pPr>
        <w:ind w:firstLine="411" w:firstLineChars="196"/>
        <w:rPr>
          <w:rFonts w:ascii="宋体" w:hAnsi="宋体"/>
          <w:szCs w:val="21"/>
        </w:rPr>
      </w:pPr>
      <w:r>
        <w:rPr>
          <w:rFonts w:hint="eastAsia" w:ascii="宋体" w:hAnsi="宋体"/>
          <w:szCs w:val="21"/>
        </w:rPr>
        <w:t>投标文件包括本通用条款第</w:t>
      </w:r>
      <w:r>
        <w:rPr>
          <w:rFonts w:ascii="宋体" w:hAnsi="宋体"/>
          <w:szCs w:val="21"/>
        </w:rPr>
        <w:t>15条中规定的内容。如招标文件提供了投标文件格式，则</w:t>
      </w:r>
      <w:r>
        <w:rPr>
          <w:rFonts w:hint="eastAsia" w:ascii="宋体" w:hAnsi="宋体"/>
          <w:b/>
          <w:bCs/>
          <w:szCs w:val="21"/>
        </w:rPr>
        <w:t>投标人提交的投标文件应毫无例外地使用招标文件所提供的相应格式</w:t>
      </w:r>
      <w:r>
        <w:rPr>
          <w:rFonts w:hint="eastAsia" w:ascii="宋体" w:hAnsi="宋体"/>
          <w:szCs w:val="21"/>
        </w:rPr>
        <w:t>（表格均可按同样格式扩展）。</w:t>
      </w:r>
    </w:p>
    <w:p w14:paraId="0F4F4FFE">
      <w:pPr>
        <w:rPr>
          <w:rFonts w:ascii="黑体" w:hAnsi="宋体" w:eastAsia="黑体"/>
          <w:sz w:val="24"/>
        </w:rPr>
      </w:pPr>
      <w:r>
        <w:rPr>
          <w:rFonts w:hint="eastAsia" w:ascii="黑体" w:hAnsi="宋体" w:eastAsia="黑体"/>
          <w:sz w:val="24"/>
        </w:rPr>
        <w:t>17．投标货币</w:t>
      </w:r>
    </w:p>
    <w:p w14:paraId="1C453545">
      <w:pPr>
        <w:ind w:firstLine="411" w:firstLineChars="196"/>
        <w:rPr>
          <w:rFonts w:ascii="宋体" w:hAnsi="宋体"/>
          <w:szCs w:val="21"/>
        </w:rPr>
      </w:pPr>
      <w:r>
        <w:rPr>
          <w:rFonts w:hint="eastAsia" w:ascii="宋体" w:hAnsi="宋体"/>
          <w:szCs w:val="21"/>
        </w:rPr>
        <w:t>本项目的投标报价应以人民币计。</w:t>
      </w:r>
    </w:p>
    <w:bookmarkEnd w:id="57"/>
    <w:p w14:paraId="7D5A4CF1">
      <w:pPr>
        <w:rPr>
          <w:rFonts w:ascii="黑体" w:hAnsi="宋体" w:eastAsia="黑体"/>
          <w:sz w:val="24"/>
        </w:rPr>
      </w:pPr>
      <w:r>
        <w:rPr>
          <w:rFonts w:hint="eastAsia" w:ascii="黑体" w:hAnsi="宋体" w:eastAsia="黑体"/>
          <w:sz w:val="24"/>
        </w:rPr>
        <w:t>18．</w:t>
      </w:r>
      <w:bookmarkStart w:id="58" w:name="_Hlk72401735"/>
      <w:r>
        <w:rPr>
          <w:rFonts w:hint="eastAsia" w:ascii="黑体" w:hAnsi="宋体" w:eastAsia="黑体"/>
          <w:sz w:val="24"/>
        </w:rPr>
        <w:t>证明投标文件投标技术方案的合格性和符合招标文件规定的文件要求</w:t>
      </w:r>
    </w:p>
    <w:p w14:paraId="6E43BCD7">
      <w:pPr>
        <w:ind w:firstLine="411" w:firstLineChars="196"/>
        <w:rPr>
          <w:rFonts w:ascii="宋体" w:hAnsi="宋体"/>
          <w:szCs w:val="21"/>
        </w:rPr>
      </w:pPr>
      <w:r>
        <w:rPr>
          <w:rFonts w:hint="eastAsia" w:ascii="宋体" w:hAnsi="宋体"/>
          <w:szCs w:val="21"/>
        </w:rPr>
        <w:t>18</w:t>
      </w:r>
      <w:r>
        <w:rPr>
          <w:rFonts w:ascii="宋体" w:hAnsi="宋体"/>
          <w:szCs w:val="21"/>
        </w:rPr>
        <w:t xml:space="preserve">.1 </w:t>
      </w:r>
      <w:r>
        <w:rPr>
          <w:rFonts w:hint="eastAsia" w:ascii="宋体" w:hAnsi="宋体"/>
          <w:szCs w:val="21"/>
        </w:rPr>
        <w:t>投标人应提交证明文件，证明其投标技术方案项下的货物和服务的合格性符合招标文件规定。该投标技术方案及其证明文件均作为投标文件组成部分。</w:t>
      </w:r>
    </w:p>
    <w:p w14:paraId="56EA4C17">
      <w:pPr>
        <w:ind w:firstLine="411" w:firstLineChars="196"/>
        <w:rPr>
          <w:rFonts w:ascii="宋体" w:hAnsi="宋体"/>
          <w:szCs w:val="21"/>
        </w:rPr>
      </w:pPr>
      <w:r>
        <w:rPr>
          <w:rFonts w:ascii="宋体" w:hAnsi="宋体"/>
          <w:szCs w:val="21"/>
        </w:rPr>
        <w:t>1</w:t>
      </w:r>
      <w:r>
        <w:rPr>
          <w:rFonts w:hint="eastAsia" w:ascii="宋体" w:hAnsi="宋体"/>
          <w:szCs w:val="21"/>
        </w:rPr>
        <w:t>8</w:t>
      </w:r>
      <w:r>
        <w:rPr>
          <w:rFonts w:ascii="宋体" w:hAnsi="宋体"/>
          <w:szCs w:val="21"/>
        </w:rPr>
        <w:t xml:space="preserve">.2 </w:t>
      </w:r>
      <w:r>
        <w:rPr>
          <w:rFonts w:hint="eastAsia" w:ascii="宋体" w:hAnsi="宋体"/>
          <w:szCs w:val="21"/>
        </w:rPr>
        <w:t>投标人提供证明投标技术方案与招标文件的要求相一致的文件，可以是文字资料、图纸、数据或数码照片、制造商公布的产品说明书、产品彩页和我国政府机构出具的产品检验和核准证件等，提供的文件应符合以下要求：</w:t>
      </w:r>
    </w:p>
    <w:p w14:paraId="149DE98A">
      <w:pPr>
        <w:ind w:firstLine="411" w:firstLineChars="196"/>
        <w:rPr>
          <w:rFonts w:ascii="宋体" w:hAnsi="宋体"/>
          <w:szCs w:val="21"/>
        </w:rPr>
      </w:pPr>
      <w:r>
        <w:rPr>
          <w:rFonts w:hint="eastAsia" w:ascii="宋体" w:hAnsi="宋体"/>
          <w:szCs w:val="21"/>
        </w:rPr>
        <w:t>18.2.1主要技术指标和性能的详细说明。</w:t>
      </w:r>
    </w:p>
    <w:p w14:paraId="7D60C67E">
      <w:pPr>
        <w:ind w:firstLine="411" w:firstLineChars="196"/>
        <w:rPr>
          <w:rFonts w:ascii="宋体" w:hAnsi="宋体"/>
          <w:szCs w:val="21"/>
        </w:rPr>
      </w:pPr>
      <w:r>
        <w:rPr>
          <w:rFonts w:hint="eastAsia" w:ascii="宋体" w:hAnsi="宋体"/>
          <w:szCs w:val="21"/>
        </w:rPr>
        <w:t>18.2.</w:t>
      </w:r>
      <w:r>
        <w:rPr>
          <w:rFonts w:ascii="宋体" w:hAnsi="宋体"/>
          <w:szCs w:val="21"/>
        </w:rPr>
        <w:t>2</w:t>
      </w:r>
      <w:r>
        <w:rPr>
          <w:rFonts w:hint="eastAsia" w:ascii="宋体" w:hAnsi="宋体"/>
          <w:szCs w:val="21"/>
        </w:rPr>
        <w:t>投标产品从采购人开始使用至招标文件中规定的周期内正常、连续地使用所必须的备件和专用工具清单，包括备件和专用工具的货源及现行价格。</w:t>
      </w:r>
    </w:p>
    <w:p w14:paraId="21C6F2CE">
      <w:pPr>
        <w:ind w:firstLine="411" w:firstLineChars="196"/>
        <w:rPr>
          <w:rFonts w:ascii="宋体" w:hAnsi="宋体"/>
          <w:szCs w:val="21"/>
        </w:rPr>
      </w:pPr>
      <w:r>
        <w:rPr>
          <w:rFonts w:hint="eastAsia" w:ascii="宋体" w:hAnsi="宋体"/>
          <w:szCs w:val="21"/>
        </w:rPr>
        <w:t>18.2.</w:t>
      </w:r>
      <w:r>
        <w:rPr>
          <w:rFonts w:ascii="宋体" w:hAnsi="宋体"/>
          <w:szCs w:val="21"/>
        </w:rPr>
        <w:t>3</w:t>
      </w:r>
      <w:r>
        <w:rPr>
          <w:rFonts w:hint="eastAsia" w:ascii="宋体" w:hAnsi="宋体"/>
          <w:szCs w:val="21"/>
        </w:rPr>
        <w:t>对照招标文件技术规格，逐条说明投标技术方案已对采购人的技术规格做出了实质性的响应，或申明与技术规格条文的偏差和例外。投标人应详细说明投标技术方案中产品的具体参数，不得不合理照搬照抄招标文件的技术要求。</w:t>
      </w:r>
    </w:p>
    <w:p w14:paraId="31BF2BA8">
      <w:pPr>
        <w:ind w:firstLine="411" w:firstLineChars="196"/>
        <w:rPr>
          <w:rFonts w:ascii="宋体" w:hAnsi="宋体"/>
          <w:szCs w:val="21"/>
        </w:rPr>
      </w:pPr>
      <w:r>
        <w:rPr>
          <w:rFonts w:hint="eastAsia" w:ascii="宋体" w:hAnsi="宋体"/>
          <w:szCs w:val="21"/>
        </w:rPr>
        <w:t>18.2.4产品说明书或彩页应为制造商公布或出具的中文产品说明书或彩页；提供外文说明书或彩页的，必须同时提供加盖制造商公章的对应中文翻译说明，评标依据以中文翻译内容为准，外文说明书或彩页仅供参考；产品说明书或彩页的尺寸和</w:t>
      </w:r>
      <w:r>
        <w:rPr>
          <w:rFonts w:hint="eastAsia"/>
        </w:rPr>
        <w:t>清晰度要求能够使用电脑阅读、识别和判断</w:t>
      </w:r>
      <w:r>
        <w:rPr>
          <w:rFonts w:hint="eastAsia" w:ascii="宋体" w:hAnsi="宋体"/>
          <w:szCs w:val="21"/>
        </w:rPr>
        <w:t>；</w:t>
      </w:r>
    </w:p>
    <w:p w14:paraId="4A7873E7">
      <w:pPr>
        <w:ind w:firstLine="411" w:firstLineChars="196"/>
        <w:rPr>
          <w:rFonts w:ascii="宋体" w:hAnsi="宋体"/>
          <w:szCs w:val="21"/>
        </w:rPr>
      </w:pPr>
      <w:r>
        <w:rPr>
          <w:rFonts w:hint="eastAsia" w:ascii="宋体" w:hAnsi="宋体"/>
          <w:szCs w:val="21"/>
        </w:rPr>
        <w:t>18.2.5我国政府机构出具的产品检验和核准证件应为证件正面、背面和附件标注的全部具体内容；产品检验和核准证件的尺寸和清晰度应该能够在电脑上被阅读、识别和判断，提供原件扫描件。</w:t>
      </w:r>
    </w:p>
    <w:p w14:paraId="14545617">
      <w:pPr>
        <w:ind w:firstLine="411" w:firstLineChars="196"/>
        <w:rPr>
          <w:rFonts w:ascii="宋体" w:hAnsi="宋体"/>
          <w:szCs w:val="21"/>
        </w:rPr>
      </w:pPr>
      <w:r>
        <w:rPr>
          <w:rFonts w:hint="eastAsia" w:ascii="宋体" w:hAnsi="宋体"/>
          <w:szCs w:val="21"/>
        </w:rPr>
        <w:t>18.3相关资料不符合18.2款要求的，评审委员会有权认定为投标技术方案不合格响应，其相关分数予以扣减或作投标无效处理。</w:t>
      </w:r>
    </w:p>
    <w:p w14:paraId="7984AC0E">
      <w:pPr>
        <w:ind w:firstLine="411" w:firstLineChars="196"/>
        <w:rPr>
          <w:rFonts w:ascii="宋体" w:hAnsi="宋体"/>
          <w:szCs w:val="21"/>
        </w:rPr>
      </w:pPr>
      <w:r>
        <w:rPr>
          <w:rFonts w:ascii="宋体" w:hAnsi="宋体"/>
          <w:szCs w:val="21"/>
        </w:rPr>
        <w:t>1</w:t>
      </w:r>
      <w:r>
        <w:rPr>
          <w:rFonts w:hint="eastAsia" w:ascii="宋体" w:hAnsi="宋体"/>
          <w:szCs w:val="21"/>
        </w:rPr>
        <w:t>8</w:t>
      </w:r>
      <w:r>
        <w:rPr>
          <w:rFonts w:ascii="宋体" w:hAnsi="宋体"/>
          <w:szCs w:val="21"/>
        </w:rPr>
        <w:t>.</w:t>
      </w:r>
      <w:r>
        <w:rPr>
          <w:rFonts w:hint="eastAsia" w:ascii="宋体" w:hAnsi="宋体"/>
          <w:szCs w:val="21"/>
        </w:rPr>
        <w:t>4投标人在阐述上述第18.2时应注意采购人在技术规格中指出的工艺、材料和设备的标准以及参照的牌号或分类号仅起说明作用，并没有任何限制性。投标人在投标中可以选用替代标准、牌号或分类号，但这些替代要实质上满足招标文件中技术规格的要求，是否</w:t>
      </w:r>
      <w:r>
        <w:rPr>
          <w:rFonts w:hint="eastAsia"/>
        </w:rPr>
        <w:t>满足要求</w:t>
      </w:r>
      <w:r>
        <w:rPr>
          <w:rFonts w:hint="eastAsia" w:ascii="宋体" w:hAnsi="宋体"/>
          <w:szCs w:val="21"/>
        </w:rPr>
        <w:t>，由评审委员会来评判。</w:t>
      </w:r>
    </w:p>
    <w:p w14:paraId="08677611">
      <w:pPr>
        <w:ind w:firstLine="411" w:firstLineChars="196"/>
        <w:rPr>
          <w:rFonts w:ascii="宋体" w:hAnsi="宋体"/>
          <w:szCs w:val="21"/>
        </w:rPr>
      </w:pPr>
      <w:r>
        <w:rPr>
          <w:rFonts w:hint="eastAsia" w:ascii="宋体" w:hAnsi="宋体"/>
          <w:szCs w:val="21"/>
        </w:rPr>
        <w:t>18.5除非另有规定或说明，投标人对同一项目投标时，不得同时提供两套或两套以上的投标方案。</w:t>
      </w:r>
    </w:p>
    <w:bookmarkEnd w:id="58"/>
    <w:p w14:paraId="1562A8B6">
      <w:pPr>
        <w:rPr>
          <w:rFonts w:ascii="黑体" w:hAnsi="宋体" w:eastAsia="黑体"/>
          <w:sz w:val="24"/>
        </w:rPr>
      </w:pPr>
      <w:r>
        <w:rPr>
          <w:rFonts w:hint="eastAsia" w:ascii="黑体" w:hAnsi="宋体" w:eastAsia="黑体"/>
          <w:sz w:val="24"/>
        </w:rPr>
        <w:t>19．</w:t>
      </w:r>
      <w:bookmarkStart w:id="59" w:name="_Hlk72402034"/>
      <w:r>
        <w:rPr>
          <w:rFonts w:hint="eastAsia" w:ascii="黑体" w:hAnsi="宋体" w:eastAsia="黑体"/>
          <w:sz w:val="24"/>
        </w:rPr>
        <w:t>投标文件其他证明文件的要求</w:t>
      </w:r>
    </w:p>
    <w:p w14:paraId="2840346F">
      <w:pPr>
        <w:rPr>
          <w:rFonts w:ascii="宋体" w:hAnsi="宋体"/>
          <w:color w:val="FF0000"/>
          <w:szCs w:val="21"/>
        </w:rPr>
      </w:pPr>
      <w:r>
        <w:rPr>
          <w:rFonts w:hint="eastAsia" w:ascii="黑体" w:hAnsi="宋体" w:eastAsia="黑体"/>
          <w:sz w:val="24"/>
        </w:rPr>
        <w:t xml:space="preserve">    </w:t>
      </w:r>
      <w:r>
        <w:rPr>
          <w:rFonts w:hint="eastAsia" w:ascii="宋体" w:hAnsi="宋体"/>
          <w:szCs w:val="21"/>
        </w:rPr>
        <w:t>19.1采用综合评分法的项目，对项目招标文件《评标信息》评分项中涉及的相关业绩、社保情况等内容以及《资格性审查表》和《符合性审查表》中涉及的证明材料，投标人应提供相关部门出具的证明材料扫描件或照片，原件备查。有关扫描件（或照片）的尺寸和清晰度要求能够使用电脑阅读、识别和判断。</w:t>
      </w:r>
      <w:bookmarkStart w:id="60" w:name="_Hlk71407299"/>
      <w:r>
        <w:rPr>
          <w:rFonts w:hint="eastAsia" w:ascii="宋体" w:hAnsi="宋体"/>
          <w:szCs w:val="21"/>
        </w:rPr>
        <w:t>若投标人未按要求提供证明材料或提供的是部分证明材料或提供不清晰的扫描件（或照片）的，采购人</w:t>
      </w:r>
      <w:r>
        <w:rPr>
          <w:rFonts w:hint="eastAsia" w:ascii="宋体" w:hAnsi="宋体"/>
          <w:szCs w:val="21"/>
          <w:lang w:eastAsia="zh-CN"/>
        </w:rPr>
        <w:t>、</w:t>
      </w:r>
      <w:r>
        <w:rPr>
          <w:rFonts w:hint="eastAsia" w:ascii="宋体" w:hAnsi="宋体"/>
          <w:szCs w:val="21"/>
        </w:rPr>
        <w:t>代理机构</w:t>
      </w:r>
      <w:r>
        <w:rPr>
          <w:rFonts w:hint="eastAsia" w:ascii="宋体" w:hAnsi="宋体"/>
          <w:szCs w:val="21"/>
          <w:lang w:val="en-US" w:eastAsia="zh-CN"/>
        </w:rPr>
        <w:t>以及</w:t>
      </w:r>
      <w:r>
        <w:rPr>
          <w:rFonts w:hint="eastAsia" w:ascii="宋体" w:hAnsi="宋体"/>
          <w:szCs w:val="21"/>
        </w:rPr>
        <w:t>评审委员会依据各自审查范围，有权认定其投标文件未对招标文件有关需求进行响应，涉及资格性审查或符合性审查的予以投标无效处理，涉及《评标信息》打分项的则该项评分予以0分处理。对供应商投标资料是否异常、是否有效问题进行核查和判定，如认为供应商投标资料有异常或无效的，若涉及资格性审查或符合性审查条款的，则应作投标无效处理；若涉及评分的，则作不得分处理。</w:t>
      </w:r>
    </w:p>
    <w:bookmarkEnd w:id="60"/>
    <w:p w14:paraId="170C8330">
      <w:pPr>
        <w:ind w:firstLine="411" w:firstLineChars="196"/>
        <w:rPr>
          <w:rFonts w:ascii="宋体" w:hAnsi="宋体"/>
          <w:szCs w:val="21"/>
        </w:rPr>
      </w:pPr>
      <w:r>
        <w:rPr>
          <w:rFonts w:hint="eastAsia" w:ascii="宋体" w:hAnsi="宋体"/>
          <w:szCs w:val="21"/>
        </w:rPr>
        <w:t>19.2本项目涉及提供的有关资质（资格）证书，若原有资质（资格）证书处于年审期间，须提供证书颁发部门提供的回执，并且回执须证明该证书依然有效（若在法规范围不需提供的，供应商应做书面说明并提供证明文件，否则该证书无效），则该投标人提供年审证明的可按原资质（资格）投标；若投标人正在申报上一级别资质（资格），在未获批准之前，仍按原级别资质（资格）投标。</w:t>
      </w:r>
    </w:p>
    <w:p w14:paraId="4805013C">
      <w:pPr>
        <w:rPr>
          <w:rFonts w:ascii="黑体" w:hAnsi="宋体" w:eastAsia="黑体"/>
          <w:sz w:val="24"/>
        </w:rPr>
      </w:pPr>
      <w:r>
        <w:rPr>
          <w:rFonts w:hint="eastAsia" w:ascii="黑体" w:hAnsi="宋体" w:eastAsia="黑体"/>
          <w:sz w:val="24"/>
        </w:rPr>
        <w:t>20．投标有效期</w:t>
      </w:r>
    </w:p>
    <w:bookmarkEnd w:id="59"/>
    <w:p w14:paraId="3F7F152D">
      <w:pPr>
        <w:ind w:firstLine="411" w:firstLineChars="196"/>
        <w:rPr>
          <w:rFonts w:ascii="宋体" w:hAnsi="宋体"/>
          <w:szCs w:val="21"/>
        </w:rPr>
      </w:pPr>
      <w:bookmarkStart w:id="61" w:name="_Hlk72402214"/>
      <w:r>
        <w:rPr>
          <w:rFonts w:hint="eastAsia" w:ascii="宋体" w:hAnsi="宋体"/>
          <w:szCs w:val="21"/>
        </w:rPr>
        <w:t>20.1 投标有效期为</w:t>
      </w:r>
      <w:r>
        <w:rPr>
          <w:rFonts w:hint="eastAsia" w:ascii="Arial" w:hAnsi="Arial" w:cs="Arial"/>
          <w:szCs w:val="21"/>
        </w:rPr>
        <w:t>从投标截止之日算起的日历天数。</w:t>
      </w:r>
      <w:r>
        <w:rPr>
          <w:rFonts w:hint="eastAsia" w:ascii="宋体" w:hAnsi="宋体"/>
          <w:szCs w:val="21"/>
        </w:rPr>
        <w:t>在此期限内，所有投标文件均保持有效。</w:t>
      </w:r>
    </w:p>
    <w:p w14:paraId="34F7C19E">
      <w:pPr>
        <w:ind w:firstLine="411" w:firstLineChars="196"/>
        <w:rPr>
          <w:rFonts w:ascii="宋体" w:hAnsi="宋体"/>
          <w:szCs w:val="21"/>
        </w:rPr>
      </w:pPr>
      <w:r>
        <w:rPr>
          <w:rFonts w:hint="eastAsia" w:ascii="宋体" w:hAnsi="宋体"/>
          <w:szCs w:val="21"/>
        </w:rPr>
        <w:t>20.2 在特殊情况下，政府集中采购机构在原定的投标有效期满之前，政府集中采购机构可以根据需要以书面形式（包括政府集中采购机构网站公开发布方式）向投标人提出延长投标有效期的要求，对此要求投标人须以书面形式予以答复，投标人可以拒绝政府集中采购机构此项要求，其投标在原投标有效期满后不再有效。同意延长投标有效期的投标人不能要求也不允许修改其投标文件。</w:t>
      </w:r>
    </w:p>
    <w:p w14:paraId="70699411">
      <w:pPr>
        <w:ind w:firstLine="411" w:firstLineChars="196"/>
        <w:rPr>
          <w:rFonts w:ascii="宋体" w:hAnsi="宋体"/>
          <w:szCs w:val="21"/>
        </w:rPr>
      </w:pPr>
      <w:r>
        <w:rPr>
          <w:rFonts w:hint="eastAsia" w:ascii="宋体" w:hAnsi="宋体"/>
          <w:szCs w:val="21"/>
        </w:rPr>
        <w:t>20</w:t>
      </w:r>
      <w:r>
        <w:rPr>
          <w:rFonts w:ascii="宋体" w:hAnsi="宋体"/>
          <w:szCs w:val="21"/>
        </w:rPr>
        <w:t>.3</w:t>
      </w:r>
      <w:r>
        <w:rPr>
          <w:rFonts w:hint="eastAsia" w:ascii="宋体" w:hAnsi="宋体"/>
          <w:szCs w:val="21"/>
        </w:rPr>
        <w:t xml:space="preserve"> 中标供应商的投标文件有效期，截止于完成本招标文件规定的全部项目内容，并通过竣工验收及保修期结束。</w:t>
      </w:r>
    </w:p>
    <w:bookmarkEnd w:id="61"/>
    <w:p w14:paraId="2DB4A152">
      <w:pPr>
        <w:rPr>
          <w:rFonts w:ascii="黑体" w:hAnsi="宋体" w:eastAsia="黑体"/>
          <w:sz w:val="24"/>
        </w:rPr>
      </w:pPr>
      <w:r>
        <w:rPr>
          <w:rFonts w:hint="eastAsia" w:ascii="黑体" w:hAnsi="宋体" w:eastAsia="黑体"/>
          <w:sz w:val="24"/>
        </w:rPr>
        <w:t>21．</w:t>
      </w:r>
      <w:bookmarkStart w:id="62" w:name="_Hlk72402325"/>
      <w:r>
        <w:rPr>
          <w:rFonts w:hint="eastAsia" w:ascii="黑体" w:hAnsi="宋体" w:eastAsia="黑体"/>
          <w:sz w:val="24"/>
        </w:rPr>
        <w:t xml:space="preserve">关于投标保证金 </w:t>
      </w:r>
    </w:p>
    <w:p w14:paraId="1B0DAF1C">
      <w:pPr>
        <w:rPr>
          <w:rFonts w:ascii="宋体" w:hAnsi="宋体"/>
          <w:szCs w:val="21"/>
        </w:rPr>
      </w:pPr>
      <w:r>
        <w:rPr>
          <w:rFonts w:hint="eastAsia" w:ascii="宋体" w:hAnsi="宋体"/>
          <w:szCs w:val="21"/>
        </w:rPr>
        <w:t xml:space="preserve">    21.1 </w:t>
      </w:r>
      <w:r>
        <w:rPr>
          <w:rFonts w:hint="eastAsia"/>
        </w:rPr>
        <w:t>根据《深圳市财政局关于调整政府采购投标（响应）保证金管理政策的通知》（深财购〔2021〕51号）文的规定，本项目不收取投标保证金。</w:t>
      </w:r>
    </w:p>
    <w:p w14:paraId="618106F0">
      <w:pPr>
        <w:rPr>
          <w:rFonts w:ascii="黑体" w:hAnsi="宋体" w:eastAsia="黑体"/>
          <w:sz w:val="24"/>
        </w:rPr>
      </w:pPr>
      <w:r>
        <w:rPr>
          <w:rFonts w:hint="eastAsia" w:ascii="黑体" w:hAnsi="宋体" w:eastAsia="黑体"/>
          <w:sz w:val="24"/>
        </w:rPr>
        <w:t>22．投标人的替代方案</w:t>
      </w:r>
    </w:p>
    <w:p w14:paraId="75821B1A">
      <w:pPr>
        <w:ind w:firstLine="411" w:firstLineChars="196"/>
        <w:rPr>
          <w:rFonts w:ascii="宋体" w:hAnsi="宋体"/>
          <w:szCs w:val="21"/>
        </w:rPr>
      </w:pPr>
      <w:r>
        <w:rPr>
          <w:rFonts w:hint="eastAsia" w:ascii="宋体" w:hAnsi="宋体"/>
          <w:szCs w:val="21"/>
        </w:rPr>
        <w:t>22.1投标人所提交的投标文件应完全满足招标文件（包括图纸和技术规范所示的基本技术设计）的要求。除非项目明确允许投标人提交替代方案，否则投标人有关替代方案的条款将初审不通过，作投标无效处理。</w:t>
      </w:r>
    </w:p>
    <w:p w14:paraId="4840DBF0">
      <w:pPr>
        <w:ind w:firstLine="411" w:firstLineChars="196"/>
        <w:rPr>
          <w:rFonts w:ascii="宋体" w:hAnsi="宋体"/>
          <w:szCs w:val="21"/>
        </w:rPr>
      </w:pPr>
      <w:r>
        <w:rPr>
          <w:rFonts w:hint="eastAsia" w:ascii="宋体" w:hAnsi="宋体"/>
          <w:szCs w:val="21"/>
        </w:rPr>
        <w:t>22.2 如果允许投标人提交替代方案，则准备提交替代方案的投标人除应提交一份满足招标文件（包括图纸和技术规范所示的基本技术设计）要求的投标文件外，还应提交需评审其替代方案所需的全部资料，包括项目方案书、技术规范、替代方案报价书、所建议的项目方案及有关的其它详细资料。</w:t>
      </w:r>
    </w:p>
    <w:bookmarkEnd w:id="62"/>
    <w:p w14:paraId="73E6BB6E">
      <w:pPr>
        <w:rPr>
          <w:rFonts w:ascii="黑体" w:hAnsi="宋体" w:eastAsia="黑体"/>
          <w:sz w:val="24"/>
        </w:rPr>
      </w:pPr>
      <w:r>
        <w:rPr>
          <w:rFonts w:hint="eastAsia" w:ascii="黑体" w:hAnsi="宋体" w:eastAsia="黑体"/>
          <w:sz w:val="24"/>
        </w:rPr>
        <w:t>23．</w:t>
      </w:r>
      <w:bookmarkStart w:id="63" w:name="_Hlk72402860"/>
      <w:r>
        <w:rPr>
          <w:rFonts w:ascii="黑体" w:hAnsi="宋体" w:eastAsia="黑体"/>
          <w:sz w:val="24"/>
        </w:rPr>
        <w:t>投标文件的</w:t>
      </w:r>
      <w:r>
        <w:rPr>
          <w:rFonts w:hint="eastAsia" w:ascii="黑体" w:hAnsi="宋体" w:eastAsia="黑体"/>
          <w:sz w:val="24"/>
        </w:rPr>
        <w:t>制作</w:t>
      </w:r>
      <w:r>
        <w:rPr>
          <w:rFonts w:ascii="黑体" w:hAnsi="宋体" w:eastAsia="黑体"/>
          <w:sz w:val="24"/>
        </w:rPr>
        <w:t>要求</w:t>
      </w:r>
    </w:p>
    <w:p w14:paraId="37E999F8">
      <w:pPr>
        <w:ind w:firstLine="411" w:firstLineChars="196"/>
        <w:rPr>
          <w:rFonts w:hint="eastAsia" w:ascii="宋体" w:hAnsi="宋体"/>
        </w:rPr>
      </w:pPr>
      <w:r>
        <w:rPr>
          <w:rFonts w:hint="eastAsia" w:ascii="宋体" w:hAnsi="宋体"/>
        </w:rPr>
        <w:t>23.1投标人应准备所投项目的电子投标文件一份。此电子投标文件须由投标人根据政府集中采购机构提供的后缀名为</w:t>
      </w:r>
      <w:r>
        <w:rPr>
          <w:rFonts w:ascii="宋体" w:hAnsi="宋体" w:eastAsia="宋体" w:cs="宋体"/>
          <w:sz w:val="24"/>
          <w:szCs w:val="24"/>
        </w:rPr>
        <w:t>.TYZB</w:t>
      </w:r>
      <w:r>
        <w:rPr>
          <w:rFonts w:hint="eastAsia" w:ascii="宋体" w:hAnsi="宋体"/>
          <w:highlight w:val="none"/>
        </w:rPr>
        <w:t>的电子招标文件，下载并使用相应的深圳政府采购自行采购系统投标文件制作专用软件打开招标文件（</w:t>
      </w:r>
      <w:r>
        <w:rPr>
          <w:rFonts w:ascii="宋体" w:hAnsi="宋体" w:eastAsia="宋体" w:cs="宋体"/>
          <w:sz w:val="24"/>
          <w:szCs w:val="24"/>
        </w:rPr>
        <w:t>.TYZB</w:t>
      </w:r>
      <w:r>
        <w:rPr>
          <w:rFonts w:hint="eastAsia" w:ascii="宋体" w:hAnsi="宋体"/>
          <w:highlight w:val="none"/>
        </w:rPr>
        <w:t>格式）【下载地址：</w:t>
      </w:r>
      <w:r>
        <w:rPr>
          <w:rFonts w:hint="eastAsia" w:ascii="宋体" w:hAnsi="宋体"/>
          <w:highlight w:val="none"/>
        </w:rPr>
        <w:fldChar w:fldCharType="begin"/>
      </w:r>
      <w:r>
        <w:rPr>
          <w:rFonts w:hint="eastAsia" w:ascii="宋体" w:hAnsi="宋体"/>
          <w:highlight w:val="none"/>
        </w:rPr>
        <w:instrText xml:space="preserve"> HYPERLINK "https://www.szggzy.com/jyfw/details.html?contentId=2053275】。" </w:instrText>
      </w:r>
      <w:r>
        <w:rPr>
          <w:rFonts w:hint="eastAsia" w:ascii="宋体" w:hAnsi="宋体"/>
          <w:highlight w:val="none"/>
        </w:rPr>
        <w:fldChar w:fldCharType="separate"/>
      </w:r>
      <w:r>
        <w:rPr>
          <w:rStyle w:val="48"/>
          <w:rFonts w:hint="eastAsia" w:ascii="宋体" w:hAnsi="宋体"/>
          <w:highlight w:val="none"/>
        </w:rPr>
        <w:t>https://www.szggzy.com/jyfw/details.html?contentId=2053275】。</w:t>
      </w:r>
      <w:r>
        <w:rPr>
          <w:rFonts w:hint="eastAsia" w:ascii="宋体" w:hAnsi="宋体"/>
          <w:highlight w:val="none"/>
        </w:rPr>
        <w:fldChar w:fldCharType="end"/>
      </w:r>
    </w:p>
    <w:p w14:paraId="765605D5">
      <w:pPr>
        <w:ind w:firstLine="411" w:firstLineChars="196"/>
        <w:rPr>
          <w:rFonts w:ascii="宋体" w:hAnsi="宋体"/>
        </w:rPr>
      </w:pPr>
      <w:r>
        <w:rPr>
          <w:rFonts w:hint="eastAsia" w:ascii="宋体" w:hAnsi="宋体"/>
        </w:rPr>
        <w:t>23.2投标人在使用《投标书编制软件》编制投标书时须注意：</w:t>
      </w:r>
    </w:p>
    <w:p w14:paraId="52CB41CF">
      <w:pPr>
        <w:ind w:firstLine="411" w:firstLineChars="196"/>
        <w:rPr>
          <w:rFonts w:ascii="宋体" w:hAnsi="宋体"/>
        </w:rPr>
      </w:pPr>
      <w:r>
        <w:rPr>
          <w:rFonts w:hint="eastAsia" w:ascii="宋体" w:hAnsi="宋体"/>
        </w:rPr>
        <w:t>23.2.1导入《投标书编制软件》的招标文件项目编号、包号应与以此制作的投标文件项目编号、包号一致。例如，不能将甲项目A包的招标书导入《投标书编制软件》，制作乙项目B包的投标书。</w:t>
      </w:r>
    </w:p>
    <w:p w14:paraId="49A82BF5">
      <w:pPr>
        <w:ind w:firstLine="411" w:firstLineChars="196"/>
        <w:rPr>
          <w:rFonts w:ascii="宋体" w:hAnsi="宋体"/>
        </w:rPr>
      </w:pPr>
      <w:r>
        <w:rPr>
          <w:rFonts w:hint="eastAsia" w:ascii="宋体" w:hAnsi="宋体"/>
        </w:rPr>
        <w:t>23.2.2不能用非本公司的电子密钥加密本公司的投标文件，或者用其它公司的登录用户上传本公司的投标文件。</w:t>
      </w:r>
    </w:p>
    <w:p w14:paraId="5882B497">
      <w:pPr>
        <w:ind w:firstLine="411" w:firstLineChars="196"/>
        <w:rPr>
          <w:rFonts w:ascii="宋体" w:hAnsi="宋体"/>
        </w:rPr>
      </w:pPr>
      <w:r>
        <w:rPr>
          <w:rFonts w:hint="eastAsia" w:ascii="宋体" w:hAnsi="宋体"/>
        </w:rPr>
        <w:t>23.2.3要求用《投标书编制软件》编制投标书的包，不能用其它方式编制投标书。编制投标文件时，电脑须连通互联网。</w:t>
      </w:r>
    </w:p>
    <w:p w14:paraId="268BC6FD">
      <w:pPr>
        <w:ind w:firstLine="411" w:firstLineChars="196"/>
        <w:rPr>
          <w:rFonts w:ascii="宋体" w:hAnsi="宋体"/>
        </w:rPr>
      </w:pPr>
      <w:r>
        <w:rPr>
          <w:rFonts w:hint="eastAsia" w:ascii="宋体" w:hAnsi="宋体"/>
        </w:rPr>
        <w:t>23.2.4投标文件不能带病毒。政府集中采购机构将用专业杀毒软件对投标文件进行病毒检测，如果这两种软件均报告发现病毒，则政府集中采购机构认为该投标文件带病毒。</w:t>
      </w:r>
    </w:p>
    <w:p w14:paraId="5E418445">
      <w:pPr>
        <w:ind w:firstLine="411" w:firstLineChars="196"/>
        <w:rPr>
          <w:rFonts w:ascii="宋体" w:hAnsi="宋体"/>
        </w:rPr>
      </w:pPr>
      <w:r>
        <w:rPr>
          <w:rFonts w:hint="eastAsia" w:ascii="宋体" w:hAnsi="宋体"/>
        </w:rPr>
        <w:t>23.2.5完整填写“投标关键信息”</w:t>
      </w:r>
      <w:r>
        <w:rPr>
          <w:rFonts w:hint="eastAsia" w:ascii="宋体" w:hAnsi="宋体"/>
          <w:lang w:eastAsia="zh-CN"/>
        </w:rPr>
        <w:t>。</w:t>
      </w:r>
    </w:p>
    <w:p w14:paraId="63D0379D">
      <w:pPr>
        <w:ind w:firstLine="411" w:firstLineChars="196"/>
        <w:rPr>
          <w:rFonts w:ascii="宋体" w:hAnsi="宋体"/>
        </w:rPr>
      </w:pPr>
      <w:r>
        <w:rPr>
          <w:rFonts w:hint="eastAsia" w:ascii="宋体" w:hAnsi="宋体"/>
        </w:rPr>
        <w:t>23.2.6投标人在编辑投标文件时，</w:t>
      </w:r>
      <w:r>
        <w:rPr>
          <w:rFonts w:hint="eastAsia" w:ascii="宋体" w:hAnsi="宋体"/>
          <w:b/>
        </w:rPr>
        <w:t>在投标文件目录中属于本节点内容的必须在本节点中填写，填写到其他节点或附件，</w:t>
      </w:r>
      <w:r>
        <w:rPr>
          <w:rFonts w:hint="eastAsia" w:ascii="宋体" w:hAnsi="宋体"/>
        </w:rPr>
        <w:t>一切后果由供应商自行承担。</w:t>
      </w:r>
    </w:p>
    <w:p w14:paraId="3A948C96">
      <w:pPr>
        <w:ind w:firstLine="411" w:firstLineChars="196"/>
        <w:rPr>
          <w:rFonts w:ascii="宋体" w:hAnsi="宋体"/>
        </w:rPr>
      </w:pPr>
      <w:r>
        <w:rPr>
          <w:rFonts w:hint="eastAsia" w:ascii="宋体" w:hAnsi="宋体"/>
        </w:rPr>
        <w:t>23.2.7投标文件编写完成后，</w:t>
      </w:r>
      <w:r>
        <w:rPr>
          <w:rFonts w:hint="eastAsia" w:ascii="宋体" w:hAnsi="宋体"/>
          <w:b/>
        </w:rPr>
        <w:t>必须用属于投标人的电子密钥</w:t>
      </w:r>
      <w:r>
        <w:rPr>
          <w:rFonts w:hint="eastAsia" w:ascii="宋体" w:hAnsi="宋体"/>
          <w:b/>
          <w:lang w:val="en-US" w:eastAsia="zh-CN"/>
        </w:rPr>
        <w:t>或电子营业执照</w:t>
      </w:r>
      <w:r>
        <w:rPr>
          <w:rFonts w:hint="eastAsia" w:ascii="宋体" w:hAnsi="宋体"/>
          <w:b/>
        </w:rPr>
        <w:t>进行加密，否则视同未盖公章，将导致投标文件无效。</w:t>
      </w:r>
    </w:p>
    <w:p w14:paraId="5902FFA9">
      <w:pPr>
        <w:ind w:firstLine="411" w:firstLineChars="196"/>
        <w:rPr>
          <w:rFonts w:ascii="宋体" w:hAnsi="宋体"/>
        </w:rPr>
      </w:pPr>
      <w:r>
        <w:rPr>
          <w:rFonts w:hint="eastAsia" w:ascii="宋体" w:hAnsi="宋体"/>
        </w:rPr>
        <w:t>23.2.8政府集中采购机构不接受投标截止时间后递交的纸质、电子、传真等所有形式的投标文件。由于对网上政府采购系统操作不熟悉或自身电脑、网络等原因导致不能在投标截止时间之前上传投标文件，政府集中采购机构概不负责。建议于开标前一个工作日完成投标文件的制作与上传，如上传确有困难，请及时咨询。</w:t>
      </w:r>
    </w:p>
    <w:p w14:paraId="7A7C6040">
      <w:pPr>
        <w:ind w:firstLine="411" w:firstLineChars="196"/>
        <w:rPr>
          <w:rFonts w:ascii="宋体" w:hAnsi="宋体"/>
        </w:rPr>
      </w:pPr>
      <w:r>
        <w:rPr>
          <w:rFonts w:hint="eastAsia" w:ascii="宋体" w:hAnsi="宋体"/>
        </w:rPr>
        <w:t>23.2.9如果开标时出现网络故障、技术故障，影响了政府采购活动，政府集中采购机构有权采取措施如延期、接受无法从网上上传的投标书等，以保障政府采购活动的公开、公平和公正。</w:t>
      </w:r>
    </w:p>
    <w:p w14:paraId="00698409">
      <w:pPr>
        <w:ind w:firstLine="411" w:firstLineChars="196"/>
        <w:rPr>
          <w:rFonts w:ascii="宋体" w:hAnsi="宋体"/>
        </w:rPr>
      </w:pPr>
      <w:r>
        <w:rPr>
          <w:rFonts w:hint="eastAsia" w:ascii="宋体" w:hAnsi="宋体"/>
        </w:rPr>
        <w:t>23.3电报、电话、传真形式的投标概不接受。</w:t>
      </w:r>
    </w:p>
    <w:p w14:paraId="0AB126ED">
      <w:pPr>
        <w:ind w:firstLine="413" w:firstLineChars="196"/>
        <w:rPr>
          <w:rFonts w:ascii="宋体" w:hAnsi="宋体"/>
          <w:b/>
        </w:rPr>
      </w:pPr>
      <w:r>
        <w:rPr>
          <w:rFonts w:hint="eastAsia" w:ascii="宋体" w:hAnsi="宋体"/>
          <w:b/>
        </w:rPr>
        <w:t>23.4经投标人电子密钥</w:t>
      </w:r>
      <w:r>
        <w:rPr>
          <w:rFonts w:hint="eastAsia" w:ascii="宋体" w:hAnsi="宋体"/>
          <w:b/>
          <w:lang w:val="en-US" w:eastAsia="zh-CN"/>
        </w:rPr>
        <w:t>或电子营业执照</w:t>
      </w:r>
      <w:r>
        <w:rPr>
          <w:rFonts w:hint="eastAsia" w:ascii="宋体" w:hAnsi="宋体"/>
          <w:b/>
        </w:rPr>
        <w:t>加密的投标文件无须盖章或签字，</w:t>
      </w:r>
      <w:r>
        <w:rPr>
          <w:rFonts w:hint="eastAsia" w:ascii="宋体" w:hAnsi="宋体"/>
        </w:rPr>
        <w:t>专用条款另有要求的除外。</w:t>
      </w:r>
    </w:p>
    <w:p w14:paraId="4A53351A">
      <w:pPr>
        <w:ind w:firstLine="413" w:firstLineChars="196"/>
        <w:rPr>
          <w:rFonts w:ascii="宋体" w:hAnsi="宋体"/>
        </w:rPr>
      </w:pPr>
      <w:r>
        <w:rPr>
          <w:rFonts w:hint="eastAsia" w:ascii="宋体" w:hAnsi="宋体"/>
          <w:b/>
        </w:rPr>
        <w:t>23.5</w:t>
      </w:r>
      <w:r>
        <w:rPr>
          <w:rFonts w:hint="eastAsia" w:ascii="宋体" w:hAnsi="宋体"/>
        </w:rPr>
        <w:t xml:space="preserve"> 各类资格（资质）文件提供扫描件，专用条款另有要求的除外。</w:t>
      </w:r>
      <w:bookmarkEnd w:id="63"/>
    </w:p>
    <w:p w14:paraId="20132705">
      <w:pPr>
        <w:ind w:firstLine="411" w:firstLineChars="196"/>
        <w:rPr>
          <w:rFonts w:ascii="宋体" w:hAnsi="宋体"/>
          <w:szCs w:val="21"/>
        </w:rPr>
      </w:pPr>
    </w:p>
    <w:p w14:paraId="22F91B46">
      <w:pPr>
        <w:pStyle w:val="5"/>
        <w:numPr>
          <w:ilvl w:val="0"/>
          <w:numId w:val="13"/>
        </w:numPr>
        <w:spacing w:before="120" w:beforeLines="50" w:after="120" w:afterLines="50"/>
        <w:ind w:left="562" w:hanging="562"/>
        <w:rPr>
          <w:sz w:val="28"/>
          <w:szCs w:val="28"/>
        </w:rPr>
      </w:pPr>
      <w:r>
        <w:rPr>
          <w:rFonts w:hint="eastAsia"/>
          <w:sz w:val="28"/>
          <w:szCs w:val="28"/>
        </w:rPr>
        <w:t>投标文件的递交</w:t>
      </w:r>
    </w:p>
    <w:p w14:paraId="41662140">
      <w:pPr>
        <w:rPr>
          <w:rFonts w:ascii="黑体" w:hAnsi="宋体" w:eastAsia="黑体"/>
          <w:sz w:val="24"/>
        </w:rPr>
      </w:pPr>
      <w:bookmarkStart w:id="64" w:name="_Hlk72405459"/>
      <w:r>
        <w:rPr>
          <w:rFonts w:hint="eastAsia" w:ascii="黑体" w:hAnsi="宋体" w:eastAsia="黑体"/>
          <w:sz w:val="24"/>
        </w:rPr>
        <w:t>24．投标文件的保密</w:t>
      </w:r>
    </w:p>
    <w:p w14:paraId="5DA238A1">
      <w:pPr>
        <w:spacing w:line="276" w:lineRule="auto"/>
        <w:ind w:firstLine="422" w:firstLineChars="200"/>
        <w:rPr>
          <w:rFonts w:hint="eastAsia"/>
          <w:b/>
          <w:bCs/>
        </w:rPr>
      </w:pPr>
      <w:r>
        <w:rPr>
          <w:rFonts w:hint="eastAsia"/>
          <w:b/>
          <w:bCs/>
        </w:rPr>
        <w:t xml:space="preserve">24.1在投标文件制作完成后，生成后会选择是否加密投标文件，如不加密则直接点击生成文件即可，如需加密请插入CA锁，点击加密后生成文件，需输入CA锁密码即可加密成功。加密后会提示文件生成成功！(注意：加密的投标文件开标时须使用加密文件时使用的锁在项目规定时间内解密！) </w:t>
      </w:r>
    </w:p>
    <w:p w14:paraId="70616EE5">
      <w:pPr>
        <w:spacing w:line="276" w:lineRule="auto"/>
        <w:ind w:firstLine="422" w:firstLineChars="200"/>
        <w:rPr>
          <w:b/>
        </w:rPr>
      </w:pPr>
      <w:r>
        <w:rPr>
          <w:b/>
        </w:rPr>
        <w:t>24.2若采购项目出现延期情况：</w:t>
      </w:r>
    </w:p>
    <w:p w14:paraId="60ED355D">
      <w:pPr>
        <w:spacing w:line="276" w:lineRule="auto"/>
        <w:ind w:firstLine="422" w:firstLineChars="200"/>
        <w:rPr>
          <w:rFonts w:ascii="Times New Roman" w:hAnsi="Times New Roman" w:eastAsia="黑体" w:cs="Times New Roman"/>
          <w:b/>
          <w:sz w:val="24"/>
          <w:szCs w:val="24"/>
        </w:rPr>
      </w:pPr>
      <w:r>
        <w:rPr>
          <w:rFonts w:ascii="Times New Roman" w:hAnsi="Times New Roman" w:eastAsia="宋体" w:cs="Times New Roman"/>
          <w:b/>
          <w:szCs w:val="24"/>
        </w:rPr>
        <w:t>如果供下载的招标文件有更新，投标人必须重新下载招标文件、重新制作投标文件、重新加密投标文件、重新上传投标文件。</w:t>
      </w:r>
    </w:p>
    <w:p w14:paraId="4B5B1C57">
      <w:pPr>
        <w:spacing w:line="276" w:lineRule="auto"/>
        <w:rPr>
          <w:rFonts w:eastAsia="黑体"/>
          <w:sz w:val="24"/>
        </w:rPr>
      </w:pPr>
      <w:r>
        <w:rPr>
          <w:rFonts w:eastAsia="黑体"/>
          <w:sz w:val="24"/>
        </w:rPr>
        <w:t>25．上传投标文件及投标截止日期</w:t>
      </w:r>
    </w:p>
    <w:p w14:paraId="1B847862">
      <w:pPr>
        <w:ind w:firstLine="411" w:firstLineChars="196"/>
        <w:rPr>
          <w:rFonts w:hint="eastAsia" w:ascii="宋体" w:hAnsi="宋体"/>
        </w:rPr>
      </w:pPr>
      <w:r>
        <w:t>25.1</w:t>
      </w:r>
      <w:r>
        <w:rPr>
          <w:b/>
          <w:bCs/>
        </w:rPr>
        <w:t>实行网上投标，</w:t>
      </w:r>
      <w:r>
        <w:rPr>
          <w:rFonts w:hint="eastAsia"/>
          <w:b/>
          <w:bCs/>
        </w:rPr>
        <w:t>投标人必须在招标文件规定的投标截止时间前用电子密钥登录“深圳市自行采购系统（https://trade.szggzy.com/ggzy/center/#/login）”上传投标文件。如上传过程中遇到问题，可拨打采购公告中的技术支持电话，联系方式：0755-36568999 1转7（按1再转7）。</w:t>
      </w:r>
    </w:p>
    <w:p w14:paraId="7A449AF9">
      <w:pPr>
        <w:ind w:firstLine="411" w:firstLineChars="196"/>
        <w:rPr>
          <w:rFonts w:ascii="宋体" w:hAnsi="宋体"/>
        </w:rPr>
      </w:pPr>
      <w:r>
        <w:rPr>
          <w:rFonts w:hint="eastAsia" w:ascii="宋体" w:hAnsi="宋体"/>
        </w:rPr>
        <w:t>25.2政府集中采购机构可以按本通用条款第13条规定，通过修改招标文件自行决定酌情延长投标截止期。在此情况下，政府集中采购机构、采购人和投标人受投标截止期制约的所有权利和义务均应延长至新的截止期。</w:t>
      </w:r>
    </w:p>
    <w:p w14:paraId="52D475CA">
      <w:pPr>
        <w:ind w:firstLine="411" w:firstLineChars="196"/>
        <w:rPr>
          <w:rFonts w:ascii="宋体" w:hAnsi="宋体"/>
        </w:rPr>
      </w:pPr>
      <w:r>
        <w:rPr>
          <w:rFonts w:hint="eastAsia" w:ascii="宋体" w:hAnsi="宋体"/>
        </w:rPr>
        <w:t>25</w:t>
      </w:r>
      <w:r>
        <w:rPr>
          <w:rFonts w:ascii="宋体" w:hAnsi="宋体"/>
        </w:rPr>
        <w:t>.</w:t>
      </w:r>
      <w:r>
        <w:rPr>
          <w:rFonts w:hint="eastAsia" w:ascii="宋体" w:hAnsi="宋体"/>
        </w:rPr>
        <w:t>3投标截止时间以后不得上传投标文件。</w:t>
      </w:r>
    </w:p>
    <w:p w14:paraId="4A0A9115">
      <w:pPr>
        <w:ind w:firstLine="411" w:firstLineChars="196"/>
        <w:rPr>
          <w:rFonts w:ascii="宋体" w:hAnsi="宋体"/>
        </w:rPr>
      </w:pPr>
    </w:p>
    <w:bookmarkEnd w:id="64"/>
    <w:p w14:paraId="2D238081">
      <w:pPr>
        <w:rPr>
          <w:rFonts w:ascii="黑体" w:hAnsi="宋体" w:eastAsia="黑体"/>
          <w:sz w:val="24"/>
        </w:rPr>
      </w:pPr>
      <w:r>
        <w:rPr>
          <w:rFonts w:hint="eastAsia" w:ascii="黑体" w:hAnsi="宋体" w:eastAsia="黑体"/>
          <w:sz w:val="24"/>
        </w:rPr>
        <w:t>26. 样品、现场演示、方案讲解</w:t>
      </w:r>
    </w:p>
    <w:p w14:paraId="1FD7765C">
      <w:pPr>
        <w:ind w:firstLine="411" w:firstLineChars="196"/>
        <w:rPr>
          <w:rFonts w:ascii="宋体" w:hAnsi="宋体"/>
          <w:szCs w:val="21"/>
        </w:rPr>
      </w:pPr>
      <w:r>
        <w:rPr>
          <w:rFonts w:hint="eastAsia" w:ascii="宋体" w:hAnsi="宋体"/>
          <w:szCs w:val="21"/>
        </w:rPr>
        <w:t>26.1 样品、现场演示、方案讲解等事项在招标文件专用条款中进行规定。</w:t>
      </w:r>
    </w:p>
    <w:p w14:paraId="4226BFB0">
      <w:pPr>
        <w:rPr>
          <w:rFonts w:ascii="黑体" w:hAnsi="宋体" w:eastAsia="黑体"/>
          <w:sz w:val="24"/>
        </w:rPr>
      </w:pPr>
      <w:bookmarkStart w:id="65" w:name="_Hlk72428346"/>
      <w:r>
        <w:rPr>
          <w:rFonts w:ascii="黑体" w:hAnsi="宋体" w:eastAsia="黑体"/>
          <w:sz w:val="24"/>
        </w:rPr>
        <w:t>2</w:t>
      </w:r>
      <w:r>
        <w:rPr>
          <w:rFonts w:hint="eastAsia" w:ascii="黑体" w:hAnsi="宋体" w:eastAsia="黑体"/>
          <w:sz w:val="24"/>
        </w:rPr>
        <w:t>7．</w:t>
      </w:r>
      <w:r>
        <w:rPr>
          <w:rFonts w:ascii="黑体" w:hAnsi="宋体" w:eastAsia="黑体"/>
          <w:sz w:val="24"/>
        </w:rPr>
        <w:t>投标文件的修改和撤销</w:t>
      </w:r>
    </w:p>
    <w:p w14:paraId="355D0539">
      <w:pPr>
        <w:ind w:firstLine="411" w:firstLineChars="196"/>
        <w:rPr>
          <w:rFonts w:ascii="宋体" w:hAnsi="宋体"/>
        </w:rPr>
      </w:pPr>
      <w:r>
        <w:rPr>
          <w:rFonts w:ascii="宋体" w:hAnsi="宋体"/>
        </w:rPr>
        <w:t>2</w:t>
      </w:r>
      <w:r>
        <w:rPr>
          <w:rFonts w:hint="eastAsia" w:ascii="宋体" w:hAnsi="宋体"/>
        </w:rPr>
        <w:t>7</w:t>
      </w:r>
      <w:r>
        <w:rPr>
          <w:rFonts w:ascii="宋体" w:hAnsi="宋体"/>
        </w:rPr>
        <w:t>.</w:t>
      </w:r>
      <w:r>
        <w:rPr>
          <w:rFonts w:hint="eastAsia" w:ascii="宋体" w:hAnsi="宋体"/>
        </w:rPr>
        <w:t>1</w:t>
      </w:r>
      <w:r>
        <w:rPr>
          <w:rFonts w:ascii="宋体" w:hAnsi="宋体"/>
        </w:rPr>
        <w:t>投标方在提交投标文件后可对其投标文件进行修改</w:t>
      </w:r>
      <w:r>
        <w:rPr>
          <w:rFonts w:hint="eastAsia" w:ascii="宋体" w:hAnsi="宋体"/>
        </w:rPr>
        <w:t>并重新上传投标文件</w:t>
      </w:r>
      <w:r>
        <w:rPr>
          <w:rFonts w:ascii="宋体" w:hAnsi="宋体"/>
        </w:rPr>
        <w:t>或</w:t>
      </w:r>
      <w:r>
        <w:rPr>
          <w:rFonts w:hint="eastAsia" w:ascii="宋体" w:hAnsi="宋体"/>
        </w:rPr>
        <w:t>在网上进行</w:t>
      </w:r>
      <w:r>
        <w:rPr>
          <w:rFonts w:ascii="宋体" w:hAnsi="宋体"/>
        </w:rPr>
        <w:t>撤销</w:t>
      </w:r>
      <w:r>
        <w:rPr>
          <w:rFonts w:hint="eastAsia" w:ascii="宋体" w:hAnsi="宋体"/>
        </w:rPr>
        <w:t>投标的操作</w:t>
      </w:r>
      <w:r>
        <w:rPr>
          <w:rFonts w:ascii="宋体" w:hAnsi="宋体"/>
        </w:rPr>
        <w:t>。</w:t>
      </w:r>
    </w:p>
    <w:p w14:paraId="5C4565E2">
      <w:pPr>
        <w:ind w:firstLine="411" w:firstLineChars="196"/>
        <w:rPr>
          <w:rFonts w:ascii="宋体" w:hAnsi="宋体"/>
        </w:rPr>
      </w:pPr>
      <w:r>
        <w:rPr>
          <w:rFonts w:ascii="宋体" w:hAnsi="宋体"/>
        </w:rPr>
        <w:t>2</w:t>
      </w:r>
      <w:r>
        <w:rPr>
          <w:rFonts w:hint="eastAsia" w:ascii="宋体" w:hAnsi="宋体"/>
        </w:rPr>
        <w:t>7</w:t>
      </w:r>
      <w:r>
        <w:rPr>
          <w:rFonts w:ascii="宋体" w:hAnsi="宋体"/>
        </w:rPr>
        <w:t>.</w:t>
      </w:r>
      <w:r>
        <w:rPr>
          <w:rFonts w:hint="eastAsia" w:ascii="宋体" w:hAnsi="宋体"/>
        </w:rPr>
        <w:t>2</w:t>
      </w:r>
      <w:r>
        <w:rPr>
          <w:rFonts w:ascii="宋体" w:hAnsi="宋体"/>
        </w:rPr>
        <w:t>投标截止时间以后不得修改投标文件。</w:t>
      </w:r>
    </w:p>
    <w:p w14:paraId="272C2CD4">
      <w:pPr>
        <w:ind w:firstLine="411" w:firstLineChars="196"/>
        <w:rPr>
          <w:rFonts w:ascii="宋体" w:hAnsi="宋体"/>
        </w:rPr>
      </w:pPr>
      <w:r>
        <w:rPr>
          <w:rFonts w:ascii="宋体" w:hAnsi="宋体"/>
        </w:rPr>
        <w:t>2</w:t>
      </w:r>
      <w:r>
        <w:rPr>
          <w:rFonts w:hint="eastAsia" w:ascii="宋体" w:hAnsi="宋体"/>
        </w:rPr>
        <w:t>7</w:t>
      </w:r>
      <w:r>
        <w:rPr>
          <w:rFonts w:ascii="宋体" w:hAnsi="宋体"/>
        </w:rPr>
        <w:t>.</w:t>
      </w:r>
      <w:r>
        <w:rPr>
          <w:rFonts w:hint="eastAsia" w:ascii="宋体" w:hAnsi="宋体"/>
        </w:rPr>
        <w:t>3从投标截止期至投标人在投标文件中确定的投标有效期之间的这段时间内，投标人不得撤回其投标。</w:t>
      </w:r>
    </w:p>
    <w:p w14:paraId="2B0AAD60">
      <w:pPr>
        <w:ind w:firstLine="411" w:firstLineChars="196"/>
        <w:rPr>
          <w:rFonts w:ascii="宋体" w:hAnsi="宋体"/>
          <w:szCs w:val="21"/>
        </w:rPr>
      </w:pPr>
      <w:r>
        <w:rPr>
          <w:rFonts w:hint="eastAsia" w:ascii="宋体" w:hAnsi="宋体"/>
          <w:szCs w:val="21"/>
        </w:rPr>
        <w:t>27.4政府集中采购机构不退还投标文件，专用条款另有规定的除外。</w:t>
      </w:r>
    </w:p>
    <w:bookmarkEnd w:id="65"/>
    <w:p w14:paraId="653648B3">
      <w:pPr>
        <w:pStyle w:val="5"/>
        <w:numPr>
          <w:ilvl w:val="0"/>
          <w:numId w:val="13"/>
        </w:numPr>
        <w:spacing w:before="120" w:beforeLines="50" w:after="120" w:afterLines="50"/>
        <w:ind w:left="562" w:hanging="562"/>
        <w:rPr>
          <w:sz w:val="28"/>
          <w:szCs w:val="28"/>
        </w:rPr>
      </w:pPr>
      <w:r>
        <w:rPr>
          <w:rFonts w:hint="eastAsia"/>
          <w:sz w:val="28"/>
          <w:szCs w:val="28"/>
        </w:rPr>
        <w:t>开标</w:t>
      </w:r>
    </w:p>
    <w:p w14:paraId="2EC417F4">
      <w:pPr>
        <w:rPr>
          <w:rFonts w:ascii="黑体" w:hAnsi="宋体" w:eastAsia="黑体"/>
          <w:sz w:val="24"/>
        </w:rPr>
      </w:pPr>
      <w:r>
        <w:rPr>
          <w:rFonts w:hint="eastAsia" w:ascii="黑体" w:hAnsi="宋体" w:eastAsia="黑体"/>
          <w:sz w:val="24"/>
        </w:rPr>
        <w:t>28．开标</w:t>
      </w:r>
    </w:p>
    <w:p w14:paraId="3D5CFD1F">
      <w:pPr>
        <w:ind w:firstLine="315" w:firstLineChars="150"/>
        <w:rPr>
          <w:rFonts w:hint="eastAsia" w:ascii="宋体" w:hAnsi="宋体"/>
          <w:szCs w:val="21"/>
        </w:rPr>
      </w:pPr>
      <w:r>
        <w:rPr>
          <w:szCs w:val="21"/>
        </w:rPr>
        <w:t>28.1</w:t>
      </w:r>
      <w:r>
        <w:rPr>
          <w:rFonts w:hint="eastAsia"/>
          <w:b/>
          <w:bCs/>
        </w:rPr>
        <w:t>投标人须在开标当日的开标时间至解密截止时间内进行解密，逾期未解密的作无效处理。解密方法：登录“深圳市自行采购系统（https://trade.szggzy.com/ggzy/center/#/login）”，使用本单位制作电子投标文件同一个电子密钥进行在线解密、查询开标情况。</w:t>
      </w:r>
    </w:p>
    <w:p w14:paraId="25C7CFDF">
      <w:pPr>
        <w:ind w:firstLine="315" w:firstLineChars="150"/>
        <w:rPr>
          <w:rFonts w:ascii="宋体" w:hAnsi="宋体"/>
          <w:szCs w:val="21"/>
        </w:rPr>
      </w:pPr>
      <w:r>
        <w:rPr>
          <w:rFonts w:hint="eastAsia" w:ascii="宋体" w:hAnsi="宋体"/>
          <w:szCs w:val="21"/>
        </w:rPr>
        <w:t>28.2 政府集中采购机构将在满足开标条件（①解密时间结束，解密后的投标供应商数量满足开标要求或②解密时间结束前所有投标供应商均完成投标文件解密）后，对投标文件进行开标，并在网上公布开标结果。</w:t>
      </w:r>
    </w:p>
    <w:p w14:paraId="105EDA88">
      <w:pPr>
        <w:ind w:firstLine="315" w:firstLineChars="150"/>
        <w:rPr>
          <w:rFonts w:ascii="宋体" w:hAnsi="宋体"/>
          <w:szCs w:val="21"/>
        </w:rPr>
      </w:pPr>
    </w:p>
    <w:p w14:paraId="279D6AEC">
      <w:pPr>
        <w:pStyle w:val="5"/>
        <w:numPr>
          <w:ilvl w:val="0"/>
          <w:numId w:val="13"/>
        </w:numPr>
        <w:spacing w:before="120" w:beforeLines="50" w:after="120" w:afterLines="50"/>
        <w:ind w:left="562" w:hanging="562"/>
        <w:rPr>
          <w:sz w:val="28"/>
          <w:szCs w:val="28"/>
        </w:rPr>
      </w:pPr>
      <w:r>
        <w:rPr>
          <w:rFonts w:hint="eastAsia"/>
          <w:sz w:val="28"/>
          <w:szCs w:val="28"/>
        </w:rPr>
        <w:t>评审要求</w:t>
      </w:r>
    </w:p>
    <w:p w14:paraId="1D4A9DC7">
      <w:pPr>
        <w:rPr>
          <w:rFonts w:ascii="黑体" w:hAnsi="宋体" w:eastAsia="黑体"/>
          <w:sz w:val="24"/>
        </w:rPr>
      </w:pPr>
      <w:r>
        <w:rPr>
          <w:rFonts w:hint="eastAsia" w:ascii="黑体" w:hAnsi="宋体" w:eastAsia="黑体"/>
          <w:sz w:val="24"/>
        </w:rPr>
        <w:t>29．评审委员会组成</w:t>
      </w:r>
    </w:p>
    <w:p w14:paraId="71E60260">
      <w:pPr>
        <w:ind w:firstLine="411" w:firstLineChars="196"/>
        <w:rPr>
          <w:rFonts w:ascii="宋体" w:hAnsi="宋体"/>
        </w:rPr>
      </w:pPr>
      <w:r>
        <w:rPr>
          <w:rFonts w:hint="eastAsia" w:ascii="宋体" w:hAnsi="宋体"/>
        </w:rPr>
        <w:t>29.1网上开标结束后召开评审会议，</w:t>
      </w:r>
      <w:r>
        <w:rPr>
          <w:rFonts w:hint="eastAsia" w:ascii="宋体" w:hAnsi="宋体"/>
          <w:szCs w:val="21"/>
        </w:rPr>
        <w:t>评审委员会</w:t>
      </w:r>
      <w:r>
        <w:rPr>
          <w:rFonts w:hint="eastAsia" w:ascii="宋体" w:hAnsi="宋体"/>
        </w:rPr>
        <w:t>由政府集中采购机构依法组建，负责评审活动。</w:t>
      </w:r>
    </w:p>
    <w:p w14:paraId="0B6CFD11">
      <w:pPr>
        <w:ind w:firstLine="411" w:firstLineChars="196"/>
        <w:rPr>
          <w:rFonts w:hint="eastAsia" w:ascii="宋体" w:hAnsi="宋体"/>
        </w:rPr>
      </w:pPr>
      <w:bookmarkStart w:id="66" w:name="_Hlk72436580"/>
      <w:r>
        <w:rPr>
          <w:rFonts w:hint="eastAsia" w:ascii="宋体" w:hAnsi="宋体"/>
        </w:rPr>
        <w:t>评审委员会由采购人代表和评审专家组成，成员人数应当为5人以上单数（部分条件下为7人以上单数），其中评审专家不得少于成员总数的三分之二。</w:t>
      </w:r>
      <w:bookmarkEnd w:id="66"/>
      <w:r>
        <w:rPr>
          <w:rFonts w:hint="eastAsia" w:ascii="宋体" w:hAnsi="宋体"/>
        </w:rPr>
        <w:t>评定</w:t>
      </w:r>
      <w:r>
        <w:rPr>
          <w:rFonts w:hint="eastAsia"/>
        </w:rPr>
        <w:t>分离项目</w:t>
      </w:r>
      <w:r>
        <w:t>评审专家</w:t>
      </w:r>
      <w:r>
        <w:rPr>
          <w:rFonts w:hint="eastAsia"/>
        </w:rPr>
        <w:t>均</w:t>
      </w:r>
      <w:r>
        <w:t>由</w:t>
      </w:r>
      <w:r>
        <w:rPr>
          <w:rFonts w:hint="eastAsia"/>
        </w:rPr>
        <w:t>评审专家组成。</w:t>
      </w:r>
      <w:r>
        <w:rPr>
          <w:rFonts w:hint="eastAsia" w:ascii="宋体" w:hAnsi="宋体"/>
          <w:szCs w:val="21"/>
        </w:rPr>
        <w:t>评审专家一般是</w:t>
      </w:r>
      <w:r>
        <w:rPr>
          <w:rFonts w:hint="eastAsia" w:ascii="宋体" w:hAnsi="宋体"/>
        </w:rPr>
        <w:t>从深圳市政府采购评审专家库中随机抽取。采购人代表须持本单位签发的《评审授权书》参加评审。</w:t>
      </w:r>
    </w:p>
    <w:p w14:paraId="46BF2613">
      <w:pPr>
        <w:pStyle w:val="8"/>
        <w:ind w:firstLine="422" w:firstLineChars="200"/>
      </w:pPr>
      <w:r>
        <w:rPr>
          <w:rFonts w:hint="eastAsia" w:ascii="宋体" w:hAnsi="宋体" w:eastAsia="宋体" w:cs="Times New Roman"/>
          <w:b/>
          <w:bCs/>
          <w:color w:val="FF0000"/>
          <w:kern w:val="2"/>
          <w:sz w:val="21"/>
          <w:szCs w:val="24"/>
          <w:lang w:val="en-US" w:eastAsia="zh-CN" w:bidi="ar-SA"/>
        </w:rPr>
        <w:t>根据财政部门要求，将食材、物业管理、清扫保洁、保安服务、家具、窗帘、园林绿化、社工服务、“城市管家”九类采购项目作为严管项目，实行“通用品目+专业品目”组合抽取制。严管项目的范围由市财政部门根据监管需要适时调整。上述所称专业品目是指，与项目采购标的相对应的品目，具体由采购人商采购代理机构根据项目需求自主确定。通用品目具体由会计、审计、法律、人力资源管理、资产评估、金融服务品目下的所有专家合并组成。专业品目下产生的专家人数占抽取总人数的比例不得超过50%（含本数），除此之外的专家均从通用品目库中随机抽取。注：属于严管项目，论证及评审抽取专家的规则均按此要求执行。</w:t>
      </w:r>
    </w:p>
    <w:p w14:paraId="3D5C0D92">
      <w:pPr>
        <w:ind w:firstLine="411" w:firstLineChars="196"/>
        <w:rPr>
          <w:rFonts w:ascii="宋体" w:hAnsi="宋体"/>
        </w:rPr>
      </w:pPr>
      <w:r>
        <w:rPr>
          <w:rFonts w:hint="eastAsia" w:ascii="宋体" w:hAnsi="宋体"/>
        </w:rPr>
        <w:t>29.2评审定标应当遵循公平、公正、科学、择优的原则。</w:t>
      </w:r>
    </w:p>
    <w:p w14:paraId="44978799">
      <w:pPr>
        <w:ind w:firstLine="411" w:firstLineChars="196"/>
        <w:rPr>
          <w:rFonts w:ascii="宋体" w:hAnsi="宋体"/>
        </w:rPr>
      </w:pPr>
      <w:r>
        <w:rPr>
          <w:rFonts w:hint="eastAsia" w:ascii="宋体" w:hAnsi="宋体"/>
        </w:rPr>
        <w:t>29.3评审活动依法进行，任何单位和个人不得非法干预评标过程和结果。</w:t>
      </w:r>
    </w:p>
    <w:p w14:paraId="17C3B5A7">
      <w:pPr>
        <w:ind w:firstLine="411" w:firstLineChars="196"/>
        <w:rPr>
          <w:rFonts w:ascii="宋体" w:hAnsi="宋体"/>
        </w:rPr>
      </w:pPr>
      <w:r>
        <w:rPr>
          <w:rFonts w:hint="eastAsia" w:ascii="宋体" w:hAnsi="宋体"/>
        </w:rPr>
        <w:t>29.4评审过程中不允许违背评标程序或采用招标文件未载明的评标方法或评标因素进行评标。</w:t>
      </w:r>
    </w:p>
    <w:p w14:paraId="6C953F4D">
      <w:pPr>
        <w:ind w:firstLine="411" w:firstLineChars="196"/>
        <w:rPr>
          <w:rFonts w:ascii="宋体" w:hAnsi="宋体"/>
          <w:bCs/>
        </w:rPr>
      </w:pPr>
      <w:r>
        <w:rPr>
          <w:rFonts w:hint="eastAsia" w:ascii="宋体" w:hAnsi="宋体"/>
          <w:bCs/>
        </w:rPr>
        <w:t>29.5 开标后，直到签订合同为止，凡属于对投标文件的审查、澄清、评价和比较的有关资料以及中标候选人的推荐情况、与评审有关的其他任何情况均严格保密（</w:t>
      </w:r>
      <w:r>
        <w:rPr>
          <w:rFonts w:hint="eastAsia"/>
        </w:rPr>
        <w:t>信息公开的内容除外</w:t>
      </w:r>
      <w:r>
        <w:rPr>
          <w:rFonts w:hint="eastAsia" w:ascii="宋体" w:hAnsi="宋体"/>
          <w:bCs/>
        </w:rPr>
        <w:t>）。</w:t>
      </w:r>
    </w:p>
    <w:p w14:paraId="3BB39C9A">
      <w:pPr>
        <w:rPr>
          <w:rFonts w:ascii="黑体" w:hAnsi="宋体" w:eastAsia="黑体"/>
          <w:sz w:val="24"/>
        </w:rPr>
      </w:pPr>
      <w:r>
        <w:rPr>
          <w:rFonts w:hint="eastAsia" w:ascii="黑体" w:hAnsi="宋体" w:eastAsia="黑体"/>
          <w:sz w:val="24"/>
        </w:rPr>
        <w:t>30．向评审委员会提供的资料</w:t>
      </w:r>
    </w:p>
    <w:p w14:paraId="7E089823">
      <w:pPr>
        <w:ind w:firstLine="411" w:firstLineChars="196"/>
        <w:rPr>
          <w:rFonts w:ascii="宋体" w:hAnsi="宋体"/>
        </w:rPr>
      </w:pPr>
      <w:r>
        <w:rPr>
          <w:rFonts w:hint="eastAsia" w:ascii="宋体" w:hAnsi="宋体"/>
        </w:rPr>
        <w:t>30.1公开发布的招标文件，包括图纸、服务清单、答疑文件等；</w:t>
      </w:r>
    </w:p>
    <w:p w14:paraId="61113B66">
      <w:pPr>
        <w:ind w:firstLine="411" w:firstLineChars="196"/>
        <w:rPr>
          <w:rFonts w:ascii="宋体" w:hAnsi="宋体"/>
        </w:rPr>
      </w:pPr>
      <w:r>
        <w:rPr>
          <w:rFonts w:hint="eastAsia" w:ascii="宋体" w:hAnsi="宋体"/>
        </w:rPr>
        <w:t>30.2其他评标必须的资料。</w:t>
      </w:r>
    </w:p>
    <w:p w14:paraId="52B2C989">
      <w:pPr>
        <w:ind w:firstLine="411" w:firstLineChars="196"/>
        <w:rPr>
          <w:rFonts w:ascii="宋体" w:hAnsi="宋体"/>
        </w:rPr>
      </w:pPr>
      <w:r>
        <w:rPr>
          <w:rFonts w:hint="eastAsia" w:ascii="宋体" w:hAnsi="宋体"/>
        </w:rPr>
        <w:t>30.3</w:t>
      </w:r>
      <w:r>
        <w:rPr>
          <w:rFonts w:hint="eastAsia" w:ascii="宋体" w:hAnsi="宋体"/>
          <w:szCs w:val="21"/>
        </w:rPr>
        <w:t>评审委员会</w:t>
      </w:r>
      <w:r>
        <w:rPr>
          <w:rFonts w:hint="eastAsia" w:ascii="宋体" w:hAnsi="宋体"/>
        </w:rPr>
        <w:t>应当认真研究招标文件，至少应了解熟悉以下内容：</w:t>
      </w:r>
    </w:p>
    <w:p w14:paraId="18ECD7E7">
      <w:pPr>
        <w:ind w:firstLine="411" w:firstLineChars="196"/>
        <w:rPr>
          <w:rFonts w:ascii="宋体" w:hAnsi="宋体"/>
        </w:rPr>
      </w:pPr>
      <w:r>
        <w:rPr>
          <w:rFonts w:hint="eastAsia" w:ascii="宋体" w:hAnsi="宋体"/>
        </w:rPr>
        <w:t>（1）招标的目的；</w:t>
      </w:r>
    </w:p>
    <w:p w14:paraId="1EE26823">
      <w:pPr>
        <w:ind w:firstLine="411" w:firstLineChars="196"/>
        <w:rPr>
          <w:rFonts w:ascii="宋体" w:hAnsi="宋体"/>
        </w:rPr>
      </w:pPr>
      <w:r>
        <w:rPr>
          <w:rFonts w:hint="eastAsia" w:ascii="宋体" w:hAnsi="宋体"/>
        </w:rPr>
        <w:t>（2）招标项目需求的范围和性质；</w:t>
      </w:r>
    </w:p>
    <w:p w14:paraId="1907637F">
      <w:pPr>
        <w:ind w:firstLine="411" w:firstLineChars="196"/>
        <w:rPr>
          <w:rFonts w:ascii="宋体" w:hAnsi="宋体"/>
        </w:rPr>
      </w:pPr>
      <w:r>
        <w:rPr>
          <w:rFonts w:hint="eastAsia" w:ascii="宋体" w:hAnsi="宋体"/>
        </w:rPr>
        <w:t>（3）招标文件规定的投标人的资格、财政预算限额、商务条款；</w:t>
      </w:r>
    </w:p>
    <w:p w14:paraId="635DD8ED">
      <w:pPr>
        <w:ind w:firstLine="411" w:firstLineChars="196"/>
        <w:rPr>
          <w:rFonts w:ascii="宋体" w:hAnsi="宋体"/>
        </w:rPr>
      </w:pPr>
      <w:r>
        <w:rPr>
          <w:rFonts w:hint="eastAsia" w:ascii="宋体" w:hAnsi="宋体"/>
        </w:rPr>
        <w:t>（4）招标文件规定的评标程序、评标方法和评标因素；</w:t>
      </w:r>
    </w:p>
    <w:p w14:paraId="3F7CB1DF">
      <w:pPr>
        <w:ind w:firstLine="411" w:firstLineChars="196"/>
        <w:rPr>
          <w:rFonts w:ascii="宋体" w:hAnsi="宋体"/>
        </w:rPr>
      </w:pPr>
      <w:r>
        <w:rPr>
          <w:rFonts w:hint="eastAsia" w:ascii="宋体" w:hAnsi="宋体"/>
        </w:rPr>
        <w:t>（5）招标文件所列示的资格性审查表及符合性审查表。</w:t>
      </w:r>
    </w:p>
    <w:p w14:paraId="0FA25E6B">
      <w:pPr>
        <w:rPr>
          <w:rFonts w:ascii="黑体" w:hAnsi="宋体" w:eastAsia="黑体"/>
          <w:sz w:val="24"/>
        </w:rPr>
      </w:pPr>
      <w:r>
        <w:rPr>
          <w:rFonts w:hint="eastAsia" w:ascii="黑体" w:hAnsi="宋体" w:eastAsia="黑体"/>
          <w:sz w:val="24"/>
        </w:rPr>
        <w:t>31．独立评审</w:t>
      </w:r>
    </w:p>
    <w:p w14:paraId="56BD22D9">
      <w:pPr>
        <w:ind w:firstLine="411" w:firstLineChars="196"/>
        <w:rPr>
          <w:rFonts w:ascii="宋体" w:hAnsi="宋体"/>
          <w:bCs/>
        </w:rPr>
      </w:pPr>
      <w:r>
        <w:rPr>
          <w:rFonts w:hint="eastAsia" w:ascii="宋体" w:hAnsi="宋体"/>
          <w:bCs/>
        </w:rPr>
        <w:t>3</w:t>
      </w:r>
      <w:r>
        <w:rPr>
          <w:rFonts w:ascii="宋体" w:hAnsi="宋体"/>
          <w:bCs/>
        </w:rPr>
        <w:t>1</w:t>
      </w:r>
      <w:r>
        <w:rPr>
          <w:rFonts w:hint="eastAsia" w:ascii="宋体" w:hAnsi="宋体"/>
          <w:bCs/>
        </w:rPr>
        <w:t>.1</w:t>
      </w:r>
      <w:r>
        <w:rPr>
          <w:rFonts w:hint="eastAsia" w:ascii="宋体" w:hAnsi="宋体"/>
          <w:szCs w:val="21"/>
        </w:rPr>
        <w:t>评审委员会</w:t>
      </w:r>
      <w:r>
        <w:rPr>
          <w:rFonts w:hint="eastAsia" w:ascii="宋体" w:hAnsi="宋体"/>
          <w:bCs/>
        </w:rPr>
        <w:t>成员的评标活动应当独立进行，并应遵循投标文件初审、澄清有关问题、比较与评价、确定中标供应商、编写评审报告的工作程序。</w:t>
      </w:r>
    </w:p>
    <w:p w14:paraId="26EFA05F">
      <w:pPr>
        <w:ind w:firstLine="411" w:firstLineChars="196"/>
        <w:rPr>
          <w:rFonts w:ascii="宋体" w:hAnsi="宋体"/>
          <w:bCs/>
          <w:szCs w:val="21"/>
        </w:rPr>
      </w:pPr>
    </w:p>
    <w:p w14:paraId="3639DA3D">
      <w:pPr>
        <w:pStyle w:val="5"/>
        <w:numPr>
          <w:ilvl w:val="0"/>
          <w:numId w:val="13"/>
        </w:numPr>
        <w:spacing w:before="120" w:beforeLines="50" w:after="120" w:afterLines="50"/>
        <w:ind w:left="562" w:hanging="562"/>
        <w:rPr>
          <w:sz w:val="28"/>
          <w:szCs w:val="28"/>
        </w:rPr>
      </w:pPr>
      <w:r>
        <w:rPr>
          <w:rFonts w:hint="eastAsia"/>
          <w:sz w:val="28"/>
          <w:szCs w:val="28"/>
        </w:rPr>
        <w:t>评审程序及评审方法</w:t>
      </w:r>
    </w:p>
    <w:p w14:paraId="0C86461B">
      <w:pPr>
        <w:rPr>
          <w:rFonts w:ascii="黑体" w:hAnsi="宋体" w:eastAsia="黑体"/>
          <w:sz w:val="24"/>
        </w:rPr>
      </w:pPr>
      <w:r>
        <w:rPr>
          <w:rFonts w:hint="eastAsia" w:ascii="黑体" w:hAnsi="宋体" w:eastAsia="黑体"/>
          <w:sz w:val="24"/>
        </w:rPr>
        <w:t>32．投标文件初审</w:t>
      </w:r>
    </w:p>
    <w:p w14:paraId="46CECF1A">
      <w:pPr>
        <w:ind w:firstLine="411" w:firstLineChars="196"/>
        <w:rPr>
          <w:rFonts w:ascii="宋体" w:hAnsi="宋体"/>
        </w:rPr>
      </w:pPr>
      <w:r>
        <w:rPr>
          <w:rFonts w:hint="eastAsia" w:ascii="宋体" w:hAnsi="宋体"/>
        </w:rPr>
        <w:t>32.1投标文件初审包括资格性审查和符合性审查。</w:t>
      </w:r>
    </w:p>
    <w:p w14:paraId="7FD4422F">
      <w:pPr>
        <w:ind w:firstLine="411" w:firstLineChars="196"/>
        <w:rPr>
          <w:rFonts w:ascii="宋体" w:hAnsi="宋体"/>
        </w:rPr>
      </w:pPr>
      <w:r>
        <w:rPr>
          <w:rFonts w:hint="eastAsia" w:ascii="宋体" w:hAnsi="宋体"/>
        </w:rPr>
        <w:t>资格性审查：依据法律法规和招标文件的规定，对投标文件中的资格证明等进行审查，以确定投标供应商是否具备投标资格。</w:t>
      </w:r>
    </w:p>
    <w:p w14:paraId="118BB158">
      <w:pPr>
        <w:ind w:firstLine="411" w:firstLineChars="196"/>
        <w:rPr>
          <w:rFonts w:ascii="宋体" w:hAnsi="宋体"/>
        </w:rPr>
      </w:pPr>
      <w:r>
        <w:rPr>
          <w:rFonts w:hint="eastAsia" w:ascii="宋体" w:hAnsi="宋体"/>
        </w:rPr>
        <w:t>符合性审查：依据招标文件的规定，对投标文件的有效性、完整性和对招标文件的响应程度进行审查，以确定是否满足符合性审查的要求。</w:t>
      </w:r>
    </w:p>
    <w:p w14:paraId="07B4F27C">
      <w:pPr>
        <w:ind w:firstLine="411" w:firstLineChars="196"/>
        <w:rPr>
          <w:rFonts w:ascii="宋体" w:hAnsi="宋体"/>
        </w:rPr>
      </w:pPr>
      <w:r>
        <w:rPr>
          <w:rFonts w:hint="eastAsia" w:ascii="宋体" w:hAnsi="宋体"/>
        </w:rPr>
        <w:t>32.2 投标文件初审内容请详见《资格性审查表》和《符合性审查表》部分。投标人若有一条审查不通过则按投标无效处理。</w:t>
      </w:r>
    </w:p>
    <w:p w14:paraId="14BC2784">
      <w:pPr>
        <w:ind w:firstLine="411" w:firstLineChars="196"/>
        <w:rPr>
          <w:rFonts w:ascii="宋体" w:hAnsi="宋体"/>
          <w:bCs/>
        </w:rPr>
      </w:pPr>
      <w:r>
        <w:rPr>
          <w:rFonts w:hint="eastAsia" w:ascii="宋体" w:hAnsi="宋体"/>
          <w:bCs/>
        </w:rPr>
        <w:t>32.3 投标文件初审中关于供应商家数的计算:</w:t>
      </w:r>
    </w:p>
    <w:p w14:paraId="5DFA2D86">
      <w:pPr>
        <w:ind w:firstLine="411" w:firstLineChars="196"/>
        <w:rPr>
          <w:rFonts w:ascii="宋体" w:hAnsi="宋体"/>
          <w:bCs/>
        </w:rPr>
      </w:pPr>
      <w:r>
        <w:rPr>
          <w:rFonts w:hint="eastAsia" w:ascii="宋体" w:hAnsi="宋体"/>
          <w:bCs/>
        </w:rPr>
        <w:t>32.3.1采用最低价法的采购项目，提供相同品牌产品的不同投标人参加同一合同项下投标的，以其中通过资格审查、符合性审查且报价最低的参加评标；报价相同的，由采购人或者采购人委托评审委员会按照招标文件规定的方式确定一个参加评审的投标人，招标文件未规定的采取随机抽取方式确定，其他投标无效。</w:t>
      </w:r>
    </w:p>
    <w:p w14:paraId="4DE26ECC">
      <w:pPr>
        <w:ind w:firstLine="411" w:firstLineChars="196"/>
        <w:rPr>
          <w:rFonts w:ascii="宋体" w:hAnsi="宋体"/>
          <w:bCs/>
        </w:rPr>
      </w:pPr>
      <w:r>
        <w:rPr>
          <w:rFonts w:hint="eastAsia" w:ascii="宋体" w:hAnsi="宋体"/>
          <w:bCs/>
        </w:rPr>
        <w:t>32.3.2采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w:t>
      </w:r>
      <w:r>
        <w:rPr>
          <w:rFonts w:hint="eastAsia" w:ascii="宋体" w:hAnsi="宋体"/>
          <w:bCs/>
          <w:szCs w:val="21"/>
        </w:rPr>
        <w:t>评审委员会</w:t>
      </w:r>
      <w:r>
        <w:rPr>
          <w:rFonts w:hint="eastAsia" w:ascii="宋体" w:hAnsi="宋体"/>
          <w:bCs/>
        </w:rPr>
        <w:t>按照招标文件规定的方式确定一个投标人获得中标人推荐资格，招标文件未规定的采取随机抽取方式确定，其他同品牌投标人不作为中标候选人。</w:t>
      </w:r>
    </w:p>
    <w:p w14:paraId="14388641">
      <w:pPr>
        <w:ind w:firstLine="411" w:firstLineChars="196"/>
        <w:rPr>
          <w:rFonts w:ascii="宋体" w:hAnsi="宋体"/>
          <w:bCs/>
        </w:rPr>
      </w:pPr>
      <w:r>
        <w:rPr>
          <w:rFonts w:hint="eastAsia" w:ascii="宋体" w:hAnsi="宋体"/>
          <w:bCs/>
        </w:rPr>
        <w:t>32.3.3非单一产品采购项目，采购人应当根据采购项目技术构成、产品价格比重等合理确定核心产品，并在招标文件中载明。多家投标人提供的核心产品品牌相同的，按前两款规定处理。</w:t>
      </w:r>
    </w:p>
    <w:p w14:paraId="38CE4AED">
      <w:pPr>
        <w:ind w:firstLine="411" w:firstLineChars="196"/>
        <w:rPr>
          <w:rFonts w:ascii="宋体" w:hAnsi="宋体"/>
        </w:rPr>
      </w:pPr>
      <w:r>
        <w:rPr>
          <w:rFonts w:hint="eastAsia" w:ascii="宋体" w:hAnsi="宋体"/>
        </w:rPr>
        <w:t>32.4投标人投标文件作无效处理的情形，具体包括但不限于以下：</w:t>
      </w:r>
    </w:p>
    <w:p w14:paraId="2A9553B4">
      <w:pPr>
        <w:ind w:firstLine="411" w:firstLineChars="196"/>
      </w:pPr>
      <w:r>
        <w:rPr>
          <w:rFonts w:hint="eastAsia" w:ascii="宋体" w:hAnsi="宋体"/>
        </w:rPr>
        <w:t>32.4.1</w:t>
      </w:r>
      <w:r>
        <w:rPr>
          <w:rFonts w:hint="eastAsia"/>
        </w:rPr>
        <w:t>不同投标人的投标文件由同一单位或者同一个人编制，或者由同一个人分阶段参与编制；</w:t>
      </w:r>
    </w:p>
    <w:p w14:paraId="67DD0005">
      <w:pPr>
        <w:ind w:firstLine="411" w:firstLineChars="196"/>
      </w:pPr>
      <w:r>
        <w:rPr>
          <w:rFonts w:ascii="宋体" w:hAnsi="宋体"/>
        </w:rPr>
        <w:t>32.4.</w:t>
      </w:r>
      <w:r>
        <w:rPr>
          <w:rFonts w:hint="eastAsia" w:ascii="宋体" w:hAnsi="宋体"/>
        </w:rPr>
        <w:t>2</w:t>
      </w:r>
      <w:r>
        <w:rPr>
          <w:rFonts w:hint="eastAsia"/>
        </w:rPr>
        <w:t>不同投标人委托同一单位或者个人办理投标事宜；</w:t>
      </w:r>
    </w:p>
    <w:p w14:paraId="112D8E6D">
      <w:pPr>
        <w:ind w:firstLine="411" w:firstLineChars="196"/>
        <w:rPr>
          <w:rFonts w:ascii="宋体" w:hAnsi="宋体"/>
        </w:rPr>
      </w:pPr>
      <w:r>
        <w:rPr>
          <w:rFonts w:hint="eastAsia" w:ascii="宋体" w:hAnsi="宋体"/>
        </w:rPr>
        <w:t>32.4.3不同投标人的投标文件载明的项目管理成员或者联系人员为同一人；</w:t>
      </w:r>
    </w:p>
    <w:p w14:paraId="2C752AC8">
      <w:pPr>
        <w:ind w:firstLine="411" w:firstLineChars="196"/>
        <w:rPr>
          <w:rFonts w:ascii="宋体" w:hAnsi="宋体"/>
        </w:rPr>
      </w:pPr>
      <w:r>
        <w:rPr>
          <w:rFonts w:hint="eastAsia" w:ascii="宋体" w:hAnsi="宋体"/>
        </w:rPr>
        <w:t>32.4.4不同投标人的投标文件异常一致或者投标报价呈规律性差异；</w:t>
      </w:r>
    </w:p>
    <w:p w14:paraId="74D12C53">
      <w:pPr>
        <w:ind w:firstLine="411" w:firstLineChars="196"/>
        <w:rPr>
          <w:rFonts w:ascii="宋体" w:hAnsi="宋体"/>
        </w:rPr>
      </w:pPr>
      <w:r>
        <w:rPr>
          <w:rFonts w:hint="eastAsia" w:ascii="宋体" w:hAnsi="宋体"/>
        </w:rPr>
        <w:t>32.4.5</w:t>
      </w:r>
      <w:r>
        <w:rPr>
          <w:rFonts w:ascii="宋体" w:hAnsi="宋体"/>
        </w:rPr>
        <w:t>不同投标供应商的投标文件或部分投标文件相互混装</w:t>
      </w:r>
      <w:r>
        <w:rPr>
          <w:rFonts w:hint="eastAsia" w:ascii="宋体" w:hAnsi="宋体"/>
        </w:rPr>
        <w:t>；</w:t>
      </w:r>
    </w:p>
    <w:p w14:paraId="28A088ED">
      <w:pPr>
        <w:ind w:firstLine="411" w:firstLineChars="196"/>
        <w:rPr>
          <w:rFonts w:ascii="宋体" w:hAnsi="宋体"/>
        </w:rPr>
      </w:pPr>
      <w:r>
        <w:rPr>
          <w:rFonts w:hint="eastAsia" w:ascii="宋体" w:hAnsi="宋体"/>
        </w:rPr>
        <w:t>32.4.6投标供应商之间相互约定给予未中标的供应商利益补偿；</w:t>
      </w:r>
    </w:p>
    <w:p w14:paraId="26EAD0D1">
      <w:pPr>
        <w:ind w:firstLine="411" w:firstLineChars="196"/>
        <w:rPr>
          <w:rFonts w:ascii="宋体" w:hAnsi="宋体"/>
        </w:rPr>
      </w:pPr>
      <w:r>
        <w:rPr>
          <w:rFonts w:hint="eastAsia" w:ascii="宋体" w:hAnsi="宋体"/>
        </w:rPr>
        <w:t>32.4.7不同投标供应商的法定代表人、主要经营负责人、项目投标授权代表人、项目负责人、主要技术人员为同一人、属同一单位或者同一单位缴纳社会保险；</w:t>
      </w:r>
    </w:p>
    <w:p w14:paraId="61A4D16B">
      <w:pPr>
        <w:ind w:firstLine="411" w:firstLineChars="196"/>
        <w:rPr>
          <w:rFonts w:ascii="宋体" w:hAnsi="宋体"/>
        </w:rPr>
      </w:pPr>
      <w:r>
        <w:rPr>
          <w:rFonts w:hint="eastAsia" w:ascii="宋体" w:hAnsi="宋体"/>
        </w:rPr>
        <w:t>32.4.8不同投标供应商的投标文件内容存在非正常一致；</w:t>
      </w:r>
    </w:p>
    <w:p w14:paraId="0D6F657B">
      <w:pPr>
        <w:ind w:firstLine="411" w:firstLineChars="196"/>
        <w:rPr>
          <w:rFonts w:ascii="宋体" w:hAnsi="宋体"/>
        </w:rPr>
      </w:pPr>
      <w:r>
        <w:rPr>
          <w:rFonts w:hint="eastAsia" w:ascii="宋体" w:hAnsi="宋体"/>
        </w:rPr>
        <w:t>32.4.9在同一单位工作人员为两家以上（含两家）供应商进行同一项投标活动；</w:t>
      </w:r>
    </w:p>
    <w:p w14:paraId="2F01805F">
      <w:pPr>
        <w:ind w:firstLine="411" w:firstLineChars="196"/>
        <w:rPr>
          <w:rFonts w:ascii="宋体" w:hAnsi="宋体"/>
        </w:rPr>
      </w:pPr>
      <w:r>
        <w:rPr>
          <w:rFonts w:hint="eastAsia" w:ascii="宋体" w:hAnsi="宋体"/>
        </w:rPr>
        <w:t>32.4.10主管部门依照法律、法规认定的其他情形。</w:t>
      </w:r>
    </w:p>
    <w:p w14:paraId="51C9A61F">
      <w:pPr>
        <w:ind w:firstLine="411" w:firstLineChars="196"/>
        <w:rPr>
          <w:rFonts w:ascii="宋体" w:hAnsi="宋体"/>
        </w:rPr>
      </w:pPr>
      <w:r>
        <w:rPr>
          <w:rFonts w:hint="eastAsia" w:ascii="宋体" w:hAnsi="宋体"/>
        </w:rPr>
        <w:t>32.5对不属于《资格性审查表》和《符合性审查表》所列的其他情形，除专用条款另有规定和32.4条款所列情形外，不得作为投标无效的理由。</w:t>
      </w:r>
    </w:p>
    <w:p w14:paraId="5EC201D3">
      <w:pPr>
        <w:rPr>
          <w:rFonts w:ascii="黑体" w:hAnsi="宋体" w:eastAsia="黑体"/>
          <w:sz w:val="24"/>
        </w:rPr>
      </w:pPr>
      <w:r>
        <w:rPr>
          <w:rFonts w:hint="eastAsia" w:ascii="黑体" w:hAnsi="宋体" w:eastAsia="黑体"/>
          <w:sz w:val="24"/>
        </w:rPr>
        <w:t>33．澄清有关问题</w:t>
      </w:r>
    </w:p>
    <w:p w14:paraId="0D095E1A">
      <w:pPr>
        <w:ind w:firstLine="411" w:firstLineChars="196"/>
        <w:rPr>
          <w:rFonts w:ascii="宋体" w:hAnsi="宋体"/>
        </w:rPr>
      </w:pPr>
      <w:bookmarkStart w:id="67" w:name="_Hlk71407321"/>
      <w:r>
        <w:rPr>
          <w:rFonts w:hint="eastAsia" w:ascii="宋体" w:hAnsi="宋体"/>
        </w:rPr>
        <w:t>3</w:t>
      </w:r>
      <w:r>
        <w:rPr>
          <w:rFonts w:ascii="宋体" w:hAnsi="宋体"/>
        </w:rPr>
        <w:t>3.1</w:t>
      </w:r>
      <w:r>
        <w:rPr>
          <w:rFonts w:hint="eastAsia" w:ascii="宋体" w:hAnsi="宋体"/>
        </w:rPr>
        <w:t>对招标文件中描述有歧义或前后不一致的地方（不含</w:t>
      </w:r>
      <w:r>
        <w:rPr>
          <w:szCs w:val="21"/>
        </w:rPr>
        <w:t>招标文件存在歧义、重大缺陷导致评</w:t>
      </w:r>
      <w:r>
        <w:rPr>
          <w:rFonts w:hint="eastAsia"/>
          <w:szCs w:val="21"/>
        </w:rPr>
        <w:t>审</w:t>
      </w:r>
      <w:r>
        <w:rPr>
          <w:szCs w:val="21"/>
        </w:rPr>
        <w:t>工作无法进行</w:t>
      </w:r>
      <w:r>
        <w:rPr>
          <w:rFonts w:hint="eastAsia"/>
          <w:szCs w:val="21"/>
        </w:rPr>
        <w:t>的情况）</w:t>
      </w:r>
      <w:r>
        <w:rPr>
          <w:rFonts w:hint="eastAsia" w:ascii="宋体" w:hAnsi="宋体"/>
        </w:rPr>
        <w:t>，评审委员会有权进行评判，但对同一条款的评判应适用于每个投标人。</w:t>
      </w:r>
      <w:bookmarkEnd w:id="67"/>
    </w:p>
    <w:p w14:paraId="52D0541E">
      <w:pPr>
        <w:ind w:firstLine="411" w:firstLineChars="196"/>
        <w:rPr>
          <w:rFonts w:ascii="宋体" w:hAnsi="宋体"/>
        </w:rPr>
      </w:pPr>
      <w:r>
        <w:rPr>
          <w:rFonts w:hint="eastAsia" w:ascii="宋体" w:hAnsi="宋体"/>
        </w:rPr>
        <w:t>3</w:t>
      </w:r>
      <w:r>
        <w:rPr>
          <w:rFonts w:ascii="宋体" w:hAnsi="宋体"/>
        </w:rPr>
        <w:t>3.2</w:t>
      </w:r>
      <w:r>
        <w:rPr>
          <w:szCs w:val="21"/>
        </w:rPr>
        <w:t>评</w:t>
      </w:r>
      <w:r>
        <w:rPr>
          <w:rFonts w:hint="eastAsia"/>
          <w:szCs w:val="21"/>
        </w:rPr>
        <w:t>审</w:t>
      </w:r>
      <w:r>
        <w:rPr>
          <w:szCs w:val="21"/>
        </w:rPr>
        <w:t>委员会发现招标文件存在歧义、重大缺陷导致评</w:t>
      </w:r>
      <w:r>
        <w:rPr>
          <w:rFonts w:hint="eastAsia"/>
          <w:szCs w:val="21"/>
        </w:rPr>
        <w:t>审</w:t>
      </w:r>
      <w:r>
        <w:rPr>
          <w:szCs w:val="21"/>
        </w:rPr>
        <w:t>工作无法进行，或者招标文件内容违反国家有关强制性规定的，应当停止评</w:t>
      </w:r>
      <w:r>
        <w:rPr>
          <w:rFonts w:hint="eastAsia"/>
          <w:szCs w:val="21"/>
        </w:rPr>
        <w:t>审</w:t>
      </w:r>
      <w:r>
        <w:rPr>
          <w:szCs w:val="21"/>
        </w:rPr>
        <w:t>工作，与</w:t>
      </w:r>
      <w:r>
        <w:rPr>
          <w:rFonts w:hint="eastAsia"/>
          <w:szCs w:val="21"/>
        </w:rPr>
        <w:t>政府集中采购机构</w:t>
      </w:r>
      <w:r>
        <w:rPr>
          <w:szCs w:val="21"/>
        </w:rPr>
        <w:t>沟通并作书面记录。</w:t>
      </w:r>
      <w:r>
        <w:rPr>
          <w:rFonts w:hint="eastAsia"/>
          <w:szCs w:val="21"/>
        </w:rPr>
        <w:t>经</w:t>
      </w:r>
      <w:r>
        <w:rPr>
          <w:szCs w:val="21"/>
        </w:rPr>
        <w:t>确认后，</w:t>
      </w:r>
      <w:r>
        <w:rPr>
          <w:rFonts w:hint="eastAsia"/>
          <w:szCs w:val="21"/>
        </w:rPr>
        <w:t>项目</w:t>
      </w:r>
      <w:r>
        <w:rPr>
          <w:szCs w:val="21"/>
        </w:rPr>
        <w:t>应当修改招标文件，重新组织采购活动。</w:t>
      </w:r>
    </w:p>
    <w:p w14:paraId="5A39FA20">
      <w:pPr>
        <w:ind w:firstLine="411" w:firstLineChars="196"/>
        <w:rPr>
          <w:rFonts w:ascii="宋体" w:hAnsi="宋体"/>
        </w:rPr>
      </w:pPr>
      <w:r>
        <w:rPr>
          <w:rFonts w:ascii="宋体" w:hAnsi="宋体"/>
        </w:rPr>
        <w:t>33.3</w:t>
      </w:r>
      <w:r>
        <w:rPr>
          <w:rFonts w:hint="eastAsia" w:ascii="宋体" w:hAnsi="宋体"/>
        </w:rPr>
        <w:t>对于投标文件中含义不明确、同类问题表述不一致或者有明显文字和计算错误的内容，评审委员会应当以书面形式要求投标人作出必要的澄清、说明或者补正。</w:t>
      </w:r>
    </w:p>
    <w:p w14:paraId="6F58E501">
      <w:pPr>
        <w:ind w:firstLine="411" w:firstLineChars="196"/>
        <w:rPr>
          <w:rFonts w:ascii="宋体" w:hAnsi="宋体"/>
        </w:rPr>
      </w:pPr>
      <w:r>
        <w:rPr>
          <w:rFonts w:hint="eastAsia" w:ascii="宋体" w:hAnsi="宋体"/>
        </w:rPr>
        <w:t>投标人的澄清、说明或者补正应当采用书面形式【书面形式是指文书、信件（含电子邮件）、电报、电传、传真等形式】，并加盖公章（或者由法定代表人或其授权的代表签字）。投标人的澄清、说明或者补正不得超出投标文件的范围或者改变投标文件的实质性内容。</w:t>
      </w:r>
    </w:p>
    <w:p w14:paraId="220F45D4">
      <w:pPr>
        <w:ind w:firstLine="411" w:firstLineChars="196"/>
        <w:rPr>
          <w:rFonts w:ascii="宋体" w:hAnsi="宋体"/>
          <w:szCs w:val="21"/>
        </w:rPr>
      </w:pPr>
      <w:r>
        <w:rPr>
          <w:rFonts w:hint="eastAsia" w:ascii="宋体" w:hAnsi="宋体"/>
          <w:szCs w:val="21"/>
        </w:rPr>
        <w:t>根据本通用条款第34条，凡属于评审委员会在评审中发现的算术错误进行核实的修改不在此列。</w:t>
      </w:r>
    </w:p>
    <w:p w14:paraId="0365CD75">
      <w:pPr>
        <w:rPr>
          <w:rFonts w:ascii="黑体" w:hAnsi="宋体" w:eastAsia="黑体"/>
          <w:sz w:val="24"/>
        </w:rPr>
      </w:pPr>
      <w:bookmarkStart w:id="68" w:name="_Toc73521669"/>
      <w:bookmarkStart w:id="69" w:name="_Toc73518151"/>
      <w:bookmarkStart w:id="70" w:name="_Toc73521581"/>
      <w:bookmarkStart w:id="71" w:name="_Toc100052400"/>
      <w:bookmarkStart w:id="72" w:name="_Toc73517673"/>
      <w:r>
        <w:rPr>
          <w:rFonts w:hint="eastAsia" w:ascii="黑体" w:hAnsi="宋体" w:eastAsia="黑体"/>
          <w:sz w:val="24"/>
        </w:rPr>
        <w:t>34．错误的修正</w:t>
      </w:r>
      <w:bookmarkEnd w:id="68"/>
      <w:bookmarkEnd w:id="69"/>
      <w:bookmarkEnd w:id="70"/>
      <w:bookmarkEnd w:id="71"/>
      <w:bookmarkEnd w:id="72"/>
    </w:p>
    <w:p w14:paraId="383E8C3D">
      <w:pPr>
        <w:ind w:firstLine="411" w:firstLineChars="196"/>
        <w:rPr>
          <w:rFonts w:ascii="宋体" w:hAnsi="宋体"/>
          <w:szCs w:val="21"/>
        </w:rPr>
      </w:pPr>
      <w:r>
        <w:rPr>
          <w:rFonts w:hint="eastAsia" w:ascii="宋体" w:hAnsi="宋体"/>
          <w:szCs w:val="21"/>
        </w:rPr>
        <w:t>投标文件报价出现前后不一致的，除专用条款另有规定外，按照下列规定修正：</w:t>
      </w:r>
    </w:p>
    <w:p w14:paraId="4415BF05">
      <w:pPr>
        <w:ind w:firstLine="411" w:firstLineChars="196"/>
        <w:rPr>
          <w:rFonts w:ascii="宋体" w:hAnsi="宋体"/>
          <w:szCs w:val="21"/>
        </w:rPr>
      </w:pPr>
      <w:r>
        <w:rPr>
          <w:rFonts w:hint="eastAsia" w:ascii="宋体" w:hAnsi="宋体"/>
          <w:szCs w:val="21"/>
        </w:rPr>
        <w:t>34.1投标文件中开标一览表投标报价内容与投标文件中投标报价相应内容不一致的，以开标一览表为准；</w:t>
      </w:r>
    </w:p>
    <w:p w14:paraId="376CE0F8">
      <w:pPr>
        <w:ind w:firstLine="411" w:firstLineChars="196"/>
        <w:rPr>
          <w:rFonts w:ascii="宋体" w:hAnsi="宋体"/>
          <w:szCs w:val="21"/>
        </w:rPr>
      </w:pPr>
      <w:r>
        <w:rPr>
          <w:rFonts w:hint="eastAsia" w:ascii="宋体" w:hAnsi="宋体"/>
          <w:szCs w:val="21"/>
        </w:rPr>
        <w:t>34.2大写金额和小写金额不一致的，以大写金额为准；</w:t>
      </w:r>
    </w:p>
    <w:p w14:paraId="298B8C22">
      <w:pPr>
        <w:ind w:firstLine="411" w:firstLineChars="196"/>
        <w:rPr>
          <w:rFonts w:ascii="宋体" w:hAnsi="宋体"/>
          <w:szCs w:val="21"/>
        </w:rPr>
      </w:pPr>
      <w:r>
        <w:rPr>
          <w:rFonts w:hint="eastAsia" w:ascii="宋体" w:hAnsi="宋体"/>
          <w:szCs w:val="21"/>
        </w:rPr>
        <w:t>34.3单价金额小数点或者百分比有明显错位，以开标一览表的总价为准，并修改单价；</w:t>
      </w:r>
    </w:p>
    <w:p w14:paraId="64C09920">
      <w:pPr>
        <w:ind w:firstLine="411" w:firstLineChars="196"/>
        <w:rPr>
          <w:rFonts w:ascii="宋体" w:hAnsi="宋体"/>
          <w:szCs w:val="21"/>
        </w:rPr>
      </w:pPr>
      <w:r>
        <w:rPr>
          <w:rFonts w:hint="eastAsia" w:ascii="宋体" w:hAnsi="宋体"/>
          <w:szCs w:val="21"/>
        </w:rPr>
        <w:t>34.4总价金额与按单价汇总金额不一致的，以单价金额计算结果为准。</w:t>
      </w:r>
    </w:p>
    <w:p w14:paraId="2EA69FCD">
      <w:pPr>
        <w:ind w:firstLine="411" w:firstLineChars="196"/>
        <w:rPr>
          <w:rFonts w:ascii="宋体" w:hAnsi="宋体"/>
          <w:szCs w:val="21"/>
        </w:rPr>
      </w:pPr>
      <w:r>
        <w:rPr>
          <w:rFonts w:hint="eastAsia" w:ascii="宋体" w:hAnsi="宋体"/>
          <w:szCs w:val="21"/>
        </w:rPr>
        <w:t>34.5同时出现两种以上不一致的，按照前款规定的顺序修正。修正后的报价按照本通用条款33条的规定，经投标人确认后产生约束力，投标人不确认的，其投标无效。</w:t>
      </w:r>
    </w:p>
    <w:p w14:paraId="6FF2A617">
      <w:pPr>
        <w:rPr>
          <w:rFonts w:ascii="黑体" w:hAnsi="宋体" w:eastAsia="黑体"/>
          <w:sz w:val="24"/>
        </w:rPr>
      </w:pPr>
      <w:r>
        <w:rPr>
          <w:rFonts w:hint="eastAsia" w:ascii="黑体" w:hAnsi="宋体" w:eastAsia="黑体"/>
          <w:sz w:val="24"/>
        </w:rPr>
        <w:t>35．投标文件的比较与评价</w:t>
      </w:r>
    </w:p>
    <w:p w14:paraId="13CDB7C5">
      <w:pPr>
        <w:ind w:firstLine="411" w:firstLineChars="196"/>
        <w:rPr>
          <w:rFonts w:ascii="宋体" w:hAnsi="宋体"/>
          <w:szCs w:val="21"/>
        </w:rPr>
      </w:pPr>
      <w:r>
        <w:rPr>
          <w:rFonts w:hint="eastAsia" w:ascii="宋体" w:hAnsi="宋体"/>
          <w:szCs w:val="21"/>
        </w:rPr>
        <w:t>评审委员会将按照《深圳经济特区政府采购条例》、《深圳经济特区政府采购条例实施细则》、《深圳市政府采购评标定标分离管理办法》及政府采购其他法律法规，仅对通过资格性审查和符合性审查的投标文件进行综合比较与评价。</w:t>
      </w:r>
    </w:p>
    <w:p w14:paraId="4C151B9B">
      <w:pPr>
        <w:ind w:firstLine="411" w:firstLineChars="196"/>
        <w:rPr>
          <w:rFonts w:ascii="宋体" w:hAnsi="宋体"/>
          <w:szCs w:val="21"/>
        </w:rPr>
      </w:pPr>
      <w:r>
        <w:rPr>
          <w:rFonts w:hint="eastAsia" w:ascii="宋体" w:hAnsi="宋体"/>
          <w:szCs w:val="21"/>
        </w:rPr>
        <w:t>评审委员会成员对需要共同认定的事项存在争议的，应当按照少数服从多数的原则作出结论。持不同意见的评审委员会成员应当书面作出说明，否则视为无异议。</w:t>
      </w:r>
    </w:p>
    <w:p w14:paraId="3BA99C53">
      <w:pPr>
        <w:rPr>
          <w:rFonts w:ascii="黑体" w:hAnsi="宋体" w:eastAsia="黑体"/>
          <w:sz w:val="24"/>
        </w:rPr>
      </w:pPr>
      <w:r>
        <w:rPr>
          <w:rFonts w:hint="eastAsia" w:ascii="黑体" w:hAnsi="宋体" w:eastAsia="黑体"/>
          <w:sz w:val="24"/>
        </w:rPr>
        <w:t>36. 实地考察</w:t>
      </w:r>
    </w:p>
    <w:p w14:paraId="45753EF3">
      <w:pPr>
        <w:ind w:firstLine="411" w:firstLineChars="196"/>
        <w:rPr>
          <w:rFonts w:ascii="宋体" w:hAnsi="宋体"/>
          <w:szCs w:val="21"/>
        </w:rPr>
      </w:pPr>
      <w:r>
        <w:rPr>
          <w:rFonts w:hint="eastAsia" w:ascii="宋体" w:hAnsi="宋体"/>
          <w:szCs w:val="21"/>
        </w:rPr>
        <w:t>36.1</w:t>
      </w:r>
      <w:r>
        <w:rPr>
          <w:rFonts w:hint="eastAsia" w:ascii="宋体" w:hAnsi="宋体"/>
          <w:szCs w:val="21"/>
          <w:lang w:val="en-US" w:eastAsia="zh-CN"/>
        </w:rPr>
        <w:t>在评审期间，评审委员会根据招标文件规定（详见“一、对通用条款的补充内容”），有权对本项目的投标人开展实地考察，投标人需时刻做好接收实地考察的准备。</w:t>
      </w:r>
    </w:p>
    <w:p w14:paraId="07925194">
      <w:pPr>
        <w:rPr>
          <w:rFonts w:ascii="黑体" w:hAnsi="宋体" w:eastAsia="黑体"/>
          <w:sz w:val="24"/>
        </w:rPr>
      </w:pPr>
      <w:r>
        <w:rPr>
          <w:rFonts w:hint="eastAsia" w:ascii="黑体" w:hAnsi="宋体" w:eastAsia="黑体"/>
          <w:sz w:val="24"/>
        </w:rPr>
        <w:t>37．评审方法</w:t>
      </w:r>
    </w:p>
    <w:p w14:paraId="40986847">
      <w:pPr>
        <w:ind w:firstLine="413" w:firstLineChars="196"/>
        <w:rPr>
          <w:rFonts w:ascii="宋体" w:hAnsi="宋体"/>
          <w:b/>
          <w:bCs/>
          <w:szCs w:val="21"/>
        </w:rPr>
      </w:pPr>
      <w:r>
        <w:rPr>
          <w:rFonts w:hint="eastAsia" w:ascii="宋体" w:hAnsi="宋体"/>
          <w:b/>
          <w:bCs/>
          <w:szCs w:val="21"/>
        </w:rPr>
        <w:t>37.1.1最低价法</w:t>
      </w:r>
    </w:p>
    <w:p w14:paraId="42465697">
      <w:pPr>
        <w:ind w:firstLine="411" w:firstLineChars="196"/>
        <w:rPr>
          <w:rFonts w:ascii="ˎ̥" w:hAnsi="ˎ̥"/>
        </w:rPr>
      </w:pPr>
      <w:bookmarkStart w:id="73" w:name="_Hlk72438142"/>
      <w:r>
        <w:rPr>
          <w:rFonts w:ascii="ˎ̥" w:hAnsi="ˎ̥"/>
        </w:rPr>
        <w:t>最低价法，是指</w:t>
      </w:r>
      <w:r>
        <w:rPr>
          <w:rFonts w:hint="eastAsia" w:ascii="ˎ̥" w:hAnsi="ˎ̥"/>
        </w:rPr>
        <w:t>完全</w:t>
      </w:r>
      <w:r>
        <w:rPr>
          <w:rFonts w:ascii="ˎ̥" w:hAnsi="ˎ̥"/>
        </w:rPr>
        <w:t>满足招标文件实质性要求，</w:t>
      </w:r>
      <w:r>
        <w:rPr>
          <w:rFonts w:hint="eastAsia" w:ascii="ˎ̥" w:hAnsi="ˎ̥"/>
        </w:rPr>
        <w:t>按照报价由低到高的顺序，依据招标文件中规定的数量或者比例推荐候选中标供应商。</w:t>
      </w:r>
    </w:p>
    <w:p w14:paraId="2CD4332D">
      <w:pPr>
        <w:ind w:firstLine="413" w:firstLineChars="196"/>
        <w:rPr>
          <w:rFonts w:ascii="宋体" w:hAnsi="宋体"/>
          <w:b/>
          <w:bCs/>
          <w:szCs w:val="21"/>
        </w:rPr>
      </w:pPr>
      <w:r>
        <w:rPr>
          <w:rFonts w:hint="eastAsia" w:ascii="宋体" w:hAnsi="宋体"/>
          <w:b/>
          <w:bCs/>
          <w:szCs w:val="21"/>
        </w:rPr>
        <w:t>37.1.2综合评分法</w:t>
      </w:r>
    </w:p>
    <w:p w14:paraId="4D93D719">
      <w:pPr>
        <w:ind w:firstLine="411" w:firstLineChars="196"/>
        <w:rPr>
          <w:rFonts w:hint="eastAsia" w:ascii="ˎ̥" w:hAnsi="ˎ̥"/>
        </w:rPr>
      </w:pPr>
      <w:r>
        <w:rPr>
          <w:rFonts w:ascii="ˎ̥" w:hAnsi="ˎ̥"/>
        </w:rPr>
        <w:t>综合评分法，是指</w:t>
      </w:r>
      <w:r>
        <w:rPr>
          <w:rFonts w:hint="eastAsia" w:ascii="ˎ̥" w:hAnsi="ˎ̥"/>
        </w:rPr>
        <w:t>在</w:t>
      </w:r>
      <w:r>
        <w:rPr>
          <w:rFonts w:ascii="ˎ̥" w:hAnsi="ˎ̥"/>
        </w:rPr>
        <w:t>满足招标文件全部实质性要求</w:t>
      </w:r>
      <w:r>
        <w:rPr>
          <w:rFonts w:hint="eastAsia" w:ascii="ˎ̥" w:hAnsi="ˎ̥"/>
        </w:rPr>
        <w:t>的前提下</w:t>
      </w:r>
      <w:r>
        <w:rPr>
          <w:rFonts w:ascii="ˎ̥" w:hAnsi="ˎ̥"/>
        </w:rPr>
        <w:t>，</w:t>
      </w:r>
      <w:r>
        <w:rPr>
          <w:rFonts w:hint="eastAsia" w:ascii="ˎ̥" w:hAnsi="ˎ̥"/>
        </w:rPr>
        <w:t>按照招标文件中规定的各项因素进行综合评审，评审总得分排名前列的投标人，作为推荐的候选中标供应商。</w:t>
      </w:r>
      <w:bookmarkEnd w:id="73"/>
    </w:p>
    <w:p w14:paraId="7A9AD51B">
      <w:pPr>
        <w:ind w:firstLine="411" w:firstLineChars="196"/>
        <w:rPr>
          <w:rFonts w:ascii="宋体" w:hAnsi="宋体"/>
          <w:b/>
          <w:bCs/>
          <w:szCs w:val="21"/>
        </w:rPr>
      </w:pPr>
      <w:r>
        <w:rPr>
          <w:rFonts w:hint="eastAsia" w:ascii="ˎ̥" w:hAnsi="ˎ̥"/>
          <w:lang w:val="en-US" w:eastAsia="zh-CN"/>
        </w:rPr>
        <w:t>3</w:t>
      </w:r>
      <w:r>
        <w:rPr>
          <w:rFonts w:hint="eastAsia" w:ascii="宋体" w:hAnsi="宋体"/>
          <w:b/>
          <w:bCs/>
          <w:szCs w:val="21"/>
        </w:rPr>
        <w:t>7.2 本项目采用的评审方法见本项目招标文件第一册“专用条款”的相关内容。</w:t>
      </w:r>
    </w:p>
    <w:p w14:paraId="0BC469CD">
      <w:pPr>
        <w:ind w:firstLine="413" w:firstLineChars="196"/>
        <w:rPr>
          <w:rFonts w:ascii="宋体" w:hAnsi="宋体"/>
          <w:b/>
          <w:bCs/>
          <w:szCs w:val="21"/>
        </w:rPr>
      </w:pPr>
      <w:r>
        <w:rPr>
          <w:rFonts w:hint="eastAsia" w:ascii="宋体" w:hAnsi="宋体"/>
          <w:b/>
          <w:bCs/>
          <w:szCs w:val="21"/>
        </w:rPr>
        <w:t>37.3重新评审的情形</w:t>
      </w:r>
    </w:p>
    <w:p w14:paraId="01845A8D">
      <w:pPr>
        <w:ind w:firstLine="411" w:firstLineChars="196"/>
        <w:rPr>
          <w:rFonts w:ascii="宋体" w:hAnsi="宋体"/>
          <w:b/>
          <w:bCs/>
          <w:szCs w:val="21"/>
        </w:rPr>
      </w:pPr>
      <w:r>
        <w:rPr>
          <w:rFonts w:hint="eastAsia" w:ascii="宋体" w:hAnsi="宋体" w:cs="宋体"/>
          <w:kern w:val="0"/>
          <w:szCs w:val="21"/>
        </w:rPr>
        <w:t>评审结果汇总完成后，除下列情形外，任何人不得修改评审结果：</w:t>
      </w:r>
    </w:p>
    <w:p w14:paraId="17F70CE2">
      <w:pPr>
        <w:ind w:firstLine="411" w:firstLineChars="196"/>
        <w:rPr>
          <w:rFonts w:ascii="宋体" w:hAnsi="宋体" w:cs="宋体"/>
          <w:kern w:val="0"/>
          <w:szCs w:val="21"/>
        </w:rPr>
      </w:pPr>
      <w:r>
        <w:rPr>
          <w:rFonts w:hint="eastAsia" w:ascii="宋体" w:hAnsi="宋体" w:cs="宋体"/>
          <w:kern w:val="0"/>
          <w:szCs w:val="21"/>
        </w:rPr>
        <w:t>37.3.1分值汇总计算错误的；</w:t>
      </w:r>
    </w:p>
    <w:p w14:paraId="0C513767">
      <w:pPr>
        <w:ind w:firstLine="411" w:firstLineChars="196"/>
        <w:rPr>
          <w:rFonts w:ascii="宋体" w:hAnsi="宋体" w:cs="宋体"/>
          <w:kern w:val="0"/>
          <w:szCs w:val="21"/>
        </w:rPr>
      </w:pPr>
      <w:r>
        <w:rPr>
          <w:rFonts w:hint="eastAsia" w:ascii="宋体" w:hAnsi="宋体" w:cs="宋体"/>
          <w:kern w:val="0"/>
          <w:szCs w:val="21"/>
        </w:rPr>
        <w:t>37.3.2分项评分超出评分标准范围的；</w:t>
      </w:r>
    </w:p>
    <w:p w14:paraId="79713221">
      <w:pPr>
        <w:ind w:firstLine="411" w:firstLineChars="196"/>
        <w:rPr>
          <w:rFonts w:ascii="宋体" w:hAnsi="宋体" w:cs="宋体"/>
          <w:kern w:val="0"/>
          <w:szCs w:val="21"/>
        </w:rPr>
      </w:pPr>
      <w:r>
        <w:rPr>
          <w:rFonts w:hint="eastAsia" w:ascii="宋体" w:hAnsi="宋体" w:cs="宋体"/>
          <w:kern w:val="0"/>
          <w:szCs w:val="21"/>
        </w:rPr>
        <w:t>37.3.3评审委员会成员对客观评审因素评分不一致的；</w:t>
      </w:r>
    </w:p>
    <w:p w14:paraId="2A592A87">
      <w:pPr>
        <w:ind w:firstLine="411" w:firstLineChars="196"/>
        <w:rPr>
          <w:rFonts w:ascii="宋体" w:hAnsi="宋体" w:cs="宋体"/>
          <w:kern w:val="0"/>
          <w:szCs w:val="21"/>
        </w:rPr>
      </w:pPr>
      <w:r>
        <w:rPr>
          <w:rFonts w:hint="eastAsia" w:ascii="宋体" w:hAnsi="宋体" w:cs="宋体"/>
          <w:kern w:val="0"/>
          <w:szCs w:val="21"/>
        </w:rPr>
        <w:t>37.3.4经评审委员会认定评分畸高、畸低的。</w:t>
      </w:r>
    </w:p>
    <w:p w14:paraId="6966C0A4">
      <w:pPr>
        <w:ind w:firstLine="411" w:firstLineChars="196"/>
        <w:rPr>
          <w:rFonts w:ascii="宋体" w:hAnsi="宋体" w:cs="宋体"/>
          <w:kern w:val="0"/>
          <w:szCs w:val="21"/>
        </w:rPr>
      </w:pPr>
      <w:r>
        <w:rPr>
          <w:rFonts w:hint="eastAsia" w:ascii="宋体" w:hAnsi="宋体" w:cs="宋体"/>
          <w:kern w:val="0"/>
          <w:szCs w:val="21"/>
        </w:rPr>
        <w:t>评审报告签署前，经复核发现存在以上情形之一的，评审委员会应当当场修改评审结果，并进行书面记载；评审报告签署后，采购人或者采购代理机构发现存在以上情形之一的，应当组织原评审委员会进行重新评审，重新评审改变评审结果的，书面报告本级财政部门。</w:t>
      </w:r>
    </w:p>
    <w:p w14:paraId="46987ADC">
      <w:pPr>
        <w:ind w:firstLine="411" w:firstLineChars="196"/>
        <w:rPr>
          <w:rFonts w:ascii="宋体" w:hAnsi="宋体" w:cs="宋体"/>
          <w:kern w:val="0"/>
          <w:szCs w:val="21"/>
        </w:rPr>
      </w:pPr>
      <w:r>
        <w:rPr>
          <w:rFonts w:hint="eastAsia" w:ascii="宋体" w:hAnsi="宋体" w:cs="宋体"/>
          <w:kern w:val="0"/>
          <w:szCs w:val="21"/>
        </w:rPr>
        <w:t>投标人对本条第一款情形提出质疑的，采购人或者采购代理机构可以组织原评审委员会进行重新评审，重新评审改变评审结果的，应当书面报告本级财政部门。</w:t>
      </w:r>
    </w:p>
    <w:p w14:paraId="2EFB0D9A">
      <w:pPr>
        <w:ind w:firstLine="413" w:firstLineChars="196"/>
        <w:rPr>
          <w:rFonts w:ascii="宋体" w:hAnsi="宋体"/>
          <w:b/>
          <w:bCs/>
          <w:szCs w:val="21"/>
        </w:rPr>
      </w:pPr>
      <w:r>
        <w:rPr>
          <w:rFonts w:hint="eastAsia" w:ascii="宋体" w:hAnsi="宋体"/>
          <w:b/>
          <w:bCs/>
          <w:szCs w:val="21"/>
        </w:rPr>
        <w:t>37.4重新组建评审委员会的情形</w:t>
      </w:r>
    </w:p>
    <w:p w14:paraId="667597C8">
      <w:pPr>
        <w:ind w:firstLine="411" w:firstLineChars="196"/>
        <w:rPr>
          <w:rFonts w:ascii="宋体" w:hAnsi="宋体" w:cs="宋体"/>
          <w:kern w:val="0"/>
          <w:szCs w:val="21"/>
        </w:rPr>
      </w:pPr>
      <w:r>
        <w:rPr>
          <w:rFonts w:hint="eastAsia" w:ascii="宋体" w:hAnsi="宋体" w:cs="宋体"/>
          <w:kern w:val="0"/>
          <w:szCs w:val="21"/>
        </w:rPr>
        <w:t>评审委员会或者其成员存在下列情形导致评审结果无效的，重新组建评审委员会进行评标，并书面报告本级财政部门：</w:t>
      </w:r>
    </w:p>
    <w:p w14:paraId="66F9C35E">
      <w:pPr>
        <w:ind w:firstLine="411" w:firstLineChars="196"/>
        <w:rPr>
          <w:rFonts w:ascii="宋体" w:hAnsi="宋体" w:cs="宋体"/>
          <w:kern w:val="0"/>
          <w:szCs w:val="21"/>
        </w:rPr>
      </w:pPr>
      <w:r>
        <w:rPr>
          <w:rFonts w:hint="eastAsia" w:ascii="宋体" w:hAnsi="宋体" w:cs="宋体"/>
          <w:kern w:val="0"/>
          <w:szCs w:val="21"/>
        </w:rPr>
        <w:t>37.4.1评审委员会组成不符合《政府采购货物和服务招标投标管理办法》规定的；</w:t>
      </w:r>
    </w:p>
    <w:p w14:paraId="0AFE4770">
      <w:pPr>
        <w:ind w:firstLine="411" w:firstLineChars="196"/>
        <w:rPr>
          <w:rFonts w:ascii="宋体" w:hAnsi="宋体" w:cs="宋体"/>
          <w:kern w:val="0"/>
          <w:szCs w:val="21"/>
        </w:rPr>
      </w:pPr>
      <w:r>
        <w:rPr>
          <w:rFonts w:hint="eastAsia" w:ascii="宋体" w:hAnsi="宋体" w:cs="宋体"/>
          <w:kern w:val="0"/>
          <w:szCs w:val="21"/>
        </w:rPr>
        <w:t>37.4.2有《政府采购货物和服务招标投标管理办法》第六十二条第一至五项情形的；</w:t>
      </w:r>
    </w:p>
    <w:p w14:paraId="06C50B57">
      <w:pPr>
        <w:ind w:firstLine="411" w:firstLineChars="196"/>
        <w:rPr>
          <w:rFonts w:ascii="宋体" w:hAnsi="宋体" w:cs="宋体"/>
          <w:kern w:val="0"/>
          <w:szCs w:val="21"/>
        </w:rPr>
      </w:pPr>
      <w:r>
        <w:rPr>
          <w:rFonts w:hint="eastAsia" w:ascii="宋体" w:hAnsi="宋体" w:cs="宋体"/>
          <w:kern w:val="0"/>
          <w:szCs w:val="21"/>
        </w:rPr>
        <w:t>37.4.3评审委员会及其成员独立评标受到非法干预的；</w:t>
      </w:r>
    </w:p>
    <w:p w14:paraId="290EE89A">
      <w:pPr>
        <w:ind w:firstLine="411" w:firstLineChars="196"/>
        <w:rPr>
          <w:rFonts w:ascii="宋体" w:hAnsi="宋体" w:cs="宋体"/>
          <w:kern w:val="0"/>
          <w:szCs w:val="21"/>
        </w:rPr>
      </w:pPr>
      <w:r>
        <w:rPr>
          <w:rFonts w:hint="eastAsia" w:ascii="宋体" w:hAnsi="宋体" w:cs="宋体"/>
          <w:kern w:val="0"/>
          <w:szCs w:val="21"/>
        </w:rPr>
        <w:t>37.4.4有政府采购法实施条例第七十五条规定的违法行为的。</w:t>
      </w:r>
    </w:p>
    <w:p w14:paraId="6A9EBB38">
      <w:pPr>
        <w:ind w:firstLine="411" w:firstLineChars="196"/>
        <w:rPr>
          <w:rFonts w:ascii="宋体" w:hAnsi="宋体" w:cs="宋体"/>
          <w:kern w:val="0"/>
          <w:szCs w:val="21"/>
        </w:rPr>
      </w:pPr>
      <w:r>
        <w:rPr>
          <w:rFonts w:hint="eastAsia" w:ascii="宋体" w:hAnsi="宋体" w:cs="宋体"/>
          <w:kern w:val="0"/>
          <w:szCs w:val="21"/>
        </w:rPr>
        <w:t>有违法违规行为的原评审委员会成员不得参加重新组建的评审委员会。</w:t>
      </w:r>
    </w:p>
    <w:p w14:paraId="6E703624">
      <w:pPr>
        <w:ind w:firstLine="411" w:firstLineChars="196"/>
        <w:rPr>
          <w:rFonts w:ascii="宋体" w:hAnsi="宋体"/>
          <w:szCs w:val="21"/>
        </w:rPr>
      </w:pPr>
    </w:p>
    <w:p w14:paraId="5E60CB02">
      <w:pPr>
        <w:pStyle w:val="5"/>
        <w:numPr>
          <w:ilvl w:val="0"/>
          <w:numId w:val="13"/>
        </w:numPr>
        <w:spacing w:before="120" w:beforeLines="50" w:after="120" w:afterLines="50"/>
        <w:ind w:left="562" w:hanging="562"/>
        <w:rPr>
          <w:sz w:val="28"/>
          <w:szCs w:val="28"/>
        </w:rPr>
      </w:pPr>
      <w:r>
        <w:rPr>
          <w:rFonts w:hint="eastAsia"/>
          <w:sz w:val="28"/>
          <w:szCs w:val="28"/>
        </w:rPr>
        <w:t>定标及公示</w:t>
      </w:r>
    </w:p>
    <w:p w14:paraId="67FFBDEE">
      <w:pPr>
        <w:rPr>
          <w:rFonts w:ascii="黑体" w:hAnsi="宋体" w:eastAsia="黑体"/>
          <w:sz w:val="24"/>
        </w:rPr>
      </w:pPr>
      <w:r>
        <w:rPr>
          <w:rFonts w:hint="eastAsia" w:ascii="黑体" w:hAnsi="宋体" w:eastAsia="黑体"/>
          <w:sz w:val="24"/>
        </w:rPr>
        <w:t>38．定标方法</w:t>
      </w:r>
    </w:p>
    <w:p w14:paraId="02F1A88E">
      <w:pPr>
        <w:ind w:firstLine="411" w:firstLineChars="196"/>
        <w:rPr>
          <w:rFonts w:ascii="宋体" w:hAnsi="宋体"/>
          <w:szCs w:val="21"/>
        </w:rPr>
      </w:pPr>
      <w:r>
        <w:rPr>
          <w:rFonts w:hint="eastAsia" w:ascii="宋体" w:hAnsi="宋体"/>
          <w:szCs w:val="21"/>
        </w:rPr>
        <w:t>38.1非评定分离项目定标方法</w:t>
      </w:r>
    </w:p>
    <w:p w14:paraId="76B433BE">
      <w:pPr>
        <w:ind w:firstLine="411" w:firstLineChars="196"/>
        <w:rPr>
          <w:rFonts w:ascii="宋体" w:hAnsi="宋体"/>
          <w:szCs w:val="21"/>
        </w:rPr>
      </w:pPr>
      <w:r>
        <w:rPr>
          <w:rFonts w:hint="eastAsia" w:ascii="宋体" w:hAnsi="宋体"/>
          <w:szCs w:val="21"/>
        </w:rPr>
        <w:t>38</w:t>
      </w:r>
      <w:r>
        <w:rPr>
          <w:rFonts w:ascii="宋体" w:hAnsi="宋体"/>
          <w:szCs w:val="21"/>
        </w:rPr>
        <w:t>.</w:t>
      </w:r>
      <w:r>
        <w:rPr>
          <w:rFonts w:hint="eastAsia" w:ascii="宋体" w:hAnsi="宋体"/>
          <w:szCs w:val="21"/>
        </w:rPr>
        <w:t>1.1评审委员会依据本项目招标文件所约定的评审方法进行评审和比较，向政府集中采购机构提交书面评审报告，并根据评审方法比较评价结果从优到劣进行排序，确定候选中标供应商。</w:t>
      </w:r>
    </w:p>
    <w:p w14:paraId="13BD643E">
      <w:pPr>
        <w:ind w:firstLine="411" w:firstLineChars="196"/>
        <w:rPr>
          <w:rFonts w:ascii="ˎ̥" w:hAnsi="ˎ̥"/>
        </w:rPr>
      </w:pPr>
      <w:r>
        <w:rPr>
          <w:rFonts w:hint="eastAsia" w:ascii="宋体" w:hAnsi="宋体"/>
          <w:szCs w:val="21"/>
        </w:rPr>
        <w:t>38</w:t>
      </w:r>
      <w:r>
        <w:rPr>
          <w:rFonts w:ascii="宋体" w:hAnsi="宋体"/>
          <w:szCs w:val="21"/>
        </w:rPr>
        <w:t>.</w:t>
      </w:r>
      <w:r>
        <w:rPr>
          <w:rFonts w:hint="eastAsia" w:ascii="宋体" w:hAnsi="宋体"/>
          <w:szCs w:val="21"/>
        </w:rPr>
        <w:t>1.2</w:t>
      </w:r>
      <w:r>
        <w:rPr>
          <w:rFonts w:ascii="ˎ̥" w:hAnsi="ˎ̥"/>
        </w:rPr>
        <w:t>采用最低价法的，评</w:t>
      </w:r>
      <w:r>
        <w:rPr>
          <w:rFonts w:hint="eastAsia" w:ascii="ˎ̥" w:hAnsi="ˎ̥"/>
        </w:rPr>
        <w:t>审</w:t>
      </w:r>
      <w:r>
        <w:rPr>
          <w:rFonts w:ascii="ˎ̥" w:hAnsi="ˎ̥"/>
        </w:rPr>
        <w:t>结果按投标报价由低到高顺序排列。投标报价相同的并列。投标文件满足招标文件全部实质性要求且投标报价最低的</w:t>
      </w:r>
      <w:r>
        <w:rPr>
          <w:rFonts w:hint="eastAsia" w:ascii="ˎ̥" w:hAnsi="ˎ̥"/>
        </w:rPr>
        <w:t>投标人为中标供应商</w:t>
      </w:r>
      <w:r>
        <w:rPr>
          <w:rFonts w:ascii="ˎ̥" w:hAnsi="ˎ̥"/>
        </w:rPr>
        <w:t>（</w:t>
      </w:r>
      <w:r>
        <w:rPr>
          <w:rFonts w:hint="eastAsia" w:ascii="ˎ̥" w:hAnsi="ˎ̥"/>
        </w:rPr>
        <w:t>排名</w:t>
      </w:r>
      <w:r>
        <w:rPr>
          <w:rFonts w:ascii="ˎ̥" w:hAnsi="ˎ̥"/>
        </w:rPr>
        <w:t>第二</w:t>
      </w:r>
      <w:r>
        <w:rPr>
          <w:rFonts w:hint="eastAsia" w:ascii="ˎ̥" w:hAnsi="ˎ̥"/>
        </w:rPr>
        <w:t>的投标人为第一替补中标候选人、排名</w:t>
      </w:r>
      <w:r>
        <w:rPr>
          <w:rFonts w:ascii="ˎ̥" w:hAnsi="ˎ̥"/>
        </w:rPr>
        <w:t>第</w:t>
      </w:r>
      <w:r>
        <w:rPr>
          <w:rFonts w:hint="eastAsia" w:ascii="ˎ̥" w:hAnsi="ˎ̥"/>
        </w:rPr>
        <w:t>三的投标人为第二替补中标候选人</w:t>
      </w:r>
      <w:r>
        <w:rPr>
          <w:rFonts w:ascii="ˎ̥" w:hAnsi="ˎ̥"/>
        </w:rPr>
        <w:t>）。</w:t>
      </w:r>
    </w:p>
    <w:p w14:paraId="1C68061D">
      <w:pPr>
        <w:ind w:firstLine="411" w:firstLineChars="196"/>
        <w:rPr>
          <w:rFonts w:ascii="ˎ̥" w:hAnsi="ˎ̥"/>
        </w:rPr>
      </w:pPr>
      <w:r>
        <w:rPr>
          <w:rFonts w:hint="eastAsia" w:ascii="宋体" w:hAnsi="宋体"/>
          <w:szCs w:val="21"/>
        </w:rPr>
        <w:t>38</w:t>
      </w:r>
      <w:r>
        <w:rPr>
          <w:rFonts w:ascii="宋体" w:hAnsi="宋体"/>
          <w:szCs w:val="21"/>
        </w:rPr>
        <w:t>.</w:t>
      </w:r>
      <w:r>
        <w:rPr>
          <w:rFonts w:hint="eastAsia" w:ascii="宋体" w:hAnsi="宋体"/>
          <w:szCs w:val="21"/>
        </w:rPr>
        <w:t>1.3</w:t>
      </w:r>
      <w:r>
        <w:rPr>
          <w:rFonts w:ascii="宋体" w:hAnsi="宋体"/>
          <w:szCs w:val="21"/>
        </w:rPr>
        <w:t>采</w:t>
      </w:r>
      <w:r>
        <w:rPr>
          <w:rFonts w:ascii="ˎ̥" w:hAnsi="ˎ̥"/>
        </w:rPr>
        <w:t>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w:t>
      </w:r>
      <w:r>
        <w:rPr>
          <w:rFonts w:hint="eastAsia" w:ascii="ˎ̥" w:hAnsi="ˎ̥"/>
        </w:rPr>
        <w:t>为中标供应商</w:t>
      </w:r>
      <w:r>
        <w:rPr>
          <w:rFonts w:ascii="ˎ̥" w:hAnsi="ˎ̥"/>
        </w:rPr>
        <w:t>（</w:t>
      </w:r>
      <w:r>
        <w:rPr>
          <w:rFonts w:hint="eastAsia" w:ascii="ˎ̥" w:hAnsi="ˎ̥"/>
        </w:rPr>
        <w:t>排名</w:t>
      </w:r>
      <w:r>
        <w:rPr>
          <w:rFonts w:ascii="ˎ̥" w:hAnsi="ˎ̥"/>
        </w:rPr>
        <w:t>第二</w:t>
      </w:r>
      <w:r>
        <w:rPr>
          <w:rFonts w:hint="eastAsia" w:ascii="ˎ̥" w:hAnsi="ˎ̥"/>
        </w:rPr>
        <w:t>的投标人为第一替补中标候选人、排名</w:t>
      </w:r>
      <w:r>
        <w:rPr>
          <w:rFonts w:ascii="ˎ̥" w:hAnsi="ˎ̥"/>
        </w:rPr>
        <w:t>第</w:t>
      </w:r>
      <w:r>
        <w:rPr>
          <w:rFonts w:hint="eastAsia" w:ascii="ˎ̥" w:hAnsi="ˎ̥"/>
        </w:rPr>
        <w:t>三的投标人为第二替补中标候选人</w:t>
      </w:r>
      <w:r>
        <w:rPr>
          <w:rFonts w:ascii="ˎ̥" w:hAnsi="ˎ̥"/>
        </w:rPr>
        <w:t>）。</w:t>
      </w:r>
      <w:r>
        <w:rPr>
          <w:rFonts w:hint="eastAsia" w:ascii="ˎ̥" w:hAnsi="ˎ̥"/>
        </w:rPr>
        <w:t>出现</w:t>
      </w:r>
      <w:r>
        <w:rPr>
          <w:rFonts w:ascii="ˎ̥" w:hAnsi="ˎ̥"/>
        </w:rPr>
        <w:t>得分且投标报价相同的并列</w:t>
      </w:r>
      <w:r>
        <w:rPr>
          <w:rFonts w:hint="eastAsia" w:ascii="ˎ̥" w:hAnsi="ˎ̥"/>
        </w:rPr>
        <w:t>情况时，采取随机抽取的方式确定，具体操作办法及流程由评审委员会确定。</w:t>
      </w:r>
    </w:p>
    <w:p w14:paraId="25FB5F89">
      <w:pPr>
        <w:ind w:firstLine="411" w:firstLineChars="196"/>
        <w:rPr>
          <w:rFonts w:ascii="宋体" w:hAnsi="宋体"/>
          <w:szCs w:val="21"/>
        </w:rPr>
      </w:pPr>
      <w:r>
        <w:rPr>
          <w:rFonts w:hint="eastAsia" w:ascii="宋体" w:hAnsi="宋体"/>
          <w:szCs w:val="21"/>
        </w:rPr>
        <w:t>38.2评定分离项目定标方法</w:t>
      </w:r>
    </w:p>
    <w:p w14:paraId="3382735E">
      <w:pPr>
        <w:ind w:firstLine="411" w:firstLineChars="196"/>
        <w:rPr>
          <w:rFonts w:ascii="宋体" w:hAnsi="宋体"/>
          <w:szCs w:val="21"/>
        </w:rPr>
      </w:pPr>
      <w:r>
        <w:rPr>
          <w:rFonts w:hint="eastAsia" w:ascii="宋体" w:hAnsi="宋体"/>
          <w:szCs w:val="21"/>
        </w:rPr>
        <w:t>38.2.1评定分离是指在政府集中采购程序中，以公开招标方式执行采购，评审委员会负责对投标文件进行评审、推荐候选中标供应商并出具书面评审报告，由采购人根据评审委员会出具的评审报告从推荐的候选中标供应商中确定中标供应商。单个项目需要确定多家中标供应商的，不适用评定分离。</w:t>
      </w:r>
    </w:p>
    <w:p w14:paraId="408B80CA">
      <w:pPr>
        <w:ind w:firstLine="411" w:firstLineChars="196"/>
      </w:pPr>
      <w:r>
        <w:rPr>
          <w:rFonts w:ascii="宋体" w:hAnsi="宋体"/>
          <w:szCs w:val="21"/>
        </w:rPr>
        <w:t xml:space="preserve">38.2.2 </w:t>
      </w:r>
      <w:bookmarkStart w:id="74" w:name="_Hlk71469733"/>
      <w:r>
        <w:t>适用评定分离的政府采购项目，采用综合评分法评</w:t>
      </w:r>
      <w:r>
        <w:rPr>
          <w:rFonts w:hint="eastAsia"/>
        </w:rPr>
        <w:t>审。</w:t>
      </w:r>
      <w:r>
        <w:rPr>
          <w:rFonts w:hint="eastAsia" w:ascii="宋体" w:hAnsi="宋体"/>
          <w:szCs w:val="21"/>
        </w:rPr>
        <w:t>评审委员会按照评审结果，推荐</w:t>
      </w:r>
      <w:r>
        <w:t>三个合格的候选中标供应商。</w:t>
      </w:r>
    </w:p>
    <w:p w14:paraId="626E5556">
      <w:pPr>
        <w:ind w:firstLine="411" w:firstLineChars="196"/>
        <w:rPr>
          <w:rFonts w:ascii="宋体" w:hAnsi="宋体"/>
          <w:szCs w:val="21"/>
        </w:rPr>
      </w:pPr>
      <w:r>
        <w:rPr>
          <w:rFonts w:hint="eastAsia" w:ascii="宋体" w:hAnsi="宋体"/>
          <w:szCs w:val="21"/>
        </w:rPr>
        <w:t>38.2.3</w:t>
      </w:r>
      <w:bookmarkStart w:id="75" w:name="_Hlk71469688"/>
      <w:r>
        <w:t>适用评定分离的政府采购项目，</w:t>
      </w:r>
      <w:r>
        <w:rPr>
          <w:rFonts w:hint="eastAsia" w:ascii="宋体" w:hAnsi="宋体"/>
          <w:szCs w:val="21"/>
        </w:rPr>
        <w:t>按照自定法确定中标供应商：自定法是指采购人组织定标委员会，由定标委员会在三家候选中标供应商中确定中标供应商。</w:t>
      </w:r>
      <w:bookmarkEnd w:id="74"/>
      <w:bookmarkEnd w:id="75"/>
    </w:p>
    <w:p w14:paraId="1806789F">
      <w:pPr>
        <w:ind w:firstLine="411" w:firstLineChars="196"/>
        <w:rPr>
          <w:rFonts w:ascii="宋体" w:hAnsi="宋体"/>
          <w:szCs w:val="21"/>
        </w:rPr>
      </w:pPr>
      <w:r>
        <w:rPr>
          <w:rFonts w:ascii="宋体" w:hAnsi="宋体"/>
          <w:szCs w:val="21"/>
        </w:rPr>
        <w:t>38.2.4</w:t>
      </w:r>
      <w:r>
        <w:rPr>
          <w:rFonts w:hint="eastAsia" w:ascii="宋体" w:hAnsi="宋体"/>
          <w:szCs w:val="21"/>
        </w:rPr>
        <w:t>政府集中采购机构</w:t>
      </w:r>
      <w:r>
        <w:t>应当自评审结束之日起两个工作日内将候选中标供应商名单及其投标文件、评审报告送交采购人</w:t>
      </w:r>
      <w:r>
        <w:rPr>
          <w:rFonts w:hint="eastAsia" w:ascii="宋体" w:hAnsi="宋体"/>
          <w:szCs w:val="21"/>
        </w:rPr>
        <w:t>。</w:t>
      </w:r>
      <w:r>
        <w:t>采购人应当安排专人对定标过程进行书面记录，形成定标报告，作为采购文件的组成部分存档，并及时将定标结果反馈</w:t>
      </w:r>
      <w:r>
        <w:rPr>
          <w:rFonts w:hint="eastAsia"/>
        </w:rPr>
        <w:t>政府集中采购机构。具体定标程序及相关要求以按照《深圳市财政局关于</w:t>
      </w:r>
      <w:r>
        <w:rPr>
          <w:rFonts w:hint="eastAsia" w:ascii="Times New Roman" w:eastAsia="宋体"/>
          <w:lang w:val="en-US" w:eastAsia="zh-CN"/>
        </w:rPr>
        <w:t>&lt;</w:t>
      </w:r>
      <w:r>
        <w:rPr>
          <w:rFonts w:hint="eastAsia"/>
        </w:rPr>
        <w:t>深圳市政府采购评标定标分离管理办法</w:t>
      </w:r>
      <w:r>
        <w:rPr>
          <w:rFonts w:hint="eastAsia" w:ascii="Times New Roman" w:eastAsia="宋体"/>
          <w:lang w:val="en-US" w:eastAsia="zh-CN"/>
        </w:rPr>
        <w:t>&gt;</w:t>
      </w:r>
      <w:r>
        <w:rPr>
          <w:rFonts w:hint="eastAsia"/>
        </w:rPr>
        <w:t>续期的通知》（深财规〔2023〕1号）执行。</w:t>
      </w:r>
    </w:p>
    <w:p w14:paraId="4A7A0B32">
      <w:pPr>
        <w:ind w:firstLine="411" w:firstLineChars="196"/>
        <w:rPr>
          <w:rFonts w:ascii="宋体" w:hAnsi="宋体"/>
          <w:szCs w:val="21"/>
        </w:rPr>
      </w:pPr>
      <w:r>
        <w:rPr>
          <w:rFonts w:hint="eastAsia" w:ascii="宋体" w:hAnsi="宋体"/>
          <w:szCs w:val="21"/>
        </w:rPr>
        <w:t>说明：采购人及投标供应商应按照上述方法提前做好相关准备。</w:t>
      </w:r>
    </w:p>
    <w:p w14:paraId="725E63D5">
      <w:pPr>
        <w:ind w:firstLine="411" w:firstLineChars="196"/>
        <w:rPr>
          <w:rFonts w:ascii="宋体" w:hAnsi="宋体"/>
          <w:szCs w:val="21"/>
        </w:rPr>
      </w:pPr>
      <w:r>
        <w:rPr>
          <w:rFonts w:hint="eastAsia" w:ascii="宋体" w:hAnsi="宋体"/>
          <w:szCs w:val="21"/>
        </w:rPr>
        <w:t>38.3专用条款另有规定的，按专用条款相关要求定标。</w:t>
      </w:r>
    </w:p>
    <w:p w14:paraId="321DEAA6">
      <w:pPr>
        <w:rPr>
          <w:rFonts w:ascii="黑体" w:hAnsi="宋体" w:eastAsia="黑体"/>
          <w:sz w:val="24"/>
        </w:rPr>
      </w:pPr>
      <w:r>
        <w:rPr>
          <w:rFonts w:hint="eastAsia" w:ascii="黑体" w:hAnsi="宋体" w:eastAsia="黑体"/>
          <w:sz w:val="24"/>
        </w:rPr>
        <w:t>39．编写评审报告</w:t>
      </w:r>
    </w:p>
    <w:p w14:paraId="51943901">
      <w:pPr>
        <w:ind w:firstLine="411" w:firstLineChars="196"/>
        <w:rPr>
          <w:rFonts w:ascii="宋体" w:hAnsi="宋体"/>
          <w:szCs w:val="21"/>
        </w:rPr>
      </w:pPr>
      <w:r>
        <w:rPr>
          <w:rFonts w:hint="eastAsia" w:ascii="宋体" w:hAnsi="宋体"/>
          <w:szCs w:val="21"/>
        </w:rPr>
        <w:t>评审报告是评审委员会根据全体评标成员签字的原始评审记录和评审结果编写的报告，评审报告由评审委员会全体成员签字。对评审结论持有异议的评审委员会成员可以书面方式阐述其不同意见和理由。评审委员会成员拒绝在评审报告上签字且不陈述其不同意见和理由的，视为同意评审结论。评审委员会应当对此作出书面说明并记录存档。</w:t>
      </w:r>
    </w:p>
    <w:p w14:paraId="2DABA616">
      <w:pPr>
        <w:rPr>
          <w:rFonts w:ascii="黑体" w:hAnsi="宋体" w:eastAsia="黑体"/>
          <w:sz w:val="24"/>
        </w:rPr>
      </w:pPr>
      <w:r>
        <w:rPr>
          <w:rFonts w:hint="eastAsia" w:ascii="黑体" w:hAnsi="宋体" w:eastAsia="黑体"/>
          <w:sz w:val="24"/>
        </w:rPr>
        <w:t>40．中标公告</w:t>
      </w:r>
    </w:p>
    <w:p w14:paraId="279C7393">
      <w:pPr>
        <w:ind w:firstLine="411" w:firstLineChars="196"/>
        <w:rPr>
          <w:rFonts w:ascii="宋体" w:hAnsi="宋体"/>
          <w:szCs w:val="21"/>
        </w:rPr>
      </w:pPr>
      <w:r>
        <w:rPr>
          <w:rFonts w:hint="eastAsia" w:ascii="宋体" w:hAnsi="宋体"/>
          <w:szCs w:val="21"/>
        </w:rPr>
        <w:t>40.1</w:t>
      </w:r>
      <w:bookmarkStart w:id="76" w:name="_Hlk72438709"/>
      <w:r>
        <w:rPr>
          <w:rFonts w:hint="eastAsia" w:ascii="宋体" w:hAnsi="宋体"/>
          <w:szCs w:val="21"/>
        </w:rPr>
        <w:t>为体现“公开、公平、公正”的原则，评审结束后经采购人确认（确定）评审结果，政府集中采购机构将在</w:t>
      </w:r>
      <w:r>
        <w:rPr>
          <w:rFonts w:hint="eastAsia" w:ascii="宋体" w:hAnsi="宋体"/>
          <w:b/>
          <w:bCs/>
          <w:szCs w:val="21"/>
        </w:rPr>
        <w:t>“深圳公共资源交易网（https://szggzy.com/）”</w:t>
      </w:r>
      <w:r>
        <w:rPr>
          <w:rFonts w:hint="eastAsia" w:ascii="宋体" w:hAnsi="宋体"/>
          <w:szCs w:val="21"/>
        </w:rPr>
        <w:t>上发布中标结果公告。</w:t>
      </w:r>
      <w:bookmarkEnd w:id="76"/>
      <w:bookmarkStart w:id="77" w:name="_Hlk72438751"/>
      <w:r>
        <w:rPr>
          <w:rFonts w:hint="eastAsia" w:ascii="宋体" w:hAnsi="宋体"/>
          <w:szCs w:val="21"/>
        </w:rPr>
        <w:t>供应商如对评审结果有异议，</w:t>
      </w:r>
      <w:r>
        <w:rPr>
          <w:rFonts w:ascii="宋体" w:hAnsi="宋体"/>
          <w:szCs w:val="21"/>
        </w:rPr>
        <w:t>可在发布公示日期起</w:t>
      </w:r>
      <w:r>
        <w:rPr>
          <w:rFonts w:hint="eastAsia" w:ascii="宋体" w:hAnsi="宋体"/>
          <w:szCs w:val="21"/>
        </w:rPr>
        <w:t>七</w:t>
      </w:r>
      <w:r>
        <w:rPr>
          <w:rFonts w:ascii="宋体" w:hAnsi="宋体"/>
          <w:szCs w:val="21"/>
        </w:rPr>
        <w:t>个工作日内向</w:t>
      </w:r>
      <w:r>
        <w:rPr>
          <w:rFonts w:hint="eastAsia" w:ascii="宋体" w:hAnsi="宋体"/>
          <w:szCs w:val="21"/>
        </w:rPr>
        <w:t>政府集中采购机构</w:t>
      </w:r>
      <w:r>
        <w:rPr>
          <w:rFonts w:ascii="宋体" w:hAnsi="宋体"/>
          <w:szCs w:val="21"/>
        </w:rPr>
        <w:t>提出。 监督电话：0755-83948143。</w:t>
      </w:r>
      <w:r>
        <w:rPr>
          <w:rFonts w:hint="eastAsia" w:ascii="宋体" w:hAnsi="宋体"/>
          <w:szCs w:val="21"/>
        </w:rPr>
        <w:t>若在公示期内未提出质疑，则视为认同该评审结果。</w:t>
      </w:r>
    </w:p>
    <w:bookmarkEnd w:id="77"/>
    <w:p w14:paraId="04E4FA33">
      <w:pPr>
        <w:ind w:firstLine="411" w:firstLineChars="196"/>
        <w:rPr>
          <w:rFonts w:ascii="宋体" w:hAnsi="宋体"/>
          <w:szCs w:val="21"/>
        </w:rPr>
      </w:pPr>
      <w:r>
        <w:rPr>
          <w:rFonts w:hint="eastAsia" w:ascii="宋体" w:hAnsi="宋体"/>
          <w:szCs w:val="21"/>
        </w:rPr>
        <w:t>40.2质疑、投诉供应商应保证质疑、投诉内容的真实性和可靠性，并承担相应的法律责任。</w:t>
      </w:r>
    </w:p>
    <w:p w14:paraId="4E843735">
      <w:pPr>
        <w:rPr>
          <w:rFonts w:ascii="黑体" w:hAnsi="宋体" w:eastAsia="黑体"/>
          <w:sz w:val="24"/>
        </w:rPr>
      </w:pPr>
      <w:r>
        <w:rPr>
          <w:rFonts w:hint="eastAsia" w:ascii="黑体" w:hAnsi="宋体" w:eastAsia="黑体"/>
          <w:sz w:val="24"/>
        </w:rPr>
        <w:t>41．中标通知书</w:t>
      </w:r>
    </w:p>
    <w:p w14:paraId="5ADDBCA5">
      <w:pPr>
        <w:ind w:firstLine="411" w:firstLineChars="196"/>
        <w:rPr>
          <w:rFonts w:ascii="宋体" w:hAnsi="宋体"/>
          <w:szCs w:val="21"/>
        </w:rPr>
      </w:pPr>
      <w:r>
        <w:rPr>
          <w:rFonts w:hint="eastAsia" w:ascii="宋体" w:hAnsi="宋体"/>
          <w:szCs w:val="21"/>
        </w:rPr>
        <w:t>41</w:t>
      </w:r>
      <w:r>
        <w:rPr>
          <w:rFonts w:ascii="宋体" w:hAnsi="宋体"/>
          <w:szCs w:val="21"/>
        </w:rPr>
        <w:t>.</w:t>
      </w:r>
      <w:r>
        <w:rPr>
          <w:rFonts w:hint="eastAsia" w:ascii="宋体" w:hAnsi="宋体"/>
          <w:szCs w:val="21"/>
        </w:rPr>
        <w:t>1</w:t>
      </w:r>
      <w:bookmarkStart w:id="78" w:name="_Hlk72438863"/>
      <w:r>
        <w:rPr>
          <w:rFonts w:hint="eastAsia" w:ascii="宋体" w:hAnsi="宋体"/>
          <w:szCs w:val="21"/>
        </w:rPr>
        <w:t>中标公告公布以后无异常的情况下,中标供应商和采购人可自行在</w:t>
      </w:r>
      <w:r>
        <w:rPr>
          <w:rFonts w:hint="eastAsia" w:ascii="宋体" w:hAnsi="宋体"/>
          <w:b/>
          <w:bCs/>
          <w:szCs w:val="21"/>
        </w:rPr>
        <w:t>“</w:t>
      </w:r>
      <w:r>
        <w:rPr>
          <w:rFonts w:hint="eastAsia"/>
          <w:b/>
          <w:bCs/>
        </w:rPr>
        <w:t>“深圳市自行采购系统（https://trade.szggzy.com/ggzy/center/#/login）</w:t>
      </w:r>
      <w:r>
        <w:rPr>
          <w:rFonts w:hint="eastAsia" w:ascii="宋体" w:hAnsi="宋体"/>
          <w:b/>
          <w:bCs/>
          <w:szCs w:val="21"/>
        </w:rPr>
        <w:t>”</w:t>
      </w:r>
      <w:r>
        <w:rPr>
          <w:rFonts w:hint="eastAsia" w:ascii="宋体" w:hAnsi="宋体"/>
          <w:szCs w:val="21"/>
        </w:rPr>
        <w:t>上打印</w:t>
      </w:r>
      <w:r>
        <w:rPr>
          <w:rFonts w:hint="eastAsia" w:ascii="宋体" w:hAnsi="宋体"/>
          <w:b/>
          <w:szCs w:val="21"/>
        </w:rPr>
        <w:t>《数字中标通知书》</w:t>
      </w:r>
      <w:r>
        <w:rPr>
          <w:rFonts w:hint="eastAsia" w:ascii="宋体" w:hAnsi="宋体"/>
          <w:szCs w:val="21"/>
        </w:rPr>
        <w:t>。</w:t>
      </w:r>
      <w:bookmarkEnd w:id="78"/>
    </w:p>
    <w:p w14:paraId="3AF5B628">
      <w:pPr>
        <w:ind w:firstLine="411" w:firstLineChars="196"/>
        <w:rPr>
          <w:rFonts w:ascii="宋体" w:hAnsi="宋体"/>
          <w:szCs w:val="21"/>
        </w:rPr>
      </w:pPr>
      <w:r>
        <w:rPr>
          <w:rFonts w:hint="eastAsia" w:ascii="宋体" w:hAnsi="宋体"/>
          <w:szCs w:val="21"/>
        </w:rPr>
        <w:t>41</w:t>
      </w:r>
      <w:r>
        <w:rPr>
          <w:rFonts w:ascii="宋体" w:hAnsi="宋体"/>
          <w:szCs w:val="21"/>
        </w:rPr>
        <w:t>.2</w:t>
      </w:r>
      <w:r>
        <w:rPr>
          <w:rFonts w:hint="eastAsia" w:ascii="宋体" w:hAnsi="宋体"/>
          <w:szCs w:val="21"/>
        </w:rPr>
        <w:t>中标通知书是合同的重要组成部分。</w:t>
      </w:r>
    </w:p>
    <w:p w14:paraId="3AB4E023">
      <w:pPr>
        <w:ind w:firstLine="411" w:firstLineChars="196"/>
        <w:rPr>
          <w:rFonts w:ascii="宋体" w:hAnsi="宋体"/>
          <w:szCs w:val="21"/>
        </w:rPr>
      </w:pPr>
      <w:bookmarkStart w:id="79" w:name="_Hlk71407340"/>
      <w:r>
        <w:rPr>
          <w:rFonts w:hint="eastAsia" w:ascii="宋体" w:hAnsi="宋体"/>
          <w:szCs w:val="21"/>
        </w:rPr>
        <w:t>41.3因质疑投诉或其它原因导致项目结果变更或采购终止的，政府集中采购机构有权吊销中标通知书。</w:t>
      </w:r>
    </w:p>
    <w:bookmarkEnd w:id="79"/>
    <w:p w14:paraId="468B321B">
      <w:pPr>
        <w:ind w:firstLine="411" w:firstLineChars="196"/>
        <w:rPr>
          <w:rFonts w:ascii="宋体" w:hAnsi="宋体"/>
          <w:szCs w:val="21"/>
        </w:rPr>
      </w:pPr>
    </w:p>
    <w:p w14:paraId="0521FB44">
      <w:pPr>
        <w:pStyle w:val="5"/>
        <w:numPr>
          <w:ilvl w:val="0"/>
          <w:numId w:val="13"/>
        </w:numPr>
        <w:spacing w:before="120" w:beforeLines="50" w:after="120" w:afterLines="50"/>
        <w:ind w:left="562" w:hanging="562"/>
        <w:rPr>
          <w:sz w:val="28"/>
          <w:szCs w:val="28"/>
        </w:rPr>
      </w:pPr>
      <w:r>
        <w:rPr>
          <w:rFonts w:hint="eastAsia"/>
          <w:sz w:val="28"/>
          <w:szCs w:val="28"/>
        </w:rPr>
        <w:t>公开招标失败的后续处理</w:t>
      </w:r>
    </w:p>
    <w:p w14:paraId="4131D964">
      <w:pPr>
        <w:rPr>
          <w:rFonts w:ascii="黑体" w:hAnsi="宋体" w:eastAsia="黑体"/>
          <w:sz w:val="24"/>
        </w:rPr>
      </w:pPr>
      <w:r>
        <w:rPr>
          <w:rFonts w:hint="eastAsia" w:ascii="黑体" w:hAnsi="宋体" w:eastAsia="黑体"/>
          <w:sz w:val="24"/>
        </w:rPr>
        <w:t>42．公开招标失败的处理</w:t>
      </w:r>
    </w:p>
    <w:p w14:paraId="1CF0E2E5">
      <w:pPr>
        <w:ind w:firstLine="411" w:firstLineChars="196"/>
        <w:rPr>
          <w:rFonts w:ascii="宋体" w:hAnsi="宋体"/>
        </w:rPr>
      </w:pPr>
      <w:r>
        <w:rPr>
          <w:rFonts w:hint="eastAsia" w:ascii="宋体" w:hAnsi="宋体"/>
          <w:szCs w:val="21"/>
        </w:rPr>
        <w:t>42.1本项目公开招标过程中若由于投标截止后</w:t>
      </w:r>
      <w:r>
        <w:rPr>
          <w:rFonts w:hint="eastAsia" w:ascii="宋体" w:hAnsi="宋体"/>
        </w:rPr>
        <w:t>实际递交</w:t>
      </w:r>
      <w:r>
        <w:rPr>
          <w:rFonts w:ascii="宋体" w:hAnsi="宋体"/>
        </w:rPr>
        <w:t>投标</w:t>
      </w:r>
      <w:r>
        <w:rPr>
          <w:rFonts w:hint="eastAsia" w:ascii="宋体" w:hAnsi="宋体"/>
        </w:rPr>
        <w:t>文件的供应商数量不足、经</w:t>
      </w:r>
      <w:r>
        <w:rPr>
          <w:rFonts w:hint="eastAsia" w:ascii="宋体" w:hAnsi="宋体"/>
          <w:szCs w:val="21"/>
        </w:rPr>
        <w:t>评审委员会</w:t>
      </w:r>
      <w:r>
        <w:rPr>
          <w:rFonts w:hint="eastAsia" w:ascii="宋体" w:hAnsi="宋体"/>
        </w:rPr>
        <w:t>评审对招标文件作实质响应的供应商不足等原因造成公开招标失败，可由</w:t>
      </w:r>
      <w:r>
        <w:rPr>
          <w:rFonts w:hint="eastAsia" w:ascii="宋体" w:hAnsi="宋体" w:cs="宋体"/>
        </w:rPr>
        <w:t>政府集中采购机构</w:t>
      </w:r>
      <w:r>
        <w:rPr>
          <w:rFonts w:hint="eastAsia" w:ascii="宋体" w:hAnsi="宋体"/>
        </w:rPr>
        <w:t>重新组织采购。</w:t>
      </w:r>
    </w:p>
    <w:p w14:paraId="3889F1EB">
      <w:pPr>
        <w:ind w:firstLine="411" w:firstLineChars="196"/>
        <w:rPr>
          <w:rFonts w:ascii="宋体" w:hAnsi="宋体"/>
          <w:szCs w:val="21"/>
        </w:rPr>
      </w:pPr>
      <w:r>
        <w:rPr>
          <w:rFonts w:hint="eastAsia" w:ascii="宋体" w:hAnsi="宋体"/>
          <w:szCs w:val="21"/>
        </w:rPr>
        <w:t>42.2对公开招标失败的项目，评审委员会在出具该项目招标失败结论的同时，可以提出重新采购组织形式的建议，以及进一步完善招标文件的资格、技术、商务要求的修改建议。</w:t>
      </w:r>
    </w:p>
    <w:p w14:paraId="2AE89F52">
      <w:pPr>
        <w:ind w:firstLine="411" w:firstLineChars="196"/>
        <w:rPr>
          <w:rFonts w:ascii="宋体" w:hAnsi="宋体"/>
          <w:szCs w:val="21"/>
        </w:rPr>
      </w:pPr>
      <w:r>
        <w:rPr>
          <w:rFonts w:hint="eastAsia" w:ascii="宋体" w:hAnsi="宋体"/>
          <w:szCs w:val="21"/>
        </w:rPr>
        <w:t>42.3重新组织采购有以下两种组织形式：</w:t>
      </w:r>
    </w:p>
    <w:p w14:paraId="51823C4C">
      <w:pPr>
        <w:ind w:firstLine="411" w:firstLineChars="196"/>
        <w:rPr>
          <w:rFonts w:ascii="宋体" w:hAnsi="宋体"/>
        </w:rPr>
      </w:pPr>
      <w:r>
        <w:rPr>
          <w:rFonts w:hint="eastAsia" w:ascii="宋体" w:hAnsi="宋体"/>
        </w:rPr>
        <w:t>（1）由政府集中采购机构重新组织公开招标；</w:t>
      </w:r>
    </w:p>
    <w:p w14:paraId="218A7A2F">
      <w:pPr>
        <w:ind w:firstLine="411" w:firstLineChars="196"/>
        <w:rPr>
          <w:rFonts w:ascii="宋体" w:hAnsi="宋体"/>
        </w:rPr>
      </w:pPr>
      <w:r>
        <w:rPr>
          <w:rFonts w:hint="eastAsia" w:ascii="宋体" w:hAnsi="宋体"/>
        </w:rPr>
        <w:t>（2）根据实际情况需要向同级财政部门提出非公开招标方式申请，经同级财政部门批准，公开招标失败采购项目可转为竞争性谈判或单一来源谈判方式采购。</w:t>
      </w:r>
    </w:p>
    <w:p w14:paraId="4A1F3A6D">
      <w:pPr>
        <w:ind w:firstLine="411" w:firstLineChars="196"/>
        <w:rPr>
          <w:rFonts w:ascii="宋体" w:hAnsi="宋体"/>
        </w:rPr>
      </w:pPr>
      <w:r>
        <w:rPr>
          <w:rFonts w:hint="eastAsia" w:ascii="宋体" w:hAnsi="宋体"/>
        </w:rPr>
        <w:t>42.4公开招标失败的采购项目重新组织公开招标，由政府集中采购机构重新按公开招标流程组织采购活动。</w:t>
      </w:r>
    </w:p>
    <w:p w14:paraId="3E84BA59">
      <w:pPr>
        <w:rPr>
          <w:rFonts w:ascii="宋体" w:hAnsi="宋体"/>
        </w:rPr>
      </w:pPr>
      <w:r>
        <w:rPr>
          <w:rFonts w:hint="eastAsia" w:ascii="黑体" w:hAnsi="宋体" w:eastAsia="黑体"/>
          <w:sz w:val="24"/>
        </w:rPr>
        <w:t xml:space="preserve">    </w:t>
      </w:r>
      <w:r>
        <w:rPr>
          <w:rFonts w:hint="eastAsia" w:ascii="宋体" w:hAnsi="宋体"/>
        </w:rPr>
        <w:t>42.5公开招标失败的采购项目经同级财政部门批准转为竞争性谈判或单一来源谈判方式采购的，按规定要求组织政府采购工作。</w:t>
      </w:r>
    </w:p>
    <w:p w14:paraId="53833D08">
      <w:pPr>
        <w:rPr>
          <w:rFonts w:ascii="黑体" w:hAnsi="宋体" w:eastAsia="黑体"/>
          <w:sz w:val="24"/>
        </w:rPr>
      </w:pPr>
    </w:p>
    <w:p w14:paraId="204FD288">
      <w:pPr>
        <w:pStyle w:val="5"/>
        <w:numPr>
          <w:ilvl w:val="0"/>
          <w:numId w:val="13"/>
        </w:numPr>
        <w:spacing w:before="120" w:beforeLines="50" w:after="120" w:afterLines="50"/>
        <w:ind w:left="562" w:hanging="562"/>
        <w:rPr>
          <w:sz w:val="28"/>
          <w:szCs w:val="28"/>
        </w:rPr>
      </w:pPr>
      <w:bookmarkStart w:id="80" w:name="_Hlk72439043"/>
      <w:r>
        <w:rPr>
          <w:rFonts w:hint="eastAsia"/>
          <w:sz w:val="28"/>
          <w:szCs w:val="28"/>
        </w:rPr>
        <w:t>合同的授予与备案</w:t>
      </w:r>
      <w:bookmarkEnd w:id="80"/>
    </w:p>
    <w:p w14:paraId="2A33A3F7">
      <w:pPr>
        <w:rPr>
          <w:rFonts w:ascii="黑体" w:hAnsi="宋体" w:eastAsia="黑体"/>
          <w:sz w:val="24"/>
        </w:rPr>
      </w:pPr>
      <w:bookmarkStart w:id="81" w:name="_Toc100052408"/>
      <w:bookmarkStart w:id="82" w:name="_Toc73517679"/>
      <w:bookmarkStart w:id="83" w:name="_Toc73518157"/>
      <w:bookmarkStart w:id="84" w:name="_Toc73521674"/>
      <w:bookmarkStart w:id="85" w:name="_Toc73521586"/>
      <w:bookmarkStart w:id="86" w:name="_Hlk72439088"/>
      <w:r>
        <w:rPr>
          <w:rFonts w:hint="eastAsia" w:ascii="黑体" w:hAnsi="宋体" w:eastAsia="黑体"/>
          <w:sz w:val="24"/>
        </w:rPr>
        <w:t>43．合同授予标准</w:t>
      </w:r>
      <w:bookmarkEnd w:id="81"/>
      <w:bookmarkEnd w:id="82"/>
      <w:bookmarkEnd w:id="83"/>
      <w:bookmarkEnd w:id="84"/>
      <w:bookmarkEnd w:id="85"/>
    </w:p>
    <w:p w14:paraId="04892C5F">
      <w:pPr>
        <w:ind w:firstLine="411" w:firstLineChars="196"/>
        <w:rPr>
          <w:rFonts w:ascii="宋体" w:hAnsi="宋体"/>
          <w:szCs w:val="21"/>
        </w:rPr>
      </w:pPr>
      <w:r>
        <w:rPr>
          <w:rFonts w:hint="eastAsia" w:ascii="宋体" w:hAnsi="宋体"/>
          <w:szCs w:val="21"/>
        </w:rPr>
        <w:t>本项目的合同将授予经本招标文件规定评审确定的中标供应商。</w:t>
      </w:r>
    </w:p>
    <w:p w14:paraId="47E54FA5">
      <w:pPr>
        <w:rPr>
          <w:rFonts w:ascii="黑体" w:hAnsi="宋体" w:eastAsia="黑体"/>
          <w:sz w:val="24"/>
        </w:rPr>
      </w:pPr>
      <w:bookmarkStart w:id="87" w:name="_Toc73518158"/>
      <w:bookmarkStart w:id="88" w:name="_Toc73521587"/>
      <w:bookmarkStart w:id="89" w:name="_Toc100052409"/>
      <w:bookmarkStart w:id="90" w:name="_Toc73521675"/>
      <w:bookmarkStart w:id="91" w:name="_Toc73517680"/>
      <w:r>
        <w:rPr>
          <w:rFonts w:hint="eastAsia" w:ascii="黑体" w:hAnsi="宋体" w:eastAsia="黑体"/>
          <w:sz w:val="24"/>
        </w:rPr>
        <w:t>44．</w:t>
      </w:r>
      <w:bookmarkEnd w:id="87"/>
      <w:bookmarkEnd w:id="88"/>
      <w:bookmarkEnd w:id="89"/>
      <w:bookmarkEnd w:id="90"/>
      <w:bookmarkEnd w:id="91"/>
      <w:r>
        <w:rPr>
          <w:rFonts w:hint="eastAsia" w:ascii="黑体" w:hAnsi="宋体" w:eastAsia="黑体"/>
          <w:sz w:val="24"/>
        </w:rPr>
        <w:t>接受和拒绝任何或所有投标的权力</w:t>
      </w:r>
    </w:p>
    <w:p w14:paraId="7FEA9CF6">
      <w:pPr>
        <w:ind w:firstLine="411" w:firstLineChars="196"/>
        <w:rPr>
          <w:rFonts w:ascii="宋体" w:hAnsi="宋体"/>
          <w:szCs w:val="21"/>
        </w:rPr>
      </w:pPr>
      <w:r>
        <w:rPr>
          <w:rFonts w:hint="eastAsia" w:ascii="宋体" w:hAnsi="宋体"/>
          <w:szCs w:val="21"/>
        </w:rPr>
        <w:t>政府集中采购机构和采购人保留在投标之前任何时候接受或拒绝任何投标或所有投标，以及宣布招标无效的权力，对受影响的投标人不承担任何责任，也无义务向受影响的投标人解释采取这一行动的理由。</w:t>
      </w:r>
    </w:p>
    <w:p w14:paraId="71398887">
      <w:pPr>
        <w:rPr>
          <w:rFonts w:ascii="黑体" w:hAnsi="宋体" w:eastAsia="黑体"/>
          <w:sz w:val="24"/>
        </w:rPr>
      </w:pPr>
      <w:bookmarkStart w:id="92" w:name="_Toc100052410"/>
      <w:bookmarkStart w:id="93" w:name="_Toc73518160"/>
      <w:bookmarkStart w:id="94" w:name="_Toc73521589"/>
      <w:bookmarkStart w:id="95" w:name="_Toc73517682"/>
      <w:bookmarkStart w:id="96" w:name="_Toc73521677"/>
      <w:r>
        <w:rPr>
          <w:rFonts w:hint="eastAsia" w:ascii="黑体" w:hAnsi="宋体" w:eastAsia="黑体"/>
          <w:sz w:val="24"/>
        </w:rPr>
        <w:t>45．合同的签订</w:t>
      </w:r>
      <w:bookmarkEnd w:id="92"/>
      <w:bookmarkEnd w:id="93"/>
      <w:bookmarkEnd w:id="94"/>
      <w:bookmarkEnd w:id="95"/>
      <w:bookmarkEnd w:id="96"/>
    </w:p>
    <w:p w14:paraId="4C25C4E0">
      <w:pPr>
        <w:ind w:firstLine="411" w:firstLineChars="196"/>
        <w:rPr>
          <w:rFonts w:ascii="宋体" w:hAnsi="宋体"/>
          <w:szCs w:val="21"/>
        </w:rPr>
      </w:pPr>
      <w:r>
        <w:rPr>
          <w:rFonts w:hint="eastAsia" w:ascii="宋体" w:hAnsi="宋体"/>
          <w:szCs w:val="21"/>
        </w:rPr>
        <w:t>45.1中标人将于中标通知书发出之日起十个工作日内，按照采购文件（招标文件和投标文件等）内容与采购人签订政府采购合同；合同的实质性内容应当符合招标文件的规定；</w:t>
      </w:r>
    </w:p>
    <w:p w14:paraId="23FF7F94">
      <w:pPr>
        <w:ind w:firstLine="411" w:firstLineChars="196"/>
        <w:rPr>
          <w:rFonts w:ascii="宋体" w:hAnsi="宋体"/>
          <w:szCs w:val="21"/>
        </w:rPr>
      </w:pPr>
      <w:r>
        <w:rPr>
          <w:rFonts w:hint="eastAsia" w:ascii="宋体" w:hAnsi="宋体"/>
          <w:szCs w:val="21"/>
        </w:rPr>
        <w:t>45.2中标人如不按本通用条款第45</w:t>
      </w:r>
      <w:r>
        <w:rPr>
          <w:rFonts w:ascii="宋体" w:hAnsi="宋体"/>
          <w:szCs w:val="21"/>
        </w:rPr>
        <w:t>.1</w:t>
      </w:r>
      <w:r>
        <w:rPr>
          <w:rFonts w:hint="eastAsia" w:ascii="宋体" w:hAnsi="宋体"/>
          <w:szCs w:val="21"/>
        </w:rPr>
        <w:t>款的规定与采购人签订合同，</w:t>
      </w:r>
      <w:r>
        <w:rPr>
          <w:rFonts w:ascii="宋体" w:hAnsi="宋体" w:cs="宋体"/>
          <w:kern w:val="0"/>
          <w:szCs w:val="21"/>
        </w:rPr>
        <w:t>情节严重的，由</w:t>
      </w:r>
      <w:r>
        <w:rPr>
          <w:rFonts w:hint="eastAsia" w:ascii="宋体" w:hAnsi="宋体" w:cs="宋体"/>
          <w:kern w:val="0"/>
          <w:szCs w:val="21"/>
        </w:rPr>
        <w:t>同级财政</w:t>
      </w:r>
      <w:r>
        <w:rPr>
          <w:rFonts w:ascii="宋体" w:hAnsi="宋体" w:cs="宋体"/>
          <w:kern w:val="0"/>
          <w:szCs w:val="21"/>
        </w:rPr>
        <w:t>部门记入供应商诚信档案，予以通报</w:t>
      </w:r>
      <w:r>
        <w:rPr>
          <w:rFonts w:hint="eastAsia" w:ascii="宋体" w:hAnsi="宋体"/>
          <w:szCs w:val="21"/>
        </w:rPr>
        <w:t>；</w:t>
      </w:r>
    </w:p>
    <w:p w14:paraId="5B3368E5">
      <w:pPr>
        <w:ind w:firstLine="411" w:firstLineChars="196"/>
        <w:rPr>
          <w:rFonts w:ascii="宋体" w:hAnsi="宋体"/>
          <w:szCs w:val="21"/>
        </w:rPr>
      </w:pPr>
      <w:r>
        <w:rPr>
          <w:rFonts w:hint="eastAsia" w:ascii="宋体" w:hAnsi="宋体"/>
          <w:szCs w:val="21"/>
        </w:rPr>
        <w:t>45.3中标人应当按照合同约定履行义务，完成中标项目，不得将中标项目转让（转包）给他人。</w:t>
      </w:r>
    </w:p>
    <w:p w14:paraId="38C83C69">
      <w:pPr>
        <w:rPr>
          <w:rFonts w:ascii="黑体" w:hAnsi="宋体" w:eastAsia="黑体"/>
          <w:sz w:val="24"/>
        </w:rPr>
      </w:pPr>
      <w:bookmarkStart w:id="97" w:name="_Toc73521678"/>
      <w:bookmarkStart w:id="98" w:name="_Toc100052411"/>
      <w:bookmarkStart w:id="99" w:name="_Toc73518161"/>
      <w:bookmarkStart w:id="100" w:name="_Toc73521590"/>
      <w:bookmarkStart w:id="101" w:name="_Toc73517683"/>
      <w:r>
        <w:rPr>
          <w:rFonts w:hint="eastAsia" w:ascii="黑体" w:hAnsi="宋体" w:eastAsia="黑体"/>
          <w:sz w:val="24"/>
        </w:rPr>
        <w:t>46．履约担保</w:t>
      </w:r>
      <w:bookmarkEnd w:id="97"/>
      <w:bookmarkEnd w:id="98"/>
      <w:bookmarkEnd w:id="99"/>
      <w:bookmarkEnd w:id="100"/>
      <w:bookmarkEnd w:id="101"/>
    </w:p>
    <w:p w14:paraId="0D9BFA59">
      <w:pPr>
        <w:ind w:firstLine="411" w:firstLineChars="196"/>
        <w:rPr>
          <w:rFonts w:ascii="宋体" w:hAnsi="宋体"/>
          <w:szCs w:val="21"/>
        </w:rPr>
      </w:pPr>
      <w:r>
        <w:rPr>
          <w:rFonts w:hint="eastAsia" w:ascii="宋体" w:hAnsi="宋体"/>
          <w:szCs w:val="21"/>
        </w:rPr>
        <w:t>46.1在签订项目合同的同时，中标人应按“对通用条款的补充内容”中规定的金额向采购人提交履约担保；</w:t>
      </w:r>
    </w:p>
    <w:p w14:paraId="2C263BE1">
      <w:pPr>
        <w:ind w:firstLine="411" w:firstLineChars="196"/>
        <w:rPr>
          <w:rFonts w:ascii="宋体" w:hAnsi="宋体"/>
          <w:szCs w:val="21"/>
        </w:rPr>
      </w:pPr>
      <w:r>
        <w:rPr>
          <w:rFonts w:hint="eastAsia" w:ascii="宋体" w:hAnsi="宋体"/>
          <w:szCs w:val="21"/>
        </w:rPr>
        <w:t>46.2，允许供应商自主选择以支票、汇票、本票、保函等非现金方式提交履约担保；</w:t>
      </w:r>
      <w:r>
        <w:t>中标</w:t>
      </w:r>
      <w:r>
        <w:rPr>
          <w:rFonts w:hint="eastAsia"/>
        </w:rPr>
        <w:t>人</w:t>
      </w:r>
      <w:r>
        <w:t>提交履约</w:t>
      </w:r>
      <w:r>
        <w:rPr>
          <w:rFonts w:hint="eastAsia"/>
        </w:rPr>
        <w:t>担保不是</w:t>
      </w:r>
      <w:r>
        <w:t>合同签订的</w:t>
      </w:r>
      <w:r>
        <w:rPr>
          <w:rFonts w:hint="eastAsia"/>
        </w:rPr>
        <w:t>前提</w:t>
      </w:r>
      <w:r>
        <w:t>条件，不要求中标</w:t>
      </w:r>
      <w:r>
        <w:rPr>
          <w:rFonts w:hint="eastAsia"/>
        </w:rPr>
        <w:t>人</w:t>
      </w:r>
      <w:r>
        <w:t>提供除法律、法规明确规定外的其他担保</w:t>
      </w:r>
      <w:r>
        <w:rPr>
          <w:rFonts w:hint="eastAsia"/>
        </w:rPr>
        <w:t>。</w:t>
      </w:r>
    </w:p>
    <w:p w14:paraId="0AFA4F5F">
      <w:pPr>
        <w:rPr>
          <w:rFonts w:ascii="黑体" w:hAnsi="宋体" w:eastAsia="黑体"/>
          <w:sz w:val="24"/>
        </w:rPr>
      </w:pPr>
      <w:r>
        <w:rPr>
          <w:rFonts w:hint="eastAsia" w:ascii="黑体" w:hAnsi="宋体" w:eastAsia="黑体"/>
          <w:sz w:val="24"/>
        </w:rPr>
        <w:t>47. 合同备案</w:t>
      </w:r>
    </w:p>
    <w:p w14:paraId="26E0B255">
      <w:pPr>
        <w:ind w:firstLine="411" w:firstLineChars="196"/>
        <w:rPr>
          <w:rFonts w:ascii="宋体" w:hAnsi="宋体"/>
          <w:szCs w:val="21"/>
        </w:rPr>
      </w:pPr>
      <w:r>
        <w:rPr>
          <w:rFonts w:hint="eastAsia" w:ascii="宋体" w:hAnsi="宋体" w:eastAsia="宋体" w:cs="Times New Roman"/>
          <w:kern w:val="2"/>
          <w:sz w:val="21"/>
          <w:szCs w:val="21"/>
          <w:lang w:eastAsia="zh-Hans"/>
        </w:rPr>
        <w:t>采购人与中标供应商自中标通知书发出之日起10个工作日内签订政府采购合同，</w:t>
      </w:r>
      <w:r>
        <w:rPr>
          <w:rFonts w:hint="eastAsia" w:ascii="宋体" w:hAnsi="宋体" w:eastAsia="宋体" w:cs="Times New Roman"/>
          <w:kern w:val="2"/>
          <w:sz w:val="21"/>
          <w:szCs w:val="21"/>
          <w:lang w:val="en-US" w:eastAsia="zh-CN"/>
        </w:rPr>
        <w:t>并按财政部门规定提交备案。</w:t>
      </w:r>
    </w:p>
    <w:p w14:paraId="396194D2">
      <w:pPr>
        <w:rPr>
          <w:rFonts w:ascii="黑体" w:hAnsi="宋体" w:eastAsia="黑体"/>
          <w:sz w:val="24"/>
        </w:rPr>
      </w:pPr>
      <w:r>
        <w:rPr>
          <w:rFonts w:hint="eastAsia" w:ascii="黑体" w:hAnsi="宋体" w:eastAsia="黑体"/>
          <w:sz w:val="24"/>
        </w:rPr>
        <w:t>48. 合同变更</w:t>
      </w:r>
    </w:p>
    <w:p w14:paraId="52A03657">
      <w:pPr>
        <w:ind w:firstLine="411" w:firstLineChars="196"/>
        <w:rPr>
          <w:rFonts w:ascii="宋体" w:hAnsi="宋体"/>
          <w:szCs w:val="21"/>
        </w:rPr>
      </w:pPr>
      <w:r>
        <w:rPr>
          <w:rFonts w:hint="eastAsia" w:ascii="宋体" w:hAnsi="宋体"/>
          <w:szCs w:val="21"/>
        </w:rPr>
        <w:t>合同变更事宜按《深圳市财政局关于优化政府采购合同备案的通知》（深财发保〔2022〕2号）相关规定执行。</w:t>
      </w:r>
    </w:p>
    <w:p w14:paraId="27034DC0">
      <w:pPr>
        <w:rPr>
          <w:rFonts w:ascii="黑体" w:hAnsi="宋体" w:eastAsia="黑体"/>
          <w:sz w:val="24"/>
        </w:rPr>
      </w:pPr>
      <w:r>
        <w:rPr>
          <w:rFonts w:hint="eastAsia" w:ascii="黑体" w:hAnsi="宋体" w:eastAsia="黑体"/>
          <w:sz w:val="24"/>
        </w:rPr>
        <w:t>49. 项目验收</w:t>
      </w:r>
    </w:p>
    <w:p w14:paraId="375F1F40">
      <w:pPr>
        <w:widowControl/>
        <w:ind w:right="176" w:firstLine="420"/>
        <w:jc w:val="left"/>
        <w:rPr>
          <w:rFonts w:ascii="宋体" w:hAnsi="宋体"/>
        </w:rPr>
      </w:pPr>
      <w:r>
        <w:rPr>
          <w:rFonts w:hint="eastAsia" w:ascii="宋体" w:hAnsi="宋体"/>
        </w:rPr>
        <w:t>49.1采购人应当按照招标文件和合同规定的标准和方法，及时组织验收。</w:t>
      </w:r>
      <w:r>
        <w:rPr>
          <w:rFonts w:ascii="宋体" w:hAnsi="宋体"/>
        </w:rPr>
        <w:t xml:space="preserve"> </w:t>
      </w:r>
    </w:p>
    <w:p w14:paraId="6DC709CD">
      <w:pPr>
        <w:rPr>
          <w:rFonts w:ascii="黑体" w:hAnsi="宋体" w:eastAsia="黑体"/>
          <w:sz w:val="24"/>
        </w:rPr>
      </w:pPr>
      <w:r>
        <w:rPr>
          <w:rFonts w:hint="eastAsia" w:ascii="黑体" w:hAnsi="宋体" w:eastAsia="黑体"/>
          <w:sz w:val="24"/>
        </w:rPr>
        <w:t>50. 宣传</w:t>
      </w:r>
    </w:p>
    <w:p w14:paraId="30DC1E34">
      <w:pPr>
        <w:ind w:left="210" w:leftChars="100" w:firstLine="411" w:firstLineChars="196"/>
        <w:rPr>
          <w:rFonts w:ascii="宋体" w:hAnsi="宋体"/>
        </w:rPr>
      </w:pPr>
      <w:r>
        <w:rPr>
          <w:rFonts w:hint="eastAsia" w:ascii="宋体" w:hAnsi="宋体"/>
        </w:rPr>
        <w:t>凡与政府采购活动有关的宣传或广告，若当中提及政府采购，</w:t>
      </w:r>
      <w:r>
        <w:rPr>
          <w:rFonts w:ascii="宋体" w:hAnsi="宋体"/>
        </w:rPr>
        <w:t>必须事先将具体对外宣传方案报</w:t>
      </w:r>
      <w:r>
        <w:rPr>
          <w:rFonts w:hint="eastAsia" w:ascii="宋体" w:hAnsi="宋体"/>
        </w:rPr>
        <w:t>同级财政部门</w:t>
      </w:r>
      <w:r>
        <w:rPr>
          <w:rFonts w:ascii="宋体" w:hAnsi="宋体"/>
        </w:rPr>
        <w:t>和</w:t>
      </w:r>
      <w:r>
        <w:rPr>
          <w:rFonts w:hint="eastAsia" w:ascii="宋体" w:hAnsi="宋体"/>
        </w:rPr>
        <w:t>政府集中采购机构</w:t>
      </w:r>
      <w:r>
        <w:rPr>
          <w:rFonts w:ascii="宋体" w:hAnsi="宋体"/>
        </w:rPr>
        <w:t>，并征得其同意。对外市场宣传包括但不限于以下形式：</w:t>
      </w:r>
    </w:p>
    <w:p w14:paraId="499A97B7">
      <w:pPr>
        <w:ind w:left="210" w:leftChars="100" w:firstLine="411" w:firstLineChars="196"/>
        <w:rPr>
          <w:rFonts w:ascii="宋体" w:hAnsi="宋体"/>
        </w:rPr>
      </w:pPr>
      <w:r>
        <w:rPr>
          <w:rFonts w:ascii="宋体" w:hAnsi="宋体"/>
        </w:rPr>
        <w:t>a.名片、宣传册、广告标语等；</w:t>
      </w:r>
    </w:p>
    <w:p w14:paraId="6721E8A3">
      <w:pPr>
        <w:ind w:left="210" w:leftChars="100" w:firstLine="411" w:firstLineChars="196"/>
        <w:rPr>
          <w:rFonts w:ascii="宋体" w:hAnsi="宋体"/>
        </w:rPr>
      </w:pPr>
      <w:r>
        <w:rPr>
          <w:rFonts w:ascii="宋体" w:hAnsi="宋体"/>
        </w:rPr>
        <w:t>b.案例介绍、推广等；</w:t>
      </w:r>
    </w:p>
    <w:p w14:paraId="60E604A9">
      <w:pPr>
        <w:ind w:left="210" w:leftChars="100" w:firstLine="411" w:firstLineChars="196"/>
        <w:rPr>
          <w:rFonts w:ascii="宋体" w:hAnsi="宋体"/>
        </w:rPr>
      </w:pPr>
      <w:r>
        <w:rPr>
          <w:rFonts w:hint="eastAsia" w:ascii="宋体" w:hAnsi="宋体"/>
        </w:rPr>
        <w:t>c.工作</w:t>
      </w:r>
      <w:r>
        <w:rPr>
          <w:rFonts w:ascii="宋体" w:hAnsi="宋体"/>
        </w:rPr>
        <w:t>人员向其他消费群体宣传。</w:t>
      </w:r>
    </w:p>
    <w:p w14:paraId="67E329F1">
      <w:pPr>
        <w:rPr>
          <w:rFonts w:ascii="黑体" w:hAnsi="宋体" w:eastAsia="黑体"/>
          <w:sz w:val="24"/>
        </w:rPr>
      </w:pPr>
      <w:r>
        <w:rPr>
          <w:rFonts w:hint="eastAsia" w:ascii="黑体" w:hAnsi="宋体" w:eastAsia="黑体"/>
          <w:sz w:val="24"/>
        </w:rPr>
        <w:t>51. 供应商违法责任</w:t>
      </w:r>
    </w:p>
    <w:p w14:paraId="0DCDEE87">
      <w:pPr>
        <w:ind w:firstLine="411" w:firstLineChars="196"/>
        <w:rPr>
          <w:rFonts w:ascii="宋体" w:hAnsi="宋体"/>
          <w:szCs w:val="21"/>
        </w:rPr>
      </w:pPr>
      <w:r>
        <w:rPr>
          <w:rFonts w:hint="eastAsia" w:ascii="宋体" w:hAnsi="宋体"/>
          <w:szCs w:val="21"/>
        </w:rPr>
        <w:t>5</w:t>
      </w:r>
      <w:r>
        <w:rPr>
          <w:rFonts w:ascii="宋体" w:hAnsi="宋体"/>
          <w:szCs w:val="21"/>
        </w:rPr>
        <w:t>1.1</w:t>
      </w:r>
      <w:r>
        <w:rPr>
          <w:rFonts w:hint="eastAsia" w:ascii="宋体" w:hAnsi="宋体"/>
          <w:szCs w:val="21"/>
        </w:rPr>
        <w:t>《深圳经济特区政府采购条例》第五十七条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14:paraId="188B37BC">
      <w:pPr>
        <w:ind w:firstLine="411" w:firstLineChars="196"/>
        <w:rPr>
          <w:rFonts w:ascii="宋体" w:hAnsi="宋体"/>
          <w:szCs w:val="21"/>
        </w:rPr>
      </w:pPr>
      <w:r>
        <w:rPr>
          <w:rFonts w:hint="eastAsia" w:ascii="宋体" w:hAnsi="宋体"/>
          <w:szCs w:val="21"/>
        </w:rPr>
        <w:t>（1）在采购活动中应当回避而未回避的；</w:t>
      </w:r>
    </w:p>
    <w:p w14:paraId="6506EF06">
      <w:pPr>
        <w:ind w:firstLine="411" w:firstLineChars="196"/>
        <w:rPr>
          <w:rFonts w:ascii="宋体" w:hAnsi="宋体"/>
          <w:szCs w:val="21"/>
        </w:rPr>
      </w:pPr>
      <w:r>
        <w:rPr>
          <w:rFonts w:hint="eastAsia" w:ascii="宋体" w:hAnsi="宋体"/>
          <w:szCs w:val="21"/>
        </w:rPr>
        <w:t>（2）未按本条例规定签订、履行采购合同，造成严重后果的；</w:t>
      </w:r>
    </w:p>
    <w:p w14:paraId="137EAE89">
      <w:pPr>
        <w:ind w:firstLine="411" w:firstLineChars="196"/>
        <w:rPr>
          <w:rFonts w:ascii="宋体" w:hAnsi="宋体"/>
          <w:szCs w:val="21"/>
        </w:rPr>
      </w:pPr>
      <w:r>
        <w:rPr>
          <w:rFonts w:hint="eastAsia" w:ascii="宋体" w:hAnsi="宋体"/>
          <w:szCs w:val="21"/>
        </w:rPr>
        <w:t>（3）隐瞒真实情况，提供虚假资料的；</w:t>
      </w:r>
    </w:p>
    <w:p w14:paraId="113FAC20">
      <w:pPr>
        <w:ind w:firstLine="411" w:firstLineChars="196"/>
        <w:rPr>
          <w:rFonts w:ascii="宋体" w:hAnsi="宋体"/>
          <w:szCs w:val="21"/>
        </w:rPr>
      </w:pPr>
      <w:r>
        <w:rPr>
          <w:rFonts w:hint="eastAsia" w:ascii="宋体" w:hAnsi="宋体"/>
          <w:szCs w:val="21"/>
        </w:rPr>
        <w:t>（4）以非法手段排斥其他供应商参与竞争的；</w:t>
      </w:r>
    </w:p>
    <w:p w14:paraId="417E50A2">
      <w:pPr>
        <w:ind w:firstLine="411" w:firstLineChars="196"/>
        <w:rPr>
          <w:rFonts w:ascii="宋体" w:hAnsi="宋体"/>
          <w:szCs w:val="21"/>
        </w:rPr>
      </w:pPr>
      <w:r>
        <w:rPr>
          <w:rFonts w:hint="eastAsia" w:ascii="宋体" w:hAnsi="宋体"/>
          <w:szCs w:val="21"/>
        </w:rPr>
        <w:t>（5）与其他采购参加人串通投标的；</w:t>
      </w:r>
    </w:p>
    <w:p w14:paraId="1666194C">
      <w:pPr>
        <w:ind w:firstLine="411" w:firstLineChars="196"/>
        <w:rPr>
          <w:rFonts w:ascii="宋体" w:hAnsi="宋体"/>
          <w:szCs w:val="21"/>
        </w:rPr>
      </w:pPr>
      <w:r>
        <w:rPr>
          <w:rFonts w:hint="eastAsia" w:ascii="宋体" w:hAnsi="宋体"/>
          <w:szCs w:val="21"/>
        </w:rPr>
        <w:t>（6）恶意投诉的；</w:t>
      </w:r>
    </w:p>
    <w:p w14:paraId="7BB02526">
      <w:pPr>
        <w:ind w:firstLine="411" w:firstLineChars="196"/>
        <w:rPr>
          <w:rFonts w:ascii="宋体" w:hAnsi="宋体"/>
          <w:szCs w:val="21"/>
        </w:rPr>
      </w:pPr>
      <w:r>
        <w:rPr>
          <w:rFonts w:hint="eastAsia" w:ascii="宋体" w:hAnsi="宋体"/>
          <w:szCs w:val="21"/>
        </w:rPr>
        <w:t>（7）向采购项目相关人行贿或者提供其他不当利益的；</w:t>
      </w:r>
    </w:p>
    <w:p w14:paraId="2CA63A1A">
      <w:pPr>
        <w:ind w:firstLine="411" w:firstLineChars="196"/>
        <w:rPr>
          <w:rFonts w:ascii="宋体" w:hAnsi="宋体"/>
          <w:szCs w:val="21"/>
        </w:rPr>
      </w:pPr>
      <w:r>
        <w:rPr>
          <w:rFonts w:hint="eastAsia" w:ascii="宋体" w:hAnsi="宋体"/>
          <w:szCs w:val="21"/>
        </w:rPr>
        <w:t>（8）阻碍、抗拒主管部门监督检查的；</w:t>
      </w:r>
    </w:p>
    <w:p w14:paraId="018FF634">
      <w:pPr>
        <w:ind w:firstLine="411" w:firstLineChars="196"/>
        <w:rPr>
          <w:rFonts w:ascii="宋体" w:hAnsi="宋体"/>
          <w:szCs w:val="21"/>
        </w:rPr>
      </w:pPr>
      <w:r>
        <w:rPr>
          <w:rFonts w:hint="eastAsia" w:ascii="宋体" w:hAnsi="宋体"/>
          <w:szCs w:val="21"/>
        </w:rPr>
        <w:t>（9）其他违反本条例规定的行为。</w:t>
      </w:r>
    </w:p>
    <w:p w14:paraId="55D9EC9E">
      <w:pPr>
        <w:ind w:firstLine="411" w:firstLineChars="196"/>
        <w:rPr>
          <w:rFonts w:ascii="宋体" w:hAnsi="宋体"/>
          <w:szCs w:val="21"/>
        </w:rPr>
      </w:pPr>
      <w:r>
        <w:rPr>
          <w:rFonts w:hint="eastAsia" w:ascii="宋体" w:hAnsi="宋体"/>
          <w:szCs w:val="21"/>
        </w:rPr>
        <w:t>5</w:t>
      </w:r>
      <w:r>
        <w:rPr>
          <w:rFonts w:ascii="宋体" w:hAnsi="宋体"/>
          <w:szCs w:val="21"/>
        </w:rPr>
        <w:t xml:space="preserve">1.2 </w:t>
      </w:r>
      <w:r>
        <w:rPr>
          <w:rFonts w:hint="eastAsia" w:ascii="宋体" w:hAnsi="宋体"/>
          <w:szCs w:val="21"/>
        </w:rPr>
        <w:t>根据《深圳市财政局关于调整政府采购投标（响应）保证金管理政策的通知 》（深财购〔2021〕51号）的要求，供应商在政府采购活动中出现《深圳经济特区政府采购条例实施细则》第八十条所列情形的，</w:t>
      </w:r>
      <w:bookmarkStart w:id="102" w:name="_Hlk72440769"/>
      <w:r>
        <w:rPr>
          <w:rFonts w:hint="eastAsia" w:ascii="宋体" w:hAnsi="宋体"/>
          <w:szCs w:val="21"/>
        </w:rPr>
        <w:t>政府集中采购机构或采购人不予退还其交纳的谈判保证金，情节严重的，并由主管部门</w:t>
      </w:r>
      <w:bookmarkEnd w:id="102"/>
      <w:r>
        <w:rPr>
          <w:rFonts w:hint="eastAsia" w:ascii="宋体" w:hAnsi="宋体"/>
          <w:szCs w:val="21"/>
        </w:rPr>
        <w:t>记入供应商诚信档案，予以通报：</w:t>
      </w:r>
    </w:p>
    <w:p w14:paraId="23DDD2AE">
      <w:pPr>
        <w:ind w:firstLine="411" w:firstLineChars="196"/>
        <w:rPr>
          <w:rFonts w:ascii="宋体" w:hAnsi="宋体"/>
          <w:szCs w:val="21"/>
        </w:rPr>
      </w:pPr>
      <w:r>
        <w:rPr>
          <w:rFonts w:hint="eastAsia" w:ascii="宋体" w:hAnsi="宋体"/>
          <w:szCs w:val="21"/>
        </w:rPr>
        <w:t>（1</w:t>
      </w:r>
      <w:r>
        <w:rPr>
          <w:rFonts w:ascii="宋体" w:hAnsi="宋体"/>
          <w:szCs w:val="21"/>
        </w:rPr>
        <w:t>）投标截止后，撤销投标的；</w:t>
      </w:r>
    </w:p>
    <w:p w14:paraId="78EE9A22">
      <w:pPr>
        <w:ind w:firstLine="411" w:firstLineChars="196"/>
        <w:rPr>
          <w:rFonts w:ascii="宋体" w:hAnsi="宋体"/>
          <w:szCs w:val="21"/>
        </w:rPr>
      </w:pPr>
      <w:r>
        <w:rPr>
          <w:rFonts w:ascii="宋体" w:hAnsi="宋体"/>
          <w:szCs w:val="21"/>
        </w:rPr>
        <w:t>（</w:t>
      </w:r>
      <w:r>
        <w:rPr>
          <w:rFonts w:hint="eastAsia" w:ascii="宋体" w:hAnsi="宋体"/>
          <w:szCs w:val="21"/>
        </w:rPr>
        <w:t>2</w:t>
      </w:r>
      <w:r>
        <w:rPr>
          <w:rFonts w:ascii="宋体" w:hAnsi="宋体"/>
          <w:szCs w:val="21"/>
        </w:rPr>
        <w:t>）中标后无正当理由未在规定期限内签订合同的；</w:t>
      </w:r>
    </w:p>
    <w:p w14:paraId="4CC59AAA">
      <w:pPr>
        <w:ind w:firstLine="411" w:firstLineChars="196"/>
        <w:rPr>
          <w:rFonts w:ascii="宋体" w:hAnsi="宋体"/>
          <w:szCs w:val="21"/>
        </w:rPr>
      </w:pPr>
      <w:r>
        <w:rPr>
          <w:rFonts w:ascii="宋体" w:hAnsi="宋体"/>
          <w:szCs w:val="21"/>
        </w:rPr>
        <w:t>（</w:t>
      </w:r>
      <w:r>
        <w:rPr>
          <w:rFonts w:hint="eastAsia" w:ascii="宋体" w:hAnsi="宋体"/>
          <w:szCs w:val="21"/>
        </w:rPr>
        <w:t>3</w:t>
      </w:r>
      <w:r>
        <w:rPr>
          <w:rFonts w:ascii="宋体" w:hAnsi="宋体"/>
          <w:szCs w:val="21"/>
        </w:rPr>
        <w:t>）将中标项目转让给他人、或者在投标文件中未说明且未经采购人、采购招标机构同意，将中标项目分包给他人的；</w:t>
      </w:r>
    </w:p>
    <w:p w14:paraId="10308520">
      <w:pPr>
        <w:ind w:firstLine="411" w:firstLineChars="196"/>
        <w:rPr>
          <w:rFonts w:ascii="宋体" w:hAnsi="宋体"/>
          <w:szCs w:val="21"/>
        </w:rPr>
      </w:pPr>
      <w:r>
        <w:rPr>
          <w:rFonts w:ascii="宋体" w:hAnsi="宋体"/>
          <w:szCs w:val="21"/>
        </w:rPr>
        <w:t>（</w:t>
      </w:r>
      <w:r>
        <w:rPr>
          <w:rFonts w:hint="eastAsia" w:ascii="宋体" w:hAnsi="宋体"/>
          <w:szCs w:val="21"/>
        </w:rPr>
        <w:t>4</w:t>
      </w:r>
      <w:r>
        <w:rPr>
          <w:rFonts w:ascii="宋体" w:hAnsi="宋体"/>
          <w:szCs w:val="21"/>
        </w:rPr>
        <w:t>）拒绝履行合同义务的</w:t>
      </w:r>
      <w:r>
        <w:rPr>
          <w:rFonts w:hint="eastAsia" w:ascii="宋体" w:hAnsi="宋体"/>
          <w:szCs w:val="21"/>
        </w:rPr>
        <w:t>。</w:t>
      </w:r>
    </w:p>
    <w:bookmarkEnd w:id="86"/>
    <w:p w14:paraId="61A9BE8B">
      <w:pPr>
        <w:pStyle w:val="5"/>
        <w:numPr>
          <w:ilvl w:val="0"/>
          <w:numId w:val="13"/>
        </w:numPr>
        <w:spacing w:before="120" w:beforeLines="50" w:after="120" w:afterLines="50"/>
        <w:ind w:left="562" w:hanging="562"/>
        <w:rPr>
          <w:sz w:val="28"/>
          <w:szCs w:val="28"/>
        </w:rPr>
      </w:pPr>
      <w:r>
        <w:rPr>
          <w:rFonts w:hint="eastAsia"/>
          <w:sz w:val="28"/>
          <w:szCs w:val="28"/>
        </w:rPr>
        <w:t>质疑处理</w:t>
      </w:r>
    </w:p>
    <w:p w14:paraId="0169A82B">
      <w:pPr>
        <w:rPr>
          <w:rFonts w:ascii="黑体" w:hAnsi="宋体" w:eastAsia="黑体"/>
          <w:sz w:val="24"/>
        </w:rPr>
      </w:pPr>
      <w:bookmarkStart w:id="103" w:name="_Hlk72439706"/>
      <w:r>
        <w:rPr>
          <w:rFonts w:hint="eastAsia" w:ascii="黑体" w:hAnsi="宋体" w:eastAsia="黑体"/>
          <w:sz w:val="24"/>
        </w:rPr>
        <w:t>52.质疑提出与答复</w:t>
      </w:r>
    </w:p>
    <w:p w14:paraId="62CF47B0">
      <w:pPr>
        <w:rPr>
          <w:rFonts w:ascii="宋体" w:hAnsi="宋体"/>
          <w:szCs w:val="21"/>
        </w:rPr>
      </w:pPr>
      <w:r>
        <w:rPr>
          <w:rFonts w:hint="eastAsia" w:ascii="宋体" w:hAnsi="宋体"/>
          <w:szCs w:val="21"/>
        </w:rPr>
        <w:t xml:space="preserve">    52.1提出质疑</w:t>
      </w:r>
    </w:p>
    <w:p w14:paraId="64DDBF7A">
      <w:pPr>
        <w:rPr>
          <w:rFonts w:ascii="宋体" w:hAnsi="宋体"/>
          <w:szCs w:val="21"/>
        </w:rPr>
      </w:pPr>
      <w:r>
        <w:rPr>
          <w:rFonts w:hint="eastAsia" w:ascii="宋体" w:hAnsi="宋体"/>
          <w:szCs w:val="21"/>
        </w:rPr>
        <w:t xml:space="preserve">    参与政府采购活动的供应商认为自己的权益在采购活动中受到损害的，应当自知道或者应当知道其权益受到损害之日起七个工作日内向采购人、政府集中采购机构以书面形式提出质疑。</w:t>
      </w:r>
    </w:p>
    <w:p w14:paraId="142ACB53">
      <w:pPr>
        <w:rPr>
          <w:rFonts w:ascii="宋体" w:hAnsi="宋体"/>
          <w:szCs w:val="21"/>
        </w:rPr>
      </w:pPr>
      <w:r>
        <w:rPr>
          <w:rFonts w:hint="eastAsia" w:ascii="宋体" w:hAnsi="宋体"/>
          <w:szCs w:val="21"/>
        </w:rPr>
        <w:t xml:space="preserve">    52.2</w:t>
      </w:r>
      <w:r>
        <w:rPr>
          <w:rFonts w:ascii="宋体" w:hAnsi="宋体"/>
          <w:szCs w:val="21"/>
        </w:rPr>
        <w:t>法律依据</w:t>
      </w:r>
    </w:p>
    <w:p w14:paraId="74FBB3A4">
      <w:pPr>
        <w:rPr>
          <w:rFonts w:ascii="宋体" w:hAnsi="宋体"/>
          <w:szCs w:val="21"/>
        </w:rPr>
      </w:pPr>
      <w:r>
        <w:rPr>
          <w:rFonts w:hint="eastAsia" w:ascii="宋体" w:hAnsi="宋体"/>
          <w:szCs w:val="21"/>
        </w:rPr>
        <w:t xml:space="preserve">    《中华人民共和国政府采购法》、《中华人民共和国政府采购法实施条例》、</w:t>
      </w:r>
      <w:r>
        <w:rPr>
          <w:rFonts w:ascii="宋体" w:hAnsi="宋体"/>
          <w:szCs w:val="21"/>
        </w:rPr>
        <w:t>《</w:t>
      </w:r>
      <w:r>
        <w:rPr>
          <w:rFonts w:hint="eastAsia" w:ascii="宋体" w:hAnsi="宋体"/>
          <w:szCs w:val="21"/>
        </w:rPr>
        <w:t>深圳经济特区政府采购</w:t>
      </w:r>
      <w:r>
        <w:rPr>
          <w:rFonts w:ascii="宋体" w:hAnsi="宋体"/>
          <w:szCs w:val="21"/>
        </w:rPr>
        <w:t>条例</w:t>
      </w:r>
      <w:r>
        <w:rPr>
          <w:rFonts w:hint="eastAsia" w:ascii="宋体" w:hAnsi="宋体"/>
          <w:szCs w:val="21"/>
        </w:rPr>
        <w:t>》、《深圳经济特区政府采购条例实施细则》、《政府采购质疑和投诉办法》（财政部令第94号）和其他有关法律法规规定。</w:t>
      </w:r>
    </w:p>
    <w:p w14:paraId="03258840">
      <w:pPr>
        <w:rPr>
          <w:rFonts w:ascii="宋体" w:hAnsi="宋体"/>
          <w:szCs w:val="21"/>
        </w:rPr>
      </w:pPr>
      <w:r>
        <w:rPr>
          <w:rFonts w:hint="eastAsia" w:ascii="宋体" w:hAnsi="宋体"/>
          <w:szCs w:val="21"/>
        </w:rPr>
        <w:t xml:space="preserve">  </w:t>
      </w:r>
      <w:r>
        <w:rPr>
          <w:rFonts w:hint="eastAsia" w:ascii="宋体" w:hAnsi="宋体"/>
          <w:color w:val="FF0000"/>
          <w:szCs w:val="21"/>
        </w:rPr>
        <w:t xml:space="preserve">  </w:t>
      </w:r>
      <w:r>
        <w:rPr>
          <w:rFonts w:hint="eastAsia" w:ascii="宋体" w:hAnsi="宋体"/>
          <w:szCs w:val="21"/>
        </w:rPr>
        <w:t>52.3质疑条件</w:t>
      </w:r>
    </w:p>
    <w:p w14:paraId="0FCF42DC">
      <w:pPr>
        <w:rPr>
          <w:rFonts w:ascii="宋体" w:hAnsi="宋体"/>
          <w:szCs w:val="21"/>
        </w:rPr>
      </w:pPr>
      <w:r>
        <w:rPr>
          <w:rFonts w:hint="eastAsia" w:ascii="宋体" w:hAnsi="宋体"/>
          <w:szCs w:val="21"/>
        </w:rPr>
        <w:t xml:space="preserve">    52.3.1提出质疑的供应商应当是参与所质疑项目采购活动的供应商；以联合体形式参与的，质疑应当由组成联合体的所有成员共同提出；</w:t>
      </w:r>
    </w:p>
    <w:p w14:paraId="3CFCA2E8">
      <w:pPr>
        <w:rPr>
          <w:rFonts w:ascii="宋体" w:hAnsi="宋体"/>
          <w:szCs w:val="21"/>
        </w:rPr>
      </w:pPr>
      <w:r>
        <w:rPr>
          <w:rFonts w:hint="eastAsia" w:ascii="宋体" w:hAnsi="宋体"/>
          <w:szCs w:val="21"/>
        </w:rPr>
        <w:t xml:space="preserve">    52.3.2应当在法定质疑期内一次性提出针对同一采购程序环节的质疑，法定质疑期为自知道或应当知道权益受到损害之日起7个工作日内。应当知道其权益受到损害之日是指：对</w:t>
      </w:r>
      <w:r>
        <w:rPr>
          <w:rFonts w:hint="eastAsia" w:ascii="宋体" w:hAnsi="宋体"/>
          <w:szCs w:val="21"/>
          <w:lang w:val="en-US" w:eastAsia="zh-CN"/>
        </w:rPr>
        <w:t>采购</w:t>
      </w:r>
      <w:r>
        <w:rPr>
          <w:rFonts w:hint="eastAsia" w:ascii="宋体" w:hAnsi="宋体"/>
          <w:szCs w:val="21"/>
        </w:rPr>
        <w:t>文件的质疑，为</w:t>
      </w:r>
      <w:r>
        <w:rPr>
          <w:rFonts w:hint="eastAsia" w:ascii="宋体" w:hAnsi="宋体"/>
          <w:szCs w:val="21"/>
          <w:lang w:val="en-US" w:eastAsia="zh-CN"/>
        </w:rPr>
        <w:t>采购</w:t>
      </w:r>
      <w:r>
        <w:rPr>
          <w:rFonts w:hint="eastAsia" w:ascii="宋体" w:hAnsi="宋体"/>
          <w:szCs w:val="21"/>
        </w:rPr>
        <w:t>文件公布之日；对采购过程的质疑，为各采购程序环节结束之日；对中标</w:t>
      </w:r>
      <w:r>
        <w:rPr>
          <w:rFonts w:hint="eastAsia" w:ascii="宋体" w:hAnsi="宋体"/>
          <w:szCs w:val="21"/>
          <w:lang w:eastAsia="zh-CN"/>
        </w:rPr>
        <w:t>（</w:t>
      </w:r>
      <w:r>
        <w:rPr>
          <w:rFonts w:hint="eastAsia" w:ascii="宋体" w:hAnsi="宋体"/>
          <w:szCs w:val="21"/>
          <w:lang w:val="en-US" w:eastAsia="zh-CN"/>
        </w:rPr>
        <w:t>成交</w:t>
      </w:r>
      <w:r>
        <w:rPr>
          <w:rFonts w:hint="eastAsia" w:ascii="宋体" w:hAnsi="宋体"/>
          <w:szCs w:val="21"/>
          <w:lang w:eastAsia="zh-CN"/>
        </w:rPr>
        <w:t>）</w:t>
      </w:r>
      <w:r>
        <w:rPr>
          <w:rFonts w:hint="eastAsia" w:ascii="宋体" w:hAnsi="宋体"/>
          <w:szCs w:val="21"/>
        </w:rPr>
        <w:t>结果以及评审委员会组成人员的质疑，为中标</w:t>
      </w:r>
      <w:r>
        <w:rPr>
          <w:rFonts w:hint="eastAsia" w:ascii="宋体" w:hAnsi="宋体"/>
          <w:szCs w:val="21"/>
          <w:lang w:eastAsia="zh-CN"/>
        </w:rPr>
        <w:t>（</w:t>
      </w:r>
      <w:r>
        <w:rPr>
          <w:rFonts w:hint="eastAsia" w:ascii="宋体" w:hAnsi="宋体"/>
          <w:szCs w:val="21"/>
          <w:lang w:val="en-US" w:eastAsia="zh-CN"/>
        </w:rPr>
        <w:t>成交</w:t>
      </w:r>
      <w:r>
        <w:rPr>
          <w:rFonts w:hint="eastAsia" w:ascii="宋体" w:hAnsi="宋体"/>
          <w:szCs w:val="21"/>
          <w:lang w:eastAsia="zh-CN"/>
        </w:rPr>
        <w:t>）</w:t>
      </w:r>
      <w:r>
        <w:rPr>
          <w:rFonts w:hint="eastAsia" w:ascii="宋体" w:hAnsi="宋体"/>
          <w:szCs w:val="21"/>
        </w:rPr>
        <w:t>结果公示之日；</w:t>
      </w:r>
    </w:p>
    <w:p w14:paraId="1A475A5B">
      <w:pPr>
        <w:ind w:firstLine="420"/>
        <w:rPr>
          <w:rFonts w:ascii="宋体" w:hAnsi="宋体"/>
          <w:szCs w:val="21"/>
        </w:rPr>
      </w:pPr>
      <w:r>
        <w:rPr>
          <w:rFonts w:hint="eastAsia" w:ascii="宋体" w:hAnsi="宋体"/>
          <w:szCs w:val="21"/>
        </w:rPr>
        <w:t>52.3.3应提交书面质疑函，质疑函应当包括以下内容：</w:t>
      </w:r>
      <w:r>
        <w:rPr>
          <w:rFonts w:ascii="宋体" w:hAnsi="宋体"/>
          <w:szCs w:val="21"/>
        </w:rPr>
        <w:t xml:space="preserve"> </w:t>
      </w:r>
    </w:p>
    <w:p w14:paraId="1AA2600B">
      <w:pPr>
        <w:ind w:firstLine="420"/>
        <w:rPr>
          <w:rFonts w:ascii="宋体" w:hAnsi="宋体"/>
          <w:szCs w:val="21"/>
        </w:rPr>
      </w:pPr>
      <w:r>
        <w:rPr>
          <w:rFonts w:hint="eastAsia" w:ascii="宋体" w:hAnsi="宋体"/>
          <w:szCs w:val="21"/>
        </w:rPr>
        <w:t>（1）供应商的名称（或者姓名）、地址、邮编、邮箱、联系人及联系电话；</w:t>
      </w:r>
    </w:p>
    <w:p w14:paraId="0834CF64">
      <w:pPr>
        <w:ind w:firstLine="420" w:firstLineChars="200"/>
        <w:rPr>
          <w:rFonts w:ascii="宋体" w:hAnsi="宋体"/>
          <w:szCs w:val="21"/>
        </w:rPr>
      </w:pPr>
      <w:r>
        <w:rPr>
          <w:rFonts w:hint="eastAsia" w:ascii="宋体" w:hAnsi="宋体"/>
          <w:szCs w:val="21"/>
        </w:rPr>
        <w:t>（2）质疑项目的名称、编号；</w:t>
      </w:r>
    </w:p>
    <w:p w14:paraId="6531FD9E">
      <w:pPr>
        <w:ind w:firstLine="420" w:firstLineChars="200"/>
        <w:rPr>
          <w:rFonts w:ascii="宋体" w:hAnsi="宋体"/>
          <w:szCs w:val="21"/>
        </w:rPr>
      </w:pPr>
      <w:r>
        <w:rPr>
          <w:rFonts w:hint="eastAsia" w:ascii="宋体" w:hAnsi="宋体"/>
          <w:szCs w:val="21"/>
        </w:rPr>
        <w:t>（3）具体、明确的质疑对象、质疑事项和质疑请求；</w:t>
      </w:r>
    </w:p>
    <w:p w14:paraId="77017012">
      <w:pPr>
        <w:ind w:firstLine="420" w:firstLineChars="200"/>
        <w:rPr>
          <w:rFonts w:ascii="宋体" w:hAnsi="宋体"/>
          <w:szCs w:val="21"/>
        </w:rPr>
      </w:pPr>
      <w:r>
        <w:rPr>
          <w:rFonts w:hint="eastAsia" w:ascii="宋体" w:hAnsi="宋体"/>
          <w:szCs w:val="21"/>
        </w:rPr>
        <w:t>（4）因质疑事项而受损害的权益；</w:t>
      </w:r>
    </w:p>
    <w:p w14:paraId="2CDE5BDC">
      <w:pPr>
        <w:ind w:firstLine="420" w:firstLineChars="200"/>
        <w:rPr>
          <w:rFonts w:ascii="宋体" w:hAnsi="宋体"/>
          <w:szCs w:val="21"/>
        </w:rPr>
      </w:pPr>
      <w:r>
        <w:rPr>
          <w:rFonts w:hint="eastAsia" w:ascii="宋体" w:hAnsi="宋体"/>
          <w:szCs w:val="21"/>
        </w:rPr>
        <w:t>（5）事实依据；</w:t>
      </w:r>
    </w:p>
    <w:p w14:paraId="687D7FD9">
      <w:pPr>
        <w:ind w:firstLine="420" w:firstLineChars="200"/>
        <w:rPr>
          <w:rFonts w:ascii="宋体" w:hAnsi="宋体"/>
          <w:szCs w:val="21"/>
        </w:rPr>
      </w:pPr>
      <w:r>
        <w:rPr>
          <w:rFonts w:hint="eastAsia" w:ascii="宋体" w:hAnsi="宋体"/>
          <w:szCs w:val="21"/>
        </w:rPr>
        <w:t>（6）必要的法律依据；</w:t>
      </w:r>
    </w:p>
    <w:p w14:paraId="08E370B5">
      <w:pPr>
        <w:ind w:firstLine="420" w:firstLineChars="200"/>
        <w:rPr>
          <w:rFonts w:ascii="宋体" w:hAnsi="宋体"/>
          <w:szCs w:val="21"/>
        </w:rPr>
      </w:pPr>
      <w:r>
        <w:rPr>
          <w:rFonts w:hint="eastAsia" w:ascii="宋体" w:hAnsi="宋体"/>
          <w:szCs w:val="21"/>
        </w:rPr>
        <w:t>（7）提出质疑的日期。</w:t>
      </w:r>
    </w:p>
    <w:p w14:paraId="08E9FFF2">
      <w:pPr>
        <w:ind w:firstLine="420" w:firstLineChars="200"/>
        <w:rPr>
          <w:rFonts w:ascii="宋体" w:hAnsi="宋体"/>
          <w:szCs w:val="21"/>
        </w:rPr>
      </w:pPr>
      <w:r>
        <w:rPr>
          <w:rFonts w:hint="eastAsia" w:ascii="宋体" w:hAnsi="宋体"/>
          <w:szCs w:val="21"/>
        </w:rPr>
        <w:t>供应商为自然人的，应当由本人签字；供应商为法人或者其他组织的，应当由法定代表人（负责人），或者其授权代理人签字或者盖章，并加盖公章。</w:t>
      </w:r>
    </w:p>
    <w:p w14:paraId="73AB1C6E">
      <w:pPr>
        <w:ind w:firstLine="420" w:firstLineChars="200"/>
        <w:rPr>
          <w:rFonts w:ascii="宋体" w:hAnsi="宋体"/>
          <w:szCs w:val="21"/>
        </w:rPr>
      </w:pPr>
      <w:r>
        <w:rPr>
          <w:rFonts w:hint="eastAsia" w:ascii="宋体" w:hAnsi="宋体"/>
          <w:szCs w:val="21"/>
        </w:rPr>
        <w:t>52.4提交</w:t>
      </w:r>
      <w:r>
        <w:rPr>
          <w:rFonts w:ascii="宋体" w:hAnsi="宋体"/>
          <w:szCs w:val="21"/>
        </w:rPr>
        <w:t>材料</w:t>
      </w:r>
    </w:p>
    <w:p w14:paraId="74DB1C1B">
      <w:pPr>
        <w:ind w:firstLine="420" w:firstLineChars="200"/>
        <w:rPr>
          <w:rFonts w:ascii="宋体" w:hAnsi="宋体"/>
          <w:szCs w:val="21"/>
        </w:rPr>
      </w:pPr>
      <w:r>
        <w:rPr>
          <w:rFonts w:hint="eastAsia" w:ascii="宋体" w:hAnsi="宋体"/>
          <w:szCs w:val="21"/>
        </w:rPr>
        <w:t>供应商质疑实行实名制。供应商为自然人的，应当提交本人身份证复印件；供应商为法人或者其他组织的，应当根据自身性质提交营业执照复印件或者其他证明文件（如事业单位法人证书等）复印件。</w:t>
      </w:r>
    </w:p>
    <w:p w14:paraId="56C64A17">
      <w:pPr>
        <w:ind w:firstLine="420" w:firstLineChars="200"/>
        <w:rPr>
          <w:rFonts w:ascii="宋体" w:hAnsi="宋体"/>
          <w:szCs w:val="21"/>
        </w:rPr>
      </w:pPr>
      <w:r>
        <w:rPr>
          <w:rFonts w:hint="eastAsia" w:ascii="宋体" w:hAnsi="宋体"/>
          <w:szCs w:val="21"/>
        </w:rPr>
        <w:t>供应商可以委托代理人进行质疑。</w:t>
      </w:r>
      <w:r>
        <w:rPr>
          <w:rFonts w:ascii="宋体" w:hAnsi="宋体"/>
          <w:szCs w:val="21"/>
        </w:rPr>
        <w:t>其授权委托书应当载明代理人的姓名或者名称、代理事项、具体权限、期限和相关事项。供应商为自然人的，应当由本人签字；供应商为法人或者其他组织的，应当由法定代表人、主要负责人签字或者盖章，并加盖公章。</w:t>
      </w:r>
    </w:p>
    <w:p w14:paraId="4C450E01">
      <w:pPr>
        <w:ind w:firstLine="420" w:firstLineChars="200"/>
        <w:rPr>
          <w:rFonts w:ascii="宋体" w:hAnsi="宋体"/>
          <w:szCs w:val="21"/>
        </w:rPr>
      </w:pPr>
      <w:r>
        <w:rPr>
          <w:rFonts w:hint="eastAsia" w:ascii="宋体" w:hAnsi="宋体"/>
          <w:szCs w:val="21"/>
        </w:rPr>
        <w:t>52.5收文地点</w:t>
      </w:r>
    </w:p>
    <w:p w14:paraId="1436C10A">
      <w:pPr>
        <w:ind w:firstLine="422" w:firstLineChars="200"/>
        <w:rPr>
          <w:rFonts w:hint="eastAsia" w:ascii="宋体" w:hAnsi="宋体"/>
          <w:szCs w:val="21"/>
        </w:rPr>
      </w:pPr>
      <w:r>
        <w:rPr>
          <w:b/>
          <w:bCs/>
          <w:szCs w:val="21"/>
          <w:highlight w:val="none"/>
        </w:rPr>
        <w:t>地址：</w:t>
      </w:r>
      <w:r>
        <w:rPr>
          <w:rFonts w:hint="eastAsia"/>
          <w:b/>
          <w:bCs/>
          <w:szCs w:val="21"/>
          <w:highlight w:val="none"/>
        </w:rPr>
        <w:t>深圳市福田区深南大道1006号深圳国际创新中心-f座5楼</w:t>
      </w:r>
      <w:r>
        <w:rPr>
          <w:b/>
          <w:bCs/>
          <w:szCs w:val="21"/>
          <w:highlight w:val="none"/>
        </w:rPr>
        <w:t>，质疑咨询电话：0755-</w:t>
      </w:r>
      <w:r>
        <w:rPr>
          <w:rFonts w:hint="eastAsia"/>
          <w:b/>
          <w:bCs/>
          <w:szCs w:val="21"/>
          <w:highlight w:val="none"/>
        </w:rPr>
        <w:t>23884457</w:t>
      </w:r>
      <w:r>
        <w:rPr>
          <w:b/>
          <w:bCs/>
          <w:szCs w:val="21"/>
          <w:highlight w:val="none"/>
        </w:rPr>
        <w:t>。</w:t>
      </w:r>
    </w:p>
    <w:p w14:paraId="262A603E">
      <w:pPr>
        <w:ind w:firstLine="420" w:firstLineChars="200"/>
        <w:rPr>
          <w:rFonts w:ascii="宋体" w:hAnsi="宋体"/>
          <w:szCs w:val="21"/>
        </w:rPr>
      </w:pPr>
      <w:r>
        <w:rPr>
          <w:rFonts w:hint="eastAsia" w:ascii="宋体" w:hAnsi="宋体"/>
          <w:szCs w:val="21"/>
        </w:rPr>
        <w:t>52.6收文办理</w:t>
      </w:r>
      <w:r>
        <w:rPr>
          <w:rFonts w:ascii="宋体" w:hAnsi="宋体"/>
          <w:szCs w:val="21"/>
        </w:rPr>
        <w:t>程序</w:t>
      </w:r>
    </w:p>
    <w:p w14:paraId="796921D7">
      <w:pPr>
        <w:ind w:firstLine="420" w:firstLineChars="200"/>
        <w:rPr>
          <w:rFonts w:ascii="宋体" w:hAnsi="宋体"/>
          <w:szCs w:val="21"/>
        </w:rPr>
      </w:pPr>
      <w:r>
        <w:rPr>
          <w:rFonts w:hint="eastAsia" w:ascii="宋体" w:hAnsi="宋体"/>
          <w:szCs w:val="21"/>
        </w:rPr>
        <w:t>52.6.1供应商提交的质疑符合受理条件的，政府集中采购机构自收到质疑材料之日起即为受理，应当向供应商出具质疑函收文回执并可以要求其递交质疑的法定代表人（负责人）或者授权代理人签署质疑文书送达地址确认书。</w:t>
      </w:r>
    </w:p>
    <w:p w14:paraId="72C056B8">
      <w:pPr>
        <w:ind w:firstLine="420" w:firstLineChars="200"/>
        <w:rPr>
          <w:rFonts w:ascii="仿宋" w:hAnsi="仿宋" w:eastAsia="仿宋"/>
          <w:sz w:val="28"/>
          <w:szCs w:val="28"/>
        </w:rPr>
      </w:pPr>
      <w:r>
        <w:rPr>
          <w:rFonts w:hint="eastAsia" w:ascii="宋体" w:hAnsi="宋体"/>
          <w:szCs w:val="21"/>
        </w:rPr>
        <w:t>52.6.2供应商提交的质疑材料不符合质疑条件的，视情况处理：</w:t>
      </w:r>
    </w:p>
    <w:p w14:paraId="2FBCA282">
      <w:pPr>
        <w:ind w:firstLine="420" w:firstLineChars="200"/>
        <w:rPr>
          <w:rFonts w:ascii="宋体" w:hAnsi="宋体"/>
          <w:szCs w:val="21"/>
        </w:rPr>
      </w:pPr>
      <w:r>
        <w:rPr>
          <w:rFonts w:hint="eastAsia" w:ascii="宋体" w:hAnsi="宋体"/>
          <w:szCs w:val="21"/>
        </w:rPr>
        <w:t>供应商提交的质疑材料不全或者未按要求签字或者盖章的，政府集中采购机构应当一次性告知供应商需补正的内容和补正期限。</w:t>
      </w:r>
    </w:p>
    <w:p w14:paraId="715E5921">
      <w:pPr>
        <w:ind w:firstLine="420" w:firstLineChars="200"/>
        <w:rPr>
          <w:rFonts w:ascii="宋体" w:hAnsi="宋体"/>
          <w:szCs w:val="21"/>
        </w:rPr>
      </w:pPr>
      <w:r>
        <w:rPr>
          <w:rFonts w:hint="eastAsia" w:ascii="宋体" w:hAnsi="宋体"/>
          <w:szCs w:val="21"/>
        </w:rPr>
        <w:t>供应商提交的质疑存在下列情形之一的，不予受理：</w:t>
      </w:r>
    </w:p>
    <w:p w14:paraId="29924394">
      <w:pPr>
        <w:ind w:firstLine="420" w:firstLineChars="200"/>
        <w:rPr>
          <w:rFonts w:ascii="宋体" w:hAnsi="宋体"/>
          <w:szCs w:val="21"/>
        </w:rPr>
      </w:pPr>
      <w:r>
        <w:rPr>
          <w:rFonts w:hint="eastAsia" w:ascii="宋体" w:hAnsi="宋体"/>
          <w:szCs w:val="21"/>
        </w:rPr>
        <w:t>（1）质疑主体不满足要求的；</w:t>
      </w:r>
    </w:p>
    <w:p w14:paraId="19E08BC4">
      <w:pPr>
        <w:ind w:firstLine="420" w:firstLineChars="200"/>
        <w:rPr>
          <w:rFonts w:ascii="宋体" w:hAnsi="宋体"/>
          <w:szCs w:val="21"/>
        </w:rPr>
      </w:pPr>
      <w:r>
        <w:rPr>
          <w:rFonts w:hint="eastAsia" w:ascii="宋体" w:hAnsi="宋体"/>
          <w:szCs w:val="21"/>
        </w:rPr>
        <w:t>（2）供应商自身权益未受到损害的；</w:t>
      </w:r>
    </w:p>
    <w:p w14:paraId="3343BEEE">
      <w:pPr>
        <w:ind w:firstLine="420" w:firstLineChars="200"/>
        <w:rPr>
          <w:rFonts w:ascii="宋体" w:hAnsi="宋体"/>
          <w:szCs w:val="21"/>
        </w:rPr>
      </w:pPr>
      <w:r>
        <w:rPr>
          <w:rFonts w:hint="eastAsia" w:ascii="宋体" w:hAnsi="宋体"/>
          <w:szCs w:val="21"/>
        </w:rPr>
        <w:t>（3）供应商未在法定质疑期限内提出质疑的；</w:t>
      </w:r>
    </w:p>
    <w:p w14:paraId="6401DD23">
      <w:pPr>
        <w:ind w:firstLine="420" w:firstLineChars="200"/>
        <w:rPr>
          <w:rFonts w:ascii="宋体" w:hAnsi="宋体"/>
          <w:szCs w:val="21"/>
        </w:rPr>
      </w:pPr>
      <w:r>
        <w:rPr>
          <w:rFonts w:hint="eastAsia" w:ascii="宋体" w:hAnsi="宋体"/>
          <w:szCs w:val="21"/>
        </w:rPr>
        <w:t>（4）质疑材料不全或者未按要求签字或者盖章的情况下，要求补正后，逾期未补正或者补正后仍不符合规定的；</w:t>
      </w:r>
    </w:p>
    <w:p w14:paraId="4EFC9891">
      <w:pPr>
        <w:ind w:firstLine="420" w:firstLineChars="200"/>
        <w:rPr>
          <w:rFonts w:ascii="宋体" w:hAnsi="宋体"/>
          <w:szCs w:val="21"/>
        </w:rPr>
      </w:pPr>
      <w:r>
        <w:rPr>
          <w:rFonts w:hint="eastAsia" w:ascii="宋体" w:hAnsi="宋体"/>
          <w:szCs w:val="21"/>
        </w:rPr>
        <w:t>（5）其他不符合受理条件情形的。</w:t>
      </w:r>
    </w:p>
    <w:p w14:paraId="40FB487E">
      <w:pPr>
        <w:ind w:firstLine="420" w:firstLineChars="200"/>
        <w:rPr>
          <w:rFonts w:ascii="宋体" w:hAnsi="宋体"/>
          <w:szCs w:val="21"/>
        </w:rPr>
      </w:pPr>
      <w:r>
        <w:rPr>
          <w:rFonts w:hint="eastAsia" w:ascii="宋体" w:hAnsi="宋体"/>
          <w:szCs w:val="21"/>
        </w:rPr>
        <w:t>质疑事项不予受理的，政府集中采购机构应当向供应商出具不符合质疑条件告知书。</w:t>
      </w:r>
    </w:p>
    <w:p w14:paraId="29424F89">
      <w:pPr>
        <w:rPr>
          <w:rFonts w:ascii="宋体" w:hAnsi="宋体"/>
          <w:szCs w:val="21"/>
        </w:rPr>
      </w:pPr>
      <w:r>
        <w:rPr>
          <w:rFonts w:hint="eastAsia" w:ascii="宋体" w:hAnsi="宋体"/>
          <w:color w:val="FF0000"/>
          <w:szCs w:val="21"/>
        </w:rPr>
        <w:t xml:space="preserve">  </w:t>
      </w:r>
      <w:r>
        <w:rPr>
          <w:rFonts w:hint="eastAsia" w:ascii="宋体" w:hAnsi="宋体"/>
          <w:szCs w:val="21"/>
        </w:rPr>
        <w:t xml:space="preserve">  52.7质疑答复时限</w:t>
      </w:r>
    </w:p>
    <w:p w14:paraId="0B534FB3">
      <w:pPr>
        <w:rPr>
          <w:rFonts w:ascii="宋体" w:hAnsi="宋体"/>
          <w:szCs w:val="21"/>
        </w:rPr>
      </w:pPr>
      <w:r>
        <w:rPr>
          <w:rFonts w:hint="eastAsia" w:ascii="宋体" w:hAnsi="宋体"/>
          <w:szCs w:val="21"/>
        </w:rPr>
        <w:t xml:space="preserve">    自收文之日起七个工作日内。</w:t>
      </w:r>
    </w:p>
    <w:p w14:paraId="75B8D72D">
      <w:pPr>
        <w:rPr>
          <w:rFonts w:ascii="宋体" w:hAnsi="宋体"/>
          <w:szCs w:val="21"/>
        </w:rPr>
      </w:pPr>
      <w:r>
        <w:rPr>
          <w:rFonts w:hint="eastAsia" w:ascii="宋体" w:hAnsi="宋体"/>
          <w:szCs w:val="21"/>
        </w:rPr>
        <w:t xml:space="preserve">    52.8投诉</w:t>
      </w:r>
    </w:p>
    <w:p w14:paraId="6F737B65">
      <w:pPr>
        <w:rPr>
          <w:rFonts w:ascii="宋体" w:hAnsi="宋体"/>
          <w:szCs w:val="21"/>
        </w:rPr>
      </w:pPr>
      <w:r>
        <w:rPr>
          <w:rFonts w:hint="eastAsia" w:ascii="宋体" w:hAnsi="宋体"/>
          <w:szCs w:val="21"/>
        </w:rPr>
        <w:t xml:space="preserve">    对质疑答复不满意或者未在规定时间内答复的，提出质疑的供应商可以在答复期满后15个工作日内向同级财政部门投诉。</w:t>
      </w:r>
    </w:p>
    <w:p w14:paraId="79CC62D9">
      <w:pPr>
        <w:rPr>
          <w:rFonts w:ascii="黑体" w:hAnsi="宋体" w:eastAsia="黑体"/>
          <w:sz w:val="24"/>
        </w:rPr>
      </w:pPr>
      <w:r>
        <w:rPr>
          <w:rFonts w:hint="eastAsia" w:ascii="黑体" w:hAnsi="宋体" w:eastAsia="黑体"/>
          <w:sz w:val="24"/>
        </w:rPr>
        <w:t>53. 质疑后续处理</w:t>
      </w:r>
    </w:p>
    <w:p w14:paraId="18AFFE50">
      <w:pPr>
        <w:rPr>
          <w:rFonts w:ascii="宋体" w:hAnsi="宋体"/>
          <w:szCs w:val="21"/>
        </w:rPr>
      </w:pPr>
      <w:r>
        <w:rPr>
          <w:rFonts w:hint="eastAsia" w:ascii="宋体" w:hAnsi="宋体"/>
          <w:szCs w:val="21"/>
        </w:rPr>
        <w:t xml:space="preserve">    53.1供应商质疑不成立，或者成立但未对中标、成交结果构成影响的，继续开展采购活动。</w:t>
      </w:r>
    </w:p>
    <w:p w14:paraId="7D697747">
      <w:pPr>
        <w:rPr>
          <w:rFonts w:ascii="宋体" w:hAnsi="宋体"/>
          <w:szCs w:val="21"/>
        </w:rPr>
      </w:pPr>
      <w:r>
        <w:rPr>
          <w:rFonts w:hint="eastAsia" w:ascii="宋体" w:hAnsi="宋体"/>
          <w:szCs w:val="21"/>
        </w:rPr>
        <w:t xml:space="preserve">    53.2供应商质疑成立且影响或者可能影响中标、成交结果的，按照下列情况处理：（1）对采购文件提出的质疑，依法通过澄清或者修改可以继续开展采购活动的，澄清或者修改采购文件后继续开展采购活动；否则应当修改采购文件后重新开展采购活动。（2）对采购过程、中标或者成交结果提出的质疑，合格供应商符合法定数量时，可以从合格的中标或者成交候选人中另行确定中标、成交供应商的，应当依法另行确定中标、成交供应商；否则应当重新开展采购活动。</w:t>
      </w:r>
    </w:p>
    <w:p w14:paraId="0AE4C7A4">
      <w:pPr>
        <w:jc w:val="center"/>
      </w:pPr>
      <w:r>
        <w:t>---- END ----</w:t>
      </w:r>
    </w:p>
    <w:bookmarkEnd w:id="103"/>
    <w:p w14:paraId="4F7B2CDC"/>
    <w:p w14:paraId="47B73FCA">
      <w:pPr>
        <w:ind w:firstLine="420" w:firstLineChars="200"/>
        <w:rPr>
          <w:rFonts w:ascii="宋体" w:hAnsi="宋体"/>
          <w:szCs w:val="21"/>
        </w:rPr>
      </w:pPr>
    </w:p>
    <w:sectPr>
      <w:pgSz w:w="11907" w:h="16840"/>
      <w:pgMar w:top="1440" w:right="1797" w:bottom="1440" w:left="1797" w:header="851" w:footer="992" w:gutter="0"/>
      <w:cols w:space="425" w:num="1"/>
      <w:titlePg/>
      <w:docGrid w:linePitch="46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隶书">
    <w:panose1 w:val="02010509060101010101"/>
    <w:charset w:val="86"/>
    <w:family w:val="modern"/>
    <w:pitch w:val="default"/>
    <w:sig w:usb0="00000001" w:usb1="080E0000" w:usb2="00000000" w:usb3="00000000" w:csb0="00040000" w:csb1="00000000"/>
  </w:font>
  <w:font w:name="Verdana">
    <w:panose1 w:val="020B0604030504040204"/>
    <w:charset w:val="00"/>
    <w:family w:val="swiss"/>
    <w:pitch w:val="default"/>
    <w:sig w:usb0="A00006FF" w:usb1="4000205B" w:usb2="00000010" w:usb3="00000000" w:csb0="2000019F" w:csb1="00000000"/>
  </w:font>
  <w:font w:name="仿宋_GB2312">
    <w:panose1 w:val="02010609030101010101"/>
    <w:charset w:val="86"/>
    <w:family w:val="auto"/>
    <w:pitch w:val="default"/>
    <w:sig w:usb0="00000001" w:usb1="080E0000" w:usb2="00000000" w:usb3="00000000" w:csb0="00040000" w:csb1="00000000"/>
  </w:font>
  <w:font w:name="长城仿宋">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文鼎粗黑">
    <w:altName w:val="黑体"/>
    <w:panose1 w:val="00000000000000000000"/>
    <w:charset w:val="86"/>
    <w:family w:val="modern"/>
    <w:pitch w:val="default"/>
    <w:sig w:usb0="00000000" w:usb1="00000000" w:usb2="00000010" w:usb3="00000000" w:csb0="00040000" w:csb1="00000000"/>
  </w:font>
  <w:font w:name="Arial (W1)">
    <w:altName w:val="Arial"/>
    <w:panose1 w:val="00000000000000000000"/>
    <w:charset w:val="00"/>
    <w:family w:val="swiss"/>
    <w:pitch w:val="default"/>
    <w:sig w:usb0="00000000" w:usb1="00000000" w:usb2="00000009" w:usb3="00000000" w:csb0="000001FF" w:csb1="00000000"/>
  </w:font>
  <w:font w:name="Cambria">
    <w:panose1 w:val="02040503050406030204"/>
    <w:charset w:val="00"/>
    <w:family w:val="roman"/>
    <w:pitch w:val="default"/>
    <w:sig w:usb0="E00006FF" w:usb1="420024FF" w:usb2="02000000" w:usb3="00000000" w:csb0="2000019F" w:csb1="00000000"/>
  </w:font>
  <w:font w:name="ˎ̥">
    <w:altName w:val="Times New Roman"/>
    <w:panose1 w:val="00000000000000000000"/>
    <w:charset w:val="00"/>
    <w:family w:val="auto"/>
    <w:pitch w:val="default"/>
    <w:sig w:usb0="00000000" w:usb1="00000000" w:usb2="00000000" w:usb3="00000000" w:csb0="00040001" w:csb1="00000000"/>
  </w:font>
  <w:font w:name="??">
    <w:altName w:val="Times New Roman"/>
    <w:panose1 w:val="00000000000000000000"/>
    <w:charset w:val="01"/>
    <w:family w:val="auto"/>
    <w:pitch w:val="default"/>
    <w:sig w:usb0="00000000" w:usb1="00000000" w:usb2="00000000" w:usb3="00000000" w:csb0="00040001" w:csb1="00000000"/>
  </w:font>
  <w:font w:name="汉仪细等线简">
    <w:altName w:val="宋体"/>
    <w:panose1 w:val="00000000000000000000"/>
    <w:charset w:val="86"/>
    <w:family w:val="modern"/>
    <w:pitch w:val="default"/>
    <w:sig w:usb0="00000000" w:usb1="00000000" w:usb2="00000012" w:usb3="00000000" w:csb0="00040000" w:csb1="00000000"/>
  </w:font>
  <w:font w:name="H Yb 2gj">
    <w:altName w:val="黑体"/>
    <w:panose1 w:val="00000000000000000000"/>
    <w:charset w:val="86"/>
    <w:family w:val="auto"/>
    <w:pitch w:val="default"/>
    <w:sig w:usb0="00000000" w:usb1="00000000" w:usb2="00000010" w:usb3="00000000" w:csb0="00040000" w:csb1="00000000"/>
  </w:font>
  <w:font w:name="幼圆">
    <w:panose1 w:val="02010509060101010101"/>
    <w:charset w:val="86"/>
    <w:family w:val="modern"/>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63BC0C">
    <w:pPr>
      <w:pStyle w:val="28"/>
      <w:framePr w:wrap="around" w:vAnchor="text" w:hAnchor="margin" w:xAlign="center" w:y="1"/>
      <w:rPr>
        <w:rStyle w:val="46"/>
      </w:rPr>
    </w:pPr>
    <w:r>
      <w:t xml:space="preserve">- </w:t>
    </w:r>
    <w:r>
      <w:fldChar w:fldCharType="begin"/>
    </w:r>
    <w:r>
      <w:instrText xml:space="preserve"> PAGE </w:instrText>
    </w:r>
    <w:r>
      <w:fldChar w:fldCharType="separate"/>
    </w:r>
    <w:r>
      <w:t>29</w:t>
    </w:r>
    <w:r>
      <w:fldChar w:fldCharType="end"/>
    </w:r>
    <w:r>
      <w:t xml:space="preserve"> -</w:t>
    </w:r>
  </w:p>
  <w:p w14:paraId="6026502B">
    <w:pPr>
      <w:pStyle w:val="2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B395AC">
    <w:pPr>
      <w:pStyle w:val="28"/>
      <w:framePr w:wrap="around" w:vAnchor="text" w:hAnchor="margin" w:xAlign="center" w:y="1"/>
      <w:rPr>
        <w:rStyle w:val="46"/>
      </w:rPr>
    </w:pPr>
    <w:r>
      <w:rPr>
        <w:rStyle w:val="46"/>
      </w:rPr>
      <w:fldChar w:fldCharType="begin"/>
    </w:r>
    <w:r>
      <w:rPr>
        <w:rStyle w:val="46"/>
      </w:rPr>
      <w:instrText xml:space="preserve">PAGE  </w:instrText>
    </w:r>
    <w:r>
      <w:rPr>
        <w:rStyle w:val="46"/>
      </w:rPr>
      <w:fldChar w:fldCharType="end"/>
    </w:r>
  </w:p>
  <w:p w14:paraId="09B7E4A1">
    <w:pPr>
      <w:pStyle w:val="2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29920B">
    <w:pPr>
      <w:pStyle w:val="28"/>
      <w:framePr w:wrap="around" w:vAnchor="text" w:hAnchor="margin" w:xAlign="center" w:y="1"/>
      <w:rPr>
        <w:rStyle w:val="46"/>
      </w:rPr>
    </w:pPr>
    <w:r>
      <w:t xml:space="preserve">- </w:t>
    </w:r>
    <w:r>
      <w:fldChar w:fldCharType="begin"/>
    </w:r>
    <w:r>
      <w:instrText xml:space="preserve"> PAGE </w:instrText>
    </w:r>
    <w:r>
      <w:fldChar w:fldCharType="separate"/>
    </w:r>
    <w:r>
      <w:t>29</w:t>
    </w:r>
    <w:r>
      <w:fldChar w:fldCharType="end"/>
    </w:r>
    <w:r>
      <w:t xml:space="preserve"> -</w:t>
    </w:r>
  </w:p>
  <w:p w14:paraId="2BE1CEF7">
    <w:pPr>
      <w:pStyle w:val="2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43EE25">
    <w:pPr>
      <w:pStyle w:val="28"/>
      <w:framePr w:wrap="around" w:vAnchor="text" w:hAnchor="margin" w:xAlign="center" w:y="1"/>
      <w:rPr>
        <w:rStyle w:val="46"/>
      </w:rPr>
    </w:pPr>
    <w:r>
      <w:rPr>
        <w:rStyle w:val="46"/>
      </w:rPr>
      <w:fldChar w:fldCharType="begin"/>
    </w:r>
    <w:r>
      <w:rPr>
        <w:rStyle w:val="46"/>
      </w:rPr>
      <w:instrText xml:space="preserve">PAGE  </w:instrText>
    </w:r>
    <w:r>
      <w:rPr>
        <w:rStyle w:val="46"/>
      </w:rPr>
      <w:fldChar w:fldCharType="end"/>
    </w:r>
  </w:p>
  <w:p w14:paraId="608933A3">
    <w:pPr>
      <w:pStyle w:val="2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60F6F2">
    <w:pPr>
      <w:pStyle w:val="29"/>
      <w:pBdr>
        <w:top w:val="none" w:color="auto" w:sz="0" w:space="0"/>
        <w:left w:val="none" w:color="auto" w:sz="0" w:space="0"/>
        <w:bottom w:val="none" w:color="auto" w:sz="0" w:space="1"/>
        <w:right w:val="none" w:color="auto" w:sz="0" w:space="0"/>
        <w:between w:val="none" w:color="auto" w:sz="0" w:space="0"/>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A557F5">
    <w:pPr>
      <w:pStyle w:val="29"/>
      <w:pBdr>
        <w:top w:val="none" w:color="auto" w:sz="0" w:space="0"/>
        <w:left w:val="none" w:color="auto" w:sz="0" w:space="0"/>
        <w:bottom w:val="none" w:color="auto" w:sz="0" w:space="1"/>
        <w:right w:val="none" w:color="auto" w:sz="0" w:space="0"/>
        <w:between w:val="none" w:color="auto" w:sz="0" w:space="0"/>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59B5E7D"/>
    <w:multiLevelType w:val="singleLevel"/>
    <w:tmpl w:val="E59B5E7D"/>
    <w:lvl w:ilvl="0" w:tentative="0">
      <w:start w:val="1"/>
      <w:numFmt w:val="decimalEnclosedCircleChinese"/>
      <w:suff w:val="nothing"/>
      <w:lvlText w:val="%1　"/>
      <w:lvlJc w:val="left"/>
      <w:pPr>
        <w:ind w:left="0" w:firstLine="400"/>
      </w:pPr>
      <w:rPr>
        <w:rFonts w:hint="eastAsia"/>
      </w:rPr>
    </w:lvl>
  </w:abstractNum>
  <w:abstractNum w:abstractNumId="1">
    <w:nsid w:val="FFFFFF7C"/>
    <w:multiLevelType w:val="singleLevel"/>
    <w:tmpl w:val="FFFFFF7C"/>
    <w:lvl w:ilvl="0" w:tentative="0">
      <w:start w:val="1"/>
      <w:numFmt w:val="decimal"/>
      <w:pStyle w:val="57"/>
      <w:lvlText w:val="%1."/>
      <w:lvlJc w:val="left"/>
      <w:pPr>
        <w:tabs>
          <w:tab w:val="left" w:pos="2040"/>
        </w:tabs>
        <w:ind w:left="2040" w:leftChars="800" w:hanging="360" w:hangingChars="200"/>
      </w:pPr>
    </w:lvl>
  </w:abstractNum>
  <w:abstractNum w:abstractNumId="2">
    <w:nsid w:val="FFFFFF89"/>
    <w:multiLevelType w:val="singleLevel"/>
    <w:tmpl w:val="FFFFFF89"/>
    <w:lvl w:ilvl="0" w:tentative="0">
      <w:start w:val="1"/>
      <w:numFmt w:val="bullet"/>
      <w:pStyle w:val="16"/>
      <w:lvlText w:val=""/>
      <w:lvlJc w:val="left"/>
      <w:pPr>
        <w:tabs>
          <w:tab w:val="left" w:pos="360"/>
        </w:tabs>
        <w:ind w:left="360" w:hanging="360" w:hangingChars="200"/>
      </w:pPr>
      <w:rPr>
        <w:rFonts w:hint="default" w:ascii="Wingdings" w:hAnsi="Wingdings"/>
      </w:rPr>
    </w:lvl>
  </w:abstractNum>
  <w:abstractNum w:abstractNumId="3">
    <w:nsid w:val="0000002C"/>
    <w:multiLevelType w:val="singleLevel"/>
    <w:tmpl w:val="0000002C"/>
    <w:lvl w:ilvl="0" w:tentative="0">
      <w:start w:val="1"/>
      <w:numFmt w:val="decimal"/>
      <w:lvlText w:val="(%1)"/>
      <w:lvlJc w:val="left"/>
      <w:pPr>
        <w:ind w:left="420" w:hanging="420"/>
      </w:pPr>
      <w:rPr>
        <w:rFonts w:hint="eastAsia"/>
      </w:rPr>
    </w:lvl>
  </w:abstractNum>
  <w:abstractNum w:abstractNumId="4">
    <w:nsid w:val="09F81FD3"/>
    <w:multiLevelType w:val="multilevel"/>
    <w:tmpl w:val="09F81FD3"/>
    <w:lvl w:ilvl="0" w:tentative="0">
      <w:start w:val="1"/>
      <w:numFmt w:val="japaneseCounting"/>
      <w:lvlText w:val="第%1章"/>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12503483"/>
    <w:multiLevelType w:val="multilevel"/>
    <w:tmpl w:val="12503483"/>
    <w:lvl w:ilvl="0" w:tentative="0">
      <w:start w:val="1"/>
      <w:numFmt w:val="bullet"/>
      <w:pStyle w:val="105"/>
      <w:lvlText w:val=""/>
      <w:lvlJc w:val="left"/>
      <w:pPr>
        <w:tabs>
          <w:tab w:val="left" w:pos="420"/>
        </w:tabs>
        <w:ind w:left="420" w:hanging="420"/>
      </w:pPr>
      <w:rPr>
        <w:rFonts w:hint="default" w:ascii="Wingdings" w:hAnsi="Wingdings"/>
      </w:rPr>
    </w:lvl>
    <w:lvl w:ilvl="1" w:tentative="0">
      <w:start w:val="1"/>
      <w:numFmt w:val="bullet"/>
      <w:pStyle w:val="104"/>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6">
    <w:nsid w:val="160D20D0"/>
    <w:multiLevelType w:val="multilevel"/>
    <w:tmpl w:val="160D20D0"/>
    <w:lvl w:ilvl="0" w:tentative="0">
      <w:start w:val="1"/>
      <w:numFmt w:val="bullet"/>
      <w:pStyle w:val="73"/>
      <w:lvlText w:val=""/>
      <w:lvlJc w:val="left"/>
      <w:pPr>
        <w:tabs>
          <w:tab w:val="left" w:pos="840"/>
        </w:tabs>
        <w:ind w:left="840" w:hanging="420"/>
      </w:pPr>
      <w:rPr>
        <w:rFonts w:hint="default" w:ascii="Wingdings" w:hAnsi="Wingdings"/>
      </w:rPr>
    </w:lvl>
    <w:lvl w:ilvl="1" w:tentative="0">
      <w:start w:val="1"/>
      <w:numFmt w:val="bullet"/>
      <w:pStyle w:val="74"/>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abstractNum w:abstractNumId="7">
    <w:nsid w:val="282379FC"/>
    <w:multiLevelType w:val="singleLevel"/>
    <w:tmpl w:val="282379FC"/>
    <w:lvl w:ilvl="0" w:tentative="0">
      <w:start w:val="2"/>
      <w:numFmt w:val="chineseCounting"/>
      <w:suff w:val="nothing"/>
      <w:lvlText w:val="（%1）"/>
      <w:lvlJc w:val="left"/>
      <w:rPr>
        <w:rFonts w:hint="eastAsia"/>
      </w:rPr>
    </w:lvl>
  </w:abstractNum>
  <w:abstractNum w:abstractNumId="8">
    <w:nsid w:val="2996EE47"/>
    <w:multiLevelType w:val="singleLevel"/>
    <w:tmpl w:val="2996EE47"/>
    <w:lvl w:ilvl="0" w:tentative="0">
      <w:start w:val="1"/>
      <w:numFmt w:val="decimal"/>
      <w:lvlText w:val="%1."/>
      <w:lvlJc w:val="left"/>
      <w:pPr>
        <w:ind w:left="425" w:hanging="425"/>
      </w:pPr>
      <w:rPr>
        <w:rFonts w:hint="default"/>
      </w:rPr>
    </w:lvl>
  </w:abstractNum>
  <w:abstractNum w:abstractNumId="9">
    <w:nsid w:val="2F395B7B"/>
    <w:multiLevelType w:val="multilevel"/>
    <w:tmpl w:val="2F395B7B"/>
    <w:lvl w:ilvl="0" w:tentative="0">
      <w:start w:val="1"/>
      <w:numFmt w:val="bullet"/>
      <w:pStyle w:val="165"/>
      <w:lvlText w:val=""/>
      <w:lvlJc w:val="left"/>
      <w:pPr>
        <w:tabs>
          <w:tab w:val="left" w:pos="360"/>
        </w:tabs>
        <w:ind w:left="360" w:hanging="360"/>
      </w:pPr>
      <w:rPr>
        <w:rFonts w:hint="default" w:ascii="Symbol" w:hAnsi="Symbol"/>
      </w:rPr>
    </w:lvl>
    <w:lvl w:ilvl="1" w:tentative="0">
      <w:start w:val="1"/>
      <w:numFmt w:val="bullet"/>
      <w:lvlText w:val=""/>
      <w:lvlJc w:val="left"/>
      <w:pPr>
        <w:tabs>
          <w:tab w:val="left" w:pos="1140"/>
        </w:tabs>
        <w:ind w:left="1140" w:hanging="420"/>
      </w:pPr>
      <w:rPr>
        <w:rFonts w:hint="default" w:ascii="Wingdings" w:hAnsi="Wingdings"/>
      </w:rPr>
    </w:lvl>
    <w:lvl w:ilvl="2" w:tentative="0">
      <w:start w:val="1"/>
      <w:numFmt w:val="bullet"/>
      <w:lvlText w:val=""/>
      <w:lvlJc w:val="left"/>
      <w:pPr>
        <w:tabs>
          <w:tab w:val="left" w:pos="1800"/>
        </w:tabs>
        <w:ind w:left="1800" w:hanging="360"/>
      </w:pPr>
      <w:rPr>
        <w:rFonts w:hint="default" w:ascii="Wingdings" w:hAnsi="Wingdings"/>
      </w:rPr>
    </w:lvl>
    <w:lvl w:ilvl="3" w:tentative="0">
      <w:start w:val="1"/>
      <w:numFmt w:val="bullet"/>
      <w:lvlText w:val=""/>
      <w:lvlJc w:val="left"/>
      <w:pPr>
        <w:tabs>
          <w:tab w:val="left" w:pos="2520"/>
        </w:tabs>
        <w:ind w:left="2520" w:hanging="360"/>
      </w:pPr>
      <w:rPr>
        <w:rFonts w:hint="default" w:ascii="Symbol" w:hAnsi="Symbol"/>
      </w:rPr>
    </w:lvl>
    <w:lvl w:ilvl="4" w:tentative="0">
      <w:start w:val="1"/>
      <w:numFmt w:val="bullet"/>
      <w:lvlText w:val="o"/>
      <w:lvlJc w:val="left"/>
      <w:pPr>
        <w:tabs>
          <w:tab w:val="left" w:pos="3240"/>
        </w:tabs>
        <w:ind w:left="3240" w:hanging="360"/>
      </w:pPr>
      <w:rPr>
        <w:rFonts w:hint="default" w:ascii="Courier New" w:hAnsi="Courier New" w:cs="Courier New"/>
      </w:rPr>
    </w:lvl>
    <w:lvl w:ilvl="5" w:tentative="0">
      <w:start w:val="1"/>
      <w:numFmt w:val="bullet"/>
      <w:lvlText w:val=""/>
      <w:lvlJc w:val="left"/>
      <w:pPr>
        <w:tabs>
          <w:tab w:val="left" w:pos="3960"/>
        </w:tabs>
        <w:ind w:left="3960" w:hanging="360"/>
      </w:pPr>
      <w:rPr>
        <w:rFonts w:hint="default" w:ascii="Wingdings" w:hAnsi="Wingdings"/>
      </w:rPr>
    </w:lvl>
    <w:lvl w:ilvl="6" w:tentative="0">
      <w:start w:val="1"/>
      <w:numFmt w:val="bullet"/>
      <w:lvlText w:val=""/>
      <w:lvlJc w:val="left"/>
      <w:pPr>
        <w:tabs>
          <w:tab w:val="left" w:pos="4680"/>
        </w:tabs>
        <w:ind w:left="4680" w:hanging="360"/>
      </w:pPr>
      <w:rPr>
        <w:rFonts w:hint="default" w:ascii="Symbol" w:hAnsi="Symbol"/>
      </w:rPr>
    </w:lvl>
    <w:lvl w:ilvl="7" w:tentative="0">
      <w:start w:val="1"/>
      <w:numFmt w:val="bullet"/>
      <w:lvlText w:val="o"/>
      <w:lvlJc w:val="left"/>
      <w:pPr>
        <w:tabs>
          <w:tab w:val="left" w:pos="5400"/>
        </w:tabs>
        <w:ind w:left="5400" w:hanging="360"/>
      </w:pPr>
      <w:rPr>
        <w:rFonts w:hint="default" w:ascii="Courier New" w:hAnsi="Courier New" w:cs="Courier New"/>
      </w:rPr>
    </w:lvl>
    <w:lvl w:ilvl="8" w:tentative="0">
      <w:start w:val="1"/>
      <w:numFmt w:val="bullet"/>
      <w:lvlText w:val=""/>
      <w:lvlJc w:val="left"/>
      <w:pPr>
        <w:tabs>
          <w:tab w:val="left" w:pos="6120"/>
        </w:tabs>
        <w:ind w:left="6120" w:hanging="360"/>
      </w:pPr>
      <w:rPr>
        <w:rFonts w:hint="default" w:ascii="Wingdings" w:hAnsi="Wingdings"/>
      </w:rPr>
    </w:lvl>
  </w:abstractNum>
  <w:abstractNum w:abstractNumId="10">
    <w:nsid w:val="565FA15E"/>
    <w:multiLevelType w:val="singleLevel"/>
    <w:tmpl w:val="565FA15E"/>
    <w:lvl w:ilvl="0" w:tentative="0">
      <w:start w:val="1"/>
      <w:numFmt w:val="decimalEnclosedCircleChinese"/>
      <w:suff w:val="nothing"/>
      <w:lvlText w:val="%1　"/>
      <w:lvlJc w:val="left"/>
      <w:pPr>
        <w:ind w:left="0" w:firstLine="400"/>
      </w:pPr>
      <w:rPr>
        <w:rFonts w:hint="eastAsia"/>
      </w:rPr>
    </w:lvl>
  </w:abstractNum>
  <w:abstractNum w:abstractNumId="11">
    <w:nsid w:val="76BD48DE"/>
    <w:multiLevelType w:val="singleLevel"/>
    <w:tmpl w:val="76BD48DE"/>
    <w:lvl w:ilvl="0" w:tentative="0">
      <w:start w:val="1"/>
      <w:numFmt w:val="decimal"/>
      <w:lvlText w:val="(%1)"/>
      <w:lvlJc w:val="left"/>
      <w:pPr>
        <w:ind w:left="420" w:hanging="420"/>
      </w:pPr>
      <w:rPr>
        <w:rFonts w:hint="eastAsia"/>
      </w:rPr>
    </w:lvl>
  </w:abstractNum>
  <w:abstractNum w:abstractNumId="12">
    <w:nsid w:val="7AEF7716"/>
    <w:multiLevelType w:val="multilevel"/>
    <w:tmpl w:val="7AEF7716"/>
    <w:lvl w:ilvl="0" w:tentative="0">
      <w:start w:val="1"/>
      <w:numFmt w:val="chineseCountingThousand"/>
      <w:pStyle w:val="118"/>
      <w:lvlText w:val="%1"/>
      <w:lvlJc w:val="left"/>
      <w:pPr>
        <w:tabs>
          <w:tab w:val="left" w:pos="1290"/>
        </w:tabs>
        <w:ind w:left="630" w:hanging="420"/>
      </w:pPr>
      <w:rPr>
        <w:rFonts w:hint="eastAsia"/>
        <w:sz w:val="32"/>
        <w:szCs w:val="32"/>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2"/>
  </w:num>
  <w:num w:numId="2">
    <w:abstractNumId w:val="1"/>
  </w:num>
  <w:num w:numId="3">
    <w:abstractNumId w:val="6"/>
  </w:num>
  <w:num w:numId="4">
    <w:abstractNumId w:val="5"/>
  </w:num>
  <w:num w:numId="5">
    <w:abstractNumId w:val="12"/>
  </w:num>
  <w:num w:numId="6">
    <w:abstractNumId w:val="9"/>
  </w:num>
  <w:num w:numId="7">
    <w:abstractNumId w:val="7"/>
  </w:num>
  <w:num w:numId="8">
    <w:abstractNumId w:val="0"/>
  </w:num>
  <w:num w:numId="9">
    <w:abstractNumId w:val="10"/>
  </w:num>
  <w:num w:numId="10">
    <w:abstractNumId w:val="3"/>
  </w:num>
  <w:num w:numId="11">
    <w:abstractNumId w:val="8"/>
  </w:num>
  <w:num w:numId="12">
    <w:abstractNumId w:val="11"/>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hideSpellingError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E5OTcwMzQxZDVkODc4NGRlNTVhYjhlMWUxM2VjMzYifQ=="/>
  </w:docVars>
  <w:rsids>
    <w:rsidRoot w:val="006C5683"/>
    <w:rsid w:val="00000AD9"/>
    <w:rsid w:val="000041AD"/>
    <w:rsid w:val="000043C0"/>
    <w:rsid w:val="000050CA"/>
    <w:rsid w:val="000051C6"/>
    <w:rsid w:val="00005215"/>
    <w:rsid w:val="00005A10"/>
    <w:rsid w:val="00005D3D"/>
    <w:rsid w:val="00006F7B"/>
    <w:rsid w:val="00007355"/>
    <w:rsid w:val="00007951"/>
    <w:rsid w:val="00007DB0"/>
    <w:rsid w:val="00010063"/>
    <w:rsid w:val="00010102"/>
    <w:rsid w:val="00011EA6"/>
    <w:rsid w:val="00012B21"/>
    <w:rsid w:val="0001300F"/>
    <w:rsid w:val="00013262"/>
    <w:rsid w:val="0001480D"/>
    <w:rsid w:val="00014A5C"/>
    <w:rsid w:val="00015388"/>
    <w:rsid w:val="00015BDD"/>
    <w:rsid w:val="00015C88"/>
    <w:rsid w:val="00016D97"/>
    <w:rsid w:val="0001716B"/>
    <w:rsid w:val="00017F81"/>
    <w:rsid w:val="00020691"/>
    <w:rsid w:val="000211EA"/>
    <w:rsid w:val="000234B2"/>
    <w:rsid w:val="00025AE4"/>
    <w:rsid w:val="0002684B"/>
    <w:rsid w:val="00027645"/>
    <w:rsid w:val="00027DAC"/>
    <w:rsid w:val="000300AE"/>
    <w:rsid w:val="000300EE"/>
    <w:rsid w:val="000302B6"/>
    <w:rsid w:val="0003106D"/>
    <w:rsid w:val="00031700"/>
    <w:rsid w:val="00031F6E"/>
    <w:rsid w:val="0003277F"/>
    <w:rsid w:val="00032948"/>
    <w:rsid w:val="00032ACA"/>
    <w:rsid w:val="00032B0A"/>
    <w:rsid w:val="0003315D"/>
    <w:rsid w:val="00033DE7"/>
    <w:rsid w:val="0003541F"/>
    <w:rsid w:val="00035CD1"/>
    <w:rsid w:val="00036A2B"/>
    <w:rsid w:val="000377D2"/>
    <w:rsid w:val="00040D3C"/>
    <w:rsid w:val="00040E5A"/>
    <w:rsid w:val="00042897"/>
    <w:rsid w:val="00042C84"/>
    <w:rsid w:val="00043739"/>
    <w:rsid w:val="00043A89"/>
    <w:rsid w:val="00045739"/>
    <w:rsid w:val="00046D30"/>
    <w:rsid w:val="000510B6"/>
    <w:rsid w:val="00051133"/>
    <w:rsid w:val="00051F3F"/>
    <w:rsid w:val="000521D8"/>
    <w:rsid w:val="00052BC1"/>
    <w:rsid w:val="00053A89"/>
    <w:rsid w:val="00054D1F"/>
    <w:rsid w:val="0005582B"/>
    <w:rsid w:val="00056247"/>
    <w:rsid w:val="00056292"/>
    <w:rsid w:val="00056C11"/>
    <w:rsid w:val="00057302"/>
    <w:rsid w:val="00057332"/>
    <w:rsid w:val="0005785A"/>
    <w:rsid w:val="00057D00"/>
    <w:rsid w:val="00057DC0"/>
    <w:rsid w:val="00060B1F"/>
    <w:rsid w:val="0006267A"/>
    <w:rsid w:val="0006335B"/>
    <w:rsid w:val="00063C25"/>
    <w:rsid w:val="00064231"/>
    <w:rsid w:val="00064892"/>
    <w:rsid w:val="00064C7A"/>
    <w:rsid w:val="00066026"/>
    <w:rsid w:val="000661FF"/>
    <w:rsid w:val="00066537"/>
    <w:rsid w:val="0006660A"/>
    <w:rsid w:val="0006670C"/>
    <w:rsid w:val="00067960"/>
    <w:rsid w:val="0007003A"/>
    <w:rsid w:val="00070210"/>
    <w:rsid w:val="000707BF"/>
    <w:rsid w:val="0007277D"/>
    <w:rsid w:val="000734CD"/>
    <w:rsid w:val="00074403"/>
    <w:rsid w:val="00074CF0"/>
    <w:rsid w:val="000750DC"/>
    <w:rsid w:val="0007583C"/>
    <w:rsid w:val="00076057"/>
    <w:rsid w:val="000770EC"/>
    <w:rsid w:val="00081E95"/>
    <w:rsid w:val="00082667"/>
    <w:rsid w:val="00082AD2"/>
    <w:rsid w:val="00083DC6"/>
    <w:rsid w:val="000840D4"/>
    <w:rsid w:val="00084857"/>
    <w:rsid w:val="00084F26"/>
    <w:rsid w:val="0008503C"/>
    <w:rsid w:val="000850AF"/>
    <w:rsid w:val="000852EB"/>
    <w:rsid w:val="00086539"/>
    <w:rsid w:val="000869D8"/>
    <w:rsid w:val="00086CA6"/>
    <w:rsid w:val="00090213"/>
    <w:rsid w:val="000903AC"/>
    <w:rsid w:val="00092FC7"/>
    <w:rsid w:val="00093133"/>
    <w:rsid w:val="0009395E"/>
    <w:rsid w:val="00094603"/>
    <w:rsid w:val="000954D5"/>
    <w:rsid w:val="00095723"/>
    <w:rsid w:val="0009618D"/>
    <w:rsid w:val="0009709B"/>
    <w:rsid w:val="000975E3"/>
    <w:rsid w:val="00097DDA"/>
    <w:rsid w:val="000A1DD1"/>
    <w:rsid w:val="000A21A5"/>
    <w:rsid w:val="000A3908"/>
    <w:rsid w:val="000A4C29"/>
    <w:rsid w:val="000A5EA4"/>
    <w:rsid w:val="000A6E2B"/>
    <w:rsid w:val="000A79D3"/>
    <w:rsid w:val="000B05E2"/>
    <w:rsid w:val="000B0C99"/>
    <w:rsid w:val="000B0F8B"/>
    <w:rsid w:val="000B2213"/>
    <w:rsid w:val="000B2568"/>
    <w:rsid w:val="000B41BB"/>
    <w:rsid w:val="000B5357"/>
    <w:rsid w:val="000B5853"/>
    <w:rsid w:val="000B597F"/>
    <w:rsid w:val="000B634D"/>
    <w:rsid w:val="000B7465"/>
    <w:rsid w:val="000C14CB"/>
    <w:rsid w:val="000C18BC"/>
    <w:rsid w:val="000C1EE4"/>
    <w:rsid w:val="000C1FF9"/>
    <w:rsid w:val="000C21C4"/>
    <w:rsid w:val="000C4151"/>
    <w:rsid w:val="000C4425"/>
    <w:rsid w:val="000C4B12"/>
    <w:rsid w:val="000C4FCB"/>
    <w:rsid w:val="000C5EA0"/>
    <w:rsid w:val="000C5FA7"/>
    <w:rsid w:val="000C7E71"/>
    <w:rsid w:val="000D16AA"/>
    <w:rsid w:val="000D1A7D"/>
    <w:rsid w:val="000D2309"/>
    <w:rsid w:val="000D2CCA"/>
    <w:rsid w:val="000D366B"/>
    <w:rsid w:val="000D38F9"/>
    <w:rsid w:val="000D5D6B"/>
    <w:rsid w:val="000D62C8"/>
    <w:rsid w:val="000D7A20"/>
    <w:rsid w:val="000E0BFC"/>
    <w:rsid w:val="000E161C"/>
    <w:rsid w:val="000E266E"/>
    <w:rsid w:val="000E2B61"/>
    <w:rsid w:val="000E470B"/>
    <w:rsid w:val="000E4DE8"/>
    <w:rsid w:val="000E50F5"/>
    <w:rsid w:val="000E5906"/>
    <w:rsid w:val="000E5E99"/>
    <w:rsid w:val="000E73D9"/>
    <w:rsid w:val="000F0C3B"/>
    <w:rsid w:val="000F0E9F"/>
    <w:rsid w:val="000F1540"/>
    <w:rsid w:val="000F2065"/>
    <w:rsid w:val="000F256D"/>
    <w:rsid w:val="000F2A88"/>
    <w:rsid w:val="000F2C23"/>
    <w:rsid w:val="000F2D1B"/>
    <w:rsid w:val="000F3658"/>
    <w:rsid w:val="000F3697"/>
    <w:rsid w:val="000F3B37"/>
    <w:rsid w:val="000F3F12"/>
    <w:rsid w:val="000F4478"/>
    <w:rsid w:val="000F565B"/>
    <w:rsid w:val="000F5C6C"/>
    <w:rsid w:val="000F5F3F"/>
    <w:rsid w:val="00100425"/>
    <w:rsid w:val="00100570"/>
    <w:rsid w:val="0010184B"/>
    <w:rsid w:val="00101CE5"/>
    <w:rsid w:val="00101DD0"/>
    <w:rsid w:val="00102555"/>
    <w:rsid w:val="001029C0"/>
    <w:rsid w:val="00102B4B"/>
    <w:rsid w:val="00103AB9"/>
    <w:rsid w:val="00103E80"/>
    <w:rsid w:val="00104CC6"/>
    <w:rsid w:val="001061A4"/>
    <w:rsid w:val="00107187"/>
    <w:rsid w:val="00107272"/>
    <w:rsid w:val="00107D54"/>
    <w:rsid w:val="00110B62"/>
    <w:rsid w:val="001110F0"/>
    <w:rsid w:val="00111581"/>
    <w:rsid w:val="00111CEB"/>
    <w:rsid w:val="00111F8F"/>
    <w:rsid w:val="0011245C"/>
    <w:rsid w:val="00114BCB"/>
    <w:rsid w:val="0011500F"/>
    <w:rsid w:val="00115A55"/>
    <w:rsid w:val="0011665D"/>
    <w:rsid w:val="00116AAC"/>
    <w:rsid w:val="0011754F"/>
    <w:rsid w:val="00117D55"/>
    <w:rsid w:val="001204B2"/>
    <w:rsid w:val="001212EF"/>
    <w:rsid w:val="001217DC"/>
    <w:rsid w:val="00121F81"/>
    <w:rsid w:val="0012203F"/>
    <w:rsid w:val="00123CC6"/>
    <w:rsid w:val="00125689"/>
    <w:rsid w:val="00125C8A"/>
    <w:rsid w:val="001261FC"/>
    <w:rsid w:val="00126CD7"/>
    <w:rsid w:val="001306FE"/>
    <w:rsid w:val="00130827"/>
    <w:rsid w:val="001308A2"/>
    <w:rsid w:val="00131140"/>
    <w:rsid w:val="00132FD3"/>
    <w:rsid w:val="00133A61"/>
    <w:rsid w:val="001341E8"/>
    <w:rsid w:val="001362BD"/>
    <w:rsid w:val="0013673A"/>
    <w:rsid w:val="00137F86"/>
    <w:rsid w:val="001410EB"/>
    <w:rsid w:val="00141B41"/>
    <w:rsid w:val="00143554"/>
    <w:rsid w:val="00143653"/>
    <w:rsid w:val="00143934"/>
    <w:rsid w:val="00143B3A"/>
    <w:rsid w:val="00143E43"/>
    <w:rsid w:val="00143FFC"/>
    <w:rsid w:val="001453B3"/>
    <w:rsid w:val="00146ABB"/>
    <w:rsid w:val="00147338"/>
    <w:rsid w:val="00147A48"/>
    <w:rsid w:val="00150143"/>
    <w:rsid w:val="001509AB"/>
    <w:rsid w:val="00152E91"/>
    <w:rsid w:val="00153C18"/>
    <w:rsid w:val="0015460B"/>
    <w:rsid w:val="001566E7"/>
    <w:rsid w:val="00156CA9"/>
    <w:rsid w:val="00157465"/>
    <w:rsid w:val="0015771E"/>
    <w:rsid w:val="00157E23"/>
    <w:rsid w:val="00157FC3"/>
    <w:rsid w:val="00160ACE"/>
    <w:rsid w:val="00161C4F"/>
    <w:rsid w:val="00161C84"/>
    <w:rsid w:val="00161F2A"/>
    <w:rsid w:val="00161FDF"/>
    <w:rsid w:val="001626BD"/>
    <w:rsid w:val="00162C33"/>
    <w:rsid w:val="0016340E"/>
    <w:rsid w:val="001645C4"/>
    <w:rsid w:val="00164E23"/>
    <w:rsid w:val="0016595F"/>
    <w:rsid w:val="00166A2C"/>
    <w:rsid w:val="00166BF2"/>
    <w:rsid w:val="00166CC3"/>
    <w:rsid w:val="00166F71"/>
    <w:rsid w:val="00170A9E"/>
    <w:rsid w:val="0017121A"/>
    <w:rsid w:val="00171401"/>
    <w:rsid w:val="00171777"/>
    <w:rsid w:val="001719FB"/>
    <w:rsid w:val="00172664"/>
    <w:rsid w:val="0017270B"/>
    <w:rsid w:val="00172B65"/>
    <w:rsid w:val="00172EF5"/>
    <w:rsid w:val="001732E1"/>
    <w:rsid w:val="00175189"/>
    <w:rsid w:val="00175D12"/>
    <w:rsid w:val="0017613E"/>
    <w:rsid w:val="00177167"/>
    <w:rsid w:val="00177F97"/>
    <w:rsid w:val="00181A71"/>
    <w:rsid w:val="0018261B"/>
    <w:rsid w:val="001834A7"/>
    <w:rsid w:val="0018373B"/>
    <w:rsid w:val="00183B40"/>
    <w:rsid w:val="00183C79"/>
    <w:rsid w:val="00183C8B"/>
    <w:rsid w:val="00183E75"/>
    <w:rsid w:val="001845CF"/>
    <w:rsid w:val="00185A98"/>
    <w:rsid w:val="001865BB"/>
    <w:rsid w:val="00187518"/>
    <w:rsid w:val="00187743"/>
    <w:rsid w:val="00187CEC"/>
    <w:rsid w:val="0019096C"/>
    <w:rsid w:val="00191EA7"/>
    <w:rsid w:val="00192164"/>
    <w:rsid w:val="00193EB7"/>
    <w:rsid w:val="00194ACA"/>
    <w:rsid w:val="00194C98"/>
    <w:rsid w:val="00194FB7"/>
    <w:rsid w:val="00196B4E"/>
    <w:rsid w:val="001975A1"/>
    <w:rsid w:val="001A027A"/>
    <w:rsid w:val="001A08E4"/>
    <w:rsid w:val="001A0D2C"/>
    <w:rsid w:val="001A11D8"/>
    <w:rsid w:val="001A12B5"/>
    <w:rsid w:val="001A174B"/>
    <w:rsid w:val="001A1C72"/>
    <w:rsid w:val="001A2976"/>
    <w:rsid w:val="001A3980"/>
    <w:rsid w:val="001A422B"/>
    <w:rsid w:val="001A440A"/>
    <w:rsid w:val="001A47C6"/>
    <w:rsid w:val="001A4A55"/>
    <w:rsid w:val="001A5C6F"/>
    <w:rsid w:val="001A6A4F"/>
    <w:rsid w:val="001A76B7"/>
    <w:rsid w:val="001B015C"/>
    <w:rsid w:val="001B1339"/>
    <w:rsid w:val="001B1B58"/>
    <w:rsid w:val="001B1F55"/>
    <w:rsid w:val="001B2049"/>
    <w:rsid w:val="001B2934"/>
    <w:rsid w:val="001B4A37"/>
    <w:rsid w:val="001B4BB2"/>
    <w:rsid w:val="001B6FAD"/>
    <w:rsid w:val="001C04B2"/>
    <w:rsid w:val="001C1FDE"/>
    <w:rsid w:val="001C2063"/>
    <w:rsid w:val="001C21E1"/>
    <w:rsid w:val="001C3426"/>
    <w:rsid w:val="001C4768"/>
    <w:rsid w:val="001C5839"/>
    <w:rsid w:val="001C6431"/>
    <w:rsid w:val="001C6AF6"/>
    <w:rsid w:val="001C7129"/>
    <w:rsid w:val="001C77E1"/>
    <w:rsid w:val="001C7ADA"/>
    <w:rsid w:val="001D0FD3"/>
    <w:rsid w:val="001D121D"/>
    <w:rsid w:val="001D1C29"/>
    <w:rsid w:val="001D3543"/>
    <w:rsid w:val="001D35FD"/>
    <w:rsid w:val="001D3B85"/>
    <w:rsid w:val="001D3DF1"/>
    <w:rsid w:val="001D4151"/>
    <w:rsid w:val="001D4BB9"/>
    <w:rsid w:val="001D501B"/>
    <w:rsid w:val="001D58E5"/>
    <w:rsid w:val="001D5EAE"/>
    <w:rsid w:val="001E07AA"/>
    <w:rsid w:val="001E0FAB"/>
    <w:rsid w:val="001E2502"/>
    <w:rsid w:val="001E292F"/>
    <w:rsid w:val="001E351C"/>
    <w:rsid w:val="001E38F8"/>
    <w:rsid w:val="001E474D"/>
    <w:rsid w:val="001E506D"/>
    <w:rsid w:val="001E5194"/>
    <w:rsid w:val="001E5A81"/>
    <w:rsid w:val="001E62FB"/>
    <w:rsid w:val="001E6A0B"/>
    <w:rsid w:val="001E6B23"/>
    <w:rsid w:val="001E77DA"/>
    <w:rsid w:val="001E7A2F"/>
    <w:rsid w:val="001E7AB0"/>
    <w:rsid w:val="001E7DD0"/>
    <w:rsid w:val="001F0349"/>
    <w:rsid w:val="001F077B"/>
    <w:rsid w:val="001F0B74"/>
    <w:rsid w:val="001F2648"/>
    <w:rsid w:val="001F41B9"/>
    <w:rsid w:val="001F4BE8"/>
    <w:rsid w:val="001F4EB8"/>
    <w:rsid w:val="001F560A"/>
    <w:rsid w:val="001F6318"/>
    <w:rsid w:val="001F65B1"/>
    <w:rsid w:val="001F6B83"/>
    <w:rsid w:val="001F6F6A"/>
    <w:rsid w:val="001F7595"/>
    <w:rsid w:val="001F7FE7"/>
    <w:rsid w:val="002000B8"/>
    <w:rsid w:val="00200B4C"/>
    <w:rsid w:val="0020303B"/>
    <w:rsid w:val="00203267"/>
    <w:rsid w:val="00203897"/>
    <w:rsid w:val="0020391D"/>
    <w:rsid w:val="00205CDC"/>
    <w:rsid w:val="00205F9C"/>
    <w:rsid w:val="002060F7"/>
    <w:rsid w:val="00207BC6"/>
    <w:rsid w:val="00210771"/>
    <w:rsid w:val="00210C22"/>
    <w:rsid w:val="00211885"/>
    <w:rsid w:val="00212ADF"/>
    <w:rsid w:val="00212B9E"/>
    <w:rsid w:val="002134CF"/>
    <w:rsid w:val="00213A60"/>
    <w:rsid w:val="0021429B"/>
    <w:rsid w:val="00215699"/>
    <w:rsid w:val="002159DE"/>
    <w:rsid w:val="00215B1C"/>
    <w:rsid w:val="00215E99"/>
    <w:rsid w:val="0021667D"/>
    <w:rsid w:val="002166A1"/>
    <w:rsid w:val="002166A6"/>
    <w:rsid w:val="00216BB6"/>
    <w:rsid w:val="0022048B"/>
    <w:rsid w:val="0022175C"/>
    <w:rsid w:val="00221D76"/>
    <w:rsid w:val="00222261"/>
    <w:rsid w:val="00223AB6"/>
    <w:rsid w:val="00223AC8"/>
    <w:rsid w:val="00223C96"/>
    <w:rsid w:val="00224852"/>
    <w:rsid w:val="00225935"/>
    <w:rsid w:val="0022634D"/>
    <w:rsid w:val="00226437"/>
    <w:rsid w:val="0022711A"/>
    <w:rsid w:val="00227512"/>
    <w:rsid w:val="0022766E"/>
    <w:rsid w:val="002278D5"/>
    <w:rsid w:val="00227C13"/>
    <w:rsid w:val="00227D49"/>
    <w:rsid w:val="00227FC7"/>
    <w:rsid w:val="00230C3C"/>
    <w:rsid w:val="00230F66"/>
    <w:rsid w:val="00233A54"/>
    <w:rsid w:val="00234440"/>
    <w:rsid w:val="002347C9"/>
    <w:rsid w:val="00235A73"/>
    <w:rsid w:val="00236E72"/>
    <w:rsid w:val="002411BD"/>
    <w:rsid w:val="00244711"/>
    <w:rsid w:val="00244AE4"/>
    <w:rsid w:val="00245EBE"/>
    <w:rsid w:val="00246C63"/>
    <w:rsid w:val="002472C1"/>
    <w:rsid w:val="002473F4"/>
    <w:rsid w:val="00250600"/>
    <w:rsid w:val="002506E1"/>
    <w:rsid w:val="00250F42"/>
    <w:rsid w:val="00252934"/>
    <w:rsid w:val="00252EBA"/>
    <w:rsid w:val="0025361A"/>
    <w:rsid w:val="002545EF"/>
    <w:rsid w:val="00254B44"/>
    <w:rsid w:val="00254E99"/>
    <w:rsid w:val="00255B9B"/>
    <w:rsid w:val="002562E9"/>
    <w:rsid w:val="00256596"/>
    <w:rsid w:val="0026027A"/>
    <w:rsid w:val="00260533"/>
    <w:rsid w:val="002605CE"/>
    <w:rsid w:val="00261367"/>
    <w:rsid w:val="00261A54"/>
    <w:rsid w:val="00261C21"/>
    <w:rsid w:val="00261D37"/>
    <w:rsid w:val="00262D6B"/>
    <w:rsid w:val="00262ED0"/>
    <w:rsid w:val="00263607"/>
    <w:rsid w:val="002638EE"/>
    <w:rsid w:val="00264965"/>
    <w:rsid w:val="002656E1"/>
    <w:rsid w:val="00265CFF"/>
    <w:rsid w:val="002662AC"/>
    <w:rsid w:val="002707F2"/>
    <w:rsid w:val="00270B4E"/>
    <w:rsid w:val="00271500"/>
    <w:rsid w:val="00272E57"/>
    <w:rsid w:val="002734A9"/>
    <w:rsid w:val="00274663"/>
    <w:rsid w:val="00275641"/>
    <w:rsid w:val="0027569A"/>
    <w:rsid w:val="002767D9"/>
    <w:rsid w:val="0027757E"/>
    <w:rsid w:val="00280184"/>
    <w:rsid w:val="00280F4B"/>
    <w:rsid w:val="00281152"/>
    <w:rsid w:val="002821E9"/>
    <w:rsid w:val="002827D2"/>
    <w:rsid w:val="00283488"/>
    <w:rsid w:val="002835B7"/>
    <w:rsid w:val="0028361E"/>
    <w:rsid w:val="00284B7C"/>
    <w:rsid w:val="00284C1F"/>
    <w:rsid w:val="002851AF"/>
    <w:rsid w:val="00286129"/>
    <w:rsid w:val="0028787B"/>
    <w:rsid w:val="00287E1B"/>
    <w:rsid w:val="00290263"/>
    <w:rsid w:val="002908A7"/>
    <w:rsid w:val="00291768"/>
    <w:rsid w:val="00291796"/>
    <w:rsid w:val="00292C52"/>
    <w:rsid w:val="00292F66"/>
    <w:rsid w:val="0029315D"/>
    <w:rsid w:val="00293A33"/>
    <w:rsid w:val="0029449E"/>
    <w:rsid w:val="0029488D"/>
    <w:rsid w:val="00294E82"/>
    <w:rsid w:val="002951FD"/>
    <w:rsid w:val="0029530C"/>
    <w:rsid w:val="00296020"/>
    <w:rsid w:val="0029693F"/>
    <w:rsid w:val="002969C6"/>
    <w:rsid w:val="00296F46"/>
    <w:rsid w:val="00296F8A"/>
    <w:rsid w:val="00297AD1"/>
    <w:rsid w:val="00297CCD"/>
    <w:rsid w:val="002A11CE"/>
    <w:rsid w:val="002A13E2"/>
    <w:rsid w:val="002A180F"/>
    <w:rsid w:val="002A199B"/>
    <w:rsid w:val="002A1B36"/>
    <w:rsid w:val="002A2BC2"/>
    <w:rsid w:val="002A37E6"/>
    <w:rsid w:val="002A409A"/>
    <w:rsid w:val="002A4BFA"/>
    <w:rsid w:val="002A4D7B"/>
    <w:rsid w:val="002A4DFC"/>
    <w:rsid w:val="002B0660"/>
    <w:rsid w:val="002B1286"/>
    <w:rsid w:val="002B18D6"/>
    <w:rsid w:val="002B1B98"/>
    <w:rsid w:val="002B22D4"/>
    <w:rsid w:val="002B3259"/>
    <w:rsid w:val="002B3984"/>
    <w:rsid w:val="002B4595"/>
    <w:rsid w:val="002B45EE"/>
    <w:rsid w:val="002B4BF3"/>
    <w:rsid w:val="002B55C8"/>
    <w:rsid w:val="002B5E4B"/>
    <w:rsid w:val="002B660D"/>
    <w:rsid w:val="002B7969"/>
    <w:rsid w:val="002C0031"/>
    <w:rsid w:val="002C0485"/>
    <w:rsid w:val="002C0762"/>
    <w:rsid w:val="002C0C86"/>
    <w:rsid w:val="002C1397"/>
    <w:rsid w:val="002C257A"/>
    <w:rsid w:val="002C2BEC"/>
    <w:rsid w:val="002C30C0"/>
    <w:rsid w:val="002C4F4B"/>
    <w:rsid w:val="002C6EC0"/>
    <w:rsid w:val="002C7A58"/>
    <w:rsid w:val="002D0356"/>
    <w:rsid w:val="002D07C0"/>
    <w:rsid w:val="002D0F98"/>
    <w:rsid w:val="002D1DFB"/>
    <w:rsid w:val="002D45BF"/>
    <w:rsid w:val="002D4A85"/>
    <w:rsid w:val="002D4B65"/>
    <w:rsid w:val="002D6162"/>
    <w:rsid w:val="002D64DF"/>
    <w:rsid w:val="002D71EF"/>
    <w:rsid w:val="002E00F3"/>
    <w:rsid w:val="002E242E"/>
    <w:rsid w:val="002E255F"/>
    <w:rsid w:val="002E2CED"/>
    <w:rsid w:val="002E2FEC"/>
    <w:rsid w:val="002E38DB"/>
    <w:rsid w:val="002E4AB1"/>
    <w:rsid w:val="002E4F8A"/>
    <w:rsid w:val="002E505D"/>
    <w:rsid w:val="002E73B8"/>
    <w:rsid w:val="002F0823"/>
    <w:rsid w:val="002F0F0F"/>
    <w:rsid w:val="002F113B"/>
    <w:rsid w:val="002F2471"/>
    <w:rsid w:val="002F2B7A"/>
    <w:rsid w:val="002F3105"/>
    <w:rsid w:val="002F4864"/>
    <w:rsid w:val="002F5E6C"/>
    <w:rsid w:val="002F6DD7"/>
    <w:rsid w:val="002F72FF"/>
    <w:rsid w:val="002F7987"/>
    <w:rsid w:val="002F79D4"/>
    <w:rsid w:val="003005C9"/>
    <w:rsid w:val="00300BF3"/>
    <w:rsid w:val="0030143F"/>
    <w:rsid w:val="00301BCD"/>
    <w:rsid w:val="003024C7"/>
    <w:rsid w:val="00303636"/>
    <w:rsid w:val="00303ACF"/>
    <w:rsid w:val="0030463E"/>
    <w:rsid w:val="003047AB"/>
    <w:rsid w:val="00304ED6"/>
    <w:rsid w:val="0030661C"/>
    <w:rsid w:val="00306D5D"/>
    <w:rsid w:val="00306FF4"/>
    <w:rsid w:val="003074C6"/>
    <w:rsid w:val="00307A08"/>
    <w:rsid w:val="0031060A"/>
    <w:rsid w:val="00310EE1"/>
    <w:rsid w:val="003122B0"/>
    <w:rsid w:val="00312390"/>
    <w:rsid w:val="003138EB"/>
    <w:rsid w:val="003139DD"/>
    <w:rsid w:val="0031450D"/>
    <w:rsid w:val="00315880"/>
    <w:rsid w:val="00315A06"/>
    <w:rsid w:val="0031678B"/>
    <w:rsid w:val="0031683C"/>
    <w:rsid w:val="00317146"/>
    <w:rsid w:val="003176EA"/>
    <w:rsid w:val="00317D36"/>
    <w:rsid w:val="00321473"/>
    <w:rsid w:val="003225FB"/>
    <w:rsid w:val="00323A7C"/>
    <w:rsid w:val="00323BE9"/>
    <w:rsid w:val="00323C32"/>
    <w:rsid w:val="00323CC7"/>
    <w:rsid w:val="003241C6"/>
    <w:rsid w:val="003242A8"/>
    <w:rsid w:val="00324827"/>
    <w:rsid w:val="00324A1D"/>
    <w:rsid w:val="00324C55"/>
    <w:rsid w:val="003250B4"/>
    <w:rsid w:val="00325607"/>
    <w:rsid w:val="00325742"/>
    <w:rsid w:val="0032631C"/>
    <w:rsid w:val="00327AB3"/>
    <w:rsid w:val="00327F9E"/>
    <w:rsid w:val="00330527"/>
    <w:rsid w:val="003318A6"/>
    <w:rsid w:val="00331D51"/>
    <w:rsid w:val="003321A8"/>
    <w:rsid w:val="00332EB1"/>
    <w:rsid w:val="003331BB"/>
    <w:rsid w:val="00333E63"/>
    <w:rsid w:val="00334044"/>
    <w:rsid w:val="0033497C"/>
    <w:rsid w:val="00334C1F"/>
    <w:rsid w:val="00334FA0"/>
    <w:rsid w:val="00335188"/>
    <w:rsid w:val="00335234"/>
    <w:rsid w:val="003373B8"/>
    <w:rsid w:val="00340402"/>
    <w:rsid w:val="003413F4"/>
    <w:rsid w:val="00342DC1"/>
    <w:rsid w:val="00342EF7"/>
    <w:rsid w:val="003432B6"/>
    <w:rsid w:val="00343F41"/>
    <w:rsid w:val="0034427F"/>
    <w:rsid w:val="00344BF3"/>
    <w:rsid w:val="00345CC1"/>
    <w:rsid w:val="00345EA7"/>
    <w:rsid w:val="0034629D"/>
    <w:rsid w:val="0034652C"/>
    <w:rsid w:val="00346606"/>
    <w:rsid w:val="00346B62"/>
    <w:rsid w:val="00346E73"/>
    <w:rsid w:val="00350219"/>
    <w:rsid w:val="00350368"/>
    <w:rsid w:val="0035067B"/>
    <w:rsid w:val="00350B6E"/>
    <w:rsid w:val="00351A4A"/>
    <w:rsid w:val="00351D95"/>
    <w:rsid w:val="00351E32"/>
    <w:rsid w:val="00351FB4"/>
    <w:rsid w:val="00352E52"/>
    <w:rsid w:val="00353860"/>
    <w:rsid w:val="00353C7B"/>
    <w:rsid w:val="00354CD9"/>
    <w:rsid w:val="003556C1"/>
    <w:rsid w:val="00355EEE"/>
    <w:rsid w:val="00356B23"/>
    <w:rsid w:val="00360494"/>
    <w:rsid w:val="00360C00"/>
    <w:rsid w:val="00360E7E"/>
    <w:rsid w:val="00361935"/>
    <w:rsid w:val="003626AE"/>
    <w:rsid w:val="003632AA"/>
    <w:rsid w:val="0036508D"/>
    <w:rsid w:val="003651C8"/>
    <w:rsid w:val="0036548D"/>
    <w:rsid w:val="00366321"/>
    <w:rsid w:val="003669F1"/>
    <w:rsid w:val="00366F10"/>
    <w:rsid w:val="003700A3"/>
    <w:rsid w:val="003706AA"/>
    <w:rsid w:val="00370B40"/>
    <w:rsid w:val="00371C15"/>
    <w:rsid w:val="003720AD"/>
    <w:rsid w:val="00372CDF"/>
    <w:rsid w:val="0037330D"/>
    <w:rsid w:val="00373411"/>
    <w:rsid w:val="00373D40"/>
    <w:rsid w:val="00373F52"/>
    <w:rsid w:val="003741F6"/>
    <w:rsid w:val="00374A29"/>
    <w:rsid w:val="00374FA4"/>
    <w:rsid w:val="003756C6"/>
    <w:rsid w:val="00375EFF"/>
    <w:rsid w:val="00376E35"/>
    <w:rsid w:val="003773E4"/>
    <w:rsid w:val="00377F6C"/>
    <w:rsid w:val="00380094"/>
    <w:rsid w:val="00380256"/>
    <w:rsid w:val="0038165D"/>
    <w:rsid w:val="00381812"/>
    <w:rsid w:val="00383071"/>
    <w:rsid w:val="00383BBC"/>
    <w:rsid w:val="0038418D"/>
    <w:rsid w:val="003849DF"/>
    <w:rsid w:val="00385444"/>
    <w:rsid w:val="00385717"/>
    <w:rsid w:val="00385C8D"/>
    <w:rsid w:val="00385F39"/>
    <w:rsid w:val="00386070"/>
    <w:rsid w:val="003900A5"/>
    <w:rsid w:val="00390941"/>
    <w:rsid w:val="003917AD"/>
    <w:rsid w:val="00391FAB"/>
    <w:rsid w:val="00392539"/>
    <w:rsid w:val="00392677"/>
    <w:rsid w:val="00393431"/>
    <w:rsid w:val="00393633"/>
    <w:rsid w:val="00393B41"/>
    <w:rsid w:val="003945E2"/>
    <w:rsid w:val="00394981"/>
    <w:rsid w:val="003953A8"/>
    <w:rsid w:val="003958E6"/>
    <w:rsid w:val="00395D76"/>
    <w:rsid w:val="00396F7B"/>
    <w:rsid w:val="00396FA3"/>
    <w:rsid w:val="00397077"/>
    <w:rsid w:val="0039788E"/>
    <w:rsid w:val="00397BCF"/>
    <w:rsid w:val="00397F0D"/>
    <w:rsid w:val="003A0DC3"/>
    <w:rsid w:val="003A1CF5"/>
    <w:rsid w:val="003A2812"/>
    <w:rsid w:val="003A2D0C"/>
    <w:rsid w:val="003A3298"/>
    <w:rsid w:val="003A3304"/>
    <w:rsid w:val="003A3551"/>
    <w:rsid w:val="003A38F0"/>
    <w:rsid w:val="003A443D"/>
    <w:rsid w:val="003A4708"/>
    <w:rsid w:val="003A4BAB"/>
    <w:rsid w:val="003A6A5A"/>
    <w:rsid w:val="003A72E9"/>
    <w:rsid w:val="003B06AD"/>
    <w:rsid w:val="003B06B9"/>
    <w:rsid w:val="003B0979"/>
    <w:rsid w:val="003B15E9"/>
    <w:rsid w:val="003B175A"/>
    <w:rsid w:val="003B3231"/>
    <w:rsid w:val="003B357A"/>
    <w:rsid w:val="003B4714"/>
    <w:rsid w:val="003B499C"/>
    <w:rsid w:val="003B4CCD"/>
    <w:rsid w:val="003B53D4"/>
    <w:rsid w:val="003B7298"/>
    <w:rsid w:val="003C0036"/>
    <w:rsid w:val="003C0FF8"/>
    <w:rsid w:val="003C43DA"/>
    <w:rsid w:val="003C4FD5"/>
    <w:rsid w:val="003C5585"/>
    <w:rsid w:val="003C57DD"/>
    <w:rsid w:val="003C582B"/>
    <w:rsid w:val="003C614D"/>
    <w:rsid w:val="003C77E9"/>
    <w:rsid w:val="003D152F"/>
    <w:rsid w:val="003D19EE"/>
    <w:rsid w:val="003D2333"/>
    <w:rsid w:val="003D2374"/>
    <w:rsid w:val="003D2B3A"/>
    <w:rsid w:val="003D3241"/>
    <w:rsid w:val="003D4804"/>
    <w:rsid w:val="003D5413"/>
    <w:rsid w:val="003D73E4"/>
    <w:rsid w:val="003D7685"/>
    <w:rsid w:val="003D7E9A"/>
    <w:rsid w:val="003E0366"/>
    <w:rsid w:val="003E100C"/>
    <w:rsid w:val="003E1678"/>
    <w:rsid w:val="003E2FFE"/>
    <w:rsid w:val="003E37AA"/>
    <w:rsid w:val="003E37BB"/>
    <w:rsid w:val="003E3871"/>
    <w:rsid w:val="003E411A"/>
    <w:rsid w:val="003E4310"/>
    <w:rsid w:val="003E47DE"/>
    <w:rsid w:val="003E4FFA"/>
    <w:rsid w:val="003E6E11"/>
    <w:rsid w:val="003E7BA8"/>
    <w:rsid w:val="003F0536"/>
    <w:rsid w:val="003F10D3"/>
    <w:rsid w:val="003F1548"/>
    <w:rsid w:val="003F2B3D"/>
    <w:rsid w:val="003F2EDF"/>
    <w:rsid w:val="003F3105"/>
    <w:rsid w:val="003F3BBA"/>
    <w:rsid w:val="003F3C44"/>
    <w:rsid w:val="003F4172"/>
    <w:rsid w:val="003F4249"/>
    <w:rsid w:val="003F4E3B"/>
    <w:rsid w:val="003F5086"/>
    <w:rsid w:val="003F5108"/>
    <w:rsid w:val="003F5D2C"/>
    <w:rsid w:val="003F64BC"/>
    <w:rsid w:val="003F6CAF"/>
    <w:rsid w:val="003F7679"/>
    <w:rsid w:val="004001D3"/>
    <w:rsid w:val="00400C13"/>
    <w:rsid w:val="00401A86"/>
    <w:rsid w:val="00401E65"/>
    <w:rsid w:val="00402311"/>
    <w:rsid w:val="0040239F"/>
    <w:rsid w:val="00402C97"/>
    <w:rsid w:val="00403364"/>
    <w:rsid w:val="00403411"/>
    <w:rsid w:val="004038BE"/>
    <w:rsid w:val="0040415C"/>
    <w:rsid w:val="00404AA4"/>
    <w:rsid w:val="00404C61"/>
    <w:rsid w:val="004050C9"/>
    <w:rsid w:val="004051F0"/>
    <w:rsid w:val="00406314"/>
    <w:rsid w:val="00406376"/>
    <w:rsid w:val="00406389"/>
    <w:rsid w:val="004063C0"/>
    <w:rsid w:val="00406896"/>
    <w:rsid w:val="00411B37"/>
    <w:rsid w:val="004125ED"/>
    <w:rsid w:val="00412B4D"/>
    <w:rsid w:val="00413B39"/>
    <w:rsid w:val="00413D4D"/>
    <w:rsid w:val="0041450E"/>
    <w:rsid w:val="0041456E"/>
    <w:rsid w:val="00414BE5"/>
    <w:rsid w:val="00415370"/>
    <w:rsid w:val="00415781"/>
    <w:rsid w:val="00416485"/>
    <w:rsid w:val="00416F40"/>
    <w:rsid w:val="00417769"/>
    <w:rsid w:val="00417F0D"/>
    <w:rsid w:val="00421795"/>
    <w:rsid w:val="00421EF2"/>
    <w:rsid w:val="00422668"/>
    <w:rsid w:val="004252CD"/>
    <w:rsid w:val="0042602D"/>
    <w:rsid w:val="00427004"/>
    <w:rsid w:val="0042772E"/>
    <w:rsid w:val="00430CF3"/>
    <w:rsid w:val="00431AC1"/>
    <w:rsid w:val="00431DE1"/>
    <w:rsid w:val="004329C9"/>
    <w:rsid w:val="00432CD5"/>
    <w:rsid w:val="00433CDB"/>
    <w:rsid w:val="00435D29"/>
    <w:rsid w:val="00435E5A"/>
    <w:rsid w:val="004363FA"/>
    <w:rsid w:val="004364CC"/>
    <w:rsid w:val="00436829"/>
    <w:rsid w:val="00436C29"/>
    <w:rsid w:val="00437141"/>
    <w:rsid w:val="004405B0"/>
    <w:rsid w:val="00441905"/>
    <w:rsid w:val="00441FF9"/>
    <w:rsid w:val="0044382F"/>
    <w:rsid w:val="00443B96"/>
    <w:rsid w:val="00443E1D"/>
    <w:rsid w:val="004442EB"/>
    <w:rsid w:val="00444FA3"/>
    <w:rsid w:val="00446553"/>
    <w:rsid w:val="004466DA"/>
    <w:rsid w:val="00446A92"/>
    <w:rsid w:val="00446CEB"/>
    <w:rsid w:val="00447664"/>
    <w:rsid w:val="004501B4"/>
    <w:rsid w:val="0045082F"/>
    <w:rsid w:val="00450C00"/>
    <w:rsid w:val="0045135E"/>
    <w:rsid w:val="004522E5"/>
    <w:rsid w:val="00452434"/>
    <w:rsid w:val="00452C53"/>
    <w:rsid w:val="004539C7"/>
    <w:rsid w:val="00453F8A"/>
    <w:rsid w:val="00454597"/>
    <w:rsid w:val="004548E6"/>
    <w:rsid w:val="0045543A"/>
    <w:rsid w:val="00455880"/>
    <w:rsid w:val="00455D1D"/>
    <w:rsid w:val="004561F9"/>
    <w:rsid w:val="0045637C"/>
    <w:rsid w:val="004569A3"/>
    <w:rsid w:val="00456A7F"/>
    <w:rsid w:val="004578ED"/>
    <w:rsid w:val="004611B6"/>
    <w:rsid w:val="00461997"/>
    <w:rsid w:val="00463F8B"/>
    <w:rsid w:val="004649AD"/>
    <w:rsid w:val="004650E7"/>
    <w:rsid w:val="0046687B"/>
    <w:rsid w:val="004674FB"/>
    <w:rsid w:val="00470418"/>
    <w:rsid w:val="004704DA"/>
    <w:rsid w:val="004704EA"/>
    <w:rsid w:val="0047056A"/>
    <w:rsid w:val="0047071D"/>
    <w:rsid w:val="00471464"/>
    <w:rsid w:val="004727C4"/>
    <w:rsid w:val="00473579"/>
    <w:rsid w:val="00474E5A"/>
    <w:rsid w:val="004754AE"/>
    <w:rsid w:val="0047558F"/>
    <w:rsid w:val="0047561A"/>
    <w:rsid w:val="00475FD5"/>
    <w:rsid w:val="0047770B"/>
    <w:rsid w:val="00477AFC"/>
    <w:rsid w:val="004812F4"/>
    <w:rsid w:val="0048231B"/>
    <w:rsid w:val="00482BD9"/>
    <w:rsid w:val="004838D4"/>
    <w:rsid w:val="004845AC"/>
    <w:rsid w:val="00484C31"/>
    <w:rsid w:val="00485E3C"/>
    <w:rsid w:val="00486F09"/>
    <w:rsid w:val="004877FB"/>
    <w:rsid w:val="004906DB"/>
    <w:rsid w:val="00490C0F"/>
    <w:rsid w:val="00491FF2"/>
    <w:rsid w:val="004925EE"/>
    <w:rsid w:val="00492735"/>
    <w:rsid w:val="004945E8"/>
    <w:rsid w:val="004946D8"/>
    <w:rsid w:val="00494FC9"/>
    <w:rsid w:val="00495228"/>
    <w:rsid w:val="004963B6"/>
    <w:rsid w:val="00497252"/>
    <w:rsid w:val="0049795E"/>
    <w:rsid w:val="004A1808"/>
    <w:rsid w:val="004A2013"/>
    <w:rsid w:val="004A201B"/>
    <w:rsid w:val="004A2B7A"/>
    <w:rsid w:val="004A3EB3"/>
    <w:rsid w:val="004A4377"/>
    <w:rsid w:val="004A4A51"/>
    <w:rsid w:val="004A57EB"/>
    <w:rsid w:val="004A5824"/>
    <w:rsid w:val="004A59D3"/>
    <w:rsid w:val="004A6D7C"/>
    <w:rsid w:val="004A6F11"/>
    <w:rsid w:val="004A74DD"/>
    <w:rsid w:val="004A7855"/>
    <w:rsid w:val="004B00D1"/>
    <w:rsid w:val="004B0B57"/>
    <w:rsid w:val="004B1278"/>
    <w:rsid w:val="004B1CAB"/>
    <w:rsid w:val="004B2FF9"/>
    <w:rsid w:val="004B3506"/>
    <w:rsid w:val="004B36ED"/>
    <w:rsid w:val="004B3D73"/>
    <w:rsid w:val="004B40DB"/>
    <w:rsid w:val="004B4EF6"/>
    <w:rsid w:val="004B612E"/>
    <w:rsid w:val="004B623B"/>
    <w:rsid w:val="004B6554"/>
    <w:rsid w:val="004B6B22"/>
    <w:rsid w:val="004B6C50"/>
    <w:rsid w:val="004B77CB"/>
    <w:rsid w:val="004C0DA0"/>
    <w:rsid w:val="004C38BA"/>
    <w:rsid w:val="004C3E02"/>
    <w:rsid w:val="004C422D"/>
    <w:rsid w:val="004C4CEB"/>
    <w:rsid w:val="004C5CBA"/>
    <w:rsid w:val="004C60AC"/>
    <w:rsid w:val="004C6C09"/>
    <w:rsid w:val="004C6EA3"/>
    <w:rsid w:val="004C7C1E"/>
    <w:rsid w:val="004D000F"/>
    <w:rsid w:val="004D055D"/>
    <w:rsid w:val="004D1240"/>
    <w:rsid w:val="004D133B"/>
    <w:rsid w:val="004D49EE"/>
    <w:rsid w:val="004D4AE0"/>
    <w:rsid w:val="004D4C0B"/>
    <w:rsid w:val="004D512D"/>
    <w:rsid w:val="004D6042"/>
    <w:rsid w:val="004D62C0"/>
    <w:rsid w:val="004D69FC"/>
    <w:rsid w:val="004D77BD"/>
    <w:rsid w:val="004D77DE"/>
    <w:rsid w:val="004D7BF4"/>
    <w:rsid w:val="004D7C92"/>
    <w:rsid w:val="004E0D46"/>
    <w:rsid w:val="004E295C"/>
    <w:rsid w:val="004E38B2"/>
    <w:rsid w:val="004E3936"/>
    <w:rsid w:val="004E4277"/>
    <w:rsid w:val="004E490B"/>
    <w:rsid w:val="004E57F7"/>
    <w:rsid w:val="004E5D9C"/>
    <w:rsid w:val="004E6707"/>
    <w:rsid w:val="004E6985"/>
    <w:rsid w:val="004E6B8E"/>
    <w:rsid w:val="004F0543"/>
    <w:rsid w:val="004F126D"/>
    <w:rsid w:val="004F2385"/>
    <w:rsid w:val="004F3A97"/>
    <w:rsid w:val="004F486D"/>
    <w:rsid w:val="004F5591"/>
    <w:rsid w:val="004F5D14"/>
    <w:rsid w:val="004F68DC"/>
    <w:rsid w:val="004F7FAD"/>
    <w:rsid w:val="00500F7A"/>
    <w:rsid w:val="005012AD"/>
    <w:rsid w:val="005016E5"/>
    <w:rsid w:val="00501A56"/>
    <w:rsid w:val="00501ACA"/>
    <w:rsid w:val="00502317"/>
    <w:rsid w:val="005027BB"/>
    <w:rsid w:val="00503415"/>
    <w:rsid w:val="005037E1"/>
    <w:rsid w:val="00503B5C"/>
    <w:rsid w:val="0050456A"/>
    <w:rsid w:val="005068E1"/>
    <w:rsid w:val="005077C5"/>
    <w:rsid w:val="00507F3A"/>
    <w:rsid w:val="0051168A"/>
    <w:rsid w:val="005117D2"/>
    <w:rsid w:val="005118A6"/>
    <w:rsid w:val="005122F4"/>
    <w:rsid w:val="0051292D"/>
    <w:rsid w:val="005131DC"/>
    <w:rsid w:val="0051405F"/>
    <w:rsid w:val="0051444F"/>
    <w:rsid w:val="005156A6"/>
    <w:rsid w:val="00516393"/>
    <w:rsid w:val="005179A5"/>
    <w:rsid w:val="00520B4F"/>
    <w:rsid w:val="00524AD7"/>
    <w:rsid w:val="005254FD"/>
    <w:rsid w:val="005268A9"/>
    <w:rsid w:val="0052720F"/>
    <w:rsid w:val="00527421"/>
    <w:rsid w:val="005275C4"/>
    <w:rsid w:val="00527D36"/>
    <w:rsid w:val="00531076"/>
    <w:rsid w:val="00531393"/>
    <w:rsid w:val="00531D28"/>
    <w:rsid w:val="005328A8"/>
    <w:rsid w:val="0053385A"/>
    <w:rsid w:val="00533920"/>
    <w:rsid w:val="00534F16"/>
    <w:rsid w:val="00535141"/>
    <w:rsid w:val="00535324"/>
    <w:rsid w:val="005363B4"/>
    <w:rsid w:val="0053712D"/>
    <w:rsid w:val="00537DA5"/>
    <w:rsid w:val="005403F4"/>
    <w:rsid w:val="00541136"/>
    <w:rsid w:val="00541C39"/>
    <w:rsid w:val="0054216F"/>
    <w:rsid w:val="00542F18"/>
    <w:rsid w:val="00544853"/>
    <w:rsid w:val="00544CA5"/>
    <w:rsid w:val="005450E2"/>
    <w:rsid w:val="00545B19"/>
    <w:rsid w:val="005470DD"/>
    <w:rsid w:val="005476CE"/>
    <w:rsid w:val="0055035F"/>
    <w:rsid w:val="005507FD"/>
    <w:rsid w:val="005511C0"/>
    <w:rsid w:val="0055232C"/>
    <w:rsid w:val="0055278E"/>
    <w:rsid w:val="005533E8"/>
    <w:rsid w:val="00553C8A"/>
    <w:rsid w:val="00555488"/>
    <w:rsid w:val="0055549A"/>
    <w:rsid w:val="00555B18"/>
    <w:rsid w:val="00555C9C"/>
    <w:rsid w:val="0055641F"/>
    <w:rsid w:val="00556A4D"/>
    <w:rsid w:val="00556B00"/>
    <w:rsid w:val="00556E87"/>
    <w:rsid w:val="00557319"/>
    <w:rsid w:val="0055764E"/>
    <w:rsid w:val="00560528"/>
    <w:rsid w:val="00561923"/>
    <w:rsid w:val="005622F8"/>
    <w:rsid w:val="0056310A"/>
    <w:rsid w:val="00563236"/>
    <w:rsid w:val="0056336F"/>
    <w:rsid w:val="005636C6"/>
    <w:rsid w:val="00565366"/>
    <w:rsid w:val="00565AF7"/>
    <w:rsid w:val="00570C34"/>
    <w:rsid w:val="00571020"/>
    <w:rsid w:val="0057189C"/>
    <w:rsid w:val="00571BD2"/>
    <w:rsid w:val="00571CD7"/>
    <w:rsid w:val="00571D59"/>
    <w:rsid w:val="00572E3E"/>
    <w:rsid w:val="005732E0"/>
    <w:rsid w:val="005738F7"/>
    <w:rsid w:val="0057420B"/>
    <w:rsid w:val="005756C1"/>
    <w:rsid w:val="0057593B"/>
    <w:rsid w:val="0057799B"/>
    <w:rsid w:val="00580280"/>
    <w:rsid w:val="00580B9E"/>
    <w:rsid w:val="0058135A"/>
    <w:rsid w:val="00583358"/>
    <w:rsid w:val="005839BF"/>
    <w:rsid w:val="00584058"/>
    <w:rsid w:val="005844A5"/>
    <w:rsid w:val="005846B4"/>
    <w:rsid w:val="005850E5"/>
    <w:rsid w:val="005851E0"/>
    <w:rsid w:val="00585571"/>
    <w:rsid w:val="005856F9"/>
    <w:rsid w:val="00585B91"/>
    <w:rsid w:val="00586BF1"/>
    <w:rsid w:val="00587DC4"/>
    <w:rsid w:val="005903E4"/>
    <w:rsid w:val="005907D5"/>
    <w:rsid w:val="005913EE"/>
    <w:rsid w:val="00592461"/>
    <w:rsid w:val="00592F2B"/>
    <w:rsid w:val="005950D6"/>
    <w:rsid w:val="0059519C"/>
    <w:rsid w:val="00595524"/>
    <w:rsid w:val="00597221"/>
    <w:rsid w:val="005974F3"/>
    <w:rsid w:val="0059751C"/>
    <w:rsid w:val="00597919"/>
    <w:rsid w:val="005A034E"/>
    <w:rsid w:val="005A0A5B"/>
    <w:rsid w:val="005A0B9F"/>
    <w:rsid w:val="005A0EFC"/>
    <w:rsid w:val="005A1692"/>
    <w:rsid w:val="005A286E"/>
    <w:rsid w:val="005A28BD"/>
    <w:rsid w:val="005A3DC0"/>
    <w:rsid w:val="005A44E7"/>
    <w:rsid w:val="005A5337"/>
    <w:rsid w:val="005A5D8E"/>
    <w:rsid w:val="005A63D8"/>
    <w:rsid w:val="005A6CC1"/>
    <w:rsid w:val="005A7C14"/>
    <w:rsid w:val="005A7C48"/>
    <w:rsid w:val="005A7DBE"/>
    <w:rsid w:val="005A7E1A"/>
    <w:rsid w:val="005B0476"/>
    <w:rsid w:val="005B1482"/>
    <w:rsid w:val="005B152C"/>
    <w:rsid w:val="005B1C64"/>
    <w:rsid w:val="005B1DE8"/>
    <w:rsid w:val="005B2590"/>
    <w:rsid w:val="005B25BC"/>
    <w:rsid w:val="005B2807"/>
    <w:rsid w:val="005B3606"/>
    <w:rsid w:val="005B3BFF"/>
    <w:rsid w:val="005B3E08"/>
    <w:rsid w:val="005B49B6"/>
    <w:rsid w:val="005B56EE"/>
    <w:rsid w:val="005B672C"/>
    <w:rsid w:val="005B747D"/>
    <w:rsid w:val="005B7733"/>
    <w:rsid w:val="005B7A22"/>
    <w:rsid w:val="005C0602"/>
    <w:rsid w:val="005C0D5D"/>
    <w:rsid w:val="005C0D70"/>
    <w:rsid w:val="005C191A"/>
    <w:rsid w:val="005C2AA9"/>
    <w:rsid w:val="005C330D"/>
    <w:rsid w:val="005C40C7"/>
    <w:rsid w:val="005C4114"/>
    <w:rsid w:val="005C4B98"/>
    <w:rsid w:val="005C4EFF"/>
    <w:rsid w:val="005C4F43"/>
    <w:rsid w:val="005D0B55"/>
    <w:rsid w:val="005D160D"/>
    <w:rsid w:val="005D356C"/>
    <w:rsid w:val="005D4A04"/>
    <w:rsid w:val="005D4CF7"/>
    <w:rsid w:val="005D5347"/>
    <w:rsid w:val="005D5CC5"/>
    <w:rsid w:val="005D5FE6"/>
    <w:rsid w:val="005D61EA"/>
    <w:rsid w:val="005D787B"/>
    <w:rsid w:val="005E031D"/>
    <w:rsid w:val="005E03AC"/>
    <w:rsid w:val="005E04B5"/>
    <w:rsid w:val="005E0D5C"/>
    <w:rsid w:val="005E12BE"/>
    <w:rsid w:val="005E191A"/>
    <w:rsid w:val="005E2C81"/>
    <w:rsid w:val="005E384C"/>
    <w:rsid w:val="005E4D3C"/>
    <w:rsid w:val="005E7158"/>
    <w:rsid w:val="005E7ECB"/>
    <w:rsid w:val="005E7F63"/>
    <w:rsid w:val="005F0C00"/>
    <w:rsid w:val="005F1037"/>
    <w:rsid w:val="005F2BF8"/>
    <w:rsid w:val="005F2EA8"/>
    <w:rsid w:val="005F5573"/>
    <w:rsid w:val="005F5D1D"/>
    <w:rsid w:val="005F60C9"/>
    <w:rsid w:val="005F64C6"/>
    <w:rsid w:val="005F6F05"/>
    <w:rsid w:val="006008F1"/>
    <w:rsid w:val="00601714"/>
    <w:rsid w:val="00601735"/>
    <w:rsid w:val="00602BD2"/>
    <w:rsid w:val="00604980"/>
    <w:rsid w:val="00605BDB"/>
    <w:rsid w:val="0060614D"/>
    <w:rsid w:val="0061005A"/>
    <w:rsid w:val="006101C5"/>
    <w:rsid w:val="00610871"/>
    <w:rsid w:val="00610E48"/>
    <w:rsid w:val="0061160D"/>
    <w:rsid w:val="0061286C"/>
    <w:rsid w:val="00612E83"/>
    <w:rsid w:val="00613C47"/>
    <w:rsid w:val="00615086"/>
    <w:rsid w:val="00615B0A"/>
    <w:rsid w:val="00616201"/>
    <w:rsid w:val="00616225"/>
    <w:rsid w:val="00616917"/>
    <w:rsid w:val="0061705E"/>
    <w:rsid w:val="00617A8B"/>
    <w:rsid w:val="00621904"/>
    <w:rsid w:val="00622248"/>
    <w:rsid w:val="00622FEA"/>
    <w:rsid w:val="00623CDF"/>
    <w:rsid w:val="00623DB1"/>
    <w:rsid w:val="006245F3"/>
    <w:rsid w:val="00624DBE"/>
    <w:rsid w:val="00625450"/>
    <w:rsid w:val="0062624F"/>
    <w:rsid w:val="006319C1"/>
    <w:rsid w:val="006319CA"/>
    <w:rsid w:val="00632D91"/>
    <w:rsid w:val="00633B3E"/>
    <w:rsid w:val="00634B64"/>
    <w:rsid w:val="00634EC0"/>
    <w:rsid w:val="006351C3"/>
    <w:rsid w:val="0063627F"/>
    <w:rsid w:val="0063642A"/>
    <w:rsid w:val="006376C4"/>
    <w:rsid w:val="006403E7"/>
    <w:rsid w:val="00642D72"/>
    <w:rsid w:val="006443CB"/>
    <w:rsid w:val="006448B8"/>
    <w:rsid w:val="00644F80"/>
    <w:rsid w:val="00645874"/>
    <w:rsid w:val="006458E5"/>
    <w:rsid w:val="00650F81"/>
    <w:rsid w:val="00650FC7"/>
    <w:rsid w:val="006531B0"/>
    <w:rsid w:val="00653C24"/>
    <w:rsid w:val="00653D68"/>
    <w:rsid w:val="00654275"/>
    <w:rsid w:val="0065446D"/>
    <w:rsid w:val="00654894"/>
    <w:rsid w:val="00656067"/>
    <w:rsid w:val="00657381"/>
    <w:rsid w:val="0065746B"/>
    <w:rsid w:val="00660693"/>
    <w:rsid w:val="00660D86"/>
    <w:rsid w:val="006611D6"/>
    <w:rsid w:val="00661918"/>
    <w:rsid w:val="00662A5A"/>
    <w:rsid w:val="0066335C"/>
    <w:rsid w:val="006636D0"/>
    <w:rsid w:val="00663834"/>
    <w:rsid w:val="006647D7"/>
    <w:rsid w:val="00664F1B"/>
    <w:rsid w:val="006653D7"/>
    <w:rsid w:val="00665BFF"/>
    <w:rsid w:val="006665BA"/>
    <w:rsid w:val="00666A4F"/>
    <w:rsid w:val="00666B7F"/>
    <w:rsid w:val="00666DEC"/>
    <w:rsid w:val="00667477"/>
    <w:rsid w:val="006703D9"/>
    <w:rsid w:val="00670ADE"/>
    <w:rsid w:val="00672DFC"/>
    <w:rsid w:val="00672F5B"/>
    <w:rsid w:val="00673BD7"/>
    <w:rsid w:val="00673DEE"/>
    <w:rsid w:val="00674E69"/>
    <w:rsid w:val="00675A33"/>
    <w:rsid w:val="0067602A"/>
    <w:rsid w:val="006763ED"/>
    <w:rsid w:val="00676433"/>
    <w:rsid w:val="006767FD"/>
    <w:rsid w:val="0067720F"/>
    <w:rsid w:val="0067738E"/>
    <w:rsid w:val="00677F23"/>
    <w:rsid w:val="00680936"/>
    <w:rsid w:val="00680BBE"/>
    <w:rsid w:val="00680D8C"/>
    <w:rsid w:val="00680D99"/>
    <w:rsid w:val="006821B2"/>
    <w:rsid w:val="00682725"/>
    <w:rsid w:val="00682A1B"/>
    <w:rsid w:val="00682D73"/>
    <w:rsid w:val="00682ED3"/>
    <w:rsid w:val="006846E8"/>
    <w:rsid w:val="0068541E"/>
    <w:rsid w:val="00685E9D"/>
    <w:rsid w:val="00685EBD"/>
    <w:rsid w:val="0068605C"/>
    <w:rsid w:val="006861C3"/>
    <w:rsid w:val="00686AF3"/>
    <w:rsid w:val="00690F1F"/>
    <w:rsid w:val="006915BD"/>
    <w:rsid w:val="00691A6B"/>
    <w:rsid w:val="00692582"/>
    <w:rsid w:val="00692592"/>
    <w:rsid w:val="00692A2F"/>
    <w:rsid w:val="0069322C"/>
    <w:rsid w:val="00693652"/>
    <w:rsid w:val="006939E7"/>
    <w:rsid w:val="00693D3E"/>
    <w:rsid w:val="006942F7"/>
    <w:rsid w:val="006956FB"/>
    <w:rsid w:val="00695BC7"/>
    <w:rsid w:val="006969AD"/>
    <w:rsid w:val="00696F7B"/>
    <w:rsid w:val="006A01FB"/>
    <w:rsid w:val="006A07DF"/>
    <w:rsid w:val="006A1093"/>
    <w:rsid w:val="006A1D3D"/>
    <w:rsid w:val="006A2150"/>
    <w:rsid w:val="006A2216"/>
    <w:rsid w:val="006A241D"/>
    <w:rsid w:val="006A3288"/>
    <w:rsid w:val="006A43E6"/>
    <w:rsid w:val="006A4AEE"/>
    <w:rsid w:val="006A526F"/>
    <w:rsid w:val="006A70BE"/>
    <w:rsid w:val="006A7934"/>
    <w:rsid w:val="006B0001"/>
    <w:rsid w:val="006B04AF"/>
    <w:rsid w:val="006B059F"/>
    <w:rsid w:val="006B0A56"/>
    <w:rsid w:val="006B2048"/>
    <w:rsid w:val="006B20A6"/>
    <w:rsid w:val="006B32D5"/>
    <w:rsid w:val="006B342E"/>
    <w:rsid w:val="006B3812"/>
    <w:rsid w:val="006B3B80"/>
    <w:rsid w:val="006B6870"/>
    <w:rsid w:val="006B6F32"/>
    <w:rsid w:val="006B7130"/>
    <w:rsid w:val="006B73CC"/>
    <w:rsid w:val="006B7695"/>
    <w:rsid w:val="006C0176"/>
    <w:rsid w:val="006C2994"/>
    <w:rsid w:val="006C35EC"/>
    <w:rsid w:val="006C4150"/>
    <w:rsid w:val="006C4382"/>
    <w:rsid w:val="006C5683"/>
    <w:rsid w:val="006C5E33"/>
    <w:rsid w:val="006C5E48"/>
    <w:rsid w:val="006C6434"/>
    <w:rsid w:val="006C6984"/>
    <w:rsid w:val="006C6CD8"/>
    <w:rsid w:val="006C70BB"/>
    <w:rsid w:val="006C7528"/>
    <w:rsid w:val="006C7EB1"/>
    <w:rsid w:val="006D013F"/>
    <w:rsid w:val="006D017F"/>
    <w:rsid w:val="006D08BD"/>
    <w:rsid w:val="006D0F8E"/>
    <w:rsid w:val="006D1416"/>
    <w:rsid w:val="006D1D3F"/>
    <w:rsid w:val="006D253B"/>
    <w:rsid w:val="006D325A"/>
    <w:rsid w:val="006D407B"/>
    <w:rsid w:val="006D4242"/>
    <w:rsid w:val="006D44E6"/>
    <w:rsid w:val="006D45F0"/>
    <w:rsid w:val="006D4C8F"/>
    <w:rsid w:val="006D52A0"/>
    <w:rsid w:val="006D57CB"/>
    <w:rsid w:val="006D5819"/>
    <w:rsid w:val="006D5E6F"/>
    <w:rsid w:val="006D693F"/>
    <w:rsid w:val="006D6CDD"/>
    <w:rsid w:val="006D7604"/>
    <w:rsid w:val="006D765E"/>
    <w:rsid w:val="006E03D1"/>
    <w:rsid w:val="006E0455"/>
    <w:rsid w:val="006E150D"/>
    <w:rsid w:val="006E3289"/>
    <w:rsid w:val="006E33E4"/>
    <w:rsid w:val="006E4238"/>
    <w:rsid w:val="006E5F01"/>
    <w:rsid w:val="006E5F88"/>
    <w:rsid w:val="006E7404"/>
    <w:rsid w:val="006E7B97"/>
    <w:rsid w:val="006F1DE7"/>
    <w:rsid w:val="006F1EA3"/>
    <w:rsid w:val="006F2627"/>
    <w:rsid w:val="006F2BF8"/>
    <w:rsid w:val="006F3568"/>
    <w:rsid w:val="006F40AD"/>
    <w:rsid w:val="006F4A5F"/>
    <w:rsid w:val="006F4D7B"/>
    <w:rsid w:val="006F6360"/>
    <w:rsid w:val="006F6436"/>
    <w:rsid w:val="006F65C5"/>
    <w:rsid w:val="006F687A"/>
    <w:rsid w:val="006F68EF"/>
    <w:rsid w:val="006F6D38"/>
    <w:rsid w:val="006F6D4C"/>
    <w:rsid w:val="006F6E67"/>
    <w:rsid w:val="006F7157"/>
    <w:rsid w:val="006F78E0"/>
    <w:rsid w:val="00702B1B"/>
    <w:rsid w:val="00702ED6"/>
    <w:rsid w:val="007032B3"/>
    <w:rsid w:val="00704164"/>
    <w:rsid w:val="007044BF"/>
    <w:rsid w:val="00706A58"/>
    <w:rsid w:val="00707517"/>
    <w:rsid w:val="007078ED"/>
    <w:rsid w:val="00710187"/>
    <w:rsid w:val="007110E1"/>
    <w:rsid w:val="00711B18"/>
    <w:rsid w:val="00714394"/>
    <w:rsid w:val="00714ED6"/>
    <w:rsid w:val="007151B7"/>
    <w:rsid w:val="00715E8D"/>
    <w:rsid w:val="00716D8A"/>
    <w:rsid w:val="00717854"/>
    <w:rsid w:val="00721C26"/>
    <w:rsid w:val="00721F7E"/>
    <w:rsid w:val="00722C0F"/>
    <w:rsid w:val="00722E29"/>
    <w:rsid w:val="00723ECB"/>
    <w:rsid w:val="00724606"/>
    <w:rsid w:val="00724A36"/>
    <w:rsid w:val="00724A60"/>
    <w:rsid w:val="00724E85"/>
    <w:rsid w:val="00725113"/>
    <w:rsid w:val="0072525D"/>
    <w:rsid w:val="00725A26"/>
    <w:rsid w:val="00726E8A"/>
    <w:rsid w:val="00727047"/>
    <w:rsid w:val="00734510"/>
    <w:rsid w:val="00734887"/>
    <w:rsid w:val="007365B6"/>
    <w:rsid w:val="007373C8"/>
    <w:rsid w:val="007401E2"/>
    <w:rsid w:val="00740205"/>
    <w:rsid w:val="00740D67"/>
    <w:rsid w:val="007411E5"/>
    <w:rsid w:val="00741605"/>
    <w:rsid w:val="00742AD3"/>
    <w:rsid w:val="00742F72"/>
    <w:rsid w:val="007436F2"/>
    <w:rsid w:val="0074436D"/>
    <w:rsid w:val="007446DA"/>
    <w:rsid w:val="007462C2"/>
    <w:rsid w:val="00746772"/>
    <w:rsid w:val="00746951"/>
    <w:rsid w:val="00746F65"/>
    <w:rsid w:val="007472C3"/>
    <w:rsid w:val="0074791E"/>
    <w:rsid w:val="0075028E"/>
    <w:rsid w:val="00750948"/>
    <w:rsid w:val="0075115D"/>
    <w:rsid w:val="00751A33"/>
    <w:rsid w:val="00751F77"/>
    <w:rsid w:val="00753890"/>
    <w:rsid w:val="007555DF"/>
    <w:rsid w:val="007569DC"/>
    <w:rsid w:val="0075711E"/>
    <w:rsid w:val="007579F2"/>
    <w:rsid w:val="007602CB"/>
    <w:rsid w:val="00761434"/>
    <w:rsid w:val="00761FD5"/>
    <w:rsid w:val="007620C9"/>
    <w:rsid w:val="00762BB6"/>
    <w:rsid w:val="0076341D"/>
    <w:rsid w:val="0076446D"/>
    <w:rsid w:val="007647EF"/>
    <w:rsid w:val="0076542B"/>
    <w:rsid w:val="00765DD8"/>
    <w:rsid w:val="00766B33"/>
    <w:rsid w:val="00766D36"/>
    <w:rsid w:val="007671DC"/>
    <w:rsid w:val="00767607"/>
    <w:rsid w:val="00767ACD"/>
    <w:rsid w:val="00767C0D"/>
    <w:rsid w:val="00767E70"/>
    <w:rsid w:val="007705B5"/>
    <w:rsid w:val="00770B08"/>
    <w:rsid w:val="007720B8"/>
    <w:rsid w:val="0077270D"/>
    <w:rsid w:val="00773874"/>
    <w:rsid w:val="00774B47"/>
    <w:rsid w:val="00775D3B"/>
    <w:rsid w:val="0077615A"/>
    <w:rsid w:val="00777483"/>
    <w:rsid w:val="007806A0"/>
    <w:rsid w:val="00782346"/>
    <w:rsid w:val="007828DB"/>
    <w:rsid w:val="007838CD"/>
    <w:rsid w:val="007840F3"/>
    <w:rsid w:val="00784EC7"/>
    <w:rsid w:val="00785491"/>
    <w:rsid w:val="007858C0"/>
    <w:rsid w:val="00785C4E"/>
    <w:rsid w:val="0078679A"/>
    <w:rsid w:val="007871FE"/>
    <w:rsid w:val="007902AD"/>
    <w:rsid w:val="00790606"/>
    <w:rsid w:val="007908ED"/>
    <w:rsid w:val="00790F74"/>
    <w:rsid w:val="007912E8"/>
    <w:rsid w:val="00792288"/>
    <w:rsid w:val="00792447"/>
    <w:rsid w:val="007928C6"/>
    <w:rsid w:val="007929C0"/>
    <w:rsid w:val="00794F7C"/>
    <w:rsid w:val="007951F4"/>
    <w:rsid w:val="0079694C"/>
    <w:rsid w:val="00797AF9"/>
    <w:rsid w:val="00797FBD"/>
    <w:rsid w:val="007A0187"/>
    <w:rsid w:val="007A19AC"/>
    <w:rsid w:val="007A2640"/>
    <w:rsid w:val="007A268F"/>
    <w:rsid w:val="007A4A53"/>
    <w:rsid w:val="007A4C93"/>
    <w:rsid w:val="007A4E17"/>
    <w:rsid w:val="007A5AC6"/>
    <w:rsid w:val="007A6A01"/>
    <w:rsid w:val="007A7D0A"/>
    <w:rsid w:val="007A7F6D"/>
    <w:rsid w:val="007B0799"/>
    <w:rsid w:val="007B0FBD"/>
    <w:rsid w:val="007B1BAF"/>
    <w:rsid w:val="007B2393"/>
    <w:rsid w:val="007B2FE8"/>
    <w:rsid w:val="007B30DB"/>
    <w:rsid w:val="007B35F7"/>
    <w:rsid w:val="007B4DD5"/>
    <w:rsid w:val="007B4F72"/>
    <w:rsid w:val="007B5148"/>
    <w:rsid w:val="007B5A16"/>
    <w:rsid w:val="007B660D"/>
    <w:rsid w:val="007B7219"/>
    <w:rsid w:val="007C03FE"/>
    <w:rsid w:val="007C0E04"/>
    <w:rsid w:val="007C17D3"/>
    <w:rsid w:val="007C1E98"/>
    <w:rsid w:val="007C1FA2"/>
    <w:rsid w:val="007C2827"/>
    <w:rsid w:val="007C3A26"/>
    <w:rsid w:val="007C4032"/>
    <w:rsid w:val="007C4CE1"/>
    <w:rsid w:val="007C537A"/>
    <w:rsid w:val="007C57D1"/>
    <w:rsid w:val="007C6B3E"/>
    <w:rsid w:val="007C6F13"/>
    <w:rsid w:val="007C7130"/>
    <w:rsid w:val="007C74E5"/>
    <w:rsid w:val="007C7DAB"/>
    <w:rsid w:val="007C7F57"/>
    <w:rsid w:val="007D0348"/>
    <w:rsid w:val="007D0E43"/>
    <w:rsid w:val="007D13E7"/>
    <w:rsid w:val="007D153B"/>
    <w:rsid w:val="007D1E37"/>
    <w:rsid w:val="007D2256"/>
    <w:rsid w:val="007D358B"/>
    <w:rsid w:val="007D4624"/>
    <w:rsid w:val="007D563E"/>
    <w:rsid w:val="007D5A49"/>
    <w:rsid w:val="007D5FC1"/>
    <w:rsid w:val="007D6E81"/>
    <w:rsid w:val="007D6EB6"/>
    <w:rsid w:val="007D715A"/>
    <w:rsid w:val="007D789C"/>
    <w:rsid w:val="007E0161"/>
    <w:rsid w:val="007E08DB"/>
    <w:rsid w:val="007E0B17"/>
    <w:rsid w:val="007E0D90"/>
    <w:rsid w:val="007E0E9E"/>
    <w:rsid w:val="007E0EBF"/>
    <w:rsid w:val="007E12DC"/>
    <w:rsid w:val="007E1760"/>
    <w:rsid w:val="007E21FB"/>
    <w:rsid w:val="007E3B9D"/>
    <w:rsid w:val="007E420B"/>
    <w:rsid w:val="007E46BC"/>
    <w:rsid w:val="007E4932"/>
    <w:rsid w:val="007E4CAD"/>
    <w:rsid w:val="007E502C"/>
    <w:rsid w:val="007E516A"/>
    <w:rsid w:val="007E5BD7"/>
    <w:rsid w:val="007E6761"/>
    <w:rsid w:val="007E75F0"/>
    <w:rsid w:val="007E7968"/>
    <w:rsid w:val="007E7992"/>
    <w:rsid w:val="007E79C4"/>
    <w:rsid w:val="007F013A"/>
    <w:rsid w:val="007F0730"/>
    <w:rsid w:val="007F1D54"/>
    <w:rsid w:val="007F20A0"/>
    <w:rsid w:val="007F2D90"/>
    <w:rsid w:val="007F3D9B"/>
    <w:rsid w:val="007F3F6F"/>
    <w:rsid w:val="007F48A9"/>
    <w:rsid w:val="007F4A1F"/>
    <w:rsid w:val="007F4E28"/>
    <w:rsid w:val="007F4E6E"/>
    <w:rsid w:val="007F4F82"/>
    <w:rsid w:val="007F6D96"/>
    <w:rsid w:val="007F7CFA"/>
    <w:rsid w:val="00801D7A"/>
    <w:rsid w:val="008020F2"/>
    <w:rsid w:val="00802462"/>
    <w:rsid w:val="008036FC"/>
    <w:rsid w:val="00803F74"/>
    <w:rsid w:val="00804653"/>
    <w:rsid w:val="00804C48"/>
    <w:rsid w:val="0080505A"/>
    <w:rsid w:val="00805478"/>
    <w:rsid w:val="00806639"/>
    <w:rsid w:val="00806A84"/>
    <w:rsid w:val="008073A4"/>
    <w:rsid w:val="00807C6C"/>
    <w:rsid w:val="00807C7A"/>
    <w:rsid w:val="008115ED"/>
    <w:rsid w:val="00811A42"/>
    <w:rsid w:val="0081254B"/>
    <w:rsid w:val="008132BB"/>
    <w:rsid w:val="0081340B"/>
    <w:rsid w:val="00813788"/>
    <w:rsid w:val="00813F40"/>
    <w:rsid w:val="00814FED"/>
    <w:rsid w:val="00815822"/>
    <w:rsid w:val="00815B93"/>
    <w:rsid w:val="00815BA2"/>
    <w:rsid w:val="00816585"/>
    <w:rsid w:val="00817364"/>
    <w:rsid w:val="00817BB4"/>
    <w:rsid w:val="00817E4F"/>
    <w:rsid w:val="00820F5B"/>
    <w:rsid w:val="00821021"/>
    <w:rsid w:val="008214BB"/>
    <w:rsid w:val="00821B58"/>
    <w:rsid w:val="00822136"/>
    <w:rsid w:val="00822D4E"/>
    <w:rsid w:val="00822FBA"/>
    <w:rsid w:val="0082398C"/>
    <w:rsid w:val="00824FAD"/>
    <w:rsid w:val="00824FF1"/>
    <w:rsid w:val="00825196"/>
    <w:rsid w:val="00826F4C"/>
    <w:rsid w:val="00831573"/>
    <w:rsid w:val="00833C51"/>
    <w:rsid w:val="008349A6"/>
    <w:rsid w:val="00835271"/>
    <w:rsid w:val="00835679"/>
    <w:rsid w:val="008360DF"/>
    <w:rsid w:val="0083731C"/>
    <w:rsid w:val="008377DA"/>
    <w:rsid w:val="00837BD7"/>
    <w:rsid w:val="00840591"/>
    <w:rsid w:val="00841F21"/>
    <w:rsid w:val="00842991"/>
    <w:rsid w:val="008429B0"/>
    <w:rsid w:val="00843900"/>
    <w:rsid w:val="00844C5B"/>
    <w:rsid w:val="0084581F"/>
    <w:rsid w:val="00845898"/>
    <w:rsid w:val="00845A15"/>
    <w:rsid w:val="0084632F"/>
    <w:rsid w:val="00852528"/>
    <w:rsid w:val="008541F1"/>
    <w:rsid w:val="008543F7"/>
    <w:rsid w:val="008545DC"/>
    <w:rsid w:val="00854A7E"/>
    <w:rsid w:val="00854A98"/>
    <w:rsid w:val="00855209"/>
    <w:rsid w:val="00855B06"/>
    <w:rsid w:val="00856B95"/>
    <w:rsid w:val="00856D1A"/>
    <w:rsid w:val="00857D29"/>
    <w:rsid w:val="0086161C"/>
    <w:rsid w:val="0086225C"/>
    <w:rsid w:val="008629A8"/>
    <w:rsid w:val="00863225"/>
    <w:rsid w:val="00863ADA"/>
    <w:rsid w:val="00864BF6"/>
    <w:rsid w:val="00865266"/>
    <w:rsid w:val="00865BAA"/>
    <w:rsid w:val="008677CB"/>
    <w:rsid w:val="0087056E"/>
    <w:rsid w:val="00870CB6"/>
    <w:rsid w:val="00870CC5"/>
    <w:rsid w:val="00870DD7"/>
    <w:rsid w:val="008737AE"/>
    <w:rsid w:val="00873F17"/>
    <w:rsid w:val="00873FEA"/>
    <w:rsid w:val="0087419B"/>
    <w:rsid w:val="00874592"/>
    <w:rsid w:val="008751C1"/>
    <w:rsid w:val="00876C1B"/>
    <w:rsid w:val="00876E70"/>
    <w:rsid w:val="008804E1"/>
    <w:rsid w:val="00880E30"/>
    <w:rsid w:val="008815B6"/>
    <w:rsid w:val="008818F6"/>
    <w:rsid w:val="00881D45"/>
    <w:rsid w:val="008829F8"/>
    <w:rsid w:val="0088398E"/>
    <w:rsid w:val="00885182"/>
    <w:rsid w:val="0088647E"/>
    <w:rsid w:val="00887E02"/>
    <w:rsid w:val="00890382"/>
    <w:rsid w:val="0089046A"/>
    <w:rsid w:val="00891106"/>
    <w:rsid w:val="00892833"/>
    <w:rsid w:val="00893479"/>
    <w:rsid w:val="0089375D"/>
    <w:rsid w:val="008943CB"/>
    <w:rsid w:val="008946B9"/>
    <w:rsid w:val="008960A2"/>
    <w:rsid w:val="008979BC"/>
    <w:rsid w:val="008A056E"/>
    <w:rsid w:val="008A0882"/>
    <w:rsid w:val="008A10C1"/>
    <w:rsid w:val="008A181A"/>
    <w:rsid w:val="008A1C47"/>
    <w:rsid w:val="008A2289"/>
    <w:rsid w:val="008A3766"/>
    <w:rsid w:val="008A4F66"/>
    <w:rsid w:val="008A5290"/>
    <w:rsid w:val="008A593A"/>
    <w:rsid w:val="008A6A60"/>
    <w:rsid w:val="008A6C5A"/>
    <w:rsid w:val="008A6CCA"/>
    <w:rsid w:val="008B1B85"/>
    <w:rsid w:val="008B1B8C"/>
    <w:rsid w:val="008B25B1"/>
    <w:rsid w:val="008B2C59"/>
    <w:rsid w:val="008B2DF3"/>
    <w:rsid w:val="008B353B"/>
    <w:rsid w:val="008B376A"/>
    <w:rsid w:val="008B444E"/>
    <w:rsid w:val="008B569F"/>
    <w:rsid w:val="008B7220"/>
    <w:rsid w:val="008C0669"/>
    <w:rsid w:val="008C08A5"/>
    <w:rsid w:val="008C1DD7"/>
    <w:rsid w:val="008C26FA"/>
    <w:rsid w:val="008C36BB"/>
    <w:rsid w:val="008C4566"/>
    <w:rsid w:val="008C46B6"/>
    <w:rsid w:val="008C46C3"/>
    <w:rsid w:val="008C522A"/>
    <w:rsid w:val="008C5E71"/>
    <w:rsid w:val="008C64E3"/>
    <w:rsid w:val="008C6A8B"/>
    <w:rsid w:val="008C77F7"/>
    <w:rsid w:val="008D00EA"/>
    <w:rsid w:val="008D0D1E"/>
    <w:rsid w:val="008D1175"/>
    <w:rsid w:val="008D13C7"/>
    <w:rsid w:val="008D1627"/>
    <w:rsid w:val="008D1DA0"/>
    <w:rsid w:val="008D284E"/>
    <w:rsid w:val="008D4D90"/>
    <w:rsid w:val="008D4ED3"/>
    <w:rsid w:val="008D54BF"/>
    <w:rsid w:val="008D5DC6"/>
    <w:rsid w:val="008D6A11"/>
    <w:rsid w:val="008E0D4B"/>
    <w:rsid w:val="008E1A5C"/>
    <w:rsid w:val="008E1C27"/>
    <w:rsid w:val="008E1E54"/>
    <w:rsid w:val="008E2057"/>
    <w:rsid w:val="008E264D"/>
    <w:rsid w:val="008E2DA6"/>
    <w:rsid w:val="008E31EC"/>
    <w:rsid w:val="008E3512"/>
    <w:rsid w:val="008E3C88"/>
    <w:rsid w:val="008E4E17"/>
    <w:rsid w:val="008E5337"/>
    <w:rsid w:val="008E610D"/>
    <w:rsid w:val="008E6F8D"/>
    <w:rsid w:val="008E78F2"/>
    <w:rsid w:val="008E7B12"/>
    <w:rsid w:val="008F022C"/>
    <w:rsid w:val="008F2A60"/>
    <w:rsid w:val="008F310D"/>
    <w:rsid w:val="008F3888"/>
    <w:rsid w:val="008F3A90"/>
    <w:rsid w:val="008F3B22"/>
    <w:rsid w:val="008F43C7"/>
    <w:rsid w:val="008F4823"/>
    <w:rsid w:val="008F551B"/>
    <w:rsid w:val="008F606D"/>
    <w:rsid w:val="008F6597"/>
    <w:rsid w:val="008F7150"/>
    <w:rsid w:val="008F71CC"/>
    <w:rsid w:val="008F721C"/>
    <w:rsid w:val="008F757D"/>
    <w:rsid w:val="00900662"/>
    <w:rsid w:val="00901953"/>
    <w:rsid w:val="00901DF8"/>
    <w:rsid w:val="00902166"/>
    <w:rsid w:val="00902A0C"/>
    <w:rsid w:val="009040A1"/>
    <w:rsid w:val="009043AA"/>
    <w:rsid w:val="0090473B"/>
    <w:rsid w:val="0090487F"/>
    <w:rsid w:val="00905282"/>
    <w:rsid w:val="00905908"/>
    <w:rsid w:val="00906C96"/>
    <w:rsid w:val="009075A4"/>
    <w:rsid w:val="009101AF"/>
    <w:rsid w:val="00910400"/>
    <w:rsid w:val="00911808"/>
    <w:rsid w:val="00912F37"/>
    <w:rsid w:val="009131C8"/>
    <w:rsid w:val="009145FB"/>
    <w:rsid w:val="00914811"/>
    <w:rsid w:val="00915283"/>
    <w:rsid w:val="00915786"/>
    <w:rsid w:val="00917141"/>
    <w:rsid w:val="0091746C"/>
    <w:rsid w:val="00917D06"/>
    <w:rsid w:val="009207DB"/>
    <w:rsid w:val="00921879"/>
    <w:rsid w:val="00922024"/>
    <w:rsid w:val="009233CE"/>
    <w:rsid w:val="00923C3F"/>
    <w:rsid w:val="00924853"/>
    <w:rsid w:val="009252E0"/>
    <w:rsid w:val="00925501"/>
    <w:rsid w:val="00926982"/>
    <w:rsid w:val="00926B5A"/>
    <w:rsid w:val="00926D4C"/>
    <w:rsid w:val="009270C4"/>
    <w:rsid w:val="00931743"/>
    <w:rsid w:val="009325F7"/>
    <w:rsid w:val="00932BCF"/>
    <w:rsid w:val="00933396"/>
    <w:rsid w:val="00933761"/>
    <w:rsid w:val="00934D73"/>
    <w:rsid w:val="00935042"/>
    <w:rsid w:val="00936CC6"/>
    <w:rsid w:val="0093740F"/>
    <w:rsid w:val="00937B4A"/>
    <w:rsid w:val="00937BE9"/>
    <w:rsid w:val="00937C1D"/>
    <w:rsid w:val="00940804"/>
    <w:rsid w:val="00940E9B"/>
    <w:rsid w:val="00940FC3"/>
    <w:rsid w:val="009410B3"/>
    <w:rsid w:val="0094131D"/>
    <w:rsid w:val="0094166C"/>
    <w:rsid w:val="00942120"/>
    <w:rsid w:val="009425F7"/>
    <w:rsid w:val="00943827"/>
    <w:rsid w:val="00943BC0"/>
    <w:rsid w:val="00944BF0"/>
    <w:rsid w:val="00946136"/>
    <w:rsid w:val="00946CD9"/>
    <w:rsid w:val="00947046"/>
    <w:rsid w:val="00947A00"/>
    <w:rsid w:val="009505F4"/>
    <w:rsid w:val="00951216"/>
    <w:rsid w:val="0095279B"/>
    <w:rsid w:val="0095316C"/>
    <w:rsid w:val="00954282"/>
    <w:rsid w:val="00954427"/>
    <w:rsid w:val="009545B9"/>
    <w:rsid w:val="009564ED"/>
    <w:rsid w:val="00956CA2"/>
    <w:rsid w:val="00960385"/>
    <w:rsid w:val="0096079B"/>
    <w:rsid w:val="00960CA9"/>
    <w:rsid w:val="0096218D"/>
    <w:rsid w:val="00964509"/>
    <w:rsid w:val="00964525"/>
    <w:rsid w:val="0096501B"/>
    <w:rsid w:val="0096662B"/>
    <w:rsid w:val="009666AF"/>
    <w:rsid w:val="00967180"/>
    <w:rsid w:val="0096797D"/>
    <w:rsid w:val="00967B7F"/>
    <w:rsid w:val="00970704"/>
    <w:rsid w:val="00970B65"/>
    <w:rsid w:val="00971127"/>
    <w:rsid w:val="0097119E"/>
    <w:rsid w:val="00971EB0"/>
    <w:rsid w:val="0097272C"/>
    <w:rsid w:val="009734B8"/>
    <w:rsid w:val="00973514"/>
    <w:rsid w:val="009741E7"/>
    <w:rsid w:val="00975C75"/>
    <w:rsid w:val="00977506"/>
    <w:rsid w:val="0098177A"/>
    <w:rsid w:val="00982633"/>
    <w:rsid w:val="00983583"/>
    <w:rsid w:val="00983EFD"/>
    <w:rsid w:val="009855B0"/>
    <w:rsid w:val="009859A8"/>
    <w:rsid w:val="00985A7D"/>
    <w:rsid w:val="00986257"/>
    <w:rsid w:val="0098658A"/>
    <w:rsid w:val="00986861"/>
    <w:rsid w:val="00987CBC"/>
    <w:rsid w:val="00990E34"/>
    <w:rsid w:val="00991EB0"/>
    <w:rsid w:val="0099212B"/>
    <w:rsid w:val="0099245F"/>
    <w:rsid w:val="009928FA"/>
    <w:rsid w:val="009937B4"/>
    <w:rsid w:val="00994B5F"/>
    <w:rsid w:val="00995768"/>
    <w:rsid w:val="00996326"/>
    <w:rsid w:val="00996B7D"/>
    <w:rsid w:val="00996F95"/>
    <w:rsid w:val="00997745"/>
    <w:rsid w:val="00997EA5"/>
    <w:rsid w:val="009A07D5"/>
    <w:rsid w:val="009A1303"/>
    <w:rsid w:val="009A1BC9"/>
    <w:rsid w:val="009A1FE7"/>
    <w:rsid w:val="009A2967"/>
    <w:rsid w:val="009A36B7"/>
    <w:rsid w:val="009A3720"/>
    <w:rsid w:val="009A42CF"/>
    <w:rsid w:val="009A44E8"/>
    <w:rsid w:val="009A4A49"/>
    <w:rsid w:val="009A581E"/>
    <w:rsid w:val="009A679E"/>
    <w:rsid w:val="009B0460"/>
    <w:rsid w:val="009B13AF"/>
    <w:rsid w:val="009B1DA5"/>
    <w:rsid w:val="009B1E1D"/>
    <w:rsid w:val="009B2602"/>
    <w:rsid w:val="009B28FD"/>
    <w:rsid w:val="009B2AD6"/>
    <w:rsid w:val="009B3172"/>
    <w:rsid w:val="009B4575"/>
    <w:rsid w:val="009B461D"/>
    <w:rsid w:val="009B5594"/>
    <w:rsid w:val="009B59ED"/>
    <w:rsid w:val="009B6EE8"/>
    <w:rsid w:val="009B729E"/>
    <w:rsid w:val="009B7498"/>
    <w:rsid w:val="009C264B"/>
    <w:rsid w:val="009C34F1"/>
    <w:rsid w:val="009C381A"/>
    <w:rsid w:val="009C3B80"/>
    <w:rsid w:val="009C3D84"/>
    <w:rsid w:val="009C48C6"/>
    <w:rsid w:val="009C5D76"/>
    <w:rsid w:val="009C5DFB"/>
    <w:rsid w:val="009C5FDE"/>
    <w:rsid w:val="009C7B1D"/>
    <w:rsid w:val="009C7F10"/>
    <w:rsid w:val="009C7FF8"/>
    <w:rsid w:val="009D03F1"/>
    <w:rsid w:val="009D07CE"/>
    <w:rsid w:val="009D0921"/>
    <w:rsid w:val="009D101B"/>
    <w:rsid w:val="009D118E"/>
    <w:rsid w:val="009D1CF4"/>
    <w:rsid w:val="009D2A26"/>
    <w:rsid w:val="009D2C21"/>
    <w:rsid w:val="009D380F"/>
    <w:rsid w:val="009D57A7"/>
    <w:rsid w:val="009D6546"/>
    <w:rsid w:val="009D65EE"/>
    <w:rsid w:val="009D6FE7"/>
    <w:rsid w:val="009E04BB"/>
    <w:rsid w:val="009E0525"/>
    <w:rsid w:val="009E05A9"/>
    <w:rsid w:val="009E1370"/>
    <w:rsid w:val="009E20A6"/>
    <w:rsid w:val="009E233F"/>
    <w:rsid w:val="009E2F30"/>
    <w:rsid w:val="009E323A"/>
    <w:rsid w:val="009E328B"/>
    <w:rsid w:val="009E4130"/>
    <w:rsid w:val="009E6122"/>
    <w:rsid w:val="009E6DD0"/>
    <w:rsid w:val="009E6DEE"/>
    <w:rsid w:val="009E6E87"/>
    <w:rsid w:val="009E700C"/>
    <w:rsid w:val="009E7F79"/>
    <w:rsid w:val="009F082A"/>
    <w:rsid w:val="009F0BD9"/>
    <w:rsid w:val="009F12B4"/>
    <w:rsid w:val="009F33FA"/>
    <w:rsid w:val="009F347C"/>
    <w:rsid w:val="009F4D19"/>
    <w:rsid w:val="009F54D7"/>
    <w:rsid w:val="009F6619"/>
    <w:rsid w:val="009F68FF"/>
    <w:rsid w:val="009F6FEE"/>
    <w:rsid w:val="009F768E"/>
    <w:rsid w:val="009F7F88"/>
    <w:rsid w:val="00A00E77"/>
    <w:rsid w:val="00A01A4C"/>
    <w:rsid w:val="00A01C1F"/>
    <w:rsid w:val="00A01C98"/>
    <w:rsid w:val="00A04B6F"/>
    <w:rsid w:val="00A054CB"/>
    <w:rsid w:val="00A05E8F"/>
    <w:rsid w:val="00A0690B"/>
    <w:rsid w:val="00A06A54"/>
    <w:rsid w:val="00A0787D"/>
    <w:rsid w:val="00A10423"/>
    <w:rsid w:val="00A10498"/>
    <w:rsid w:val="00A10A6F"/>
    <w:rsid w:val="00A118B4"/>
    <w:rsid w:val="00A129C6"/>
    <w:rsid w:val="00A14BDD"/>
    <w:rsid w:val="00A15A52"/>
    <w:rsid w:val="00A16698"/>
    <w:rsid w:val="00A1706F"/>
    <w:rsid w:val="00A1721D"/>
    <w:rsid w:val="00A17791"/>
    <w:rsid w:val="00A17A42"/>
    <w:rsid w:val="00A17F01"/>
    <w:rsid w:val="00A20EDD"/>
    <w:rsid w:val="00A210DB"/>
    <w:rsid w:val="00A21667"/>
    <w:rsid w:val="00A220FB"/>
    <w:rsid w:val="00A223A5"/>
    <w:rsid w:val="00A22536"/>
    <w:rsid w:val="00A244A1"/>
    <w:rsid w:val="00A24BC5"/>
    <w:rsid w:val="00A2504C"/>
    <w:rsid w:val="00A26E5D"/>
    <w:rsid w:val="00A276A6"/>
    <w:rsid w:val="00A276FF"/>
    <w:rsid w:val="00A30C82"/>
    <w:rsid w:val="00A31A01"/>
    <w:rsid w:val="00A32211"/>
    <w:rsid w:val="00A3287C"/>
    <w:rsid w:val="00A33758"/>
    <w:rsid w:val="00A33FDC"/>
    <w:rsid w:val="00A34114"/>
    <w:rsid w:val="00A34C81"/>
    <w:rsid w:val="00A34E19"/>
    <w:rsid w:val="00A34FF0"/>
    <w:rsid w:val="00A35165"/>
    <w:rsid w:val="00A35BE0"/>
    <w:rsid w:val="00A35C90"/>
    <w:rsid w:val="00A362F9"/>
    <w:rsid w:val="00A36F35"/>
    <w:rsid w:val="00A373CC"/>
    <w:rsid w:val="00A3760C"/>
    <w:rsid w:val="00A37704"/>
    <w:rsid w:val="00A37E59"/>
    <w:rsid w:val="00A40108"/>
    <w:rsid w:val="00A40D0C"/>
    <w:rsid w:val="00A41302"/>
    <w:rsid w:val="00A41C59"/>
    <w:rsid w:val="00A4350C"/>
    <w:rsid w:val="00A43644"/>
    <w:rsid w:val="00A4383B"/>
    <w:rsid w:val="00A44BB6"/>
    <w:rsid w:val="00A45734"/>
    <w:rsid w:val="00A45B90"/>
    <w:rsid w:val="00A462F7"/>
    <w:rsid w:val="00A46659"/>
    <w:rsid w:val="00A46F1A"/>
    <w:rsid w:val="00A47029"/>
    <w:rsid w:val="00A477C3"/>
    <w:rsid w:val="00A50299"/>
    <w:rsid w:val="00A5067A"/>
    <w:rsid w:val="00A533D5"/>
    <w:rsid w:val="00A53A31"/>
    <w:rsid w:val="00A53C68"/>
    <w:rsid w:val="00A5510E"/>
    <w:rsid w:val="00A559F4"/>
    <w:rsid w:val="00A56308"/>
    <w:rsid w:val="00A56547"/>
    <w:rsid w:val="00A57079"/>
    <w:rsid w:val="00A570E0"/>
    <w:rsid w:val="00A606A0"/>
    <w:rsid w:val="00A6077B"/>
    <w:rsid w:val="00A60A60"/>
    <w:rsid w:val="00A61263"/>
    <w:rsid w:val="00A614AD"/>
    <w:rsid w:val="00A61886"/>
    <w:rsid w:val="00A61E92"/>
    <w:rsid w:val="00A62757"/>
    <w:rsid w:val="00A639E0"/>
    <w:rsid w:val="00A63D89"/>
    <w:rsid w:val="00A64393"/>
    <w:rsid w:val="00A6526E"/>
    <w:rsid w:val="00A65DA4"/>
    <w:rsid w:val="00A66E04"/>
    <w:rsid w:val="00A67194"/>
    <w:rsid w:val="00A671B3"/>
    <w:rsid w:val="00A676F1"/>
    <w:rsid w:val="00A67968"/>
    <w:rsid w:val="00A7040E"/>
    <w:rsid w:val="00A70D5A"/>
    <w:rsid w:val="00A734F2"/>
    <w:rsid w:val="00A73DEE"/>
    <w:rsid w:val="00A74678"/>
    <w:rsid w:val="00A75AEA"/>
    <w:rsid w:val="00A75EA3"/>
    <w:rsid w:val="00A76063"/>
    <w:rsid w:val="00A767EB"/>
    <w:rsid w:val="00A771BF"/>
    <w:rsid w:val="00A77299"/>
    <w:rsid w:val="00A803C1"/>
    <w:rsid w:val="00A805F1"/>
    <w:rsid w:val="00A815B6"/>
    <w:rsid w:val="00A81953"/>
    <w:rsid w:val="00A827C9"/>
    <w:rsid w:val="00A83BF3"/>
    <w:rsid w:val="00A85B31"/>
    <w:rsid w:val="00A860FD"/>
    <w:rsid w:val="00A861F3"/>
    <w:rsid w:val="00A86C48"/>
    <w:rsid w:val="00A90DB1"/>
    <w:rsid w:val="00A9147B"/>
    <w:rsid w:val="00A9177F"/>
    <w:rsid w:val="00A91BA8"/>
    <w:rsid w:val="00A91EF1"/>
    <w:rsid w:val="00A91EF2"/>
    <w:rsid w:val="00A9325C"/>
    <w:rsid w:val="00A93680"/>
    <w:rsid w:val="00A9430B"/>
    <w:rsid w:val="00A94483"/>
    <w:rsid w:val="00A94529"/>
    <w:rsid w:val="00A94C42"/>
    <w:rsid w:val="00A959CA"/>
    <w:rsid w:val="00A96FC6"/>
    <w:rsid w:val="00A97A16"/>
    <w:rsid w:val="00A97B61"/>
    <w:rsid w:val="00A97C2E"/>
    <w:rsid w:val="00A97CE3"/>
    <w:rsid w:val="00A97E0C"/>
    <w:rsid w:val="00AA01DA"/>
    <w:rsid w:val="00AA11BA"/>
    <w:rsid w:val="00AA182B"/>
    <w:rsid w:val="00AA2394"/>
    <w:rsid w:val="00AA2D62"/>
    <w:rsid w:val="00AA2E2C"/>
    <w:rsid w:val="00AA2E90"/>
    <w:rsid w:val="00AA3077"/>
    <w:rsid w:val="00AA375B"/>
    <w:rsid w:val="00AA38AF"/>
    <w:rsid w:val="00AA41DE"/>
    <w:rsid w:val="00AA450C"/>
    <w:rsid w:val="00AA4B62"/>
    <w:rsid w:val="00AA571A"/>
    <w:rsid w:val="00AA5EB3"/>
    <w:rsid w:val="00AA5F1A"/>
    <w:rsid w:val="00AA6916"/>
    <w:rsid w:val="00AB022F"/>
    <w:rsid w:val="00AB110E"/>
    <w:rsid w:val="00AB11CF"/>
    <w:rsid w:val="00AB1287"/>
    <w:rsid w:val="00AB1CE8"/>
    <w:rsid w:val="00AB2470"/>
    <w:rsid w:val="00AB3FCD"/>
    <w:rsid w:val="00AB4506"/>
    <w:rsid w:val="00AB5190"/>
    <w:rsid w:val="00AB5513"/>
    <w:rsid w:val="00AB6DFC"/>
    <w:rsid w:val="00AB6E0F"/>
    <w:rsid w:val="00AB7354"/>
    <w:rsid w:val="00AB75DD"/>
    <w:rsid w:val="00AB7C46"/>
    <w:rsid w:val="00AC071C"/>
    <w:rsid w:val="00AC2076"/>
    <w:rsid w:val="00AC3637"/>
    <w:rsid w:val="00AC3D4F"/>
    <w:rsid w:val="00AC3DB7"/>
    <w:rsid w:val="00AC4699"/>
    <w:rsid w:val="00AC57CD"/>
    <w:rsid w:val="00AC59DF"/>
    <w:rsid w:val="00AC72C7"/>
    <w:rsid w:val="00AC7899"/>
    <w:rsid w:val="00AD13D6"/>
    <w:rsid w:val="00AD2C42"/>
    <w:rsid w:val="00AD4087"/>
    <w:rsid w:val="00AD5BEE"/>
    <w:rsid w:val="00AD6466"/>
    <w:rsid w:val="00AD6A21"/>
    <w:rsid w:val="00AD6BE0"/>
    <w:rsid w:val="00AD752F"/>
    <w:rsid w:val="00AE05DD"/>
    <w:rsid w:val="00AE0C8D"/>
    <w:rsid w:val="00AE0E2A"/>
    <w:rsid w:val="00AE1131"/>
    <w:rsid w:val="00AE1411"/>
    <w:rsid w:val="00AE2330"/>
    <w:rsid w:val="00AE27D6"/>
    <w:rsid w:val="00AE55BC"/>
    <w:rsid w:val="00AE5A99"/>
    <w:rsid w:val="00AE62E7"/>
    <w:rsid w:val="00AE686D"/>
    <w:rsid w:val="00AE6B27"/>
    <w:rsid w:val="00AE77AC"/>
    <w:rsid w:val="00AF0DC0"/>
    <w:rsid w:val="00AF0F96"/>
    <w:rsid w:val="00AF17E4"/>
    <w:rsid w:val="00AF21D7"/>
    <w:rsid w:val="00AF282C"/>
    <w:rsid w:val="00AF28EB"/>
    <w:rsid w:val="00AF31BA"/>
    <w:rsid w:val="00AF36B6"/>
    <w:rsid w:val="00AF4803"/>
    <w:rsid w:val="00AF4D10"/>
    <w:rsid w:val="00AF58CB"/>
    <w:rsid w:val="00AF7217"/>
    <w:rsid w:val="00AF726F"/>
    <w:rsid w:val="00AF783F"/>
    <w:rsid w:val="00B00506"/>
    <w:rsid w:val="00B00673"/>
    <w:rsid w:val="00B00ED5"/>
    <w:rsid w:val="00B02315"/>
    <w:rsid w:val="00B02BF0"/>
    <w:rsid w:val="00B034DD"/>
    <w:rsid w:val="00B03AB4"/>
    <w:rsid w:val="00B04C3C"/>
    <w:rsid w:val="00B05B91"/>
    <w:rsid w:val="00B06ED4"/>
    <w:rsid w:val="00B077CC"/>
    <w:rsid w:val="00B07A28"/>
    <w:rsid w:val="00B1123F"/>
    <w:rsid w:val="00B13397"/>
    <w:rsid w:val="00B1400D"/>
    <w:rsid w:val="00B144AA"/>
    <w:rsid w:val="00B147C9"/>
    <w:rsid w:val="00B15BB2"/>
    <w:rsid w:val="00B1666B"/>
    <w:rsid w:val="00B16EBE"/>
    <w:rsid w:val="00B20655"/>
    <w:rsid w:val="00B21443"/>
    <w:rsid w:val="00B21D0E"/>
    <w:rsid w:val="00B22C57"/>
    <w:rsid w:val="00B23C76"/>
    <w:rsid w:val="00B23EEE"/>
    <w:rsid w:val="00B25E1E"/>
    <w:rsid w:val="00B27298"/>
    <w:rsid w:val="00B27384"/>
    <w:rsid w:val="00B276E4"/>
    <w:rsid w:val="00B27A6D"/>
    <w:rsid w:val="00B309F9"/>
    <w:rsid w:val="00B30DAD"/>
    <w:rsid w:val="00B31593"/>
    <w:rsid w:val="00B31782"/>
    <w:rsid w:val="00B34709"/>
    <w:rsid w:val="00B34F80"/>
    <w:rsid w:val="00B36928"/>
    <w:rsid w:val="00B37293"/>
    <w:rsid w:val="00B4076A"/>
    <w:rsid w:val="00B413EB"/>
    <w:rsid w:val="00B426B6"/>
    <w:rsid w:val="00B42C20"/>
    <w:rsid w:val="00B43AD9"/>
    <w:rsid w:val="00B443D5"/>
    <w:rsid w:val="00B44482"/>
    <w:rsid w:val="00B45012"/>
    <w:rsid w:val="00B450D9"/>
    <w:rsid w:val="00B45D36"/>
    <w:rsid w:val="00B46FF2"/>
    <w:rsid w:val="00B539EB"/>
    <w:rsid w:val="00B54B76"/>
    <w:rsid w:val="00B55AE3"/>
    <w:rsid w:val="00B560E5"/>
    <w:rsid w:val="00B576E1"/>
    <w:rsid w:val="00B6088D"/>
    <w:rsid w:val="00B608F1"/>
    <w:rsid w:val="00B60A96"/>
    <w:rsid w:val="00B60F79"/>
    <w:rsid w:val="00B617E2"/>
    <w:rsid w:val="00B6252C"/>
    <w:rsid w:val="00B62653"/>
    <w:rsid w:val="00B62CBE"/>
    <w:rsid w:val="00B62EFD"/>
    <w:rsid w:val="00B63999"/>
    <w:rsid w:val="00B63B4A"/>
    <w:rsid w:val="00B63DA0"/>
    <w:rsid w:val="00B64F8D"/>
    <w:rsid w:val="00B6533C"/>
    <w:rsid w:val="00B6731A"/>
    <w:rsid w:val="00B673CA"/>
    <w:rsid w:val="00B678A4"/>
    <w:rsid w:val="00B70316"/>
    <w:rsid w:val="00B70903"/>
    <w:rsid w:val="00B70930"/>
    <w:rsid w:val="00B7108D"/>
    <w:rsid w:val="00B7117A"/>
    <w:rsid w:val="00B7128A"/>
    <w:rsid w:val="00B713F0"/>
    <w:rsid w:val="00B71BD7"/>
    <w:rsid w:val="00B72053"/>
    <w:rsid w:val="00B73D1E"/>
    <w:rsid w:val="00B74530"/>
    <w:rsid w:val="00B74E4D"/>
    <w:rsid w:val="00B75D3F"/>
    <w:rsid w:val="00B75D4C"/>
    <w:rsid w:val="00B76F2C"/>
    <w:rsid w:val="00B774EE"/>
    <w:rsid w:val="00B77723"/>
    <w:rsid w:val="00B77863"/>
    <w:rsid w:val="00B80008"/>
    <w:rsid w:val="00B801AC"/>
    <w:rsid w:val="00B809E2"/>
    <w:rsid w:val="00B815D3"/>
    <w:rsid w:val="00B8270D"/>
    <w:rsid w:val="00B82B33"/>
    <w:rsid w:val="00B8384C"/>
    <w:rsid w:val="00B84030"/>
    <w:rsid w:val="00B843A1"/>
    <w:rsid w:val="00B854BE"/>
    <w:rsid w:val="00B85704"/>
    <w:rsid w:val="00B868D6"/>
    <w:rsid w:val="00B86965"/>
    <w:rsid w:val="00B86D0A"/>
    <w:rsid w:val="00B8748B"/>
    <w:rsid w:val="00B87B3F"/>
    <w:rsid w:val="00B91818"/>
    <w:rsid w:val="00B922D6"/>
    <w:rsid w:val="00B93E18"/>
    <w:rsid w:val="00B93E2C"/>
    <w:rsid w:val="00B94BE5"/>
    <w:rsid w:val="00B9556B"/>
    <w:rsid w:val="00B96069"/>
    <w:rsid w:val="00B968F3"/>
    <w:rsid w:val="00BA0A76"/>
    <w:rsid w:val="00BA11A9"/>
    <w:rsid w:val="00BA30C2"/>
    <w:rsid w:val="00BA31C6"/>
    <w:rsid w:val="00BA4B0A"/>
    <w:rsid w:val="00BA699B"/>
    <w:rsid w:val="00BA76AB"/>
    <w:rsid w:val="00BB0225"/>
    <w:rsid w:val="00BB0423"/>
    <w:rsid w:val="00BB0F8B"/>
    <w:rsid w:val="00BB1D73"/>
    <w:rsid w:val="00BB2CE4"/>
    <w:rsid w:val="00BB3C27"/>
    <w:rsid w:val="00BB4008"/>
    <w:rsid w:val="00BB42D2"/>
    <w:rsid w:val="00BB5449"/>
    <w:rsid w:val="00BB5C00"/>
    <w:rsid w:val="00BB6ECF"/>
    <w:rsid w:val="00BB74B3"/>
    <w:rsid w:val="00BB777A"/>
    <w:rsid w:val="00BB7E0B"/>
    <w:rsid w:val="00BC06FE"/>
    <w:rsid w:val="00BC1221"/>
    <w:rsid w:val="00BC1765"/>
    <w:rsid w:val="00BC1FD6"/>
    <w:rsid w:val="00BC25D7"/>
    <w:rsid w:val="00BC320C"/>
    <w:rsid w:val="00BC43C2"/>
    <w:rsid w:val="00BC464D"/>
    <w:rsid w:val="00BC4883"/>
    <w:rsid w:val="00BC5454"/>
    <w:rsid w:val="00BC5F7F"/>
    <w:rsid w:val="00BC72BA"/>
    <w:rsid w:val="00BC74EE"/>
    <w:rsid w:val="00BC777E"/>
    <w:rsid w:val="00BC7E23"/>
    <w:rsid w:val="00BD219A"/>
    <w:rsid w:val="00BD2C42"/>
    <w:rsid w:val="00BD2EF9"/>
    <w:rsid w:val="00BD2F1D"/>
    <w:rsid w:val="00BD3997"/>
    <w:rsid w:val="00BD5D7E"/>
    <w:rsid w:val="00BD62E5"/>
    <w:rsid w:val="00BD68BB"/>
    <w:rsid w:val="00BD6EF9"/>
    <w:rsid w:val="00BD754C"/>
    <w:rsid w:val="00BD78C6"/>
    <w:rsid w:val="00BD7F54"/>
    <w:rsid w:val="00BE01E1"/>
    <w:rsid w:val="00BE0849"/>
    <w:rsid w:val="00BE15DA"/>
    <w:rsid w:val="00BE19AD"/>
    <w:rsid w:val="00BE1B2F"/>
    <w:rsid w:val="00BE369C"/>
    <w:rsid w:val="00BE4FBC"/>
    <w:rsid w:val="00BE5338"/>
    <w:rsid w:val="00BE5A5B"/>
    <w:rsid w:val="00BE5B7C"/>
    <w:rsid w:val="00BE61C4"/>
    <w:rsid w:val="00BE72FD"/>
    <w:rsid w:val="00BE733C"/>
    <w:rsid w:val="00BE73D4"/>
    <w:rsid w:val="00BE791F"/>
    <w:rsid w:val="00BE7AF2"/>
    <w:rsid w:val="00BF1EF8"/>
    <w:rsid w:val="00BF25A9"/>
    <w:rsid w:val="00BF2DE5"/>
    <w:rsid w:val="00BF39B7"/>
    <w:rsid w:val="00BF486D"/>
    <w:rsid w:val="00BF4C49"/>
    <w:rsid w:val="00BF4D1A"/>
    <w:rsid w:val="00BF5168"/>
    <w:rsid w:val="00BF5A5B"/>
    <w:rsid w:val="00BF6338"/>
    <w:rsid w:val="00BF6D56"/>
    <w:rsid w:val="00BF7CE1"/>
    <w:rsid w:val="00C00D03"/>
    <w:rsid w:val="00C00D9C"/>
    <w:rsid w:val="00C01DFC"/>
    <w:rsid w:val="00C02513"/>
    <w:rsid w:val="00C0270E"/>
    <w:rsid w:val="00C0282B"/>
    <w:rsid w:val="00C044E4"/>
    <w:rsid w:val="00C047A4"/>
    <w:rsid w:val="00C05013"/>
    <w:rsid w:val="00C053B5"/>
    <w:rsid w:val="00C067E0"/>
    <w:rsid w:val="00C071C7"/>
    <w:rsid w:val="00C0773D"/>
    <w:rsid w:val="00C1025D"/>
    <w:rsid w:val="00C110C7"/>
    <w:rsid w:val="00C11733"/>
    <w:rsid w:val="00C12CC1"/>
    <w:rsid w:val="00C12D93"/>
    <w:rsid w:val="00C12EE2"/>
    <w:rsid w:val="00C13103"/>
    <w:rsid w:val="00C139DE"/>
    <w:rsid w:val="00C13B55"/>
    <w:rsid w:val="00C13CB8"/>
    <w:rsid w:val="00C14CD4"/>
    <w:rsid w:val="00C151CE"/>
    <w:rsid w:val="00C15BBB"/>
    <w:rsid w:val="00C16439"/>
    <w:rsid w:val="00C2092E"/>
    <w:rsid w:val="00C20F37"/>
    <w:rsid w:val="00C211AE"/>
    <w:rsid w:val="00C213FD"/>
    <w:rsid w:val="00C21C42"/>
    <w:rsid w:val="00C23520"/>
    <w:rsid w:val="00C23FE1"/>
    <w:rsid w:val="00C24AE3"/>
    <w:rsid w:val="00C25082"/>
    <w:rsid w:val="00C2570A"/>
    <w:rsid w:val="00C25B91"/>
    <w:rsid w:val="00C265D4"/>
    <w:rsid w:val="00C26DC6"/>
    <w:rsid w:val="00C27447"/>
    <w:rsid w:val="00C275FC"/>
    <w:rsid w:val="00C2772B"/>
    <w:rsid w:val="00C30615"/>
    <w:rsid w:val="00C30715"/>
    <w:rsid w:val="00C30D84"/>
    <w:rsid w:val="00C3131B"/>
    <w:rsid w:val="00C317A7"/>
    <w:rsid w:val="00C33383"/>
    <w:rsid w:val="00C33614"/>
    <w:rsid w:val="00C33AEC"/>
    <w:rsid w:val="00C35493"/>
    <w:rsid w:val="00C35C8E"/>
    <w:rsid w:val="00C361E9"/>
    <w:rsid w:val="00C3671E"/>
    <w:rsid w:val="00C36B1D"/>
    <w:rsid w:val="00C3742C"/>
    <w:rsid w:val="00C410D2"/>
    <w:rsid w:val="00C41363"/>
    <w:rsid w:val="00C42209"/>
    <w:rsid w:val="00C429D5"/>
    <w:rsid w:val="00C42A78"/>
    <w:rsid w:val="00C42DC9"/>
    <w:rsid w:val="00C437D6"/>
    <w:rsid w:val="00C45897"/>
    <w:rsid w:val="00C4601D"/>
    <w:rsid w:val="00C470F6"/>
    <w:rsid w:val="00C47B1C"/>
    <w:rsid w:val="00C504EF"/>
    <w:rsid w:val="00C509D2"/>
    <w:rsid w:val="00C51CCA"/>
    <w:rsid w:val="00C53131"/>
    <w:rsid w:val="00C54473"/>
    <w:rsid w:val="00C55945"/>
    <w:rsid w:val="00C55D94"/>
    <w:rsid w:val="00C55DCB"/>
    <w:rsid w:val="00C55FBB"/>
    <w:rsid w:val="00C57582"/>
    <w:rsid w:val="00C608EF"/>
    <w:rsid w:val="00C60E9C"/>
    <w:rsid w:val="00C612BB"/>
    <w:rsid w:val="00C612BF"/>
    <w:rsid w:val="00C61338"/>
    <w:rsid w:val="00C6207E"/>
    <w:rsid w:val="00C6324D"/>
    <w:rsid w:val="00C64773"/>
    <w:rsid w:val="00C64FAE"/>
    <w:rsid w:val="00C653CC"/>
    <w:rsid w:val="00C66344"/>
    <w:rsid w:val="00C66EDC"/>
    <w:rsid w:val="00C674F7"/>
    <w:rsid w:val="00C67D05"/>
    <w:rsid w:val="00C714EE"/>
    <w:rsid w:val="00C731E1"/>
    <w:rsid w:val="00C7335A"/>
    <w:rsid w:val="00C741A7"/>
    <w:rsid w:val="00C745D7"/>
    <w:rsid w:val="00C74F7C"/>
    <w:rsid w:val="00C75F87"/>
    <w:rsid w:val="00C7702A"/>
    <w:rsid w:val="00C773C8"/>
    <w:rsid w:val="00C806B8"/>
    <w:rsid w:val="00C80A25"/>
    <w:rsid w:val="00C80E5E"/>
    <w:rsid w:val="00C82930"/>
    <w:rsid w:val="00C82C9E"/>
    <w:rsid w:val="00C83945"/>
    <w:rsid w:val="00C841BF"/>
    <w:rsid w:val="00C84BF3"/>
    <w:rsid w:val="00C8531E"/>
    <w:rsid w:val="00C85560"/>
    <w:rsid w:val="00C85A50"/>
    <w:rsid w:val="00C85B6C"/>
    <w:rsid w:val="00C85ECE"/>
    <w:rsid w:val="00C85F1C"/>
    <w:rsid w:val="00C86BFE"/>
    <w:rsid w:val="00C86D8A"/>
    <w:rsid w:val="00C86FF3"/>
    <w:rsid w:val="00C87E2F"/>
    <w:rsid w:val="00C900B0"/>
    <w:rsid w:val="00C9080B"/>
    <w:rsid w:val="00C90EA7"/>
    <w:rsid w:val="00C90EF9"/>
    <w:rsid w:val="00C9146C"/>
    <w:rsid w:val="00C9164E"/>
    <w:rsid w:val="00C92931"/>
    <w:rsid w:val="00C92949"/>
    <w:rsid w:val="00C9312F"/>
    <w:rsid w:val="00C93A97"/>
    <w:rsid w:val="00C94499"/>
    <w:rsid w:val="00C9491A"/>
    <w:rsid w:val="00C94BE9"/>
    <w:rsid w:val="00C95DD7"/>
    <w:rsid w:val="00C95ED6"/>
    <w:rsid w:val="00C965B2"/>
    <w:rsid w:val="00C96BBB"/>
    <w:rsid w:val="00CA04D5"/>
    <w:rsid w:val="00CA1AC8"/>
    <w:rsid w:val="00CA1FB0"/>
    <w:rsid w:val="00CA24D1"/>
    <w:rsid w:val="00CA381C"/>
    <w:rsid w:val="00CA39CC"/>
    <w:rsid w:val="00CA403D"/>
    <w:rsid w:val="00CA4743"/>
    <w:rsid w:val="00CA4818"/>
    <w:rsid w:val="00CA57FE"/>
    <w:rsid w:val="00CA5FF6"/>
    <w:rsid w:val="00CA6F32"/>
    <w:rsid w:val="00CA735E"/>
    <w:rsid w:val="00CA7BEE"/>
    <w:rsid w:val="00CB01B1"/>
    <w:rsid w:val="00CB0B34"/>
    <w:rsid w:val="00CB0EE0"/>
    <w:rsid w:val="00CB138F"/>
    <w:rsid w:val="00CB13CF"/>
    <w:rsid w:val="00CB13E0"/>
    <w:rsid w:val="00CB2343"/>
    <w:rsid w:val="00CB2F02"/>
    <w:rsid w:val="00CB387F"/>
    <w:rsid w:val="00CB44CC"/>
    <w:rsid w:val="00CB4506"/>
    <w:rsid w:val="00CB4522"/>
    <w:rsid w:val="00CB4741"/>
    <w:rsid w:val="00CB7145"/>
    <w:rsid w:val="00CB76B8"/>
    <w:rsid w:val="00CB7703"/>
    <w:rsid w:val="00CB77EE"/>
    <w:rsid w:val="00CB783B"/>
    <w:rsid w:val="00CB7AE2"/>
    <w:rsid w:val="00CC1C1E"/>
    <w:rsid w:val="00CC2611"/>
    <w:rsid w:val="00CC2803"/>
    <w:rsid w:val="00CC2813"/>
    <w:rsid w:val="00CC295E"/>
    <w:rsid w:val="00CC48D6"/>
    <w:rsid w:val="00CC544C"/>
    <w:rsid w:val="00CC559E"/>
    <w:rsid w:val="00CC707F"/>
    <w:rsid w:val="00CC708A"/>
    <w:rsid w:val="00CC79CD"/>
    <w:rsid w:val="00CD0E5B"/>
    <w:rsid w:val="00CD1841"/>
    <w:rsid w:val="00CD1BF1"/>
    <w:rsid w:val="00CD27CD"/>
    <w:rsid w:val="00CD34A5"/>
    <w:rsid w:val="00CD42CF"/>
    <w:rsid w:val="00CD4BF8"/>
    <w:rsid w:val="00CD52CD"/>
    <w:rsid w:val="00CD58F5"/>
    <w:rsid w:val="00CD644F"/>
    <w:rsid w:val="00CD6525"/>
    <w:rsid w:val="00CD652E"/>
    <w:rsid w:val="00CD68DD"/>
    <w:rsid w:val="00CD6A0A"/>
    <w:rsid w:val="00CD6EF2"/>
    <w:rsid w:val="00CD786B"/>
    <w:rsid w:val="00CD7B8B"/>
    <w:rsid w:val="00CE01F8"/>
    <w:rsid w:val="00CE08BB"/>
    <w:rsid w:val="00CE24B9"/>
    <w:rsid w:val="00CE2ADD"/>
    <w:rsid w:val="00CE2B04"/>
    <w:rsid w:val="00CE2C27"/>
    <w:rsid w:val="00CE3E8B"/>
    <w:rsid w:val="00CE47DC"/>
    <w:rsid w:val="00CE5298"/>
    <w:rsid w:val="00CE5322"/>
    <w:rsid w:val="00CE58EB"/>
    <w:rsid w:val="00CE69E4"/>
    <w:rsid w:val="00CF0041"/>
    <w:rsid w:val="00CF02F9"/>
    <w:rsid w:val="00CF0D4B"/>
    <w:rsid w:val="00CF2605"/>
    <w:rsid w:val="00CF2804"/>
    <w:rsid w:val="00CF35B2"/>
    <w:rsid w:val="00CF38D4"/>
    <w:rsid w:val="00CF3D4C"/>
    <w:rsid w:val="00CF5C07"/>
    <w:rsid w:val="00CF5CFC"/>
    <w:rsid w:val="00D00655"/>
    <w:rsid w:val="00D00AF5"/>
    <w:rsid w:val="00D00E75"/>
    <w:rsid w:val="00D01917"/>
    <w:rsid w:val="00D01EBC"/>
    <w:rsid w:val="00D03DE1"/>
    <w:rsid w:val="00D03EDD"/>
    <w:rsid w:val="00D03EEF"/>
    <w:rsid w:val="00D03F69"/>
    <w:rsid w:val="00D04F08"/>
    <w:rsid w:val="00D050BB"/>
    <w:rsid w:val="00D07087"/>
    <w:rsid w:val="00D07A1B"/>
    <w:rsid w:val="00D07ACD"/>
    <w:rsid w:val="00D07E2A"/>
    <w:rsid w:val="00D07EA6"/>
    <w:rsid w:val="00D11582"/>
    <w:rsid w:val="00D11666"/>
    <w:rsid w:val="00D11D07"/>
    <w:rsid w:val="00D124D3"/>
    <w:rsid w:val="00D138F2"/>
    <w:rsid w:val="00D1489F"/>
    <w:rsid w:val="00D1491B"/>
    <w:rsid w:val="00D159F8"/>
    <w:rsid w:val="00D15DD2"/>
    <w:rsid w:val="00D16E55"/>
    <w:rsid w:val="00D16ECF"/>
    <w:rsid w:val="00D17C04"/>
    <w:rsid w:val="00D17CFB"/>
    <w:rsid w:val="00D17E3E"/>
    <w:rsid w:val="00D2046D"/>
    <w:rsid w:val="00D21820"/>
    <w:rsid w:val="00D2255E"/>
    <w:rsid w:val="00D226B9"/>
    <w:rsid w:val="00D23437"/>
    <w:rsid w:val="00D2372E"/>
    <w:rsid w:val="00D2373E"/>
    <w:rsid w:val="00D239F4"/>
    <w:rsid w:val="00D2459A"/>
    <w:rsid w:val="00D248D9"/>
    <w:rsid w:val="00D24CD7"/>
    <w:rsid w:val="00D259E0"/>
    <w:rsid w:val="00D27131"/>
    <w:rsid w:val="00D31AD0"/>
    <w:rsid w:val="00D31B9E"/>
    <w:rsid w:val="00D31BBD"/>
    <w:rsid w:val="00D32658"/>
    <w:rsid w:val="00D34E83"/>
    <w:rsid w:val="00D35189"/>
    <w:rsid w:val="00D352D0"/>
    <w:rsid w:val="00D3701D"/>
    <w:rsid w:val="00D37354"/>
    <w:rsid w:val="00D404B1"/>
    <w:rsid w:val="00D40C33"/>
    <w:rsid w:val="00D4104F"/>
    <w:rsid w:val="00D4313E"/>
    <w:rsid w:val="00D43988"/>
    <w:rsid w:val="00D4707E"/>
    <w:rsid w:val="00D47238"/>
    <w:rsid w:val="00D4762C"/>
    <w:rsid w:val="00D47867"/>
    <w:rsid w:val="00D47EAF"/>
    <w:rsid w:val="00D50B2A"/>
    <w:rsid w:val="00D5132A"/>
    <w:rsid w:val="00D51517"/>
    <w:rsid w:val="00D52D7F"/>
    <w:rsid w:val="00D53034"/>
    <w:rsid w:val="00D53103"/>
    <w:rsid w:val="00D541A8"/>
    <w:rsid w:val="00D54E13"/>
    <w:rsid w:val="00D54F79"/>
    <w:rsid w:val="00D55A05"/>
    <w:rsid w:val="00D562A8"/>
    <w:rsid w:val="00D56D22"/>
    <w:rsid w:val="00D5724E"/>
    <w:rsid w:val="00D60210"/>
    <w:rsid w:val="00D61A9F"/>
    <w:rsid w:val="00D61EDD"/>
    <w:rsid w:val="00D628AF"/>
    <w:rsid w:val="00D6294B"/>
    <w:rsid w:val="00D62A4A"/>
    <w:rsid w:val="00D654F8"/>
    <w:rsid w:val="00D66697"/>
    <w:rsid w:val="00D676B3"/>
    <w:rsid w:val="00D6787A"/>
    <w:rsid w:val="00D67ACA"/>
    <w:rsid w:val="00D67F69"/>
    <w:rsid w:val="00D71103"/>
    <w:rsid w:val="00D71213"/>
    <w:rsid w:val="00D713E4"/>
    <w:rsid w:val="00D72FAD"/>
    <w:rsid w:val="00D7314F"/>
    <w:rsid w:val="00D73259"/>
    <w:rsid w:val="00D73AF1"/>
    <w:rsid w:val="00D73E64"/>
    <w:rsid w:val="00D74504"/>
    <w:rsid w:val="00D74639"/>
    <w:rsid w:val="00D74926"/>
    <w:rsid w:val="00D74E38"/>
    <w:rsid w:val="00D75449"/>
    <w:rsid w:val="00D770D5"/>
    <w:rsid w:val="00D809B7"/>
    <w:rsid w:val="00D812A9"/>
    <w:rsid w:val="00D813B0"/>
    <w:rsid w:val="00D8141C"/>
    <w:rsid w:val="00D81A57"/>
    <w:rsid w:val="00D82664"/>
    <w:rsid w:val="00D8269A"/>
    <w:rsid w:val="00D82962"/>
    <w:rsid w:val="00D82A4C"/>
    <w:rsid w:val="00D83A65"/>
    <w:rsid w:val="00D846CF"/>
    <w:rsid w:val="00D85683"/>
    <w:rsid w:val="00D86320"/>
    <w:rsid w:val="00D86D21"/>
    <w:rsid w:val="00D86D72"/>
    <w:rsid w:val="00D8772B"/>
    <w:rsid w:val="00D90114"/>
    <w:rsid w:val="00D90679"/>
    <w:rsid w:val="00D90F8A"/>
    <w:rsid w:val="00D91621"/>
    <w:rsid w:val="00D9180B"/>
    <w:rsid w:val="00D925BC"/>
    <w:rsid w:val="00D929B7"/>
    <w:rsid w:val="00D9330D"/>
    <w:rsid w:val="00D94EB6"/>
    <w:rsid w:val="00D95111"/>
    <w:rsid w:val="00D954B6"/>
    <w:rsid w:val="00D9553A"/>
    <w:rsid w:val="00D958D2"/>
    <w:rsid w:val="00D95A4C"/>
    <w:rsid w:val="00D95C5C"/>
    <w:rsid w:val="00D9623F"/>
    <w:rsid w:val="00D964B0"/>
    <w:rsid w:val="00D96B91"/>
    <w:rsid w:val="00D9740F"/>
    <w:rsid w:val="00D97545"/>
    <w:rsid w:val="00D9770C"/>
    <w:rsid w:val="00D9787B"/>
    <w:rsid w:val="00D97BA1"/>
    <w:rsid w:val="00D97F28"/>
    <w:rsid w:val="00DA09FC"/>
    <w:rsid w:val="00DA28A7"/>
    <w:rsid w:val="00DA2BB0"/>
    <w:rsid w:val="00DA2BCC"/>
    <w:rsid w:val="00DA2FCA"/>
    <w:rsid w:val="00DA348E"/>
    <w:rsid w:val="00DA373A"/>
    <w:rsid w:val="00DA5162"/>
    <w:rsid w:val="00DA59D2"/>
    <w:rsid w:val="00DA5A9C"/>
    <w:rsid w:val="00DA5F60"/>
    <w:rsid w:val="00DA6E9D"/>
    <w:rsid w:val="00DA6FF3"/>
    <w:rsid w:val="00DB1595"/>
    <w:rsid w:val="00DB297D"/>
    <w:rsid w:val="00DB2B7E"/>
    <w:rsid w:val="00DB2BA7"/>
    <w:rsid w:val="00DB2F6C"/>
    <w:rsid w:val="00DB345D"/>
    <w:rsid w:val="00DB53A2"/>
    <w:rsid w:val="00DB5719"/>
    <w:rsid w:val="00DB624E"/>
    <w:rsid w:val="00DB7C6B"/>
    <w:rsid w:val="00DC02EA"/>
    <w:rsid w:val="00DC0860"/>
    <w:rsid w:val="00DC1309"/>
    <w:rsid w:val="00DC16F9"/>
    <w:rsid w:val="00DC1CA6"/>
    <w:rsid w:val="00DC20CF"/>
    <w:rsid w:val="00DC27E3"/>
    <w:rsid w:val="00DC3472"/>
    <w:rsid w:val="00DC4B44"/>
    <w:rsid w:val="00DC5C38"/>
    <w:rsid w:val="00DC5C39"/>
    <w:rsid w:val="00DC61A3"/>
    <w:rsid w:val="00DC6EB6"/>
    <w:rsid w:val="00DC7E69"/>
    <w:rsid w:val="00DD0467"/>
    <w:rsid w:val="00DD15EF"/>
    <w:rsid w:val="00DD1738"/>
    <w:rsid w:val="00DD190E"/>
    <w:rsid w:val="00DD2547"/>
    <w:rsid w:val="00DD3316"/>
    <w:rsid w:val="00DD3E02"/>
    <w:rsid w:val="00DD5654"/>
    <w:rsid w:val="00DD594C"/>
    <w:rsid w:val="00DD5E57"/>
    <w:rsid w:val="00DD5F57"/>
    <w:rsid w:val="00DD60E3"/>
    <w:rsid w:val="00DD7F9B"/>
    <w:rsid w:val="00DE3385"/>
    <w:rsid w:val="00DE3503"/>
    <w:rsid w:val="00DE3CA1"/>
    <w:rsid w:val="00DE4007"/>
    <w:rsid w:val="00DE4638"/>
    <w:rsid w:val="00DE4651"/>
    <w:rsid w:val="00DE534A"/>
    <w:rsid w:val="00DE55FD"/>
    <w:rsid w:val="00DE7265"/>
    <w:rsid w:val="00DE7525"/>
    <w:rsid w:val="00DF2247"/>
    <w:rsid w:val="00DF2353"/>
    <w:rsid w:val="00DF3AB2"/>
    <w:rsid w:val="00DF5784"/>
    <w:rsid w:val="00DF58B8"/>
    <w:rsid w:val="00DF5FF8"/>
    <w:rsid w:val="00DF6EE5"/>
    <w:rsid w:val="00E0077B"/>
    <w:rsid w:val="00E00898"/>
    <w:rsid w:val="00E029E1"/>
    <w:rsid w:val="00E03634"/>
    <w:rsid w:val="00E050B6"/>
    <w:rsid w:val="00E0557E"/>
    <w:rsid w:val="00E05D14"/>
    <w:rsid w:val="00E0628E"/>
    <w:rsid w:val="00E06460"/>
    <w:rsid w:val="00E073CF"/>
    <w:rsid w:val="00E074A3"/>
    <w:rsid w:val="00E07997"/>
    <w:rsid w:val="00E07A6A"/>
    <w:rsid w:val="00E07EB8"/>
    <w:rsid w:val="00E10388"/>
    <w:rsid w:val="00E107B2"/>
    <w:rsid w:val="00E10EB1"/>
    <w:rsid w:val="00E114CF"/>
    <w:rsid w:val="00E115E0"/>
    <w:rsid w:val="00E1200C"/>
    <w:rsid w:val="00E120E4"/>
    <w:rsid w:val="00E12928"/>
    <w:rsid w:val="00E13636"/>
    <w:rsid w:val="00E13D02"/>
    <w:rsid w:val="00E149F4"/>
    <w:rsid w:val="00E17ECD"/>
    <w:rsid w:val="00E17F53"/>
    <w:rsid w:val="00E20354"/>
    <w:rsid w:val="00E207DB"/>
    <w:rsid w:val="00E21F5A"/>
    <w:rsid w:val="00E234C7"/>
    <w:rsid w:val="00E24EC1"/>
    <w:rsid w:val="00E25124"/>
    <w:rsid w:val="00E25A4F"/>
    <w:rsid w:val="00E261F8"/>
    <w:rsid w:val="00E26B25"/>
    <w:rsid w:val="00E26BD5"/>
    <w:rsid w:val="00E26E25"/>
    <w:rsid w:val="00E27DF3"/>
    <w:rsid w:val="00E3110A"/>
    <w:rsid w:val="00E319CB"/>
    <w:rsid w:val="00E319DC"/>
    <w:rsid w:val="00E324AD"/>
    <w:rsid w:val="00E3342D"/>
    <w:rsid w:val="00E33683"/>
    <w:rsid w:val="00E33734"/>
    <w:rsid w:val="00E34AA9"/>
    <w:rsid w:val="00E368F3"/>
    <w:rsid w:val="00E36A4F"/>
    <w:rsid w:val="00E37D5F"/>
    <w:rsid w:val="00E40942"/>
    <w:rsid w:val="00E4125E"/>
    <w:rsid w:val="00E41E22"/>
    <w:rsid w:val="00E4239D"/>
    <w:rsid w:val="00E429A0"/>
    <w:rsid w:val="00E42D39"/>
    <w:rsid w:val="00E4337B"/>
    <w:rsid w:val="00E44CD4"/>
    <w:rsid w:val="00E45B91"/>
    <w:rsid w:val="00E46804"/>
    <w:rsid w:val="00E46C57"/>
    <w:rsid w:val="00E470BF"/>
    <w:rsid w:val="00E47A7B"/>
    <w:rsid w:val="00E513EE"/>
    <w:rsid w:val="00E5176B"/>
    <w:rsid w:val="00E51813"/>
    <w:rsid w:val="00E527C9"/>
    <w:rsid w:val="00E528BA"/>
    <w:rsid w:val="00E53497"/>
    <w:rsid w:val="00E534DF"/>
    <w:rsid w:val="00E537A9"/>
    <w:rsid w:val="00E55A50"/>
    <w:rsid w:val="00E565C2"/>
    <w:rsid w:val="00E56D70"/>
    <w:rsid w:val="00E56E1E"/>
    <w:rsid w:val="00E60269"/>
    <w:rsid w:val="00E60887"/>
    <w:rsid w:val="00E60C32"/>
    <w:rsid w:val="00E61582"/>
    <w:rsid w:val="00E61619"/>
    <w:rsid w:val="00E61E25"/>
    <w:rsid w:val="00E6272B"/>
    <w:rsid w:val="00E627F6"/>
    <w:rsid w:val="00E62CF0"/>
    <w:rsid w:val="00E62F1A"/>
    <w:rsid w:val="00E63F1D"/>
    <w:rsid w:val="00E63FA5"/>
    <w:rsid w:val="00E646D5"/>
    <w:rsid w:val="00E64964"/>
    <w:rsid w:val="00E64EEE"/>
    <w:rsid w:val="00E66F49"/>
    <w:rsid w:val="00E67F4F"/>
    <w:rsid w:val="00E721A9"/>
    <w:rsid w:val="00E72ABF"/>
    <w:rsid w:val="00E73549"/>
    <w:rsid w:val="00E74861"/>
    <w:rsid w:val="00E748DD"/>
    <w:rsid w:val="00E74EC9"/>
    <w:rsid w:val="00E750A5"/>
    <w:rsid w:val="00E75733"/>
    <w:rsid w:val="00E75A9D"/>
    <w:rsid w:val="00E76B19"/>
    <w:rsid w:val="00E80CF7"/>
    <w:rsid w:val="00E81B8E"/>
    <w:rsid w:val="00E81ED7"/>
    <w:rsid w:val="00E82FC0"/>
    <w:rsid w:val="00E8369B"/>
    <w:rsid w:val="00E8377F"/>
    <w:rsid w:val="00E83850"/>
    <w:rsid w:val="00E85244"/>
    <w:rsid w:val="00E86159"/>
    <w:rsid w:val="00E86741"/>
    <w:rsid w:val="00E87AE4"/>
    <w:rsid w:val="00E90C1F"/>
    <w:rsid w:val="00E9124A"/>
    <w:rsid w:val="00E91A8F"/>
    <w:rsid w:val="00E9222C"/>
    <w:rsid w:val="00E92AA5"/>
    <w:rsid w:val="00E9314A"/>
    <w:rsid w:val="00E9558B"/>
    <w:rsid w:val="00E95D1B"/>
    <w:rsid w:val="00E9735C"/>
    <w:rsid w:val="00EA234B"/>
    <w:rsid w:val="00EA274B"/>
    <w:rsid w:val="00EA2EFA"/>
    <w:rsid w:val="00EA3184"/>
    <w:rsid w:val="00EA3732"/>
    <w:rsid w:val="00EA3CDD"/>
    <w:rsid w:val="00EA415C"/>
    <w:rsid w:val="00EA5028"/>
    <w:rsid w:val="00EA50D6"/>
    <w:rsid w:val="00EA5714"/>
    <w:rsid w:val="00EA60EF"/>
    <w:rsid w:val="00EA6A30"/>
    <w:rsid w:val="00EA6A41"/>
    <w:rsid w:val="00EA7662"/>
    <w:rsid w:val="00EA7CC3"/>
    <w:rsid w:val="00EB016F"/>
    <w:rsid w:val="00EB04F4"/>
    <w:rsid w:val="00EB1EAC"/>
    <w:rsid w:val="00EB2216"/>
    <w:rsid w:val="00EB27D1"/>
    <w:rsid w:val="00EB33F4"/>
    <w:rsid w:val="00EB3B9C"/>
    <w:rsid w:val="00EB3CFC"/>
    <w:rsid w:val="00EB4C04"/>
    <w:rsid w:val="00EB55AF"/>
    <w:rsid w:val="00EB57BD"/>
    <w:rsid w:val="00EB623E"/>
    <w:rsid w:val="00EB6502"/>
    <w:rsid w:val="00EB7D9C"/>
    <w:rsid w:val="00EC1076"/>
    <w:rsid w:val="00EC1406"/>
    <w:rsid w:val="00EC1526"/>
    <w:rsid w:val="00EC16C0"/>
    <w:rsid w:val="00EC23F3"/>
    <w:rsid w:val="00EC2677"/>
    <w:rsid w:val="00EC2AB5"/>
    <w:rsid w:val="00EC36F2"/>
    <w:rsid w:val="00EC46CC"/>
    <w:rsid w:val="00EC4856"/>
    <w:rsid w:val="00EC4B79"/>
    <w:rsid w:val="00EC4F33"/>
    <w:rsid w:val="00EC5115"/>
    <w:rsid w:val="00EC7E82"/>
    <w:rsid w:val="00EC7E91"/>
    <w:rsid w:val="00ED0B81"/>
    <w:rsid w:val="00ED166B"/>
    <w:rsid w:val="00ED1A64"/>
    <w:rsid w:val="00ED28DD"/>
    <w:rsid w:val="00ED2E31"/>
    <w:rsid w:val="00ED3133"/>
    <w:rsid w:val="00ED35A0"/>
    <w:rsid w:val="00ED43A6"/>
    <w:rsid w:val="00ED69B3"/>
    <w:rsid w:val="00ED6FB9"/>
    <w:rsid w:val="00ED7371"/>
    <w:rsid w:val="00ED7E2F"/>
    <w:rsid w:val="00ED7EA8"/>
    <w:rsid w:val="00EE02A3"/>
    <w:rsid w:val="00EE0650"/>
    <w:rsid w:val="00EE1313"/>
    <w:rsid w:val="00EE1F82"/>
    <w:rsid w:val="00EE2126"/>
    <w:rsid w:val="00EE3363"/>
    <w:rsid w:val="00EE4C7E"/>
    <w:rsid w:val="00EE556D"/>
    <w:rsid w:val="00EE6184"/>
    <w:rsid w:val="00EE641E"/>
    <w:rsid w:val="00EE7A2C"/>
    <w:rsid w:val="00EF09D3"/>
    <w:rsid w:val="00EF108A"/>
    <w:rsid w:val="00EF1240"/>
    <w:rsid w:val="00EF1F75"/>
    <w:rsid w:val="00EF2240"/>
    <w:rsid w:val="00EF3069"/>
    <w:rsid w:val="00EF31A5"/>
    <w:rsid w:val="00EF3700"/>
    <w:rsid w:val="00EF3EB5"/>
    <w:rsid w:val="00EF4939"/>
    <w:rsid w:val="00EF57B9"/>
    <w:rsid w:val="00EF57DF"/>
    <w:rsid w:val="00EF6556"/>
    <w:rsid w:val="00EF71DF"/>
    <w:rsid w:val="00F0252E"/>
    <w:rsid w:val="00F02BAD"/>
    <w:rsid w:val="00F0319D"/>
    <w:rsid w:val="00F07063"/>
    <w:rsid w:val="00F11635"/>
    <w:rsid w:val="00F12D86"/>
    <w:rsid w:val="00F131AA"/>
    <w:rsid w:val="00F131FD"/>
    <w:rsid w:val="00F1350B"/>
    <w:rsid w:val="00F13B05"/>
    <w:rsid w:val="00F13B5A"/>
    <w:rsid w:val="00F13EA5"/>
    <w:rsid w:val="00F13EED"/>
    <w:rsid w:val="00F14263"/>
    <w:rsid w:val="00F15AF2"/>
    <w:rsid w:val="00F1673D"/>
    <w:rsid w:val="00F21290"/>
    <w:rsid w:val="00F220D3"/>
    <w:rsid w:val="00F2299F"/>
    <w:rsid w:val="00F231F0"/>
    <w:rsid w:val="00F24787"/>
    <w:rsid w:val="00F24D39"/>
    <w:rsid w:val="00F251E2"/>
    <w:rsid w:val="00F2586D"/>
    <w:rsid w:val="00F259A5"/>
    <w:rsid w:val="00F25EF1"/>
    <w:rsid w:val="00F263E5"/>
    <w:rsid w:val="00F301E0"/>
    <w:rsid w:val="00F307CC"/>
    <w:rsid w:val="00F30BBA"/>
    <w:rsid w:val="00F31630"/>
    <w:rsid w:val="00F31A8F"/>
    <w:rsid w:val="00F320C0"/>
    <w:rsid w:val="00F32D63"/>
    <w:rsid w:val="00F34012"/>
    <w:rsid w:val="00F343A3"/>
    <w:rsid w:val="00F34C99"/>
    <w:rsid w:val="00F3531A"/>
    <w:rsid w:val="00F36350"/>
    <w:rsid w:val="00F36E97"/>
    <w:rsid w:val="00F4173F"/>
    <w:rsid w:val="00F41DB0"/>
    <w:rsid w:val="00F42D15"/>
    <w:rsid w:val="00F439BB"/>
    <w:rsid w:val="00F43CEB"/>
    <w:rsid w:val="00F449D7"/>
    <w:rsid w:val="00F461AE"/>
    <w:rsid w:val="00F467F9"/>
    <w:rsid w:val="00F4703C"/>
    <w:rsid w:val="00F50A96"/>
    <w:rsid w:val="00F5184D"/>
    <w:rsid w:val="00F51B88"/>
    <w:rsid w:val="00F51CB2"/>
    <w:rsid w:val="00F526F5"/>
    <w:rsid w:val="00F534D3"/>
    <w:rsid w:val="00F5421D"/>
    <w:rsid w:val="00F55022"/>
    <w:rsid w:val="00F55184"/>
    <w:rsid w:val="00F560C9"/>
    <w:rsid w:val="00F56A91"/>
    <w:rsid w:val="00F5704A"/>
    <w:rsid w:val="00F57FA7"/>
    <w:rsid w:val="00F60DF3"/>
    <w:rsid w:val="00F62057"/>
    <w:rsid w:val="00F6264B"/>
    <w:rsid w:val="00F62837"/>
    <w:rsid w:val="00F6290C"/>
    <w:rsid w:val="00F64433"/>
    <w:rsid w:val="00F646C8"/>
    <w:rsid w:val="00F66721"/>
    <w:rsid w:val="00F6773C"/>
    <w:rsid w:val="00F67988"/>
    <w:rsid w:val="00F67C01"/>
    <w:rsid w:val="00F70909"/>
    <w:rsid w:val="00F70D66"/>
    <w:rsid w:val="00F7114B"/>
    <w:rsid w:val="00F714BE"/>
    <w:rsid w:val="00F721EF"/>
    <w:rsid w:val="00F72AAF"/>
    <w:rsid w:val="00F72AC2"/>
    <w:rsid w:val="00F72F17"/>
    <w:rsid w:val="00F73923"/>
    <w:rsid w:val="00F73D91"/>
    <w:rsid w:val="00F74168"/>
    <w:rsid w:val="00F742F1"/>
    <w:rsid w:val="00F7470C"/>
    <w:rsid w:val="00F74942"/>
    <w:rsid w:val="00F76037"/>
    <w:rsid w:val="00F76171"/>
    <w:rsid w:val="00F761E0"/>
    <w:rsid w:val="00F76832"/>
    <w:rsid w:val="00F76B53"/>
    <w:rsid w:val="00F7761D"/>
    <w:rsid w:val="00F77724"/>
    <w:rsid w:val="00F77839"/>
    <w:rsid w:val="00F77AF3"/>
    <w:rsid w:val="00F77CE6"/>
    <w:rsid w:val="00F77DD1"/>
    <w:rsid w:val="00F77E8E"/>
    <w:rsid w:val="00F8023F"/>
    <w:rsid w:val="00F82021"/>
    <w:rsid w:val="00F82080"/>
    <w:rsid w:val="00F82566"/>
    <w:rsid w:val="00F82A7B"/>
    <w:rsid w:val="00F8476C"/>
    <w:rsid w:val="00F850A1"/>
    <w:rsid w:val="00F855B8"/>
    <w:rsid w:val="00F85CBD"/>
    <w:rsid w:val="00F86B84"/>
    <w:rsid w:val="00F905B8"/>
    <w:rsid w:val="00F91164"/>
    <w:rsid w:val="00F91D47"/>
    <w:rsid w:val="00F92B0F"/>
    <w:rsid w:val="00F9354E"/>
    <w:rsid w:val="00F941FC"/>
    <w:rsid w:val="00F96D24"/>
    <w:rsid w:val="00F97093"/>
    <w:rsid w:val="00F97FF3"/>
    <w:rsid w:val="00FA0091"/>
    <w:rsid w:val="00FA0426"/>
    <w:rsid w:val="00FA1AA9"/>
    <w:rsid w:val="00FA2C8B"/>
    <w:rsid w:val="00FA2CE3"/>
    <w:rsid w:val="00FA3E0C"/>
    <w:rsid w:val="00FA4F9B"/>
    <w:rsid w:val="00FA4FBA"/>
    <w:rsid w:val="00FA5580"/>
    <w:rsid w:val="00FA655A"/>
    <w:rsid w:val="00FA69C3"/>
    <w:rsid w:val="00FA6AAC"/>
    <w:rsid w:val="00FA6CBC"/>
    <w:rsid w:val="00FA6D48"/>
    <w:rsid w:val="00FA7027"/>
    <w:rsid w:val="00FA7206"/>
    <w:rsid w:val="00FA7EC0"/>
    <w:rsid w:val="00FB1729"/>
    <w:rsid w:val="00FB2DB8"/>
    <w:rsid w:val="00FB30A2"/>
    <w:rsid w:val="00FB429B"/>
    <w:rsid w:val="00FB6970"/>
    <w:rsid w:val="00FC072E"/>
    <w:rsid w:val="00FC3497"/>
    <w:rsid w:val="00FC4323"/>
    <w:rsid w:val="00FC51AE"/>
    <w:rsid w:val="00FC550A"/>
    <w:rsid w:val="00FC551E"/>
    <w:rsid w:val="00FC5790"/>
    <w:rsid w:val="00FC6275"/>
    <w:rsid w:val="00FD039F"/>
    <w:rsid w:val="00FD053B"/>
    <w:rsid w:val="00FD0AF0"/>
    <w:rsid w:val="00FD1234"/>
    <w:rsid w:val="00FD18F3"/>
    <w:rsid w:val="00FD194F"/>
    <w:rsid w:val="00FD1995"/>
    <w:rsid w:val="00FD2333"/>
    <w:rsid w:val="00FD25E1"/>
    <w:rsid w:val="00FD31B5"/>
    <w:rsid w:val="00FD5688"/>
    <w:rsid w:val="00FD5725"/>
    <w:rsid w:val="00FD5E1C"/>
    <w:rsid w:val="00FD5F36"/>
    <w:rsid w:val="00FD7F6B"/>
    <w:rsid w:val="00FE0948"/>
    <w:rsid w:val="00FE0E33"/>
    <w:rsid w:val="00FE1880"/>
    <w:rsid w:val="00FE2B7B"/>
    <w:rsid w:val="00FE3256"/>
    <w:rsid w:val="00FE3B9B"/>
    <w:rsid w:val="00FE3F8E"/>
    <w:rsid w:val="00FE47ED"/>
    <w:rsid w:val="00FE5101"/>
    <w:rsid w:val="00FE61DC"/>
    <w:rsid w:val="00FE67D0"/>
    <w:rsid w:val="00FE689B"/>
    <w:rsid w:val="00FE79CE"/>
    <w:rsid w:val="00FF02D0"/>
    <w:rsid w:val="00FF081E"/>
    <w:rsid w:val="00FF1406"/>
    <w:rsid w:val="00FF145C"/>
    <w:rsid w:val="00FF26EE"/>
    <w:rsid w:val="00FF28EC"/>
    <w:rsid w:val="00FF47A3"/>
    <w:rsid w:val="00FF4B3F"/>
    <w:rsid w:val="00FF4B43"/>
    <w:rsid w:val="00FF574F"/>
    <w:rsid w:val="00FF6146"/>
    <w:rsid w:val="00FF7956"/>
    <w:rsid w:val="018F4DD0"/>
    <w:rsid w:val="02034A18"/>
    <w:rsid w:val="02A37291"/>
    <w:rsid w:val="03613039"/>
    <w:rsid w:val="036202D4"/>
    <w:rsid w:val="038A236C"/>
    <w:rsid w:val="03D07714"/>
    <w:rsid w:val="03EC6FAB"/>
    <w:rsid w:val="04B94B88"/>
    <w:rsid w:val="05262D76"/>
    <w:rsid w:val="056F462F"/>
    <w:rsid w:val="05B45F67"/>
    <w:rsid w:val="06270849"/>
    <w:rsid w:val="06552DE0"/>
    <w:rsid w:val="067D4F9E"/>
    <w:rsid w:val="06D71535"/>
    <w:rsid w:val="07515FD1"/>
    <w:rsid w:val="07991A83"/>
    <w:rsid w:val="087B2F8F"/>
    <w:rsid w:val="08CA370B"/>
    <w:rsid w:val="09F07824"/>
    <w:rsid w:val="0A0932C7"/>
    <w:rsid w:val="0A506477"/>
    <w:rsid w:val="0A8A4C86"/>
    <w:rsid w:val="0B547001"/>
    <w:rsid w:val="0C8D726E"/>
    <w:rsid w:val="0CE05750"/>
    <w:rsid w:val="0D1077DD"/>
    <w:rsid w:val="0EA162F1"/>
    <w:rsid w:val="0F4F55B5"/>
    <w:rsid w:val="0F523385"/>
    <w:rsid w:val="10907D14"/>
    <w:rsid w:val="110658A6"/>
    <w:rsid w:val="114A387E"/>
    <w:rsid w:val="116D2364"/>
    <w:rsid w:val="11A5684D"/>
    <w:rsid w:val="120E7E09"/>
    <w:rsid w:val="123D4E07"/>
    <w:rsid w:val="12562AA0"/>
    <w:rsid w:val="128C51F9"/>
    <w:rsid w:val="1478143A"/>
    <w:rsid w:val="15525935"/>
    <w:rsid w:val="156B7273"/>
    <w:rsid w:val="159B504D"/>
    <w:rsid w:val="167F40D4"/>
    <w:rsid w:val="169B65A7"/>
    <w:rsid w:val="16CB4F50"/>
    <w:rsid w:val="17853B61"/>
    <w:rsid w:val="17A710C7"/>
    <w:rsid w:val="17CB121D"/>
    <w:rsid w:val="183A1C0C"/>
    <w:rsid w:val="18B310B8"/>
    <w:rsid w:val="199E5A21"/>
    <w:rsid w:val="19D2715C"/>
    <w:rsid w:val="1B942A09"/>
    <w:rsid w:val="1BB61013"/>
    <w:rsid w:val="1BCE272A"/>
    <w:rsid w:val="1BDF7E16"/>
    <w:rsid w:val="1BEC2078"/>
    <w:rsid w:val="1C4C11C0"/>
    <w:rsid w:val="1D035455"/>
    <w:rsid w:val="1D2B1804"/>
    <w:rsid w:val="1D2D465B"/>
    <w:rsid w:val="1E0A297A"/>
    <w:rsid w:val="1E3950C5"/>
    <w:rsid w:val="1E4808ED"/>
    <w:rsid w:val="20913CBA"/>
    <w:rsid w:val="20DB5404"/>
    <w:rsid w:val="210118AD"/>
    <w:rsid w:val="25B12A01"/>
    <w:rsid w:val="25C31279"/>
    <w:rsid w:val="26101C34"/>
    <w:rsid w:val="27034AD1"/>
    <w:rsid w:val="271A62F4"/>
    <w:rsid w:val="271F54EB"/>
    <w:rsid w:val="280C250B"/>
    <w:rsid w:val="28CF69C0"/>
    <w:rsid w:val="28DD6E23"/>
    <w:rsid w:val="298D24BC"/>
    <w:rsid w:val="2A4F0167"/>
    <w:rsid w:val="2AD91221"/>
    <w:rsid w:val="2ADE7026"/>
    <w:rsid w:val="2B057693"/>
    <w:rsid w:val="2CDD21EA"/>
    <w:rsid w:val="2D8206C8"/>
    <w:rsid w:val="2EEC40A0"/>
    <w:rsid w:val="2FD74BE1"/>
    <w:rsid w:val="307410C2"/>
    <w:rsid w:val="308D0856"/>
    <w:rsid w:val="31121EF5"/>
    <w:rsid w:val="31EF7704"/>
    <w:rsid w:val="33305B83"/>
    <w:rsid w:val="338B6C3E"/>
    <w:rsid w:val="34C17D58"/>
    <w:rsid w:val="35AF558A"/>
    <w:rsid w:val="39AF0A37"/>
    <w:rsid w:val="39E14173"/>
    <w:rsid w:val="3A660185"/>
    <w:rsid w:val="3BDD4E74"/>
    <w:rsid w:val="3C7E4EDD"/>
    <w:rsid w:val="3D303E99"/>
    <w:rsid w:val="3E824310"/>
    <w:rsid w:val="3EB53DB8"/>
    <w:rsid w:val="3F2415CF"/>
    <w:rsid w:val="405C2C22"/>
    <w:rsid w:val="40B97C69"/>
    <w:rsid w:val="41103AB3"/>
    <w:rsid w:val="411A2A57"/>
    <w:rsid w:val="4185067D"/>
    <w:rsid w:val="41A2641C"/>
    <w:rsid w:val="426828AB"/>
    <w:rsid w:val="42A11473"/>
    <w:rsid w:val="42D24149"/>
    <w:rsid w:val="42E51F94"/>
    <w:rsid w:val="442B55BA"/>
    <w:rsid w:val="44502E5B"/>
    <w:rsid w:val="44C558EE"/>
    <w:rsid w:val="45882058"/>
    <w:rsid w:val="45E17242"/>
    <w:rsid w:val="46CF4FC2"/>
    <w:rsid w:val="46EC288D"/>
    <w:rsid w:val="47B6656B"/>
    <w:rsid w:val="48C170B3"/>
    <w:rsid w:val="49574862"/>
    <w:rsid w:val="4A5406A2"/>
    <w:rsid w:val="4AA13BA6"/>
    <w:rsid w:val="4AC519F6"/>
    <w:rsid w:val="4B110B90"/>
    <w:rsid w:val="4B2E0642"/>
    <w:rsid w:val="4D4B1098"/>
    <w:rsid w:val="4D624570"/>
    <w:rsid w:val="4E444B87"/>
    <w:rsid w:val="4E5E5755"/>
    <w:rsid w:val="4FB34218"/>
    <w:rsid w:val="53083749"/>
    <w:rsid w:val="5355411C"/>
    <w:rsid w:val="53590226"/>
    <w:rsid w:val="54803EF9"/>
    <w:rsid w:val="55FD133D"/>
    <w:rsid w:val="561244DD"/>
    <w:rsid w:val="562B3B54"/>
    <w:rsid w:val="563A27AE"/>
    <w:rsid w:val="563E276B"/>
    <w:rsid w:val="56BD644F"/>
    <w:rsid w:val="56F15429"/>
    <w:rsid w:val="573F362D"/>
    <w:rsid w:val="57752C31"/>
    <w:rsid w:val="5879650B"/>
    <w:rsid w:val="58B205DA"/>
    <w:rsid w:val="59562254"/>
    <w:rsid w:val="5AA23067"/>
    <w:rsid w:val="5AB92201"/>
    <w:rsid w:val="5B847B74"/>
    <w:rsid w:val="5CED3FF9"/>
    <w:rsid w:val="5D4476FB"/>
    <w:rsid w:val="5E8B3C4B"/>
    <w:rsid w:val="5ED8763C"/>
    <w:rsid w:val="5EE80ED1"/>
    <w:rsid w:val="5F771986"/>
    <w:rsid w:val="5FC96642"/>
    <w:rsid w:val="60032513"/>
    <w:rsid w:val="601574AE"/>
    <w:rsid w:val="60257F58"/>
    <w:rsid w:val="61250170"/>
    <w:rsid w:val="614B2DC9"/>
    <w:rsid w:val="62111B39"/>
    <w:rsid w:val="634925E3"/>
    <w:rsid w:val="63EE1813"/>
    <w:rsid w:val="65735661"/>
    <w:rsid w:val="65CA6246"/>
    <w:rsid w:val="665E5750"/>
    <w:rsid w:val="66DC2EB8"/>
    <w:rsid w:val="678877B3"/>
    <w:rsid w:val="67E1648C"/>
    <w:rsid w:val="67EE261E"/>
    <w:rsid w:val="68DA5D31"/>
    <w:rsid w:val="69A9410F"/>
    <w:rsid w:val="6B100175"/>
    <w:rsid w:val="6D0E2679"/>
    <w:rsid w:val="6D4621DE"/>
    <w:rsid w:val="6DE55656"/>
    <w:rsid w:val="6E261BA7"/>
    <w:rsid w:val="6E660432"/>
    <w:rsid w:val="6E681C31"/>
    <w:rsid w:val="6E8D3E82"/>
    <w:rsid w:val="6ED7625C"/>
    <w:rsid w:val="6F135292"/>
    <w:rsid w:val="70F50EBA"/>
    <w:rsid w:val="71266569"/>
    <w:rsid w:val="717C6A58"/>
    <w:rsid w:val="71D60130"/>
    <w:rsid w:val="73A155A6"/>
    <w:rsid w:val="73FA5E27"/>
    <w:rsid w:val="741E4FC3"/>
    <w:rsid w:val="7447637A"/>
    <w:rsid w:val="74C667AB"/>
    <w:rsid w:val="74C876B4"/>
    <w:rsid w:val="757440A2"/>
    <w:rsid w:val="75F73A2A"/>
    <w:rsid w:val="75FC7405"/>
    <w:rsid w:val="769958F2"/>
    <w:rsid w:val="76E96805"/>
    <w:rsid w:val="770266B0"/>
    <w:rsid w:val="77E577FB"/>
    <w:rsid w:val="78174C2D"/>
    <w:rsid w:val="784576F8"/>
    <w:rsid w:val="78767A5E"/>
    <w:rsid w:val="793D0B51"/>
    <w:rsid w:val="7B471C92"/>
    <w:rsid w:val="7CFE3D1B"/>
    <w:rsid w:val="7DEB27D3"/>
    <w:rsid w:val="7E816BC7"/>
    <w:rsid w:val="7EF402AF"/>
    <w:rsid w:val="7F2E3DC9"/>
    <w:rsid w:val="7FF0375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nhideWhenUsed="0" w:uiPriority="9"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0" w:name="toc 1"/>
    <w:lsdException w:qFormat="1" w:unhideWhenUsed="0" w:uiPriority="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qFormat="1" w:unhideWhenUsed="0" w:uiPriority="0" w:semiHidden="0" w:name="Normal Indent"/>
    <w:lsdException w:uiPriority="0" w:name="footnote text"/>
    <w:lsdException w:qFormat="1" w:unhideWhenUsed="0" w:uiPriority="99" w:semiHidden="0" w:name="annotation text"/>
    <w:lsdException w:qFormat="1" w:unhideWhenUsed="0" w:uiPriority="99" w:semiHidden="0" w:name="header"/>
    <w:lsdException w:qFormat="1" w:unhideWhenUsed="0" w:uiPriority="0" w:semiHidden="0" w:name="footer"/>
    <w:lsdException w:uiPriority="0" w:name="index heading"/>
    <w:lsdException w:qFormat="1" w:unhideWhenUsed="0" w:uiPriority="0" w:semiHidden="0" w:name="caption"/>
    <w:lsdException w:uiPriority="0" w:name="table of figures"/>
    <w:lsdException w:uiPriority="0" w:name="envelope address"/>
    <w:lsdException w:uiPriority="0" w:name="envelope return"/>
    <w:lsdException w:uiPriority="0" w:name="footnote reference"/>
    <w:lsdException w:qFormat="1" w:unhideWhenUsed="0" w:uiPriority="99" w:semiHidden="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qFormat="1"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qFormat="1" w:unhideWhenUsed="0" w:uiPriority="0" w:semiHidden="0" w:name="Body Text First Indent"/>
    <w:lsdException w:uiPriority="0" w:name="Body Text First Indent 2"/>
    <w:lsdException w:uiPriority="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0"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name="Balloon Text"/>
    <w:lsdException w:qFormat="1" w:unhideWhenUsed="0" w:uiPriority="39"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3"/>
    <w:next w:val="1"/>
    <w:link w:val="54"/>
    <w:qFormat/>
    <w:uiPriority w:val="0"/>
    <w:pPr>
      <w:spacing w:before="340" w:after="330" w:line="360" w:lineRule="auto"/>
      <w:jc w:val="center"/>
      <w:outlineLvl w:val="0"/>
    </w:pPr>
    <w:rPr>
      <w:rFonts w:eastAsia="黑体"/>
      <w:kern w:val="44"/>
      <w:szCs w:val="44"/>
    </w:rPr>
  </w:style>
  <w:style w:type="paragraph" w:styleId="5">
    <w:name w:val="heading 2"/>
    <w:basedOn w:val="3"/>
    <w:next w:val="4"/>
    <w:link w:val="69"/>
    <w:qFormat/>
    <w:uiPriority w:val="0"/>
    <w:pPr>
      <w:adjustRightInd w:val="0"/>
      <w:jc w:val="center"/>
      <w:textAlignment w:val="baseline"/>
      <w:outlineLvl w:val="1"/>
    </w:pPr>
    <w:rPr>
      <w:kern w:val="0"/>
      <w:sz w:val="24"/>
      <w:szCs w:val="20"/>
    </w:rPr>
  </w:style>
  <w:style w:type="paragraph" w:styleId="3">
    <w:name w:val="heading 3"/>
    <w:basedOn w:val="4"/>
    <w:next w:val="1"/>
    <w:link w:val="53"/>
    <w:qFormat/>
    <w:uiPriority w:val="9"/>
    <w:pPr>
      <w:spacing w:before="260" w:after="260" w:line="240" w:lineRule="auto"/>
      <w:outlineLvl w:val="2"/>
    </w:pPr>
    <w:rPr>
      <w:rFonts w:ascii="宋体" w:hAnsi="宋体" w:eastAsia="宋体"/>
      <w:szCs w:val="32"/>
    </w:rPr>
  </w:style>
  <w:style w:type="paragraph" w:styleId="4">
    <w:name w:val="heading 4"/>
    <w:basedOn w:val="1"/>
    <w:next w:val="1"/>
    <w:link w:val="51"/>
    <w:qFormat/>
    <w:uiPriority w:val="9"/>
    <w:pPr>
      <w:keepNext/>
      <w:keepLines/>
      <w:spacing w:before="280" w:after="290" w:line="376" w:lineRule="auto"/>
      <w:outlineLvl w:val="3"/>
    </w:pPr>
    <w:rPr>
      <w:rFonts w:ascii="Arial" w:hAnsi="Arial" w:eastAsia="黑体"/>
      <w:b/>
      <w:bCs/>
      <w:sz w:val="28"/>
      <w:szCs w:val="28"/>
    </w:rPr>
  </w:style>
  <w:style w:type="paragraph" w:styleId="6">
    <w:name w:val="heading 5"/>
    <w:basedOn w:val="1"/>
    <w:next w:val="7"/>
    <w:link w:val="78"/>
    <w:qFormat/>
    <w:uiPriority w:val="0"/>
    <w:pPr>
      <w:keepNext/>
      <w:keepLines/>
      <w:spacing w:before="280" w:after="290" w:line="376" w:lineRule="auto"/>
      <w:outlineLvl w:val="4"/>
    </w:pPr>
    <w:rPr>
      <w:b/>
      <w:sz w:val="28"/>
      <w:szCs w:val="20"/>
    </w:rPr>
  </w:style>
  <w:style w:type="paragraph" w:styleId="10">
    <w:name w:val="heading 6"/>
    <w:basedOn w:val="1"/>
    <w:next w:val="7"/>
    <w:link w:val="81"/>
    <w:qFormat/>
    <w:uiPriority w:val="0"/>
    <w:pPr>
      <w:keepNext/>
      <w:keepLines/>
      <w:spacing w:before="240" w:after="64" w:line="320" w:lineRule="auto"/>
      <w:outlineLvl w:val="5"/>
    </w:pPr>
    <w:rPr>
      <w:rFonts w:ascii="Arial" w:hAnsi="Arial" w:eastAsia="黑体"/>
      <w:b/>
      <w:sz w:val="24"/>
      <w:szCs w:val="20"/>
    </w:rPr>
  </w:style>
  <w:style w:type="paragraph" w:styleId="11">
    <w:name w:val="heading 7"/>
    <w:basedOn w:val="1"/>
    <w:next w:val="7"/>
    <w:link w:val="82"/>
    <w:qFormat/>
    <w:uiPriority w:val="0"/>
    <w:pPr>
      <w:keepNext/>
      <w:keepLines/>
      <w:spacing w:before="240" w:after="64" w:line="320" w:lineRule="auto"/>
      <w:outlineLvl w:val="6"/>
    </w:pPr>
    <w:rPr>
      <w:b/>
      <w:sz w:val="24"/>
      <w:szCs w:val="20"/>
    </w:rPr>
  </w:style>
  <w:style w:type="paragraph" w:styleId="12">
    <w:name w:val="heading 8"/>
    <w:basedOn w:val="1"/>
    <w:next w:val="7"/>
    <w:link w:val="83"/>
    <w:qFormat/>
    <w:uiPriority w:val="0"/>
    <w:pPr>
      <w:keepNext/>
      <w:keepLines/>
      <w:spacing w:before="240" w:after="64" w:line="320" w:lineRule="auto"/>
      <w:outlineLvl w:val="7"/>
    </w:pPr>
    <w:rPr>
      <w:rFonts w:ascii="Arial" w:hAnsi="Arial" w:eastAsia="黑体"/>
      <w:sz w:val="24"/>
      <w:szCs w:val="20"/>
    </w:rPr>
  </w:style>
  <w:style w:type="paragraph" w:styleId="13">
    <w:name w:val="heading 9"/>
    <w:basedOn w:val="1"/>
    <w:next w:val="7"/>
    <w:link w:val="84"/>
    <w:qFormat/>
    <w:uiPriority w:val="0"/>
    <w:pPr>
      <w:keepNext/>
      <w:keepLines/>
      <w:spacing w:before="240" w:after="64" w:line="320" w:lineRule="auto"/>
      <w:outlineLvl w:val="8"/>
    </w:pPr>
    <w:rPr>
      <w:rFonts w:ascii="Arial" w:hAnsi="Arial" w:eastAsia="黑体"/>
      <w:szCs w:val="20"/>
    </w:rPr>
  </w:style>
  <w:style w:type="character" w:default="1" w:styleId="44">
    <w:name w:val="Default Paragraph Font"/>
    <w:semiHidden/>
    <w:unhideWhenUsed/>
    <w:qFormat/>
    <w:uiPriority w:val="1"/>
  </w:style>
  <w:style w:type="table" w:default="1" w:styleId="42">
    <w:name w:val="Normal Table"/>
    <w:semiHidden/>
    <w:unhideWhenUsed/>
    <w:qFormat/>
    <w:uiPriority w:val="99"/>
    <w:tblPr>
      <w:tblCellMar>
        <w:top w:w="0" w:type="dxa"/>
        <w:left w:w="108" w:type="dxa"/>
        <w:bottom w:w="0" w:type="dxa"/>
        <w:right w:w="108" w:type="dxa"/>
      </w:tblCellMar>
    </w:tblPr>
  </w:style>
  <w:style w:type="paragraph" w:styleId="7">
    <w:name w:val="Normal Indent"/>
    <w:basedOn w:val="1"/>
    <w:next w:val="8"/>
    <w:link w:val="55"/>
    <w:qFormat/>
    <w:uiPriority w:val="0"/>
    <w:pPr>
      <w:ind w:firstLine="420"/>
    </w:pPr>
    <w:rPr>
      <w:szCs w:val="20"/>
    </w:rPr>
  </w:style>
  <w:style w:type="paragraph" w:styleId="8">
    <w:name w:val="Body Text"/>
    <w:basedOn w:val="1"/>
    <w:next w:val="9"/>
    <w:link w:val="90"/>
    <w:qFormat/>
    <w:uiPriority w:val="0"/>
    <w:pPr>
      <w:spacing w:line="360" w:lineRule="auto"/>
    </w:pPr>
    <w:rPr>
      <w:b/>
      <w:bCs/>
      <w:sz w:val="24"/>
    </w:rPr>
  </w:style>
  <w:style w:type="paragraph" w:styleId="9">
    <w:name w:val="Body Text 2"/>
    <w:basedOn w:val="1"/>
    <w:link w:val="94"/>
    <w:qFormat/>
    <w:uiPriority w:val="0"/>
    <w:pPr>
      <w:spacing w:line="360" w:lineRule="auto"/>
    </w:pPr>
    <w:rPr>
      <w:sz w:val="24"/>
    </w:rPr>
  </w:style>
  <w:style w:type="paragraph" w:styleId="14">
    <w:name w:val="toc 7"/>
    <w:basedOn w:val="1"/>
    <w:next w:val="1"/>
    <w:semiHidden/>
    <w:qFormat/>
    <w:uiPriority w:val="0"/>
    <w:pPr>
      <w:ind w:left="1260"/>
      <w:jc w:val="left"/>
    </w:pPr>
    <w:rPr>
      <w:szCs w:val="21"/>
    </w:rPr>
  </w:style>
  <w:style w:type="paragraph" w:styleId="15">
    <w:name w:val="caption"/>
    <w:basedOn w:val="1"/>
    <w:next w:val="1"/>
    <w:qFormat/>
    <w:uiPriority w:val="0"/>
    <w:pPr>
      <w:widowControl/>
      <w:spacing w:line="360" w:lineRule="auto"/>
      <w:ind w:firstLine="1940" w:firstLineChars="920"/>
      <w:jc w:val="left"/>
    </w:pPr>
    <w:rPr>
      <w:rFonts w:ascii="宋体" w:hAnsi="宋体"/>
      <w:b/>
      <w:bCs/>
      <w:kern w:val="0"/>
      <w:sz w:val="20"/>
      <w:szCs w:val="20"/>
    </w:rPr>
  </w:style>
  <w:style w:type="paragraph" w:styleId="16">
    <w:name w:val="List Bullet"/>
    <w:basedOn w:val="1"/>
    <w:qFormat/>
    <w:uiPriority w:val="0"/>
    <w:pPr>
      <w:numPr>
        <w:ilvl w:val="0"/>
        <w:numId w:val="1"/>
      </w:numPr>
    </w:pPr>
    <w:rPr>
      <w:szCs w:val="20"/>
    </w:rPr>
  </w:style>
  <w:style w:type="paragraph" w:styleId="17">
    <w:name w:val="Document Map"/>
    <w:basedOn w:val="1"/>
    <w:semiHidden/>
    <w:qFormat/>
    <w:uiPriority w:val="0"/>
    <w:pPr>
      <w:shd w:val="clear" w:color="auto" w:fill="000080"/>
    </w:pPr>
  </w:style>
  <w:style w:type="paragraph" w:styleId="18">
    <w:name w:val="annotation text"/>
    <w:basedOn w:val="1"/>
    <w:link w:val="182"/>
    <w:qFormat/>
    <w:uiPriority w:val="99"/>
    <w:pPr>
      <w:autoSpaceDE w:val="0"/>
      <w:autoSpaceDN w:val="0"/>
      <w:adjustRightInd w:val="0"/>
      <w:jc w:val="left"/>
      <w:textAlignment w:val="baseline"/>
    </w:pPr>
    <w:rPr>
      <w:rFonts w:ascii="宋体"/>
      <w:kern w:val="0"/>
      <w:sz w:val="34"/>
      <w:szCs w:val="20"/>
    </w:rPr>
  </w:style>
  <w:style w:type="paragraph" w:styleId="19">
    <w:name w:val="Body Text 3"/>
    <w:basedOn w:val="1"/>
    <w:link w:val="96"/>
    <w:qFormat/>
    <w:uiPriority w:val="0"/>
    <w:pPr>
      <w:spacing w:after="120"/>
    </w:pPr>
    <w:rPr>
      <w:sz w:val="16"/>
      <w:szCs w:val="16"/>
    </w:rPr>
  </w:style>
  <w:style w:type="paragraph" w:styleId="20">
    <w:name w:val="Body Text Indent"/>
    <w:basedOn w:val="1"/>
    <w:link w:val="77"/>
    <w:qFormat/>
    <w:uiPriority w:val="0"/>
    <w:pPr>
      <w:spacing w:line="360" w:lineRule="auto"/>
      <w:ind w:firstLine="420" w:firstLineChars="200"/>
    </w:pPr>
  </w:style>
  <w:style w:type="paragraph" w:styleId="21">
    <w:name w:val="toc 5"/>
    <w:basedOn w:val="1"/>
    <w:next w:val="1"/>
    <w:semiHidden/>
    <w:qFormat/>
    <w:uiPriority w:val="0"/>
    <w:pPr>
      <w:ind w:left="840"/>
      <w:jc w:val="left"/>
    </w:pPr>
    <w:rPr>
      <w:szCs w:val="21"/>
    </w:rPr>
  </w:style>
  <w:style w:type="paragraph" w:styleId="22">
    <w:name w:val="toc 3"/>
    <w:basedOn w:val="1"/>
    <w:next w:val="1"/>
    <w:semiHidden/>
    <w:qFormat/>
    <w:uiPriority w:val="0"/>
    <w:pPr>
      <w:ind w:left="420"/>
      <w:jc w:val="left"/>
    </w:pPr>
    <w:rPr>
      <w:i/>
      <w:iCs/>
    </w:rPr>
  </w:style>
  <w:style w:type="paragraph" w:styleId="23">
    <w:name w:val="Plain Text"/>
    <w:basedOn w:val="1"/>
    <w:link w:val="88"/>
    <w:qFormat/>
    <w:uiPriority w:val="0"/>
    <w:rPr>
      <w:rFonts w:ascii="宋体" w:hAnsi="Courier New"/>
      <w:szCs w:val="20"/>
    </w:rPr>
  </w:style>
  <w:style w:type="paragraph" w:styleId="24">
    <w:name w:val="toc 8"/>
    <w:basedOn w:val="1"/>
    <w:next w:val="1"/>
    <w:semiHidden/>
    <w:qFormat/>
    <w:uiPriority w:val="0"/>
    <w:pPr>
      <w:ind w:left="1470"/>
      <w:jc w:val="left"/>
    </w:pPr>
    <w:rPr>
      <w:szCs w:val="21"/>
    </w:rPr>
  </w:style>
  <w:style w:type="paragraph" w:styleId="25">
    <w:name w:val="Date"/>
    <w:basedOn w:val="1"/>
    <w:next w:val="1"/>
    <w:link w:val="86"/>
    <w:qFormat/>
    <w:uiPriority w:val="0"/>
    <w:rPr>
      <w:rFonts w:ascii="宋体" w:hAnsi="Courier New"/>
      <w:sz w:val="32"/>
      <w:szCs w:val="20"/>
    </w:rPr>
  </w:style>
  <w:style w:type="paragraph" w:styleId="26">
    <w:name w:val="Body Text Indent 2"/>
    <w:basedOn w:val="1"/>
    <w:link w:val="91"/>
    <w:qFormat/>
    <w:uiPriority w:val="0"/>
    <w:pPr>
      <w:spacing w:beforeLines="50" w:afterLines="50" w:line="120" w:lineRule="auto"/>
      <w:ind w:firstLine="840" w:firstLineChars="400"/>
      <w:jc w:val="left"/>
    </w:pPr>
    <w:rPr>
      <w:rFonts w:ascii="宋体" w:hAnsi="宋体"/>
    </w:rPr>
  </w:style>
  <w:style w:type="paragraph" w:styleId="27">
    <w:name w:val="Balloon Text"/>
    <w:basedOn w:val="1"/>
    <w:link w:val="97"/>
    <w:semiHidden/>
    <w:qFormat/>
    <w:uiPriority w:val="99"/>
    <w:rPr>
      <w:sz w:val="18"/>
      <w:szCs w:val="18"/>
    </w:rPr>
  </w:style>
  <w:style w:type="paragraph" w:styleId="28">
    <w:name w:val="footer"/>
    <w:basedOn w:val="1"/>
    <w:link w:val="95"/>
    <w:qFormat/>
    <w:uiPriority w:val="0"/>
    <w:pPr>
      <w:tabs>
        <w:tab w:val="center" w:pos="4153"/>
        <w:tab w:val="right" w:pos="8306"/>
      </w:tabs>
      <w:snapToGrid w:val="0"/>
      <w:jc w:val="left"/>
    </w:pPr>
    <w:rPr>
      <w:sz w:val="18"/>
      <w:szCs w:val="18"/>
    </w:rPr>
  </w:style>
  <w:style w:type="paragraph" w:styleId="29">
    <w:name w:val="header"/>
    <w:basedOn w:val="1"/>
    <w:link w:val="92"/>
    <w:qFormat/>
    <w:uiPriority w:val="99"/>
    <w:pPr>
      <w:pBdr>
        <w:bottom w:val="single" w:color="auto" w:sz="6" w:space="1"/>
      </w:pBdr>
      <w:tabs>
        <w:tab w:val="center" w:pos="4153"/>
        <w:tab w:val="right" w:pos="8306"/>
      </w:tabs>
      <w:snapToGrid w:val="0"/>
      <w:jc w:val="center"/>
    </w:pPr>
    <w:rPr>
      <w:sz w:val="18"/>
      <w:szCs w:val="18"/>
    </w:rPr>
  </w:style>
  <w:style w:type="paragraph" w:styleId="30">
    <w:name w:val="toc 1"/>
    <w:basedOn w:val="1"/>
    <w:next w:val="1"/>
    <w:semiHidden/>
    <w:qFormat/>
    <w:uiPriority w:val="0"/>
    <w:pPr>
      <w:spacing w:before="120" w:after="120"/>
      <w:jc w:val="left"/>
    </w:pPr>
    <w:rPr>
      <w:b/>
      <w:bCs/>
      <w:caps/>
    </w:rPr>
  </w:style>
  <w:style w:type="paragraph" w:styleId="31">
    <w:name w:val="toc 4"/>
    <w:basedOn w:val="1"/>
    <w:next w:val="1"/>
    <w:semiHidden/>
    <w:qFormat/>
    <w:uiPriority w:val="0"/>
    <w:pPr>
      <w:ind w:left="630"/>
      <w:jc w:val="left"/>
    </w:pPr>
    <w:rPr>
      <w:szCs w:val="21"/>
    </w:rPr>
  </w:style>
  <w:style w:type="paragraph" w:styleId="32">
    <w:name w:val="toc 6"/>
    <w:basedOn w:val="1"/>
    <w:next w:val="1"/>
    <w:semiHidden/>
    <w:qFormat/>
    <w:uiPriority w:val="0"/>
    <w:pPr>
      <w:ind w:left="1050"/>
      <w:jc w:val="left"/>
    </w:pPr>
    <w:rPr>
      <w:szCs w:val="21"/>
    </w:rPr>
  </w:style>
  <w:style w:type="paragraph" w:styleId="33">
    <w:name w:val="Body Text Indent 3"/>
    <w:basedOn w:val="1"/>
    <w:link w:val="93"/>
    <w:qFormat/>
    <w:uiPriority w:val="0"/>
    <w:pPr>
      <w:spacing w:line="360" w:lineRule="auto"/>
      <w:ind w:firstLine="482" w:firstLineChars="200"/>
    </w:pPr>
    <w:rPr>
      <w:rFonts w:ascii="宋体"/>
      <w:b/>
      <w:bCs/>
      <w:sz w:val="24"/>
    </w:rPr>
  </w:style>
  <w:style w:type="paragraph" w:styleId="34">
    <w:name w:val="toc 2"/>
    <w:basedOn w:val="1"/>
    <w:next w:val="1"/>
    <w:semiHidden/>
    <w:qFormat/>
    <w:uiPriority w:val="0"/>
    <w:pPr>
      <w:tabs>
        <w:tab w:val="right" w:leader="dot" w:pos="8296"/>
      </w:tabs>
      <w:ind w:left="210"/>
      <w:jc w:val="left"/>
    </w:pPr>
    <w:rPr>
      <w:smallCaps/>
    </w:rPr>
  </w:style>
  <w:style w:type="paragraph" w:styleId="35">
    <w:name w:val="toc 9"/>
    <w:basedOn w:val="1"/>
    <w:next w:val="1"/>
    <w:semiHidden/>
    <w:qFormat/>
    <w:uiPriority w:val="0"/>
    <w:pPr>
      <w:ind w:left="1680"/>
      <w:jc w:val="left"/>
    </w:pPr>
    <w:rPr>
      <w:szCs w:val="21"/>
    </w:rPr>
  </w:style>
  <w:style w:type="paragraph" w:styleId="36">
    <w:name w:val="HTML Preformatted"/>
    <w:basedOn w:val="1"/>
    <w:link w:val="87"/>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hAnsi="Arial Unicode MS" w:eastAsia="Arial Unicode MS"/>
      <w:color w:val="000000"/>
      <w:kern w:val="0"/>
      <w:sz w:val="20"/>
      <w:szCs w:val="20"/>
    </w:rPr>
  </w:style>
  <w:style w:type="paragraph" w:styleId="37">
    <w:name w:val="Normal (Web)"/>
    <w:basedOn w:val="1"/>
    <w:link w:val="188"/>
    <w:qFormat/>
    <w:uiPriority w:val="99"/>
    <w:rPr>
      <w:sz w:val="24"/>
    </w:rPr>
  </w:style>
  <w:style w:type="paragraph" w:styleId="38">
    <w:name w:val="index 1"/>
    <w:basedOn w:val="1"/>
    <w:next w:val="1"/>
    <w:semiHidden/>
    <w:qFormat/>
    <w:uiPriority w:val="0"/>
    <w:pPr>
      <w:tabs>
        <w:tab w:val="left" w:pos="3360"/>
      </w:tabs>
      <w:spacing w:line="520" w:lineRule="exact"/>
      <w:ind w:left="419" w:leftChars="50" w:hanging="314" w:hangingChars="131"/>
      <w:jc w:val="center"/>
      <w:outlineLvl w:val="3"/>
    </w:pPr>
    <w:rPr>
      <w:rFonts w:ascii="宋体" w:hAnsi="宋体"/>
      <w:sz w:val="24"/>
    </w:rPr>
  </w:style>
  <w:style w:type="paragraph" w:styleId="39">
    <w:name w:val="Title"/>
    <w:basedOn w:val="1"/>
    <w:next w:val="1"/>
    <w:link w:val="85"/>
    <w:qFormat/>
    <w:uiPriority w:val="0"/>
    <w:pPr>
      <w:spacing w:before="240" w:after="60"/>
      <w:jc w:val="center"/>
      <w:outlineLvl w:val="0"/>
    </w:pPr>
    <w:rPr>
      <w:rFonts w:ascii="Arial" w:hAnsi="Arial" w:eastAsia="隶书" w:cs="Arial"/>
      <w:b/>
      <w:bCs/>
      <w:sz w:val="32"/>
      <w:szCs w:val="32"/>
    </w:rPr>
  </w:style>
  <w:style w:type="paragraph" w:styleId="40">
    <w:name w:val="annotation subject"/>
    <w:basedOn w:val="18"/>
    <w:next w:val="18"/>
    <w:link w:val="183"/>
    <w:qFormat/>
    <w:uiPriority w:val="99"/>
    <w:pPr>
      <w:autoSpaceDE/>
      <w:autoSpaceDN/>
      <w:adjustRightInd/>
      <w:textAlignment w:val="auto"/>
    </w:pPr>
    <w:rPr>
      <w:rFonts w:ascii="Times New Roman"/>
      <w:b/>
      <w:bCs/>
      <w:kern w:val="2"/>
      <w:sz w:val="21"/>
      <w:szCs w:val="24"/>
    </w:rPr>
  </w:style>
  <w:style w:type="paragraph" w:styleId="41">
    <w:name w:val="Body Text First Indent"/>
    <w:basedOn w:val="8"/>
    <w:link w:val="128"/>
    <w:qFormat/>
    <w:uiPriority w:val="0"/>
    <w:pPr>
      <w:spacing w:after="120" w:line="240" w:lineRule="auto"/>
      <w:ind w:firstLine="420" w:firstLineChars="100"/>
    </w:pPr>
    <w:rPr>
      <w:sz w:val="21"/>
    </w:rPr>
  </w:style>
  <w:style w:type="table" w:styleId="43">
    <w:name w:val="Table Grid"/>
    <w:basedOn w:val="42"/>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45">
    <w:name w:val="Strong"/>
    <w:qFormat/>
    <w:uiPriority w:val="0"/>
    <w:rPr>
      <w:b/>
      <w:bCs/>
    </w:rPr>
  </w:style>
  <w:style w:type="character" w:styleId="46">
    <w:name w:val="page number"/>
    <w:basedOn w:val="44"/>
    <w:qFormat/>
    <w:uiPriority w:val="0"/>
  </w:style>
  <w:style w:type="character" w:styleId="47">
    <w:name w:val="FollowedHyperlink"/>
    <w:qFormat/>
    <w:uiPriority w:val="0"/>
    <w:rPr>
      <w:color w:val="800080"/>
      <w:u w:val="single"/>
    </w:rPr>
  </w:style>
  <w:style w:type="character" w:styleId="48">
    <w:name w:val="Hyperlink"/>
    <w:qFormat/>
    <w:uiPriority w:val="0"/>
    <w:rPr>
      <w:color w:val="0000FF"/>
      <w:u w:val="single"/>
    </w:rPr>
  </w:style>
  <w:style w:type="character" w:styleId="49">
    <w:name w:val="annotation reference"/>
    <w:basedOn w:val="44"/>
    <w:qFormat/>
    <w:uiPriority w:val="99"/>
    <w:rPr>
      <w:sz w:val="21"/>
      <w:szCs w:val="21"/>
    </w:rPr>
  </w:style>
  <w:style w:type="paragraph" w:styleId="50">
    <w:name w:val="No Spacing"/>
    <w:qFormat/>
    <w:uiPriority w:val="1"/>
    <w:pPr>
      <w:widowControl w:val="0"/>
      <w:jc w:val="both"/>
    </w:pPr>
    <w:rPr>
      <w:rFonts w:ascii="Calibri" w:hAnsi="Calibri" w:eastAsia="宋体" w:cs="Times New Roman"/>
      <w:kern w:val="2"/>
      <w:sz w:val="21"/>
      <w:szCs w:val="22"/>
      <w:lang w:val="en-US" w:eastAsia="zh-CN" w:bidi="ar-SA"/>
    </w:rPr>
  </w:style>
  <w:style w:type="character" w:customStyle="1" w:styleId="51">
    <w:name w:val="标题 4 Char"/>
    <w:link w:val="4"/>
    <w:qFormat/>
    <w:uiPriority w:val="9"/>
    <w:rPr>
      <w:rFonts w:ascii="Arial" w:hAnsi="Arial" w:eastAsia="黑体"/>
      <w:b/>
      <w:bCs/>
      <w:kern w:val="2"/>
      <w:sz w:val="28"/>
      <w:szCs w:val="28"/>
      <w:lang w:val="en-US" w:eastAsia="zh-CN" w:bidi="ar-SA"/>
    </w:rPr>
  </w:style>
  <w:style w:type="paragraph" w:customStyle="1" w:styleId="52">
    <w:name w:val="Char"/>
    <w:basedOn w:val="1"/>
    <w:qFormat/>
    <w:uiPriority w:val="0"/>
    <w:pPr>
      <w:widowControl/>
      <w:spacing w:after="160" w:line="240" w:lineRule="exact"/>
      <w:jc w:val="left"/>
    </w:pPr>
    <w:rPr>
      <w:rFonts w:ascii="Verdana" w:hAnsi="Verdana" w:eastAsia="仿宋_GB2312"/>
      <w:kern w:val="0"/>
      <w:sz w:val="24"/>
      <w:szCs w:val="20"/>
      <w:lang w:eastAsia="en-US"/>
    </w:rPr>
  </w:style>
  <w:style w:type="character" w:customStyle="1" w:styleId="53">
    <w:name w:val="标题 3 Char1"/>
    <w:link w:val="3"/>
    <w:qFormat/>
    <w:uiPriority w:val="9"/>
    <w:rPr>
      <w:rFonts w:ascii="宋体" w:hAnsi="宋体" w:eastAsia="宋体"/>
      <w:b/>
      <w:bCs/>
      <w:kern w:val="2"/>
      <w:sz w:val="28"/>
      <w:szCs w:val="32"/>
      <w:lang w:val="en-US" w:eastAsia="zh-CN" w:bidi="ar-SA"/>
    </w:rPr>
  </w:style>
  <w:style w:type="character" w:customStyle="1" w:styleId="54">
    <w:name w:val="标题 1 Char"/>
    <w:link w:val="2"/>
    <w:qFormat/>
    <w:uiPriority w:val="0"/>
    <w:rPr>
      <w:rFonts w:ascii="宋体" w:hAnsi="宋体" w:eastAsia="黑体"/>
      <w:b/>
      <w:bCs/>
      <w:kern w:val="44"/>
      <w:sz w:val="28"/>
      <w:szCs w:val="44"/>
      <w:lang w:val="en-US" w:eastAsia="zh-CN" w:bidi="ar-SA"/>
    </w:rPr>
  </w:style>
  <w:style w:type="character" w:customStyle="1" w:styleId="55">
    <w:name w:val="正文缩进 Char"/>
    <w:link w:val="7"/>
    <w:qFormat/>
    <w:uiPriority w:val="0"/>
    <w:rPr>
      <w:rFonts w:eastAsia="宋体"/>
      <w:kern w:val="2"/>
      <w:sz w:val="21"/>
      <w:lang w:val="en-US" w:eastAsia="zh-CN" w:bidi="ar-SA"/>
    </w:rPr>
  </w:style>
  <w:style w:type="character" w:customStyle="1" w:styleId="56">
    <w:name w:val="标题 3 Char"/>
    <w:qFormat/>
    <w:uiPriority w:val="0"/>
    <w:rPr>
      <w:rFonts w:ascii="黑体" w:eastAsia="黑体"/>
      <w:bCs/>
      <w:sz w:val="30"/>
    </w:rPr>
  </w:style>
  <w:style w:type="paragraph" w:customStyle="1" w:styleId="57">
    <w:name w:val="样式41"/>
    <w:basedOn w:val="1"/>
    <w:qFormat/>
    <w:uiPriority w:val="0"/>
    <w:pPr>
      <w:numPr>
        <w:ilvl w:val="0"/>
        <w:numId w:val="2"/>
      </w:numPr>
      <w:tabs>
        <w:tab w:val="left" w:pos="945"/>
      </w:tabs>
      <w:spacing w:line="360" w:lineRule="auto"/>
    </w:pPr>
    <w:rPr>
      <w:b/>
      <w:color w:val="000000"/>
      <w:sz w:val="24"/>
      <w:szCs w:val="20"/>
    </w:rPr>
  </w:style>
  <w:style w:type="paragraph" w:customStyle="1" w:styleId="58">
    <w:name w:val="图"/>
    <w:basedOn w:val="1"/>
    <w:qFormat/>
    <w:uiPriority w:val="0"/>
    <w:pPr>
      <w:keepNext/>
      <w:adjustRightInd w:val="0"/>
      <w:snapToGrid w:val="0"/>
      <w:spacing w:before="60" w:after="60" w:line="300" w:lineRule="auto"/>
      <w:jc w:val="center"/>
    </w:pPr>
    <w:rPr>
      <w:spacing w:val="20"/>
      <w:kern w:val="0"/>
      <w:sz w:val="24"/>
      <w:szCs w:val="20"/>
    </w:rPr>
  </w:style>
  <w:style w:type="paragraph" w:customStyle="1" w:styleId="59">
    <w:name w:val="文档正文"/>
    <w:basedOn w:val="1"/>
    <w:qFormat/>
    <w:uiPriority w:val="0"/>
    <w:pPr>
      <w:adjustRightInd w:val="0"/>
      <w:spacing w:line="480" w:lineRule="atLeast"/>
      <w:ind w:firstLine="567" w:firstLineChars="200"/>
      <w:textAlignment w:val="baseline"/>
    </w:pPr>
    <w:rPr>
      <w:rFonts w:ascii="长城仿宋"/>
      <w:kern w:val="0"/>
      <w:szCs w:val="20"/>
    </w:rPr>
  </w:style>
  <w:style w:type="paragraph" w:customStyle="1" w:styleId="60">
    <w:name w:val="Char Char 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61">
    <w:name w:val="Char1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62">
    <w:name w:val="Char Char Char Char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63">
    <w:name w:val="Table Contents"/>
    <w:basedOn w:val="1"/>
    <w:qFormat/>
    <w:uiPriority w:val="0"/>
    <w:pPr>
      <w:suppressAutoHyphens/>
      <w:autoSpaceDE w:val="0"/>
      <w:spacing w:after="120"/>
      <w:jc w:val="left"/>
    </w:pPr>
    <w:rPr>
      <w:rFonts w:ascii="Helvetica" w:hAnsi="Helvetica"/>
      <w:kern w:val="1"/>
      <w:sz w:val="20"/>
      <w:szCs w:val="20"/>
    </w:rPr>
  </w:style>
  <w:style w:type="paragraph" w:customStyle="1" w:styleId="64">
    <w:name w:val="自定义正文"/>
    <w:basedOn w:val="1"/>
    <w:qFormat/>
    <w:uiPriority w:val="0"/>
    <w:pPr>
      <w:spacing w:afterLines="50"/>
      <w:ind w:left="600" w:leftChars="600"/>
    </w:pPr>
  </w:style>
  <w:style w:type="paragraph" w:customStyle="1" w:styleId="65">
    <w:name w:val="Char Char Char Char Char"/>
    <w:basedOn w:val="1"/>
    <w:qFormat/>
    <w:uiPriority w:val="0"/>
    <w:rPr>
      <w:rFonts w:ascii="Tahoma" w:hAnsi="Tahoma"/>
      <w:sz w:val="24"/>
      <w:szCs w:val="20"/>
    </w:rPr>
  </w:style>
  <w:style w:type="paragraph" w:customStyle="1" w:styleId="66">
    <w:name w:val="小标题 1"/>
    <w:basedOn w:val="1"/>
    <w:qFormat/>
    <w:uiPriority w:val="0"/>
    <w:pPr>
      <w:autoSpaceDE w:val="0"/>
      <w:autoSpaceDN w:val="0"/>
      <w:adjustRightInd w:val="0"/>
      <w:spacing w:line="360" w:lineRule="atLeast"/>
    </w:pPr>
    <w:rPr>
      <w:rFonts w:ascii="文鼎粗黑" w:eastAsia="文鼎粗黑"/>
      <w:kern w:val="0"/>
      <w:sz w:val="22"/>
      <w:szCs w:val="20"/>
    </w:rPr>
  </w:style>
  <w:style w:type="paragraph" w:customStyle="1" w:styleId="67">
    <w:name w:val="Char Char"/>
    <w:basedOn w:val="1"/>
    <w:qFormat/>
    <w:uiPriority w:val="0"/>
    <w:rPr>
      <w:rFonts w:ascii="Tahoma" w:hAnsi="Tahoma"/>
      <w:sz w:val="24"/>
      <w:szCs w:val="20"/>
    </w:rPr>
  </w:style>
  <w:style w:type="paragraph" w:customStyle="1" w:styleId="68">
    <w:name w:val="È±Ê¡ÎÄ±¾"/>
    <w:basedOn w:val="1"/>
    <w:qFormat/>
    <w:uiPriority w:val="0"/>
    <w:pPr>
      <w:widowControl/>
      <w:overflowPunct w:val="0"/>
      <w:autoSpaceDE w:val="0"/>
      <w:autoSpaceDN w:val="0"/>
      <w:adjustRightInd w:val="0"/>
      <w:jc w:val="left"/>
      <w:textAlignment w:val="baseline"/>
    </w:pPr>
    <w:rPr>
      <w:kern w:val="0"/>
      <w:sz w:val="24"/>
      <w:szCs w:val="20"/>
    </w:rPr>
  </w:style>
  <w:style w:type="character" w:customStyle="1" w:styleId="69">
    <w:name w:val="标题 2 Char"/>
    <w:link w:val="5"/>
    <w:qFormat/>
    <w:uiPriority w:val="0"/>
    <w:rPr>
      <w:rFonts w:ascii="宋体" w:hAnsi="宋体" w:eastAsia="宋体"/>
      <w:b/>
      <w:bCs/>
      <w:sz w:val="24"/>
      <w:lang w:val="en-US" w:eastAsia="zh-CN" w:bidi="ar-SA"/>
    </w:rPr>
  </w:style>
  <w:style w:type="paragraph" w:customStyle="1" w:styleId="70">
    <w:name w:val="Char Char Char Char Char Char1 Char"/>
    <w:basedOn w:val="1"/>
    <w:qFormat/>
    <w:uiPriority w:val="0"/>
    <w:pPr>
      <w:widowControl/>
      <w:spacing w:after="160" w:line="240" w:lineRule="exact"/>
      <w:jc w:val="left"/>
    </w:pPr>
    <w:rPr>
      <w:rFonts w:ascii="Verdana" w:hAnsi="Verdana"/>
      <w:kern w:val="0"/>
      <w:szCs w:val="20"/>
      <w:lang w:eastAsia="en-US"/>
    </w:rPr>
  </w:style>
  <w:style w:type="paragraph" w:styleId="71">
    <w:name w:val="List Paragraph"/>
    <w:basedOn w:val="1"/>
    <w:qFormat/>
    <w:uiPriority w:val="34"/>
    <w:pPr>
      <w:ind w:firstLine="420" w:firstLineChars="200"/>
    </w:pPr>
    <w:rPr>
      <w:rFonts w:ascii="Calibri" w:hAnsi="Calibri"/>
      <w:szCs w:val="22"/>
    </w:rPr>
  </w:style>
  <w:style w:type="paragraph" w:customStyle="1" w:styleId="72">
    <w:name w:val="USE 1"/>
    <w:basedOn w:val="1"/>
    <w:qFormat/>
    <w:uiPriority w:val="0"/>
    <w:pPr>
      <w:spacing w:line="200" w:lineRule="atLeast"/>
      <w:jc w:val="left"/>
    </w:pPr>
    <w:rPr>
      <w:rFonts w:ascii="宋体" w:hAnsi="宋体"/>
      <w:b/>
      <w:sz w:val="24"/>
      <w:szCs w:val="28"/>
    </w:rPr>
  </w:style>
  <w:style w:type="paragraph" w:customStyle="1" w:styleId="73">
    <w:name w:val="RFI text from 3rd Level"/>
    <w:basedOn w:val="1"/>
    <w:qFormat/>
    <w:uiPriority w:val="0"/>
    <w:pPr>
      <w:widowControl/>
      <w:numPr>
        <w:ilvl w:val="0"/>
        <w:numId w:val="3"/>
      </w:numPr>
      <w:tabs>
        <w:tab w:val="left" w:pos="1080"/>
        <w:tab w:val="clear" w:pos="840"/>
      </w:tabs>
      <w:spacing w:beforeLines="50" w:line="360" w:lineRule="auto"/>
      <w:ind w:left="0" w:firstLine="0"/>
    </w:pPr>
    <w:rPr>
      <w:rFonts w:ascii="Arial (W1)" w:hAnsi="Arial (W1)"/>
      <w:bCs/>
      <w:kern w:val="0"/>
      <w:sz w:val="24"/>
      <w:lang w:val="en-GB"/>
    </w:rPr>
  </w:style>
  <w:style w:type="paragraph" w:customStyle="1" w:styleId="74">
    <w:name w:val="正文文字缩进项目"/>
    <w:basedOn w:val="20"/>
    <w:qFormat/>
    <w:uiPriority w:val="0"/>
    <w:pPr>
      <w:numPr>
        <w:ilvl w:val="1"/>
        <w:numId w:val="3"/>
      </w:numPr>
      <w:tabs>
        <w:tab w:val="left" w:pos="840"/>
        <w:tab w:val="clear" w:pos="1260"/>
      </w:tabs>
      <w:spacing w:after="120" w:line="240" w:lineRule="auto"/>
      <w:ind w:left="840" w:firstLine="0" w:firstLineChars="0"/>
    </w:pPr>
    <w:rPr>
      <w:rFonts w:ascii="Tahoma" w:hAnsi="Tahoma"/>
      <w:sz w:val="22"/>
      <w:szCs w:val="20"/>
    </w:rPr>
  </w:style>
  <w:style w:type="paragraph" w:customStyle="1" w:styleId="75">
    <w:name w:val="样式 标题 2 + 段前: 13 磅 段后: 13 磅 行距: 单倍行距"/>
    <w:basedOn w:val="5"/>
    <w:qFormat/>
    <w:uiPriority w:val="0"/>
    <w:pPr>
      <w:adjustRightInd/>
      <w:spacing w:before="0" w:after="0"/>
      <w:jc w:val="both"/>
      <w:textAlignment w:val="auto"/>
    </w:pPr>
    <w:rPr>
      <w:rFonts w:ascii="Cambria" w:hAnsi="Cambria" w:cs="宋体"/>
      <w:kern w:val="2"/>
      <w:sz w:val="32"/>
    </w:rPr>
  </w:style>
  <w:style w:type="character" w:customStyle="1" w:styleId="76">
    <w:name w:val="H4 Char2"/>
    <w:qFormat/>
    <w:uiPriority w:val="0"/>
    <w:rPr>
      <w:rFonts w:ascii="Arial" w:hAnsi="Arial" w:eastAsia="黑体"/>
      <w:b/>
      <w:bCs/>
      <w:kern w:val="2"/>
      <w:sz w:val="28"/>
      <w:szCs w:val="28"/>
      <w:lang w:val="en-US" w:eastAsia="zh-CN" w:bidi="ar-SA"/>
    </w:rPr>
  </w:style>
  <w:style w:type="character" w:customStyle="1" w:styleId="77">
    <w:name w:val="正文文本缩进 Char"/>
    <w:link w:val="20"/>
    <w:qFormat/>
    <w:uiPriority w:val="0"/>
    <w:rPr>
      <w:rFonts w:eastAsia="宋体"/>
      <w:kern w:val="2"/>
      <w:sz w:val="21"/>
      <w:szCs w:val="24"/>
      <w:lang w:val="en-US" w:eastAsia="zh-CN" w:bidi="ar-SA"/>
    </w:rPr>
  </w:style>
  <w:style w:type="character" w:customStyle="1" w:styleId="78">
    <w:name w:val="标题 5 Char"/>
    <w:link w:val="6"/>
    <w:qFormat/>
    <w:uiPriority w:val="0"/>
    <w:rPr>
      <w:rFonts w:eastAsia="宋体"/>
      <w:b/>
      <w:kern w:val="2"/>
      <w:sz w:val="28"/>
      <w:lang w:val="en-US" w:eastAsia="zh-CN" w:bidi="ar-SA"/>
    </w:rPr>
  </w:style>
  <w:style w:type="character" w:customStyle="1" w:styleId="79">
    <w:name w:val="第*章 Char"/>
    <w:qFormat/>
    <w:uiPriority w:val="0"/>
    <w:rPr>
      <w:rFonts w:ascii="Arial" w:hAnsi="Arial" w:eastAsia="黑体"/>
      <w:b/>
      <w:bCs/>
      <w:kern w:val="2"/>
      <w:sz w:val="32"/>
      <w:szCs w:val="32"/>
    </w:rPr>
  </w:style>
  <w:style w:type="character" w:customStyle="1" w:styleId="80">
    <w:name w:val="章标题1 Char"/>
    <w:qFormat/>
    <w:uiPriority w:val="0"/>
    <w:rPr>
      <w:rFonts w:eastAsia="宋体"/>
      <w:b/>
      <w:bCs/>
      <w:kern w:val="2"/>
      <w:sz w:val="32"/>
      <w:szCs w:val="32"/>
      <w:lang w:val="en-US" w:eastAsia="zh-CN" w:bidi="ar-SA"/>
    </w:rPr>
  </w:style>
  <w:style w:type="character" w:customStyle="1" w:styleId="81">
    <w:name w:val="标题 6 Char"/>
    <w:link w:val="10"/>
    <w:qFormat/>
    <w:uiPriority w:val="0"/>
    <w:rPr>
      <w:rFonts w:ascii="Arial" w:hAnsi="Arial" w:eastAsia="黑体"/>
      <w:b/>
      <w:kern w:val="2"/>
      <w:sz w:val="24"/>
      <w:lang w:val="en-US" w:eastAsia="zh-CN" w:bidi="ar-SA"/>
    </w:rPr>
  </w:style>
  <w:style w:type="character" w:customStyle="1" w:styleId="82">
    <w:name w:val="标题 7 Char"/>
    <w:link w:val="11"/>
    <w:qFormat/>
    <w:uiPriority w:val="0"/>
    <w:rPr>
      <w:rFonts w:eastAsia="宋体"/>
      <w:b/>
      <w:kern w:val="2"/>
      <w:sz w:val="24"/>
      <w:lang w:val="en-US" w:eastAsia="zh-CN" w:bidi="ar-SA"/>
    </w:rPr>
  </w:style>
  <w:style w:type="character" w:customStyle="1" w:styleId="83">
    <w:name w:val="标题 8 Char"/>
    <w:link w:val="12"/>
    <w:qFormat/>
    <w:uiPriority w:val="0"/>
    <w:rPr>
      <w:rFonts w:ascii="Arial" w:hAnsi="Arial" w:eastAsia="黑体"/>
      <w:kern w:val="2"/>
      <w:sz w:val="24"/>
      <w:lang w:val="en-US" w:eastAsia="zh-CN" w:bidi="ar-SA"/>
    </w:rPr>
  </w:style>
  <w:style w:type="character" w:customStyle="1" w:styleId="84">
    <w:name w:val="标题 9 Char"/>
    <w:link w:val="13"/>
    <w:qFormat/>
    <w:uiPriority w:val="0"/>
    <w:rPr>
      <w:rFonts w:ascii="Arial" w:hAnsi="Arial" w:eastAsia="黑体"/>
      <w:kern w:val="2"/>
      <w:sz w:val="21"/>
      <w:lang w:val="en-US" w:eastAsia="zh-CN" w:bidi="ar-SA"/>
    </w:rPr>
  </w:style>
  <w:style w:type="character" w:customStyle="1" w:styleId="85">
    <w:name w:val="标题 Char"/>
    <w:link w:val="39"/>
    <w:qFormat/>
    <w:uiPriority w:val="0"/>
    <w:rPr>
      <w:rFonts w:ascii="Arial" w:hAnsi="Arial" w:eastAsia="隶书" w:cs="Arial"/>
      <w:b/>
      <w:bCs/>
      <w:kern w:val="2"/>
      <w:sz w:val="32"/>
      <w:szCs w:val="32"/>
      <w:lang w:val="en-US" w:eastAsia="zh-CN" w:bidi="ar-SA"/>
    </w:rPr>
  </w:style>
  <w:style w:type="character" w:customStyle="1" w:styleId="86">
    <w:name w:val="日期 Char"/>
    <w:link w:val="25"/>
    <w:qFormat/>
    <w:uiPriority w:val="0"/>
    <w:rPr>
      <w:rFonts w:ascii="宋体" w:hAnsi="Courier New" w:eastAsia="宋体"/>
      <w:kern w:val="2"/>
      <w:sz w:val="32"/>
      <w:lang w:val="en-US" w:eastAsia="zh-CN" w:bidi="ar-SA"/>
    </w:rPr>
  </w:style>
  <w:style w:type="character" w:customStyle="1" w:styleId="87">
    <w:name w:val="HTML 预设格式 Char"/>
    <w:link w:val="36"/>
    <w:qFormat/>
    <w:uiPriority w:val="0"/>
    <w:rPr>
      <w:rFonts w:ascii="Arial Unicode MS" w:hAnsi="Arial Unicode MS" w:eastAsia="Arial Unicode MS"/>
      <w:color w:val="000000"/>
      <w:lang w:val="en-US" w:eastAsia="zh-CN" w:bidi="ar-SA"/>
    </w:rPr>
  </w:style>
  <w:style w:type="character" w:customStyle="1" w:styleId="88">
    <w:name w:val="纯文本 Char"/>
    <w:link w:val="23"/>
    <w:qFormat/>
    <w:uiPriority w:val="0"/>
    <w:rPr>
      <w:rFonts w:ascii="宋体" w:hAnsi="Courier New" w:eastAsia="宋体"/>
      <w:kern w:val="2"/>
      <w:sz w:val="21"/>
      <w:lang w:val="en-US" w:eastAsia="zh-CN" w:bidi="ar-SA"/>
    </w:rPr>
  </w:style>
  <w:style w:type="character" w:customStyle="1" w:styleId="89">
    <w:name w:val="正文文字首行缩进 Char"/>
    <w:qFormat/>
    <w:uiPriority w:val="0"/>
    <w:rPr>
      <w:kern w:val="2"/>
      <w:sz w:val="21"/>
      <w:szCs w:val="24"/>
    </w:rPr>
  </w:style>
  <w:style w:type="character" w:customStyle="1" w:styleId="90">
    <w:name w:val="正文文本 Char"/>
    <w:link w:val="8"/>
    <w:qFormat/>
    <w:uiPriority w:val="0"/>
    <w:rPr>
      <w:rFonts w:eastAsia="宋体"/>
      <w:b/>
      <w:bCs/>
      <w:kern w:val="2"/>
      <w:sz w:val="24"/>
      <w:szCs w:val="24"/>
      <w:lang w:val="en-US" w:eastAsia="zh-CN" w:bidi="ar-SA"/>
    </w:rPr>
  </w:style>
  <w:style w:type="character" w:customStyle="1" w:styleId="91">
    <w:name w:val="正文文本缩进 2 Char"/>
    <w:link w:val="26"/>
    <w:qFormat/>
    <w:uiPriority w:val="0"/>
    <w:rPr>
      <w:rFonts w:ascii="宋体" w:hAnsi="宋体" w:eastAsia="宋体"/>
      <w:kern w:val="2"/>
      <w:sz w:val="21"/>
      <w:szCs w:val="24"/>
      <w:lang w:val="en-US" w:eastAsia="zh-CN" w:bidi="ar-SA"/>
    </w:rPr>
  </w:style>
  <w:style w:type="character" w:customStyle="1" w:styleId="92">
    <w:name w:val="页眉 Char"/>
    <w:link w:val="29"/>
    <w:qFormat/>
    <w:uiPriority w:val="99"/>
    <w:rPr>
      <w:rFonts w:eastAsia="宋体"/>
      <w:kern w:val="2"/>
      <w:sz w:val="18"/>
      <w:szCs w:val="18"/>
      <w:lang w:val="en-US" w:eastAsia="zh-CN" w:bidi="ar-SA"/>
    </w:rPr>
  </w:style>
  <w:style w:type="character" w:customStyle="1" w:styleId="93">
    <w:name w:val="正文文本缩进 3 Char"/>
    <w:link w:val="33"/>
    <w:qFormat/>
    <w:uiPriority w:val="0"/>
    <w:rPr>
      <w:rFonts w:ascii="宋体" w:eastAsia="宋体"/>
      <w:b/>
      <w:bCs/>
      <w:kern w:val="2"/>
      <w:sz w:val="24"/>
      <w:szCs w:val="24"/>
      <w:lang w:val="en-US" w:eastAsia="zh-CN" w:bidi="ar-SA"/>
    </w:rPr>
  </w:style>
  <w:style w:type="character" w:customStyle="1" w:styleId="94">
    <w:name w:val="正文文本 2 Char"/>
    <w:link w:val="9"/>
    <w:qFormat/>
    <w:uiPriority w:val="0"/>
    <w:rPr>
      <w:rFonts w:eastAsia="宋体"/>
      <w:kern w:val="2"/>
      <w:sz w:val="24"/>
      <w:szCs w:val="24"/>
      <w:lang w:val="en-US" w:eastAsia="zh-CN" w:bidi="ar-SA"/>
    </w:rPr>
  </w:style>
  <w:style w:type="character" w:customStyle="1" w:styleId="95">
    <w:name w:val="页脚 Char"/>
    <w:link w:val="28"/>
    <w:qFormat/>
    <w:uiPriority w:val="0"/>
    <w:rPr>
      <w:rFonts w:eastAsia="宋体"/>
      <w:kern w:val="2"/>
      <w:sz w:val="18"/>
      <w:szCs w:val="18"/>
      <w:lang w:val="en-US" w:eastAsia="zh-CN" w:bidi="ar-SA"/>
    </w:rPr>
  </w:style>
  <w:style w:type="character" w:customStyle="1" w:styleId="96">
    <w:name w:val="正文文本 3 Char"/>
    <w:link w:val="19"/>
    <w:qFormat/>
    <w:uiPriority w:val="0"/>
    <w:rPr>
      <w:rFonts w:eastAsia="宋体"/>
      <w:kern w:val="2"/>
      <w:sz w:val="16"/>
      <w:szCs w:val="16"/>
      <w:lang w:val="en-US" w:eastAsia="zh-CN" w:bidi="ar-SA"/>
    </w:rPr>
  </w:style>
  <w:style w:type="character" w:customStyle="1" w:styleId="97">
    <w:name w:val="批注框文本 Char"/>
    <w:link w:val="27"/>
    <w:semiHidden/>
    <w:qFormat/>
    <w:uiPriority w:val="99"/>
    <w:rPr>
      <w:rFonts w:eastAsia="宋体"/>
      <w:kern w:val="2"/>
      <w:sz w:val="18"/>
      <w:szCs w:val="18"/>
      <w:lang w:val="en-US" w:eastAsia="zh-CN" w:bidi="ar-SA"/>
    </w:rPr>
  </w:style>
  <w:style w:type="paragraph" w:customStyle="1" w:styleId="98">
    <w:name w:val="样式1"/>
    <w:basedOn w:val="39"/>
    <w:qFormat/>
    <w:uiPriority w:val="0"/>
    <w:pPr>
      <w:spacing w:before="120" w:after="120"/>
    </w:pPr>
    <w:rPr>
      <w:rFonts w:eastAsia="黑体"/>
      <w:b w:val="0"/>
      <w:sz w:val="30"/>
      <w:szCs w:val="21"/>
    </w:rPr>
  </w:style>
  <w:style w:type="paragraph" w:customStyle="1" w:styleId="99">
    <w:name w:val="样式2"/>
    <w:basedOn w:val="39"/>
    <w:next w:val="98"/>
    <w:qFormat/>
    <w:uiPriority w:val="0"/>
    <w:pPr>
      <w:spacing w:before="120" w:after="120"/>
    </w:pPr>
    <w:rPr>
      <w:rFonts w:eastAsia="黑体"/>
      <w:b w:val="0"/>
      <w:sz w:val="30"/>
      <w:szCs w:val="30"/>
    </w:rPr>
  </w:style>
  <w:style w:type="character" w:customStyle="1" w:styleId="100">
    <w:name w:val="标题 3 Char Char"/>
    <w:qFormat/>
    <w:uiPriority w:val="0"/>
    <w:rPr>
      <w:rFonts w:eastAsia="宋体"/>
      <w:b/>
      <w:bCs/>
      <w:kern w:val="2"/>
      <w:sz w:val="32"/>
      <w:szCs w:val="32"/>
      <w:lang w:val="en-US" w:eastAsia="zh-CN" w:bidi="ar-SA"/>
    </w:rPr>
  </w:style>
  <w:style w:type="paragraph" w:customStyle="1" w:styleId="101">
    <w:name w:val="Char Char Char Char Char Char1 Char Char Char Char Char Char Char Char Char Char Char Char Char"/>
    <w:basedOn w:val="1"/>
    <w:qFormat/>
    <w:uiPriority w:val="0"/>
    <w:pPr>
      <w:widowControl/>
      <w:spacing w:after="160" w:line="240" w:lineRule="exact"/>
      <w:jc w:val="left"/>
    </w:pPr>
    <w:rPr>
      <w:rFonts w:ascii="Arial" w:hAnsi="Arial" w:eastAsia="Times New Roman" w:cs="Verdana"/>
      <w:b/>
      <w:kern w:val="0"/>
      <w:sz w:val="24"/>
      <w:lang w:eastAsia="en-US"/>
    </w:rPr>
  </w:style>
  <w:style w:type="paragraph" w:customStyle="1" w:styleId="102">
    <w:name w:val="cont"/>
    <w:basedOn w:val="1"/>
    <w:qFormat/>
    <w:uiPriority w:val="0"/>
    <w:pPr>
      <w:adjustRightInd w:val="0"/>
      <w:spacing w:before="100" w:after="100" w:line="360" w:lineRule="auto"/>
      <w:ind w:firstLine="200" w:firstLineChars="200"/>
      <w:jc w:val="left"/>
      <w:textAlignment w:val="baseline"/>
    </w:pPr>
    <w:rPr>
      <w:rFonts w:ascii="Arial" w:hAnsi="Arial"/>
      <w:kern w:val="0"/>
      <w:sz w:val="24"/>
      <w:szCs w:val="20"/>
    </w:rPr>
  </w:style>
  <w:style w:type="paragraph" w:customStyle="1" w:styleId="103">
    <w:name w:val="--规划正文"/>
    <w:basedOn w:val="1"/>
    <w:qFormat/>
    <w:uiPriority w:val="0"/>
    <w:pPr>
      <w:spacing w:line="360" w:lineRule="auto"/>
      <w:ind w:firstLine="200" w:firstLineChars="200"/>
    </w:pPr>
    <w:rPr>
      <w:szCs w:val="20"/>
    </w:rPr>
  </w:style>
  <w:style w:type="paragraph" w:customStyle="1" w:styleId="104">
    <w:name w:val="设计依据"/>
    <w:basedOn w:val="8"/>
    <w:qFormat/>
    <w:uiPriority w:val="0"/>
    <w:pPr>
      <w:numPr>
        <w:ilvl w:val="1"/>
        <w:numId w:val="4"/>
      </w:numPr>
      <w:tabs>
        <w:tab w:val="left" w:pos="1440"/>
        <w:tab w:val="clear" w:pos="840"/>
      </w:tabs>
      <w:adjustRightInd w:val="0"/>
      <w:ind w:left="1440"/>
      <w:textAlignment w:val="baseline"/>
    </w:pPr>
    <w:rPr>
      <w:rFonts w:ascii="宋体" w:hAnsi="宋体"/>
      <w:b w:val="0"/>
      <w:kern w:val="0"/>
      <w:sz w:val="28"/>
      <w:szCs w:val="18"/>
    </w:rPr>
  </w:style>
  <w:style w:type="paragraph" w:customStyle="1" w:styleId="105">
    <w:name w:val="方案要点"/>
    <w:basedOn w:val="1"/>
    <w:qFormat/>
    <w:uiPriority w:val="0"/>
    <w:pPr>
      <w:numPr>
        <w:ilvl w:val="0"/>
        <w:numId w:val="4"/>
      </w:numPr>
      <w:spacing w:line="360" w:lineRule="auto"/>
    </w:pPr>
    <w:rPr>
      <w:rFonts w:ascii="仿宋_GB2312" w:hAnsi="宋体" w:eastAsia="仿宋_GB2312"/>
      <w:color w:val="000000"/>
      <w:sz w:val="28"/>
      <w:szCs w:val="28"/>
    </w:rPr>
  </w:style>
  <w:style w:type="paragraph" w:customStyle="1" w:styleId="106">
    <w:name w:val="样式4"/>
    <w:basedOn w:val="1"/>
    <w:qFormat/>
    <w:uiPriority w:val="0"/>
    <w:pPr>
      <w:tabs>
        <w:tab w:val="left" w:pos="842"/>
      </w:tabs>
      <w:spacing w:line="360" w:lineRule="auto"/>
      <w:ind w:left="842" w:hanging="420"/>
    </w:pPr>
    <w:rPr>
      <w:sz w:val="24"/>
    </w:rPr>
  </w:style>
  <w:style w:type="paragraph" w:customStyle="1" w:styleId="107">
    <w:name w:val="文字"/>
    <w:basedOn w:val="1"/>
    <w:qFormat/>
    <w:uiPriority w:val="0"/>
    <w:pPr>
      <w:tabs>
        <w:tab w:val="left" w:pos="8520"/>
      </w:tabs>
      <w:spacing w:line="312" w:lineRule="auto"/>
      <w:ind w:right="-210" w:firstLine="556"/>
    </w:pPr>
    <w:rPr>
      <w:rFonts w:ascii="宋体"/>
      <w:sz w:val="28"/>
      <w:szCs w:val="20"/>
    </w:rPr>
  </w:style>
  <w:style w:type="paragraph" w:customStyle="1" w:styleId="108">
    <w:name w:val="--规划-表格-居左"/>
    <w:basedOn w:val="103"/>
    <w:qFormat/>
    <w:uiPriority w:val="0"/>
    <w:pPr>
      <w:spacing w:line="240" w:lineRule="auto"/>
      <w:ind w:firstLine="0" w:firstLineChars="0"/>
    </w:pPr>
    <w:rPr>
      <w:sz w:val="20"/>
    </w:rPr>
  </w:style>
  <w:style w:type="paragraph" w:customStyle="1" w:styleId="109">
    <w:name w:val="--规划-表格-居中"/>
    <w:basedOn w:val="103"/>
    <w:qFormat/>
    <w:uiPriority w:val="0"/>
    <w:pPr>
      <w:spacing w:line="240" w:lineRule="auto"/>
      <w:ind w:firstLine="0" w:firstLineChars="0"/>
      <w:jc w:val="center"/>
    </w:pPr>
    <w:rPr>
      <w:sz w:val="20"/>
    </w:rPr>
  </w:style>
  <w:style w:type="paragraph" w:customStyle="1" w:styleId="110">
    <w:name w:val="--编号内缩进"/>
    <w:basedOn w:val="1"/>
    <w:qFormat/>
    <w:uiPriority w:val="0"/>
    <w:pPr>
      <w:spacing w:line="360" w:lineRule="auto"/>
      <w:ind w:left="420" w:firstLine="200" w:firstLineChars="200"/>
    </w:pPr>
    <w:rPr>
      <w:szCs w:val="21"/>
    </w:rPr>
  </w:style>
  <w:style w:type="paragraph" w:customStyle="1" w:styleId="111">
    <w:name w:val="--规划-题注"/>
    <w:basedOn w:val="1"/>
    <w:next w:val="103"/>
    <w:qFormat/>
    <w:uiPriority w:val="0"/>
    <w:pPr>
      <w:spacing w:line="360" w:lineRule="auto"/>
      <w:jc w:val="center"/>
    </w:pPr>
    <w:rPr>
      <w:rFonts w:eastAsia="黑体"/>
    </w:rPr>
  </w:style>
  <w:style w:type="paragraph" w:customStyle="1" w:styleId="112">
    <w:name w:val="--规划-图和表"/>
    <w:next w:val="103"/>
    <w:qFormat/>
    <w:uiPriority w:val="0"/>
    <w:pPr>
      <w:jc w:val="center"/>
    </w:pPr>
    <w:rPr>
      <w:rFonts w:ascii="Times New Roman" w:hAnsi="Times New Roman" w:eastAsia="宋体" w:cs="Times New Roman"/>
      <w:kern w:val="2"/>
      <w:sz w:val="21"/>
      <w:lang w:val="en-US" w:eastAsia="zh-CN" w:bidi="ar-SA"/>
    </w:rPr>
  </w:style>
  <w:style w:type="paragraph" w:customStyle="1" w:styleId="113">
    <w:name w:val="--规划-小标题"/>
    <w:basedOn w:val="1"/>
    <w:next w:val="103"/>
    <w:qFormat/>
    <w:uiPriority w:val="0"/>
    <w:pPr>
      <w:keepNext/>
      <w:keepLines/>
      <w:spacing w:line="360" w:lineRule="auto"/>
      <w:outlineLvl w:val="4"/>
    </w:pPr>
    <w:rPr>
      <w:rFonts w:eastAsia="黑体"/>
    </w:rPr>
  </w:style>
  <w:style w:type="paragraph" w:customStyle="1" w:styleId="114">
    <w:name w:val="--规划正文 Char"/>
    <w:basedOn w:val="1"/>
    <w:qFormat/>
    <w:uiPriority w:val="0"/>
    <w:pPr>
      <w:spacing w:line="360" w:lineRule="auto"/>
      <w:ind w:firstLine="200" w:firstLineChars="200"/>
    </w:pPr>
    <w:rPr>
      <w:sz w:val="24"/>
    </w:rPr>
  </w:style>
  <w:style w:type="paragraph" w:customStyle="1" w:styleId="115">
    <w:name w:val="缺省文本"/>
    <w:basedOn w:val="1"/>
    <w:qFormat/>
    <w:uiPriority w:val="0"/>
    <w:pPr>
      <w:autoSpaceDE w:val="0"/>
      <w:autoSpaceDN w:val="0"/>
      <w:adjustRightInd w:val="0"/>
      <w:jc w:val="left"/>
    </w:pPr>
    <w:rPr>
      <w:kern w:val="0"/>
    </w:rPr>
  </w:style>
  <w:style w:type="paragraph" w:customStyle="1" w:styleId="116">
    <w:name w:val="封面文档标题"/>
    <w:basedOn w:val="1"/>
    <w:qFormat/>
    <w:uiPriority w:val="0"/>
    <w:pPr>
      <w:autoSpaceDE w:val="0"/>
      <w:autoSpaceDN w:val="0"/>
      <w:adjustRightInd w:val="0"/>
      <w:spacing w:line="360" w:lineRule="auto"/>
      <w:jc w:val="center"/>
    </w:pPr>
    <w:rPr>
      <w:rFonts w:ascii="Arial" w:hAnsi="Arial"/>
      <w:b/>
      <w:kern w:val="0"/>
      <w:sz w:val="56"/>
    </w:rPr>
  </w:style>
  <w:style w:type="character" w:customStyle="1" w:styleId="117">
    <w:name w:val="--规划正文 Char Char"/>
    <w:qFormat/>
    <w:uiPriority w:val="0"/>
    <w:rPr>
      <w:rFonts w:eastAsia="宋体"/>
      <w:kern w:val="2"/>
      <w:sz w:val="24"/>
      <w:szCs w:val="24"/>
      <w:lang w:val="en-US" w:eastAsia="zh-CN" w:bidi="ar-SA"/>
    </w:rPr>
  </w:style>
  <w:style w:type="paragraph" w:customStyle="1" w:styleId="118">
    <w:name w:val="样式3"/>
    <w:basedOn w:val="2"/>
    <w:qFormat/>
    <w:uiPriority w:val="0"/>
    <w:pPr>
      <w:numPr>
        <w:ilvl w:val="0"/>
        <w:numId w:val="5"/>
      </w:numPr>
      <w:spacing w:before="240" w:after="240" w:line="480" w:lineRule="auto"/>
      <w:ind w:right="210" w:rightChars="100"/>
      <w:jc w:val="left"/>
    </w:pPr>
    <w:rPr>
      <w:rFonts w:ascii="Times New Roman" w:hAnsi="Times New Roman"/>
      <w:sz w:val="32"/>
    </w:rPr>
  </w:style>
  <w:style w:type="character" w:customStyle="1" w:styleId="119">
    <w:name w:val="--规划正文 Char1"/>
    <w:qFormat/>
    <w:uiPriority w:val="0"/>
    <w:rPr>
      <w:rFonts w:eastAsia="宋体"/>
      <w:kern w:val="2"/>
      <w:sz w:val="21"/>
      <w:lang w:val="en-US" w:eastAsia="zh-CN" w:bidi="ar-SA"/>
    </w:rPr>
  </w:style>
  <w:style w:type="paragraph" w:customStyle="1" w:styleId="120">
    <w:name w:val="word"/>
    <w:basedOn w:val="1"/>
    <w:qFormat/>
    <w:uiPriority w:val="0"/>
    <w:pPr>
      <w:widowControl/>
      <w:spacing w:before="100" w:beforeAutospacing="1" w:after="100" w:afterAutospacing="1" w:line="301" w:lineRule="atLeast"/>
      <w:jc w:val="left"/>
    </w:pPr>
    <w:rPr>
      <w:rFonts w:ascii="ˎ̥" w:hAnsi="ˎ̥"/>
      <w:color w:val="000000"/>
      <w:kern w:val="0"/>
      <w:sz w:val="20"/>
      <w:szCs w:val="20"/>
    </w:rPr>
  </w:style>
  <w:style w:type="paragraph" w:customStyle="1" w:styleId="121">
    <w:name w:val="列表项目"/>
    <w:basedOn w:val="1"/>
    <w:qFormat/>
    <w:uiPriority w:val="0"/>
    <w:pPr>
      <w:tabs>
        <w:tab w:val="left" w:pos="420"/>
        <w:tab w:val="left" w:pos="1080"/>
      </w:tabs>
      <w:spacing w:line="288" w:lineRule="auto"/>
      <w:ind w:left="1080" w:hanging="360"/>
    </w:pPr>
    <w:rPr>
      <w:sz w:val="24"/>
      <w:szCs w:val="20"/>
    </w:rPr>
  </w:style>
  <w:style w:type="character" w:customStyle="1" w:styleId="122">
    <w:name w:val="content1"/>
    <w:qFormat/>
    <w:uiPriority w:val="0"/>
    <w:rPr>
      <w:rFonts w:hint="default" w:ascii="??" w:hAnsi="??"/>
      <w:sz w:val="16"/>
      <w:szCs w:val="16"/>
      <w:u w:val="none"/>
    </w:rPr>
  </w:style>
  <w:style w:type="character" w:customStyle="1" w:styleId="123">
    <w:name w:val="unnamed4"/>
    <w:basedOn w:val="44"/>
    <w:qFormat/>
    <w:uiPriority w:val="0"/>
  </w:style>
  <w:style w:type="character" w:customStyle="1" w:styleId="124">
    <w:name w:val="font2"/>
    <w:basedOn w:val="44"/>
    <w:qFormat/>
    <w:uiPriority w:val="0"/>
  </w:style>
  <w:style w:type="character" w:customStyle="1" w:styleId="125">
    <w:name w:val="font41"/>
    <w:qFormat/>
    <w:uiPriority w:val="0"/>
    <w:rPr>
      <w:color w:val="000000"/>
      <w:spacing w:val="260"/>
      <w:sz w:val="18"/>
      <w:szCs w:val="18"/>
      <w:u w:val="none"/>
    </w:rPr>
  </w:style>
  <w:style w:type="paragraph" w:customStyle="1" w:styleId="126">
    <w:name w:val="正文(首行缩进)"/>
    <w:qFormat/>
    <w:uiPriority w:val="0"/>
    <w:pPr>
      <w:spacing w:line="360" w:lineRule="auto"/>
      <w:ind w:firstLine="488" w:firstLineChars="200"/>
      <w:jc w:val="both"/>
    </w:pPr>
    <w:rPr>
      <w:rFonts w:ascii="Times New Roman" w:hAnsi="Times New Roman" w:eastAsia="仿宋_GB2312" w:cs="Times New Roman"/>
      <w:spacing w:val="2"/>
      <w:sz w:val="24"/>
      <w:szCs w:val="24"/>
      <w:lang w:val="en-US" w:eastAsia="zh-CN" w:bidi="ar-SA"/>
    </w:rPr>
  </w:style>
  <w:style w:type="paragraph" w:customStyle="1" w:styleId="127">
    <w:name w:val="xl72"/>
    <w:basedOn w:val="1"/>
    <w:qFormat/>
    <w:uiPriority w:val="0"/>
    <w:pPr>
      <w:widowControl/>
      <w:spacing w:before="100" w:beforeAutospacing="1" w:after="100" w:afterAutospacing="1"/>
      <w:jc w:val="left"/>
    </w:pPr>
    <w:rPr>
      <w:rFonts w:ascii="宋体" w:hAnsi="宋体"/>
      <w:b/>
      <w:bCs/>
      <w:kern w:val="0"/>
      <w:sz w:val="28"/>
      <w:szCs w:val="28"/>
    </w:rPr>
  </w:style>
  <w:style w:type="character" w:customStyle="1" w:styleId="128">
    <w:name w:val="正文首行缩进 Char"/>
    <w:link w:val="41"/>
    <w:qFormat/>
    <w:uiPriority w:val="0"/>
    <w:rPr>
      <w:rFonts w:eastAsia="宋体"/>
      <w:b/>
      <w:bCs/>
      <w:kern w:val="2"/>
      <w:sz w:val="21"/>
      <w:szCs w:val="24"/>
      <w:lang w:val="en-US" w:eastAsia="zh-CN" w:bidi="ar-SA"/>
    </w:rPr>
  </w:style>
  <w:style w:type="paragraph" w:customStyle="1" w:styleId="129">
    <w:name w:val="正文(首行缩进) Char"/>
    <w:qFormat/>
    <w:uiPriority w:val="0"/>
    <w:pPr>
      <w:spacing w:before="120" w:after="60" w:line="360" w:lineRule="auto"/>
      <w:ind w:firstLine="200" w:firstLineChars="200"/>
    </w:pPr>
    <w:rPr>
      <w:rFonts w:ascii="Times New Roman" w:hAnsi="Times New Roman" w:eastAsia="仿宋_GB2312" w:cs="Times New Roman"/>
      <w:spacing w:val="2"/>
      <w:kern w:val="24"/>
      <w:sz w:val="24"/>
      <w:szCs w:val="24"/>
      <w:lang w:val="en-US" w:eastAsia="zh-CN" w:bidi="ar-SA"/>
    </w:rPr>
  </w:style>
  <w:style w:type="paragraph" w:customStyle="1" w:styleId="130">
    <w:name w:val="汉议细等线简8"/>
    <w:qFormat/>
    <w:uiPriority w:val="0"/>
    <w:pPr>
      <w:widowControl w:val="0"/>
      <w:autoSpaceDE w:val="0"/>
      <w:autoSpaceDN w:val="0"/>
      <w:adjustRightInd w:val="0"/>
      <w:spacing w:line="260" w:lineRule="atLeast"/>
      <w:jc w:val="both"/>
    </w:pPr>
    <w:rPr>
      <w:rFonts w:ascii="汉仪细等线简" w:hAnsi="Times New Roman" w:eastAsia="汉仪细等线简" w:cs="Times New Roman"/>
      <w:color w:val="000000"/>
      <w:sz w:val="16"/>
      <w:szCs w:val="16"/>
      <w:lang w:val="en-US" w:eastAsia="zh-CN" w:bidi="ar-SA"/>
    </w:rPr>
  </w:style>
  <w:style w:type="paragraph" w:customStyle="1" w:styleId="131">
    <w:name w:val="汉仪细等线简9BOLD"/>
    <w:basedOn w:val="1"/>
    <w:qFormat/>
    <w:uiPriority w:val="0"/>
    <w:pPr>
      <w:autoSpaceDE w:val="0"/>
      <w:autoSpaceDN w:val="0"/>
      <w:adjustRightInd w:val="0"/>
      <w:spacing w:line="240" w:lineRule="atLeast"/>
    </w:pPr>
    <w:rPr>
      <w:rFonts w:ascii="汉仪细等线简" w:eastAsia="汉仪细等线简"/>
      <w:b/>
      <w:bCs/>
      <w:kern w:val="0"/>
      <w:sz w:val="18"/>
      <w:szCs w:val="18"/>
    </w:rPr>
  </w:style>
  <w:style w:type="character" w:customStyle="1" w:styleId="132">
    <w:name w:val="mode"/>
    <w:basedOn w:val="44"/>
    <w:qFormat/>
    <w:uiPriority w:val="0"/>
  </w:style>
  <w:style w:type="paragraph" w:customStyle="1" w:styleId="133">
    <w:name w:val="9"/>
    <w:basedOn w:val="1"/>
    <w:next w:val="7"/>
    <w:qFormat/>
    <w:uiPriority w:val="0"/>
    <w:pPr>
      <w:autoSpaceDE w:val="0"/>
      <w:autoSpaceDN w:val="0"/>
      <w:adjustRightInd w:val="0"/>
      <w:ind w:firstLine="420"/>
      <w:jc w:val="left"/>
      <w:textAlignment w:val="baseline"/>
    </w:pPr>
    <w:rPr>
      <w:rFonts w:ascii="宋体"/>
      <w:kern w:val="0"/>
      <w:sz w:val="34"/>
      <w:szCs w:val="20"/>
    </w:rPr>
  </w:style>
  <w:style w:type="character" w:customStyle="1" w:styleId="134">
    <w:name w:val="unnamed3"/>
    <w:basedOn w:val="44"/>
    <w:qFormat/>
    <w:uiPriority w:val="0"/>
  </w:style>
  <w:style w:type="paragraph" w:customStyle="1" w:styleId="135">
    <w:name w:val="8"/>
    <w:basedOn w:val="1"/>
    <w:next w:val="20"/>
    <w:qFormat/>
    <w:uiPriority w:val="0"/>
    <w:pPr>
      <w:spacing w:after="120"/>
      <w:ind w:left="420" w:leftChars="200"/>
    </w:pPr>
  </w:style>
  <w:style w:type="paragraph" w:customStyle="1" w:styleId="136">
    <w:name w:val="7"/>
    <w:basedOn w:val="1"/>
    <w:qFormat/>
    <w:uiPriority w:val="0"/>
    <w:pPr>
      <w:autoSpaceDE w:val="0"/>
      <w:autoSpaceDN w:val="0"/>
      <w:adjustRightInd w:val="0"/>
      <w:spacing w:line="270" w:lineRule="atLeast"/>
      <w:jc w:val="left"/>
    </w:pPr>
    <w:rPr>
      <w:rFonts w:ascii="宋体"/>
      <w:kern w:val="0"/>
      <w:sz w:val="18"/>
      <w:szCs w:val="18"/>
    </w:rPr>
  </w:style>
  <w:style w:type="paragraph" w:customStyle="1" w:styleId="137">
    <w:name w:val="00"/>
    <w:basedOn w:val="1"/>
    <w:qFormat/>
    <w:uiPriority w:val="0"/>
    <w:pPr>
      <w:autoSpaceDE w:val="0"/>
      <w:autoSpaceDN w:val="0"/>
      <w:adjustRightInd w:val="0"/>
      <w:jc w:val="left"/>
    </w:pPr>
    <w:rPr>
      <w:rFonts w:ascii="黑体" w:eastAsia="黑体"/>
      <w:b/>
      <w:bCs/>
      <w:kern w:val="0"/>
      <w:sz w:val="20"/>
      <w:szCs w:val="20"/>
    </w:rPr>
  </w:style>
  <w:style w:type="paragraph" w:customStyle="1" w:styleId="138">
    <w:name w:val="5"/>
    <w:basedOn w:val="1"/>
    <w:qFormat/>
    <w:uiPriority w:val="0"/>
    <w:pPr>
      <w:autoSpaceDE w:val="0"/>
      <w:autoSpaceDN w:val="0"/>
      <w:adjustRightInd w:val="0"/>
      <w:jc w:val="left"/>
    </w:pPr>
    <w:rPr>
      <w:rFonts w:ascii="宋体"/>
      <w:b/>
      <w:bCs/>
      <w:kern w:val="0"/>
      <w:sz w:val="18"/>
      <w:szCs w:val="18"/>
    </w:rPr>
  </w:style>
  <w:style w:type="paragraph" w:customStyle="1" w:styleId="139">
    <w:name w:val="6"/>
    <w:basedOn w:val="138"/>
    <w:qFormat/>
    <w:uiPriority w:val="0"/>
    <w:pPr>
      <w:spacing w:line="270" w:lineRule="atLeast"/>
      <w:jc w:val="both"/>
    </w:pPr>
    <w:rPr>
      <w:b w:val="0"/>
      <w:bCs w:val="0"/>
    </w:rPr>
  </w:style>
  <w:style w:type="paragraph" w:customStyle="1" w:styleId="140">
    <w:name w:val="产品描述"/>
    <w:qFormat/>
    <w:uiPriority w:val="0"/>
    <w:pPr>
      <w:widowControl w:val="0"/>
      <w:autoSpaceDE w:val="0"/>
      <w:autoSpaceDN w:val="0"/>
      <w:adjustRightInd w:val="0"/>
      <w:spacing w:line="270" w:lineRule="atLeast"/>
      <w:ind w:firstLine="397"/>
      <w:jc w:val="both"/>
    </w:pPr>
    <w:rPr>
      <w:rFonts w:ascii="宋体" w:hAnsi="Times New Roman" w:eastAsia="宋体" w:cs="Times New Roman"/>
      <w:sz w:val="18"/>
      <w:szCs w:val="18"/>
      <w:lang w:val="en-US" w:eastAsia="zh-CN" w:bidi="ar-SA"/>
    </w:rPr>
  </w:style>
  <w:style w:type="paragraph" w:customStyle="1" w:styleId="141">
    <w:name w:val="姜文清定义的正文"/>
    <w:basedOn w:val="1"/>
    <w:qFormat/>
    <w:uiPriority w:val="0"/>
    <w:pPr>
      <w:spacing w:line="240" w:lineRule="atLeast"/>
      <w:ind w:firstLine="567"/>
    </w:pPr>
    <w:rPr>
      <w:szCs w:val="20"/>
    </w:rPr>
  </w:style>
  <w:style w:type="paragraph" w:customStyle="1" w:styleId="142">
    <w:name w:val="Default"/>
    <w:qFormat/>
    <w:uiPriority w:val="0"/>
    <w:pPr>
      <w:widowControl w:val="0"/>
      <w:autoSpaceDE w:val="0"/>
      <w:autoSpaceDN w:val="0"/>
      <w:adjustRightInd w:val="0"/>
    </w:pPr>
    <w:rPr>
      <w:rFonts w:ascii="H Yb 2gj" w:hAnsi="Times New Roman" w:eastAsia="H Yb 2gj" w:cs="H Yb 2gj"/>
      <w:color w:val="000000"/>
      <w:sz w:val="24"/>
      <w:szCs w:val="24"/>
      <w:lang w:val="en-US" w:eastAsia="zh-CN" w:bidi="ar-SA"/>
    </w:rPr>
  </w:style>
  <w:style w:type="paragraph" w:customStyle="1" w:styleId="143">
    <w:name w:val="CM2"/>
    <w:basedOn w:val="142"/>
    <w:next w:val="142"/>
    <w:qFormat/>
    <w:uiPriority w:val="0"/>
    <w:pPr>
      <w:spacing w:line="200" w:lineRule="atLeast"/>
    </w:pPr>
    <w:rPr>
      <w:rFonts w:ascii="Arial" w:hAnsi="Arial" w:eastAsia="宋体" w:cs="Times New Roman"/>
      <w:color w:val="auto"/>
    </w:rPr>
  </w:style>
  <w:style w:type="paragraph" w:customStyle="1" w:styleId="144">
    <w:name w:val="Normal Paragraph"/>
    <w:basedOn w:val="1"/>
    <w:qFormat/>
    <w:uiPriority w:val="0"/>
    <w:pPr>
      <w:widowControl/>
      <w:spacing w:before="120" w:line="360" w:lineRule="auto"/>
      <w:ind w:firstLine="425"/>
    </w:pPr>
    <w:rPr>
      <w:kern w:val="0"/>
      <w:sz w:val="24"/>
    </w:rPr>
  </w:style>
  <w:style w:type="character" w:customStyle="1" w:styleId="145">
    <w:name w:val="blue"/>
    <w:basedOn w:val="44"/>
    <w:qFormat/>
    <w:uiPriority w:val="0"/>
  </w:style>
  <w:style w:type="paragraph" w:customStyle="1" w:styleId="146">
    <w:name w:val="blue1"/>
    <w:basedOn w:val="1"/>
    <w:qFormat/>
    <w:uiPriority w:val="0"/>
    <w:pPr>
      <w:widowControl/>
      <w:spacing w:before="100" w:beforeAutospacing="1" w:after="100" w:afterAutospacing="1"/>
      <w:jc w:val="left"/>
    </w:pPr>
    <w:rPr>
      <w:rFonts w:ascii="宋体" w:hAnsi="宋体" w:cs="宋体"/>
      <w:kern w:val="0"/>
      <w:sz w:val="24"/>
    </w:rPr>
  </w:style>
  <w:style w:type="character" w:customStyle="1" w:styleId="147">
    <w:name w:val="font"/>
    <w:basedOn w:val="44"/>
    <w:qFormat/>
    <w:uiPriority w:val="0"/>
  </w:style>
  <w:style w:type="character" w:customStyle="1" w:styleId="148">
    <w:name w:val="font11"/>
    <w:qFormat/>
    <w:uiPriority w:val="0"/>
    <w:rPr>
      <w:rFonts w:hint="default" w:ascii="ˎ̥" w:hAnsi="ˎ̥"/>
    </w:rPr>
  </w:style>
  <w:style w:type="paragraph" w:customStyle="1" w:styleId="149">
    <w:name w:val="a14"/>
    <w:basedOn w:val="1"/>
    <w:qFormat/>
    <w:uiPriority w:val="0"/>
    <w:pPr>
      <w:widowControl/>
      <w:spacing w:before="100" w:beforeAutospacing="1" w:after="100" w:afterAutospacing="1" w:line="300" w:lineRule="atLeast"/>
      <w:ind w:firstLine="375"/>
      <w:jc w:val="left"/>
    </w:pPr>
    <w:rPr>
      <w:rFonts w:ascii="宋体" w:hAnsi="宋体" w:cs="宋体"/>
      <w:kern w:val="0"/>
      <w:szCs w:val="21"/>
    </w:rPr>
  </w:style>
  <w:style w:type="character" w:customStyle="1" w:styleId="150">
    <w:name w:val="proddescription"/>
    <w:basedOn w:val="44"/>
    <w:qFormat/>
    <w:uiPriority w:val="0"/>
  </w:style>
  <w:style w:type="character" w:customStyle="1" w:styleId="151">
    <w:name w:val="prodheadlines"/>
    <w:basedOn w:val="44"/>
    <w:qFormat/>
    <w:uiPriority w:val="0"/>
  </w:style>
  <w:style w:type="character" w:customStyle="1" w:styleId="152">
    <w:name w:val="text"/>
    <w:basedOn w:val="44"/>
    <w:qFormat/>
    <w:uiPriority w:val="0"/>
  </w:style>
  <w:style w:type="paragraph" w:customStyle="1" w:styleId="153">
    <w:name w:val="text1"/>
    <w:basedOn w:val="1"/>
    <w:qFormat/>
    <w:uiPriority w:val="0"/>
    <w:pPr>
      <w:widowControl/>
      <w:spacing w:before="100" w:beforeAutospacing="1" w:after="100" w:afterAutospacing="1"/>
      <w:jc w:val="left"/>
    </w:pPr>
    <w:rPr>
      <w:rFonts w:ascii="宋体" w:hAnsi="宋体" w:cs="宋体"/>
      <w:kern w:val="0"/>
      <w:sz w:val="24"/>
    </w:rPr>
  </w:style>
  <w:style w:type="paragraph" w:customStyle="1" w:styleId="154">
    <w:name w:val="z-窗体顶端1"/>
    <w:basedOn w:val="1"/>
    <w:next w:val="1"/>
    <w:hidden/>
    <w:qFormat/>
    <w:uiPriority w:val="0"/>
    <w:pPr>
      <w:widowControl/>
      <w:pBdr>
        <w:bottom w:val="single" w:color="auto" w:sz="6" w:space="1"/>
      </w:pBdr>
      <w:jc w:val="center"/>
    </w:pPr>
    <w:rPr>
      <w:rFonts w:ascii="Arial" w:hAnsi="Arial" w:cs="Arial"/>
      <w:vanish/>
      <w:kern w:val="0"/>
      <w:sz w:val="16"/>
      <w:szCs w:val="16"/>
    </w:rPr>
  </w:style>
  <w:style w:type="paragraph" w:customStyle="1" w:styleId="155">
    <w:name w:val="z-窗体底端1"/>
    <w:basedOn w:val="1"/>
    <w:next w:val="1"/>
    <w:hidden/>
    <w:qFormat/>
    <w:uiPriority w:val="0"/>
    <w:pPr>
      <w:widowControl/>
      <w:pBdr>
        <w:top w:val="single" w:color="auto" w:sz="6" w:space="1"/>
      </w:pBdr>
      <w:jc w:val="center"/>
    </w:pPr>
    <w:rPr>
      <w:rFonts w:ascii="Arial" w:hAnsi="Arial" w:cs="Arial"/>
      <w:vanish/>
      <w:kern w:val="0"/>
      <w:sz w:val="16"/>
      <w:szCs w:val="16"/>
    </w:rPr>
  </w:style>
  <w:style w:type="paragraph" w:customStyle="1" w:styleId="156">
    <w:name w:val="正文样式"/>
    <w:basedOn w:val="1"/>
    <w:qFormat/>
    <w:uiPriority w:val="0"/>
    <w:pPr>
      <w:adjustRightInd w:val="0"/>
      <w:spacing w:line="400" w:lineRule="atLeast"/>
      <w:ind w:firstLine="570" w:firstLineChars="203"/>
      <w:textAlignment w:val="baseline"/>
    </w:pPr>
    <w:rPr>
      <w:rFonts w:eastAsia="仿宋_GB2312"/>
      <w:kern w:val="0"/>
      <w:sz w:val="28"/>
      <w:szCs w:val="20"/>
    </w:rPr>
  </w:style>
  <w:style w:type="paragraph" w:customStyle="1" w:styleId="157">
    <w:name w:val="xl34"/>
    <w:basedOn w:val="1"/>
    <w:qFormat/>
    <w:uiPriority w:val="0"/>
    <w:pPr>
      <w:widowControl/>
      <w:pBdr>
        <w:left w:val="single" w:color="auto" w:sz="4" w:space="0"/>
      </w:pBdr>
      <w:spacing w:before="100" w:beforeAutospacing="1" w:after="100" w:afterAutospacing="1"/>
      <w:jc w:val="center"/>
      <w:textAlignment w:val="center"/>
    </w:pPr>
    <w:rPr>
      <w:rFonts w:ascii="宋体" w:hAnsi="宋体"/>
      <w:kern w:val="0"/>
      <w:sz w:val="24"/>
    </w:rPr>
  </w:style>
  <w:style w:type="paragraph" w:customStyle="1" w:styleId="158">
    <w:name w:val="段落正文"/>
    <w:basedOn w:val="23"/>
    <w:qFormat/>
    <w:uiPriority w:val="0"/>
    <w:pPr>
      <w:ind w:firstLine="560" w:firstLineChars="200"/>
    </w:pPr>
    <w:rPr>
      <w:sz w:val="28"/>
    </w:rPr>
  </w:style>
  <w:style w:type="character" w:customStyle="1" w:styleId="159">
    <w:name w:val="gray6"/>
    <w:basedOn w:val="44"/>
    <w:qFormat/>
    <w:uiPriority w:val="0"/>
  </w:style>
  <w:style w:type="character" w:customStyle="1" w:styleId="160">
    <w:name w:val="style9"/>
    <w:basedOn w:val="44"/>
    <w:qFormat/>
    <w:uiPriority w:val="0"/>
  </w:style>
  <w:style w:type="paragraph" w:customStyle="1" w:styleId="161">
    <w:name w:val="2册标题4"/>
    <w:basedOn w:val="1"/>
    <w:next w:val="1"/>
    <w:qFormat/>
    <w:uiPriority w:val="0"/>
    <w:pPr>
      <w:spacing w:beforeLines="50" w:afterLines="50" w:line="300" w:lineRule="auto"/>
      <w:ind w:left="420" w:leftChars="200"/>
      <w:outlineLvl w:val="3"/>
    </w:pPr>
    <w:rPr>
      <w:rFonts w:ascii="Arial" w:hAnsi="Arial" w:eastAsia="幼圆" w:cs="Arial"/>
      <w:b/>
      <w:sz w:val="24"/>
    </w:rPr>
  </w:style>
  <w:style w:type="character" w:customStyle="1" w:styleId="162">
    <w:name w:val="grame"/>
    <w:basedOn w:val="44"/>
    <w:qFormat/>
    <w:uiPriority w:val="0"/>
  </w:style>
  <w:style w:type="paragraph" w:customStyle="1" w:styleId="163">
    <w:name w:val="style2"/>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64">
    <w:name w:val="Char1"/>
    <w:basedOn w:val="1"/>
    <w:qFormat/>
    <w:uiPriority w:val="0"/>
    <w:pPr>
      <w:jc w:val="left"/>
    </w:pPr>
    <w:rPr>
      <w:rFonts w:ascii="Tahoma" w:hAnsi="Tahoma"/>
      <w:sz w:val="24"/>
      <w:szCs w:val="20"/>
    </w:rPr>
  </w:style>
  <w:style w:type="paragraph" w:customStyle="1" w:styleId="165">
    <w:name w:val="编号1"/>
    <w:basedOn w:val="1"/>
    <w:qFormat/>
    <w:uiPriority w:val="0"/>
    <w:pPr>
      <w:numPr>
        <w:ilvl w:val="0"/>
        <w:numId w:val="6"/>
      </w:numPr>
      <w:adjustRightInd w:val="0"/>
      <w:spacing w:line="300" w:lineRule="auto"/>
      <w:ind w:right="210"/>
      <w:textAlignment w:val="center"/>
    </w:pPr>
    <w:rPr>
      <w:rFonts w:ascii="宋体" w:hAnsi="宋体"/>
      <w:snapToGrid w:val="0"/>
      <w:spacing w:val="10"/>
      <w:kern w:val="24"/>
    </w:rPr>
  </w:style>
  <w:style w:type="paragraph" w:customStyle="1" w:styleId="166">
    <w:name w:val="Char Char Char Char Char Char Char Char Char Char Char Char Char Char Char Char Char Char Char Char Char Char"/>
    <w:basedOn w:val="1"/>
    <w:qFormat/>
    <w:uiPriority w:val="0"/>
    <w:pPr>
      <w:widowControl/>
      <w:spacing w:line="400" w:lineRule="exact"/>
      <w:jc w:val="center"/>
    </w:pPr>
    <w:rPr>
      <w:rFonts w:ascii="Verdana" w:hAnsi="Verdana"/>
      <w:kern w:val="0"/>
      <w:szCs w:val="20"/>
      <w:lang w:eastAsia="en-US"/>
    </w:rPr>
  </w:style>
  <w:style w:type="paragraph" w:customStyle="1" w:styleId="167">
    <w:name w:val="font0"/>
    <w:basedOn w:val="1"/>
    <w:qFormat/>
    <w:uiPriority w:val="0"/>
    <w:pPr>
      <w:widowControl/>
      <w:spacing w:before="100" w:beforeAutospacing="1" w:after="100" w:afterAutospacing="1"/>
      <w:jc w:val="left"/>
    </w:pPr>
    <w:rPr>
      <w:rFonts w:hint="eastAsia" w:ascii="宋体" w:hAnsi="宋体"/>
      <w:kern w:val="0"/>
      <w:sz w:val="24"/>
    </w:rPr>
  </w:style>
  <w:style w:type="paragraph" w:customStyle="1" w:styleId="168">
    <w:name w:val="font5"/>
    <w:basedOn w:val="1"/>
    <w:qFormat/>
    <w:uiPriority w:val="0"/>
    <w:pPr>
      <w:widowControl/>
      <w:spacing w:before="100" w:beforeAutospacing="1" w:after="100" w:afterAutospacing="1"/>
      <w:jc w:val="left"/>
    </w:pPr>
    <w:rPr>
      <w:rFonts w:hint="eastAsia" w:ascii="宋体" w:hAnsi="宋体"/>
      <w:kern w:val="0"/>
      <w:sz w:val="18"/>
      <w:szCs w:val="18"/>
    </w:rPr>
  </w:style>
  <w:style w:type="paragraph" w:customStyle="1" w:styleId="169">
    <w:name w:val="font6"/>
    <w:basedOn w:val="1"/>
    <w:qFormat/>
    <w:uiPriority w:val="0"/>
    <w:pPr>
      <w:widowControl/>
      <w:spacing w:before="100" w:beforeAutospacing="1" w:after="100" w:afterAutospacing="1"/>
      <w:jc w:val="left"/>
    </w:pPr>
    <w:rPr>
      <w:kern w:val="0"/>
      <w:sz w:val="24"/>
    </w:rPr>
  </w:style>
  <w:style w:type="paragraph" w:customStyle="1" w:styleId="170">
    <w:name w:val="xl2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kern w:val="0"/>
      <w:sz w:val="24"/>
    </w:rPr>
  </w:style>
  <w:style w:type="paragraph" w:customStyle="1" w:styleId="171">
    <w:name w:val="xl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kern w:val="0"/>
      <w:sz w:val="24"/>
    </w:rPr>
  </w:style>
  <w:style w:type="paragraph" w:customStyle="1" w:styleId="172">
    <w:name w:val="表格字"/>
    <w:basedOn w:val="1"/>
    <w:qFormat/>
    <w:uiPriority w:val="0"/>
    <w:pPr>
      <w:adjustRightInd w:val="0"/>
      <w:jc w:val="center"/>
    </w:pPr>
    <w:rPr>
      <w:rFonts w:ascii="宋体"/>
      <w:sz w:val="24"/>
      <w:szCs w:val="20"/>
    </w:rPr>
  </w:style>
  <w:style w:type="character" w:customStyle="1" w:styleId="173">
    <w:name w:val="样式 小三 加粗"/>
    <w:qFormat/>
    <w:uiPriority w:val="0"/>
    <w:rPr>
      <w:rFonts w:eastAsia="宋体"/>
      <w:b/>
      <w:bCs/>
      <w:sz w:val="32"/>
    </w:rPr>
  </w:style>
  <w:style w:type="paragraph" w:customStyle="1" w:styleId="174">
    <w:name w:val="xl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175">
    <w:name w:val="qw"/>
    <w:qFormat/>
    <w:uiPriority w:val="0"/>
    <w:pPr>
      <w:widowControl w:val="0"/>
      <w:adjustRightInd w:val="0"/>
      <w:spacing w:line="312" w:lineRule="atLeast"/>
      <w:jc w:val="both"/>
      <w:textAlignment w:val="baseline"/>
    </w:pPr>
    <w:rPr>
      <w:rFonts w:ascii="宋体" w:hAnsi="Times New Roman" w:eastAsia="宋体" w:cs="Times New Roman"/>
      <w:sz w:val="24"/>
      <w:lang w:val="en-US" w:eastAsia="zh-CN" w:bidi="ar-SA"/>
    </w:rPr>
  </w:style>
  <w:style w:type="paragraph" w:customStyle="1" w:styleId="176">
    <w:name w:val="Char Char Char"/>
    <w:basedOn w:val="1"/>
    <w:qFormat/>
    <w:uiPriority w:val="0"/>
    <w:rPr>
      <w:rFonts w:ascii="Tahoma" w:hAnsi="Tahoma"/>
      <w:sz w:val="24"/>
      <w:szCs w:val="20"/>
    </w:rPr>
  </w:style>
  <w:style w:type="paragraph" w:customStyle="1" w:styleId="177">
    <w:name w:val="Char2"/>
    <w:basedOn w:val="1"/>
    <w:qFormat/>
    <w:uiPriority w:val="0"/>
    <w:pPr>
      <w:widowControl/>
      <w:spacing w:after="160" w:line="240" w:lineRule="exact"/>
      <w:jc w:val="left"/>
    </w:pPr>
    <w:rPr>
      <w:rFonts w:ascii="Verdana" w:hAnsi="Verdana" w:eastAsia="仿宋_GB2312"/>
      <w:kern w:val="0"/>
      <w:sz w:val="24"/>
      <w:szCs w:val="20"/>
      <w:lang w:eastAsia="en-US"/>
    </w:rPr>
  </w:style>
  <w:style w:type="character" w:customStyle="1" w:styleId="178">
    <w:name w:val="info4"/>
    <w:basedOn w:val="44"/>
    <w:qFormat/>
    <w:uiPriority w:val="0"/>
  </w:style>
  <w:style w:type="paragraph" w:customStyle="1" w:styleId="179">
    <w:name w:val="缩进正文"/>
    <w:basedOn w:val="1"/>
    <w:link w:val="180"/>
    <w:qFormat/>
    <w:uiPriority w:val="0"/>
    <w:pPr>
      <w:ind w:firstLine="560" w:firstLineChars="200"/>
    </w:pPr>
    <w:rPr>
      <w:rFonts w:eastAsia="仿宋_GB2312" w:cs="宋体"/>
      <w:sz w:val="28"/>
      <w:szCs w:val="20"/>
    </w:rPr>
  </w:style>
  <w:style w:type="character" w:customStyle="1" w:styleId="180">
    <w:name w:val="缩进正文 Char"/>
    <w:link w:val="179"/>
    <w:qFormat/>
    <w:uiPriority w:val="0"/>
    <w:rPr>
      <w:rFonts w:eastAsia="仿宋_GB2312" w:cs="宋体"/>
      <w:kern w:val="2"/>
      <w:sz w:val="28"/>
      <w:lang w:val="en-US" w:eastAsia="zh-CN" w:bidi="ar-SA"/>
    </w:rPr>
  </w:style>
  <w:style w:type="paragraph" w:customStyle="1" w:styleId="181">
    <w:name w:val="列出段落1"/>
    <w:basedOn w:val="1"/>
    <w:qFormat/>
    <w:uiPriority w:val="0"/>
    <w:pPr>
      <w:ind w:firstLine="420" w:firstLineChars="200"/>
    </w:pPr>
    <w:rPr>
      <w:rFonts w:ascii="Calibri" w:hAnsi="Calibri" w:cs="Calibri"/>
      <w:szCs w:val="21"/>
    </w:rPr>
  </w:style>
  <w:style w:type="character" w:customStyle="1" w:styleId="182">
    <w:name w:val="批注文字 Char"/>
    <w:basedOn w:val="44"/>
    <w:link w:val="18"/>
    <w:qFormat/>
    <w:uiPriority w:val="99"/>
    <w:rPr>
      <w:rFonts w:ascii="宋体"/>
      <w:sz w:val="34"/>
    </w:rPr>
  </w:style>
  <w:style w:type="character" w:customStyle="1" w:styleId="183">
    <w:name w:val="批注主题 Char"/>
    <w:basedOn w:val="182"/>
    <w:link w:val="40"/>
    <w:qFormat/>
    <w:uiPriority w:val="99"/>
    <w:rPr>
      <w:rFonts w:ascii="宋体"/>
      <w:sz w:val="34"/>
    </w:rPr>
  </w:style>
  <w:style w:type="paragraph" w:customStyle="1" w:styleId="184">
    <w:name w:val="评价"/>
    <w:basedOn w:val="1"/>
    <w:qFormat/>
    <w:uiPriority w:val="0"/>
    <w:pPr>
      <w:spacing w:afterLines="20"/>
      <w:ind w:firstLine="1446" w:firstLineChars="200"/>
    </w:pPr>
    <w:rPr>
      <w:rFonts w:ascii="Calibri" w:hAnsi="Calibri"/>
      <w:sz w:val="24"/>
    </w:rPr>
  </w:style>
  <w:style w:type="paragraph" w:customStyle="1" w:styleId="185">
    <w:name w:val="修订1"/>
    <w:hidden/>
    <w:semiHidden/>
    <w:qFormat/>
    <w:uiPriority w:val="99"/>
    <w:rPr>
      <w:rFonts w:ascii="Times New Roman" w:hAnsi="Times New Roman" w:eastAsia="宋体" w:cs="Times New Roman"/>
      <w:kern w:val="2"/>
      <w:sz w:val="21"/>
      <w:szCs w:val="24"/>
      <w:lang w:val="en-US" w:eastAsia="zh-CN" w:bidi="ar-SA"/>
    </w:rPr>
  </w:style>
  <w:style w:type="character" w:customStyle="1" w:styleId="186">
    <w:name w:val="alt-edited1"/>
    <w:qFormat/>
    <w:uiPriority w:val="0"/>
    <w:rPr>
      <w:color w:val="4D90F0"/>
    </w:rPr>
  </w:style>
  <w:style w:type="character" w:customStyle="1" w:styleId="187">
    <w:name w:val="body text Char1"/>
    <w:qFormat/>
    <w:uiPriority w:val="0"/>
    <w:rPr>
      <w:rFonts w:eastAsia="宋体"/>
      <w:kern w:val="2"/>
      <w:sz w:val="21"/>
      <w:lang w:val="en-US" w:eastAsia="zh-CN" w:bidi="ar-SA"/>
    </w:rPr>
  </w:style>
  <w:style w:type="character" w:customStyle="1" w:styleId="188">
    <w:name w:val="普通(网站) Char"/>
    <w:link w:val="37"/>
    <w:qFormat/>
    <w:uiPriority w:val="0"/>
    <w:rPr>
      <w:kern w:val="2"/>
      <w:sz w:val="24"/>
      <w:szCs w:val="24"/>
    </w:rPr>
  </w:style>
  <w:style w:type="character" w:customStyle="1" w:styleId="189">
    <w:name w:val="批注文字 Char1"/>
    <w:qFormat/>
    <w:uiPriority w:val="99"/>
    <w:rPr>
      <w:rFonts w:ascii="宋体"/>
      <w:sz w:val="34"/>
    </w:rPr>
  </w:style>
  <w:style w:type="character" w:customStyle="1" w:styleId="190">
    <w:name w:val="正文缩进 Char1"/>
    <w:qFormat/>
    <w:uiPriority w:val="0"/>
    <w:rPr>
      <w:rFonts w:eastAsia="宋体"/>
      <w:kern w:val="2"/>
      <w:sz w:val="21"/>
      <w:lang w:val="en-US" w:eastAsia="zh-CN" w:bidi="ar-SA"/>
    </w:rPr>
  </w:style>
  <w:style w:type="table" w:customStyle="1" w:styleId="191">
    <w:name w:val="网格型1"/>
    <w:basedOn w:val="42"/>
    <w:qFormat/>
    <w:uiPriority w:val="0"/>
    <w:pPr>
      <w:widowControl w:val="0"/>
      <w:jc w:val="both"/>
    </w:pPr>
    <w:rPr>
      <w:rFonts w:eastAsiaTheme="minorEastAsi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92">
    <w:name w:val="Revision"/>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image" Target="media/image4.png"/><Relationship Id="rId12" Type="http://schemas.openxmlformats.org/officeDocument/2006/relationships/image" Target="media/image3.png"/><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56</Pages>
  <Words>4261</Words>
  <Characters>4455</Characters>
  <Lines>332</Lines>
  <Paragraphs>93</Paragraphs>
  <TotalTime>42</TotalTime>
  <ScaleCrop>false</ScaleCrop>
  <LinksUpToDate>false</LinksUpToDate>
  <CharactersWithSpaces>4491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2021-04-19T08:29:00Z</dcterms:created>
  <dc:creator>thsware</dc:creator>
  <cp:lastModifiedBy>郑燕怡</cp:lastModifiedBy>
  <cp:lastPrinted>2021-05-09T08:02:00Z</cp:lastPrinted>
  <dcterms:modified xsi:type="dcterms:W3CDTF">2025-03-18T02:36:23Z</dcterms:modified>
  <dc:title>招  标　文　件</dc:title>
  <cp:revision>83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A9D8EFBAE24240BDAB2BB793F524C176</vt:lpwstr>
  </property>
  <property fmtid="{D5CDD505-2E9C-101B-9397-08002B2CF9AE}" pid="4" name="KSOTemplateDocerSaveRecord">
    <vt:lpwstr>eyJoZGlkIjoiYjE5OTcwMzQxZDVkODc4NGRlNTVhYjhlMWUxM2VjMzYiLCJ1c2VySWQiOiI3Nzc5NTg1MDkifQ==</vt:lpwstr>
  </property>
</Properties>
</file>