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0"/>
        <w:jc w:val="center"/>
        <w:textAlignment w:val="auto"/>
        <w:rPr>
          <w:rFonts w:ascii="宋体" w:hAnsi="宋体" w:eastAsia="宋体" w:cs="宋体"/>
          <w:b/>
          <w:bCs/>
          <w:color w:val="auto"/>
          <w:sz w:val="44"/>
          <w:szCs w:val="44"/>
          <w:highlight w:val="none"/>
        </w:rPr>
      </w:pPr>
      <w:r>
        <w:rPr>
          <w:rFonts w:hint="default" w:ascii="宋体" w:hAnsi="宋体" w:eastAsia="宋体" w:cs="宋体"/>
          <w:b/>
          <w:bCs/>
          <w:color w:val="auto"/>
          <w:sz w:val="44"/>
          <w:szCs w:val="44"/>
          <w:highlight w:val="none"/>
        </w:rPr>
        <w:t>科学实验秀表演</w:t>
      </w:r>
      <w:r>
        <w:rPr>
          <w:rFonts w:hint="eastAsia" w:ascii="宋体" w:hAnsi="宋体" w:eastAsia="宋体" w:cs="宋体"/>
          <w:b/>
          <w:bCs/>
          <w:color w:val="auto"/>
          <w:sz w:val="44"/>
          <w:szCs w:val="44"/>
          <w:highlight w:val="none"/>
        </w:rPr>
        <w:t>服务采购需求书</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黑体" w:hAnsi="黑体" w:eastAsia="黑体"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黑体" w:hAnsi="黑体" w:eastAsia="黑体" w:cs="仿宋"/>
          <w:color w:val="auto"/>
          <w:sz w:val="32"/>
          <w:szCs w:val="32"/>
        </w:rPr>
      </w:pPr>
      <w:r>
        <w:rPr>
          <w:rFonts w:hint="eastAsia" w:ascii="黑体" w:hAnsi="黑体" w:eastAsia="黑体" w:cs="仿宋"/>
          <w:color w:val="auto"/>
          <w:sz w:val="32"/>
          <w:szCs w:val="32"/>
        </w:rPr>
        <w:t>一、采购项目概况</w:t>
      </w:r>
    </w:p>
    <w:p>
      <w:pPr>
        <w:keepNext w:val="0"/>
        <w:keepLines w:val="0"/>
        <w:pageBreakBefore w:val="0"/>
        <w:widowControl/>
        <w:suppressLineNumber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科学实验秀是宝安</w:t>
      </w:r>
      <w:r>
        <w:rPr>
          <w:rFonts w:hint="default" w:ascii="仿宋" w:hAnsi="仿宋" w:eastAsia="仿宋" w:cs="仿宋"/>
          <w:color w:val="auto"/>
          <w:sz w:val="32"/>
          <w:szCs w:val="32"/>
          <w:highlight w:val="none"/>
          <w:lang w:eastAsia="zh-CN"/>
        </w:rPr>
        <w:t>科技馆</w:t>
      </w:r>
      <w:r>
        <w:rPr>
          <w:rFonts w:hint="eastAsia" w:ascii="仿宋" w:hAnsi="仿宋" w:eastAsia="仿宋" w:cs="仿宋"/>
          <w:color w:val="auto"/>
          <w:sz w:val="32"/>
          <w:szCs w:val="32"/>
          <w:highlight w:val="none"/>
          <w:lang w:val="en-US" w:eastAsia="zh-CN"/>
        </w:rPr>
        <w:t>的明星</w:t>
      </w:r>
      <w:r>
        <w:rPr>
          <w:rFonts w:hint="default" w:ascii="仿宋" w:hAnsi="仿宋" w:eastAsia="仿宋" w:cs="仿宋"/>
          <w:color w:val="auto"/>
          <w:sz w:val="32"/>
          <w:szCs w:val="32"/>
          <w:highlight w:val="none"/>
          <w:lang w:eastAsia="zh-CN"/>
        </w:rPr>
        <w:t>项目</w:t>
      </w:r>
      <w:r>
        <w:rPr>
          <w:rFonts w:hint="eastAsia" w:ascii="仿宋" w:hAnsi="仿宋" w:eastAsia="仿宋" w:cs="仿宋"/>
          <w:color w:val="auto"/>
          <w:sz w:val="32"/>
          <w:szCs w:val="32"/>
          <w:highlight w:val="none"/>
          <w:lang w:val="en-US" w:eastAsia="zh-CN"/>
        </w:rPr>
        <w:t>，通过</w:t>
      </w:r>
      <w:r>
        <w:rPr>
          <w:rFonts w:hint="default" w:ascii="仿宋" w:hAnsi="仿宋" w:eastAsia="仿宋" w:cs="仿宋"/>
          <w:color w:val="auto"/>
          <w:sz w:val="32"/>
          <w:szCs w:val="32"/>
          <w:highlight w:val="none"/>
          <w:lang w:eastAsia="zh-CN"/>
        </w:rPr>
        <w:t>生动、直观的实验演示和互动环节，让观众尤其是青少年儿童在轻松愉快的氛围中感受科学的魅力，激发对科学探索的兴趣。</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黑体" w:hAnsi="黑体" w:eastAsia="黑体" w:cs="仿宋"/>
          <w:color w:val="auto"/>
          <w:sz w:val="32"/>
          <w:szCs w:val="32"/>
        </w:rPr>
      </w:pPr>
      <w:r>
        <w:rPr>
          <w:rFonts w:hint="eastAsia" w:ascii="黑体" w:hAnsi="黑体" w:eastAsia="黑体" w:cs="仿宋"/>
          <w:color w:val="auto"/>
          <w:sz w:val="32"/>
          <w:szCs w:val="32"/>
        </w:rPr>
        <w:t>二、项目管理和服务要求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（一）服务期限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本项目合同履行期限：本项目服务期限</w:t>
      </w:r>
      <w:r>
        <w:rPr>
          <w:rFonts w:hint="default" w:ascii="仿宋" w:hAnsi="仿宋" w:eastAsia="仿宋" w:cs="仿宋"/>
          <w:color w:val="auto"/>
          <w:sz w:val="32"/>
          <w:szCs w:val="32"/>
          <w:highlight w:val="none"/>
        </w:rPr>
        <w:t>截止至2026年年11月</w:t>
      </w:r>
      <w:r>
        <w:rPr>
          <w:rFonts w:hint="eastAsia" w:ascii="仿宋" w:hAnsi="仿宋" w:eastAsia="仿宋" w:cs="仿宋"/>
          <w:color w:val="auto"/>
          <w:sz w:val="32"/>
          <w:szCs w:val="32"/>
          <w:highlight w:val="none"/>
        </w:rPr>
        <w:t>，服务起始时间以合同约定日期为准。</w:t>
      </w:r>
    </w:p>
    <w:p>
      <w:pPr>
        <w:pStyle w:val="6"/>
        <w:keepNext w:val="0"/>
        <w:keepLines w:val="0"/>
        <w:pageBreakBefore w:val="0"/>
        <w:widowControl w:val="0"/>
        <w:kinsoku/>
        <w:wordWrap/>
        <w:overflowPunct/>
        <w:topLinePunct w:val="0"/>
        <w:autoSpaceDE/>
        <w:autoSpaceDN/>
        <w:bidi w:val="0"/>
        <w:spacing w:line="560" w:lineRule="exact"/>
        <w:ind w:firstLine="642" w:firstLineChars="200"/>
        <w:textAlignment w:val="auto"/>
        <w:rPr>
          <w:rFonts w:hint="default"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w:t>
      </w:r>
      <w:r>
        <w:rPr>
          <w:rFonts w:hint="default" w:ascii="楷体" w:hAnsi="楷体" w:eastAsia="楷体" w:cs="楷体"/>
          <w:b/>
          <w:bCs/>
          <w:color w:val="auto"/>
          <w:sz w:val="32"/>
          <w:szCs w:val="32"/>
          <w:highlight w:val="none"/>
        </w:rPr>
        <w:t>二</w:t>
      </w:r>
      <w:r>
        <w:rPr>
          <w:rFonts w:hint="eastAsia" w:ascii="楷体" w:hAnsi="楷体" w:eastAsia="楷体" w:cs="楷体"/>
          <w:b/>
          <w:bCs/>
          <w:color w:val="auto"/>
          <w:sz w:val="32"/>
          <w:szCs w:val="32"/>
          <w:highlight w:val="none"/>
        </w:rPr>
        <w:t>）服务内容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sz w:val="32"/>
          <w:szCs w:val="32"/>
          <w:highlight w:val="none"/>
          <w:lang w:eastAsia="zh-CN"/>
        </w:rPr>
      </w:pPr>
      <w:r>
        <w:rPr>
          <w:rFonts w:hint="default" w:ascii="仿宋" w:hAnsi="仿宋" w:eastAsia="仿宋" w:cs="仿宋"/>
          <w:b w:val="0"/>
          <w:bCs w:val="0"/>
          <w:sz w:val="32"/>
          <w:szCs w:val="32"/>
          <w:highlight w:val="none"/>
          <w:lang w:eastAsia="zh-CN"/>
        </w:rPr>
        <w:t>开展</w:t>
      </w:r>
      <w:r>
        <w:rPr>
          <w:rFonts w:hint="eastAsia" w:ascii="仿宋" w:hAnsi="仿宋" w:eastAsia="仿宋" w:cs="仿宋"/>
          <w:color w:val="auto"/>
          <w:sz w:val="32"/>
          <w:szCs w:val="32"/>
          <w:highlight w:val="none"/>
          <w:lang w:val="en-US" w:eastAsia="zh-CN"/>
        </w:rPr>
        <w:t>不少于150场科学实验秀</w:t>
      </w:r>
      <w:r>
        <w:rPr>
          <w:rFonts w:hint="eastAsia" w:ascii="仿宋" w:hAnsi="仿宋" w:eastAsia="仿宋" w:cs="仿宋"/>
          <w:sz w:val="32"/>
          <w:szCs w:val="32"/>
          <w:highlight w:val="none"/>
          <w:lang w:eastAsia="zh-CN"/>
        </w:rPr>
        <w:t>。</w:t>
      </w:r>
    </w:p>
    <w:p>
      <w:pPr>
        <w:pStyle w:val="6"/>
        <w:keepNext w:val="0"/>
        <w:keepLines w:val="0"/>
        <w:pageBreakBefore w:val="0"/>
        <w:widowControl w:val="0"/>
        <w:kinsoku/>
        <w:wordWrap/>
        <w:overflowPunct/>
        <w:topLinePunct w:val="0"/>
        <w:autoSpaceDE/>
        <w:autoSpaceDN/>
        <w:bidi w:val="0"/>
        <w:spacing w:line="560" w:lineRule="exact"/>
        <w:ind w:firstLine="642" w:firstLineChars="200"/>
        <w:textAlignment w:val="auto"/>
        <w:rPr>
          <w:rFonts w:hint="eastAsia" w:ascii="楷体" w:hAnsi="楷体" w:eastAsia="楷体" w:cs="楷体"/>
          <w:b/>
          <w:bCs/>
          <w:color w:val="auto"/>
          <w:sz w:val="32"/>
          <w:szCs w:val="32"/>
          <w:highlight w:val="none"/>
          <w:lang w:eastAsia="zh-CN"/>
        </w:rPr>
      </w:pP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eastAsia="zh-CN"/>
        </w:rPr>
        <w:t>三</w:t>
      </w: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eastAsia="zh-CN"/>
        </w:rPr>
        <w:t>具体要求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default" w:ascii="仿宋" w:hAnsi="仿宋" w:eastAsia="仿宋" w:cs="仿宋"/>
          <w:color w:val="auto"/>
          <w:sz w:val="32"/>
          <w:szCs w:val="32"/>
          <w:highlight w:val="none"/>
        </w:rPr>
        <w:t>1.在宝安科技馆内(或采购方指定的区内其他场所)完成科学秀表演不少于150场</w:t>
      </w:r>
      <w:r>
        <w:rPr>
          <w:rFonts w:hint="eastAsia" w:ascii="仿宋" w:hAnsi="仿宋" w:eastAsia="仿宋" w:cs="仿宋"/>
          <w:color w:val="auto"/>
          <w:sz w:val="32"/>
          <w:szCs w:val="32"/>
          <w:highlight w:val="none"/>
          <w:lang w:eastAsia="zh-CN"/>
        </w:rPr>
        <w:t>（</w:t>
      </w:r>
      <w:r>
        <w:rPr>
          <w:rFonts w:hint="default" w:ascii="仿宋" w:hAnsi="仿宋" w:eastAsia="仿宋" w:cs="仿宋"/>
          <w:color w:val="auto"/>
          <w:sz w:val="32"/>
          <w:szCs w:val="32"/>
          <w:highlight w:val="none"/>
        </w:rPr>
        <w:t>每场时间不少于40分钟</w:t>
      </w:r>
      <w:r>
        <w:rPr>
          <w:rFonts w:hint="eastAsia" w:ascii="仿宋" w:hAnsi="仿宋" w:eastAsia="仿宋" w:cs="仿宋"/>
          <w:color w:val="auto"/>
          <w:sz w:val="32"/>
          <w:szCs w:val="32"/>
          <w:highlight w:val="none"/>
          <w:lang w:eastAsia="zh-CN"/>
        </w:rPr>
        <w:t>），</w:t>
      </w:r>
      <w:r>
        <w:rPr>
          <w:rFonts w:hint="default" w:ascii="仿宋" w:hAnsi="仿宋" w:eastAsia="仿宋" w:cs="仿宋"/>
          <w:color w:val="auto"/>
          <w:sz w:val="32"/>
          <w:szCs w:val="32"/>
          <w:highlight w:val="none"/>
        </w:rPr>
        <w:t>表演时间为周末及节假日</w:t>
      </w:r>
      <w:r>
        <w:rPr>
          <w:rFonts w:hint="eastAsia" w:ascii="仿宋" w:hAnsi="仿宋" w:eastAsia="仿宋" w:cs="仿宋"/>
          <w:color w:val="auto"/>
          <w:sz w:val="32"/>
          <w:szCs w:val="32"/>
          <w:highlight w:val="none"/>
          <w:lang w:eastAsia="zh-CN"/>
        </w:rPr>
        <w:t>（</w:t>
      </w:r>
      <w:r>
        <w:rPr>
          <w:rFonts w:hint="default" w:ascii="仿宋" w:hAnsi="仿宋" w:eastAsia="仿宋" w:cs="仿宋"/>
          <w:color w:val="auto"/>
          <w:sz w:val="32"/>
          <w:szCs w:val="32"/>
          <w:highlight w:val="none"/>
        </w:rPr>
        <w:t>采购方可根据需要调整</w:t>
      </w:r>
      <w:r>
        <w:rPr>
          <w:rFonts w:hint="eastAsia" w:ascii="仿宋" w:hAnsi="仿宋" w:eastAsia="仿宋" w:cs="仿宋"/>
          <w:color w:val="auto"/>
          <w:sz w:val="32"/>
          <w:szCs w:val="32"/>
          <w:highlight w:val="none"/>
          <w:lang w:eastAsia="zh-CN"/>
        </w:rPr>
        <w:t>），</w:t>
      </w:r>
      <w:r>
        <w:rPr>
          <w:rFonts w:hint="default" w:ascii="仿宋" w:hAnsi="仿宋" w:eastAsia="仿宋" w:cs="仿宋"/>
          <w:color w:val="auto"/>
          <w:sz w:val="32"/>
          <w:szCs w:val="32"/>
          <w:highlight w:val="none"/>
        </w:rPr>
        <w:t>表演现场至少配备2名科学秀表演工作人员</w:t>
      </w:r>
      <w:r>
        <w:rPr>
          <w:rFonts w:hint="eastAsia"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2.科学秀表演内容需丰富多彩，结合基本物理、化学等知识，提供4个系列以上的表演内容；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3.完成表演场所的布置，表演道具准备，表演所需器材等</w:t>
      </w:r>
      <w:r>
        <w:rPr>
          <w:rFonts w:hint="default"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eastAsia="zh-CN"/>
        </w:rPr>
        <w:t>4</w:t>
      </w:r>
      <w:r>
        <w:rPr>
          <w:rFonts w:hint="eastAsia" w:ascii="仿宋" w:hAnsi="仿宋" w:eastAsia="仿宋" w:cs="仿宋"/>
          <w:color w:val="auto"/>
          <w:sz w:val="32"/>
          <w:szCs w:val="32"/>
          <w:highlight w:val="none"/>
          <w:lang w:val="en-US" w:eastAsia="zh-CN"/>
        </w:rPr>
        <w:t>.</w:t>
      </w:r>
      <w:r>
        <w:rPr>
          <w:rFonts w:hint="default" w:ascii="仿宋" w:hAnsi="仿宋" w:eastAsia="仿宋" w:cs="仿宋"/>
          <w:color w:val="auto"/>
          <w:sz w:val="32"/>
          <w:szCs w:val="32"/>
          <w:highlight w:val="none"/>
          <w:lang w:eastAsia="zh-CN"/>
        </w:rPr>
        <w:t>提供每场表演活动的照片</w:t>
      </w:r>
      <w:r>
        <w:rPr>
          <w:rFonts w:hint="eastAsia" w:ascii="仿宋" w:hAnsi="仿宋" w:eastAsia="仿宋" w:cs="仿宋"/>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黑体" w:hAnsi="黑体" w:eastAsia="黑体" w:cs="仿宋"/>
          <w:color w:val="auto"/>
          <w:sz w:val="32"/>
          <w:szCs w:val="32"/>
          <w:highlight w:val="none"/>
        </w:rPr>
      </w:pPr>
      <w:r>
        <w:rPr>
          <w:rFonts w:hint="eastAsia" w:ascii="黑体" w:hAnsi="黑体" w:eastAsia="黑体" w:cs="仿宋"/>
          <w:color w:val="auto"/>
          <w:sz w:val="32"/>
          <w:szCs w:val="32"/>
          <w:highlight w:val="none"/>
        </w:rPr>
        <w:t>三、供应商资格要求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1.申报单位须</w:t>
      </w:r>
      <w:r>
        <w:rPr>
          <w:rFonts w:hint="default" w:ascii="仿宋" w:hAnsi="仿宋" w:eastAsia="仿宋" w:cs="仿宋"/>
          <w:color w:val="auto"/>
          <w:sz w:val="32"/>
          <w:szCs w:val="32"/>
          <w:highlight w:val="none"/>
          <w:lang w:eastAsia="zh-CN"/>
        </w:rPr>
        <w:t>是</w:t>
      </w:r>
      <w:r>
        <w:rPr>
          <w:rFonts w:hint="eastAsia" w:ascii="仿宋" w:hAnsi="仿宋" w:eastAsia="仿宋" w:cs="仿宋"/>
          <w:color w:val="auto"/>
          <w:sz w:val="32"/>
          <w:szCs w:val="32"/>
          <w:highlight w:val="none"/>
          <w:lang w:eastAsia="zh-CN"/>
        </w:rPr>
        <w:t>独立法人</w:t>
      </w:r>
      <w:r>
        <w:rPr>
          <w:rFonts w:hint="default" w:ascii="仿宋" w:hAnsi="仿宋" w:eastAsia="仿宋" w:cs="仿宋"/>
          <w:color w:val="auto"/>
          <w:sz w:val="32"/>
          <w:szCs w:val="32"/>
          <w:highlight w:val="none"/>
          <w:lang w:eastAsia="zh-CN"/>
        </w:rPr>
        <w:t>企业</w:t>
      </w:r>
      <w:r>
        <w:rPr>
          <w:rFonts w:hint="eastAsia"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2.申报单位近三年须具有相关服务案例；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3.申报单位近三年在经营活动中没有重大违法记录，不存在被有关部⻔禁止参与招标采购活动且在有效期内的情况，未被列入失信被执行人、重大税收违法案件当事人名单、政府采购严重违法失信行为记录名单(由申报单位在《投标及履约承诺函》中作出声明)</w:t>
      </w:r>
      <w:r>
        <w:rPr>
          <w:rFonts w:hint="default"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default" w:ascii="仿宋" w:hAnsi="仿宋" w:eastAsia="仿宋" w:cs="仿宋"/>
          <w:color w:val="auto"/>
          <w:sz w:val="32"/>
          <w:szCs w:val="32"/>
          <w:highlight w:val="none"/>
          <w:lang w:eastAsia="zh-CN"/>
        </w:rPr>
        <w:t>4.</w:t>
      </w:r>
      <w:r>
        <w:rPr>
          <w:rFonts w:hint="default" w:ascii="仿宋" w:hAnsi="仿宋" w:eastAsia="仿宋" w:cs="仿宋"/>
          <w:color w:val="auto"/>
          <w:sz w:val="32"/>
          <w:szCs w:val="32"/>
          <w:highlight w:val="none"/>
          <w:lang w:val="en-US" w:eastAsia="zh-CN"/>
        </w:rPr>
        <w:t>本次采购金额100%预留给中小企业</w:t>
      </w:r>
      <w:bookmarkStart w:id="0" w:name="_GoBack"/>
      <w:bookmarkEnd w:id="0"/>
      <w:r>
        <w:rPr>
          <w:rFonts w:hint="eastAsia" w:ascii="仿宋" w:hAnsi="仿宋" w:eastAsia="仿宋" w:cs="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黑体" w:hAnsi="黑体" w:eastAsia="黑体" w:cs="仿宋"/>
          <w:color w:val="auto"/>
          <w:sz w:val="32"/>
          <w:szCs w:val="32"/>
          <w:highlight w:val="none"/>
          <w:lang w:eastAsia="zh-CN"/>
        </w:rPr>
      </w:pPr>
      <w:r>
        <w:rPr>
          <w:rFonts w:hint="eastAsia" w:ascii="黑体" w:hAnsi="黑体" w:eastAsia="黑体" w:cs="仿宋"/>
          <w:color w:val="auto"/>
          <w:sz w:val="32"/>
          <w:szCs w:val="32"/>
          <w:highlight w:val="none"/>
          <w:lang w:eastAsia="zh-CN"/>
        </w:rPr>
        <w:t>四、评标定标方法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 w:cs="仿宋"/>
          <w:color w:val="auto"/>
          <w:sz w:val="32"/>
          <w:szCs w:val="32"/>
          <w:highlight w:val="none"/>
        </w:rPr>
      </w:pPr>
      <w:r>
        <w:rPr>
          <w:rFonts w:hint="eastAsia" w:ascii="仿宋" w:hAnsi="仿宋" w:eastAsia="仿宋" w:cs="仿宋"/>
          <w:color w:val="auto"/>
          <w:sz w:val="32"/>
          <w:szCs w:val="32"/>
          <w:highlight w:val="none"/>
          <w:lang w:eastAsia="zh-CN"/>
        </w:rPr>
        <w:t>采用</w:t>
      </w:r>
      <w:r>
        <w:rPr>
          <w:rFonts w:hint="default" w:ascii="仿宋" w:hAnsi="仿宋" w:eastAsia="仿宋" w:cs="仿宋"/>
          <w:color w:val="auto"/>
          <w:sz w:val="32"/>
          <w:szCs w:val="32"/>
          <w:highlight w:val="none"/>
          <w:lang w:eastAsia="zh-CN"/>
        </w:rPr>
        <w:t>定性评审法</w:t>
      </w:r>
      <w:r>
        <w:rPr>
          <w:rFonts w:hint="eastAsia" w:ascii="仿宋_GB2312" w:hAnsi="仿宋" w:cs="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黑体" w:hAnsi="黑体" w:eastAsia="黑体" w:cs="仿宋"/>
          <w:color w:val="auto"/>
          <w:sz w:val="32"/>
          <w:szCs w:val="32"/>
          <w:highlight w:val="none"/>
        </w:rPr>
      </w:pPr>
      <w:r>
        <w:rPr>
          <w:rFonts w:hint="eastAsia" w:ascii="黑体" w:hAnsi="黑体" w:eastAsia="黑体" w:cs="仿宋"/>
          <w:color w:val="auto"/>
          <w:sz w:val="32"/>
          <w:szCs w:val="32"/>
          <w:highlight w:val="none"/>
        </w:rPr>
        <w:t>五、商务需求</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highlight w:val="none"/>
        </w:rPr>
      </w:pPr>
      <w:r>
        <w:rPr>
          <w:rFonts w:hint="eastAsia" w:ascii="楷体" w:hAnsi="楷体" w:eastAsia="楷体" w:cs="楷体"/>
          <w:b/>
          <w:bCs/>
          <w:color w:val="auto"/>
          <w:sz w:val="32"/>
          <w:szCs w:val="32"/>
          <w:highlight w:val="none"/>
        </w:rPr>
        <w:t>（一）服务期：</w:t>
      </w:r>
      <w:r>
        <w:rPr>
          <w:rFonts w:hint="default" w:ascii="仿宋_GB2312" w:hAnsi="仿宋" w:cs="仿宋"/>
          <w:color w:val="auto"/>
          <w:sz w:val="32"/>
          <w:szCs w:val="32"/>
          <w:highlight w:val="none"/>
        </w:rPr>
        <w:t>截止至2026年11月30日</w:t>
      </w:r>
      <w:r>
        <w:rPr>
          <w:rFonts w:hint="eastAsia" w:ascii="仿宋_GB2312" w:hAnsi="仿宋" w:cs="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highlight w:val="none"/>
        </w:rPr>
      </w:pPr>
      <w:r>
        <w:rPr>
          <w:rFonts w:hint="eastAsia" w:ascii="楷体" w:hAnsi="楷体" w:eastAsia="楷体" w:cs="楷体"/>
          <w:b/>
          <w:bCs/>
          <w:color w:val="auto"/>
          <w:sz w:val="32"/>
          <w:szCs w:val="32"/>
          <w:highlight w:val="none"/>
        </w:rPr>
        <w:t>（二）服务地点：</w:t>
      </w:r>
      <w:r>
        <w:rPr>
          <w:rFonts w:hint="default" w:ascii="仿宋_GB2312" w:hAnsi="仿宋" w:cs="仿宋"/>
          <w:color w:val="auto"/>
          <w:sz w:val="32"/>
          <w:szCs w:val="32"/>
          <w:highlight w:val="none"/>
        </w:rPr>
        <w:t>深圳市宝安区</w:t>
      </w:r>
      <w:r>
        <w:rPr>
          <w:rFonts w:hint="eastAsia" w:ascii="仿宋_GB2312" w:hAnsi="仿宋" w:cs="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（三）报价要求：</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仿宋_GB2312" w:hAnsi="仿宋" w:cs="仿宋"/>
          <w:color w:val="auto"/>
          <w:sz w:val="32"/>
          <w:szCs w:val="32"/>
        </w:rPr>
        <w:t>1.本项目服务费采用包干制，应包括服务成本、法定税费和企业的利润。由投标供应商根据采购文件所提供的资料自行测算投标报价；一经中标，报价总价作为中标供应商与采购人签定的合同金额，合同期限内不做调整。</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仿宋_GB2312" w:hAnsi="仿宋" w:cs="仿宋"/>
          <w:color w:val="auto"/>
          <w:sz w:val="32"/>
          <w:szCs w:val="32"/>
        </w:rPr>
        <w:t>2.投标供应商应当根据本企业的成本自行决定报价，但不得以低于其企业成本的报价投标。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仿宋_GB2312" w:hAnsi="仿宋" w:cs="仿宋"/>
          <w:color w:val="auto"/>
          <w:sz w:val="32"/>
          <w:szCs w:val="32"/>
        </w:rPr>
        <w:t>3.投标供应商的报价不得超过项目预算金额。</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仿宋_GB2312" w:hAnsi="仿宋" w:cs="仿宋"/>
          <w:color w:val="auto"/>
          <w:sz w:val="32"/>
          <w:szCs w:val="32"/>
        </w:rPr>
        <w:t>4.投标供应商的报价，应当是本项目采购范围和采购文件及合同条款上所列的各项内容中所述的全部，不得以任何理由予以重复。</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仿宋_GB2312" w:hAnsi="仿宋" w:cs="仿宋"/>
          <w:color w:val="auto"/>
          <w:sz w:val="32"/>
          <w:szCs w:val="32"/>
        </w:rPr>
        <w:t>5.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仿宋_GB2312" w:hAnsi="仿宋" w:cs="仿宋"/>
          <w:color w:val="auto"/>
          <w:sz w:val="32"/>
          <w:szCs w:val="32"/>
        </w:rPr>
        <w:t>6.投标供应商应先到项目地点踏勘以充分了解项目的位置、情况、道路及任何其它足以影响投标报价的情况，任何因忽视或误解项目情况而导致的索赔或服务期限延长申请将不获批准。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仿宋_GB2312" w:hAnsi="仿宋" w:cs="仿宋"/>
          <w:color w:val="auto"/>
          <w:sz w:val="32"/>
          <w:szCs w:val="32"/>
        </w:rPr>
        <w:t>7.投标供应商不得期望通过索赔等方式获取补偿，否则，除可能遭到拒绝外，还可能将被作为不良行为记录在案，并可能影响其以后参加政府采购的项目投标。各投标供应商在报价时，应充分考虑报价的风险。</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楷体" w:hAnsi="楷体" w:eastAsia="楷体" w:cs="楷体"/>
          <w:b/>
          <w:bCs/>
          <w:color w:val="auto"/>
          <w:sz w:val="32"/>
          <w:szCs w:val="32"/>
          <w:highlight w:val="none"/>
        </w:rPr>
        <w:t>（四）付款方式：</w:t>
      </w:r>
      <w:r>
        <w:rPr>
          <w:rFonts w:hint="eastAsia" w:ascii="仿宋_GB2312" w:hAnsi="仿宋" w:cs="仿宋"/>
          <w:color w:val="auto"/>
          <w:sz w:val="32"/>
          <w:szCs w:val="32"/>
        </w:rPr>
        <w:t>按照完成服务工作进度和工作量制定分期付款方式。</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 w:cs="仿宋"/>
          <w:color w:val="auto"/>
          <w:sz w:val="32"/>
          <w:szCs w:val="32"/>
        </w:rPr>
      </w:pPr>
      <w:r>
        <w:rPr>
          <w:rFonts w:hint="eastAsia" w:ascii="楷体" w:hAnsi="楷体" w:eastAsia="楷体" w:cs="楷体"/>
          <w:b/>
          <w:bCs/>
          <w:color w:val="auto"/>
          <w:sz w:val="32"/>
          <w:szCs w:val="32"/>
          <w:highlight w:val="none"/>
        </w:rPr>
        <w:t>（五）履约担保金：</w:t>
      </w:r>
      <w:r>
        <w:rPr>
          <w:rFonts w:hint="default" w:ascii="仿宋_GB2312" w:hAnsi="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 w:cs="仿宋"/>
          <w:color w:val="auto"/>
          <w:sz w:val="32"/>
          <w:szCs w:val="32"/>
        </w:rPr>
      </w:pPr>
      <w:r>
        <w:rPr>
          <w:rFonts w:hint="eastAsia" w:ascii="楷体" w:hAnsi="楷体" w:eastAsia="楷体" w:cs="楷体"/>
          <w:b/>
          <w:bCs/>
          <w:color w:val="auto"/>
          <w:sz w:val="32"/>
          <w:szCs w:val="32"/>
          <w:highlight w:val="none"/>
        </w:rPr>
        <w:t>（六）违约责任：（</w:t>
      </w:r>
      <w:r>
        <w:rPr>
          <w:rFonts w:hint="eastAsia" w:ascii="仿宋_GB2312" w:hAnsi="仿宋" w:cs="仿宋"/>
          <w:color w:val="auto"/>
          <w:sz w:val="32"/>
          <w:szCs w:val="32"/>
        </w:rPr>
        <w:t>根据用户方提供情况制定）</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sz w:val="32"/>
          <w:szCs w:val="32"/>
        </w:rPr>
      </w:pPr>
      <w:r>
        <w:rPr>
          <w:rFonts w:hint="eastAsia" w:ascii="楷体" w:hAnsi="楷体" w:eastAsia="楷体" w:cs="楷体"/>
          <w:b/>
          <w:bCs/>
          <w:color w:val="auto"/>
          <w:sz w:val="32"/>
          <w:szCs w:val="32"/>
          <w:highlight w:val="none"/>
        </w:rPr>
        <w:t>（七）其他：</w:t>
      </w:r>
      <w:r>
        <w:rPr>
          <w:rFonts w:hint="default" w:ascii="仿宋_GB2312" w:hAnsi="仿宋" w:cs="仿宋"/>
          <w:color w:val="auto"/>
          <w:sz w:val="32"/>
          <w:szCs w:val="32"/>
        </w:rPr>
        <w:t>无</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2"/>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00"/>
    <w:family w:val="auto"/>
    <w:pitch w:val="default"/>
    <w:sig w:usb0="00000000" w:usb1="00000000" w:usb2="00000016" w:usb3="00000000" w:csb0="0004000F" w:csb1="00000000"/>
  </w:font>
  <w:font w:name="楷体_GB2312">
    <w:altName w:val="方正楷体_GBK"/>
    <w:panose1 w:val="02010609030101010101"/>
    <w:charset w:val="00"/>
    <w:family w:val="modern"/>
    <w:pitch w:val="default"/>
    <w:sig w:usb0="00000000" w:usb1="00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仿宋">
    <w:altName w:val="方正仿宋_GBK"/>
    <w:panose1 w:val="02010609060101010101"/>
    <w:charset w:val="00"/>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1A2DA178"/>
    <w:rsid w:val="3F97F71E"/>
    <w:rsid w:val="4A1947CF"/>
    <w:rsid w:val="4DD6D304"/>
    <w:rsid w:val="58EBAC5C"/>
    <w:rsid w:val="5EDBA6C9"/>
    <w:rsid w:val="6FEF914D"/>
    <w:rsid w:val="7BFD0A8B"/>
    <w:rsid w:val="7EEF9441"/>
    <w:rsid w:val="7F77BCA2"/>
    <w:rsid w:val="B3BF83D6"/>
    <w:rsid w:val="D3F7A40A"/>
    <w:rsid w:val="DA1F6D1C"/>
    <w:rsid w:val="DBBF3B7F"/>
    <w:rsid w:val="DEEB7666"/>
    <w:rsid w:val="FA9F75F5"/>
    <w:rsid w:val="FDB9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等线"/>
      <w:kern w:val="2"/>
      <w:sz w:val="21"/>
      <w:szCs w:val="21"/>
      <w:lang w:val="en-US" w:eastAsia="zh-CN" w:bidi="ar-SA"/>
    </w:rPr>
  </w:style>
  <w:style w:type="paragraph" w:styleId="3">
    <w:name w:val="heading 2"/>
    <w:basedOn w:val="4"/>
    <w:next w:val="5"/>
    <w:qFormat/>
    <w:uiPriority w:val="0"/>
    <w:pPr>
      <w:spacing w:beforeAutospacing="0" w:afterAutospacing="0"/>
      <w:ind w:firstLine="880" w:firstLineChars="200"/>
      <w:jc w:val="left"/>
      <w:outlineLvl w:val="1"/>
    </w:pPr>
    <w:rPr>
      <w:rFonts w:hint="eastAsia" w:ascii="宋体" w:hAnsi="宋体" w:eastAsia="黑体" w:cs="宋体"/>
      <w:kern w:val="0"/>
      <w:szCs w:val="36"/>
      <w:lang w:bidi="ar"/>
    </w:rPr>
  </w:style>
  <w:style w:type="paragraph" w:styleId="4">
    <w:name w:val="heading 3"/>
    <w:basedOn w:val="1"/>
    <w:next w:val="1"/>
    <w:qFormat/>
    <w:uiPriority w:val="0"/>
    <w:pPr>
      <w:keepNext/>
      <w:keepLines/>
      <w:spacing w:beforeLines="0" w:beforeAutospacing="0" w:afterLines="0" w:afterAutospacing="0" w:line="560" w:lineRule="exact"/>
      <w:outlineLvl w:val="2"/>
    </w:pPr>
    <w:rPr>
      <w:rFonts w:eastAsia="楷体_GB2312"/>
      <w:b/>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0"/>
    </w:rPr>
  </w:style>
  <w:style w:type="paragraph" w:styleId="6">
    <w:name w:val="Normal Indent"/>
    <w:basedOn w:val="1"/>
    <w:next w:val="7"/>
    <w:unhideWhenUsed/>
    <w:qFormat/>
    <w:uiPriority w:val="99"/>
    <w:pPr>
      <w:spacing w:line="560" w:lineRule="exact"/>
      <w:ind w:firstLine="420" w:firstLineChars="200"/>
    </w:pPr>
  </w:style>
  <w:style w:type="paragraph" w:styleId="7">
    <w:name w:val="Body Text"/>
    <w:basedOn w:val="1"/>
    <w:next w:val="8"/>
    <w:unhideWhenUsed/>
    <w:qFormat/>
    <w:uiPriority w:val="99"/>
    <w:rPr>
      <w:rFonts w:ascii="Times New Roman" w:hAnsi="Times New Roman"/>
      <w:sz w:val="32"/>
      <w:szCs w:val="24"/>
    </w:rPr>
  </w:style>
  <w:style w:type="paragraph" w:styleId="8">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2018-07-13T23:11:00Z</dcterms:created>
  <dc:creator>d</dc:creator>
  <cp:lastModifiedBy>laidanhua</cp:lastModifiedBy>
  <dcterms:modified xsi:type="dcterms:W3CDTF">2025-11-07T09:50:00Z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ies>
</file>