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val="0"/>
        <w:snapToGrid w:val="0"/>
        <w:spacing w:line="560" w:lineRule="exact"/>
        <w:jc w:val="center"/>
        <w:textAlignment w:val="baseline"/>
        <w:outlineLvl w:val="3"/>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政府采购投标及履约承诺函</w:t>
      </w:r>
    </w:p>
    <w:p>
      <w:pPr>
        <w:keepNext w:val="0"/>
        <w:keepLines w:val="0"/>
        <w:pageBreakBefore w:val="0"/>
        <w:kinsoku/>
        <w:wordWrap/>
        <w:overflowPunct/>
        <w:topLinePunct w:val="0"/>
        <w:autoSpaceDE/>
        <w:autoSpaceDN/>
        <w:bidi w:val="0"/>
        <w:adjustRightInd w:val="0"/>
        <w:snapToGrid w:val="0"/>
        <w:spacing w:line="560" w:lineRule="exact"/>
        <w:textAlignment w:val="auto"/>
        <w:rPr>
          <w:rFonts w:hint="eastAsia" w:ascii="仿宋-GB2312" w:hAnsi="仿宋-GB2312" w:eastAsia="仿宋-GB2312" w:cs="仿宋-GB2312"/>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致：</w:t>
      </w:r>
      <w:r>
        <w:rPr>
          <w:rFonts w:hint="eastAsia" w:ascii="仿宋-GB2312" w:hAnsi="仿宋-GB2312" w:eastAsia="仿宋-GB2312" w:cs="仿宋-GB2312"/>
          <w:color w:val="000000" w:themeColor="text1"/>
          <w:sz w:val="32"/>
          <w:szCs w:val="32"/>
          <w:u w:val="single"/>
          <w14:textFill>
            <w14:solidFill>
              <w14:schemeClr w14:val="tx1"/>
            </w14:solidFill>
          </w14:textFill>
        </w:rPr>
        <w:t>深圳</w:t>
      </w:r>
      <w:r>
        <w:rPr>
          <w:rFonts w:hint="eastAsia" w:ascii="仿宋-GB2312" w:hAnsi="仿宋-GB2312" w:eastAsia="仿宋-GB2312" w:cs="仿宋-GB2312"/>
          <w:color w:val="000000" w:themeColor="text1"/>
          <w:sz w:val="32"/>
          <w:szCs w:val="32"/>
          <w:u w:val="single"/>
          <w:lang w:eastAsia="zh-CN"/>
          <w14:textFill>
            <w14:solidFill>
              <w14:schemeClr w14:val="tx1"/>
            </w14:solidFill>
          </w14:textFill>
        </w:rPr>
        <w:t>市宝安区科技创新服务</w:t>
      </w:r>
      <w:r>
        <w:rPr>
          <w:rFonts w:hint="eastAsia" w:ascii="仿宋-GB2312" w:hAnsi="仿宋-GB2312" w:eastAsia="仿宋-GB2312" w:cs="仿宋-GB2312"/>
          <w:color w:val="000000" w:themeColor="text1"/>
          <w:sz w:val="32"/>
          <w:szCs w:val="32"/>
          <w:u w:val="single"/>
          <w14:textFill>
            <w14:solidFill>
              <w14:schemeClr w14:val="tx1"/>
            </w14:solidFill>
          </w14:textFill>
        </w:rPr>
        <w:t>中心</w:t>
      </w:r>
    </w:p>
    <w:p>
      <w:pPr>
        <w:keepNext w:val="0"/>
        <w:keepLines w:val="0"/>
        <w:pageBreakBefore w:val="0"/>
        <w:widowControl w:val="0"/>
        <w:kinsoku/>
        <w:wordWrap/>
        <w:overflowPunct/>
        <w:topLinePunct w:val="0"/>
        <w:autoSpaceDE/>
        <w:autoSpaceDN/>
        <w:bidi w:val="0"/>
        <w:adjustRightInd/>
        <w:snapToGrid w:val="0"/>
        <w:spacing w:line="560" w:lineRule="exact"/>
        <w:ind w:right="-815"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我单位承诺：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1.我单位参与本项目所投标（响应）的货物、工程或服务，不存在侵犯知识产权的情况。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2.我单位参与本项目政府采购活动时不存在被有关部门禁止参与政府采购活动且在有效期内的情况。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3.我单位具备《中华人民共和国政府采购法》第二十二条第一款规定的六项条件。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lang w:eastAsia="zh-CN"/>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4.我单位未被列入失信被执行人、重大税收违法案件当事人名单、政府采购严重违法失信行为记录名单</w:t>
      </w:r>
      <w:r>
        <w:rPr>
          <w:rFonts w:hint="eastAsia" w:ascii="仿宋-GB2312" w:hAnsi="仿宋-GB2312" w:eastAsia="仿宋-GB2312" w:cs="仿宋-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lang w:eastAsia="zh-CN"/>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5.我单位不存在《深圳市财政局政府采购供应商信用信息管理办法》（深财规〔2023〕3号）列明的严重违法失信行为。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6</w:t>
      </w:r>
      <w:r>
        <w:rPr>
          <w:rFonts w:hint="eastAsia" w:ascii="仿宋-GB2312" w:hAnsi="仿宋-GB2312" w:eastAsia="仿宋-GB2312" w:cs="仿宋-GB2312"/>
          <w:color w:val="000000" w:themeColor="text1"/>
          <w:sz w:val="32"/>
          <w:szCs w:val="32"/>
          <w14:textFill>
            <w14:solidFill>
              <w14:schemeClr w14:val="tx1"/>
            </w14:solidFill>
          </w14:textFill>
        </w:rPr>
        <w:t>.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7</w:t>
      </w:r>
      <w:r>
        <w:rPr>
          <w:rFonts w:hint="eastAsia" w:ascii="仿宋-GB2312" w:hAnsi="仿宋-GB2312" w:eastAsia="仿宋-GB2312" w:cs="仿宋-GB2312"/>
          <w:color w:val="000000" w:themeColor="text1"/>
          <w:sz w:val="32"/>
          <w:szCs w:val="32"/>
          <w14:textFill>
            <w14:solidFill>
              <w14:schemeClr w14:val="tx1"/>
            </w14:solidFill>
          </w14:textFill>
        </w:rPr>
        <w:t>.我单位如果中标，做到守信，不偷工减料，依照本项目招标文件需求内容、签署的采购合同及本单位在投标中所</w:t>
      </w:r>
      <w:r>
        <w:rPr>
          <w:rFonts w:hint="default" w:ascii="仿宋-GB2312" w:hAnsi="仿宋-GB2312" w:eastAsia="仿宋-GB2312" w:cs="仿宋-GB2312"/>
          <w:color w:val="000000" w:themeColor="text1"/>
          <w:sz w:val="32"/>
          <w:szCs w:val="32"/>
          <w14:textFill>
            <w14:solidFill>
              <w14:schemeClr w14:val="tx1"/>
            </w14:solidFill>
          </w14:textFill>
        </w:rPr>
        <w:t>做</w:t>
      </w:r>
      <w:r>
        <w:rPr>
          <w:rFonts w:hint="eastAsia" w:ascii="仿宋-GB2312" w:hAnsi="仿宋-GB2312" w:eastAsia="仿宋-GB2312" w:cs="仿宋-GB2312"/>
          <w:color w:val="000000" w:themeColor="text1"/>
          <w:sz w:val="32"/>
          <w:szCs w:val="32"/>
          <w14:textFill>
            <w14:solidFill>
              <w14:schemeClr w14:val="tx1"/>
            </w14:solidFill>
          </w14:textFill>
        </w:rPr>
        <w:t>的一切承诺履约。我单位对本项目的报价负责，中标后将严格按照本项目招标文件需求、签署的采购合同及我单位在投标中所作的全部承诺履行。</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8</w:t>
      </w:r>
      <w:r>
        <w:rPr>
          <w:rFonts w:hint="eastAsia" w:ascii="仿宋-GB2312" w:hAnsi="仿宋-GB2312" w:eastAsia="仿宋-GB2312" w:cs="仿宋-GB2312"/>
          <w:color w:val="000000" w:themeColor="text1"/>
          <w:sz w:val="32"/>
          <w:szCs w:val="32"/>
          <w14:textFill>
            <w14:solidFill>
              <w14:schemeClr w14:val="tx1"/>
            </w14:solidFill>
          </w14:textFill>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9</w:t>
      </w:r>
      <w:r>
        <w:rPr>
          <w:rFonts w:hint="eastAsia" w:ascii="仿宋-GB2312" w:hAnsi="仿宋-GB2312" w:eastAsia="仿宋-GB2312" w:cs="仿宋-GB2312"/>
          <w:color w:val="000000" w:themeColor="text1"/>
          <w:sz w:val="32"/>
          <w:szCs w:val="32"/>
          <w14:textFill>
            <w14:solidFill>
              <w14:schemeClr w14:val="tx1"/>
            </w14:solidFill>
          </w14:textFill>
        </w:rPr>
        <w:t>.我单位承诺中标</w:t>
      </w:r>
      <w:bookmarkStart w:id="0" w:name="_GoBack"/>
      <w:bookmarkEnd w:id="0"/>
      <w:r>
        <w:rPr>
          <w:rFonts w:hint="eastAsia" w:ascii="仿宋-GB2312" w:hAnsi="仿宋-GB2312" w:eastAsia="仿宋-GB2312" w:cs="仿宋-GB2312"/>
          <w:color w:val="000000" w:themeColor="text1"/>
          <w:sz w:val="32"/>
          <w:szCs w:val="32"/>
          <w14:textFill>
            <w14:solidFill>
              <w14:schemeClr w14:val="tx1"/>
            </w14:solidFill>
          </w14:textFill>
        </w:rPr>
        <w:t>后项目不转包，未经采购人同意不进行分包。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lang w:val="en-US" w:eastAsia="zh-CN"/>
          <w14:textFill>
            <w14:solidFill>
              <w14:schemeClr w14:val="tx1"/>
            </w14:solidFill>
          </w14:textFill>
        </w:rPr>
        <w:t>10</w:t>
      </w:r>
      <w:r>
        <w:rPr>
          <w:rFonts w:hint="eastAsia" w:ascii="仿宋-GB2312" w:hAnsi="仿宋-GB2312" w:eastAsia="仿宋-GB2312" w:cs="仿宋-GB2312"/>
          <w:color w:val="000000" w:themeColor="text1"/>
          <w:sz w:val="32"/>
          <w:szCs w:val="32"/>
          <w14:textFill>
            <w14:solidFill>
              <w14:schemeClr w14:val="tx1"/>
            </w14:solidFill>
          </w14:textFill>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b/>
          <w:color w:val="000000" w:themeColor="text1"/>
          <w:kern w:val="0"/>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1</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1</w:t>
      </w:r>
      <w:r>
        <w:rPr>
          <w:rFonts w:hint="eastAsia" w:ascii="仿宋-GB2312" w:hAnsi="仿宋-GB2312" w:eastAsia="仿宋-GB2312" w:cs="仿宋-GB2312"/>
          <w:color w:val="000000" w:themeColor="text1"/>
          <w:sz w:val="32"/>
          <w:szCs w:val="32"/>
          <w14:textFill>
            <w14:solidFill>
              <w14:schemeClr w14:val="tx1"/>
            </w14:solidFill>
          </w14:textFill>
        </w:rPr>
        <w:t>.我单位保证，若所投货物涉及《财政部生态环境部关于印发节能产品政府采购品目清单的通知》（财库〔2019〕19号）列明的政府采购强制产品，则所投该产品符合节能产品的认证要求。</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若所投产品包括数据中心相关设备的，应满足</w:t>
      </w:r>
      <w:r>
        <w:rPr>
          <w:rFonts w:hint="eastAsia" w:ascii="仿宋-GB2312" w:hAnsi="仿宋-GB2312" w:eastAsia="仿宋-GB2312" w:cs="仿宋-GB2312"/>
          <w:color w:val="000000" w:themeColor="text1"/>
          <w:sz w:val="32"/>
          <w:szCs w:val="32"/>
          <w14:textFill>
            <w14:solidFill>
              <w14:schemeClr w14:val="tx1"/>
            </w14:solidFill>
          </w14:textFill>
        </w:rPr>
        <w:t>《财政部 生态环境部 工业和信息化部关于印发&lt;绿色数据中心政府采购需求标准（试行）&gt;的通知》</w:t>
      </w:r>
      <w:r>
        <w:rPr>
          <w:rFonts w:hint="eastAsia" w:ascii="仿宋-GB2312" w:hAnsi="仿宋-GB2312" w:eastAsia="仿宋-GB2312" w:cs="仿宋-GB2312"/>
          <w:color w:val="000000" w:themeColor="text1"/>
          <w:sz w:val="32"/>
          <w:szCs w:val="32"/>
          <w:lang w:eastAsia="zh-CN"/>
          <w14:textFill>
            <w14:solidFill>
              <w14:schemeClr w14:val="tx1"/>
            </w14:solidFill>
          </w14:textFill>
        </w:rPr>
        <w:t>（</w:t>
      </w:r>
      <w:r>
        <w:rPr>
          <w:rFonts w:hint="eastAsia" w:ascii="仿宋-GB2312" w:hAnsi="仿宋-GB2312" w:eastAsia="仿宋-GB2312" w:cs="仿宋-GB2312"/>
          <w:color w:val="000000" w:themeColor="text1"/>
          <w:sz w:val="32"/>
          <w:szCs w:val="32"/>
          <w14:textFill>
            <w14:solidFill>
              <w14:schemeClr w14:val="tx1"/>
            </w14:solidFill>
          </w14:textFill>
        </w:rPr>
        <w:t>财库〔2023〕7号）</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要求。若所投产品涉及强制性</w:t>
      </w:r>
      <w:r>
        <w:rPr>
          <w:rFonts w:hint="default" w:ascii="仿宋-GB2312" w:hAnsi="仿宋-GB2312" w:eastAsia="仿宋-GB2312" w:cs="仿宋-GB2312"/>
          <w:color w:val="000000" w:themeColor="text1"/>
          <w:sz w:val="32"/>
          <w:szCs w:val="32"/>
          <w:lang w:eastAsia="zh-CN"/>
          <w14:textFill>
            <w14:solidFill>
              <w14:schemeClr w14:val="tx1"/>
            </w14:solidFill>
          </w14:textFill>
        </w:rPr>
        <w:t>国家</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标准，所投产品应符合国家强制性标准相关要求。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b w:val="0"/>
          <w:bCs/>
          <w:color w:val="000000" w:themeColor="text1"/>
          <w:sz w:val="32"/>
          <w:szCs w:val="32"/>
          <w14:textFill>
            <w14:solidFill>
              <w14:schemeClr w14:val="tx1"/>
            </w14:solidFill>
          </w14:textFill>
        </w:rPr>
      </w:pPr>
      <w:r>
        <w:rPr>
          <w:rFonts w:hint="eastAsia" w:ascii="仿宋-GB2312" w:hAnsi="仿宋-GB2312" w:eastAsia="仿宋-GB2312" w:cs="仿宋-GB2312"/>
          <w:b w:val="0"/>
          <w:bCs/>
          <w:color w:val="000000" w:themeColor="text1"/>
          <w:kern w:val="0"/>
          <w:sz w:val="32"/>
          <w:szCs w:val="32"/>
          <w14:textFill>
            <w14:solidFill>
              <w14:schemeClr w14:val="tx1"/>
            </w14:solidFill>
          </w14:textFill>
        </w:rPr>
        <w:t>1</w:t>
      </w:r>
      <w:r>
        <w:rPr>
          <w:rFonts w:hint="eastAsia" w:ascii="仿宋-GB2312" w:hAnsi="仿宋-GB2312" w:eastAsia="仿宋-GB2312" w:cs="仿宋-GB2312"/>
          <w:b w:val="0"/>
          <w:bCs/>
          <w:color w:val="000000" w:themeColor="text1"/>
          <w:kern w:val="0"/>
          <w:sz w:val="32"/>
          <w:szCs w:val="32"/>
          <w:lang w:val="en-US" w:eastAsia="zh-CN"/>
          <w14:textFill>
            <w14:solidFill>
              <w14:schemeClr w14:val="tx1"/>
            </w14:solidFill>
          </w14:textFill>
        </w:rPr>
        <w:t>2</w:t>
      </w:r>
      <w:r>
        <w:rPr>
          <w:rFonts w:hint="eastAsia" w:ascii="仿宋-GB2312" w:hAnsi="仿宋-GB2312" w:eastAsia="仿宋-GB2312" w:cs="仿宋-GB2312"/>
          <w:b w:val="0"/>
          <w:bCs/>
          <w:color w:val="000000" w:themeColor="text1"/>
          <w:kern w:val="0"/>
          <w:sz w:val="32"/>
          <w:szCs w:val="32"/>
          <w14:textFill>
            <w14:solidFill>
              <w14:schemeClr w14:val="tx1"/>
            </w14:solidFill>
          </w14:textFill>
        </w:rPr>
        <w:t>.</w:t>
      </w:r>
      <w:r>
        <w:rPr>
          <w:rFonts w:hint="eastAsia" w:ascii="仿宋-GB2312" w:hAnsi="仿宋-GB2312" w:eastAsia="仿宋-GB2312" w:cs="仿宋-GB2312"/>
          <w:b w:val="0"/>
          <w:bCs/>
          <w:color w:val="000000" w:themeColor="text1"/>
          <w:sz w:val="32"/>
          <w:szCs w:val="32"/>
          <w14:textFill>
            <w14:solidFill>
              <w14:schemeClr w14:val="tx1"/>
            </w14:solidFill>
          </w14:textFill>
        </w:rPr>
        <w:t>我单位已知悉并同意中标（成交）结果信息公示（公开）的内容。</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b w:val="0"/>
          <w:bCs/>
          <w:color w:val="000000" w:themeColor="text1"/>
          <w:sz w:val="32"/>
          <w:szCs w:val="32"/>
          <w14:textFill>
            <w14:solidFill>
              <w14:schemeClr w14:val="tx1"/>
            </w14:solidFill>
          </w14:textFill>
        </w:rPr>
      </w:pPr>
      <w:r>
        <w:rPr>
          <w:rFonts w:hint="eastAsia" w:ascii="仿宋-GB2312" w:hAnsi="仿宋-GB2312" w:eastAsia="仿宋-GB2312" w:cs="仿宋-GB2312"/>
          <w:b w:val="0"/>
          <w:bCs/>
          <w:color w:val="000000" w:themeColor="text1"/>
          <w:sz w:val="32"/>
          <w:szCs w:val="32"/>
          <w14:textFill>
            <w14:solidFill>
              <w14:schemeClr w14:val="tx1"/>
            </w14:solidFill>
          </w14:textFill>
        </w:rPr>
        <w:t>1</w:t>
      </w:r>
      <w:r>
        <w:rPr>
          <w:rFonts w:hint="eastAsia" w:ascii="仿宋-GB2312" w:hAnsi="仿宋-GB2312" w:eastAsia="仿宋-GB2312" w:cs="仿宋-GB2312"/>
          <w:b w:val="0"/>
          <w:bCs/>
          <w:color w:val="000000" w:themeColor="text1"/>
          <w:sz w:val="32"/>
          <w:szCs w:val="32"/>
          <w:lang w:val="en-US" w:eastAsia="zh-CN"/>
          <w14:textFill>
            <w14:solidFill>
              <w14:schemeClr w14:val="tx1"/>
            </w14:solidFill>
          </w14:textFill>
        </w:rPr>
        <w:t>3</w:t>
      </w:r>
      <w:r>
        <w:rPr>
          <w:rFonts w:hint="eastAsia" w:ascii="仿宋-GB2312" w:hAnsi="仿宋-GB2312" w:eastAsia="仿宋-GB2312" w:cs="仿宋-GB2312"/>
          <w:b w:val="0"/>
          <w:bCs/>
          <w:color w:val="000000" w:themeColor="text1"/>
          <w:sz w:val="32"/>
          <w:szCs w:val="32"/>
          <w14:textFill>
            <w14:solidFill>
              <w14:schemeClr w14:val="tx1"/>
            </w14:solidFill>
          </w14:textFill>
        </w:rPr>
        <w:t>.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仿宋-GB2312" w:hAnsi="仿宋-GB2312" w:eastAsia="仿宋-GB2312" w:cs="仿宋-GB2312"/>
          <w:b w:val="0"/>
          <w:bCs/>
          <w:color w:val="000000" w:themeColor="text1"/>
          <w:sz w:val="32"/>
          <w:szCs w:val="32"/>
          <w:lang w:val="en-US" w:eastAsia="zh-CN"/>
          <w14:textFill>
            <w14:solidFill>
              <w14:schemeClr w14:val="tx1"/>
            </w14:solidFill>
          </w14:textFill>
        </w:rPr>
        <w:t>若</w:t>
      </w:r>
      <w:r>
        <w:rPr>
          <w:rFonts w:hint="eastAsia" w:ascii="仿宋-GB2312" w:hAnsi="仿宋-GB2312" w:eastAsia="仿宋-GB2312" w:cs="仿宋-GB2312"/>
          <w:b w:val="0"/>
          <w:bCs/>
          <w:color w:val="000000" w:themeColor="text1"/>
          <w:sz w:val="32"/>
          <w:szCs w:val="32"/>
          <w14:textFill>
            <w14:solidFill>
              <w14:schemeClr w14:val="tx1"/>
            </w14:solidFill>
          </w14:textFill>
        </w:rPr>
        <w:t>存在“不同供应商的董事、股东或其他高级管理人员为同一人的”情形的，</w:t>
      </w:r>
      <w:r>
        <w:rPr>
          <w:rFonts w:hint="eastAsia" w:ascii="仿宋-GB2312" w:hAnsi="仿宋-GB2312" w:eastAsia="仿宋-GB2312" w:cs="仿宋-GB2312"/>
          <w:b w:val="0"/>
          <w:bCs/>
          <w:color w:val="000000" w:themeColor="text1"/>
          <w:sz w:val="32"/>
          <w:szCs w:val="32"/>
          <w:lang w:val="en-US" w:eastAsia="zh-CN"/>
          <w14:textFill>
            <w14:solidFill>
              <w14:schemeClr w14:val="tx1"/>
            </w14:solidFill>
          </w14:textFill>
        </w:rPr>
        <w:t>我单位保证</w:t>
      </w:r>
      <w:r>
        <w:rPr>
          <w:rFonts w:hint="eastAsia" w:ascii="仿宋-GB2312" w:hAnsi="仿宋-GB2312" w:eastAsia="仿宋-GB2312" w:cs="仿宋-GB2312"/>
          <w:b w:val="0"/>
          <w:bCs/>
          <w:color w:val="000000" w:themeColor="text1"/>
          <w:sz w:val="32"/>
          <w:szCs w:val="32"/>
          <w14:textFill>
            <w14:solidFill>
              <w14:schemeClr w14:val="tx1"/>
            </w14:solidFill>
          </w14:textFill>
        </w:rPr>
        <w:t>不存在串通投标、恶意串通或者视为串通投标的情形</w:t>
      </w:r>
      <w:r>
        <w:rPr>
          <w:rFonts w:hint="eastAsia" w:ascii="仿宋-GB2312" w:hAnsi="仿宋-GB2312" w:eastAsia="仿宋-GB2312" w:cs="仿宋-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b w:val="0"/>
          <w:bCs/>
          <w:color w:val="auto"/>
          <w:sz w:val="32"/>
          <w:szCs w:val="32"/>
          <w:lang w:val="en-US" w:eastAsia="zh-CN"/>
        </w:rPr>
      </w:pPr>
      <w:r>
        <w:rPr>
          <w:rFonts w:hint="eastAsia" w:ascii="仿宋-GB2312" w:hAnsi="仿宋-GB2312" w:eastAsia="仿宋-GB2312" w:cs="仿宋-GB2312"/>
          <w:b w:val="0"/>
          <w:bCs/>
          <w:color w:val="auto"/>
          <w:sz w:val="32"/>
          <w:szCs w:val="32"/>
          <w:lang w:val="en-US" w:eastAsia="zh-CN"/>
        </w:rPr>
        <w:t>14.我单位清楚，如存在违反投标承诺行为情节严重的，将根据《深圳市财政局关于印发&lt;深圳市财政局政府采购供应商信用信息管理办法&gt;的通知》，依法被列入失信信息。</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b w:val="0"/>
          <w:bCs/>
          <w:color w:val="auto"/>
          <w:sz w:val="32"/>
          <w:szCs w:val="32"/>
          <w:lang w:val="en-US" w:eastAsia="zh-CN"/>
        </w:rPr>
      </w:pPr>
      <w:r>
        <w:rPr>
          <w:rFonts w:hint="default" w:ascii="仿宋-GB2312" w:hAnsi="仿宋-GB2312" w:eastAsia="仿宋-GB2312" w:cs="仿宋-GB2312"/>
          <w:color w:val="auto"/>
          <w:sz w:val="32"/>
          <w:szCs w:val="32"/>
          <w:u w:val="none"/>
          <w:lang w:eastAsia="zh-CN"/>
        </w:rPr>
        <w:t>15.我单位属于</w:t>
      </w:r>
      <w:r>
        <w:rPr>
          <w:rFonts w:hint="eastAsia" w:ascii="仿宋-GB2312" w:hAnsi="仿宋-GB2312" w:eastAsia="仿宋-GB2312" w:cs="仿宋-GB2312"/>
          <w:color w:val="auto"/>
          <w:sz w:val="32"/>
          <w:szCs w:val="32"/>
          <w:u w:val="none"/>
          <w:lang w:val="en-US" w:eastAsia="zh-CN"/>
        </w:rPr>
        <w:t>中小企业。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以上承诺，如有违反，愿依照国家相关法律法规处理，并承担由此给采购人带来的损失。</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 xml:space="preserve">                        </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 xml:space="preserve">  </w:t>
      </w:r>
      <w:r>
        <w:rPr>
          <w:rFonts w:hint="eastAsia" w:ascii="仿宋-GB2312" w:hAnsi="仿宋-GB2312" w:eastAsia="仿宋-GB2312" w:cs="仿宋-GB2312"/>
          <w:color w:val="000000" w:themeColor="text1"/>
          <w:sz w:val="32"/>
          <w:szCs w:val="32"/>
          <w14:textFill>
            <w14:solidFill>
              <w14:schemeClr w14:val="tx1"/>
            </w14:solidFill>
          </w14:textFill>
        </w:rPr>
        <w:t>投标单位（投标人）名称：</w:t>
      </w:r>
      <w:r>
        <w:rPr>
          <w:rFonts w:hint="eastAsia" w:ascii="仿宋-GB2312" w:hAnsi="仿宋-GB2312" w:eastAsia="仿宋-GB2312" w:cs="仿宋-GB2312"/>
          <w:color w:val="000000" w:themeColor="text1"/>
          <w:sz w:val="32"/>
          <w:szCs w:val="32"/>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pacing w:line="560" w:lineRule="exact"/>
        <w:ind w:firstLine="640" w:firstLineChars="200"/>
        <w:jc w:val="right"/>
        <w:textAlignment w:val="auto"/>
        <w:rPr>
          <w:rFonts w:hint="eastAsia" w:ascii="仿宋-GB2312" w:hAnsi="仿宋-GB2312" w:eastAsia="仿宋-GB2312" w:cs="仿宋-GB2312"/>
          <w:color w:val="000000" w:themeColor="text1"/>
          <w:sz w:val="32"/>
          <w:szCs w:val="32"/>
          <w14:textFill>
            <w14:solidFill>
              <w14:schemeClr w14:val="tx1"/>
            </w14:solidFill>
          </w14:textFill>
        </w:rPr>
      </w:pPr>
      <w:r>
        <w:rPr>
          <w:rFonts w:hint="eastAsia" w:ascii="仿宋-GB2312" w:hAnsi="仿宋-GB2312" w:eastAsia="仿宋-GB2312" w:cs="仿宋-GB2312"/>
          <w:color w:val="000000" w:themeColor="text1"/>
          <w:sz w:val="32"/>
          <w:szCs w:val="32"/>
          <w14:textFill>
            <w14:solidFill>
              <w14:schemeClr w14:val="tx1"/>
            </w14:solidFill>
          </w14:textFill>
        </w:rPr>
        <w:t xml:space="preserve">                                  </w:t>
      </w:r>
      <w:r>
        <w:rPr>
          <w:rFonts w:hint="eastAsia" w:ascii="仿宋-GB2312" w:hAnsi="仿宋-GB2312" w:eastAsia="仿宋-GB2312" w:cs="仿宋-GB2312"/>
          <w:color w:val="000000" w:themeColor="text1"/>
          <w:sz w:val="32"/>
          <w:szCs w:val="32"/>
          <w:lang w:val="en-US" w:eastAsia="zh-CN"/>
          <w14:textFill>
            <w14:solidFill>
              <w14:schemeClr w14:val="tx1"/>
            </w14:solidFill>
          </w14:textFill>
        </w:rPr>
        <w:t xml:space="preserve">                    </w:t>
      </w:r>
      <w:r>
        <w:rPr>
          <w:rFonts w:hint="eastAsia" w:ascii="仿宋-GB2312" w:hAnsi="仿宋-GB2312" w:eastAsia="仿宋-GB2312" w:cs="仿宋-GB2312"/>
          <w:color w:val="000000" w:themeColor="text1"/>
          <w:sz w:val="32"/>
          <w:szCs w:val="32"/>
          <w14:textFill>
            <w14:solidFill>
              <w14:schemeClr w14:val="tx1"/>
            </w14:solidFill>
          </w14:textFill>
        </w:rPr>
        <w:t xml:space="preserve">  </w:t>
      </w:r>
      <w:r>
        <w:rPr>
          <w:rFonts w:hint="eastAsia" w:ascii="仿宋-GB2312" w:hAnsi="仿宋-GB2312" w:eastAsia="仿宋-GB2312" w:cs="仿宋-GB2312"/>
          <w:color w:val="000000" w:themeColor="text1"/>
          <w:sz w:val="32"/>
          <w:szCs w:val="32"/>
          <w:u w:val="single"/>
          <w:lang w:val="en-US" w:eastAsia="zh-CN"/>
          <w14:textFill>
            <w14:solidFill>
              <w14:schemeClr w14:val="tx1"/>
            </w14:solidFill>
          </w14:textFill>
        </w:rPr>
        <w:t xml:space="preserve">   </w:t>
      </w:r>
      <w:r>
        <w:rPr>
          <w:rFonts w:hint="eastAsia" w:ascii="仿宋-GB2312" w:hAnsi="仿宋-GB2312" w:eastAsia="仿宋-GB2312" w:cs="仿宋-GB2312"/>
          <w:color w:val="000000" w:themeColor="text1"/>
          <w:sz w:val="32"/>
          <w:szCs w:val="32"/>
          <w14:textFill>
            <w14:solidFill>
              <w14:schemeClr w14:val="tx1"/>
            </w14:solidFill>
          </w14:textFill>
        </w:rPr>
        <w:t>年</w:t>
      </w:r>
      <w:r>
        <w:rPr>
          <w:rFonts w:hint="eastAsia" w:ascii="仿宋-GB2312" w:hAnsi="仿宋-GB2312" w:eastAsia="仿宋-GB2312" w:cs="仿宋-GB2312"/>
          <w:color w:val="000000" w:themeColor="text1"/>
          <w:sz w:val="32"/>
          <w:szCs w:val="32"/>
          <w:u w:val="single"/>
          <w14:textFill>
            <w14:solidFill>
              <w14:schemeClr w14:val="tx1"/>
            </w14:solidFill>
          </w14:textFill>
        </w:rPr>
        <w:t xml:space="preserve">   </w:t>
      </w:r>
      <w:r>
        <w:rPr>
          <w:rFonts w:hint="eastAsia" w:ascii="仿宋-GB2312" w:hAnsi="仿宋-GB2312" w:eastAsia="仿宋-GB2312" w:cs="仿宋-GB2312"/>
          <w:color w:val="000000" w:themeColor="text1"/>
          <w:sz w:val="32"/>
          <w:szCs w:val="32"/>
          <w14:textFill>
            <w14:solidFill>
              <w14:schemeClr w14:val="tx1"/>
            </w14:solidFill>
          </w14:textFill>
        </w:rPr>
        <w:t>月</w:t>
      </w:r>
      <w:r>
        <w:rPr>
          <w:rFonts w:hint="eastAsia" w:ascii="仿宋-GB2312" w:hAnsi="仿宋-GB2312" w:eastAsia="仿宋-GB2312" w:cs="仿宋-GB2312"/>
          <w:color w:val="000000" w:themeColor="text1"/>
          <w:sz w:val="32"/>
          <w:szCs w:val="32"/>
          <w:u w:val="single"/>
          <w14:textFill>
            <w14:solidFill>
              <w14:schemeClr w14:val="tx1"/>
            </w14:solidFill>
          </w14:textFill>
        </w:rPr>
        <w:t xml:space="preserve">   </w:t>
      </w:r>
      <w:r>
        <w:rPr>
          <w:rFonts w:hint="eastAsia" w:ascii="仿宋-GB2312" w:hAnsi="仿宋-GB2312" w:eastAsia="仿宋-GB2312" w:cs="仿宋-GB2312"/>
          <w:color w:val="000000" w:themeColor="text1"/>
          <w:sz w:val="32"/>
          <w:szCs w:val="32"/>
          <w14:textFill>
            <w14:solidFill>
              <w14:schemeClr w14:val="tx1"/>
            </w14:solidFill>
          </w14:textFill>
        </w:rPr>
        <w:t>日</w:t>
      </w:r>
    </w:p>
    <w:p>
      <w:pPr>
        <w:keepNext w:val="0"/>
        <w:keepLines w:val="0"/>
        <w:pageBreakBefore w:val="0"/>
        <w:widowControl/>
        <w:kinsoku/>
        <w:wordWrap/>
        <w:overflowPunct/>
        <w:topLinePunct w:val="0"/>
        <w:autoSpaceDE/>
        <w:autoSpaceDN/>
        <w:bidi w:val="0"/>
        <w:spacing w:line="560" w:lineRule="exact"/>
        <w:textAlignment w:val="auto"/>
        <w:rPr>
          <w:rFonts w:hint="eastAsia" w:ascii="仿宋-GB2312" w:hAnsi="仿宋-GB2312" w:eastAsia="仿宋-GB2312" w:cs="仿宋-GB2312"/>
          <w:b w:val="0"/>
          <w:bCs/>
          <w:color w:val="000000" w:themeColor="text1"/>
          <w:kern w:val="0"/>
          <w:sz w:val="32"/>
          <w:szCs w:val="32"/>
          <w14:textFill>
            <w14:solidFill>
              <w14:schemeClr w14:val="tx1"/>
            </w14:solidFill>
          </w14:textFill>
        </w:rPr>
      </w:pPr>
    </w:p>
    <w:p>
      <w:pPr>
        <w:keepNext w:val="0"/>
        <w:keepLines w:val="0"/>
        <w:pageBreakBefore w:val="0"/>
        <w:widowControl/>
        <w:kinsoku/>
        <w:wordWrap/>
        <w:overflowPunct/>
        <w:topLinePunct w:val="0"/>
        <w:autoSpaceDE/>
        <w:autoSpaceDN/>
        <w:bidi w:val="0"/>
        <w:spacing w:line="560" w:lineRule="exact"/>
        <w:ind w:firstLine="420" w:firstLineChars="200"/>
        <w:textAlignment w:val="auto"/>
        <w:rPr>
          <w:rFonts w:hint="eastAsia" w:ascii="仿宋-GB2312" w:hAnsi="仿宋-GB2312" w:eastAsia="仿宋-GB2312" w:cs="仿宋-GB2312"/>
          <w:b w:val="0"/>
          <w:bCs/>
          <w:color w:val="000000" w:themeColor="text1"/>
          <w:kern w:val="0"/>
          <w:sz w:val="21"/>
          <w:szCs w:val="21"/>
          <w14:textFill>
            <w14:solidFill>
              <w14:schemeClr w14:val="tx1"/>
            </w14:solidFill>
          </w14:textFill>
        </w:rPr>
      </w:pPr>
      <w:r>
        <w:rPr>
          <w:rFonts w:hint="eastAsia" w:ascii="仿宋-GB2312" w:hAnsi="仿宋-GB2312" w:eastAsia="仿宋-GB2312" w:cs="仿宋-GB2312"/>
          <w:b w:val="0"/>
          <w:bCs/>
          <w:color w:val="000000" w:themeColor="text1"/>
          <w:kern w:val="0"/>
          <w:sz w:val="21"/>
          <w:szCs w:val="21"/>
          <w14:textFill>
            <w14:solidFill>
              <w14:schemeClr w14:val="tx1"/>
            </w14:solidFill>
          </w14:textFill>
        </w:rPr>
        <w:t>注：根据《中华人民共和国政府采购法实施条例》第十九条规定：政府采购法第二十二条第一款第五项所称重大违法记录，是指供应商因违法经营受到刑事处罚或者责令停产停业、吊销许可证或者执照、较大数额罚款等行政处罚。</w:t>
      </w:r>
    </w:p>
    <w:p>
      <w:pPr>
        <w:keepNext w:val="0"/>
        <w:keepLines w:val="0"/>
        <w:pageBreakBefore w:val="0"/>
        <w:kinsoku/>
        <w:wordWrap/>
        <w:overflowPunct/>
        <w:topLinePunct w:val="0"/>
        <w:autoSpaceDE/>
        <w:autoSpaceDN/>
        <w:bidi w:val="0"/>
        <w:spacing w:line="560" w:lineRule="exact"/>
        <w:textAlignment w:val="auto"/>
        <w:rPr>
          <w:rFonts w:hint="eastAsia" w:ascii="仿宋-GB2312" w:hAnsi="仿宋-GB2312" w:eastAsia="仿宋-GB2312" w:cs="仿宋-GB2312"/>
          <w:color w:val="000000" w:themeColor="text1"/>
          <w:sz w:val="32"/>
          <w:szCs w:val="32"/>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GB2312">
    <w:altName w:val="方正仿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E976D2D"/>
    <w:rsid w:val="3BFF9657"/>
    <w:rsid w:val="3D7F9676"/>
    <w:rsid w:val="3FD7FDF3"/>
    <w:rsid w:val="4A1947CF"/>
    <w:rsid w:val="779E259F"/>
    <w:rsid w:val="7BD39D21"/>
    <w:rsid w:val="7FDEE6A3"/>
    <w:rsid w:val="DC74592D"/>
    <w:rsid w:val="E4FB6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2018-07-13T15:11:00Z</dcterms:created>
  <dc:creator>d</dc:creator>
  <cp:lastModifiedBy>laidanhua</cp:lastModifiedBy>
  <dcterms:modified xsi:type="dcterms:W3CDTF">2025-10-31T17:34:00Z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y fmtid="{D5CDD505-2E9C-101B-9397-08002B2CF9AE}" pid="3" name="ICV">
    <vt:lpwstr>E6722729CDF16222421C5568A4715C4C</vt:lpwstr>
  </property>
</Properties>
</file>