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D00A0">
      <w:pPr>
        <w:tabs>
          <w:tab w:val="left" w:pos="7895"/>
        </w:tabs>
        <w:spacing w:line="276" w:lineRule="auto"/>
        <w:jc w:val="left"/>
        <w:rPr>
          <w:rFonts w:ascii="宋体" w:hAnsi="宋体" w:cs="Calibri"/>
          <w:b/>
          <w:sz w:val="44"/>
          <w:shd w:val="clear" w:color="060000" w:fill="auto"/>
        </w:rPr>
      </w:pPr>
      <w:bookmarkStart w:id="0" w:name="OLE_LINK16"/>
      <w:bookmarkStart w:id="1" w:name="OLE_LINK15"/>
      <w:r>
        <w:rPr>
          <w:rFonts w:hint="eastAsia" w:ascii="宋体" w:hAnsi="宋体" w:cs="Calibri"/>
          <w:b/>
          <w:sz w:val="44"/>
          <w:shd w:val="clear" w:color="060000" w:fill="auto"/>
        </w:rPr>
        <w:tab/>
      </w:r>
    </w:p>
    <w:p w14:paraId="770AD982">
      <w:pPr>
        <w:spacing w:line="276" w:lineRule="auto"/>
        <w:jc w:val="center"/>
        <w:rPr>
          <w:rFonts w:ascii="宋体" w:hAnsi="宋体" w:cs="Calibri"/>
          <w:b/>
          <w:sz w:val="44"/>
          <w:shd w:val="clear" w:color="060000" w:fill="auto"/>
        </w:rPr>
      </w:pPr>
    </w:p>
    <w:p w14:paraId="29ADE17D">
      <w:pPr>
        <w:spacing w:line="276" w:lineRule="auto"/>
        <w:jc w:val="center"/>
        <w:rPr>
          <w:rFonts w:ascii="微软雅黑" w:hAnsi="微软雅黑" w:eastAsia="微软雅黑" w:cs="微软雅黑"/>
          <w:sz w:val="52"/>
          <w:szCs w:val="52"/>
          <w:shd w:val="clear" w:color="060000" w:fill="auto"/>
        </w:rPr>
      </w:pPr>
    </w:p>
    <w:p w14:paraId="4E9CCF76">
      <w:pPr>
        <w:spacing w:line="276" w:lineRule="auto"/>
        <w:jc w:val="center"/>
        <w:rPr>
          <w:rFonts w:ascii="微软雅黑" w:hAnsi="微软雅黑" w:eastAsia="微软雅黑" w:cs="微软雅黑"/>
          <w:sz w:val="52"/>
          <w:szCs w:val="52"/>
          <w:shd w:val="clear" w:color="060000" w:fill="auto"/>
        </w:rPr>
      </w:pPr>
      <w:r>
        <w:rPr>
          <w:rFonts w:hint="eastAsia" w:ascii="微软雅黑" w:hAnsi="微软雅黑" w:eastAsia="微软雅黑" w:cs="微软雅黑"/>
          <w:sz w:val="52"/>
          <w:szCs w:val="52"/>
          <w:shd w:val="clear" w:color="060000" w:fill="auto"/>
        </w:rPr>
        <w:t>深圳第一亚太物业管理有限公司</w:t>
      </w:r>
    </w:p>
    <w:p w14:paraId="71A95AB9">
      <w:pPr>
        <w:spacing w:line="276" w:lineRule="auto"/>
        <w:jc w:val="center"/>
        <w:rPr>
          <w:rFonts w:ascii="微软雅黑" w:hAnsi="微软雅黑" w:eastAsia="微软雅黑" w:cs="微软雅黑"/>
          <w:b/>
          <w:sz w:val="48"/>
          <w:shd w:val="clear" w:color="060000" w:fill="auto"/>
        </w:rPr>
      </w:pPr>
    </w:p>
    <w:p w14:paraId="4EFA9DF7">
      <w:pPr>
        <w:spacing w:line="276" w:lineRule="auto"/>
        <w:jc w:val="center"/>
        <w:rPr>
          <w:rFonts w:ascii="微软雅黑" w:hAnsi="微软雅黑" w:eastAsia="微软雅黑" w:cs="微软雅黑"/>
          <w:b/>
          <w:sz w:val="48"/>
          <w:shd w:val="clear" w:color="060000" w:fill="auto"/>
        </w:rPr>
      </w:pPr>
    </w:p>
    <w:p w14:paraId="046840E6">
      <w:pPr>
        <w:spacing w:line="276" w:lineRule="auto"/>
        <w:jc w:val="center"/>
        <w:rPr>
          <w:rFonts w:ascii="微软雅黑" w:hAnsi="微软雅黑" w:eastAsia="微软雅黑" w:cs="微软雅黑"/>
          <w:sz w:val="72"/>
          <w:szCs w:val="72"/>
          <w:shd w:val="clear" w:color="060000" w:fill="auto"/>
        </w:rPr>
      </w:pPr>
      <w:r>
        <w:rPr>
          <w:rFonts w:hint="eastAsia" w:ascii="微软雅黑" w:hAnsi="微软雅黑" w:eastAsia="微软雅黑" w:cs="微软雅黑"/>
          <w:sz w:val="72"/>
          <w:szCs w:val="72"/>
          <w:shd w:val="clear" w:color="060000" w:fill="auto"/>
        </w:rPr>
        <w:t>招标文件</w:t>
      </w:r>
    </w:p>
    <w:p w14:paraId="3D200908">
      <w:pPr>
        <w:spacing w:line="276" w:lineRule="auto"/>
        <w:rPr>
          <w:rFonts w:ascii="微软雅黑" w:hAnsi="微软雅黑" w:eastAsia="微软雅黑" w:cs="微软雅黑"/>
          <w:b/>
          <w:sz w:val="72"/>
          <w:shd w:val="clear" w:color="060000" w:fill="auto"/>
        </w:rPr>
      </w:pPr>
    </w:p>
    <w:p w14:paraId="3F54E276">
      <w:pPr>
        <w:spacing w:line="276" w:lineRule="auto"/>
        <w:ind w:firstLine="31680"/>
        <w:jc w:val="center"/>
        <w:rPr>
          <w:rFonts w:ascii="微软雅黑" w:hAnsi="微软雅黑" w:eastAsia="微软雅黑" w:cs="微软雅黑"/>
          <w:b/>
          <w:sz w:val="44"/>
          <w:shd w:val="clear" w:color="060000" w:fill="auto"/>
        </w:rPr>
      </w:pPr>
    </w:p>
    <w:p w14:paraId="7C2A47E0">
      <w:pPr>
        <w:spacing w:line="276" w:lineRule="auto"/>
        <w:ind w:left="-30076"/>
        <w:rPr>
          <w:rFonts w:ascii="微软雅黑" w:hAnsi="微软雅黑" w:eastAsia="微软雅黑" w:cs="微软雅黑"/>
          <w:b/>
          <w:sz w:val="44"/>
          <w:shd w:val="clear" w:color="060000" w:fill="auto"/>
        </w:rPr>
      </w:pPr>
    </w:p>
    <w:p w14:paraId="7307D144">
      <w:pPr>
        <w:spacing w:line="560" w:lineRule="exact"/>
        <w:ind w:left="3198" w:leftChars="456" w:hanging="2240" w:hangingChars="700"/>
        <w:jc w:val="left"/>
        <w:rPr>
          <w:rFonts w:ascii="微软雅黑" w:hAnsi="微软雅黑" w:eastAsia="微软雅黑" w:cs="微软雅黑"/>
          <w:sz w:val="32"/>
          <w:u w:val="single"/>
          <w:shd w:val="clear" w:color="050000" w:fill="auto"/>
        </w:rPr>
      </w:pPr>
      <w:r>
        <w:rPr>
          <w:rFonts w:hint="eastAsia" w:ascii="微软雅黑" w:hAnsi="微软雅黑" w:eastAsia="微软雅黑" w:cs="微软雅黑"/>
          <w:sz w:val="32"/>
          <w:shd w:val="clear" w:color="050000" w:fill="auto"/>
        </w:rPr>
        <w:t>招标项目名称：</w:t>
      </w:r>
      <w:r>
        <w:rPr>
          <w:rFonts w:hint="eastAsia" w:ascii="仿宋" w:hAnsi="仿宋" w:eastAsia="仿宋" w:cs="宋体"/>
          <w:sz w:val="32"/>
          <w:szCs w:val="32"/>
          <w:u w:val="single"/>
          <w:shd w:val="clear" w:color="050000" w:fill="auto"/>
        </w:rPr>
        <w:t xml:space="preserve"> </w:t>
      </w:r>
      <w:bookmarkStart w:id="125" w:name="_GoBack"/>
      <w:r>
        <w:rPr>
          <w:rFonts w:hint="eastAsia" w:ascii="仿宋" w:hAnsi="仿宋" w:eastAsia="仿宋" w:cs="宋体"/>
          <w:sz w:val="32"/>
          <w:szCs w:val="32"/>
          <w:u w:val="single"/>
          <w:shd w:val="clear" w:color="050000" w:fill="auto"/>
          <w:lang w:val="en-US" w:eastAsia="zh-CN"/>
        </w:rPr>
        <w:t>第一亚太公司关于</w:t>
      </w:r>
      <w:r>
        <w:rPr>
          <w:rFonts w:hint="eastAsia" w:ascii="仿宋" w:hAnsi="仿宋" w:eastAsia="仿宋" w:cs="宋体"/>
          <w:sz w:val="32"/>
          <w:szCs w:val="32"/>
          <w:u w:val="single"/>
          <w:shd w:val="clear" w:color="050000" w:fill="auto"/>
        </w:rPr>
        <w:t>华南城及其附属公司欠费事项的诉讼代理服务</w:t>
      </w:r>
      <w:bookmarkEnd w:id="125"/>
      <w:r>
        <w:rPr>
          <w:rFonts w:hint="eastAsia" w:ascii="仿宋" w:hAnsi="仿宋" w:eastAsia="仿宋" w:cs="宋体"/>
          <w:sz w:val="32"/>
          <w:szCs w:val="32"/>
          <w:u w:val="single"/>
          <w:shd w:val="clear" w:color="050000" w:fill="auto"/>
        </w:rPr>
        <w:t xml:space="preserve"> </w:t>
      </w:r>
    </w:p>
    <w:p w14:paraId="70691A66">
      <w:pPr>
        <w:spacing w:line="560" w:lineRule="exact"/>
        <w:ind w:left="3198" w:leftChars="456" w:hanging="2240" w:hangingChars="700"/>
        <w:jc w:val="left"/>
        <w:rPr>
          <w:rFonts w:ascii="微软雅黑" w:hAnsi="微软雅黑" w:eastAsia="微软雅黑" w:cs="微软雅黑"/>
          <w:sz w:val="32"/>
          <w:u w:val="single"/>
          <w:shd w:val="clear" w:color="050000" w:fill="auto"/>
        </w:rPr>
      </w:pPr>
      <w:r>
        <w:rPr>
          <w:rFonts w:hint="eastAsia" w:ascii="微软雅黑" w:hAnsi="微软雅黑" w:eastAsia="微软雅黑" w:cs="微软雅黑"/>
          <w:sz w:val="32"/>
          <w:shd w:val="clear" w:color="050000" w:fill="auto"/>
        </w:rPr>
        <w:t>项 目 地 点：</w:t>
      </w:r>
      <w:bookmarkStart w:id="2" w:name="OLE_LINK12"/>
      <w:bookmarkStart w:id="3" w:name="OLE_LINK13"/>
      <w:r>
        <w:rPr>
          <w:rFonts w:hint="eastAsia" w:ascii="仿宋" w:hAnsi="仿宋" w:eastAsia="仿宋" w:cs="宋体"/>
          <w:sz w:val="32"/>
          <w:szCs w:val="32"/>
          <w:u w:val="single"/>
          <w:shd w:val="clear" w:color="050000" w:fill="auto"/>
        </w:rPr>
        <w:t>深圳市龙岗区平湖街道华南大道一号行政楼 3楼</w:t>
      </w:r>
    </w:p>
    <w:bookmarkEnd w:id="2"/>
    <w:bookmarkEnd w:id="3"/>
    <w:p w14:paraId="36B8AAA3">
      <w:pPr>
        <w:spacing w:line="560" w:lineRule="exact"/>
        <w:ind w:firstLine="960" w:firstLineChars="300"/>
        <w:jc w:val="left"/>
        <w:rPr>
          <w:rFonts w:ascii="微软雅黑" w:hAnsi="微软雅黑" w:eastAsia="微软雅黑" w:cs="微软雅黑"/>
          <w:sz w:val="32"/>
          <w:u w:val="single"/>
          <w:shd w:val="clear" w:color="060000" w:fill="auto"/>
        </w:rPr>
      </w:pPr>
      <w:r>
        <w:rPr>
          <w:rFonts w:hint="eastAsia" w:ascii="微软雅黑" w:hAnsi="微软雅黑" w:eastAsia="微软雅黑" w:cs="微软雅黑"/>
          <w:sz w:val="32"/>
          <w:shd w:val="clear" w:color="050000" w:fill="auto"/>
        </w:rPr>
        <w:t>招 标 人：</w:t>
      </w:r>
      <w:r>
        <w:rPr>
          <w:rFonts w:hint="eastAsia" w:ascii="微软雅黑" w:hAnsi="微软雅黑" w:eastAsia="微软雅黑" w:cs="微软雅黑"/>
          <w:sz w:val="32"/>
          <w:u w:val="single"/>
          <w:shd w:val="clear" w:color="050000" w:fill="auto"/>
        </w:rPr>
        <w:t xml:space="preserve">     </w:t>
      </w:r>
      <w:r>
        <w:rPr>
          <w:rFonts w:hint="eastAsia" w:ascii="仿宋" w:hAnsi="仿宋" w:eastAsia="仿宋" w:cs="仿宋_GB2312"/>
          <w:sz w:val="32"/>
          <w:u w:val="single"/>
          <w:shd w:val="clear" w:color="050000" w:fill="auto"/>
        </w:rPr>
        <w:t>深圳第一亚太物业管理有限公司</w:t>
      </w:r>
      <w:r>
        <w:rPr>
          <w:rFonts w:hint="eastAsia" w:ascii="仿宋" w:hAnsi="仿宋" w:eastAsia="仿宋" w:cs="微软雅黑"/>
          <w:sz w:val="32"/>
          <w:u w:val="single"/>
          <w:shd w:val="clear" w:color="050000" w:fill="auto"/>
        </w:rPr>
        <w:t xml:space="preserve">  </w:t>
      </w:r>
      <w:r>
        <w:rPr>
          <w:rFonts w:hint="eastAsia" w:ascii="微软雅黑" w:hAnsi="微软雅黑" w:eastAsia="微软雅黑" w:cs="微软雅黑"/>
          <w:sz w:val="32"/>
          <w:u w:val="single"/>
          <w:shd w:val="clear" w:color="050000" w:fill="auto"/>
        </w:rPr>
        <w:t xml:space="preserve">                            </w:t>
      </w:r>
    </w:p>
    <w:p w14:paraId="17075749">
      <w:pPr>
        <w:spacing w:line="360" w:lineRule="auto"/>
        <w:jc w:val="center"/>
        <w:rPr>
          <w:rFonts w:ascii="微软雅黑" w:hAnsi="微软雅黑" w:eastAsia="微软雅黑" w:cs="微软雅黑"/>
          <w:sz w:val="32"/>
          <w:shd w:val="clear" w:color="050000" w:fill="auto"/>
        </w:rPr>
      </w:pPr>
    </w:p>
    <w:p w14:paraId="0C295894">
      <w:pPr>
        <w:spacing w:line="276" w:lineRule="auto"/>
        <w:jc w:val="center"/>
        <w:rPr>
          <w:rFonts w:ascii="宋体" w:hAnsi="宋体" w:cs="黑体"/>
          <w:sz w:val="32"/>
          <w:shd w:val="clear" w:color="050000" w:fill="auto"/>
        </w:rPr>
      </w:pPr>
    </w:p>
    <w:p w14:paraId="586EA7BF">
      <w:pPr>
        <w:pStyle w:val="55"/>
        <w:tabs>
          <w:tab w:val="center" w:pos="4595"/>
          <w:tab w:val="left" w:pos="6598"/>
        </w:tabs>
        <w:spacing w:line="360" w:lineRule="auto"/>
        <w:rPr>
          <w:rFonts w:ascii="微软雅黑" w:hAnsi="宋体" w:eastAsia="微软雅黑"/>
          <w:sz w:val="44"/>
          <w:szCs w:val="44"/>
        </w:rPr>
      </w:pPr>
      <w:r>
        <w:rPr>
          <w:rFonts w:hint="eastAsia" w:ascii="微软雅黑" w:hAnsi="宋体" w:eastAsia="微软雅黑"/>
          <w:color w:val="auto"/>
          <w:sz w:val="44"/>
          <w:szCs w:val="44"/>
          <w:lang w:val="zh-CN"/>
        </w:rPr>
        <w:tab/>
      </w:r>
      <w:r>
        <w:rPr>
          <w:rFonts w:hint="eastAsia" w:ascii="微软雅黑" w:hAnsi="宋体" w:eastAsia="微软雅黑"/>
          <w:sz w:val="44"/>
          <w:szCs w:val="44"/>
          <w:lang w:val="zh-CN"/>
        </w:rPr>
        <w:t>目 录</w:t>
      </w:r>
      <w:r>
        <w:rPr>
          <w:rFonts w:hint="eastAsia" w:ascii="微软雅黑" w:hAnsi="宋体" w:eastAsia="微软雅黑"/>
          <w:sz w:val="44"/>
          <w:szCs w:val="44"/>
          <w:lang w:val="zh-CN"/>
        </w:rPr>
        <w:tab/>
      </w:r>
    </w:p>
    <w:p w14:paraId="2148348C">
      <w:pPr>
        <w:tabs>
          <w:tab w:val="right" w:leader="dot" w:pos="9071"/>
        </w:tabs>
        <w:spacing w:before="120" w:after="120"/>
        <w:jc w:val="left"/>
        <w:rPr>
          <w:rFonts w:ascii="方正仿宋_GB2312" w:hAnsi="方正仿宋_GB2312" w:eastAsia="方正仿宋_GB2312" w:cs="方正仿宋_GB2312"/>
          <w:b/>
          <w:bCs/>
          <w:caps/>
          <w:sz w:val="28"/>
          <w:szCs w:val="28"/>
        </w:rPr>
      </w:pPr>
      <w:r>
        <w:rPr>
          <w:rFonts w:hint="eastAsia" w:ascii="方正仿宋_GB2312" w:hAnsi="方正仿宋_GB2312" w:eastAsia="方正仿宋_GB2312" w:cs="方正仿宋_GB2312"/>
          <w:bCs/>
          <w:color w:val="0000FF"/>
          <w:kern w:val="0"/>
          <w:sz w:val="24"/>
          <w:szCs w:val="24"/>
          <w:u w:val="single"/>
        </w:rPr>
        <w:fldChar w:fldCharType="begin"/>
      </w:r>
      <w:r>
        <w:rPr>
          <w:rFonts w:hint="eastAsia" w:ascii="方正仿宋_GB2312" w:hAnsi="方正仿宋_GB2312" w:eastAsia="方正仿宋_GB2312" w:cs="方正仿宋_GB2312"/>
          <w:bCs/>
          <w:color w:val="0000FF"/>
          <w:kern w:val="0"/>
          <w:sz w:val="24"/>
          <w:szCs w:val="24"/>
          <w:u w:val="single"/>
        </w:rPr>
        <w:instrText xml:space="preserve"> TOC \o "1-4" \h \z \u </w:instrText>
      </w:r>
      <w:r>
        <w:rPr>
          <w:rFonts w:hint="eastAsia" w:ascii="方正仿宋_GB2312" w:hAnsi="方正仿宋_GB2312" w:eastAsia="方正仿宋_GB2312" w:cs="方正仿宋_GB2312"/>
          <w:bCs/>
          <w:color w:val="0000FF"/>
          <w:kern w:val="0"/>
          <w:sz w:val="24"/>
          <w:szCs w:val="24"/>
          <w:u w:val="single"/>
        </w:rPr>
        <w:fldChar w:fldCharType="separate"/>
      </w:r>
      <w:r>
        <w:fldChar w:fldCharType="begin"/>
      </w:r>
      <w:r>
        <w:instrText xml:space="preserve"> HYPERLINK \l "_Toc12700" </w:instrText>
      </w:r>
      <w:r>
        <w:fldChar w:fldCharType="separate"/>
      </w:r>
      <w:r>
        <w:rPr>
          <w:rFonts w:hint="eastAsia" w:ascii="方正仿宋_GB2312" w:hAnsi="方正仿宋_GB2312" w:eastAsia="方正仿宋_GB2312" w:cs="方正仿宋_GB2312"/>
          <w:b/>
          <w:bCs/>
          <w:caps/>
          <w:sz w:val="28"/>
          <w:szCs w:val="28"/>
          <w:shd w:val="clear" w:color="060000" w:fill="auto"/>
        </w:rPr>
        <w:t>第一章  致投标人</w:t>
      </w:r>
      <w:r>
        <w:rPr>
          <w:rFonts w:hint="eastAsia" w:ascii="方正仿宋_GB2312" w:hAnsi="方正仿宋_GB2312" w:eastAsia="方正仿宋_GB2312" w:cs="方正仿宋_GB2312"/>
          <w:b/>
          <w:bCs/>
          <w:caps/>
          <w:sz w:val="28"/>
          <w:szCs w:val="28"/>
        </w:rPr>
        <w:tab/>
      </w:r>
      <w:r>
        <w:rPr>
          <w:rFonts w:hint="eastAsia" w:ascii="方正仿宋_GB2312" w:hAnsi="方正仿宋_GB2312" w:eastAsia="方正仿宋_GB2312" w:cs="方正仿宋_GB2312"/>
          <w:b/>
          <w:bCs/>
          <w:caps/>
          <w:sz w:val="28"/>
          <w:szCs w:val="28"/>
        </w:rPr>
        <w:fldChar w:fldCharType="begin"/>
      </w:r>
      <w:r>
        <w:rPr>
          <w:rFonts w:hint="eastAsia" w:ascii="方正仿宋_GB2312" w:hAnsi="方正仿宋_GB2312" w:eastAsia="方正仿宋_GB2312" w:cs="方正仿宋_GB2312"/>
          <w:b/>
          <w:bCs/>
          <w:caps/>
          <w:sz w:val="28"/>
          <w:szCs w:val="28"/>
        </w:rPr>
        <w:instrText xml:space="preserve"> PAGEREF _Toc12700 \h </w:instrText>
      </w:r>
      <w:r>
        <w:rPr>
          <w:rFonts w:hint="eastAsia" w:ascii="方正仿宋_GB2312" w:hAnsi="方正仿宋_GB2312" w:eastAsia="方正仿宋_GB2312" w:cs="方正仿宋_GB2312"/>
          <w:b/>
          <w:bCs/>
          <w:caps/>
          <w:sz w:val="28"/>
          <w:szCs w:val="28"/>
        </w:rPr>
        <w:fldChar w:fldCharType="separate"/>
      </w:r>
      <w:r>
        <w:rPr>
          <w:rFonts w:ascii="方正仿宋_GB2312" w:hAnsi="方正仿宋_GB2312" w:eastAsia="方正仿宋_GB2312" w:cs="方正仿宋_GB2312"/>
          <w:b/>
          <w:bCs/>
          <w:caps/>
          <w:sz w:val="28"/>
          <w:szCs w:val="28"/>
        </w:rPr>
        <w:t>3</w:t>
      </w:r>
      <w:r>
        <w:rPr>
          <w:rFonts w:hint="eastAsia" w:ascii="方正仿宋_GB2312" w:hAnsi="方正仿宋_GB2312" w:eastAsia="方正仿宋_GB2312" w:cs="方正仿宋_GB2312"/>
          <w:b/>
          <w:bCs/>
          <w:caps/>
          <w:sz w:val="28"/>
          <w:szCs w:val="28"/>
        </w:rPr>
        <w:fldChar w:fldCharType="end"/>
      </w:r>
      <w:r>
        <w:rPr>
          <w:rFonts w:hint="eastAsia" w:ascii="方正仿宋_GB2312" w:hAnsi="方正仿宋_GB2312" w:eastAsia="方正仿宋_GB2312" w:cs="方正仿宋_GB2312"/>
          <w:b/>
          <w:bCs/>
          <w:caps/>
          <w:sz w:val="28"/>
          <w:szCs w:val="28"/>
        </w:rPr>
        <w:fldChar w:fldCharType="end"/>
      </w:r>
    </w:p>
    <w:p w14:paraId="716E4D42">
      <w:pPr>
        <w:tabs>
          <w:tab w:val="right" w:leader="dot" w:pos="9071"/>
        </w:tabs>
        <w:spacing w:before="120" w:after="120"/>
        <w:jc w:val="left"/>
        <w:rPr>
          <w:rFonts w:ascii="方正仿宋_GB2312" w:hAnsi="方正仿宋_GB2312" w:eastAsia="方正仿宋_GB2312" w:cs="方正仿宋_GB2312"/>
          <w:b/>
          <w:bCs/>
          <w:caps/>
          <w:sz w:val="28"/>
          <w:szCs w:val="28"/>
        </w:rPr>
      </w:pPr>
      <w:r>
        <w:fldChar w:fldCharType="begin"/>
      </w:r>
      <w:r>
        <w:instrText xml:space="preserve"> HYPERLINK \l "_Toc31937" </w:instrText>
      </w:r>
      <w:r>
        <w:fldChar w:fldCharType="separate"/>
      </w:r>
      <w:r>
        <w:rPr>
          <w:rFonts w:hint="eastAsia" w:ascii="方正仿宋_GB2312" w:hAnsi="方正仿宋_GB2312" w:eastAsia="方正仿宋_GB2312" w:cs="方正仿宋_GB2312"/>
          <w:b/>
          <w:bCs/>
          <w:caps/>
          <w:sz w:val="28"/>
          <w:szCs w:val="28"/>
          <w:shd w:val="clear" w:color="060000" w:fill="auto"/>
        </w:rPr>
        <w:t>第二章 投标须知</w:t>
      </w:r>
      <w:r>
        <w:rPr>
          <w:rFonts w:hint="eastAsia" w:ascii="方正仿宋_GB2312" w:hAnsi="方正仿宋_GB2312" w:eastAsia="方正仿宋_GB2312" w:cs="方正仿宋_GB2312"/>
          <w:b/>
          <w:bCs/>
          <w:caps/>
          <w:sz w:val="28"/>
          <w:szCs w:val="28"/>
        </w:rPr>
        <w:tab/>
      </w:r>
      <w:r>
        <w:rPr>
          <w:rFonts w:hint="eastAsia" w:ascii="方正仿宋_GB2312" w:hAnsi="方正仿宋_GB2312" w:eastAsia="方正仿宋_GB2312" w:cs="方正仿宋_GB2312"/>
          <w:b/>
          <w:bCs/>
          <w:caps/>
          <w:sz w:val="28"/>
          <w:szCs w:val="28"/>
        </w:rPr>
        <w:fldChar w:fldCharType="end"/>
      </w:r>
      <w:r>
        <w:rPr>
          <w:rFonts w:ascii="方正仿宋_GB2312" w:hAnsi="方正仿宋_GB2312" w:eastAsia="方正仿宋_GB2312" w:cs="方正仿宋_GB2312"/>
          <w:b/>
          <w:bCs/>
          <w:caps/>
          <w:sz w:val="28"/>
          <w:szCs w:val="28"/>
        </w:rPr>
        <w:t>5</w:t>
      </w:r>
    </w:p>
    <w:p w14:paraId="0ED7720F">
      <w:pPr>
        <w:tabs>
          <w:tab w:val="right" w:leader="dot" w:pos="9071"/>
        </w:tabs>
        <w:ind w:left="210"/>
        <w:jc w:val="left"/>
        <w:rPr>
          <w:rFonts w:ascii="方正仿宋_GB2312" w:hAnsi="方正仿宋_GB2312" w:eastAsia="方正仿宋_GB2312" w:cs="方正仿宋_GB2312"/>
          <w:smallCaps/>
          <w:sz w:val="28"/>
          <w:szCs w:val="28"/>
        </w:rPr>
      </w:pPr>
      <w:r>
        <w:fldChar w:fldCharType="begin"/>
      </w:r>
      <w:r>
        <w:instrText xml:space="preserve"> HYPERLINK \l "_Toc6616" </w:instrText>
      </w:r>
      <w:r>
        <w:fldChar w:fldCharType="separate"/>
      </w:r>
      <w:r>
        <w:rPr>
          <w:rFonts w:hint="eastAsia" w:ascii="方正仿宋_GB2312" w:hAnsi="方正仿宋_GB2312" w:eastAsia="方正仿宋_GB2312" w:cs="方正仿宋_GB2312"/>
          <w:smallCaps/>
          <w:sz w:val="28"/>
          <w:szCs w:val="28"/>
        </w:rPr>
        <w:t>一、投标须知前附件</w:t>
      </w:r>
      <w:r>
        <w:rPr>
          <w:rFonts w:hint="eastAsia" w:ascii="方正仿宋_GB2312" w:hAnsi="方正仿宋_GB2312" w:eastAsia="方正仿宋_GB2312" w:cs="方正仿宋_GB2312"/>
          <w:smallCaps/>
          <w:sz w:val="28"/>
          <w:szCs w:val="28"/>
        </w:rPr>
        <w:tab/>
      </w:r>
      <w:bookmarkStart w:id="4" w:name="OLE_LINK9"/>
      <w:bookmarkStart w:id="5" w:name="OLE_LINK8"/>
      <w:r>
        <w:rPr>
          <w:rFonts w:hint="eastAsia" w:ascii="方正仿宋_GB2312" w:hAnsi="方正仿宋_GB2312" w:eastAsia="方正仿宋_GB2312" w:cs="方正仿宋_GB2312"/>
          <w:smallCaps/>
          <w:sz w:val="28"/>
          <w:szCs w:val="28"/>
        </w:rPr>
        <w:fldChar w:fldCharType="begin"/>
      </w:r>
      <w:r>
        <w:rPr>
          <w:rFonts w:hint="eastAsia" w:ascii="方正仿宋_GB2312" w:hAnsi="方正仿宋_GB2312" w:eastAsia="方正仿宋_GB2312" w:cs="方正仿宋_GB2312"/>
          <w:smallCaps/>
          <w:sz w:val="28"/>
          <w:szCs w:val="28"/>
        </w:rPr>
        <w:instrText xml:space="preserve"> PAGEREF _Toc6616 \h </w:instrText>
      </w:r>
      <w:r>
        <w:rPr>
          <w:rFonts w:hint="eastAsia" w:ascii="方正仿宋_GB2312" w:hAnsi="方正仿宋_GB2312" w:eastAsia="方正仿宋_GB2312" w:cs="方正仿宋_GB2312"/>
          <w:smallCaps/>
          <w:sz w:val="28"/>
          <w:szCs w:val="28"/>
        </w:rPr>
        <w:fldChar w:fldCharType="separate"/>
      </w:r>
      <w:r>
        <w:rPr>
          <w:rFonts w:ascii="方正仿宋_GB2312" w:hAnsi="方正仿宋_GB2312" w:eastAsia="方正仿宋_GB2312" w:cs="方正仿宋_GB2312"/>
          <w:smallCaps/>
          <w:sz w:val="28"/>
          <w:szCs w:val="28"/>
        </w:rPr>
        <w:t>5</w:t>
      </w:r>
      <w:r>
        <w:rPr>
          <w:rFonts w:hint="eastAsia" w:ascii="方正仿宋_GB2312" w:hAnsi="方正仿宋_GB2312" w:eastAsia="方正仿宋_GB2312" w:cs="方正仿宋_GB2312"/>
          <w:smallCaps/>
          <w:sz w:val="28"/>
          <w:szCs w:val="28"/>
        </w:rPr>
        <w:fldChar w:fldCharType="end"/>
      </w:r>
      <w:bookmarkEnd w:id="4"/>
      <w:bookmarkEnd w:id="5"/>
      <w:r>
        <w:rPr>
          <w:rFonts w:hint="eastAsia" w:ascii="方正仿宋_GB2312" w:hAnsi="方正仿宋_GB2312" w:eastAsia="方正仿宋_GB2312" w:cs="方正仿宋_GB2312"/>
          <w:smallCaps/>
          <w:sz w:val="28"/>
          <w:szCs w:val="28"/>
        </w:rPr>
        <w:fldChar w:fldCharType="end"/>
      </w:r>
    </w:p>
    <w:p w14:paraId="016B9E57">
      <w:pPr>
        <w:tabs>
          <w:tab w:val="right" w:leader="dot" w:pos="9071"/>
        </w:tabs>
        <w:ind w:left="420"/>
        <w:jc w:val="left"/>
        <w:rPr>
          <w:rFonts w:ascii="方正仿宋_GB2312" w:hAnsi="方正仿宋_GB2312" w:eastAsia="方正仿宋_GB2312" w:cs="方正仿宋_GB2312"/>
          <w:i/>
          <w:iCs/>
          <w:sz w:val="28"/>
          <w:szCs w:val="28"/>
        </w:rPr>
      </w:pPr>
      <w:r>
        <w:fldChar w:fldCharType="begin"/>
      </w:r>
      <w:r>
        <w:instrText xml:space="preserve"> HYPERLINK \l "_Toc23019" </w:instrText>
      </w:r>
      <w:r>
        <w:fldChar w:fldCharType="separate"/>
      </w:r>
      <w:r>
        <w:rPr>
          <w:rFonts w:hint="eastAsia" w:ascii="方正仿宋_GB2312" w:hAnsi="方正仿宋_GB2312" w:eastAsia="方正仿宋_GB2312" w:cs="方正仿宋_GB2312"/>
          <w:i/>
          <w:iCs/>
          <w:sz w:val="28"/>
          <w:szCs w:val="28"/>
        </w:rPr>
        <w:t>（一）投标须知前附表1</w:t>
      </w:r>
      <w:r>
        <w:rPr>
          <w:rFonts w:hint="eastAsia" w:ascii="方正仿宋_GB2312" w:hAnsi="方正仿宋_GB2312" w:eastAsia="方正仿宋_GB2312" w:cs="方正仿宋_GB2312"/>
          <w:i/>
          <w:iCs/>
          <w:sz w:val="28"/>
          <w:szCs w:val="28"/>
        </w:rPr>
        <w:tab/>
      </w:r>
      <w:r>
        <w:rPr>
          <w:rFonts w:hint="eastAsia" w:ascii="方正仿宋_GB2312" w:hAnsi="方正仿宋_GB2312" w:eastAsia="方正仿宋_GB2312" w:cs="方正仿宋_GB2312"/>
          <w:i/>
          <w:iCs/>
          <w:sz w:val="28"/>
          <w:szCs w:val="28"/>
        </w:rPr>
        <w:fldChar w:fldCharType="end"/>
      </w:r>
      <w:r>
        <w:rPr>
          <w:rFonts w:hint="eastAsia" w:ascii="方正仿宋_GB2312" w:hAnsi="方正仿宋_GB2312" w:eastAsia="方正仿宋_GB2312" w:cs="方正仿宋_GB2312"/>
          <w:smallCaps/>
          <w:sz w:val="28"/>
          <w:szCs w:val="28"/>
        </w:rPr>
        <w:fldChar w:fldCharType="begin"/>
      </w:r>
      <w:r>
        <w:rPr>
          <w:rFonts w:hint="eastAsia" w:ascii="方正仿宋_GB2312" w:hAnsi="方正仿宋_GB2312" w:eastAsia="方正仿宋_GB2312" w:cs="方正仿宋_GB2312"/>
          <w:smallCaps/>
          <w:sz w:val="28"/>
          <w:szCs w:val="28"/>
        </w:rPr>
        <w:instrText xml:space="preserve"> PAGEREF _Toc6616 \h </w:instrText>
      </w:r>
      <w:r>
        <w:rPr>
          <w:rFonts w:hint="eastAsia" w:ascii="方正仿宋_GB2312" w:hAnsi="方正仿宋_GB2312" w:eastAsia="方正仿宋_GB2312" w:cs="方正仿宋_GB2312"/>
          <w:smallCaps/>
          <w:sz w:val="28"/>
          <w:szCs w:val="28"/>
        </w:rPr>
        <w:fldChar w:fldCharType="separate"/>
      </w:r>
      <w:r>
        <w:rPr>
          <w:rFonts w:ascii="方正仿宋_GB2312" w:hAnsi="方正仿宋_GB2312" w:eastAsia="方正仿宋_GB2312" w:cs="方正仿宋_GB2312"/>
          <w:smallCaps/>
          <w:sz w:val="28"/>
          <w:szCs w:val="28"/>
        </w:rPr>
        <w:t>5</w:t>
      </w:r>
      <w:r>
        <w:rPr>
          <w:rFonts w:hint="eastAsia" w:ascii="方正仿宋_GB2312" w:hAnsi="方正仿宋_GB2312" w:eastAsia="方正仿宋_GB2312" w:cs="方正仿宋_GB2312"/>
          <w:smallCaps/>
          <w:sz w:val="28"/>
          <w:szCs w:val="28"/>
        </w:rPr>
        <w:fldChar w:fldCharType="end"/>
      </w:r>
    </w:p>
    <w:p w14:paraId="7E1B136E">
      <w:pPr>
        <w:tabs>
          <w:tab w:val="right" w:leader="dot" w:pos="9071"/>
        </w:tabs>
        <w:ind w:left="420"/>
        <w:jc w:val="left"/>
        <w:rPr>
          <w:rFonts w:ascii="Cambria" w:hAnsi="Cambria" w:eastAsia="方正仿宋_GB2312" w:cs="方正仿宋_GB2312"/>
          <w:i/>
          <w:iCs/>
          <w:sz w:val="28"/>
          <w:szCs w:val="28"/>
        </w:rPr>
      </w:pPr>
      <w:r>
        <w:fldChar w:fldCharType="begin"/>
      </w:r>
      <w:r>
        <w:instrText xml:space="preserve"> HYPERLINK \l "_Toc23258" </w:instrText>
      </w:r>
      <w:r>
        <w:fldChar w:fldCharType="separate"/>
      </w:r>
      <w:r>
        <w:rPr>
          <w:rFonts w:hint="eastAsia" w:ascii="方正仿宋_GB2312" w:hAnsi="方正仿宋_GB2312" w:eastAsia="方正仿宋_GB2312" w:cs="方正仿宋_GB2312"/>
          <w:i/>
          <w:iCs/>
          <w:sz w:val="28"/>
          <w:szCs w:val="28"/>
        </w:rPr>
        <w:t>（二）投标须知前附表2</w:t>
      </w:r>
      <w:r>
        <w:rPr>
          <w:rFonts w:hint="eastAsia" w:ascii="方正仿宋_GB2312" w:hAnsi="方正仿宋_GB2312" w:eastAsia="方正仿宋_GB2312" w:cs="方正仿宋_GB2312"/>
          <w:i/>
          <w:iCs/>
          <w:sz w:val="28"/>
          <w:szCs w:val="28"/>
        </w:rPr>
        <w:tab/>
      </w:r>
      <w:r>
        <w:rPr>
          <w:rFonts w:hint="eastAsia" w:ascii="方正仿宋_GB2312" w:hAnsi="方正仿宋_GB2312" w:eastAsia="方正仿宋_GB2312" w:cs="方正仿宋_GB2312"/>
          <w:i/>
          <w:iCs/>
          <w:sz w:val="28"/>
          <w:szCs w:val="28"/>
        </w:rPr>
        <w:fldChar w:fldCharType="end"/>
      </w:r>
      <w:r>
        <w:rPr>
          <w:rFonts w:ascii="方正仿宋_GB2312" w:hAnsi="方正仿宋_GB2312" w:eastAsia="方正仿宋_GB2312" w:cs="方正仿宋_GB2312"/>
          <w:i/>
          <w:iCs/>
          <w:sz w:val="28"/>
          <w:szCs w:val="28"/>
        </w:rPr>
        <w:t xml:space="preserve"> </w:t>
      </w:r>
      <w:r>
        <w:rPr>
          <w:rFonts w:hint="eastAsia" w:ascii="方正仿宋_GB2312" w:hAnsi="方正仿宋_GB2312" w:eastAsia="方正仿宋_GB2312" w:cs="方正仿宋_GB2312"/>
          <w:smallCaps/>
          <w:sz w:val="28"/>
          <w:szCs w:val="28"/>
        </w:rPr>
        <w:t>9</w:t>
      </w:r>
    </w:p>
    <w:p w14:paraId="66A37A6A">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"_Toc16134" </w:instrText>
      </w:r>
      <w:r>
        <w:fldChar w:fldCharType="separate"/>
      </w:r>
      <w:r>
        <w:rPr>
          <w:rFonts w:hint="eastAsia" w:ascii="方正仿宋_GB2312" w:hAnsi="方正仿宋_GB2312" w:eastAsia="方正仿宋_GB2312" w:cs="方正仿宋_GB2312"/>
          <w:smallCaps/>
          <w:kern w:val="0"/>
          <w:sz w:val="28"/>
          <w:szCs w:val="28"/>
        </w:rPr>
        <w:t>附件一：</w:t>
      </w:r>
      <w:r>
        <w:rPr>
          <w:rFonts w:hint="eastAsia" w:ascii="方正仿宋_GB2312" w:hAnsi="方正仿宋_GB2312" w:eastAsia="方正仿宋_GB2312" w:cs="方正仿宋_GB2312"/>
          <w:i/>
          <w:iCs/>
          <w:sz w:val="28"/>
          <w:szCs w:val="28"/>
        </w:rPr>
        <w:t>招标公告</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10</w:t>
      </w:r>
    </w:p>
    <w:p w14:paraId="48B3EDD1">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"_Toc7752" </w:instrText>
      </w:r>
      <w:r>
        <w:fldChar w:fldCharType="separate"/>
      </w:r>
      <w:r>
        <w:rPr>
          <w:rFonts w:hint="eastAsia" w:ascii="方正仿宋_GB2312" w:hAnsi="方正仿宋_GB2312" w:eastAsia="方正仿宋_GB2312" w:cs="方正仿宋_GB2312"/>
          <w:smallCaps/>
          <w:kern w:val="0"/>
          <w:sz w:val="28"/>
          <w:szCs w:val="28"/>
        </w:rPr>
        <w:t>附件二：投标文件否决性条款摘要</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12</w:t>
      </w:r>
    </w:p>
    <w:p w14:paraId="7052B32D">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"_Toc23327" </w:instrText>
      </w:r>
      <w:r>
        <w:fldChar w:fldCharType="separate"/>
      </w:r>
      <w:r>
        <w:rPr>
          <w:rFonts w:hint="eastAsia" w:ascii="方正仿宋_GB2312" w:hAnsi="方正仿宋_GB2312" w:eastAsia="方正仿宋_GB2312" w:cs="方正仿宋_GB2312"/>
          <w:smallCaps/>
          <w:kern w:val="0"/>
          <w:sz w:val="28"/>
          <w:szCs w:val="28"/>
        </w:rPr>
        <w:t>附件三：评标程序和评标方法</w:t>
      </w:r>
      <w:bookmarkStart w:id="6" w:name="OLE_LINK23"/>
      <w:bookmarkStart w:id="7" w:name="OLE_LINK22"/>
      <w:r>
        <w:rPr>
          <w:rFonts w:hint="eastAsia" w:ascii="方正仿宋_GB2312" w:hAnsi="方正仿宋_GB2312" w:eastAsia="方正仿宋_GB2312" w:cs="方正仿宋_GB2312"/>
          <w:sz w:val="28"/>
          <w:szCs w:val="28"/>
        </w:rPr>
        <w:tab/>
      </w:r>
      <w:bookmarkEnd w:id="6"/>
      <w:bookmarkEnd w:id="7"/>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PAGEREF _Toc23327 \h </w:instrText>
      </w:r>
      <w:r>
        <w:rPr>
          <w:rFonts w:hint="eastAsia" w:ascii="方正仿宋_GB2312" w:hAnsi="方正仿宋_GB2312" w:eastAsia="方正仿宋_GB2312" w:cs="方正仿宋_GB2312"/>
          <w:sz w:val="28"/>
          <w:szCs w:val="28"/>
        </w:rPr>
        <w:fldChar w:fldCharType="separate"/>
      </w:r>
      <w:r>
        <w:rPr>
          <w:rFonts w:ascii="方正仿宋_GB2312" w:hAnsi="方正仿宋_GB2312" w:eastAsia="方正仿宋_GB2312" w:cs="方正仿宋_GB2312"/>
          <w:sz w:val="28"/>
          <w:szCs w:val="28"/>
        </w:rPr>
        <w:t>14</w:t>
      </w:r>
      <w:r>
        <w:rPr>
          <w:rFonts w:hint="eastAsia" w:ascii="方正仿宋_GB2312" w:hAnsi="方正仿宋_GB2312" w:eastAsia="方正仿宋_GB2312" w:cs="方正仿宋_GB2312"/>
          <w:sz w:val="28"/>
          <w:szCs w:val="28"/>
        </w:rPr>
        <w:fldChar w:fldCharType="end"/>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4</w:t>
      </w:r>
    </w:p>
    <w:p w14:paraId="6D5DFFC0">
      <w:pPr>
        <w:rPr>
          <w:rFonts w:ascii="仿宋" w:hAnsi="仿宋" w:eastAsia="仿宋"/>
          <w:sz w:val="28"/>
          <w:szCs w:val="28"/>
        </w:rPr>
      </w:pPr>
      <w:r>
        <w:rPr>
          <w:rFonts w:hint="eastAsia"/>
        </w:rPr>
        <w:t xml:space="preserve"> </w:t>
      </w:r>
      <w:r>
        <w:t xml:space="preserve">    </w:t>
      </w:r>
      <w:r>
        <w:rPr>
          <w:rFonts w:ascii="方正仿宋_GB2312" w:hAnsi="方正仿宋_GB2312" w:eastAsia="方正仿宋_GB2312" w:cs="方正仿宋_GB2312"/>
          <w:smallCaps/>
          <w:kern w:val="0"/>
          <w:sz w:val="28"/>
          <w:szCs w:val="28"/>
        </w:rPr>
        <w:t xml:space="preserve"> 附件四</w:t>
      </w:r>
      <w:r>
        <w:rPr>
          <w:rFonts w:ascii="宋体" w:hAnsi="宋体" w:cs="宋体"/>
          <w:smallCaps/>
          <w:kern w:val="0"/>
          <w:sz w:val="28"/>
          <w:szCs w:val="28"/>
        </w:rPr>
        <w:t>：</w:t>
      </w:r>
      <w:r>
        <w:rPr>
          <w:rFonts w:hint="eastAsia" w:ascii="方正仿宋_GB2312" w:hAnsi="方正仿宋_GB2312" w:eastAsia="方正仿宋_GB2312" w:cs="方正仿宋_GB2312"/>
          <w:smallCaps/>
          <w:kern w:val="0"/>
          <w:sz w:val="28"/>
          <w:szCs w:val="28"/>
        </w:rPr>
        <w:t>招标投标分段限时投诉的规定</w:t>
      </w:r>
      <w:r>
        <w:rPr>
          <w:rFonts w:ascii="宋体" w:hAnsi="宋体" w:cs="宋体"/>
          <w:smallCaps/>
          <w:kern w:val="0"/>
          <w:sz w:val="28"/>
          <w:szCs w:val="28"/>
        </w:rPr>
        <w:tab/>
      </w:r>
      <w:r>
        <w:rPr>
          <w:rFonts w:hint="eastAsia" w:ascii="宋体" w:hAnsi="宋体" w:cs="宋体"/>
          <w:smallCaps/>
          <w:kern w:val="0"/>
          <w:sz w:val="28"/>
          <w:szCs w:val="28"/>
        </w:rPr>
        <w:t>.</w:t>
      </w:r>
      <w:r>
        <w:rPr>
          <w:rFonts w:ascii="宋体" w:hAnsi="宋体" w:cs="宋体"/>
          <w:smallCaps/>
          <w:kern w:val="0"/>
          <w:sz w:val="28"/>
          <w:szCs w:val="28"/>
        </w:rPr>
        <w:t xml:space="preserve"> . . . . . . . . . . .    </w:t>
      </w:r>
      <w:r>
        <w:rPr>
          <w:rFonts w:hint="eastAsia" w:ascii="方正仿宋_GB2312" w:hAnsi="方正仿宋_GB2312" w:eastAsia="方正仿宋_GB2312" w:cs="方正仿宋_GB2312"/>
          <w:smallCaps/>
          <w:sz w:val="28"/>
          <w:szCs w:val="28"/>
        </w:rPr>
        <w:t>22</w:t>
      </w:r>
    </w:p>
    <w:p w14:paraId="7B4061D3">
      <w:pPr>
        <w:tabs>
          <w:tab w:val="right" w:leader="dot" w:pos="9071"/>
        </w:tabs>
        <w:ind w:left="210"/>
        <w:jc w:val="left"/>
        <w:rPr>
          <w:rFonts w:ascii="方正仿宋_GB2312" w:hAnsi="方正仿宋_GB2312" w:eastAsia="方正仿宋_GB2312" w:cs="方正仿宋_GB2312"/>
          <w:smallCaps/>
          <w:sz w:val="28"/>
          <w:szCs w:val="28"/>
        </w:rPr>
      </w:pPr>
      <w:r>
        <w:fldChar w:fldCharType="begin"/>
      </w:r>
      <w:r>
        <w:instrText xml:space="preserve"> HYPERLINK \l "_Toc23286" </w:instrText>
      </w:r>
      <w:r>
        <w:fldChar w:fldCharType="separate"/>
      </w:r>
      <w:r>
        <w:rPr>
          <w:rFonts w:hint="eastAsia" w:ascii="方正仿宋_GB2312" w:hAnsi="方正仿宋_GB2312" w:eastAsia="方正仿宋_GB2312" w:cs="方正仿宋_GB2312"/>
          <w:bCs/>
          <w:smallCaps/>
          <w:kern w:val="0"/>
          <w:sz w:val="28"/>
          <w:szCs w:val="28"/>
        </w:rPr>
        <w:t>二、投标须知</w:t>
      </w:r>
      <w:r>
        <w:rPr>
          <w:rFonts w:hint="eastAsia" w:ascii="方正仿宋_GB2312" w:hAnsi="方正仿宋_GB2312" w:eastAsia="方正仿宋_GB2312" w:cs="方正仿宋_GB2312"/>
          <w:smallCaps/>
          <w:sz w:val="28"/>
          <w:szCs w:val="28"/>
        </w:rPr>
        <w:tab/>
      </w:r>
      <w:r>
        <w:rPr>
          <w:rFonts w:hint="eastAsia" w:ascii="方正仿宋_GB2312" w:hAnsi="方正仿宋_GB2312" w:eastAsia="方正仿宋_GB2312" w:cs="方正仿宋_GB2312"/>
          <w:smallCaps/>
          <w:sz w:val="28"/>
          <w:szCs w:val="28"/>
        </w:rPr>
        <w:fldChar w:fldCharType="end"/>
      </w:r>
      <w:r>
        <w:rPr>
          <w:rFonts w:ascii="方正仿宋_GB2312" w:hAnsi="方正仿宋_GB2312" w:eastAsia="方正仿宋_GB2312" w:cs="方正仿宋_GB2312"/>
          <w:smallCaps/>
          <w:sz w:val="28"/>
          <w:szCs w:val="28"/>
        </w:rPr>
        <w:t>28</w:t>
      </w:r>
    </w:p>
    <w:p w14:paraId="4A70AF6C">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"_Toc9676" </w:instrText>
      </w:r>
      <w:r>
        <w:fldChar w:fldCharType="separate"/>
      </w:r>
      <w:r>
        <w:rPr>
          <w:rFonts w:hint="eastAsia" w:ascii="方正仿宋_GB2312" w:hAnsi="方正仿宋_GB2312" w:eastAsia="方正仿宋_GB2312" w:cs="方正仿宋_GB2312"/>
          <w:kern w:val="0"/>
          <w:sz w:val="28"/>
          <w:szCs w:val="28"/>
        </w:rPr>
        <w:t>（一）总则</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29</w:t>
      </w:r>
    </w:p>
    <w:p w14:paraId="6A9762EA">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"_Toc24042" </w:instrText>
      </w:r>
      <w:r>
        <w:fldChar w:fldCharType="separate"/>
      </w:r>
      <w:r>
        <w:rPr>
          <w:rFonts w:hint="eastAsia" w:ascii="方正仿宋_GB2312" w:hAnsi="方正仿宋_GB2312" w:eastAsia="方正仿宋_GB2312" w:cs="方正仿宋_GB2312"/>
          <w:kern w:val="0"/>
          <w:sz w:val="28"/>
          <w:szCs w:val="28"/>
        </w:rPr>
        <w:t>（二）招标文件</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 xml:space="preserve">31  </w:t>
      </w:r>
    </w:p>
    <w:p w14:paraId="67DC58CA">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"_Toc17563" </w:instrText>
      </w:r>
      <w:r>
        <w:fldChar w:fldCharType="separate"/>
      </w:r>
      <w:r>
        <w:rPr>
          <w:rFonts w:hint="eastAsia" w:ascii="方正仿宋_GB2312" w:hAnsi="方正仿宋_GB2312" w:eastAsia="方正仿宋_GB2312" w:cs="方正仿宋_GB2312"/>
          <w:kern w:val="0"/>
          <w:sz w:val="28"/>
          <w:szCs w:val="28"/>
        </w:rPr>
        <w:t>（三）投标文件的编制</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33</w:t>
      </w:r>
    </w:p>
    <w:p w14:paraId="115E5580">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"_Toc6295" </w:instrText>
      </w:r>
      <w:r>
        <w:fldChar w:fldCharType="separate"/>
      </w:r>
      <w:r>
        <w:rPr>
          <w:rFonts w:hint="eastAsia" w:ascii="方正仿宋_GB2312" w:hAnsi="方正仿宋_GB2312" w:eastAsia="方正仿宋_GB2312" w:cs="方正仿宋_GB2312"/>
          <w:kern w:val="0"/>
          <w:sz w:val="28"/>
          <w:szCs w:val="28"/>
        </w:rPr>
        <w:t>（四）投标文件的提交</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38</w:t>
      </w:r>
    </w:p>
    <w:p w14:paraId="0C412FB4">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"_Toc9452" </w:instrText>
      </w:r>
      <w:r>
        <w:fldChar w:fldCharType="separate"/>
      </w:r>
      <w:r>
        <w:rPr>
          <w:rFonts w:hint="eastAsia" w:ascii="方正仿宋_GB2312" w:hAnsi="方正仿宋_GB2312" w:eastAsia="方正仿宋_GB2312" w:cs="方正仿宋_GB2312"/>
          <w:kern w:val="0"/>
          <w:sz w:val="28"/>
          <w:szCs w:val="28"/>
        </w:rPr>
        <w:t>（五）资格后审</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39</w:t>
      </w:r>
    </w:p>
    <w:p w14:paraId="52207330">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"_Toc17861" </w:instrText>
      </w:r>
      <w:r>
        <w:fldChar w:fldCharType="separate"/>
      </w:r>
      <w:r>
        <w:rPr>
          <w:rFonts w:hint="eastAsia" w:ascii="方正仿宋_GB2312" w:hAnsi="方正仿宋_GB2312" w:eastAsia="方正仿宋_GB2312" w:cs="方正仿宋_GB2312"/>
          <w:kern w:val="0"/>
          <w:sz w:val="28"/>
          <w:szCs w:val="28"/>
        </w:rPr>
        <w:t>（六）开标</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40</w:t>
      </w:r>
    </w:p>
    <w:p w14:paraId="11405012">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"_Toc13727" </w:instrText>
      </w:r>
      <w:r>
        <w:fldChar w:fldCharType="separate"/>
      </w:r>
      <w:r>
        <w:rPr>
          <w:rFonts w:hint="eastAsia" w:ascii="方正仿宋_GB2312" w:hAnsi="方正仿宋_GB2312" w:eastAsia="方正仿宋_GB2312" w:cs="方正仿宋_GB2312"/>
          <w:kern w:val="0"/>
          <w:sz w:val="28"/>
          <w:szCs w:val="28"/>
        </w:rPr>
        <w:t>（七）评标</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41</w:t>
      </w:r>
    </w:p>
    <w:p w14:paraId="3DDD341A">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"_Toc17165" </w:instrText>
      </w:r>
      <w:r>
        <w:fldChar w:fldCharType="separate"/>
      </w:r>
      <w:r>
        <w:rPr>
          <w:rFonts w:hint="eastAsia" w:ascii="方正仿宋_GB2312" w:hAnsi="方正仿宋_GB2312" w:eastAsia="方正仿宋_GB2312" w:cs="方正仿宋_GB2312"/>
          <w:kern w:val="0"/>
          <w:sz w:val="28"/>
          <w:szCs w:val="28"/>
        </w:rPr>
        <w:t>（八）定标</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46</w:t>
      </w:r>
    </w:p>
    <w:p w14:paraId="282F09D9">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"_Toc18245" </w:instrText>
      </w:r>
      <w:r>
        <w:fldChar w:fldCharType="separate"/>
      </w:r>
      <w:r>
        <w:rPr>
          <w:rFonts w:hint="eastAsia" w:ascii="方正仿宋_GB2312" w:hAnsi="方正仿宋_GB2312" w:eastAsia="方正仿宋_GB2312" w:cs="方正仿宋_GB2312"/>
          <w:kern w:val="0"/>
          <w:sz w:val="28"/>
          <w:szCs w:val="28"/>
        </w:rPr>
        <w:t>（九）中标通知书</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47</w:t>
      </w:r>
    </w:p>
    <w:p w14:paraId="55EB3FF6">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"_Toc10952" </w:instrText>
      </w:r>
      <w:r>
        <w:fldChar w:fldCharType="separate"/>
      </w:r>
      <w:r>
        <w:rPr>
          <w:rFonts w:hint="eastAsia" w:ascii="方正仿宋_GB2312" w:hAnsi="方正仿宋_GB2312" w:eastAsia="方正仿宋_GB2312" w:cs="方正仿宋_GB2312"/>
          <w:kern w:val="0"/>
          <w:sz w:val="28"/>
          <w:szCs w:val="28"/>
        </w:rPr>
        <w:t>（十）合同授予</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48</w:t>
      </w:r>
    </w:p>
    <w:p w14:paraId="1222E6F8">
      <w:pPr>
        <w:tabs>
          <w:tab w:val="right" w:leader="dot" w:pos="9071"/>
        </w:tabs>
        <w:ind w:left="630"/>
        <w:jc w:val="left"/>
        <w:rPr>
          <w:rFonts w:ascii="方正仿宋_GB2312" w:hAnsi="方正仿宋_GB2312" w:eastAsia="方正仿宋_GB2312" w:cs="方正仿宋_GB2312"/>
          <w:sz w:val="28"/>
          <w:szCs w:val="28"/>
        </w:rPr>
      </w:pPr>
      <w:r>
        <w:fldChar w:fldCharType="begin"/>
      </w:r>
      <w:r>
        <w:instrText xml:space="preserve"> HYPERLINK \l "_Toc3756" </w:instrText>
      </w:r>
      <w:r>
        <w:fldChar w:fldCharType="separate"/>
      </w:r>
      <w:r>
        <w:rPr>
          <w:rFonts w:hint="eastAsia" w:ascii="方正仿宋_GB2312" w:hAnsi="方正仿宋_GB2312" w:eastAsia="方正仿宋_GB2312" w:cs="方正仿宋_GB2312"/>
          <w:kern w:val="0"/>
          <w:sz w:val="28"/>
          <w:szCs w:val="28"/>
        </w:rPr>
        <w:t>（十一）其他</w:t>
      </w:r>
      <w:r>
        <w:rPr>
          <w:rFonts w:hint="eastAsia" w:ascii="方正仿宋_GB2312" w:hAnsi="方正仿宋_GB2312" w:eastAsia="方正仿宋_GB2312" w:cs="方正仿宋_GB2312"/>
          <w:sz w:val="28"/>
          <w:szCs w:val="28"/>
        </w:rPr>
        <w:tab/>
      </w:r>
      <w:r>
        <w:rPr>
          <w:rFonts w:hint="eastAsia" w:ascii="方正仿宋_GB2312" w:hAnsi="方正仿宋_GB2312" w:eastAsia="方正仿宋_GB2312" w:cs="方正仿宋_GB2312"/>
          <w:sz w:val="28"/>
          <w:szCs w:val="28"/>
        </w:rPr>
        <w:fldChar w:fldCharType="end"/>
      </w:r>
      <w:r>
        <w:rPr>
          <w:rFonts w:ascii="方正仿宋_GB2312" w:hAnsi="方正仿宋_GB2312" w:eastAsia="方正仿宋_GB2312" w:cs="方正仿宋_GB2312"/>
          <w:sz w:val="28"/>
          <w:szCs w:val="28"/>
        </w:rPr>
        <w:t>49</w:t>
      </w:r>
    </w:p>
    <w:p w14:paraId="78E23FF7">
      <w:pPr>
        <w:tabs>
          <w:tab w:val="right" w:leader="dot" w:pos="9071"/>
        </w:tabs>
        <w:spacing w:before="120" w:after="120"/>
        <w:jc w:val="left"/>
        <w:rPr>
          <w:rFonts w:ascii="方正仿宋_GB2312" w:hAnsi="方正仿宋_GB2312" w:eastAsia="方正仿宋_GB2312" w:cs="方正仿宋_GB2312"/>
          <w:b/>
          <w:bCs/>
          <w:caps/>
          <w:sz w:val="28"/>
          <w:szCs w:val="28"/>
        </w:rPr>
      </w:pPr>
      <w:r>
        <w:fldChar w:fldCharType="begin"/>
      </w:r>
      <w:r>
        <w:instrText xml:space="preserve"> HYPERLINK \l "_Toc23268" </w:instrText>
      </w:r>
      <w:r>
        <w:fldChar w:fldCharType="separate"/>
      </w:r>
      <w:r>
        <w:rPr>
          <w:rFonts w:hint="eastAsia" w:ascii="方正仿宋_GB2312" w:hAnsi="方正仿宋_GB2312" w:eastAsia="方正仿宋_GB2312" w:cs="方正仿宋_GB2312"/>
          <w:b/>
          <w:bCs/>
          <w:caps/>
          <w:sz w:val="28"/>
          <w:szCs w:val="28"/>
          <w:shd w:val="clear" w:color="060000" w:fill="auto"/>
        </w:rPr>
        <w:t>第三章 合同文本及条款</w:t>
      </w:r>
      <w:r>
        <w:rPr>
          <w:rFonts w:hint="eastAsia" w:ascii="方正仿宋_GB2312" w:hAnsi="方正仿宋_GB2312" w:eastAsia="方正仿宋_GB2312" w:cs="方正仿宋_GB2312"/>
          <w:b/>
          <w:bCs/>
          <w:caps/>
          <w:sz w:val="28"/>
          <w:szCs w:val="28"/>
        </w:rPr>
        <w:tab/>
      </w:r>
      <w:r>
        <w:rPr>
          <w:rFonts w:hint="eastAsia" w:ascii="方正仿宋_GB2312" w:hAnsi="方正仿宋_GB2312" w:eastAsia="方正仿宋_GB2312" w:cs="方正仿宋_GB2312"/>
          <w:b/>
          <w:bCs/>
          <w:caps/>
          <w:sz w:val="28"/>
          <w:szCs w:val="28"/>
        </w:rPr>
        <w:fldChar w:fldCharType="end"/>
      </w:r>
      <w:r>
        <w:rPr>
          <w:rFonts w:ascii="方正仿宋_GB2312" w:hAnsi="方正仿宋_GB2312" w:eastAsia="方正仿宋_GB2312" w:cs="方正仿宋_GB2312"/>
          <w:b/>
          <w:bCs/>
          <w:caps/>
          <w:sz w:val="28"/>
          <w:szCs w:val="28"/>
        </w:rPr>
        <w:t>50</w:t>
      </w:r>
    </w:p>
    <w:p w14:paraId="7BD8C24F">
      <w:pPr>
        <w:tabs>
          <w:tab w:val="right" w:leader="dot" w:pos="9071"/>
        </w:tabs>
        <w:spacing w:before="120" w:after="120"/>
        <w:jc w:val="left"/>
        <w:rPr>
          <w:rFonts w:ascii="方正仿宋_GB2312" w:hAnsi="方正仿宋_GB2312" w:eastAsia="方正仿宋_GB2312" w:cs="方正仿宋_GB2312"/>
          <w:b/>
          <w:bCs/>
          <w:caps/>
          <w:sz w:val="28"/>
          <w:szCs w:val="28"/>
        </w:rPr>
      </w:pPr>
      <w:r>
        <w:fldChar w:fldCharType="begin"/>
      </w:r>
      <w:r>
        <w:instrText xml:space="preserve"> HYPERLINK \l "_Toc25859" </w:instrText>
      </w:r>
      <w:r>
        <w:fldChar w:fldCharType="separate"/>
      </w:r>
      <w:r>
        <w:rPr>
          <w:rFonts w:hint="eastAsia" w:ascii="方正仿宋_GB2312" w:hAnsi="方正仿宋_GB2312" w:eastAsia="方正仿宋_GB2312" w:cs="方正仿宋_GB2312"/>
          <w:b/>
          <w:bCs/>
          <w:caps/>
          <w:sz w:val="28"/>
          <w:szCs w:val="28"/>
        </w:rPr>
        <w:t xml:space="preserve">第四章 </w:t>
      </w:r>
      <w:r>
        <w:rPr>
          <w:rFonts w:hint="eastAsia" w:ascii="方正仿宋_GB2312" w:hAnsi="方正仿宋_GB2312" w:eastAsia="方正仿宋_GB2312" w:cs="方正仿宋_GB2312"/>
          <w:b/>
          <w:bCs/>
          <w:caps/>
          <w:sz w:val="28"/>
          <w:szCs w:val="28"/>
          <w:shd w:val="clear" w:color="060000" w:fill="auto"/>
        </w:rPr>
        <w:t>需求任务书</w:t>
      </w:r>
      <w:r>
        <w:rPr>
          <w:rFonts w:hint="eastAsia" w:ascii="方正仿宋_GB2312" w:hAnsi="方正仿宋_GB2312" w:eastAsia="方正仿宋_GB2312" w:cs="方正仿宋_GB2312"/>
          <w:b/>
          <w:bCs/>
          <w:caps/>
          <w:sz w:val="28"/>
          <w:szCs w:val="28"/>
        </w:rPr>
        <w:tab/>
      </w:r>
      <w:r>
        <w:rPr>
          <w:rFonts w:hint="eastAsia" w:ascii="方正仿宋_GB2312" w:hAnsi="方正仿宋_GB2312" w:eastAsia="方正仿宋_GB2312" w:cs="方正仿宋_GB2312"/>
          <w:b/>
          <w:bCs/>
          <w:caps/>
          <w:sz w:val="28"/>
          <w:szCs w:val="28"/>
        </w:rPr>
        <w:fldChar w:fldCharType="end"/>
      </w:r>
      <w:r>
        <w:rPr>
          <w:rFonts w:ascii="方正仿宋_GB2312" w:hAnsi="方正仿宋_GB2312" w:eastAsia="方正仿宋_GB2312" w:cs="方正仿宋_GB2312"/>
          <w:b/>
          <w:bCs/>
          <w:caps/>
          <w:sz w:val="28"/>
          <w:szCs w:val="28"/>
        </w:rPr>
        <w:t>71</w:t>
      </w:r>
    </w:p>
    <w:p w14:paraId="62829D72">
      <w:pPr>
        <w:tabs>
          <w:tab w:val="right" w:leader="dot" w:pos="9071"/>
        </w:tabs>
        <w:spacing w:before="120" w:after="120"/>
        <w:jc w:val="left"/>
        <w:rPr>
          <w:rFonts w:ascii="方正仿宋_GB2312" w:hAnsi="方正仿宋_GB2312" w:eastAsia="方正仿宋_GB2312" w:cs="方正仿宋_GB2312"/>
          <w:b/>
          <w:bCs/>
          <w:caps/>
          <w:sz w:val="28"/>
          <w:szCs w:val="28"/>
        </w:rPr>
      </w:pPr>
      <w:r>
        <w:fldChar w:fldCharType="begin"/>
      </w:r>
      <w:r>
        <w:instrText xml:space="preserve"> HYPERLINK \l "_Toc14081" </w:instrText>
      </w:r>
      <w:r>
        <w:fldChar w:fldCharType="separate"/>
      </w:r>
      <w:r>
        <w:rPr>
          <w:rFonts w:hint="eastAsia" w:ascii="方正仿宋_GB2312" w:hAnsi="方正仿宋_GB2312" w:eastAsia="方正仿宋_GB2312" w:cs="方正仿宋_GB2312"/>
          <w:b/>
          <w:bCs/>
          <w:caps/>
          <w:sz w:val="28"/>
          <w:szCs w:val="28"/>
          <w:shd w:val="clear" w:color="060000" w:fill="auto"/>
        </w:rPr>
        <w:t>第五章 投标文件格式</w:t>
      </w:r>
      <w:r>
        <w:rPr>
          <w:rFonts w:hint="eastAsia" w:ascii="方正仿宋_GB2312" w:hAnsi="方正仿宋_GB2312" w:eastAsia="方正仿宋_GB2312" w:cs="方正仿宋_GB2312"/>
          <w:b/>
          <w:bCs/>
          <w:caps/>
          <w:sz w:val="28"/>
          <w:szCs w:val="28"/>
        </w:rPr>
        <w:tab/>
      </w:r>
      <w:r>
        <w:rPr>
          <w:rFonts w:hint="eastAsia" w:ascii="方正仿宋_GB2312" w:hAnsi="方正仿宋_GB2312" w:eastAsia="方正仿宋_GB2312" w:cs="方正仿宋_GB2312"/>
          <w:b/>
          <w:bCs/>
          <w:caps/>
          <w:sz w:val="28"/>
          <w:szCs w:val="28"/>
        </w:rPr>
        <w:fldChar w:fldCharType="end"/>
      </w:r>
      <w:r>
        <w:rPr>
          <w:rFonts w:ascii="方正仿宋_GB2312" w:hAnsi="方正仿宋_GB2312" w:eastAsia="方正仿宋_GB2312" w:cs="方正仿宋_GB2312"/>
          <w:b/>
          <w:bCs/>
          <w:caps/>
          <w:sz w:val="28"/>
          <w:szCs w:val="28"/>
        </w:rPr>
        <w:t>77</w:t>
      </w:r>
    </w:p>
    <w:p w14:paraId="3FB24209">
      <w:pPr>
        <w:tabs>
          <w:tab w:val="right" w:leader="dot" w:pos="9071"/>
        </w:tabs>
        <w:ind w:left="210"/>
        <w:jc w:val="left"/>
        <w:rPr>
          <w:rFonts w:ascii="方正仿宋_GB2312" w:hAnsi="方正仿宋_GB2312" w:eastAsia="方正仿宋_GB2312" w:cs="方正仿宋_GB2312"/>
          <w:b/>
          <w:smallCaps/>
          <w:sz w:val="28"/>
          <w:szCs w:val="28"/>
        </w:rPr>
      </w:pPr>
      <w:r>
        <w:fldChar w:fldCharType="begin"/>
      </w:r>
      <w:r>
        <w:instrText xml:space="preserve"> HYPERLINK \l "_Toc31209" </w:instrText>
      </w:r>
      <w:r>
        <w:fldChar w:fldCharType="separate"/>
      </w:r>
      <w:r>
        <w:rPr>
          <w:rFonts w:hint="eastAsia" w:ascii="方正仿宋_GB2312" w:hAnsi="方正仿宋_GB2312" w:eastAsia="方正仿宋_GB2312" w:cs="方正仿宋_GB2312"/>
          <w:smallCaps/>
          <w:kern w:val="0"/>
          <w:sz w:val="28"/>
          <w:szCs w:val="28"/>
        </w:rPr>
        <w:t>一、</w:t>
      </w:r>
      <w:r>
        <w:rPr>
          <w:rFonts w:hint="eastAsia" w:ascii="方正仿宋_GB2312" w:hAnsi="方正仿宋_GB2312" w:eastAsia="方正仿宋_GB2312" w:cs="方正仿宋_GB2312"/>
          <w:bCs/>
          <w:smallCaps/>
          <w:kern w:val="0"/>
          <w:sz w:val="28"/>
          <w:szCs w:val="28"/>
        </w:rPr>
        <w:t>投标文件格式--</w:t>
      </w:r>
      <w:r>
        <w:rPr>
          <w:rFonts w:hint="eastAsia" w:ascii="方正仿宋_GB2312" w:hAnsi="方正仿宋_GB2312" w:eastAsia="方正仿宋_GB2312" w:cs="方正仿宋_GB2312"/>
          <w:smallCaps/>
          <w:kern w:val="0"/>
          <w:sz w:val="28"/>
          <w:szCs w:val="28"/>
        </w:rPr>
        <w:t>资格审查文件</w:t>
      </w:r>
      <w:r>
        <w:rPr>
          <w:rFonts w:hint="eastAsia" w:ascii="方正仿宋_GB2312" w:hAnsi="方正仿宋_GB2312" w:eastAsia="方正仿宋_GB2312" w:cs="方正仿宋_GB2312"/>
          <w:smallCaps/>
          <w:sz w:val="28"/>
          <w:szCs w:val="28"/>
        </w:rPr>
        <w:tab/>
      </w:r>
      <w:r>
        <w:rPr>
          <w:rFonts w:hint="eastAsia" w:ascii="方正仿宋_GB2312" w:hAnsi="方正仿宋_GB2312" w:eastAsia="方正仿宋_GB2312" w:cs="方正仿宋_GB2312"/>
          <w:smallCaps/>
          <w:sz w:val="28"/>
          <w:szCs w:val="28"/>
        </w:rPr>
        <w:fldChar w:fldCharType="end"/>
      </w:r>
      <w:r>
        <w:rPr>
          <w:rFonts w:ascii="方正仿宋_GB2312" w:hAnsi="方正仿宋_GB2312" w:eastAsia="方正仿宋_GB2312" w:cs="方正仿宋_GB2312"/>
          <w:b/>
          <w:smallCaps/>
          <w:sz w:val="28"/>
          <w:szCs w:val="28"/>
        </w:rPr>
        <w:t>78</w:t>
      </w:r>
    </w:p>
    <w:p w14:paraId="2C15ECA0">
      <w:pPr>
        <w:tabs>
          <w:tab w:val="right" w:leader="dot" w:pos="9071"/>
        </w:tabs>
        <w:ind w:left="210"/>
        <w:jc w:val="left"/>
        <w:rPr>
          <w:rFonts w:ascii="方正仿宋_GB2312" w:hAnsi="方正仿宋_GB2312" w:eastAsia="方正仿宋_GB2312" w:cs="方正仿宋_GB2312"/>
          <w:smallCaps/>
          <w:sz w:val="28"/>
          <w:szCs w:val="28"/>
        </w:rPr>
      </w:pPr>
      <w:r>
        <w:fldChar w:fldCharType="begin"/>
      </w:r>
      <w:r>
        <w:instrText xml:space="preserve"> HYPERLINK \l "_Toc10425" </w:instrText>
      </w:r>
      <w:r>
        <w:fldChar w:fldCharType="separate"/>
      </w:r>
      <w:r>
        <w:rPr>
          <w:rFonts w:hint="eastAsia" w:ascii="方正仿宋_GB2312" w:hAnsi="方正仿宋_GB2312" w:eastAsia="方正仿宋_GB2312" w:cs="方正仿宋_GB2312"/>
          <w:smallCaps/>
          <w:kern w:val="0"/>
          <w:sz w:val="28"/>
          <w:szCs w:val="28"/>
        </w:rPr>
        <w:t>二、</w:t>
      </w:r>
      <w:bookmarkStart w:id="8" w:name="OLE_LINK25"/>
      <w:r>
        <w:rPr>
          <w:rFonts w:hint="eastAsia" w:ascii="方正仿宋_GB2312" w:hAnsi="方正仿宋_GB2312" w:eastAsia="方正仿宋_GB2312" w:cs="方正仿宋_GB2312"/>
          <w:smallCaps/>
          <w:kern w:val="0"/>
          <w:sz w:val="28"/>
          <w:szCs w:val="28"/>
        </w:rPr>
        <w:t>投标文件格式--投标函部分</w:t>
      </w:r>
      <w:bookmarkEnd w:id="8"/>
      <w:bookmarkStart w:id="9" w:name="OLE_LINK17"/>
      <w:bookmarkStart w:id="10" w:name="OLE_LINK24"/>
      <w:r>
        <w:rPr>
          <w:rFonts w:hint="eastAsia" w:ascii="方正仿宋_GB2312" w:hAnsi="方正仿宋_GB2312" w:eastAsia="方正仿宋_GB2312" w:cs="方正仿宋_GB2312"/>
          <w:smallCaps/>
          <w:sz w:val="28"/>
          <w:szCs w:val="28"/>
        </w:rPr>
        <w:tab/>
      </w:r>
      <w:bookmarkEnd w:id="9"/>
      <w:bookmarkEnd w:id="10"/>
      <w:r>
        <w:rPr>
          <w:rFonts w:hint="eastAsia" w:ascii="方正仿宋_GB2312" w:hAnsi="方正仿宋_GB2312" w:eastAsia="方正仿宋_GB2312" w:cs="方正仿宋_GB2312"/>
          <w:smallCaps/>
          <w:sz w:val="28"/>
          <w:szCs w:val="28"/>
        </w:rPr>
        <w:fldChar w:fldCharType="end"/>
      </w:r>
      <w:r>
        <w:rPr>
          <w:rFonts w:ascii="方正仿宋_GB2312" w:hAnsi="方正仿宋_GB2312" w:eastAsia="方正仿宋_GB2312" w:cs="方正仿宋_GB2312"/>
          <w:smallCaps/>
          <w:sz w:val="28"/>
          <w:szCs w:val="28"/>
        </w:rPr>
        <w:t>80</w:t>
      </w:r>
    </w:p>
    <w:p w14:paraId="1FE55EB8">
      <w:pPr>
        <w:tabs>
          <w:tab w:val="right" w:leader="dot" w:pos="9071"/>
        </w:tabs>
        <w:ind w:left="210"/>
        <w:jc w:val="left"/>
        <w:rPr>
          <w:rFonts w:ascii="方正仿宋_GB2312" w:hAnsi="方正仿宋_GB2312" w:eastAsia="方正仿宋_GB2312" w:cs="方正仿宋_GB2312"/>
          <w:smallCaps/>
          <w:sz w:val="28"/>
          <w:szCs w:val="28"/>
        </w:rPr>
      </w:pPr>
      <w:r>
        <w:rPr>
          <w:rFonts w:ascii="Calibri" w:hAnsi="Calibri" w:cs="Calibri"/>
          <w:smallCaps/>
          <w:sz w:val="20"/>
        </w:rPr>
        <w:t>三、</w:t>
      </w:r>
      <w:r>
        <w:rPr>
          <w:rFonts w:hint="eastAsia" w:ascii="Calibri" w:hAnsi="Calibri" w:cs="Calibri"/>
          <w:smallCaps/>
          <w:sz w:val="20"/>
        </w:rPr>
        <w:t xml:space="preserve"> </w:t>
      </w:r>
      <w:r>
        <w:rPr>
          <w:rFonts w:ascii="Calibri" w:hAnsi="Calibri" w:cs="Calibri"/>
          <w:smallCaps/>
          <w:sz w:val="20"/>
        </w:rPr>
        <w:t xml:space="preserve"> </w:t>
      </w:r>
      <w:bookmarkStart w:id="11" w:name="OLE_LINK31"/>
      <w:bookmarkStart w:id="12" w:name="OLE_LINK30"/>
      <w:r>
        <w:rPr>
          <w:rFonts w:hint="eastAsia" w:ascii="方正仿宋_GB2312" w:hAnsi="方正仿宋_GB2312" w:eastAsia="方正仿宋_GB2312" w:cs="方正仿宋_GB2312"/>
          <w:kern w:val="0"/>
          <w:sz w:val="28"/>
          <w:szCs w:val="28"/>
        </w:rPr>
        <w:t>投标文件格式--</w:t>
      </w:r>
      <w:r>
        <w:rPr>
          <w:rFonts w:ascii="方正仿宋_GB2312" w:hAnsi="方正仿宋_GB2312" w:eastAsia="方正仿宋_GB2312" w:cs="方正仿宋_GB2312"/>
          <w:kern w:val="0"/>
          <w:sz w:val="28"/>
          <w:szCs w:val="28"/>
        </w:rPr>
        <w:t>资</w:t>
      </w:r>
      <w:r>
        <w:rPr>
          <w:rFonts w:hint="eastAsia" w:ascii="宋体" w:hAnsi="宋体" w:cs="宋体"/>
          <w:kern w:val="0"/>
          <w:sz w:val="28"/>
          <w:szCs w:val="28"/>
        </w:rPr>
        <w:t>信</w:t>
      </w:r>
      <w:r>
        <w:rPr>
          <w:rFonts w:ascii="方正仿宋_GB2312" w:hAnsi="方正仿宋_GB2312" w:eastAsia="方正仿宋_GB2312" w:cs="方正仿宋_GB2312"/>
          <w:kern w:val="0"/>
          <w:sz w:val="28"/>
          <w:szCs w:val="28"/>
        </w:rPr>
        <w:t>标部</w:t>
      </w:r>
      <w:r>
        <w:rPr>
          <w:rFonts w:hint="eastAsia" w:ascii="方正仿宋_GB2312" w:hAnsi="方正仿宋_GB2312" w:eastAsia="方正仿宋_GB2312" w:cs="方正仿宋_GB2312"/>
          <w:kern w:val="0"/>
          <w:sz w:val="28"/>
          <w:szCs w:val="28"/>
        </w:rPr>
        <w:t>分</w:t>
      </w:r>
      <w:bookmarkEnd w:id="11"/>
      <w:bookmarkEnd w:id="12"/>
      <w:r>
        <w:rPr>
          <w:rFonts w:hint="eastAsia" w:ascii="Cambria" w:hAnsi="Cambria" w:eastAsia="方正仿宋_GB2312" w:cs="方正仿宋_GB2312"/>
          <w:kern w:val="0"/>
          <w:sz w:val="28"/>
          <w:szCs w:val="28"/>
        </w:rPr>
        <w:t>.</w:t>
      </w:r>
      <w:r>
        <w:rPr>
          <w:rFonts w:ascii="宋体" w:hAnsi="宋体" w:cs="宋体"/>
          <w:kern w:val="0"/>
          <w:sz w:val="28"/>
          <w:szCs w:val="28"/>
        </w:rPr>
        <w:t>................................</w:t>
      </w:r>
      <w:r>
        <w:rPr>
          <w:rFonts w:ascii="方正仿宋_GB2312" w:hAnsi="方正仿宋_GB2312" w:eastAsia="方正仿宋_GB2312" w:cs="方正仿宋_GB2312"/>
          <w:kern w:val="0"/>
          <w:sz w:val="28"/>
          <w:szCs w:val="28"/>
        </w:rPr>
        <w:t>88</w:t>
      </w:r>
    </w:p>
    <w:p w14:paraId="66579EA1">
      <w:pPr>
        <w:ind w:firstLine="210" w:firstLineChars="100"/>
      </w:pPr>
      <w:r>
        <w:rPr>
          <w:rFonts w:hint="eastAsia"/>
        </w:rPr>
        <w:t>四</w:t>
      </w:r>
      <w:r>
        <w:t>、</w:t>
      </w:r>
      <w:r>
        <w:rPr>
          <w:rFonts w:hint="eastAsia"/>
        </w:rPr>
        <w:t xml:space="preserve"> </w:t>
      </w:r>
      <w:r>
        <w:rPr>
          <w:rFonts w:hint="eastAsia" w:ascii="方正仿宋_GB2312" w:hAnsi="方正仿宋_GB2312" w:eastAsia="方正仿宋_GB2312" w:cs="方正仿宋_GB2312"/>
          <w:kern w:val="0"/>
          <w:sz w:val="28"/>
          <w:szCs w:val="28"/>
        </w:rPr>
        <w:t>投标文件格式--</w:t>
      </w:r>
      <w:r>
        <w:rPr>
          <w:rFonts w:ascii="Cambria" w:hAnsi="Cambria" w:eastAsia="方正仿宋_GB2312" w:cs="Cambria"/>
          <w:kern w:val="0"/>
          <w:sz w:val="28"/>
          <w:szCs w:val="28"/>
        </w:rPr>
        <w:t>商务</w:t>
      </w:r>
      <w:r>
        <w:rPr>
          <w:rFonts w:ascii="方正仿宋_GB2312" w:hAnsi="方正仿宋_GB2312" w:eastAsia="方正仿宋_GB2312" w:cs="方正仿宋_GB2312"/>
          <w:kern w:val="0"/>
          <w:sz w:val="28"/>
          <w:szCs w:val="28"/>
        </w:rPr>
        <w:t>标部</w:t>
      </w:r>
      <w:r>
        <w:rPr>
          <w:rFonts w:hint="eastAsia" w:ascii="方正仿宋_GB2312" w:hAnsi="方正仿宋_GB2312" w:eastAsia="方正仿宋_GB2312" w:cs="方正仿宋_GB2312"/>
          <w:kern w:val="0"/>
          <w:sz w:val="28"/>
          <w:szCs w:val="28"/>
        </w:rPr>
        <w:t>分</w:t>
      </w:r>
      <w:r>
        <w:rPr>
          <w:rFonts w:ascii="宋体" w:hAnsi="宋体" w:cs="宋体"/>
          <w:kern w:val="0"/>
          <w:sz w:val="28"/>
          <w:szCs w:val="28"/>
        </w:rPr>
        <w:t>.................................</w:t>
      </w:r>
      <w:r>
        <w:rPr>
          <w:rFonts w:ascii="方正仿宋_GB2312" w:hAnsi="方正仿宋_GB2312" w:eastAsia="方正仿宋_GB2312" w:cs="方正仿宋_GB2312"/>
          <w:smallCaps/>
          <w:kern w:val="0"/>
          <w:sz w:val="28"/>
          <w:szCs w:val="28"/>
        </w:rPr>
        <w:t>92</w:t>
      </w:r>
    </w:p>
    <w:p w14:paraId="59DFC764">
      <w:pPr>
        <w:tabs>
          <w:tab w:val="right" w:leader="dot" w:pos="9071"/>
        </w:tabs>
        <w:spacing w:before="120" w:after="120"/>
        <w:jc w:val="left"/>
        <w:rPr>
          <w:rFonts w:ascii="方正仿宋_GB2312" w:hAnsi="方正仿宋_GB2312" w:eastAsia="方正仿宋_GB2312" w:cs="方正仿宋_GB2312"/>
          <w:b/>
          <w:bCs/>
          <w:caps/>
          <w:sz w:val="24"/>
          <w:szCs w:val="24"/>
        </w:rPr>
      </w:pPr>
      <w:r>
        <w:fldChar w:fldCharType="begin"/>
      </w:r>
      <w:r>
        <w:instrText xml:space="preserve"> HYPERLINK \l "_Toc14096" </w:instrText>
      </w:r>
      <w:r>
        <w:fldChar w:fldCharType="separate"/>
      </w:r>
      <w:r>
        <w:rPr>
          <w:rFonts w:hint="eastAsia" w:ascii="方正仿宋_GB2312" w:hAnsi="方正仿宋_GB2312" w:eastAsia="方正仿宋_GB2312" w:cs="方正仿宋_GB2312"/>
          <w:b/>
          <w:bCs/>
          <w:caps/>
          <w:kern w:val="0"/>
          <w:sz w:val="28"/>
          <w:szCs w:val="28"/>
        </w:rPr>
        <w:t>第六章 中标通知书</w:t>
      </w:r>
      <w:r>
        <w:rPr>
          <w:rFonts w:hint="eastAsia" w:ascii="方正仿宋_GB2312" w:hAnsi="方正仿宋_GB2312" w:eastAsia="方正仿宋_GB2312" w:cs="方正仿宋_GB2312"/>
          <w:b/>
          <w:bCs/>
          <w:caps/>
          <w:sz w:val="28"/>
          <w:szCs w:val="28"/>
        </w:rPr>
        <w:tab/>
      </w:r>
      <w:r>
        <w:rPr>
          <w:rFonts w:hint="eastAsia" w:ascii="方正仿宋_GB2312" w:hAnsi="方正仿宋_GB2312" w:eastAsia="方正仿宋_GB2312" w:cs="方正仿宋_GB2312"/>
          <w:b/>
          <w:bCs/>
          <w:caps/>
          <w:sz w:val="28"/>
          <w:szCs w:val="28"/>
        </w:rPr>
        <w:fldChar w:fldCharType="end"/>
      </w:r>
      <w:r>
        <w:rPr>
          <w:rFonts w:ascii="方正仿宋_GB2312" w:hAnsi="方正仿宋_GB2312" w:eastAsia="方正仿宋_GB2312" w:cs="方正仿宋_GB2312"/>
          <w:b/>
          <w:bCs/>
          <w:caps/>
          <w:sz w:val="28"/>
          <w:szCs w:val="28"/>
        </w:rPr>
        <w:t>96</w:t>
      </w:r>
    </w:p>
    <w:p w14:paraId="377D1A55">
      <w:pPr>
        <w:pStyle w:val="55"/>
        <w:tabs>
          <w:tab w:val="center" w:pos="4595"/>
          <w:tab w:val="left" w:pos="6598"/>
        </w:tabs>
        <w:spacing w:line="360" w:lineRule="auto"/>
        <w:rPr>
          <w:rFonts w:ascii="创艺简标宋" w:hAnsi="黑体" w:cs="Calibri" w:eastAsiaTheme="minorEastAsia"/>
          <w:caps/>
          <w:color w:val="0000FF"/>
        </w:rPr>
      </w:pPr>
      <w:r>
        <w:rPr>
          <w:rFonts w:hint="eastAsia" w:ascii="方正仿宋_GB2312" w:hAnsi="方正仿宋_GB2312" w:eastAsia="方正仿宋_GB2312" w:cs="方正仿宋_GB2312"/>
          <w:b w:val="0"/>
          <w:bCs w:val="0"/>
          <w:caps/>
          <w:color w:val="0000FF"/>
          <w:sz w:val="24"/>
          <w:szCs w:val="24"/>
          <w:u w:val="single"/>
        </w:rPr>
        <w:fldChar w:fldCharType="end"/>
      </w:r>
    </w:p>
    <w:p w14:paraId="370E3EAE">
      <w:pPr>
        <w:rPr>
          <w:rFonts w:ascii="宋体" w:hAnsi="宋体"/>
          <w:shd w:val="clear" w:color="050000" w:fill="auto"/>
        </w:rPr>
      </w:pPr>
      <w:bookmarkStart w:id="13" w:name="_Toc387313480"/>
      <w:bookmarkStart w:id="14" w:name="_Toc387313360"/>
      <w:bookmarkStart w:id="15" w:name="_Toc405384918"/>
    </w:p>
    <w:bookmarkEnd w:id="13"/>
    <w:bookmarkEnd w:id="14"/>
    <w:bookmarkEnd w:id="15"/>
    <w:p w14:paraId="462C33A7">
      <w:pPr>
        <w:keepNext/>
        <w:keepLines/>
        <w:spacing w:line="560" w:lineRule="exact"/>
        <w:jc w:val="center"/>
        <w:outlineLvl w:val="0"/>
        <w:rPr>
          <w:rFonts w:ascii="黑体" w:hAnsi="黑体" w:eastAsia="黑体" w:cs="黑体"/>
          <w:sz w:val="44"/>
          <w:szCs w:val="44"/>
          <w:shd w:val="clear" w:color="050000" w:fill="auto"/>
        </w:rPr>
      </w:pPr>
      <w:bookmarkStart w:id="16" w:name="_Toc31337"/>
      <w:bookmarkStart w:id="17" w:name="_Toc12700"/>
      <w:bookmarkStart w:id="18" w:name="_Toc87887958"/>
      <w:r>
        <w:rPr>
          <w:rFonts w:hint="eastAsia" w:ascii="黑体" w:hAnsi="黑体" w:eastAsia="黑体" w:cs="黑体"/>
          <w:sz w:val="44"/>
          <w:szCs w:val="44"/>
          <w:shd w:val="clear" w:color="060000" w:fill="auto"/>
        </w:rPr>
        <w:t>第一章</w:t>
      </w:r>
      <w:r>
        <w:rPr>
          <w:rFonts w:hint="eastAsia" w:ascii="黑体" w:hAnsi="黑体" w:eastAsia="黑体" w:cs="宋体"/>
          <w:sz w:val="44"/>
          <w:szCs w:val="44"/>
          <w:shd w:val="clear" w:color="060000" w:fill="auto"/>
        </w:rPr>
        <w:t xml:space="preserve">  </w:t>
      </w:r>
      <w:r>
        <w:rPr>
          <w:rFonts w:hint="eastAsia" w:ascii="黑体" w:hAnsi="黑体" w:eastAsia="黑体" w:cs="黑体"/>
          <w:sz w:val="44"/>
          <w:szCs w:val="44"/>
          <w:shd w:val="clear" w:color="060000" w:fill="auto"/>
        </w:rPr>
        <w:t>致投标人</w:t>
      </w:r>
      <w:bookmarkEnd w:id="16"/>
      <w:bookmarkEnd w:id="17"/>
      <w:bookmarkEnd w:id="18"/>
    </w:p>
    <w:p w14:paraId="325771DC">
      <w:pPr>
        <w:widowControl w:val="0"/>
        <w:spacing w:line="560" w:lineRule="exact"/>
        <w:ind w:firstLine="560" w:firstLineChars="200"/>
        <w:rPr>
          <w:rFonts w:ascii="仿宋_GB2312" w:hAnsi="宋体" w:eastAsia="仿宋_GB2312"/>
          <w:sz w:val="28"/>
          <w:szCs w:val="28"/>
        </w:rPr>
      </w:pPr>
    </w:p>
    <w:p w14:paraId="774A2522">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一、本招标文件是依据招标投标有关法律、法规、规章和规范性文件，根据本次招标项目的特点和需要编制而成。招标文件的编制遵循了公开、公平、公正和诚实信用的原则。招标文件所包含的内容已清楚地反映了本次招标项目的规模、性质以及资信、商务和技术要求等。我们要求投标人必须完全响应本招标文件的实质性内容。</w:t>
      </w:r>
    </w:p>
    <w:p w14:paraId="37A85065">
      <w:pPr>
        <w:widowControl w:val="0"/>
        <w:spacing w:line="560" w:lineRule="exact"/>
        <w:ind w:firstLine="560" w:firstLineChars="200"/>
        <w:rPr>
          <w:rFonts w:ascii="仿宋" w:hAnsi="仿宋" w:eastAsia="仿宋" w:cs="仿宋_GB2312"/>
          <w:sz w:val="28"/>
          <w:szCs w:val="28"/>
        </w:rPr>
      </w:pPr>
      <w:bookmarkStart w:id="19" w:name="_Toc130830412"/>
      <w:bookmarkStart w:id="20" w:name="_Toc203810203"/>
      <w:bookmarkStart w:id="21" w:name="_Toc130835209"/>
      <w:bookmarkStart w:id="22" w:name="_Toc130835683"/>
      <w:bookmarkStart w:id="23" w:name="_Toc269970459"/>
      <w:bookmarkStart w:id="24" w:name="_Toc203358554"/>
      <w:r>
        <w:rPr>
          <w:rFonts w:hint="eastAsia" w:ascii="仿宋" w:hAnsi="仿宋" w:eastAsia="仿宋" w:cs="仿宋_GB2312"/>
          <w:sz w:val="28"/>
          <w:szCs w:val="28"/>
        </w:rPr>
        <w:t>二、投标人获取招标文件后，应仔细阅读招标文件及附件的全部内容，招标文件与附件具有同等效力。</w:t>
      </w:r>
    </w:p>
    <w:p w14:paraId="24A65B7F">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三、投标人在投标截止时间前，应及时收悉有关本次招标项目招标文件的答疑、补遗内容。招标文件、答疑、补遗内容不一致时，以最后发出的为准。</w:t>
      </w:r>
    </w:p>
    <w:p w14:paraId="6A53DF63">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四、投标人应在遵循招标文件的各项规定和要求的前提下，编制投标文件。编制投标文件时，应注意：</w:t>
      </w:r>
    </w:p>
    <w:p w14:paraId="7115E0AC">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1．投标文件必须满足招标文件中的实质性要求和条件。投标文件的所有否决性条款已在“投标须知前附件二”中汇总明示，若出现其中任何一个情形的，其投标将会被否决。</w:t>
      </w:r>
    </w:p>
    <w:p w14:paraId="0FA82DF6">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2．投标人对招标文件有不同意见或不明之处，应通过书面形式，向招标人质疑，求得彻底澄清。若招标人不接受投标人提出的意见，投标人必须按招标文件办理，而不应在投标文件中加进额外的条件。</w:t>
      </w:r>
    </w:p>
    <w:p w14:paraId="688F4D07">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五、投标人在提交投标文件时，应注意：</w:t>
      </w:r>
    </w:p>
    <w:p w14:paraId="30D20B25">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1．投标人应严格按照招标文件的要求进行投标文件的密封和标记。</w:t>
      </w:r>
    </w:p>
    <w:p w14:paraId="1028E250">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2．投标人应当在招标文件要求提交投标文件的截止时间前，将投标文件送达指定地址。</w:t>
      </w:r>
    </w:p>
    <w:p w14:paraId="388526AE">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六、其他应该注意的：</w:t>
      </w:r>
    </w:p>
    <w:p w14:paraId="19105D0C">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1、投标人提交投标文件，参加开标会的必须是投标人的法定代表人或其授权委托代理人，并持身份证明文件。非上述人员不得参加上述投标活动，否则由此产生的不利后果由投标人自行承担。</w:t>
      </w:r>
    </w:p>
    <w:p w14:paraId="0EA400C9">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2、投标人须对投标资料的真实性负责。招标人有权将投标文件的部分或全部内容向外公示，若公示期间收到有关弄虚作假投诉的，招标人将提请有关行政管理部门查处。</w:t>
      </w:r>
    </w:p>
    <w:p w14:paraId="778999B0">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3、若投标人资质证书被暂扣或吊销，但仍参与投标的，招标人将取消其投标或中标资格、没收其投标保证金，并提请有关行政管理部门对其进行行政处罚。</w:t>
      </w:r>
    </w:p>
    <w:bookmarkEnd w:id="19"/>
    <w:bookmarkEnd w:id="20"/>
    <w:bookmarkEnd w:id="21"/>
    <w:bookmarkEnd w:id="22"/>
    <w:bookmarkEnd w:id="23"/>
    <w:bookmarkEnd w:id="24"/>
    <w:p w14:paraId="54021E96">
      <w:pPr>
        <w:widowControl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七、本招标文件的解释权归招标人，即</w:t>
      </w:r>
      <w:bookmarkStart w:id="25" w:name="_Toc130835701"/>
      <w:bookmarkStart w:id="26" w:name="_Toc203358573"/>
      <w:bookmarkStart w:id="27" w:name="_Toc130835227"/>
      <w:bookmarkStart w:id="28" w:name="_Toc130830430"/>
      <w:bookmarkStart w:id="29" w:name="_Toc269970479"/>
      <w:bookmarkStart w:id="30" w:name="_Toc203810222"/>
      <w:r>
        <w:rPr>
          <w:rFonts w:hint="eastAsia" w:ascii="仿宋" w:hAnsi="仿宋" w:eastAsia="仿宋" w:cs="仿宋_GB2312"/>
          <w:sz w:val="28"/>
          <w:szCs w:val="28"/>
        </w:rPr>
        <w:t>深圳第一亚太物业管理有限公司。</w:t>
      </w:r>
    </w:p>
    <w:bookmarkEnd w:id="25"/>
    <w:bookmarkEnd w:id="26"/>
    <w:bookmarkEnd w:id="27"/>
    <w:bookmarkEnd w:id="28"/>
    <w:bookmarkEnd w:id="29"/>
    <w:bookmarkEnd w:id="30"/>
    <w:p w14:paraId="5095E7A9">
      <w:pPr>
        <w:widowControl w:val="0"/>
        <w:spacing w:line="560" w:lineRule="exact"/>
        <w:ind w:firstLine="560" w:firstLineChars="200"/>
        <w:rPr>
          <w:rFonts w:ascii="仿宋" w:hAnsi="仿宋" w:eastAsia="仿宋" w:cs="仿宋_GB2312"/>
          <w:sz w:val="28"/>
          <w:szCs w:val="28"/>
        </w:rPr>
      </w:pPr>
    </w:p>
    <w:p w14:paraId="59D65E70">
      <w:pPr>
        <w:widowControl w:val="0"/>
        <w:spacing w:line="560" w:lineRule="exact"/>
        <w:ind w:firstLine="560" w:firstLineChars="200"/>
        <w:jc w:val="right"/>
        <w:rPr>
          <w:rFonts w:ascii="仿宋" w:hAnsi="仿宋" w:eastAsia="仿宋" w:cs="仿宋_GB2312"/>
          <w:sz w:val="28"/>
          <w:szCs w:val="28"/>
        </w:rPr>
      </w:pPr>
      <w:r>
        <w:rPr>
          <w:rFonts w:hint="eastAsia" w:ascii="仿宋" w:hAnsi="仿宋" w:eastAsia="仿宋" w:cs="仿宋_GB2312"/>
          <w:sz w:val="28"/>
          <w:szCs w:val="28"/>
        </w:rPr>
        <w:t>深圳第一亚太物业管理有限公司</w:t>
      </w:r>
    </w:p>
    <w:p w14:paraId="2AF9DB99">
      <w:pPr>
        <w:widowControl w:val="0"/>
        <w:spacing w:line="560" w:lineRule="exact"/>
        <w:ind w:firstLine="560" w:firstLineChars="200"/>
        <w:jc w:val="right"/>
        <w:rPr>
          <w:rFonts w:ascii="仿宋" w:hAnsi="仿宋" w:eastAsia="仿宋"/>
          <w:sz w:val="28"/>
          <w:szCs w:val="28"/>
        </w:rPr>
        <w:sectPr>
          <w:headerReference r:id="rId4" w:type="first"/>
          <w:headerReference r:id="rId3" w:type="default"/>
          <w:footerReference r:id="rId5" w:type="default"/>
          <w:pgSz w:w="11907" w:h="16840"/>
          <w:pgMar w:top="1418" w:right="1418" w:bottom="1418" w:left="1418" w:header="851" w:footer="680" w:gutter="0"/>
          <w:cols w:space="720" w:num="1"/>
          <w:titlePg/>
          <w:docGrid w:linePitch="286" w:charSpace="0"/>
        </w:sectPr>
      </w:pPr>
      <w:r>
        <w:rPr>
          <w:rFonts w:hint="eastAsia" w:ascii="仿宋" w:hAnsi="仿宋" w:eastAsia="仿宋" w:cs="仿宋_GB2312"/>
          <w:sz w:val="28"/>
          <w:szCs w:val="28"/>
        </w:rPr>
        <w:t>二〇二六年</w:t>
      </w:r>
      <w:r>
        <w:rPr>
          <w:rFonts w:hint="eastAsia" w:ascii="仿宋" w:hAnsi="仿宋" w:eastAsia="仿宋" w:cs="仿宋_GB2312"/>
          <w:sz w:val="28"/>
          <w:szCs w:val="28"/>
          <w:lang w:val="en-US" w:eastAsia="zh-CN"/>
        </w:rPr>
        <w:t>九</w:t>
      </w:r>
      <w:r>
        <w:rPr>
          <w:rFonts w:hint="eastAsia" w:ascii="仿宋" w:hAnsi="仿宋" w:eastAsia="仿宋" w:cs="仿宋_GB2312"/>
          <w:sz w:val="28"/>
          <w:szCs w:val="28"/>
        </w:rPr>
        <w:t>月</w:t>
      </w:r>
      <w:r>
        <w:rPr>
          <w:rFonts w:hint="eastAsia" w:ascii="仿宋" w:hAnsi="仿宋" w:eastAsia="仿宋"/>
          <w:sz w:val="28"/>
          <w:szCs w:val="28"/>
        </w:rPr>
        <w:t xml:space="preserve">   </w:t>
      </w:r>
    </w:p>
    <w:p w14:paraId="464D4F88">
      <w:pPr>
        <w:rPr>
          <w:shd w:val="clear" w:color="060000" w:fill="auto"/>
        </w:rPr>
      </w:pPr>
    </w:p>
    <w:p w14:paraId="2DF9DBBC">
      <w:pPr>
        <w:pStyle w:val="4"/>
        <w:spacing w:before="0" w:after="0" w:line="560" w:lineRule="exact"/>
        <w:jc w:val="center"/>
        <w:rPr>
          <w:rFonts w:ascii="黑体" w:hAnsi="黑体" w:eastAsia="黑体"/>
          <w:sz w:val="48"/>
          <w:szCs w:val="48"/>
          <w:shd w:val="clear" w:color="060000" w:fill="auto"/>
        </w:rPr>
      </w:pPr>
      <w:bookmarkStart w:id="31" w:name="_Toc87887959"/>
      <w:bookmarkStart w:id="32" w:name="_Toc23014"/>
      <w:bookmarkStart w:id="33" w:name="_Toc31937"/>
      <w:r>
        <w:rPr>
          <w:rFonts w:hint="eastAsia" w:ascii="黑体" w:hAnsi="黑体" w:eastAsia="黑体"/>
          <w:sz w:val="48"/>
          <w:szCs w:val="48"/>
          <w:shd w:val="clear" w:color="060000" w:fill="auto"/>
        </w:rPr>
        <w:t>第二章 投标须知</w:t>
      </w:r>
      <w:bookmarkEnd w:id="31"/>
      <w:bookmarkEnd w:id="32"/>
      <w:bookmarkEnd w:id="33"/>
    </w:p>
    <w:p w14:paraId="014F9573">
      <w:pPr>
        <w:pStyle w:val="5"/>
        <w:spacing w:before="0" w:after="0" w:line="560" w:lineRule="exact"/>
        <w:jc w:val="center"/>
        <w:rPr>
          <w:rFonts w:ascii="黑体" w:hAnsi="黑体"/>
          <w:b w:val="0"/>
          <w:sz w:val="44"/>
          <w:szCs w:val="44"/>
        </w:rPr>
      </w:pPr>
      <w:bookmarkStart w:id="34" w:name="_Toc29806"/>
      <w:bookmarkStart w:id="35" w:name="_Toc87887960"/>
      <w:bookmarkStart w:id="36" w:name="_Toc6616"/>
      <w:r>
        <w:rPr>
          <w:rFonts w:hint="eastAsia" w:ascii="黑体" w:hAnsi="黑体"/>
          <w:b w:val="0"/>
          <w:sz w:val="44"/>
          <w:szCs w:val="44"/>
        </w:rPr>
        <w:t>一、投标须知前附件</w:t>
      </w:r>
      <w:bookmarkEnd w:id="34"/>
      <w:bookmarkEnd w:id="35"/>
      <w:bookmarkEnd w:id="36"/>
    </w:p>
    <w:p w14:paraId="459D6550"/>
    <w:p w14:paraId="506D67AC">
      <w:pPr>
        <w:pStyle w:val="6"/>
        <w:spacing w:before="0" w:after="0" w:line="560" w:lineRule="exact"/>
        <w:jc w:val="center"/>
        <w:rPr>
          <w:rFonts w:ascii="黑体" w:hAnsi="黑体" w:eastAsia="黑体"/>
          <w:b w:val="0"/>
          <w:sz w:val="36"/>
          <w:szCs w:val="36"/>
        </w:rPr>
      </w:pPr>
      <w:bookmarkStart w:id="37" w:name="_Toc23019"/>
      <w:bookmarkStart w:id="38" w:name="_Toc27147"/>
      <w:bookmarkStart w:id="39" w:name="_Toc87887961"/>
      <w:r>
        <w:rPr>
          <w:rFonts w:hint="eastAsia" w:ascii="黑体" w:hAnsi="黑体" w:eastAsia="黑体"/>
          <w:b w:val="0"/>
          <w:sz w:val="36"/>
          <w:szCs w:val="36"/>
        </w:rPr>
        <w:t>（一）投标须知前附表1</w:t>
      </w:r>
      <w:bookmarkEnd w:id="37"/>
      <w:bookmarkEnd w:id="38"/>
      <w:bookmarkEnd w:id="39"/>
    </w:p>
    <w:p w14:paraId="5DEF916E">
      <w:pPr>
        <w:rPr>
          <w:shd w:val="clear" w:color="060000" w:fill="auto"/>
        </w:rPr>
      </w:pPr>
    </w:p>
    <w:tbl>
      <w:tblPr>
        <w:tblStyle w:val="36"/>
        <w:tblW w:w="8852" w:type="dxa"/>
        <w:jc w:val="center"/>
        <w:tblLayout w:type="fixed"/>
        <w:tblCellMar>
          <w:top w:w="0" w:type="dxa"/>
          <w:left w:w="108" w:type="dxa"/>
          <w:bottom w:w="0" w:type="dxa"/>
          <w:right w:w="108" w:type="dxa"/>
        </w:tblCellMar>
      </w:tblPr>
      <w:tblGrid>
        <w:gridCol w:w="901"/>
        <w:gridCol w:w="1737"/>
        <w:gridCol w:w="6214"/>
      </w:tblGrid>
      <w:tr w14:paraId="34579EF4">
        <w:tblPrEx>
          <w:tblCellMar>
            <w:top w:w="0" w:type="dxa"/>
            <w:left w:w="108" w:type="dxa"/>
            <w:bottom w:w="0" w:type="dxa"/>
            <w:right w:w="108" w:type="dxa"/>
          </w:tblCellMar>
        </w:tblPrEx>
        <w:trPr>
          <w:trHeight w:val="745" w:hRule="atLeast"/>
          <w:jc w:val="center"/>
        </w:trPr>
        <w:tc>
          <w:tcPr>
            <w:tcW w:w="901" w:type="dxa"/>
            <w:tcBorders>
              <w:top w:val="single" w:color="000000" w:sz="4" w:space="0"/>
              <w:left w:val="single" w:color="000000" w:sz="4" w:space="0"/>
              <w:bottom w:val="single" w:color="000000" w:sz="4" w:space="0"/>
              <w:right w:val="single" w:color="000000" w:sz="6" w:space="0"/>
            </w:tcBorders>
            <w:shd w:val="clear" w:color="auto" w:fill="auto"/>
            <w:tcMar>
              <w:left w:w="108" w:type="dxa"/>
              <w:right w:w="108" w:type="dxa"/>
            </w:tcMar>
            <w:vAlign w:val="center"/>
          </w:tcPr>
          <w:p w14:paraId="3282C2DF">
            <w:pPr>
              <w:widowControl w:val="0"/>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737" w:type="dxa"/>
            <w:tcBorders>
              <w:top w:val="single" w:color="000000" w:sz="4" w:space="0"/>
              <w:left w:val="single" w:color="000000" w:sz="6" w:space="0"/>
              <w:bottom w:val="single" w:color="000000" w:sz="4" w:space="0"/>
              <w:right w:val="single" w:color="000000" w:sz="6" w:space="0"/>
            </w:tcBorders>
            <w:shd w:val="clear" w:color="auto" w:fill="auto"/>
            <w:tcMar>
              <w:left w:w="108" w:type="dxa"/>
              <w:right w:w="108" w:type="dxa"/>
            </w:tcMar>
            <w:vAlign w:val="center"/>
          </w:tcPr>
          <w:p w14:paraId="23161B89">
            <w:pPr>
              <w:widowControl w:val="0"/>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内 容</w:t>
            </w:r>
          </w:p>
        </w:tc>
        <w:tc>
          <w:tcPr>
            <w:tcW w:w="6214" w:type="dxa"/>
            <w:tcBorders>
              <w:top w:val="single" w:color="000000" w:sz="4" w:space="0"/>
              <w:left w:val="single" w:color="000000" w:sz="6" w:space="0"/>
              <w:bottom w:val="single" w:color="000000" w:sz="4" w:space="0"/>
              <w:right w:val="single" w:color="000000" w:sz="4" w:space="0"/>
            </w:tcBorders>
            <w:shd w:val="clear" w:color="auto" w:fill="auto"/>
            <w:tcMar>
              <w:left w:w="108" w:type="dxa"/>
              <w:right w:w="108" w:type="dxa"/>
            </w:tcMar>
            <w:vAlign w:val="center"/>
          </w:tcPr>
          <w:p w14:paraId="304BD1D1">
            <w:pPr>
              <w:widowControl w:val="0"/>
              <w:spacing w:line="40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规   定</w:t>
            </w:r>
          </w:p>
        </w:tc>
      </w:tr>
      <w:tr w14:paraId="7F140A51">
        <w:tblPrEx>
          <w:tblCellMar>
            <w:top w:w="0" w:type="dxa"/>
            <w:left w:w="108" w:type="dxa"/>
            <w:bottom w:w="0" w:type="dxa"/>
            <w:right w:w="108" w:type="dxa"/>
          </w:tblCellMar>
        </w:tblPrEx>
        <w:trPr>
          <w:trHeight w:val="884"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123BD5">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0641ED">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招 标 人</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D8547C">
            <w:pPr>
              <w:pStyle w:val="51"/>
              <w:spacing w:line="400" w:lineRule="exac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深圳</w:t>
            </w:r>
            <w:bookmarkStart w:id="40" w:name="OLE_LINK1"/>
            <w:bookmarkStart w:id="41" w:name="OLE_LINK2"/>
            <w:r>
              <w:rPr>
                <w:rFonts w:hint="eastAsia" w:ascii="仿宋_GB2312" w:hAnsi="仿宋_GB2312" w:eastAsia="仿宋_GB2312" w:cs="仿宋_GB2312"/>
                <w:sz w:val="28"/>
                <w:szCs w:val="28"/>
              </w:rPr>
              <w:t>第一亚太物业</w:t>
            </w:r>
            <w:bookmarkEnd w:id="40"/>
            <w:bookmarkEnd w:id="41"/>
            <w:r>
              <w:rPr>
                <w:rFonts w:hint="eastAsia" w:ascii="仿宋_GB2312" w:hAnsi="仿宋_GB2312" w:eastAsia="仿宋_GB2312" w:cs="仿宋_GB2312"/>
                <w:sz w:val="28"/>
                <w:szCs w:val="28"/>
              </w:rPr>
              <w:t>管理有限公司</w:t>
            </w:r>
          </w:p>
        </w:tc>
      </w:tr>
      <w:tr w14:paraId="067141B4">
        <w:tblPrEx>
          <w:tblCellMar>
            <w:top w:w="0" w:type="dxa"/>
            <w:left w:w="108" w:type="dxa"/>
            <w:bottom w:w="0" w:type="dxa"/>
            <w:right w:w="108" w:type="dxa"/>
          </w:tblCellMar>
        </w:tblPrEx>
        <w:trPr>
          <w:trHeight w:val="1154"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AAD72A">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72F826">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招标项目名称</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9A1F29">
            <w:pPr>
              <w:pStyle w:val="51"/>
              <w:spacing w:line="400" w:lineRule="exact"/>
              <w:ind w:firstLine="0" w:firstLineChars="0"/>
              <w:jc w:val="left"/>
              <w:rPr>
                <w:rFonts w:ascii="仿宋" w:hAnsi="仿宋" w:eastAsia="仿宋" w:cs="仿宋_GB2312"/>
                <w:sz w:val="28"/>
                <w:szCs w:val="28"/>
              </w:rPr>
            </w:pPr>
            <w:r>
              <w:rPr>
                <w:rFonts w:hint="eastAsia" w:ascii="仿宋_GB2312" w:hAnsi="仿宋_GB2312" w:eastAsia="仿宋_GB2312" w:cs="仿宋_GB2312"/>
                <w:sz w:val="28"/>
                <w:szCs w:val="28"/>
                <w:lang w:val="en-US" w:eastAsia="zh-CN"/>
              </w:rPr>
              <w:t>第一亚太公司关于</w:t>
            </w:r>
            <w:r>
              <w:rPr>
                <w:rFonts w:hint="eastAsia" w:ascii="仿宋_GB2312" w:hAnsi="仿宋_GB2312" w:eastAsia="仿宋_GB2312" w:cs="仿宋_GB2312"/>
                <w:sz w:val="28"/>
                <w:szCs w:val="28"/>
              </w:rPr>
              <w:t>华南城及其附属公司欠费事项的诉讼代理服务</w:t>
            </w:r>
          </w:p>
        </w:tc>
      </w:tr>
      <w:tr w14:paraId="6F29CC3A">
        <w:tblPrEx>
          <w:tblCellMar>
            <w:top w:w="0" w:type="dxa"/>
            <w:left w:w="108" w:type="dxa"/>
            <w:bottom w:w="0" w:type="dxa"/>
            <w:right w:w="108" w:type="dxa"/>
          </w:tblCellMar>
        </w:tblPrEx>
        <w:trPr>
          <w:trHeight w:val="1029"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0B123C">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F2A197">
            <w:pPr>
              <w:pStyle w:val="51"/>
              <w:spacing w:line="400" w:lineRule="exact"/>
              <w:ind w:left="357" w:hanging="357" w:firstLineChars="0"/>
              <w:jc w:val="center"/>
              <w:rPr>
                <w:rFonts w:ascii="仿宋" w:hAnsi="仿宋" w:eastAsia="仿宋" w:cs="仿宋_GB2312"/>
                <w:sz w:val="28"/>
                <w:szCs w:val="28"/>
              </w:rPr>
            </w:pPr>
            <w:r>
              <w:rPr>
                <w:rFonts w:hint="eastAsia" w:ascii="仿宋" w:hAnsi="仿宋" w:eastAsia="仿宋" w:cs="仿宋_GB2312"/>
                <w:sz w:val="28"/>
                <w:szCs w:val="28"/>
              </w:rPr>
              <w:t>项目地点</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A89BA1">
            <w:pPr>
              <w:pStyle w:val="51"/>
              <w:spacing w:line="400" w:lineRule="exact"/>
              <w:ind w:firstLine="0" w:firstLineChars="0"/>
              <w:jc w:val="left"/>
              <w:rPr>
                <w:rFonts w:ascii="仿宋" w:hAnsi="仿宋" w:eastAsia="仿宋" w:cs="仿宋_GB2312"/>
                <w:sz w:val="30"/>
                <w:szCs w:val="30"/>
              </w:rPr>
            </w:pPr>
            <w:r>
              <w:rPr>
                <w:rFonts w:hint="eastAsia" w:ascii="仿宋" w:hAnsi="仿宋" w:eastAsia="仿宋" w:cs="仿宋_GB2312"/>
                <w:sz w:val="30"/>
                <w:szCs w:val="30"/>
              </w:rPr>
              <w:t>深圳市龙岗区平湖街道华南大道一号行政楼 3 楼</w:t>
            </w:r>
          </w:p>
        </w:tc>
      </w:tr>
      <w:tr w14:paraId="7B76BD87">
        <w:tblPrEx>
          <w:tblCellMar>
            <w:top w:w="0" w:type="dxa"/>
            <w:left w:w="108" w:type="dxa"/>
            <w:bottom w:w="0" w:type="dxa"/>
            <w:right w:w="108" w:type="dxa"/>
          </w:tblCellMar>
        </w:tblPrEx>
        <w:trPr>
          <w:trHeight w:val="117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5DD932">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42426C">
            <w:pPr>
              <w:pStyle w:val="51"/>
              <w:spacing w:line="400" w:lineRule="exact"/>
              <w:ind w:left="357" w:hanging="357" w:firstLineChars="0"/>
              <w:jc w:val="center"/>
              <w:rPr>
                <w:rFonts w:ascii="仿宋" w:hAnsi="仿宋" w:eastAsia="仿宋" w:cs="仿宋_GB2312"/>
                <w:sz w:val="28"/>
                <w:szCs w:val="28"/>
              </w:rPr>
            </w:pPr>
            <w:r>
              <w:rPr>
                <w:rFonts w:hint="eastAsia" w:ascii="仿宋" w:hAnsi="仿宋" w:eastAsia="仿宋" w:cs="仿宋_GB2312"/>
                <w:sz w:val="28"/>
                <w:szCs w:val="28"/>
              </w:rPr>
              <w:t>资金来源</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E55067">
            <w:pPr>
              <w:pStyle w:val="51"/>
              <w:spacing w:line="400" w:lineRule="exact"/>
              <w:ind w:left="357" w:hanging="357" w:firstLineChars="0"/>
              <w:rPr>
                <w:rFonts w:ascii="仿宋" w:hAnsi="仿宋" w:eastAsia="仿宋" w:cs="仿宋_GB2312"/>
                <w:sz w:val="28"/>
                <w:szCs w:val="28"/>
                <w:u w:val="single"/>
              </w:rPr>
            </w:pPr>
            <w:r>
              <w:rPr>
                <w:rFonts w:hint="eastAsia" w:ascii="仿宋" w:hAnsi="仿宋" w:eastAsia="仿宋" w:cs="仿宋_GB2312"/>
                <w:sz w:val="28"/>
                <w:szCs w:val="28"/>
              </w:rPr>
              <w:t>□国有资金</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w:t>
            </w:r>
            <w:r>
              <w:rPr>
                <w:rFonts w:ascii="Segoe UI Symbol" w:hAnsi="Segoe UI Symbol" w:eastAsia="仿宋" w:cs="Segoe UI Symbol"/>
                <w:sz w:val="28"/>
                <w:szCs w:val="28"/>
              </w:rPr>
              <w:t>☑</w:t>
            </w:r>
            <w:r>
              <w:rPr>
                <w:rFonts w:hint="eastAsia" w:ascii="仿宋" w:hAnsi="仿宋" w:eastAsia="仿宋" w:cs="仿宋"/>
                <w:sz w:val="28"/>
                <w:szCs w:val="28"/>
              </w:rPr>
              <w:t>其他资金</w:t>
            </w:r>
            <w:r>
              <w:rPr>
                <w:rFonts w:hint="eastAsia" w:ascii="仿宋" w:hAnsi="仿宋" w:eastAsia="仿宋" w:cs="仿宋_GB2312"/>
                <w:sz w:val="28"/>
                <w:szCs w:val="28"/>
                <w:u w:val="single"/>
              </w:rPr>
              <w:t xml:space="preserve"> 企业自筹1</w:t>
            </w:r>
            <w:r>
              <w:rPr>
                <w:rFonts w:ascii="仿宋" w:hAnsi="仿宋" w:eastAsia="仿宋" w:cs="仿宋_GB2312"/>
                <w:sz w:val="28"/>
                <w:szCs w:val="28"/>
                <w:u w:val="single"/>
              </w:rPr>
              <w:t>00%</w:t>
            </w:r>
            <w:r>
              <w:rPr>
                <w:rFonts w:hint="eastAsia" w:ascii="仿宋" w:hAnsi="仿宋" w:eastAsia="仿宋" w:cs="仿宋_GB2312"/>
                <w:sz w:val="28"/>
                <w:szCs w:val="28"/>
                <w:u w:val="single"/>
              </w:rPr>
              <w:t xml:space="preserve">     </w:t>
            </w:r>
          </w:p>
        </w:tc>
      </w:tr>
      <w:tr w14:paraId="26A18539">
        <w:tblPrEx>
          <w:tblCellMar>
            <w:top w:w="0" w:type="dxa"/>
            <w:left w:w="108" w:type="dxa"/>
            <w:bottom w:w="0" w:type="dxa"/>
            <w:right w:w="108" w:type="dxa"/>
          </w:tblCellMar>
        </w:tblPrEx>
        <w:trPr>
          <w:trHeight w:val="2245"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B9F40F">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BB529C">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sz w:val="28"/>
                <w:szCs w:val="28"/>
              </w:rPr>
              <w:t>招标范围</w:t>
            </w:r>
          </w:p>
          <w:p w14:paraId="62B2C35E">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sz w:val="28"/>
                <w:szCs w:val="28"/>
              </w:rPr>
              <w:t>及内容</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13417D">
            <w:pPr>
              <w:pStyle w:val="51"/>
              <w:spacing w:line="400" w:lineRule="exact"/>
              <w:ind w:firstLine="0" w:firstLineChars="0"/>
              <w:jc w:val="left"/>
              <w:rPr>
                <w:rFonts w:hint="eastAsia" w:ascii="仿宋" w:hAnsi="仿宋" w:eastAsia="仿宋" w:cs="仿宋_GB2312"/>
                <w:sz w:val="30"/>
                <w:szCs w:val="30"/>
              </w:rPr>
            </w:pPr>
            <w:r>
              <w:rPr>
                <w:rFonts w:hint="eastAsia" w:ascii="仿宋" w:hAnsi="仿宋" w:eastAsia="仿宋" w:cs="仿宋_GB2312"/>
                <w:sz w:val="30"/>
                <w:szCs w:val="30"/>
              </w:rPr>
              <w:t>1.采购范围</w:t>
            </w:r>
          </w:p>
          <w:p w14:paraId="17CA0ED6">
            <w:pPr>
              <w:pStyle w:val="51"/>
              <w:spacing w:line="400" w:lineRule="exact"/>
              <w:ind w:firstLine="0" w:firstLineChars="0"/>
              <w:jc w:val="left"/>
              <w:rPr>
                <w:rFonts w:hint="eastAsia" w:ascii="仿宋" w:hAnsi="仿宋" w:eastAsia="仿宋" w:cs="仿宋_GB2312"/>
                <w:sz w:val="30"/>
                <w:szCs w:val="30"/>
              </w:rPr>
            </w:pPr>
            <w:r>
              <w:rPr>
                <w:rFonts w:hint="eastAsia" w:ascii="仿宋" w:hAnsi="仿宋" w:eastAsia="仿宋" w:cs="仿宋_GB2312"/>
                <w:sz w:val="30"/>
                <w:szCs w:val="30"/>
              </w:rPr>
              <w:t>对第一亚太公司</w:t>
            </w:r>
            <w:r>
              <w:rPr>
                <w:rFonts w:hint="eastAsia" w:ascii="仿宋" w:hAnsi="仿宋" w:eastAsia="仿宋" w:cs="仿宋_GB2312"/>
                <w:sz w:val="30"/>
                <w:szCs w:val="30"/>
                <w:lang w:val="en-US" w:eastAsia="zh-CN"/>
              </w:rPr>
              <w:t>及其</w:t>
            </w:r>
            <w:r>
              <w:rPr>
                <w:rFonts w:hint="eastAsia" w:ascii="仿宋" w:hAnsi="仿宋" w:eastAsia="仿宋" w:cs="仿宋_GB2312"/>
                <w:sz w:val="30"/>
                <w:szCs w:val="30"/>
              </w:rPr>
              <w:t>下属深圳、郑州、西安、哈尔滨、南宁、江西、重庆、合肥分公司项目享有华南城及其关联方公司物业费、能耗费、往来款等债权净额委托律所进行诉讼追缴。</w:t>
            </w:r>
          </w:p>
          <w:p w14:paraId="50C85A7C">
            <w:pPr>
              <w:pStyle w:val="51"/>
              <w:spacing w:line="400" w:lineRule="exact"/>
              <w:ind w:firstLine="0" w:firstLineChars="0"/>
              <w:jc w:val="left"/>
              <w:rPr>
                <w:rFonts w:hint="eastAsia" w:ascii="仿宋" w:hAnsi="仿宋" w:eastAsia="仿宋" w:cs="仿宋_GB2312"/>
                <w:sz w:val="30"/>
                <w:szCs w:val="30"/>
              </w:rPr>
            </w:pPr>
            <w:r>
              <w:rPr>
                <w:rFonts w:hint="eastAsia" w:ascii="仿宋" w:hAnsi="仿宋" w:eastAsia="仿宋" w:cs="仿宋_GB2312"/>
                <w:sz w:val="30"/>
                <w:szCs w:val="30"/>
              </w:rPr>
              <w:t>2.采购内容</w:t>
            </w:r>
          </w:p>
          <w:p w14:paraId="6CFF3571">
            <w:pPr>
              <w:pStyle w:val="51"/>
              <w:spacing w:line="400" w:lineRule="exact"/>
              <w:ind w:firstLine="0" w:firstLineChars="0"/>
              <w:jc w:val="left"/>
              <w:rPr>
                <w:rFonts w:hint="eastAsia" w:ascii="仿宋" w:hAnsi="仿宋" w:eastAsia="仿宋" w:cs="仿宋_GB2312"/>
                <w:sz w:val="30"/>
                <w:szCs w:val="30"/>
              </w:rPr>
            </w:pPr>
            <w:r>
              <w:rPr>
                <w:rFonts w:hint="eastAsia" w:ascii="仿宋" w:hAnsi="仿宋" w:eastAsia="仿宋" w:cs="仿宋_GB2312"/>
                <w:sz w:val="30"/>
                <w:szCs w:val="30"/>
              </w:rPr>
              <w:t>通过公开招标选聘</w:t>
            </w:r>
            <w:r>
              <w:rPr>
                <w:rFonts w:hint="eastAsia" w:ascii="仿宋" w:hAnsi="仿宋" w:eastAsia="仿宋" w:cs="仿宋_GB2312"/>
                <w:sz w:val="30"/>
                <w:szCs w:val="30"/>
                <w:lang w:val="en-US" w:eastAsia="zh-CN"/>
              </w:rPr>
              <w:t>2</w:t>
            </w:r>
            <w:r>
              <w:rPr>
                <w:rFonts w:hint="eastAsia" w:ascii="仿宋" w:hAnsi="仿宋" w:eastAsia="仿宋" w:cs="仿宋_GB2312"/>
                <w:sz w:val="30"/>
                <w:szCs w:val="30"/>
              </w:rPr>
              <w:t>家</w:t>
            </w:r>
            <w:r>
              <w:rPr>
                <w:rFonts w:hint="eastAsia" w:ascii="仿宋" w:hAnsi="仿宋" w:eastAsia="仿宋" w:cs="仿宋_GB2312"/>
                <w:sz w:val="30"/>
                <w:szCs w:val="30"/>
                <w:lang w:val="en-US" w:eastAsia="zh-CN"/>
              </w:rPr>
              <w:t>以上</w:t>
            </w:r>
            <w:r>
              <w:rPr>
                <w:rFonts w:hint="eastAsia" w:ascii="仿宋" w:hAnsi="仿宋" w:eastAsia="仿宋" w:cs="仿宋_GB2312"/>
                <w:sz w:val="30"/>
                <w:szCs w:val="30"/>
              </w:rPr>
              <w:t>专业的律师事务所，提供对华南城及其关联方公司欠缴的物业费、能耗费（水电/供暖/供冷等）、往来款等费用的诉讼追缴工作，具体需求如下：</w:t>
            </w:r>
          </w:p>
          <w:p w14:paraId="1CE9117B">
            <w:pPr>
              <w:pStyle w:val="51"/>
              <w:spacing w:line="400" w:lineRule="exact"/>
              <w:ind w:firstLine="0" w:firstLineChars="0"/>
              <w:jc w:val="left"/>
              <w:rPr>
                <w:rFonts w:hint="default" w:ascii="仿宋" w:hAnsi="仿宋" w:eastAsia="仿宋" w:cs="仿宋_GB2312"/>
                <w:sz w:val="30"/>
                <w:szCs w:val="30"/>
              </w:rPr>
            </w:pPr>
            <w:r>
              <w:rPr>
                <w:rFonts w:hint="default" w:ascii="仿宋" w:hAnsi="仿宋" w:eastAsia="仿宋" w:cs="仿宋_GB2312"/>
                <w:sz w:val="30"/>
                <w:szCs w:val="30"/>
              </w:rPr>
              <w:t>（一）代理案件的一审、二审、再审各审级与执行环节。代理权限为一般授权，包括：代为起诉；代为出庭；代为申请管辖权异议、财产保全、证据保全；代为申请回避；代为向法庭提供证据、发表代理意见；代为申请强制执行、抵押物优先受偿；代为申请对方承担违约责任；代为退诉讼费；代为提交、签收诉讼文书和案件材料等。</w:t>
            </w:r>
          </w:p>
          <w:p w14:paraId="2D45FB42">
            <w:pPr>
              <w:pStyle w:val="51"/>
              <w:spacing w:line="400" w:lineRule="exact"/>
              <w:ind w:firstLine="0" w:firstLineChars="0"/>
              <w:jc w:val="left"/>
              <w:rPr>
                <w:rFonts w:hint="default" w:ascii="仿宋" w:hAnsi="仿宋" w:eastAsia="仿宋" w:cs="仿宋_GB2312"/>
                <w:sz w:val="30"/>
                <w:szCs w:val="30"/>
              </w:rPr>
            </w:pPr>
            <w:r>
              <w:rPr>
                <w:rFonts w:hint="default" w:ascii="仿宋" w:hAnsi="仿宋" w:eastAsia="仿宋" w:cs="仿宋_GB2312"/>
                <w:sz w:val="30"/>
                <w:szCs w:val="30"/>
              </w:rPr>
              <w:t>（二）</w:t>
            </w:r>
            <w:r>
              <w:rPr>
                <w:rFonts w:hint="default" w:ascii="仿宋" w:hAnsi="仿宋" w:eastAsia="仿宋" w:cs="仿宋_GB2312"/>
                <w:sz w:val="30"/>
                <w:szCs w:val="30"/>
                <w:lang w:eastAsia="zh-CN"/>
              </w:rPr>
              <w:t>提供</w:t>
            </w:r>
            <w:r>
              <w:rPr>
                <w:rFonts w:hint="default" w:ascii="仿宋" w:hAnsi="仿宋" w:eastAsia="仿宋" w:cs="仿宋_GB2312"/>
                <w:sz w:val="30"/>
                <w:szCs w:val="30"/>
              </w:rPr>
              <w:t>其他与上述案件有关的法律咨询</w:t>
            </w:r>
            <w:r>
              <w:rPr>
                <w:rFonts w:hint="default" w:ascii="仿宋" w:hAnsi="仿宋" w:eastAsia="仿宋" w:cs="仿宋_GB2312"/>
                <w:sz w:val="30"/>
                <w:szCs w:val="30"/>
                <w:lang w:eastAsia="zh-CN"/>
              </w:rPr>
              <w:t>、律师函、法律意见书、被告破产情况下破产债权申报</w:t>
            </w:r>
            <w:r>
              <w:rPr>
                <w:rFonts w:hint="default" w:ascii="仿宋" w:hAnsi="仿宋" w:eastAsia="仿宋" w:cs="仿宋_GB2312"/>
                <w:sz w:val="30"/>
                <w:szCs w:val="30"/>
              </w:rPr>
              <w:t>等服务。</w:t>
            </w:r>
          </w:p>
          <w:p w14:paraId="78FA08FF">
            <w:pPr>
              <w:pStyle w:val="51"/>
              <w:spacing w:line="400" w:lineRule="exact"/>
              <w:ind w:firstLine="0" w:firstLineChars="0"/>
              <w:jc w:val="left"/>
              <w:rPr>
                <w:rFonts w:hint="eastAsia" w:ascii="仿宋" w:hAnsi="仿宋" w:eastAsia="仿宋" w:cs="仿宋_GB2312"/>
                <w:sz w:val="30"/>
                <w:szCs w:val="30"/>
                <w:highlight w:val="none"/>
                <w:lang w:val="en-US" w:eastAsia="zh-CN"/>
              </w:rPr>
            </w:pPr>
            <w:r>
              <w:rPr>
                <w:rFonts w:hint="eastAsia" w:ascii="仿宋" w:hAnsi="仿宋" w:eastAsia="仿宋" w:cs="仿宋_GB2312"/>
                <w:sz w:val="30"/>
                <w:szCs w:val="30"/>
                <w:highlight w:val="none"/>
                <w:lang w:eastAsia="zh-CN"/>
              </w:rPr>
              <w:t>（</w:t>
            </w:r>
            <w:r>
              <w:rPr>
                <w:rFonts w:hint="eastAsia" w:ascii="仿宋" w:hAnsi="仿宋" w:eastAsia="仿宋" w:cs="仿宋_GB2312"/>
                <w:sz w:val="30"/>
                <w:szCs w:val="30"/>
                <w:highlight w:val="none"/>
                <w:lang w:val="en-US" w:eastAsia="zh-CN"/>
              </w:rPr>
              <w:t>三</w:t>
            </w:r>
            <w:r>
              <w:rPr>
                <w:rFonts w:hint="eastAsia" w:ascii="仿宋" w:hAnsi="仿宋" w:eastAsia="仿宋" w:cs="仿宋_GB2312"/>
                <w:sz w:val="30"/>
                <w:szCs w:val="30"/>
                <w:highlight w:val="none"/>
                <w:lang w:eastAsia="zh-CN"/>
              </w:rPr>
              <w:t>）</w:t>
            </w:r>
            <w:r>
              <w:rPr>
                <w:rFonts w:hint="eastAsia" w:ascii="仿宋" w:hAnsi="仿宋" w:eastAsia="仿宋" w:cs="仿宋_GB2312"/>
                <w:sz w:val="30"/>
                <w:szCs w:val="30"/>
                <w:highlight w:val="none"/>
                <w:lang w:val="en-US" w:eastAsia="zh-CN"/>
              </w:rPr>
              <w:t>标段划分</w:t>
            </w:r>
          </w:p>
          <w:tbl>
            <w:tblPr>
              <w:tblStyle w:val="3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546"/>
              <w:gridCol w:w="3241"/>
              <w:gridCol w:w="1631"/>
            </w:tblGrid>
            <w:tr w14:paraId="11FB1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A1D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标段划分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6677A">
                  <w:pPr>
                    <w:jc w:val="center"/>
                    <w:rPr>
                      <w:rFonts w:hint="eastAsia" w:ascii="仿宋_GB2312" w:hAnsi="仿宋_GB2312" w:eastAsia="仿宋_GB2312" w:cs="仿宋_GB2312"/>
                      <w:b/>
                      <w:bCs/>
                      <w:i w:val="0"/>
                      <w:iCs w:val="0"/>
                      <w:color w:val="000000"/>
                      <w:sz w:val="22"/>
                      <w:szCs w:val="22"/>
                      <w:u w:val="none"/>
                    </w:rPr>
                  </w:pPr>
                </w:p>
              </w:tc>
              <w:tc>
                <w:tcPr>
                  <w:tcW w:w="27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258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债权分公司</w:t>
                  </w:r>
                </w:p>
              </w:tc>
              <w:tc>
                <w:tcPr>
                  <w:tcW w:w="1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6D60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债权金额（单位/元）</w:t>
                  </w:r>
                </w:p>
              </w:tc>
            </w:tr>
            <w:tr w14:paraId="60F21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F71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标段一</w:t>
                  </w:r>
                </w:p>
              </w:tc>
              <w:tc>
                <w:tcPr>
                  <w:tcW w:w="5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16F6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标段一（一）</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36FDA">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重庆分公司（2022年12月31日及以前）</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F48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1875.4万元</w:t>
                  </w:r>
                </w:p>
              </w:tc>
            </w:tr>
            <w:tr w14:paraId="1AC2A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7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EBF6">
                  <w:pPr>
                    <w:jc w:val="center"/>
                    <w:rPr>
                      <w:rFonts w:hint="eastAsia" w:ascii="仿宋_GB2312" w:hAnsi="仿宋_GB2312" w:eastAsia="仿宋_GB2312" w:cs="仿宋_GB2312"/>
                      <w:i w:val="0"/>
                      <w:iCs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645E7">
                  <w:pPr>
                    <w:jc w:val="center"/>
                    <w:rPr>
                      <w:rFonts w:hint="eastAsia" w:ascii="仿宋_GB2312" w:hAnsi="仿宋_GB2312" w:eastAsia="仿宋_GB2312" w:cs="仿宋_GB2312"/>
                      <w:i w:val="0"/>
                      <w:iCs w:val="0"/>
                      <w:color w:val="000000"/>
                      <w:sz w:val="22"/>
                      <w:szCs w:val="22"/>
                      <w:u w:val="none"/>
                    </w:rPr>
                  </w:pP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8EE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江西分公司（2022年12月31日及以前）</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8AD2">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3258.0万元</w:t>
                  </w:r>
                </w:p>
              </w:tc>
            </w:tr>
            <w:tr w14:paraId="015A0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7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1027">
                  <w:pPr>
                    <w:jc w:val="center"/>
                    <w:rPr>
                      <w:rFonts w:hint="eastAsia" w:ascii="仿宋_GB2312" w:hAnsi="仿宋_GB2312" w:eastAsia="仿宋_GB2312" w:cs="仿宋_GB2312"/>
                      <w:i w:val="0"/>
                      <w:iCs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E422E">
                  <w:pPr>
                    <w:jc w:val="center"/>
                    <w:rPr>
                      <w:rFonts w:hint="eastAsia" w:ascii="仿宋_GB2312" w:hAnsi="仿宋_GB2312" w:eastAsia="仿宋_GB2312" w:cs="仿宋_GB2312"/>
                      <w:i w:val="0"/>
                      <w:iCs w:val="0"/>
                      <w:color w:val="000000"/>
                      <w:sz w:val="22"/>
                      <w:szCs w:val="22"/>
                      <w:u w:val="none"/>
                    </w:rPr>
                  </w:pP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825B7">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合肥分公司（2022年12月31日及以前）</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E84B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1625.9万元</w:t>
                  </w:r>
                </w:p>
              </w:tc>
            </w:tr>
            <w:tr w14:paraId="038B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47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6DF4B">
                  <w:pPr>
                    <w:jc w:val="center"/>
                    <w:rPr>
                      <w:rFonts w:hint="eastAsia" w:ascii="仿宋_GB2312" w:hAnsi="仿宋_GB2312" w:eastAsia="仿宋_GB2312" w:cs="仿宋_GB2312"/>
                      <w:i w:val="0"/>
                      <w:iCs w:val="0"/>
                      <w:color w:val="000000"/>
                      <w:sz w:val="22"/>
                      <w:szCs w:val="22"/>
                      <w:u w:val="none"/>
                    </w:rPr>
                  </w:pPr>
                </w:p>
              </w:tc>
              <w:tc>
                <w:tcPr>
                  <w:tcW w:w="5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63169">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标段一（二）</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789C">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重庆分公司（2023年1月1日-2026年6月30日）</w:t>
                  </w:r>
                </w:p>
              </w:tc>
              <w:tc>
                <w:tcPr>
                  <w:tcW w:w="1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5E77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12499.0万元</w:t>
                  </w:r>
                </w:p>
              </w:tc>
            </w:tr>
            <w:tr w14:paraId="06FA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7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9915C">
                  <w:pPr>
                    <w:jc w:val="center"/>
                    <w:rPr>
                      <w:rFonts w:hint="eastAsia" w:ascii="仿宋_GB2312" w:hAnsi="仿宋_GB2312" w:eastAsia="仿宋_GB2312" w:cs="仿宋_GB2312"/>
                      <w:i w:val="0"/>
                      <w:iCs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E9477">
                  <w:pPr>
                    <w:jc w:val="center"/>
                    <w:rPr>
                      <w:rFonts w:hint="eastAsia" w:ascii="仿宋_GB2312" w:hAnsi="仿宋_GB2312" w:eastAsia="仿宋_GB2312" w:cs="仿宋_GB2312"/>
                      <w:i w:val="0"/>
                      <w:iCs w:val="0"/>
                      <w:color w:val="000000"/>
                      <w:sz w:val="22"/>
                      <w:szCs w:val="22"/>
                      <w:u w:val="none"/>
                    </w:rPr>
                  </w:pP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B23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江西分公司（2023年1月1日-2026年6月30日）</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9CE01">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10947.2万元</w:t>
                  </w:r>
                </w:p>
              </w:tc>
            </w:tr>
            <w:tr w14:paraId="34985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47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7473">
                  <w:pPr>
                    <w:jc w:val="center"/>
                    <w:rPr>
                      <w:rFonts w:hint="eastAsia" w:ascii="仿宋_GB2312" w:hAnsi="仿宋_GB2312" w:eastAsia="仿宋_GB2312" w:cs="仿宋_GB2312"/>
                      <w:i w:val="0"/>
                      <w:iCs w:val="0"/>
                      <w:color w:val="000000"/>
                      <w:sz w:val="22"/>
                      <w:szCs w:val="22"/>
                      <w:u w:val="none"/>
                    </w:rPr>
                  </w:pPr>
                </w:p>
              </w:tc>
              <w:tc>
                <w:tcPr>
                  <w:tcW w:w="5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B42FB">
                  <w:pPr>
                    <w:jc w:val="center"/>
                    <w:rPr>
                      <w:rFonts w:hint="eastAsia" w:ascii="仿宋_GB2312" w:hAnsi="仿宋_GB2312" w:eastAsia="仿宋_GB2312" w:cs="仿宋_GB2312"/>
                      <w:i w:val="0"/>
                      <w:iCs w:val="0"/>
                      <w:color w:val="000000"/>
                      <w:sz w:val="22"/>
                      <w:szCs w:val="22"/>
                      <w:u w:val="none"/>
                    </w:rPr>
                  </w:pP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DF2B">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合肥分公司（2023年1月1日-2026年6月30日）</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517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7961.4万元</w:t>
                  </w:r>
                </w:p>
              </w:tc>
            </w:tr>
            <w:tr w14:paraId="1ED7A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63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D0088">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小计</w:t>
                  </w:r>
                </w:p>
              </w:tc>
              <w:tc>
                <w:tcPr>
                  <w:tcW w:w="1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7CF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4"/>
                      <w:szCs w:val="24"/>
                      <w:u w:val="none"/>
                      <w:lang w:val="en-US" w:eastAsia="zh-CN" w:bidi="ar"/>
                    </w:rPr>
                    <w:t>38166.8万元</w:t>
                  </w:r>
                </w:p>
              </w:tc>
            </w:tr>
            <w:tr w14:paraId="61C81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0E4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标段二</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5E3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郑州分公司（2026年6月30日及以前）</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C44A">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21636.4万元</w:t>
                  </w:r>
                </w:p>
              </w:tc>
            </w:tr>
            <w:tr w14:paraId="0F54A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9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44B7">
                  <w:pPr>
                    <w:jc w:val="center"/>
                    <w:rPr>
                      <w:rFonts w:hint="eastAsia" w:ascii="仿宋_GB2312" w:hAnsi="仿宋_GB2312" w:eastAsia="仿宋_GB2312" w:cs="仿宋_GB2312"/>
                      <w:i w:val="0"/>
                      <w:iCs w:val="0"/>
                      <w:color w:val="000000"/>
                      <w:sz w:val="22"/>
                      <w:szCs w:val="22"/>
                      <w:u w:val="none"/>
                    </w:rPr>
                  </w:pP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A8F2">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西安分公司（2026年6月30日及以前）</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5996">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15042.5万元</w:t>
                  </w:r>
                </w:p>
              </w:tc>
            </w:tr>
            <w:tr w14:paraId="146C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565E0">
                  <w:pPr>
                    <w:jc w:val="center"/>
                    <w:rPr>
                      <w:rFonts w:hint="eastAsia" w:ascii="仿宋_GB2312" w:hAnsi="仿宋_GB2312" w:eastAsia="仿宋_GB2312" w:cs="仿宋_GB2312"/>
                      <w:i w:val="0"/>
                      <w:iCs w:val="0"/>
                      <w:color w:val="000000"/>
                      <w:sz w:val="22"/>
                      <w:szCs w:val="22"/>
                      <w:u w:val="none"/>
                    </w:rPr>
                  </w:pP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F894">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南宁分公司（2026年6月30日及以前）</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25EB7">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23672.1万元</w:t>
                  </w:r>
                </w:p>
              </w:tc>
            </w:tr>
            <w:tr w14:paraId="6861E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2131">
                  <w:pPr>
                    <w:jc w:val="center"/>
                    <w:rPr>
                      <w:rFonts w:hint="eastAsia" w:ascii="仿宋_GB2312" w:hAnsi="仿宋_GB2312" w:eastAsia="仿宋_GB2312" w:cs="仿宋_GB2312"/>
                      <w:i w:val="0"/>
                      <w:iCs w:val="0"/>
                      <w:color w:val="000000"/>
                      <w:sz w:val="22"/>
                      <w:szCs w:val="22"/>
                      <w:u w:val="none"/>
                    </w:rPr>
                  </w:pP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C869">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哈尔滨分公司（2026年6月30日及以前）</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DDE55">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8310.7万元</w:t>
                  </w:r>
                </w:p>
              </w:tc>
            </w:tr>
            <w:tr w14:paraId="5EC6E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63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AA70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小计</w:t>
                  </w:r>
                </w:p>
              </w:tc>
              <w:tc>
                <w:tcPr>
                  <w:tcW w:w="1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73B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4"/>
                      <w:szCs w:val="24"/>
                      <w:u w:val="none"/>
                      <w:lang w:val="en-US" w:eastAsia="zh-CN" w:bidi="ar"/>
                    </w:rPr>
                    <w:t>68661.7万元</w:t>
                  </w:r>
                </w:p>
              </w:tc>
            </w:tr>
            <w:tr w14:paraId="7BDD6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DF4E">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2"/>
                      <w:szCs w:val="22"/>
                      <w:u w:val="none"/>
                      <w:lang w:val="en-US" w:eastAsia="zh-CN" w:bidi="ar"/>
                    </w:rPr>
                    <w:t>标段三</w:t>
                  </w: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BBB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深圳分公司（2026年6月30日及以前）</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95610">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30669.3万元</w:t>
                  </w:r>
                </w:p>
              </w:tc>
            </w:tr>
            <w:tr w14:paraId="36FE7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9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21223">
                  <w:pPr>
                    <w:jc w:val="center"/>
                    <w:rPr>
                      <w:rFonts w:hint="eastAsia" w:ascii="仿宋_GB2312" w:hAnsi="仿宋_GB2312" w:eastAsia="仿宋_GB2312" w:cs="仿宋_GB2312"/>
                      <w:i w:val="0"/>
                      <w:iCs w:val="0"/>
                      <w:color w:val="000000"/>
                      <w:sz w:val="22"/>
                      <w:szCs w:val="22"/>
                      <w:u w:val="none"/>
                    </w:rPr>
                  </w:pPr>
                </w:p>
              </w:tc>
              <w:tc>
                <w:tcPr>
                  <w:tcW w:w="3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8EA0">
                  <w:pPr>
                    <w:keepNext w:val="0"/>
                    <w:keepLines w:val="0"/>
                    <w:widowControl/>
                    <w:suppressLineNumbers w:val="0"/>
                    <w:jc w:val="left"/>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总部（2026年6月30日及以前）</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DF5F3">
                  <w:pPr>
                    <w:keepNext w:val="0"/>
                    <w:keepLines w:val="0"/>
                    <w:widowControl/>
                    <w:suppressLineNumbers w:val="0"/>
                    <w:jc w:val="center"/>
                    <w:textAlignment w:val="center"/>
                    <w:rPr>
                      <w:rFonts w:hint="eastAsia" w:ascii="仿宋_GB2312" w:hAnsi="仿宋_GB2312" w:eastAsia="仿宋_GB2312" w:cs="仿宋_GB2312"/>
                      <w:i w:val="0"/>
                      <w:iCs w:val="0"/>
                      <w:color w:val="000000"/>
                      <w:sz w:val="22"/>
                      <w:szCs w:val="22"/>
                      <w:u w:val="none"/>
                    </w:rPr>
                  </w:pPr>
                  <w:r>
                    <w:rPr>
                      <w:rFonts w:hint="eastAsia" w:ascii="仿宋_GB2312" w:hAnsi="仿宋_GB2312" w:eastAsia="仿宋_GB2312" w:cs="仿宋_GB2312"/>
                      <w:i w:val="0"/>
                      <w:iCs w:val="0"/>
                      <w:color w:val="000000"/>
                      <w:kern w:val="0"/>
                      <w:sz w:val="24"/>
                      <w:szCs w:val="24"/>
                      <w:u w:val="none"/>
                      <w:lang w:val="en-US" w:eastAsia="zh-CN" w:bidi="ar"/>
                    </w:rPr>
                    <w:t>46174.7万元</w:t>
                  </w:r>
                </w:p>
              </w:tc>
            </w:tr>
            <w:tr w14:paraId="14AC0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955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小计</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E74F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4"/>
                      <w:szCs w:val="24"/>
                      <w:u w:val="none"/>
                      <w:lang w:val="en-US" w:eastAsia="zh-CN" w:bidi="ar"/>
                    </w:rPr>
                    <w:t>76844.0万元</w:t>
                  </w:r>
                </w:p>
              </w:tc>
            </w:tr>
            <w:tr w14:paraId="58DA6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9"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BD08">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合计</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EBC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4"/>
                      <w:szCs w:val="24"/>
                      <w:u w:val="none"/>
                      <w:lang w:val="en-US" w:eastAsia="zh-CN" w:bidi="ar"/>
                    </w:rPr>
                    <w:t>183672.5万元</w:t>
                  </w:r>
                </w:p>
              </w:tc>
            </w:tr>
          </w:tbl>
          <w:p w14:paraId="31C97B2F">
            <w:pPr>
              <w:pStyle w:val="51"/>
              <w:spacing w:line="400" w:lineRule="exact"/>
              <w:ind w:firstLine="0" w:firstLineChars="0"/>
              <w:jc w:val="left"/>
              <w:rPr>
                <w:rFonts w:ascii="仿宋" w:hAnsi="仿宋" w:eastAsia="仿宋" w:cs="仿宋_GB2312"/>
                <w:sz w:val="28"/>
                <w:szCs w:val="28"/>
              </w:rPr>
            </w:pPr>
          </w:p>
        </w:tc>
      </w:tr>
      <w:tr w14:paraId="04B5E1FA">
        <w:tblPrEx>
          <w:tblCellMar>
            <w:top w:w="0" w:type="dxa"/>
            <w:left w:w="108" w:type="dxa"/>
            <w:bottom w:w="0" w:type="dxa"/>
            <w:right w:w="108" w:type="dxa"/>
          </w:tblCellMar>
        </w:tblPrEx>
        <w:trPr>
          <w:trHeight w:val="92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7F40C8">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10838D">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sz w:val="28"/>
                <w:szCs w:val="28"/>
              </w:rPr>
              <w:t>招标方式</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F56030">
            <w:pPr>
              <w:autoSpaceDE w:val="0"/>
              <w:autoSpaceDN w:val="0"/>
              <w:adjustRightInd w:val="0"/>
              <w:spacing w:line="400" w:lineRule="exact"/>
              <w:jc w:val="left"/>
              <w:rPr>
                <w:rFonts w:ascii="仿宋" w:hAnsi="仿宋" w:eastAsia="仿宋" w:cs="仿宋_GB2312"/>
                <w:sz w:val="28"/>
                <w:szCs w:val="28"/>
              </w:rPr>
            </w:pPr>
            <w:r>
              <w:rPr>
                <w:rFonts w:ascii="Segoe UI Symbol" w:hAnsi="Segoe UI Symbol" w:eastAsia="仿宋" w:cs="Segoe UI Symbol"/>
                <w:sz w:val="28"/>
                <w:szCs w:val="28"/>
              </w:rPr>
              <w:t>☑</w:t>
            </w:r>
            <w:r>
              <w:rPr>
                <w:rFonts w:hint="eastAsia" w:ascii="仿宋" w:hAnsi="仿宋" w:eastAsia="仿宋" w:cs="仿宋_GB2312"/>
                <w:sz w:val="28"/>
                <w:szCs w:val="28"/>
              </w:rPr>
              <w:t>公开招标</w:t>
            </w:r>
          </w:p>
          <w:p w14:paraId="595FF807">
            <w:pPr>
              <w:autoSpaceDE w:val="0"/>
              <w:autoSpaceDN w:val="0"/>
              <w:adjustRightInd w:val="0"/>
              <w:spacing w:line="400" w:lineRule="exact"/>
              <w:jc w:val="left"/>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
                <w:sz w:val="28"/>
                <w:szCs w:val="28"/>
              </w:rPr>
              <w:t>邀请招标</w:t>
            </w:r>
          </w:p>
        </w:tc>
      </w:tr>
      <w:tr w14:paraId="626C6574">
        <w:tblPrEx>
          <w:tblCellMar>
            <w:top w:w="0" w:type="dxa"/>
            <w:left w:w="108" w:type="dxa"/>
            <w:bottom w:w="0" w:type="dxa"/>
            <w:right w:w="108" w:type="dxa"/>
          </w:tblCellMar>
        </w:tblPrEx>
        <w:trPr>
          <w:trHeight w:val="511"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65DF322">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8</w:t>
            </w:r>
          </w:p>
        </w:tc>
        <w:tc>
          <w:tcPr>
            <w:tcW w:w="173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BC043E">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sz w:val="28"/>
                <w:szCs w:val="28"/>
              </w:rPr>
              <w:t>投标人</w:t>
            </w:r>
          </w:p>
          <w:p w14:paraId="39FFEA0A">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sz w:val="28"/>
                <w:szCs w:val="28"/>
              </w:rPr>
              <w:t>资格要求</w:t>
            </w:r>
          </w:p>
        </w:tc>
        <w:tc>
          <w:tcPr>
            <w:tcW w:w="621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CAFA90C">
            <w:pPr>
              <w:autoSpaceDE w:val="0"/>
              <w:autoSpaceDN w:val="0"/>
              <w:adjustRightInd w:val="0"/>
              <w:spacing w:line="400" w:lineRule="exact"/>
              <w:jc w:val="left"/>
              <w:rPr>
                <w:rFonts w:hint="eastAsia" w:ascii="仿宋" w:hAnsi="仿宋" w:eastAsia="仿宋" w:cs="仿宋"/>
                <w:sz w:val="28"/>
                <w:szCs w:val="28"/>
              </w:rPr>
            </w:pPr>
            <w:r>
              <w:rPr>
                <w:rFonts w:hint="eastAsia" w:ascii="仿宋" w:hAnsi="仿宋" w:eastAsia="仿宋" w:cs="仿宋"/>
                <w:sz w:val="28"/>
                <w:szCs w:val="28"/>
              </w:rPr>
              <w:t>（一）资格要求</w:t>
            </w:r>
          </w:p>
          <w:p w14:paraId="690E678C">
            <w:pPr>
              <w:autoSpaceDE w:val="0"/>
              <w:autoSpaceDN w:val="0"/>
              <w:adjustRightInd w:val="0"/>
              <w:spacing w:line="400" w:lineRule="exact"/>
              <w:jc w:val="left"/>
              <w:rPr>
                <w:rFonts w:hint="eastAsia" w:ascii="仿宋" w:hAnsi="仿宋" w:eastAsia="仿宋" w:cs="仿宋"/>
                <w:sz w:val="28"/>
                <w:szCs w:val="28"/>
              </w:rPr>
            </w:pPr>
            <w:bookmarkStart w:id="42" w:name="OLE_LINK18"/>
            <w:r>
              <w:rPr>
                <w:rFonts w:hint="eastAsia" w:ascii="仿宋" w:hAnsi="仿宋" w:eastAsia="仿宋" w:cs="仿宋"/>
                <w:sz w:val="28"/>
                <w:szCs w:val="28"/>
              </w:rPr>
              <w:t>1.投标人应为在中国境内合法注册的律师事务所(不包括在港澳台注册的律师事务所)，提供律师事务所执业</w:t>
            </w:r>
            <w:r>
              <w:rPr>
                <w:rFonts w:hint="eastAsia" w:ascii="仿宋" w:hAnsi="仿宋" w:eastAsia="仿宋" w:cs="仿宋"/>
                <w:sz w:val="28"/>
                <w:szCs w:val="28"/>
                <w:lang w:val="en-US" w:eastAsia="zh-CN"/>
              </w:rPr>
              <w:t>许可证</w:t>
            </w:r>
            <w:r>
              <w:rPr>
                <w:rFonts w:hint="eastAsia" w:ascii="仿宋" w:hAnsi="仿宋" w:eastAsia="仿宋" w:cs="仿宋"/>
                <w:sz w:val="28"/>
                <w:szCs w:val="28"/>
              </w:rPr>
              <w:t>扫描件。（加盖公章）</w:t>
            </w:r>
          </w:p>
          <w:p w14:paraId="6AF2BCFA">
            <w:pPr>
              <w:autoSpaceDE w:val="0"/>
              <w:autoSpaceDN w:val="0"/>
              <w:adjustRightInd w:val="0"/>
              <w:spacing w:line="400" w:lineRule="exact"/>
              <w:jc w:val="left"/>
              <w:rPr>
                <w:rFonts w:hint="eastAsia" w:ascii="仿宋" w:hAnsi="仿宋" w:eastAsia="仿宋" w:cs="仿宋"/>
                <w:sz w:val="28"/>
                <w:szCs w:val="28"/>
              </w:rPr>
            </w:pPr>
            <w:r>
              <w:rPr>
                <w:rFonts w:hint="eastAsia" w:ascii="仿宋" w:hAnsi="仿宋" w:eastAsia="仿宋" w:cs="仿宋"/>
                <w:sz w:val="28"/>
                <w:szCs w:val="28"/>
              </w:rPr>
              <w:t>2.行业声誉良好，近三年无司法行政部门、律师协会惩戒记录和不良执业记录。（自行提供承诺函，格式自拟，加盖公章）</w:t>
            </w:r>
          </w:p>
          <w:p w14:paraId="33A548F1">
            <w:pPr>
              <w:autoSpaceDE w:val="0"/>
              <w:autoSpaceDN w:val="0"/>
              <w:adjustRightInd w:val="0"/>
              <w:spacing w:line="400" w:lineRule="exact"/>
              <w:jc w:val="left"/>
              <w:rPr>
                <w:rFonts w:hint="eastAsia" w:ascii="仿宋" w:hAnsi="仿宋" w:eastAsia="仿宋" w:cs="仿宋"/>
                <w:sz w:val="28"/>
                <w:szCs w:val="28"/>
              </w:rPr>
            </w:pPr>
            <w:r>
              <w:rPr>
                <w:rFonts w:hint="eastAsia" w:ascii="仿宋" w:hAnsi="仿宋" w:eastAsia="仿宋" w:cs="仿宋"/>
                <w:sz w:val="28"/>
                <w:szCs w:val="28"/>
              </w:rPr>
              <w:t>3.需配备固定的办案团队及办公场所或与具备同类服务资质的合规律所具有深度合作，确保案件响应的及时性与服务的连贯性。</w:t>
            </w:r>
          </w:p>
          <w:bookmarkEnd w:id="42"/>
          <w:p w14:paraId="24431850">
            <w:pPr>
              <w:autoSpaceDE w:val="0"/>
              <w:autoSpaceDN w:val="0"/>
              <w:adjustRightInd w:val="0"/>
              <w:spacing w:line="40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.投标人应组成律师团队提供本项目的服务，团队成员不少于3人，持有效律师执业证</w:t>
            </w:r>
            <w:r>
              <w:rPr>
                <w:rFonts w:hint="eastAsia" w:ascii="仿宋" w:hAnsi="仿宋" w:eastAsia="仿宋" w:cs="仿宋"/>
                <w:sz w:val="28"/>
                <w:szCs w:val="28"/>
                <w:lang w:val="en-US" w:eastAsia="zh-CN"/>
              </w:rPr>
              <w:t>书</w:t>
            </w:r>
            <w:r>
              <w:rPr>
                <w:rFonts w:hint="eastAsia" w:ascii="仿宋" w:hAnsi="仿宋" w:eastAsia="仿宋" w:cs="仿宋"/>
                <w:sz w:val="28"/>
                <w:szCs w:val="28"/>
              </w:rPr>
              <w:t>。</w:t>
            </w:r>
          </w:p>
          <w:p w14:paraId="13DD33BB">
            <w:pPr>
              <w:autoSpaceDE w:val="0"/>
              <w:autoSpaceDN w:val="0"/>
              <w:adjustRightInd w:val="0"/>
              <w:spacing w:line="400" w:lineRule="exact"/>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本项目接受律师事务所的总所或分所投标，但不接受同一律所的总所与分所同时参与投标，不接受同一律所的不同分所同时参与投标。如同一律所的总所与分所同时参与投标，则只接受总所投标，分所作投标无效处理；如同一律所的不同分所同时参与投标，则所有分所均作投标无效处理。（自行提供承诺函，格式自拟，加盖公章）</w:t>
            </w:r>
          </w:p>
          <w:p w14:paraId="73F6222F">
            <w:pPr>
              <w:autoSpaceDE w:val="0"/>
              <w:autoSpaceDN w:val="0"/>
              <w:adjustRightInd w:val="0"/>
              <w:spacing w:line="40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参与投标的律师事务所不得与华南城及其</w:t>
            </w:r>
            <w:r>
              <w:rPr>
                <w:rFonts w:hint="eastAsia" w:ascii="仿宋" w:hAnsi="仿宋" w:eastAsia="仿宋" w:cs="仿宋"/>
                <w:sz w:val="28"/>
                <w:szCs w:val="28"/>
                <w:lang w:val="en-US" w:eastAsia="zh-CN"/>
              </w:rPr>
              <w:t>附属</w:t>
            </w:r>
            <w:r>
              <w:rPr>
                <w:rFonts w:hint="eastAsia" w:ascii="仿宋" w:hAnsi="仿宋" w:eastAsia="仿宋" w:cs="仿宋"/>
                <w:sz w:val="28"/>
                <w:szCs w:val="28"/>
              </w:rPr>
              <w:t>公司存在任何可能影响本次</w:t>
            </w:r>
            <w:r>
              <w:rPr>
                <w:rFonts w:hint="eastAsia" w:ascii="仿宋" w:hAnsi="仿宋" w:eastAsia="仿宋" w:cs="仿宋"/>
                <w:sz w:val="28"/>
                <w:szCs w:val="28"/>
                <w:lang w:val="en-US" w:eastAsia="zh-CN"/>
              </w:rPr>
              <w:t>招标项目</w:t>
            </w:r>
            <w:r>
              <w:rPr>
                <w:rFonts w:hint="eastAsia" w:ascii="仿宋" w:hAnsi="仿宋" w:eastAsia="仿宋" w:cs="仿宋"/>
                <w:sz w:val="28"/>
                <w:szCs w:val="28"/>
              </w:rPr>
              <w:t>独立性、公正性的利益冲突情形。（自行提供承诺函，格式自拟，加盖公章）</w:t>
            </w:r>
          </w:p>
          <w:p w14:paraId="36432A28">
            <w:pPr>
              <w:autoSpaceDE w:val="0"/>
              <w:autoSpaceDN w:val="0"/>
              <w:adjustRightInd w:val="0"/>
              <w:spacing w:line="400" w:lineRule="exact"/>
              <w:jc w:val="left"/>
              <w:rPr>
                <w:rFonts w:ascii="仿宋" w:hAnsi="仿宋" w:eastAsia="仿宋" w:cs="仿宋_GB2312"/>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二</w:t>
            </w:r>
            <w:r>
              <w:rPr>
                <w:rFonts w:hint="eastAsia" w:ascii="仿宋" w:hAnsi="仿宋" w:eastAsia="仿宋" w:cs="仿宋"/>
                <w:sz w:val="28"/>
                <w:szCs w:val="28"/>
                <w:lang w:eastAsia="zh-CN"/>
              </w:rPr>
              <w:t>）</w:t>
            </w:r>
            <w:r>
              <w:rPr>
                <w:rFonts w:hint="eastAsia" w:ascii="仿宋" w:hAnsi="仿宋" w:eastAsia="仿宋" w:cs="仿宋"/>
                <w:sz w:val="28"/>
                <w:szCs w:val="28"/>
              </w:rPr>
              <w:t>本项目不接受联合体参加招标。</w:t>
            </w:r>
          </w:p>
        </w:tc>
      </w:tr>
      <w:tr w14:paraId="2F638B08">
        <w:tblPrEx>
          <w:tblCellMar>
            <w:top w:w="0" w:type="dxa"/>
            <w:left w:w="108" w:type="dxa"/>
            <w:bottom w:w="0" w:type="dxa"/>
            <w:right w:w="108" w:type="dxa"/>
          </w:tblCellMar>
        </w:tblPrEx>
        <w:trPr>
          <w:trHeight w:val="90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C73CB0">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9</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F44AA5">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kern w:val="0"/>
                <w:sz w:val="28"/>
                <w:szCs w:val="28"/>
              </w:rPr>
              <w:t>投标人拟派主办律师资格要求</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C82F3A">
            <w:pPr>
              <w:autoSpaceDE w:val="0"/>
              <w:autoSpaceDN w:val="0"/>
              <w:adjustRightInd w:val="0"/>
              <w:spacing w:line="400" w:lineRule="exact"/>
              <w:jc w:val="left"/>
              <w:rPr>
                <w:rFonts w:ascii="仿宋" w:hAnsi="仿宋" w:eastAsia="仿宋" w:cs="仿宋_GB2312"/>
                <w:sz w:val="28"/>
                <w:szCs w:val="28"/>
              </w:rPr>
            </w:pPr>
            <w:r>
              <w:rPr>
                <w:rFonts w:hint="eastAsia" w:ascii="仿宋" w:hAnsi="仿宋" w:eastAsia="仿宋" w:cs="仿宋"/>
                <w:sz w:val="28"/>
                <w:szCs w:val="28"/>
              </w:rPr>
              <w:t>持有律师执业证，</w:t>
            </w:r>
            <w:r>
              <w:rPr>
                <w:rFonts w:hint="eastAsia" w:ascii="仿宋" w:hAnsi="仿宋" w:eastAsia="仿宋" w:cs="仿宋_GB2312"/>
                <w:kern w:val="0"/>
                <w:sz w:val="28"/>
                <w:szCs w:val="28"/>
              </w:rPr>
              <w:t>具有</w:t>
            </w:r>
            <w:r>
              <w:rPr>
                <w:rFonts w:ascii="仿宋" w:hAnsi="仿宋" w:eastAsia="仿宋" w:cs="仿宋_GB2312"/>
                <w:kern w:val="0"/>
                <w:sz w:val="28"/>
                <w:szCs w:val="28"/>
              </w:rPr>
              <w:t>5</w:t>
            </w:r>
            <w:r>
              <w:rPr>
                <w:rFonts w:hint="eastAsia" w:ascii="仿宋" w:hAnsi="仿宋" w:eastAsia="仿宋" w:cs="仿宋_GB2312"/>
                <w:kern w:val="0"/>
                <w:sz w:val="28"/>
                <w:szCs w:val="28"/>
              </w:rPr>
              <w:t>年以上执业经验；</w:t>
            </w:r>
          </w:p>
        </w:tc>
      </w:tr>
      <w:tr w14:paraId="5F83D190">
        <w:tblPrEx>
          <w:tblCellMar>
            <w:top w:w="0" w:type="dxa"/>
            <w:left w:w="108" w:type="dxa"/>
            <w:bottom w:w="0" w:type="dxa"/>
            <w:right w:w="108" w:type="dxa"/>
          </w:tblCellMar>
        </w:tblPrEx>
        <w:trPr>
          <w:trHeight w:val="90"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D909C9">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77857A">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kern w:val="0"/>
                <w:sz w:val="28"/>
                <w:szCs w:val="28"/>
              </w:rPr>
              <w:t>是否接受联合体投标</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B3C31F">
            <w:pPr>
              <w:pStyle w:val="51"/>
              <w:spacing w:line="400" w:lineRule="exact"/>
              <w:ind w:left="357" w:hanging="357" w:firstLineChars="0"/>
              <w:jc w:val="left"/>
              <w:rPr>
                <w:rFonts w:ascii="仿宋" w:hAnsi="仿宋" w:eastAsia="仿宋" w:cs="仿宋_GB2312"/>
                <w:sz w:val="28"/>
                <w:szCs w:val="28"/>
              </w:rPr>
            </w:pPr>
            <w:r>
              <w:rPr>
                <w:rFonts w:ascii="Segoe UI Symbol" w:hAnsi="Segoe UI Symbol" w:eastAsia="仿宋" w:cs="Segoe UI Symbol"/>
                <w:kern w:val="0"/>
                <w:sz w:val="28"/>
                <w:szCs w:val="28"/>
              </w:rPr>
              <w:t>☑</w:t>
            </w:r>
            <w:r>
              <w:rPr>
                <w:rFonts w:hint="eastAsia" w:ascii="仿宋" w:hAnsi="仿宋" w:eastAsia="仿宋" w:cs="仿宋"/>
                <w:kern w:val="0"/>
                <w:sz w:val="28"/>
                <w:szCs w:val="28"/>
              </w:rPr>
              <w:t>不接受</w:t>
            </w:r>
            <w:r>
              <w:rPr>
                <w:rFonts w:hint="eastAsia" w:ascii="仿宋" w:hAnsi="仿宋" w:eastAsia="仿宋" w:cs="仿宋_GB2312"/>
                <w:kern w:val="0"/>
                <w:sz w:val="28"/>
                <w:szCs w:val="28"/>
              </w:rPr>
              <w:t xml:space="preserve">   □接受</w:t>
            </w:r>
          </w:p>
        </w:tc>
      </w:tr>
      <w:tr w14:paraId="2FBCC81A">
        <w:tblPrEx>
          <w:tblCellMar>
            <w:top w:w="0" w:type="dxa"/>
            <w:left w:w="108" w:type="dxa"/>
            <w:bottom w:w="0" w:type="dxa"/>
            <w:right w:w="108" w:type="dxa"/>
          </w:tblCellMar>
        </w:tblPrEx>
        <w:trPr>
          <w:trHeight w:val="1331"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A5D783">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11</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07CD59">
            <w:pPr>
              <w:pStyle w:val="51"/>
              <w:spacing w:line="400" w:lineRule="exact"/>
              <w:ind w:left="357" w:hanging="357" w:firstLineChars="0"/>
              <w:jc w:val="center"/>
              <w:rPr>
                <w:rFonts w:ascii="仿宋" w:hAnsi="仿宋" w:eastAsia="仿宋" w:cs="仿宋_GB2312"/>
                <w:sz w:val="28"/>
                <w:szCs w:val="28"/>
              </w:rPr>
            </w:pPr>
            <w:r>
              <w:rPr>
                <w:rFonts w:hint="eastAsia" w:ascii="仿宋" w:hAnsi="仿宋" w:eastAsia="仿宋" w:cs="仿宋_GB2312"/>
                <w:sz w:val="28"/>
                <w:szCs w:val="28"/>
              </w:rPr>
              <w:t>资格审查</w:t>
            </w:r>
          </w:p>
          <w:p w14:paraId="694F2BDE">
            <w:pPr>
              <w:pStyle w:val="51"/>
              <w:spacing w:line="400" w:lineRule="exact"/>
              <w:ind w:left="357" w:hanging="357" w:firstLineChars="0"/>
              <w:jc w:val="center"/>
              <w:rPr>
                <w:rFonts w:ascii="仿宋" w:hAnsi="仿宋" w:eastAsia="仿宋" w:cs="仿宋_GB2312"/>
                <w:sz w:val="28"/>
                <w:szCs w:val="28"/>
              </w:rPr>
            </w:pPr>
            <w:r>
              <w:rPr>
                <w:rFonts w:hint="eastAsia" w:ascii="仿宋" w:hAnsi="仿宋" w:eastAsia="仿宋" w:cs="仿宋_GB2312"/>
                <w:sz w:val="28"/>
                <w:szCs w:val="28"/>
              </w:rPr>
              <w:t>方式</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23719A">
            <w:pPr>
              <w:pStyle w:val="51"/>
              <w:spacing w:line="400" w:lineRule="exact"/>
              <w:ind w:left="357" w:hanging="357" w:firstLineChars="0"/>
              <w:jc w:val="left"/>
              <w:rPr>
                <w:rFonts w:ascii="仿宋" w:hAnsi="仿宋" w:eastAsia="仿宋" w:cs="仿宋_GB2312"/>
                <w:sz w:val="28"/>
                <w:szCs w:val="28"/>
              </w:rPr>
            </w:pPr>
            <w:r>
              <w:rPr>
                <w:rFonts w:hint="eastAsia" w:ascii="仿宋" w:hAnsi="仿宋" w:eastAsia="仿宋" w:cs="仿宋_GB2312"/>
                <w:sz w:val="28"/>
                <w:szCs w:val="28"/>
              </w:rPr>
              <w:t>□资格预审</w:t>
            </w:r>
          </w:p>
          <w:p w14:paraId="1393DF66">
            <w:pPr>
              <w:pStyle w:val="51"/>
              <w:spacing w:line="400" w:lineRule="exact"/>
              <w:ind w:left="357" w:hanging="357" w:firstLineChars="0"/>
              <w:jc w:val="left"/>
              <w:rPr>
                <w:rFonts w:ascii="仿宋" w:hAnsi="仿宋" w:eastAsia="仿宋" w:cs="仿宋_GB2312"/>
                <w:sz w:val="28"/>
                <w:szCs w:val="28"/>
              </w:rPr>
            </w:pPr>
            <w:r>
              <w:rPr>
                <w:rFonts w:ascii="Segoe UI Symbol" w:hAnsi="Segoe UI Symbol" w:eastAsia="仿宋" w:cs="Segoe UI Symbol"/>
                <w:sz w:val="28"/>
                <w:szCs w:val="28"/>
              </w:rPr>
              <w:t>☑</w:t>
            </w:r>
            <w:r>
              <w:rPr>
                <w:rFonts w:hint="eastAsia" w:ascii="仿宋" w:hAnsi="仿宋" w:eastAsia="仿宋" w:cs="仿宋_GB2312"/>
                <w:sz w:val="28"/>
                <w:szCs w:val="28"/>
              </w:rPr>
              <w:t>资格后审</w:t>
            </w:r>
          </w:p>
          <w:p w14:paraId="1DEB6B62">
            <w:pPr>
              <w:pStyle w:val="51"/>
              <w:spacing w:line="400" w:lineRule="exact"/>
              <w:ind w:left="357" w:hanging="357" w:firstLineChars="0"/>
              <w:jc w:val="left"/>
              <w:rPr>
                <w:rFonts w:ascii="仿宋" w:hAnsi="仿宋" w:eastAsia="仿宋" w:cs="仿宋_GB2312"/>
                <w:sz w:val="28"/>
                <w:szCs w:val="28"/>
              </w:rPr>
            </w:pPr>
            <w:bookmarkStart w:id="43" w:name="OLE_LINK19"/>
            <w:r>
              <w:rPr>
                <w:rFonts w:hint="eastAsia" w:ascii="仿宋" w:hAnsi="仿宋" w:eastAsia="仿宋" w:cs="仿宋_GB2312"/>
                <w:sz w:val="28"/>
                <w:szCs w:val="28"/>
              </w:rPr>
              <w:t>□</w:t>
            </w:r>
            <w:bookmarkEnd w:id="43"/>
            <w:r>
              <w:rPr>
                <w:rFonts w:hint="eastAsia" w:ascii="仿宋" w:hAnsi="仿宋" w:eastAsia="仿宋" w:cs="仿宋"/>
                <w:sz w:val="28"/>
                <w:szCs w:val="28"/>
              </w:rPr>
              <w:t>投标邀请</w:t>
            </w:r>
          </w:p>
        </w:tc>
      </w:tr>
      <w:tr w14:paraId="3A8313E5">
        <w:tblPrEx>
          <w:tblCellMar>
            <w:top w:w="0" w:type="dxa"/>
            <w:left w:w="108" w:type="dxa"/>
            <w:bottom w:w="0" w:type="dxa"/>
            <w:right w:w="108" w:type="dxa"/>
          </w:tblCellMar>
        </w:tblPrEx>
        <w:trPr>
          <w:trHeight w:val="1331"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8CE220">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12</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7ECB4C">
            <w:pPr>
              <w:pStyle w:val="51"/>
              <w:spacing w:line="400" w:lineRule="exact"/>
              <w:ind w:left="357" w:firstLine="0" w:firstLineChars="0"/>
              <w:rPr>
                <w:rFonts w:ascii="仿宋" w:hAnsi="仿宋" w:eastAsia="仿宋" w:cs="仿宋_GB2312"/>
                <w:sz w:val="28"/>
                <w:szCs w:val="28"/>
              </w:rPr>
            </w:pPr>
            <w:r>
              <w:rPr>
                <w:rFonts w:hint="eastAsia" w:ascii="仿宋" w:hAnsi="仿宋" w:eastAsia="仿宋" w:cs="仿宋_GB2312"/>
                <w:sz w:val="28"/>
                <w:szCs w:val="28"/>
              </w:rPr>
              <w:t>投标报价</w:t>
            </w:r>
          </w:p>
          <w:p w14:paraId="0BE03BDD">
            <w:pPr>
              <w:pStyle w:val="51"/>
              <w:spacing w:line="400" w:lineRule="exact"/>
              <w:ind w:left="357" w:hanging="357" w:firstLineChars="0"/>
              <w:jc w:val="center"/>
              <w:rPr>
                <w:rFonts w:ascii="仿宋" w:hAnsi="仿宋" w:eastAsia="仿宋" w:cs="仿宋_GB2312"/>
                <w:sz w:val="28"/>
                <w:szCs w:val="28"/>
              </w:rPr>
            </w:pPr>
            <w:r>
              <w:rPr>
                <w:rFonts w:hint="eastAsia" w:ascii="仿宋" w:hAnsi="仿宋" w:eastAsia="仿宋" w:cs="仿宋_GB2312"/>
                <w:sz w:val="28"/>
                <w:szCs w:val="28"/>
              </w:rPr>
              <w:t>要求</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E9195B">
            <w:pPr>
              <w:numPr>
                <w:ilvl w:val="0"/>
                <w:numId w:val="1"/>
              </w:numPr>
              <w:spacing w:line="400" w:lineRule="exact"/>
              <w:jc w:val="left"/>
              <w:rPr>
                <w:rFonts w:ascii="仿宋" w:hAnsi="仿宋" w:eastAsia="仿宋" w:cs="仿宋_GB2312"/>
                <w:sz w:val="28"/>
                <w:szCs w:val="28"/>
              </w:rPr>
            </w:pPr>
            <w:r>
              <w:rPr>
                <w:rFonts w:hint="eastAsia" w:ascii="仿宋" w:hAnsi="仿宋" w:eastAsia="仿宋" w:cs="仿宋_GB2312"/>
                <w:color w:val="000000" w:themeColor="text1"/>
                <w:sz w:val="28"/>
                <w:szCs w:val="28"/>
                <w14:textFill>
                  <w14:solidFill>
                    <w14:schemeClr w14:val="tx1"/>
                  </w14:solidFill>
                </w14:textFill>
              </w:rPr>
              <w:t>本次投标上限价拟设定为</w:t>
            </w:r>
            <w:r>
              <w:rPr>
                <w:rFonts w:hint="eastAsia" w:ascii="仿宋" w:hAnsi="仿宋" w:eastAsia="仿宋" w:cs="仿宋_GB2312"/>
                <w:color w:val="000000" w:themeColor="text1"/>
                <w:sz w:val="28"/>
                <w:szCs w:val="28"/>
                <w:lang w:val="en-US" w:eastAsia="zh-CN"/>
                <w14:textFill>
                  <w14:solidFill>
                    <w14:schemeClr w14:val="tx1"/>
                  </w14:solidFill>
                </w14:textFill>
              </w:rPr>
              <w:t>基础代理费+风险代理费费率，任何一个阶段报价超过对应上限价（上限费率）的投标均为无效标</w:t>
            </w:r>
            <w:r>
              <w:rPr>
                <w:rFonts w:hint="eastAsia" w:ascii="仿宋" w:hAnsi="仿宋" w:eastAsia="仿宋" w:cs="仿宋_GB2312"/>
                <w:color w:val="000000" w:themeColor="text1"/>
                <w:sz w:val="28"/>
                <w:szCs w:val="28"/>
                <w14:textFill>
                  <w14:solidFill>
                    <w14:schemeClr w14:val="tx1"/>
                  </w14:solidFill>
                </w14:textFill>
              </w:rPr>
              <w:t>。</w:t>
            </w:r>
            <w:r>
              <w:rPr>
                <w:rFonts w:hint="eastAsia" w:ascii="仿宋" w:hAnsi="仿宋" w:eastAsia="仿宋" w:cs="仿宋_GB2312"/>
                <w:color w:val="000000" w:themeColor="text1"/>
                <w:sz w:val="28"/>
                <w:szCs w:val="28"/>
                <w:lang w:val="en-US" w:eastAsia="zh-CN"/>
                <w14:textFill>
                  <w14:solidFill>
                    <w14:schemeClr w14:val="tx1"/>
                  </w14:solidFill>
                </w14:textFill>
              </w:rPr>
              <w:t>（详见附件：《第一亚太公司关于华南城及其附属公司欠费事项的诉讼代理服务投标限价》）</w:t>
            </w:r>
          </w:p>
          <w:p w14:paraId="7CE88AA1">
            <w:pPr>
              <w:pStyle w:val="51"/>
              <w:spacing w:line="400" w:lineRule="exact"/>
              <w:ind w:firstLine="0" w:firstLineChars="0"/>
              <w:rPr>
                <w:rFonts w:ascii="仿宋" w:hAnsi="仿宋" w:eastAsia="仿宋" w:cs="仿宋_GB2312"/>
                <w:sz w:val="28"/>
                <w:szCs w:val="28"/>
                <w:highlight w:val="red"/>
              </w:rPr>
            </w:pPr>
            <w:r>
              <w:rPr>
                <w:rFonts w:hint="eastAsia" w:ascii="仿宋" w:hAnsi="仿宋" w:eastAsia="仿宋" w:cs="仿宋_GB2312"/>
                <w:sz w:val="28"/>
                <w:szCs w:val="28"/>
              </w:rPr>
              <w:t>（二）报价采用“</w:t>
            </w:r>
            <w:r>
              <w:rPr>
                <w:rFonts w:hint="eastAsia" w:ascii="仿宋" w:hAnsi="仿宋" w:eastAsia="仿宋" w:cs="仿宋_GB2312"/>
                <w:sz w:val="28"/>
                <w:szCs w:val="28"/>
                <w:lang w:val="en-US" w:eastAsia="zh-CN"/>
              </w:rPr>
              <w:t>基础代理费+风险代理费费率</w:t>
            </w:r>
            <w:r>
              <w:rPr>
                <w:rFonts w:hint="eastAsia" w:ascii="仿宋" w:hAnsi="仿宋" w:eastAsia="仿宋" w:cs="仿宋_GB2312"/>
                <w:sz w:val="28"/>
                <w:szCs w:val="28"/>
              </w:rPr>
              <w:t>”模式。</w:t>
            </w:r>
          </w:p>
        </w:tc>
      </w:tr>
      <w:tr w14:paraId="06E22579">
        <w:tblPrEx>
          <w:tblCellMar>
            <w:top w:w="0" w:type="dxa"/>
            <w:left w:w="108" w:type="dxa"/>
            <w:bottom w:w="0" w:type="dxa"/>
            <w:right w:w="108" w:type="dxa"/>
          </w:tblCellMar>
        </w:tblPrEx>
        <w:trPr>
          <w:trHeight w:val="638"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618A5B">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13</w:t>
            </w:r>
          </w:p>
        </w:tc>
        <w:tc>
          <w:tcPr>
            <w:tcW w:w="1737"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007D50">
            <w:pPr>
              <w:pStyle w:val="51"/>
              <w:spacing w:line="400" w:lineRule="exact"/>
              <w:ind w:left="357" w:hanging="357" w:firstLineChars="0"/>
              <w:jc w:val="center"/>
              <w:rPr>
                <w:rFonts w:ascii="仿宋" w:hAnsi="仿宋" w:eastAsia="仿宋" w:cs="仿宋_GB2312"/>
                <w:sz w:val="28"/>
                <w:szCs w:val="28"/>
              </w:rPr>
            </w:pPr>
            <w:r>
              <w:rPr>
                <w:rFonts w:hint="eastAsia" w:ascii="仿宋" w:hAnsi="仿宋" w:eastAsia="仿宋" w:cs="仿宋_GB2312"/>
                <w:sz w:val="28"/>
                <w:szCs w:val="28"/>
              </w:rPr>
              <w:t>投标货币</w:t>
            </w:r>
          </w:p>
        </w:tc>
        <w:tc>
          <w:tcPr>
            <w:tcW w:w="621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39C470">
            <w:pPr>
              <w:pStyle w:val="51"/>
              <w:spacing w:line="400" w:lineRule="exact"/>
              <w:ind w:left="700" w:hanging="700" w:hangingChars="250"/>
              <w:rPr>
                <w:rFonts w:ascii="仿宋" w:hAnsi="仿宋" w:eastAsia="仿宋" w:cs="仿宋_GB2312"/>
                <w:sz w:val="28"/>
                <w:szCs w:val="28"/>
              </w:rPr>
            </w:pPr>
            <w:r>
              <w:rPr>
                <w:rFonts w:ascii="Segoe UI Symbol" w:hAnsi="Segoe UI Symbol" w:eastAsia="仿宋" w:cs="Segoe UI Symbol"/>
                <w:sz w:val="28"/>
                <w:szCs w:val="28"/>
              </w:rPr>
              <w:t>☑</w:t>
            </w:r>
            <w:r>
              <w:rPr>
                <w:rFonts w:hint="eastAsia" w:ascii="仿宋" w:hAnsi="仿宋" w:eastAsia="仿宋" w:cs="仿宋"/>
                <w:sz w:val="28"/>
                <w:szCs w:val="28"/>
              </w:rPr>
              <w:t>人民币</w:t>
            </w:r>
          </w:p>
        </w:tc>
      </w:tr>
      <w:tr w14:paraId="3E15A5A8">
        <w:tblPrEx>
          <w:tblCellMar>
            <w:top w:w="0" w:type="dxa"/>
            <w:left w:w="108" w:type="dxa"/>
            <w:bottom w:w="0" w:type="dxa"/>
            <w:right w:w="108" w:type="dxa"/>
          </w:tblCellMar>
        </w:tblPrEx>
        <w:trPr>
          <w:trHeight w:val="527"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192CE6">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14</w:t>
            </w:r>
          </w:p>
        </w:tc>
        <w:tc>
          <w:tcPr>
            <w:tcW w:w="1737"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0F92CD">
            <w:pPr>
              <w:pStyle w:val="51"/>
              <w:spacing w:line="400" w:lineRule="exact"/>
              <w:ind w:left="700" w:hanging="700" w:hangingChars="250"/>
              <w:rPr>
                <w:rFonts w:hint="eastAsia" w:ascii="仿宋" w:hAnsi="仿宋" w:eastAsia="仿宋" w:cs="仿宋"/>
                <w:sz w:val="28"/>
                <w:szCs w:val="28"/>
              </w:rPr>
            </w:pPr>
            <w:r>
              <w:rPr>
                <w:rFonts w:hint="eastAsia" w:ascii="仿宋" w:hAnsi="仿宋" w:eastAsia="仿宋" w:cs="仿宋"/>
                <w:sz w:val="28"/>
                <w:szCs w:val="28"/>
              </w:rPr>
              <w:t>服务周期要求</w:t>
            </w:r>
          </w:p>
        </w:tc>
        <w:tc>
          <w:tcPr>
            <w:tcW w:w="621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0C3008">
            <w:pPr>
              <w:pStyle w:val="51"/>
              <w:spacing w:line="400" w:lineRule="exact"/>
              <w:ind w:left="700" w:hanging="700" w:hangingChars="250"/>
              <w:rPr>
                <w:rFonts w:hint="eastAsia" w:ascii="仿宋" w:hAnsi="仿宋" w:eastAsia="仿宋" w:cs="仿宋"/>
                <w:sz w:val="28"/>
                <w:szCs w:val="28"/>
              </w:rPr>
            </w:pPr>
            <w:r>
              <w:rPr>
                <w:rFonts w:hint="eastAsia" w:ascii="仿宋" w:hAnsi="仿宋" w:eastAsia="仿宋" w:cs="仿宋"/>
                <w:sz w:val="28"/>
                <w:szCs w:val="28"/>
              </w:rPr>
              <w:t>自本合同签订之日起</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至案件办结之日止</w:t>
            </w:r>
            <w:r>
              <w:rPr>
                <w:rFonts w:hint="eastAsia" w:ascii="仿宋" w:hAnsi="仿宋" w:eastAsia="仿宋" w:cs="仿宋"/>
                <w:sz w:val="28"/>
                <w:szCs w:val="28"/>
              </w:rPr>
              <w:t>。</w:t>
            </w:r>
          </w:p>
        </w:tc>
      </w:tr>
      <w:tr w14:paraId="65D3D086">
        <w:tblPrEx>
          <w:tblCellMar>
            <w:top w:w="0" w:type="dxa"/>
            <w:left w:w="108" w:type="dxa"/>
            <w:bottom w:w="0" w:type="dxa"/>
            <w:right w:w="108" w:type="dxa"/>
          </w:tblCellMar>
        </w:tblPrEx>
        <w:trPr>
          <w:trHeight w:val="4415"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8A73B8">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DFFF82">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sz w:val="28"/>
                <w:szCs w:val="28"/>
              </w:rPr>
              <w:t>投标担保金额及方式</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7C019D">
            <w:pPr>
              <w:spacing w:line="400" w:lineRule="exact"/>
              <w:rPr>
                <w:rFonts w:hint="default" w:ascii="仿宋" w:hAnsi="仿宋" w:eastAsia="仿宋" w:cs="仿宋_GB2312"/>
                <w:sz w:val="28"/>
                <w:szCs w:val="28"/>
                <w:lang w:val="en-US" w:eastAsia="zh-CN"/>
              </w:rPr>
            </w:pPr>
            <w:r>
              <w:rPr>
                <w:rFonts w:hint="eastAsia" w:ascii="仿宋" w:hAnsi="仿宋" w:eastAsia="仿宋" w:cs="仿宋_GB2312"/>
                <w:sz w:val="28"/>
                <w:szCs w:val="28"/>
              </w:rPr>
              <w:t>投标担保金额：人民币</w:t>
            </w:r>
            <w:r>
              <w:rPr>
                <w:rFonts w:hint="eastAsia" w:ascii="仿宋" w:hAnsi="仿宋" w:eastAsia="仿宋" w:cs="仿宋_GB2312"/>
                <w:sz w:val="28"/>
                <w:szCs w:val="28"/>
                <w:lang w:val="en-US" w:eastAsia="zh-CN"/>
              </w:rPr>
              <w:t>伍仟</w:t>
            </w:r>
            <w:r>
              <w:rPr>
                <w:rFonts w:hint="eastAsia" w:ascii="仿宋" w:hAnsi="仿宋" w:eastAsia="仿宋" w:cs="仿宋_GB2312"/>
                <w:sz w:val="28"/>
                <w:szCs w:val="28"/>
              </w:rPr>
              <w:t>元</w:t>
            </w:r>
            <w:r>
              <w:rPr>
                <w:rFonts w:hint="eastAsia" w:ascii="仿宋" w:hAnsi="仿宋" w:eastAsia="仿宋" w:cs="仿宋_GB2312"/>
                <w:sz w:val="28"/>
                <w:szCs w:val="28"/>
                <w:lang w:val="en-US" w:eastAsia="zh-CN"/>
              </w:rPr>
              <w:t>/标段</w:t>
            </w:r>
          </w:p>
          <w:p w14:paraId="3CB76D2C">
            <w:pPr>
              <w:spacing w:line="400" w:lineRule="exact"/>
              <w:rPr>
                <w:rFonts w:ascii="仿宋" w:hAnsi="仿宋" w:eastAsia="仿宋" w:cs="仿宋_GB2312"/>
                <w:sz w:val="28"/>
                <w:szCs w:val="28"/>
              </w:rPr>
            </w:pPr>
            <w:r>
              <w:rPr>
                <w:rFonts w:hint="eastAsia" w:ascii="仿宋" w:hAnsi="仿宋" w:eastAsia="仿宋" w:cs="仿宋_GB2312"/>
                <w:sz w:val="28"/>
                <w:szCs w:val="28"/>
              </w:rPr>
              <w:t>投标担保形式：</w:t>
            </w:r>
          </w:p>
          <w:p w14:paraId="4A90B17F">
            <w:pPr>
              <w:spacing w:line="400" w:lineRule="exact"/>
              <w:rPr>
                <w:rFonts w:ascii="仿宋" w:hAnsi="仿宋" w:eastAsia="仿宋" w:cs="仿宋_GB2312"/>
                <w:sz w:val="28"/>
                <w:szCs w:val="28"/>
              </w:rPr>
            </w:pPr>
            <w:r>
              <w:rPr>
                <w:rFonts w:hint="eastAsia" w:ascii="仿宋" w:hAnsi="仿宋" w:eastAsia="仿宋" w:cs="仿宋_GB2312"/>
                <w:sz w:val="28"/>
                <w:szCs w:val="28"/>
              </w:rPr>
              <w:t>□投标保函</w:t>
            </w:r>
            <w:r>
              <w:rPr>
                <w:rFonts w:ascii="仿宋" w:hAnsi="仿宋" w:eastAsia="仿宋" w:cs="仿宋_GB2312"/>
                <w:sz w:val="28"/>
                <w:szCs w:val="28"/>
              </w:rPr>
              <w:t xml:space="preserve"> </w:t>
            </w:r>
            <w:r>
              <w:rPr>
                <w:rFonts w:ascii="Segoe UI Symbol" w:hAnsi="Segoe UI Symbol" w:eastAsia="仿宋" w:cs="Segoe UI Symbol"/>
                <w:sz w:val="28"/>
                <w:szCs w:val="28"/>
              </w:rPr>
              <w:t>☑</w:t>
            </w:r>
            <w:r>
              <w:rPr>
                <w:rFonts w:hint="eastAsia" w:ascii="仿宋" w:hAnsi="仿宋" w:eastAsia="仿宋" w:cs="仿宋_GB2312"/>
                <w:sz w:val="28"/>
                <w:szCs w:val="28"/>
              </w:rPr>
              <w:t>现金（银行转账）</w:t>
            </w:r>
          </w:p>
          <w:p w14:paraId="395A8EE5">
            <w:pPr>
              <w:spacing w:line="400" w:lineRule="exact"/>
              <w:rPr>
                <w:rFonts w:ascii="仿宋" w:hAnsi="仿宋" w:eastAsia="仿宋" w:cs="仿宋_GB2312"/>
                <w:sz w:val="28"/>
                <w:szCs w:val="28"/>
              </w:rPr>
            </w:pPr>
            <w:r>
              <w:rPr>
                <w:rFonts w:hint="eastAsia" w:ascii="仿宋" w:hAnsi="仿宋" w:eastAsia="仿宋" w:cs="仿宋_GB2312"/>
                <w:sz w:val="28"/>
                <w:szCs w:val="28"/>
              </w:rPr>
              <w:t>招标人名称：深圳第一亚太物业管理有限公司</w:t>
            </w:r>
          </w:p>
          <w:p w14:paraId="6CDB25A2">
            <w:pPr>
              <w:spacing w:line="400" w:lineRule="exact"/>
              <w:rPr>
                <w:rFonts w:ascii="仿宋" w:hAnsi="仿宋" w:eastAsia="仿宋" w:cs="仿宋_GB2312"/>
                <w:sz w:val="28"/>
                <w:szCs w:val="28"/>
              </w:rPr>
            </w:pPr>
            <w:r>
              <w:rPr>
                <w:rFonts w:hint="eastAsia" w:ascii="仿宋" w:hAnsi="仿宋" w:eastAsia="仿宋" w:cs="仿宋_GB2312"/>
                <w:sz w:val="28"/>
                <w:szCs w:val="28"/>
              </w:rPr>
              <w:t>地 址：深圳市龙岗区平湖街道华南大道1号行政大楼三楼</w:t>
            </w:r>
          </w:p>
          <w:p w14:paraId="03531607">
            <w:pPr>
              <w:spacing w:line="400" w:lineRule="exact"/>
              <w:rPr>
                <w:rFonts w:ascii="仿宋" w:hAnsi="仿宋" w:eastAsia="仿宋" w:cs="仿宋_GB2312"/>
                <w:sz w:val="28"/>
                <w:szCs w:val="28"/>
              </w:rPr>
            </w:pPr>
            <w:r>
              <w:rPr>
                <w:rFonts w:hint="eastAsia" w:ascii="仿宋" w:hAnsi="仿宋" w:eastAsia="仿宋" w:cs="仿宋_GB2312"/>
                <w:sz w:val="28"/>
                <w:szCs w:val="28"/>
              </w:rPr>
              <w:t>开户银行：农行深圳华南城支行</w:t>
            </w:r>
          </w:p>
          <w:p w14:paraId="0863C9E5">
            <w:pPr>
              <w:spacing w:line="400" w:lineRule="exact"/>
              <w:rPr>
                <w:rFonts w:ascii="仿宋" w:hAnsi="仿宋" w:eastAsia="仿宋" w:cs="仿宋_GB2312"/>
                <w:sz w:val="28"/>
                <w:szCs w:val="28"/>
              </w:rPr>
            </w:pPr>
            <w:r>
              <w:rPr>
                <w:rFonts w:hint="eastAsia" w:ascii="仿宋" w:hAnsi="仿宋" w:eastAsia="仿宋" w:cs="仿宋_GB2312"/>
                <w:sz w:val="28"/>
                <w:szCs w:val="28"/>
              </w:rPr>
              <w:t>帐 号：41026500040000175</w:t>
            </w:r>
          </w:p>
          <w:p w14:paraId="63061365">
            <w:pPr>
              <w:spacing w:line="400" w:lineRule="exact"/>
              <w:rPr>
                <w:rFonts w:ascii="仿宋" w:hAnsi="仿宋" w:eastAsia="仿宋" w:cs="仿宋_GB2312"/>
                <w:sz w:val="28"/>
                <w:szCs w:val="28"/>
              </w:rPr>
            </w:pPr>
            <w:r>
              <w:rPr>
                <w:rFonts w:hint="eastAsia" w:ascii="仿宋" w:hAnsi="仿宋" w:eastAsia="仿宋" w:cs="仿宋_GB2312"/>
                <w:sz w:val="28"/>
                <w:szCs w:val="28"/>
              </w:rPr>
              <w:t xml:space="preserve">需备注“ </w:t>
            </w:r>
            <w:r>
              <w:rPr>
                <w:rFonts w:hint="eastAsia" w:ascii="仿宋" w:hAnsi="仿宋" w:eastAsia="仿宋" w:cs="仿宋_GB2312"/>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sz w:val="28"/>
                <w:szCs w:val="28"/>
                <w:u w:val="single"/>
                <w:lang w:val="en-US" w:eastAsia="zh-CN"/>
              </w:rPr>
              <w:t>第一亚太公司关于</w:t>
            </w:r>
            <w:r>
              <w:rPr>
                <w:rFonts w:hint="eastAsia" w:ascii="仿宋" w:hAnsi="仿宋" w:eastAsia="仿宋" w:cs="仿宋_GB2312"/>
                <w:sz w:val="28"/>
                <w:szCs w:val="28"/>
                <w:u w:val="single"/>
              </w:rPr>
              <w:t>华南城及其附属公司欠费事项的诉讼代理服务</w:t>
            </w:r>
            <w:r>
              <w:rPr>
                <w:rFonts w:ascii="仿宋" w:hAnsi="仿宋" w:eastAsia="仿宋" w:cs="仿宋_GB2312"/>
                <w:sz w:val="28"/>
                <w:szCs w:val="28"/>
                <w:u w:val="single"/>
              </w:rPr>
              <w:t xml:space="preserve"> </w:t>
            </w:r>
            <w:r>
              <w:rPr>
                <w:rFonts w:hint="eastAsia" w:ascii="仿宋" w:hAnsi="仿宋" w:eastAsia="仿宋" w:cs="仿宋_GB2312"/>
                <w:sz w:val="28"/>
                <w:szCs w:val="28"/>
              </w:rPr>
              <w:t>投标保证金”</w:t>
            </w:r>
          </w:p>
        </w:tc>
      </w:tr>
      <w:tr w14:paraId="7CC4B414">
        <w:tblPrEx>
          <w:tblCellMar>
            <w:top w:w="0" w:type="dxa"/>
            <w:left w:w="108" w:type="dxa"/>
            <w:bottom w:w="0" w:type="dxa"/>
            <w:right w:w="108" w:type="dxa"/>
          </w:tblCellMar>
        </w:tblPrEx>
        <w:trPr>
          <w:trHeight w:val="140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7D4493">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16</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138504">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sz w:val="28"/>
                <w:szCs w:val="28"/>
              </w:rPr>
              <w:t>投标文件组成及份数</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99514B">
            <w:pPr>
              <w:pStyle w:val="51"/>
              <w:spacing w:line="400" w:lineRule="exact"/>
              <w:ind w:firstLine="0" w:firstLineChars="0"/>
              <w:rPr>
                <w:rFonts w:ascii="仿宋" w:hAnsi="仿宋" w:eastAsia="仿宋" w:cs="仿宋_GB2312"/>
                <w:sz w:val="28"/>
                <w:szCs w:val="28"/>
              </w:rPr>
            </w:pPr>
            <w:r>
              <w:rPr>
                <w:rFonts w:ascii="Segoe UI Symbol" w:hAnsi="Segoe UI Symbol" w:eastAsia="仿宋" w:cs="Segoe UI Symbol"/>
                <w:sz w:val="28"/>
                <w:szCs w:val="28"/>
              </w:rPr>
              <w:t>☑</w:t>
            </w:r>
            <w:r>
              <w:rPr>
                <w:rFonts w:hint="eastAsia" w:ascii="仿宋" w:hAnsi="仿宋" w:eastAsia="仿宋" w:cs="仿宋"/>
                <w:sz w:val="28"/>
                <w:szCs w:val="28"/>
              </w:rPr>
              <w:t>资格审查文件：正本</w:t>
            </w:r>
            <w:r>
              <w:rPr>
                <w:rFonts w:hint="eastAsia" w:ascii="仿宋" w:hAnsi="仿宋" w:eastAsia="仿宋" w:cs="仿宋_GB2312"/>
                <w:sz w:val="28"/>
                <w:szCs w:val="28"/>
                <w:u w:val="single"/>
              </w:rPr>
              <w:t xml:space="preserve">  1  </w:t>
            </w:r>
            <w:r>
              <w:rPr>
                <w:rFonts w:hint="eastAsia" w:ascii="仿宋" w:hAnsi="仿宋" w:eastAsia="仿宋" w:cs="仿宋_GB2312"/>
                <w:sz w:val="28"/>
                <w:szCs w:val="28"/>
              </w:rPr>
              <w:t>份；副本</w:t>
            </w:r>
            <w:r>
              <w:rPr>
                <w:rFonts w:hint="eastAsia" w:ascii="仿宋" w:hAnsi="仿宋" w:eastAsia="仿宋" w:cs="仿宋_GB2312"/>
                <w:sz w:val="28"/>
                <w:szCs w:val="28"/>
                <w:u w:val="single"/>
              </w:rPr>
              <w:t xml:space="preserve">  1  </w:t>
            </w:r>
            <w:r>
              <w:rPr>
                <w:rFonts w:hint="eastAsia" w:ascii="仿宋" w:hAnsi="仿宋" w:eastAsia="仿宋" w:cs="仿宋_GB2312"/>
                <w:sz w:val="28"/>
                <w:szCs w:val="28"/>
              </w:rPr>
              <w:t>份</w:t>
            </w:r>
          </w:p>
          <w:p w14:paraId="1D3056CF">
            <w:pPr>
              <w:pStyle w:val="51"/>
              <w:spacing w:line="400" w:lineRule="exact"/>
              <w:ind w:firstLine="0" w:firstLineChars="0"/>
              <w:rPr>
                <w:rFonts w:ascii="仿宋" w:hAnsi="仿宋" w:eastAsia="仿宋" w:cs="仿宋_GB2312"/>
                <w:sz w:val="28"/>
                <w:szCs w:val="28"/>
              </w:rPr>
            </w:pPr>
            <w:r>
              <w:rPr>
                <w:rFonts w:ascii="Segoe UI Symbol" w:hAnsi="Segoe UI Symbol" w:eastAsia="仿宋" w:cs="Segoe UI Symbol"/>
                <w:sz w:val="28"/>
                <w:szCs w:val="28"/>
              </w:rPr>
              <w:t>☑</w:t>
            </w:r>
            <w:r>
              <w:rPr>
                <w:rFonts w:hint="eastAsia" w:ascii="仿宋" w:hAnsi="仿宋" w:eastAsia="仿宋" w:cs="仿宋"/>
                <w:sz w:val="28"/>
                <w:szCs w:val="28"/>
              </w:rPr>
              <w:t>投标函部分：</w:t>
            </w:r>
            <w:r>
              <w:rPr>
                <w:rFonts w:hint="eastAsia" w:ascii="仿宋" w:hAnsi="仿宋" w:eastAsia="仿宋" w:cs="仿宋_GB2312"/>
                <w:sz w:val="28"/>
                <w:szCs w:val="28"/>
              </w:rPr>
              <w:t xml:space="preserve">  正本</w:t>
            </w:r>
            <w:r>
              <w:rPr>
                <w:rFonts w:hint="eastAsia" w:ascii="仿宋" w:hAnsi="仿宋" w:eastAsia="仿宋" w:cs="仿宋_GB2312"/>
                <w:sz w:val="28"/>
                <w:szCs w:val="28"/>
                <w:u w:val="single"/>
              </w:rPr>
              <w:t xml:space="preserve">  1  </w:t>
            </w:r>
            <w:r>
              <w:rPr>
                <w:rFonts w:hint="eastAsia" w:ascii="仿宋" w:hAnsi="仿宋" w:eastAsia="仿宋" w:cs="仿宋_GB2312"/>
                <w:sz w:val="28"/>
                <w:szCs w:val="28"/>
              </w:rPr>
              <w:t>份；副本</w:t>
            </w:r>
            <w:r>
              <w:rPr>
                <w:rFonts w:hint="eastAsia" w:ascii="仿宋" w:hAnsi="仿宋" w:eastAsia="仿宋" w:cs="仿宋_GB2312"/>
                <w:sz w:val="28"/>
                <w:szCs w:val="28"/>
                <w:u w:val="single"/>
              </w:rPr>
              <w:t xml:space="preserve">  1  </w:t>
            </w:r>
            <w:r>
              <w:rPr>
                <w:rFonts w:hint="eastAsia" w:ascii="仿宋" w:hAnsi="仿宋" w:eastAsia="仿宋" w:cs="仿宋_GB2312"/>
                <w:sz w:val="28"/>
                <w:szCs w:val="28"/>
              </w:rPr>
              <w:t>份</w:t>
            </w:r>
          </w:p>
          <w:p w14:paraId="5B3A2325">
            <w:pPr>
              <w:pStyle w:val="51"/>
              <w:spacing w:line="400" w:lineRule="exact"/>
              <w:ind w:firstLine="0" w:firstLineChars="0"/>
              <w:rPr>
                <w:rFonts w:ascii="仿宋" w:hAnsi="仿宋" w:eastAsia="仿宋" w:cs="仿宋_GB2312"/>
                <w:sz w:val="28"/>
                <w:szCs w:val="28"/>
              </w:rPr>
            </w:pPr>
            <w:r>
              <w:rPr>
                <w:rFonts w:ascii="Segoe UI Symbol" w:hAnsi="Segoe UI Symbol" w:eastAsia="仿宋" w:cs="Segoe UI Symbol"/>
                <w:sz w:val="28"/>
                <w:szCs w:val="28"/>
              </w:rPr>
              <w:t>☑</w:t>
            </w:r>
            <w:r>
              <w:rPr>
                <w:rFonts w:hint="eastAsia" w:ascii="仿宋" w:hAnsi="仿宋" w:eastAsia="仿宋" w:cs="仿宋"/>
                <w:sz w:val="28"/>
                <w:szCs w:val="28"/>
              </w:rPr>
              <w:t>商务标部分：</w:t>
            </w:r>
            <w:r>
              <w:rPr>
                <w:rFonts w:hint="eastAsia" w:ascii="仿宋" w:hAnsi="仿宋" w:eastAsia="仿宋" w:cs="仿宋_GB2312"/>
                <w:sz w:val="28"/>
                <w:szCs w:val="28"/>
              </w:rPr>
              <w:t xml:space="preserve">  正本</w:t>
            </w:r>
            <w:r>
              <w:rPr>
                <w:rFonts w:hint="eastAsia" w:ascii="仿宋" w:hAnsi="仿宋" w:eastAsia="仿宋" w:cs="仿宋_GB2312"/>
                <w:sz w:val="28"/>
                <w:szCs w:val="28"/>
                <w:u w:val="single"/>
              </w:rPr>
              <w:t xml:space="preserve">  1  </w:t>
            </w:r>
            <w:r>
              <w:rPr>
                <w:rFonts w:hint="eastAsia" w:ascii="仿宋" w:hAnsi="仿宋" w:eastAsia="仿宋" w:cs="仿宋_GB2312"/>
                <w:sz w:val="28"/>
                <w:szCs w:val="28"/>
              </w:rPr>
              <w:t>份；副本</w:t>
            </w:r>
            <w:r>
              <w:rPr>
                <w:rFonts w:hint="eastAsia" w:ascii="仿宋" w:hAnsi="仿宋" w:eastAsia="仿宋" w:cs="仿宋_GB2312"/>
                <w:sz w:val="28"/>
                <w:szCs w:val="28"/>
                <w:u w:val="single"/>
              </w:rPr>
              <w:t xml:space="preserve">  1  </w:t>
            </w:r>
            <w:r>
              <w:rPr>
                <w:rFonts w:hint="eastAsia" w:ascii="仿宋" w:hAnsi="仿宋" w:eastAsia="仿宋" w:cs="仿宋_GB2312"/>
                <w:sz w:val="28"/>
                <w:szCs w:val="28"/>
              </w:rPr>
              <w:t>份</w:t>
            </w:r>
          </w:p>
          <w:p w14:paraId="02031816">
            <w:pPr>
              <w:pStyle w:val="51"/>
              <w:spacing w:line="400" w:lineRule="exact"/>
              <w:ind w:firstLine="0" w:firstLineChars="0"/>
              <w:rPr>
                <w:rFonts w:ascii="仿宋" w:hAnsi="仿宋" w:eastAsia="仿宋" w:cs="仿宋_GB2312"/>
                <w:sz w:val="28"/>
                <w:szCs w:val="28"/>
              </w:rPr>
            </w:pPr>
            <w:r>
              <w:rPr>
                <w:rFonts w:ascii="Segoe UI Symbol" w:hAnsi="Segoe UI Symbol" w:eastAsia="仿宋" w:cs="Segoe UI Symbol"/>
                <w:sz w:val="28"/>
                <w:szCs w:val="28"/>
              </w:rPr>
              <w:t>☑</w:t>
            </w:r>
            <w:r>
              <w:rPr>
                <w:rFonts w:hint="eastAsia" w:ascii="仿宋" w:hAnsi="仿宋" w:eastAsia="仿宋" w:cs="仿宋"/>
                <w:sz w:val="28"/>
                <w:szCs w:val="28"/>
              </w:rPr>
              <w:t>技术标部分：</w:t>
            </w:r>
            <w:r>
              <w:rPr>
                <w:rFonts w:hint="eastAsia" w:ascii="仿宋" w:hAnsi="仿宋" w:eastAsia="仿宋" w:cs="仿宋_GB2312"/>
                <w:sz w:val="28"/>
                <w:szCs w:val="28"/>
              </w:rPr>
              <w:t xml:space="preserve">  正本</w:t>
            </w:r>
            <w:r>
              <w:rPr>
                <w:rFonts w:hint="eastAsia" w:ascii="仿宋" w:hAnsi="仿宋" w:eastAsia="仿宋" w:cs="仿宋_GB2312"/>
                <w:sz w:val="28"/>
                <w:szCs w:val="28"/>
                <w:u w:val="single"/>
              </w:rPr>
              <w:t xml:space="preserve">  1  </w:t>
            </w:r>
            <w:r>
              <w:rPr>
                <w:rFonts w:hint="eastAsia" w:ascii="仿宋" w:hAnsi="仿宋" w:eastAsia="仿宋" w:cs="仿宋_GB2312"/>
                <w:sz w:val="28"/>
                <w:szCs w:val="28"/>
              </w:rPr>
              <w:t>份；副本</w:t>
            </w:r>
            <w:r>
              <w:rPr>
                <w:rFonts w:hint="eastAsia" w:ascii="仿宋" w:hAnsi="仿宋" w:eastAsia="仿宋" w:cs="仿宋_GB2312"/>
                <w:sz w:val="28"/>
                <w:szCs w:val="28"/>
                <w:u w:val="single"/>
              </w:rPr>
              <w:t xml:space="preserve">  4  </w:t>
            </w:r>
            <w:r>
              <w:rPr>
                <w:rFonts w:hint="eastAsia" w:ascii="仿宋" w:hAnsi="仿宋" w:eastAsia="仿宋" w:cs="仿宋_GB2312"/>
                <w:sz w:val="28"/>
                <w:szCs w:val="28"/>
              </w:rPr>
              <w:t>份</w:t>
            </w:r>
          </w:p>
          <w:p w14:paraId="2953CBE0">
            <w:pPr>
              <w:pStyle w:val="51"/>
              <w:spacing w:line="400" w:lineRule="exact"/>
              <w:ind w:firstLine="0" w:firstLineChars="0"/>
              <w:rPr>
                <w:rFonts w:hint="eastAsia" w:ascii="仿宋" w:hAnsi="仿宋" w:eastAsia="仿宋" w:cs="仿宋_GB2312"/>
                <w:sz w:val="28"/>
                <w:szCs w:val="28"/>
              </w:rPr>
            </w:pPr>
            <w:r>
              <w:rPr>
                <w:rFonts w:ascii="Segoe UI Symbol" w:hAnsi="Segoe UI Symbol" w:eastAsia="仿宋" w:cs="Segoe UI Symbol"/>
                <w:sz w:val="28"/>
                <w:szCs w:val="28"/>
              </w:rPr>
              <w:t>☑</w:t>
            </w:r>
            <w:r>
              <w:rPr>
                <w:rFonts w:hint="eastAsia" w:ascii="Segoe UI Symbol" w:hAnsi="Segoe UI Symbol" w:eastAsia="仿宋" w:cs="Segoe UI Symbol"/>
                <w:sz w:val="28"/>
                <w:szCs w:val="28"/>
              </w:rPr>
              <w:t>资信</w:t>
            </w:r>
            <w:r>
              <w:rPr>
                <w:rFonts w:hint="eastAsia" w:ascii="仿宋" w:hAnsi="仿宋" w:eastAsia="仿宋" w:cs="仿宋"/>
                <w:sz w:val="28"/>
                <w:szCs w:val="28"/>
              </w:rPr>
              <w:t>标部分：</w:t>
            </w:r>
            <w:r>
              <w:rPr>
                <w:rFonts w:hint="eastAsia" w:ascii="仿宋" w:hAnsi="仿宋" w:eastAsia="仿宋" w:cs="仿宋_GB2312"/>
                <w:sz w:val="28"/>
                <w:szCs w:val="28"/>
              </w:rPr>
              <w:t xml:space="preserve">  正本</w:t>
            </w:r>
            <w:r>
              <w:rPr>
                <w:rFonts w:hint="eastAsia" w:ascii="仿宋" w:hAnsi="仿宋" w:eastAsia="仿宋" w:cs="仿宋_GB2312"/>
                <w:sz w:val="28"/>
                <w:szCs w:val="28"/>
                <w:u w:val="single"/>
              </w:rPr>
              <w:t xml:space="preserve">  1  </w:t>
            </w:r>
            <w:r>
              <w:rPr>
                <w:rFonts w:hint="eastAsia" w:ascii="仿宋" w:hAnsi="仿宋" w:eastAsia="仿宋" w:cs="仿宋_GB2312"/>
                <w:sz w:val="28"/>
                <w:szCs w:val="28"/>
              </w:rPr>
              <w:t>份；副本</w:t>
            </w:r>
            <w:r>
              <w:rPr>
                <w:rFonts w:hint="eastAsia" w:ascii="仿宋" w:hAnsi="仿宋" w:eastAsia="仿宋" w:cs="仿宋_GB2312"/>
                <w:sz w:val="28"/>
                <w:szCs w:val="28"/>
                <w:u w:val="single"/>
              </w:rPr>
              <w:t xml:space="preserve">  1  </w:t>
            </w:r>
            <w:r>
              <w:rPr>
                <w:rFonts w:hint="eastAsia" w:ascii="仿宋" w:hAnsi="仿宋" w:eastAsia="仿宋" w:cs="仿宋_GB2312"/>
                <w:sz w:val="28"/>
                <w:szCs w:val="28"/>
              </w:rPr>
              <w:t>份</w:t>
            </w:r>
          </w:p>
          <w:p w14:paraId="04921696">
            <w:pPr>
              <w:pStyle w:val="51"/>
              <w:spacing w:line="400" w:lineRule="exact"/>
              <w:ind w:firstLine="0" w:firstLineChars="0"/>
              <w:rPr>
                <w:rFonts w:hint="default" w:ascii="仿宋" w:hAnsi="仿宋" w:eastAsia="仿宋" w:cs="仿宋_GB2312"/>
                <w:sz w:val="28"/>
                <w:szCs w:val="28"/>
                <w:lang w:val="en-US" w:eastAsia="zh-CN"/>
              </w:rPr>
            </w:pPr>
            <w:r>
              <w:rPr>
                <w:rFonts w:hint="eastAsia" w:ascii="仿宋" w:hAnsi="仿宋" w:eastAsia="仿宋" w:cs="仿宋_GB2312"/>
                <w:sz w:val="28"/>
                <w:szCs w:val="28"/>
                <w:lang w:val="en-US" w:eastAsia="zh-CN"/>
              </w:rPr>
              <w:t>投标人应针对标段一、标段二、标段三分别单独编制投标文件，各标段文件相互独立。</w:t>
            </w:r>
          </w:p>
        </w:tc>
      </w:tr>
      <w:tr w14:paraId="514FAFA1">
        <w:tblPrEx>
          <w:tblCellMar>
            <w:top w:w="0" w:type="dxa"/>
            <w:left w:w="108" w:type="dxa"/>
            <w:bottom w:w="0" w:type="dxa"/>
            <w:right w:w="108" w:type="dxa"/>
          </w:tblCellMar>
        </w:tblPrEx>
        <w:trPr>
          <w:trHeight w:val="894"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0390DC2">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17</w:t>
            </w:r>
          </w:p>
        </w:tc>
        <w:tc>
          <w:tcPr>
            <w:tcW w:w="173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FD27D0">
            <w:pPr>
              <w:pStyle w:val="51"/>
              <w:spacing w:line="400" w:lineRule="exact"/>
              <w:ind w:left="357" w:hanging="357" w:firstLineChars="0"/>
              <w:jc w:val="center"/>
              <w:rPr>
                <w:rFonts w:ascii="仿宋" w:hAnsi="仿宋" w:eastAsia="仿宋" w:cs="仿宋_GB2312"/>
                <w:sz w:val="28"/>
                <w:szCs w:val="28"/>
              </w:rPr>
            </w:pPr>
            <w:r>
              <w:rPr>
                <w:rFonts w:hint="eastAsia" w:ascii="仿宋" w:hAnsi="仿宋" w:eastAsia="仿宋" w:cs="仿宋_GB2312"/>
                <w:sz w:val="28"/>
                <w:szCs w:val="28"/>
              </w:rPr>
              <w:t>现场述标要求</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FB3894">
            <w:pPr>
              <w:pStyle w:val="51"/>
              <w:spacing w:line="400" w:lineRule="exact"/>
              <w:ind w:firstLine="0" w:firstLineChars="0"/>
              <w:rPr>
                <w:rFonts w:ascii="Segoe UI Symbol" w:hAnsi="Segoe UI Symbol" w:eastAsia="仿宋" w:cs="Segoe UI Symbol"/>
                <w:sz w:val="28"/>
                <w:szCs w:val="28"/>
              </w:rPr>
            </w:pPr>
            <w:r>
              <w:rPr>
                <w:rFonts w:hint="eastAsia" w:ascii="仿宋" w:hAnsi="仿宋" w:eastAsia="仿宋"/>
                <w:sz w:val="28"/>
                <w:szCs w:val="28"/>
              </w:rPr>
              <w:t>无。</w:t>
            </w:r>
          </w:p>
        </w:tc>
      </w:tr>
      <w:tr w14:paraId="15BE8BB7">
        <w:tblPrEx>
          <w:tblCellMar>
            <w:top w:w="0" w:type="dxa"/>
            <w:left w:w="108" w:type="dxa"/>
            <w:bottom w:w="0" w:type="dxa"/>
            <w:right w:w="108" w:type="dxa"/>
          </w:tblCellMar>
        </w:tblPrEx>
        <w:trPr>
          <w:trHeight w:val="1449"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EEFB92">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18</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571336">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sz w:val="28"/>
                <w:szCs w:val="28"/>
              </w:rPr>
              <w:t>评标方法及标准</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B9C76E">
            <w:pPr>
              <w:pStyle w:val="51"/>
              <w:ind w:firstLine="0" w:firstLineChars="0"/>
              <w:rPr>
                <w:rFonts w:ascii="仿宋" w:hAnsi="仿宋" w:eastAsia="仿宋" w:cs="仿宋_GB2312"/>
                <w:sz w:val="28"/>
                <w:szCs w:val="28"/>
              </w:rPr>
            </w:pPr>
            <w:r>
              <w:rPr>
                <w:rFonts w:ascii="Segoe UI Symbol" w:hAnsi="Segoe UI Symbol" w:eastAsia="仿宋" w:cs="Segoe UI Symbol"/>
                <w:sz w:val="28"/>
                <w:szCs w:val="28"/>
              </w:rPr>
              <w:t>☑</w:t>
            </w:r>
            <w:r>
              <w:rPr>
                <w:rFonts w:hint="eastAsia" w:ascii="仿宋" w:hAnsi="仿宋" w:eastAsia="仿宋" w:cs="仿宋_GB2312"/>
                <w:sz w:val="28"/>
                <w:szCs w:val="28"/>
              </w:rPr>
              <w:t>综合评审法</w:t>
            </w:r>
          </w:p>
          <w:p w14:paraId="4BA5D091">
            <w:pPr>
              <w:pStyle w:val="51"/>
              <w:ind w:firstLine="0" w:firstLineChars="0"/>
              <w:rPr>
                <w:rFonts w:ascii="仿宋" w:hAnsi="仿宋" w:eastAsia="仿宋" w:cs="仿宋_GB2312"/>
                <w:sz w:val="28"/>
                <w:szCs w:val="28"/>
              </w:rPr>
            </w:pPr>
            <w:r>
              <w:rPr>
                <w:rFonts w:hint="eastAsia" w:ascii="仿宋" w:hAnsi="仿宋" w:eastAsia="仿宋" w:cs="仿宋_GB2312"/>
                <w:sz w:val="28"/>
                <w:szCs w:val="28"/>
              </w:rPr>
              <w:t>□信用商务法</w:t>
            </w:r>
          </w:p>
          <w:p w14:paraId="6F513BF4">
            <w:pPr>
              <w:pStyle w:val="51"/>
              <w:spacing w:line="400" w:lineRule="exact"/>
              <w:ind w:left="357" w:hanging="357" w:firstLineChars="0"/>
              <w:rPr>
                <w:rFonts w:ascii="仿宋" w:hAnsi="仿宋" w:eastAsia="仿宋" w:cs="仿宋_GB2312"/>
                <w:sz w:val="28"/>
                <w:szCs w:val="28"/>
              </w:rPr>
            </w:pPr>
            <w:bookmarkStart w:id="44" w:name="OLE_LINK4"/>
            <w:bookmarkStart w:id="45" w:name="OLE_LINK3"/>
            <w:r>
              <w:rPr>
                <w:rFonts w:hint="eastAsia" w:ascii="仿宋" w:hAnsi="仿宋" w:eastAsia="仿宋" w:cs="仿宋_GB2312"/>
                <w:sz w:val="28"/>
                <w:szCs w:val="28"/>
              </w:rPr>
              <w:t>□</w:t>
            </w:r>
            <w:bookmarkEnd w:id="44"/>
            <w:bookmarkEnd w:id="45"/>
            <w:r>
              <w:rPr>
                <w:rFonts w:hint="eastAsia" w:ascii="仿宋" w:hAnsi="仿宋" w:eastAsia="仿宋" w:cs="仿宋_GB2312"/>
                <w:sz w:val="28"/>
                <w:szCs w:val="28"/>
              </w:rPr>
              <w:t>定性评审法</w:t>
            </w:r>
          </w:p>
        </w:tc>
      </w:tr>
      <w:tr w14:paraId="7B3D2503">
        <w:tblPrEx>
          <w:tblCellMar>
            <w:top w:w="0" w:type="dxa"/>
            <w:left w:w="108" w:type="dxa"/>
            <w:bottom w:w="0" w:type="dxa"/>
            <w:right w:w="108" w:type="dxa"/>
          </w:tblCellMar>
        </w:tblPrEx>
        <w:trPr>
          <w:trHeight w:val="931"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0F54AE">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19</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91AC91">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kern w:val="0"/>
                <w:sz w:val="28"/>
                <w:szCs w:val="28"/>
              </w:rPr>
              <w:t>评标委员会的人员组成</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F84F12">
            <w:pPr>
              <w:pStyle w:val="18"/>
              <w:spacing w:line="400" w:lineRule="exact"/>
              <w:rPr>
                <w:rFonts w:ascii="仿宋" w:hAnsi="仿宋" w:eastAsia="仿宋" w:cs="仿宋_GB2312"/>
                <w:sz w:val="28"/>
                <w:szCs w:val="28"/>
              </w:rPr>
            </w:pPr>
            <w:r>
              <w:rPr>
                <w:rFonts w:hint="eastAsia" w:ascii="仿宋" w:hAnsi="仿宋" w:eastAsia="仿宋" w:cs="仿宋_GB2312"/>
                <w:sz w:val="28"/>
                <w:szCs w:val="28"/>
              </w:rPr>
              <w:t>由招标人依法组建</w:t>
            </w:r>
          </w:p>
        </w:tc>
      </w:tr>
      <w:tr w14:paraId="31EBD152">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68D1F7">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20</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9EE62E">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sz w:val="28"/>
                <w:szCs w:val="28"/>
              </w:rPr>
              <w:t>中标人的确定方式</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A73ADE">
            <w:pPr>
              <w:pStyle w:val="18"/>
              <w:numPr>
                <w:ilvl w:val="0"/>
                <w:numId w:val="2"/>
              </w:numPr>
              <w:spacing w:line="400" w:lineRule="exact"/>
              <w:rPr>
                <w:rFonts w:hint="eastAsia" w:ascii="仿宋" w:hAnsi="仿宋" w:eastAsia="仿宋" w:cs="仿宋"/>
                <w:sz w:val="28"/>
                <w:szCs w:val="28"/>
              </w:rPr>
            </w:pPr>
            <w:r>
              <w:rPr>
                <w:rFonts w:hint="eastAsia" w:ascii="仿宋" w:hAnsi="仿宋" w:eastAsia="仿宋" w:cs="仿宋"/>
                <w:sz w:val="28"/>
                <w:szCs w:val="28"/>
              </w:rPr>
              <w:t>招标人授权开标小组或评标委员会直接确定中标人</w:t>
            </w:r>
          </w:p>
          <w:p w14:paraId="675BC362">
            <w:pPr>
              <w:pStyle w:val="18"/>
              <w:numPr>
                <w:ilvl w:val="0"/>
                <w:numId w:val="2"/>
              </w:numPr>
              <w:spacing w:line="400" w:lineRule="exact"/>
              <w:rPr>
                <w:rFonts w:hint="eastAsia" w:ascii="仿宋" w:hAnsi="仿宋" w:eastAsia="仿宋" w:cs="仿宋"/>
                <w:sz w:val="28"/>
                <w:szCs w:val="28"/>
                <w:lang w:eastAsia="zh-CN"/>
              </w:rPr>
            </w:pPr>
            <w:r>
              <w:rPr>
                <w:rFonts w:hint="eastAsia" w:ascii="仿宋" w:hAnsi="仿宋" w:eastAsia="仿宋" w:cs="仿宋"/>
                <w:sz w:val="28"/>
                <w:szCs w:val="28"/>
              </w:rPr>
              <w:t>评标委员会按照标段顺序依次评审，同一投标人最多中选两个标段；若投标人已被确定为两个标段的第一中标候选人，则该投标人后续标段的投标文件不再进入评审环节。</w:t>
            </w:r>
          </w:p>
          <w:p w14:paraId="147DDAFD">
            <w:pPr>
              <w:pStyle w:val="18"/>
              <w:numPr>
                <w:ilvl w:val="0"/>
                <w:numId w:val="2"/>
              </w:numPr>
              <w:spacing w:line="400" w:lineRule="exact"/>
              <w:rPr>
                <w:rFonts w:hint="eastAsia" w:ascii="仿宋" w:hAnsi="仿宋" w:eastAsia="仿宋" w:cs="仿宋_GB2312"/>
                <w:sz w:val="28"/>
                <w:szCs w:val="28"/>
              </w:rPr>
            </w:pPr>
            <w:r>
              <w:rPr>
                <w:rFonts w:hint="eastAsia" w:ascii="仿宋" w:hAnsi="仿宋" w:eastAsia="仿宋" w:cs="仿宋"/>
                <w:sz w:val="28"/>
                <w:szCs w:val="28"/>
              </w:rPr>
              <w:t>同一投标</w:t>
            </w:r>
            <w:r>
              <w:rPr>
                <w:rFonts w:hint="eastAsia" w:ascii="仿宋" w:hAnsi="仿宋" w:eastAsia="仿宋" w:cs="仿宋"/>
                <w:sz w:val="28"/>
                <w:szCs w:val="28"/>
                <w:lang w:eastAsia="zh-CN"/>
              </w:rPr>
              <w:t>人</w:t>
            </w:r>
            <w:r>
              <w:rPr>
                <w:rFonts w:hint="eastAsia" w:ascii="仿宋" w:hAnsi="仿宋" w:eastAsia="仿宋" w:cs="仿宋"/>
                <w:sz w:val="28"/>
                <w:szCs w:val="28"/>
              </w:rPr>
              <w:t>可以同时参与多个标段的投标,但最多只能获得其中</w:t>
            </w:r>
            <w:r>
              <w:rPr>
                <w:rFonts w:hint="eastAsia" w:ascii="仿宋" w:hAnsi="仿宋" w:eastAsia="仿宋" w:cs="仿宋"/>
                <w:sz w:val="28"/>
                <w:szCs w:val="28"/>
                <w:lang w:val="en-US" w:eastAsia="zh-CN"/>
              </w:rPr>
              <w:t>两</w:t>
            </w:r>
            <w:r>
              <w:rPr>
                <w:rFonts w:hint="eastAsia" w:ascii="仿宋" w:hAnsi="仿宋" w:eastAsia="仿宋" w:cs="仿宋"/>
                <w:sz w:val="28"/>
                <w:szCs w:val="28"/>
              </w:rPr>
              <w:t>个标段的中标资格</w:t>
            </w:r>
            <w:r>
              <w:rPr>
                <w:rFonts w:hint="eastAsia" w:ascii="仿宋" w:hAnsi="仿宋" w:eastAsia="仿宋" w:cs="仿宋"/>
                <w:sz w:val="28"/>
                <w:szCs w:val="28"/>
                <w:lang w:eastAsia="zh-CN"/>
              </w:rPr>
              <w:t>。</w:t>
            </w:r>
          </w:p>
        </w:tc>
      </w:tr>
      <w:tr w14:paraId="0024AD59">
        <w:tblPrEx>
          <w:tblCellMar>
            <w:top w:w="0" w:type="dxa"/>
            <w:left w:w="108" w:type="dxa"/>
            <w:bottom w:w="0" w:type="dxa"/>
            <w:right w:w="108" w:type="dxa"/>
          </w:tblCellMar>
        </w:tblPrEx>
        <w:trPr>
          <w:trHeight w:val="491"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9EA609">
            <w:pPr>
              <w:pStyle w:val="51"/>
              <w:spacing w:line="400" w:lineRule="exact"/>
              <w:ind w:left="357" w:hanging="357" w:firstLineChars="0"/>
              <w:jc w:val="center"/>
              <w:rPr>
                <w:rFonts w:ascii="仿宋_GB2312" w:hAnsi="仿宋_GB2312" w:eastAsia="仿宋_GB2312" w:cs="仿宋_GB2312"/>
                <w:sz w:val="28"/>
                <w:szCs w:val="28"/>
              </w:rPr>
            </w:pPr>
            <w:bookmarkStart w:id="46" w:name="_Toc87887962"/>
            <w:bookmarkStart w:id="47" w:name="_Toc387313497"/>
            <w:bookmarkStart w:id="48" w:name="_Toc387313377"/>
            <w:bookmarkStart w:id="49" w:name="_Toc405384929"/>
            <w:r>
              <w:rPr>
                <w:rFonts w:hint="eastAsia" w:ascii="仿宋_GB2312" w:hAnsi="仿宋_GB2312" w:eastAsia="仿宋_GB2312" w:cs="仿宋_GB2312"/>
                <w:sz w:val="28"/>
                <w:szCs w:val="28"/>
              </w:rPr>
              <w:t>21</w:t>
            </w:r>
          </w:p>
        </w:tc>
        <w:tc>
          <w:tcPr>
            <w:tcW w:w="1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721DC8">
            <w:pPr>
              <w:pStyle w:val="51"/>
              <w:spacing w:line="400" w:lineRule="exact"/>
              <w:ind w:firstLine="0" w:firstLineChars="0"/>
              <w:jc w:val="center"/>
              <w:rPr>
                <w:rFonts w:ascii="仿宋" w:hAnsi="仿宋" w:eastAsia="仿宋" w:cs="仿宋_GB2312"/>
                <w:sz w:val="28"/>
                <w:szCs w:val="28"/>
              </w:rPr>
            </w:pPr>
            <w:r>
              <w:rPr>
                <w:rFonts w:hint="eastAsia" w:ascii="仿宋" w:hAnsi="仿宋" w:eastAsia="仿宋" w:cs="仿宋_GB2312"/>
                <w:sz w:val="28"/>
                <w:szCs w:val="28"/>
              </w:rPr>
              <w:t>其他</w:t>
            </w:r>
          </w:p>
        </w:tc>
        <w:tc>
          <w:tcPr>
            <w:tcW w:w="621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F32342">
            <w:pPr>
              <w:pStyle w:val="18"/>
              <w:spacing w:line="400" w:lineRule="exact"/>
              <w:rPr>
                <w:rFonts w:ascii="仿宋" w:hAnsi="仿宋" w:eastAsia="仿宋" w:cs="仿宋_GB2312"/>
                <w:sz w:val="28"/>
                <w:szCs w:val="28"/>
              </w:rPr>
            </w:pPr>
            <w:r>
              <w:rPr>
                <w:rFonts w:hint="eastAsia" w:ascii="仿宋" w:hAnsi="仿宋" w:eastAsia="仿宋" w:cs="仿宋_GB2312"/>
                <w:sz w:val="28"/>
                <w:szCs w:val="28"/>
              </w:rPr>
              <w:t>/</w:t>
            </w:r>
          </w:p>
        </w:tc>
      </w:tr>
    </w:tbl>
    <w:p w14:paraId="7FB7E354">
      <w:pPr>
        <w:pStyle w:val="6"/>
        <w:spacing w:before="0" w:after="0" w:line="560" w:lineRule="exact"/>
        <w:jc w:val="center"/>
        <w:rPr>
          <w:rFonts w:ascii="仿宋" w:hAnsi="仿宋" w:eastAsia="仿宋"/>
          <w:b w:val="0"/>
          <w:sz w:val="36"/>
          <w:szCs w:val="36"/>
        </w:rPr>
        <w:sectPr>
          <w:headerReference r:id="rId6" w:type="default"/>
          <w:footerReference r:id="rId7" w:type="default"/>
          <w:pgSz w:w="12240" w:h="15840"/>
          <w:pgMar w:top="1440" w:right="1797" w:bottom="1440" w:left="1797" w:header="720" w:footer="720" w:gutter="0"/>
          <w:cols w:space="720" w:num="1"/>
        </w:sectPr>
      </w:pPr>
      <w:bookmarkStart w:id="50" w:name="_Toc10502"/>
      <w:bookmarkStart w:id="51" w:name="_Toc23258"/>
    </w:p>
    <w:p w14:paraId="1841987E">
      <w:pPr>
        <w:pStyle w:val="6"/>
        <w:spacing w:before="0" w:after="0" w:line="560" w:lineRule="exact"/>
        <w:jc w:val="center"/>
        <w:rPr>
          <w:rFonts w:ascii="仿宋" w:hAnsi="仿宋" w:eastAsia="仿宋"/>
          <w:b w:val="0"/>
          <w:sz w:val="36"/>
          <w:szCs w:val="36"/>
        </w:rPr>
      </w:pPr>
      <w:r>
        <w:rPr>
          <w:rFonts w:hint="eastAsia" w:ascii="仿宋" w:hAnsi="仿宋" w:eastAsia="仿宋"/>
          <w:b w:val="0"/>
          <w:sz w:val="36"/>
          <w:szCs w:val="36"/>
        </w:rPr>
        <w:t>（二）投标须知前附表2</w:t>
      </w:r>
      <w:bookmarkEnd w:id="46"/>
      <w:bookmarkEnd w:id="50"/>
      <w:bookmarkEnd w:id="51"/>
    </w:p>
    <w:p w14:paraId="62E1BBE8">
      <w:pPr>
        <w:rPr>
          <w:rFonts w:ascii="仿宋" w:hAnsi="仿宋" w:eastAsia="仿宋"/>
        </w:rPr>
      </w:pPr>
    </w:p>
    <w:tbl>
      <w:tblPr>
        <w:tblStyle w:val="36"/>
        <w:tblW w:w="52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944"/>
        <w:gridCol w:w="6442"/>
      </w:tblGrid>
      <w:tr w14:paraId="6EEC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1" w:type="pct"/>
            <w:shd w:val="clear" w:color="auto" w:fill="auto"/>
            <w:vAlign w:val="center"/>
          </w:tcPr>
          <w:p w14:paraId="68863BEA">
            <w:pPr>
              <w:adjustRightInd w:val="0"/>
              <w:snapToGrid w:val="0"/>
              <w:spacing w:line="400" w:lineRule="exact"/>
              <w:jc w:val="center"/>
              <w:rPr>
                <w:rFonts w:ascii="仿宋" w:hAnsi="仿宋" w:eastAsia="仿宋" w:cs="仿宋_GB2312"/>
                <w:b/>
                <w:kern w:val="0"/>
                <w:sz w:val="28"/>
                <w:szCs w:val="28"/>
              </w:rPr>
            </w:pPr>
            <w:r>
              <w:rPr>
                <w:rFonts w:hint="eastAsia" w:ascii="仿宋" w:hAnsi="仿宋" w:eastAsia="仿宋" w:cs="仿宋_GB2312"/>
                <w:b/>
                <w:kern w:val="0"/>
                <w:sz w:val="28"/>
                <w:szCs w:val="28"/>
              </w:rPr>
              <w:t>序号</w:t>
            </w:r>
          </w:p>
        </w:tc>
        <w:tc>
          <w:tcPr>
            <w:tcW w:w="1049" w:type="pct"/>
            <w:shd w:val="clear" w:color="auto" w:fill="auto"/>
            <w:vAlign w:val="center"/>
          </w:tcPr>
          <w:p w14:paraId="0E66432C">
            <w:pPr>
              <w:adjustRightInd w:val="0"/>
              <w:snapToGrid w:val="0"/>
              <w:spacing w:line="400" w:lineRule="exact"/>
              <w:jc w:val="center"/>
              <w:rPr>
                <w:rFonts w:ascii="仿宋" w:hAnsi="仿宋" w:eastAsia="仿宋" w:cs="仿宋_GB2312"/>
                <w:b/>
                <w:kern w:val="0"/>
                <w:sz w:val="28"/>
                <w:szCs w:val="28"/>
              </w:rPr>
            </w:pPr>
            <w:r>
              <w:rPr>
                <w:rFonts w:hint="eastAsia" w:ascii="仿宋" w:hAnsi="仿宋" w:eastAsia="仿宋" w:cs="仿宋_GB2312"/>
                <w:b/>
                <w:kern w:val="0"/>
                <w:sz w:val="28"/>
                <w:szCs w:val="28"/>
              </w:rPr>
              <w:t>内容</w:t>
            </w:r>
          </w:p>
        </w:tc>
        <w:tc>
          <w:tcPr>
            <w:tcW w:w="3478" w:type="pct"/>
            <w:shd w:val="clear" w:color="auto" w:fill="auto"/>
            <w:vAlign w:val="center"/>
          </w:tcPr>
          <w:p w14:paraId="55C183BE">
            <w:pPr>
              <w:adjustRightInd w:val="0"/>
              <w:snapToGrid w:val="0"/>
              <w:spacing w:line="400" w:lineRule="exact"/>
              <w:jc w:val="center"/>
              <w:rPr>
                <w:rFonts w:ascii="仿宋" w:hAnsi="仿宋" w:eastAsia="仿宋" w:cs="仿宋_GB2312"/>
                <w:b/>
                <w:kern w:val="0"/>
                <w:sz w:val="28"/>
                <w:szCs w:val="28"/>
              </w:rPr>
            </w:pPr>
            <w:r>
              <w:rPr>
                <w:rFonts w:hint="eastAsia" w:ascii="仿宋" w:hAnsi="仿宋" w:eastAsia="仿宋" w:cs="仿宋_GB2312"/>
                <w:b/>
                <w:kern w:val="0"/>
                <w:sz w:val="28"/>
                <w:szCs w:val="28"/>
              </w:rPr>
              <w:t>规定</w:t>
            </w:r>
          </w:p>
        </w:tc>
      </w:tr>
      <w:tr w14:paraId="7C236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471" w:type="pct"/>
            <w:shd w:val="clear" w:color="auto" w:fill="auto"/>
            <w:vAlign w:val="center"/>
          </w:tcPr>
          <w:p w14:paraId="291DE786">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049" w:type="pct"/>
            <w:shd w:val="clear" w:color="auto" w:fill="auto"/>
            <w:vAlign w:val="center"/>
          </w:tcPr>
          <w:p w14:paraId="3BA5358D">
            <w:pPr>
              <w:adjustRightInd w:val="0"/>
              <w:snapToGrid w:val="0"/>
              <w:spacing w:line="400" w:lineRule="exact"/>
              <w:jc w:val="center"/>
              <w:rPr>
                <w:rFonts w:ascii="仿宋" w:hAnsi="仿宋" w:eastAsia="仿宋" w:cs="仿宋_GB2312"/>
                <w:kern w:val="0"/>
                <w:sz w:val="28"/>
                <w:szCs w:val="28"/>
              </w:rPr>
            </w:pPr>
            <w:r>
              <w:rPr>
                <w:rFonts w:hint="eastAsia" w:ascii="仿宋" w:hAnsi="仿宋" w:eastAsia="仿宋" w:cs="仿宋_GB2312"/>
                <w:sz w:val="28"/>
                <w:szCs w:val="28"/>
              </w:rPr>
              <w:t>招标文件的获取</w:t>
            </w:r>
          </w:p>
        </w:tc>
        <w:tc>
          <w:tcPr>
            <w:tcW w:w="3478" w:type="pct"/>
            <w:shd w:val="clear" w:color="auto" w:fill="auto"/>
            <w:vAlign w:val="center"/>
          </w:tcPr>
          <w:p w14:paraId="644AA454">
            <w:pPr>
              <w:adjustRightInd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时间：</w:t>
            </w:r>
            <w:r>
              <w:rPr>
                <w:rFonts w:hint="eastAsia" w:ascii="仿宋" w:hAnsi="仿宋" w:eastAsia="仿宋" w:cs="仿宋_GB2312"/>
                <w:kern w:val="0"/>
                <w:sz w:val="28"/>
                <w:szCs w:val="28"/>
                <w:u w:val="single"/>
              </w:rPr>
              <w:t xml:space="preserve"> 202</w:t>
            </w:r>
            <w:r>
              <w:rPr>
                <w:rFonts w:ascii="仿宋" w:hAnsi="仿宋" w:eastAsia="仿宋" w:cs="仿宋_GB2312"/>
                <w:kern w:val="0"/>
                <w:sz w:val="28"/>
                <w:szCs w:val="28"/>
                <w:u w:val="single"/>
              </w:rPr>
              <w:t>6</w:t>
            </w:r>
            <w:r>
              <w:rPr>
                <w:rFonts w:hint="eastAsia" w:ascii="仿宋" w:hAnsi="仿宋" w:eastAsia="仿宋" w:cs="仿宋_GB2312"/>
                <w:kern w:val="0"/>
                <w:sz w:val="28"/>
                <w:szCs w:val="28"/>
                <w:u w:val="single"/>
              </w:rPr>
              <w:t>年</w:t>
            </w:r>
            <w:r>
              <w:rPr>
                <w:rFonts w:hint="eastAsia" w:ascii="仿宋" w:hAnsi="仿宋" w:eastAsia="仿宋" w:cs="仿宋_GB2312"/>
                <w:kern w:val="0"/>
                <w:sz w:val="28"/>
                <w:szCs w:val="28"/>
                <w:u w:val="single"/>
                <w:lang w:val="en-US" w:eastAsia="zh-CN"/>
              </w:rPr>
              <w:t>9</w:t>
            </w:r>
            <w:r>
              <w:rPr>
                <w:rFonts w:hint="eastAsia" w:ascii="仿宋" w:hAnsi="仿宋" w:eastAsia="仿宋" w:cs="仿宋_GB2312"/>
                <w:kern w:val="0"/>
                <w:sz w:val="28"/>
                <w:szCs w:val="28"/>
                <w:u w:val="single"/>
              </w:rPr>
              <w:t>月</w:t>
            </w:r>
            <w:r>
              <w:rPr>
                <w:rFonts w:hint="eastAsia" w:ascii="仿宋" w:hAnsi="仿宋" w:eastAsia="仿宋" w:cs="仿宋_GB2312"/>
                <w:kern w:val="0"/>
                <w:sz w:val="28"/>
                <w:szCs w:val="28"/>
                <w:u w:val="single"/>
                <w:lang w:val="en-US" w:eastAsia="zh-CN"/>
              </w:rPr>
              <w:t>5</w:t>
            </w:r>
            <w:r>
              <w:rPr>
                <w:rFonts w:hint="eastAsia" w:ascii="仿宋" w:hAnsi="仿宋" w:eastAsia="仿宋" w:cs="仿宋_GB2312"/>
                <w:kern w:val="0"/>
                <w:sz w:val="28"/>
                <w:szCs w:val="28"/>
                <w:u w:val="single"/>
              </w:rPr>
              <w:t xml:space="preserve">日                 </w:t>
            </w:r>
          </w:p>
          <w:p w14:paraId="1DFE6152">
            <w:pPr>
              <w:spacing w:line="400" w:lineRule="exact"/>
              <w:rPr>
                <w:rFonts w:ascii="仿宋" w:hAnsi="仿宋" w:eastAsia="仿宋" w:cs="宋体"/>
                <w:sz w:val="28"/>
                <w:szCs w:val="28"/>
                <w:u w:val="single"/>
              </w:rPr>
            </w:pPr>
            <w:r>
              <w:rPr>
                <w:rFonts w:hint="eastAsia" w:ascii="仿宋" w:hAnsi="仿宋" w:eastAsia="仿宋" w:cs="仿宋_GB2312"/>
                <w:kern w:val="0"/>
                <w:sz w:val="28"/>
                <w:szCs w:val="28"/>
              </w:rPr>
              <w:t>地点：</w:t>
            </w:r>
            <w:r>
              <w:rPr>
                <w:rFonts w:hint="eastAsia" w:ascii="仿宋" w:hAnsi="仿宋" w:eastAsia="仿宋" w:cs="宋体"/>
                <w:sz w:val="28"/>
                <w:szCs w:val="28"/>
                <w:u w:val="single"/>
              </w:rPr>
              <w:t xml:space="preserve"> </w:t>
            </w:r>
            <w:bookmarkStart w:id="52" w:name="OLE_LINK21"/>
            <w:bookmarkStart w:id="53" w:name="OLE_LINK20"/>
            <w:r>
              <w:rPr>
                <w:rFonts w:hint="eastAsia" w:ascii="仿宋" w:hAnsi="仿宋" w:eastAsia="仿宋" w:cs="宋体"/>
                <w:sz w:val="28"/>
                <w:szCs w:val="28"/>
                <w:u w:val="single"/>
              </w:rPr>
              <w:t>详见投标须知前附表1</w:t>
            </w:r>
            <w:r>
              <w:rPr>
                <w:rFonts w:ascii="仿宋" w:hAnsi="仿宋" w:eastAsia="仿宋" w:cs="宋体"/>
                <w:sz w:val="28"/>
                <w:szCs w:val="28"/>
                <w:u w:val="single"/>
              </w:rPr>
              <w:t xml:space="preserve"> </w:t>
            </w:r>
            <w:bookmarkEnd w:id="52"/>
            <w:bookmarkEnd w:id="53"/>
            <w:r>
              <w:rPr>
                <w:rFonts w:ascii="仿宋" w:hAnsi="仿宋" w:eastAsia="仿宋" w:cs="宋体"/>
                <w:sz w:val="28"/>
                <w:szCs w:val="28"/>
                <w:u w:val="single"/>
              </w:rPr>
              <w:t xml:space="preserve">                                                 </w:t>
            </w:r>
          </w:p>
        </w:tc>
      </w:tr>
      <w:tr w14:paraId="17C0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471" w:type="pct"/>
            <w:shd w:val="clear" w:color="auto" w:fill="auto"/>
            <w:vAlign w:val="center"/>
          </w:tcPr>
          <w:p w14:paraId="160522FF">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049" w:type="pct"/>
            <w:shd w:val="clear" w:color="auto" w:fill="auto"/>
            <w:vAlign w:val="center"/>
          </w:tcPr>
          <w:p w14:paraId="614280C2">
            <w:pPr>
              <w:adjustRightInd w:val="0"/>
              <w:snapToGri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投标文件递交</w:t>
            </w:r>
          </w:p>
        </w:tc>
        <w:tc>
          <w:tcPr>
            <w:tcW w:w="3478" w:type="pct"/>
            <w:shd w:val="clear" w:color="auto" w:fill="auto"/>
            <w:vAlign w:val="center"/>
          </w:tcPr>
          <w:p w14:paraId="10B37B68">
            <w:pPr>
              <w:adjustRightInd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截止时间：</w:t>
            </w:r>
            <w:r>
              <w:rPr>
                <w:rFonts w:hint="eastAsia" w:ascii="仿宋" w:hAnsi="仿宋" w:eastAsia="仿宋" w:cs="仿宋_GB2312"/>
                <w:kern w:val="0"/>
                <w:sz w:val="28"/>
                <w:szCs w:val="28"/>
                <w:u w:val="single"/>
              </w:rPr>
              <w:t xml:space="preserve"> 202</w:t>
            </w:r>
            <w:r>
              <w:rPr>
                <w:rFonts w:ascii="仿宋" w:hAnsi="仿宋" w:eastAsia="仿宋" w:cs="仿宋_GB2312"/>
                <w:kern w:val="0"/>
                <w:sz w:val="28"/>
                <w:szCs w:val="28"/>
                <w:u w:val="single"/>
              </w:rPr>
              <w:t>6</w:t>
            </w:r>
            <w:r>
              <w:rPr>
                <w:rFonts w:hint="eastAsia" w:ascii="仿宋" w:hAnsi="仿宋" w:eastAsia="仿宋" w:cs="仿宋_GB2312"/>
                <w:kern w:val="0"/>
                <w:sz w:val="28"/>
                <w:szCs w:val="28"/>
                <w:u w:val="single"/>
              </w:rPr>
              <w:t>年</w:t>
            </w:r>
            <w:r>
              <w:rPr>
                <w:rFonts w:hint="eastAsia" w:ascii="仿宋" w:hAnsi="仿宋" w:eastAsia="仿宋" w:cs="仿宋_GB2312"/>
                <w:kern w:val="0"/>
                <w:sz w:val="28"/>
                <w:szCs w:val="28"/>
                <w:u w:val="single"/>
                <w:lang w:val="en-US" w:eastAsia="zh-CN"/>
              </w:rPr>
              <w:t>9</w:t>
            </w:r>
            <w:r>
              <w:rPr>
                <w:rFonts w:hint="eastAsia" w:ascii="仿宋" w:hAnsi="仿宋" w:eastAsia="仿宋" w:cs="仿宋_GB2312"/>
                <w:kern w:val="0"/>
                <w:sz w:val="28"/>
                <w:szCs w:val="28"/>
                <w:u w:val="single"/>
              </w:rPr>
              <w:t>月</w:t>
            </w:r>
            <w:r>
              <w:rPr>
                <w:rFonts w:hint="eastAsia" w:ascii="仿宋" w:hAnsi="仿宋" w:eastAsia="仿宋" w:cs="仿宋_GB2312"/>
                <w:kern w:val="0"/>
                <w:sz w:val="28"/>
                <w:szCs w:val="28"/>
                <w:u w:val="single"/>
                <w:lang w:val="en-US" w:eastAsia="zh-CN"/>
              </w:rPr>
              <w:t>11</w:t>
            </w:r>
            <w:r>
              <w:rPr>
                <w:rFonts w:hint="eastAsia" w:ascii="仿宋" w:hAnsi="仿宋" w:eastAsia="仿宋" w:cs="仿宋_GB2312"/>
                <w:kern w:val="0"/>
                <w:sz w:val="28"/>
                <w:szCs w:val="28"/>
                <w:u w:val="single"/>
              </w:rPr>
              <w:t>日</w:t>
            </w:r>
            <w:r>
              <w:rPr>
                <w:rFonts w:hint="eastAsia" w:ascii="仿宋" w:hAnsi="仿宋" w:eastAsia="仿宋" w:cs="仿宋_GB2312"/>
                <w:kern w:val="0"/>
                <w:sz w:val="28"/>
                <w:szCs w:val="28"/>
                <w:u w:val="single"/>
                <w:lang w:val="en-US" w:eastAsia="zh-CN"/>
              </w:rPr>
              <w:t>10点</w:t>
            </w:r>
            <w:r>
              <w:rPr>
                <w:rFonts w:hint="eastAsia" w:ascii="仿宋" w:hAnsi="仿宋" w:eastAsia="仿宋" w:cs="仿宋_GB2312"/>
                <w:kern w:val="0"/>
                <w:sz w:val="28"/>
                <w:szCs w:val="28"/>
                <w:u w:val="single"/>
              </w:rPr>
              <w:t xml:space="preserve">                   </w:t>
            </w:r>
          </w:p>
          <w:p w14:paraId="04B66714">
            <w:pPr>
              <w:adjustRightInd w:val="0"/>
              <w:snapToGrid w:val="0"/>
              <w:spacing w:line="400" w:lineRule="exact"/>
              <w:rPr>
                <w:rFonts w:ascii="仿宋" w:hAnsi="仿宋" w:eastAsia="仿宋" w:cs="宋体"/>
                <w:sz w:val="28"/>
                <w:szCs w:val="28"/>
                <w:u w:val="single"/>
              </w:rPr>
            </w:pPr>
            <w:r>
              <w:rPr>
                <w:rFonts w:hint="eastAsia" w:ascii="仿宋" w:hAnsi="仿宋" w:eastAsia="仿宋" w:cs="仿宋_GB2312"/>
                <w:kern w:val="0"/>
                <w:sz w:val="28"/>
                <w:szCs w:val="28"/>
              </w:rPr>
              <w:t>地    点：</w:t>
            </w:r>
            <w:r>
              <w:rPr>
                <w:rFonts w:hint="eastAsia" w:ascii="仿宋" w:hAnsi="仿宋" w:eastAsia="仿宋" w:cs="宋体"/>
                <w:sz w:val="28"/>
                <w:szCs w:val="28"/>
                <w:u w:val="single"/>
              </w:rPr>
              <w:t>详见投标须知前附表1</w:t>
            </w:r>
            <w:r>
              <w:rPr>
                <w:rFonts w:ascii="仿宋" w:hAnsi="仿宋" w:eastAsia="仿宋" w:cs="宋体"/>
                <w:sz w:val="28"/>
                <w:szCs w:val="28"/>
                <w:u w:val="single"/>
              </w:rPr>
              <w:t xml:space="preserve">                                              </w:t>
            </w:r>
          </w:p>
        </w:tc>
      </w:tr>
      <w:tr w14:paraId="29C8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71" w:type="pct"/>
            <w:shd w:val="clear" w:color="auto" w:fill="auto"/>
            <w:vAlign w:val="center"/>
          </w:tcPr>
          <w:p w14:paraId="619C7A12">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049" w:type="pct"/>
            <w:shd w:val="clear" w:color="auto" w:fill="auto"/>
            <w:vAlign w:val="center"/>
          </w:tcPr>
          <w:p w14:paraId="2B380752">
            <w:pPr>
              <w:adjustRightInd w:val="0"/>
              <w:snapToGri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投标有效期</w:t>
            </w:r>
          </w:p>
        </w:tc>
        <w:tc>
          <w:tcPr>
            <w:tcW w:w="3478" w:type="pct"/>
            <w:shd w:val="clear" w:color="auto" w:fill="auto"/>
            <w:vAlign w:val="center"/>
          </w:tcPr>
          <w:p w14:paraId="0ED8B09B">
            <w:pPr>
              <w:adjustRightInd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u w:val="single"/>
              </w:rPr>
              <w:t xml:space="preserve">  </w:t>
            </w:r>
            <w:r>
              <w:rPr>
                <w:rFonts w:ascii="仿宋" w:hAnsi="仿宋" w:eastAsia="仿宋" w:cs="仿宋_GB2312"/>
                <w:kern w:val="0"/>
                <w:sz w:val="28"/>
                <w:szCs w:val="28"/>
                <w:u w:val="single"/>
              </w:rPr>
              <w:t xml:space="preserve"> 90 </w:t>
            </w:r>
            <w:r>
              <w:rPr>
                <w:rFonts w:hint="eastAsia" w:ascii="仿宋" w:hAnsi="仿宋" w:eastAsia="仿宋" w:cs="仿宋_GB2312"/>
                <w:kern w:val="0"/>
                <w:sz w:val="28"/>
                <w:szCs w:val="28"/>
                <w:u w:val="single"/>
              </w:rPr>
              <w:t xml:space="preserve">  </w:t>
            </w:r>
            <w:r>
              <w:rPr>
                <w:rFonts w:hint="eastAsia" w:ascii="仿宋" w:hAnsi="仿宋" w:eastAsia="仿宋" w:cs="仿宋_GB2312"/>
                <w:kern w:val="0"/>
                <w:sz w:val="28"/>
                <w:szCs w:val="28"/>
              </w:rPr>
              <w:t>日历天（从投标截止之日算起）</w:t>
            </w:r>
          </w:p>
        </w:tc>
      </w:tr>
      <w:tr w14:paraId="0CF1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71" w:type="pct"/>
            <w:shd w:val="clear" w:color="auto" w:fill="auto"/>
            <w:vAlign w:val="center"/>
          </w:tcPr>
          <w:p w14:paraId="1743A626">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049" w:type="pct"/>
            <w:shd w:val="clear" w:color="auto" w:fill="auto"/>
            <w:vAlign w:val="center"/>
          </w:tcPr>
          <w:p w14:paraId="56F7F4C4">
            <w:pPr>
              <w:adjustRightInd w:val="0"/>
              <w:snapToGri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招标人对招标文件的澄清或修改、答疑的期限、方式</w:t>
            </w:r>
          </w:p>
        </w:tc>
        <w:tc>
          <w:tcPr>
            <w:tcW w:w="3478" w:type="pct"/>
            <w:shd w:val="clear" w:color="auto" w:fill="auto"/>
            <w:vAlign w:val="center"/>
          </w:tcPr>
          <w:p w14:paraId="755C28B8">
            <w:pPr>
              <w:adjustRightInd w:val="0"/>
              <w:snapToGrid w:val="0"/>
              <w:spacing w:line="400" w:lineRule="exact"/>
              <w:jc w:val="left"/>
              <w:rPr>
                <w:rFonts w:ascii="仿宋" w:hAnsi="仿宋" w:eastAsia="仿宋" w:cs="仿宋_GB2312"/>
                <w:kern w:val="0"/>
                <w:sz w:val="28"/>
                <w:szCs w:val="28"/>
              </w:rPr>
            </w:pPr>
            <w:r>
              <w:rPr>
                <w:rFonts w:hint="eastAsia" w:ascii="仿宋" w:hAnsi="仿宋" w:eastAsia="仿宋" w:cs="仿宋_GB2312"/>
                <w:kern w:val="0"/>
                <w:sz w:val="28"/>
                <w:szCs w:val="28"/>
              </w:rPr>
              <w:t>投标人质疑期限：在投标截止日期前</w:t>
            </w:r>
            <w:r>
              <w:rPr>
                <w:rFonts w:hint="eastAsia" w:ascii="仿宋" w:hAnsi="仿宋" w:eastAsia="仿宋" w:cs="仿宋_GB2312"/>
                <w:bCs/>
                <w:kern w:val="0"/>
                <w:sz w:val="28"/>
                <w:szCs w:val="28"/>
                <w:u w:val="single"/>
              </w:rPr>
              <w:t xml:space="preserve">  3  </w:t>
            </w:r>
            <w:r>
              <w:rPr>
                <w:rFonts w:hint="eastAsia" w:ascii="仿宋" w:hAnsi="仿宋" w:eastAsia="仿宋" w:cs="仿宋_GB2312"/>
                <w:kern w:val="0"/>
                <w:sz w:val="28"/>
                <w:szCs w:val="28"/>
              </w:rPr>
              <w:t>日</w:t>
            </w:r>
          </w:p>
          <w:p w14:paraId="357025C5">
            <w:pPr>
              <w:adjustRightInd w:val="0"/>
              <w:snapToGrid w:val="0"/>
              <w:spacing w:line="400" w:lineRule="exact"/>
              <w:jc w:val="left"/>
              <w:rPr>
                <w:rFonts w:ascii="仿宋" w:hAnsi="仿宋" w:eastAsia="仿宋" w:cs="仿宋_GB2312"/>
                <w:kern w:val="0"/>
                <w:sz w:val="28"/>
                <w:szCs w:val="28"/>
              </w:rPr>
            </w:pPr>
            <w:r>
              <w:rPr>
                <w:rFonts w:hint="eastAsia" w:ascii="仿宋" w:hAnsi="仿宋" w:eastAsia="仿宋" w:cs="仿宋_GB2312"/>
                <w:kern w:val="0"/>
                <w:sz w:val="28"/>
                <w:szCs w:val="28"/>
              </w:rPr>
              <w:t>招标人澄清或修补、答疑期限：在投标截止日期前</w:t>
            </w:r>
            <w:r>
              <w:rPr>
                <w:rFonts w:hint="eastAsia" w:ascii="仿宋" w:hAnsi="仿宋" w:eastAsia="仿宋" w:cs="仿宋_GB2312"/>
                <w:kern w:val="0"/>
                <w:sz w:val="28"/>
                <w:szCs w:val="28"/>
                <w:u w:val="single"/>
              </w:rPr>
              <w:t xml:space="preserve"> 2   </w:t>
            </w:r>
            <w:r>
              <w:rPr>
                <w:rFonts w:hint="eastAsia" w:ascii="仿宋" w:hAnsi="仿宋" w:eastAsia="仿宋" w:cs="仿宋_GB2312"/>
                <w:kern w:val="0"/>
                <w:sz w:val="28"/>
                <w:szCs w:val="28"/>
              </w:rPr>
              <w:t>日</w:t>
            </w:r>
          </w:p>
          <w:p w14:paraId="171D2D53">
            <w:pPr>
              <w:pStyle w:val="51"/>
              <w:spacing w:line="400" w:lineRule="exact"/>
              <w:ind w:firstLine="0" w:firstLineChars="0"/>
              <w:rPr>
                <w:rFonts w:ascii="仿宋" w:hAnsi="仿宋" w:eastAsia="仿宋" w:cs="仿宋_GB2312"/>
                <w:sz w:val="28"/>
                <w:szCs w:val="28"/>
              </w:rPr>
            </w:pPr>
            <w:r>
              <w:rPr>
                <w:rFonts w:hint="eastAsia" w:ascii="仿宋" w:hAnsi="仿宋" w:eastAsia="仿宋" w:cs="仿宋_GB2312"/>
                <w:sz w:val="28"/>
                <w:szCs w:val="28"/>
              </w:rPr>
              <w:t>投标人提交质疑问题的方式：以书面形式递交</w:t>
            </w:r>
          </w:p>
          <w:p w14:paraId="478B7F05">
            <w:pPr>
              <w:pStyle w:val="51"/>
              <w:spacing w:line="400" w:lineRule="exact"/>
              <w:ind w:firstLine="0" w:firstLineChars="0"/>
              <w:rPr>
                <w:rFonts w:ascii="仿宋" w:hAnsi="仿宋" w:eastAsia="仿宋" w:cs="仿宋_GB2312"/>
                <w:kern w:val="0"/>
                <w:sz w:val="28"/>
                <w:szCs w:val="28"/>
              </w:rPr>
            </w:pPr>
            <w:r>
              <w:rPr>
                <w:rFonts w:hint="eastAsia" w:ascii="仿宋" w:hAnsi="仿宋" w:eastAsia="仿宋" w:cs="仿宋_GB2312"/>
                <w:sz w:val="28"/>
                <w:szCs w:val="28"/>
              </w:rPr>
              <w:t xml:space="preserve">招标人发出答疑补遗的方式：书面形式发送 </w:t>
            </w:r>
          </w:p>
        </w:tc>
      </w:tr>
      <w:tr w14:paraId="3817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471" w:type="pct"/>
            <w:shd w:val="clear" w:color="auto" w:fill="auto"/>
            <w:vAlign w:val="center"/>
          </w:tcPr>
          <w:p w14:paraId="5204D268">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049" w:type="pct"/>
            <w:shd w:val="clear" w:color="auto" w:fill="auto"/>
            <w:vAlign w:val="center"/>
          </w:tcPr>
          <w:p w14:paraId="36D2E67A">
            <w:pPr>
              <w:adjustRightInd w:val="0"/>
              <w:snapToGrid w:val="0"/>
              <w:spacing w:line="400" w:lineRule="exact"/>
              <w:jc w:val="center"/>
              <w:rPr>
                <w:rFonts w:ascii="仿宋" w:hAnsi="仿宋" w:eastAsia="仿宋" w:cs="仿宋_GB2312"/>
                <w:kern w:val="0"/>
                <w:sz w:val="28"/>
                <w:szCs w:val="28"/>
              </w:rPr>
            </w:pPr>
            <w:r>
              <w:rPr>
                <w:rFonts w:hint="eastAsia" w:ascii="仿宋" w:hAnsi="仿宋" w:eastAsia="仿宋" w:cs="仿宋_GB2312"/>
                <w:sz w:val="28"/>
                <w:szCs w:val="28"/>
              </w:rPr>
              <w:t>开标会</w:t>
            </w:r>
          </w:p>
        </w:tc>
        <w:tc>
          <w:tcPr>
            <w:tcW w:w="3478" w:type="pct"/>
            <w:shd w:val="clear" w:color="auto" w:fill="auto"/>
            <w:vAlign w:val="center"/>
          </w:tcPr>
          <w:p w14:paraId="1F09FB8E">
            <w:pPr>
              <w:adjustRightInd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时间：</w:t>
            </w:r>
            <w:r>
              <w:rPr>
                <w:rFonts w:hint="eastAsia" w:ascii="仿宋" w:hAnsi="仿宋" w:eastAsia="仿宋" w:cs="仿宋_GB2312"/>
                <w:kern w:val="0"/>
                <w:sz w:val="28"/>
                <w:szCs w:val="28"/>
                <w:u w:val="single"/>
              </w:rPr>
              <w:t xml:space="preserve">  202</w:t>
            </w:r>
            <w:r>
              <w:rPr>
                <w:rFonts w:ascii="仿宋" w:hAnsi="仿宋" w:eastAsia="仿宋" w:cs="仿宋_GB2312"/>
                <w:kern w:val="0"/>
                <w:sz w:val="28"/>
                <w:szCs w:val="28"/>
                <w:u w:val="single"/>
              </w:rPr>
              <w:t>6</w:t>
            </w:r>
            <w:r>
              <w:rPr>
                <w:rFonts w:hint="eastAsia" w:ascii="仿宋" w:hAnsi="仿宋" w:eastAsia="仿宋" w:cs="仿宋_GB2312"/>
                <w:kern w:val="0"/>
                <w:sz w:val="28"/>
                <w:szCs w:val="28"/>
                <w:u w:val="single"/>
              </w:rPr>
              <w:t>年</w:t>
            </w:r>
            <w:r>
              <w:rPr>
                <w:rFonts w:hint="eastAsia" w:ascii="仿宋" w:hAnsi="仿宋" w:eastAsia="仿宋" w:cs="仿宋_GB2312"/>
                <w:kern w:val="0"/>
                <w:sz w:val="28"/>
                <w:szCs w:val="28"/>
                <w:u w:val="single"/>
                <w:lang w:val="en-US" w:eastAsia="zh-CN"/>
              </w:rPr>
              <w:t>9</w:t>
            </w:r>
            <w:r>
              <w:rPr>
                <w:rFonts w:hint="eastAsia" w:ascii="仿宋" w:hAnsi="仿宋" w:eastAsia="仿宋" w:cs="仿宋_GB2312"/>
                <w:kern w:val="0"/>
                <w:sz w:val="28"/>
                <w:szCs w:val="28"/>
                <w:u w:val="single"/>
              </w:rPr>
              <w:t>月</w:t>
            </w:r>
            <w:r>
              <w:rPr>
                <w:rFonts w:hint="eastAsia" w:ascii="仿宋" w:hAnsi="仿宋" w:eastAsia="仿宋" w:cs="仿宋_GB2312"/>
                <w:kern w:val="0"/>
                <w:sz w:val="28"/>
                <w:szCs w:val="28"/>
                <w:u w:val="single"/>
                <w:lang w:val="en-US" w:eastAsia="zh-CN"/>
              </w:rPr>
              <w:t>11</w:t>
            </w:r>
            <w:r>
              <w:rPr>
                <w:rFonts w:hint="eastAsia" w:ascii="仿宋" w:hAnsi="仿宋" w:eastAsia="仿宋" w:cs="仿宋_GB2312"/>
                <w:kern w:val="0"/>
                <w:sz w:val="28"/>
                <w:szCs w:val="28"/>
                <w:u w:val="single"/>
              </w:rPr>
              <w:t>日</w:t>
            </w:r>
            <w:r>
              <w:rPr>
                <w:rFonts w:hint="eastAsia" w:ascii="仿宋" w:hAnsi="仿宋" w:eastAsia="仿宋" w:cs="仿宋_GB2312"/>
                <w:kern w:val="0"/>
                <w:sz w:val="28"/>
                <w:szCs w:val="28"/>
                <w:u w:val="single"/>
                <w:lang w:val="en-US" w:eastAsia="zh-CN"/>
              </w:rPr>
              <w:t>10点</w:t>
            </w:r>
            <w:r>
              <w:rPr>
                <w:rFonts w:hint="eastAsia" w:ascii="仿宋" w:hAnsi="仿宋" w:eastAsia="仿宋" w:cs="仿宋_GB2312"/>
                <w:kern w:val="0"/>
                <w:sz w:val="28"/>
                <w:szCs w:val="28"/>
                <w:u w:val="single"/>
              </w:rPr>
              <w:t xml:space="preserve">                </w:t>
            </w:r>
          </w:p>
          <w:p w14:paraId="60B5C11A">
            <w:pPr>
              <w:adjustRightInd w:val="0"/>
              <w:snapToGrid w:val="0"/>
              <w:spacing w:line="400" w:lineRule="exact"/>
              <w:rPr>
                <w:rFonts w:ascii="仿宋" w:hAnsi="仿宋" w:eastAsia="仿宋" w:cs="宋体"/>
                <w:sz w:val="28"/>
                <w:szCs w:val="28"/>
                <w:u w:val="single"/>
              </w:rPr>
            </w:pPr>
            <w:r>
              <w:rPr>
                <w:rFonts w:hint="eastAsia" w:ascii="仿宋" w:hAnsi="仿宋" w:eastAsia="仿宋" w:cs="仿宋_GB2312"/>
                <w:kern w:val="0"/>
                <w:sz w:val="28"/>
                <w:szCs w:val="28"/>
              </w:rPr>
              <w:t>地点：</w:t>
            </w:r>
            <w:r>
              <w:rPr>
                <w:rFonts w:hint="eastAsia" w:ascii="仿宋" w:hAnsi="仿宋" w:eastAsia="仿宋" w:cs="宋体"/>
                <w:sz w:val="28"/>
                <w:szCs w:val="28"/>
                <w:u w:val="single"/>
              </w:rPr>
              <w:t>深圳市龙岗区平湖街道华南大道 1 号行政大楼三楼大会议室</w:t>
            </w:r>
          </w:p>
        </w:tc>
      </w:tr>
      <w:tr w14:paraId="3861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471" w:type="pct"/>
            <w:shd w:val="clear" w:color="auto" w:fill="auto"/>
            <w:vAlign w:val="center"/>
          </w:tcPr>
          <w:p w14:paraId="3AE729C8">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049" w:type="pct"/>
            <w:shd w:val="clear" w:color="auto" w:fill="auto"/>
            <w:vAlign w:val="center"/>
          </w:tcPr>
          <w:p w14:paraId="2EA4EFD6">
            <w:pPr>
              <w:adjustRightInd w:val="0"/>
              <w:snapToGri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发出中标通知书</w:t>
            </w:r>
          </w:p>
        </w:tc>
        <w:tc>
          <w:tcPr>
            <w:tcW w:w="3478" w:type="pct"/>
            <w:shd w:val="clear" w:color="auto" w:fill="auto"/>
            <w:vAlign w:val="center"/>
          </w:tcPr>
          <w:p w14:paraId="065D0FCD">
            <w:pPr>
              <w:adjustRightInd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投标有效期满30天前</w:t>
            </w:r>
          </w:p>
        </w:tc>
      </w:tr>
      <w:tr w14:paraId="128F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471" w:type="pct"/>
            <w:shd w:val="clear" w:color="auto" w:fill="auto"/>
            <w:vAlign w:val="center"/>
          </w:tcPr>
          <w:p w14:paraId="2A712110">
            <w:pPr>
              <w:pStyle w:val="51"/>
              <w:spacing w:line="400" w:lineRule="exact"/>
              <w:ind w:left="357" w:hanging="357" w:firstLineChars="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1049" w:type="pct"/>
            <w:shd w:val="clear" w:color="auto" w:fill="auto"/>
            <w:vAlign w:val="center"/>
          </w:tcPr>
          <w:p w14:paraId="7C61A320">
            <w:pPr>
              <w:adjustRightInd w:val="0"/>
              <w:snapToGrid w:val="0"/>
              <w:spacing w:line="400" w:lineRule="exact"/>
              <w:jc w:val="center"/>
              <w:rPr>
                <w:rFonts w:ascii="仿宋" w:hAnsi="仿宋" w:eastAsia="仿宋" w:cs="仿宋_GB2312"/>
                <w:kern w:val="0"/>
                <w:sz w:val="28"/>
                <w:szCs w:val="28"/>
              </w:rPr>
            </w:pPr>
            <w:r>
              <w:rPr>
                <w:rFonts w:hint="eastAsia" w:ascii="仿宋" w:hAnsi="仿宋" w:eastAsia="仿宋" w:cs="仿宋_GB2312"/>
                <w:kern w:val="0"/>
                <w:sz w:val="28"/>
                <w:szCs w:val="28"/>
              </w:rPr>
              <w:t>签订合同</w:t>
            </w:r>
          </w:p>
        </w:tc>
        <w:tc>
          <w:tcPr>
            <w:tcW w:w="3478" w:type="pct"/>
            <w:shd w:val="clear" w:color="auto" w:fill="auto"/>
            <w:vAlign w:val="center"/>
          </w:tcPr>
          <w:p w14:paraId="75921FCA">
            <w:pPr>
              <w:adjustRightInd w:val="0"/>
              <w:snapToGrid w:val="0"/>
              <w:spacing w:line="400" w:lineRule="exact"/>
              <w:rPr>
                <w:rFonts w:ascii="仿宋" w:hAnsi="仿宋" w:eastAsia="仿宋" w:cs="仿宋_GB2312"/>
                <w:kern w:val="0"/>
                <w:sz w:val="28"/>
                <w:szCs w:val="28"/>
              </w:rPr>
            </w:pPr>
            <w:r>
              <w:rPr>
                <w:rFonts w:hint="eastAsia" w:ascii="仿宋" w:hAnsi="仿宋" w:eastAsia="仿宋" w:cs="仿宋_GB2312"/>
                <w:kern w:val="0"/>
                <w:sz w:val="28"/>
                <w:szCs w:val="28"/>
              </w:rPr>
              <w:t>收到中标通知书30天内</w:t>
            </w:r>
          </w:p>
        </w:tc>
      </w:tr>
    </w:tbl>
    <w:p w14:paraId="3AB89926">
      <w:pPr>
        <w:rPr>
          <w:rFonts w:ascii="仿宋" w:hAnsi="仿宋" w:eastAsia="仿宋"/>
        </w:rPr>
      </w:pPr>
    </w:p>
    <w:p w14:paraId="32BCC36B">
      <w:pPr>
        <w:pStyle w:val="51"/>
        <w:spacing w:line="360" w:lineRule="auto"/>
        <w:ind w:firstLine="2160" w:firstLineChars="600"/>
        <w:rPr>
          <w:rFonts w:ascii="仿宋" w:hAnsi="仿宋" w:eastAsia="仿宋"/>
          <w:sz w:val="36"/>
          <w:szCs w:val="36"/>
        </w:rPr>
      </w:pPr>
      <w:bookmarkStart w:id="54" w:name="_Toc87887963"/>
    </w:p>
    <w:p w14:paraId="036F3889">
      <w:pPr>
        <w:pStyle w:val="51"/>
        <w:spacing w:line="360" w:lineRule="auto"/>
        <w:ind w:firstLine="2160" w:firstLineChars="600"/>
        <w:rPr>
          <w:rFonts w:ascii="黑体" w:hAnsi="黑体" w:eastAsia="黑体"/>
          <w:sz w:val="36"/>
          <w:szCs w:val="36"/>
        </w:rPr>
      </w:pPr>
    </w:p>
    <w:p w14:paraId="1B587A11">
      <w:pPr>
        <w:pStyle w:val="51"/>
        <w:spacing w:line="360" w:lineRule="auto"/>
        <w:ind w:firstLine="2160" w:firstLineChars="600"/>
        <w:rPr>
          <w:rFonts w:ascii="黑体" w:hAnsi="黑体" w:eastAsia="黑体"/>
          <w:sz w:val="36"/>
          <w:szCs w:val="36"/>
        </w:rPr>
      </w:pPr>
    </w:p>
    <w:p w14:paraId="0823AF2D">
      <w:pPr>
        <w:pStyle w:val="51"/>
        <w:spacing w:line="360" w:lineRule="auto"/>
        <w:ind w:firstLine="2160" w:firstLineChars="600"/>
        <w:rPr>
          <w:rFonts w:ascii="黑体" w:hAnsi="黑体" w:eastAsia="黑体"/>
          <w:sz w:val="36"/>
          <w:szCs w:val="36"/>
        </w:rPr>
        <w:sectPr>
          <w:pgSz w:w="12240" w:h="15840"/>
          <w:pgMar w:top="1440" w:right="1797" w:bottom="1440" w:left="1797" w:header="720" w:footer="720" w:gutter="0"/>
          <w:cols w:space="720" w:num="1"/>
        </w:sectPr>
      </w:pPr>
    </w:p>
    <w:p w14:paraId="50E42B47">
      <w:pPr>
        <w:pStyle w:val="51"/>
        <w:spacing w:line="360" w:lineRule="auto"/>
        <w:ind w:firstLine="2168" w:firstLineChars="600"/>
        <w:rPr>
          <w:rFonts w:ascii="仿宋" w:hAnsi="仿宋" w:eastAsia="仿宋"/>
          <w:b/>
          <w:sz w:val="36"/>
          <w:szCs w:val="36"/>
        </w:rPr>
      </w:pPr>
      <w:r>
        <w:rPr>
          <w:rFonts w:hint="eastAsia" w:ascii="仿宋" w:hAnsi="仿宋" w:eastAsia="仿宋"/>
          <w:b/>
          <w:sz w:val="36"/>
          <w:szCs w:val="36"/>
        </w:rPr>
        <w:t>（三）投标须知前附件</w:t>
      </w:r>
      <w:bookmarkEnd w:id="54"/>
    </w:p>
    <w:p w14:paraId="7001B94F">
      <w:pPr>
        <w:pStyle w:val="7"/>
        <w:spacing w:before="0" w:after="0" w:line="560" w:lineRule="exact"/>
        <w:rPr>
          <w:rFonts w:ascii="仿宋" w:hAnsi="仿宋" w:eastAsia="仿宋" w:cs="仿宋_GB2312"/>
          <w:kern w:val="0"/>
          <w:sz w:val="32"/>
          <w:szCs w:val="32"/>
        </w:rPr>
      </w:pPr>
      <w:bookmarkStart w:id="55" w:name="_Toc87887964"/>
      <w:bookmarkStart w:id="56" w:name="_Toc32339"/>
      <w:bookmarkStart w:id="57" w:name="_Toc16134"/>
      <w:r>
        <w:rPr>
          <w:rFonts w:hint="eastAsia" w:ascii="仿宋" w:hAnsi="仿宋" w:eastAsia="仿宋" w:cs="仿宋_GB2312"/>
          <w:kern w:val="0"/>
          <w:sz w:val="32"/>
          <w:szCs w:val="32"/>
        </w:rPr>
        <w:t>附件一：</w:t>
      </w:r>
      <w:bookmarkEnd w:id="55"/>
      <w:bookmarkEnd w:id="56"/>
      <w:bookmarkEnd w:id="57"/>
      <w:r>
        <w:rPr>
          <w:rFonts w:hint="eastAsia" w:ascii="仿宋" w:hAnsi="仿宋" w:eastAsia="仿宋" w:cs="仿宋_GB2312"/>
          <w:kern w:val="0"/>
          <w:sz w:val="32"/>
          <w:szCs w:val="32"/>
        </w:rPr>
        <w:t>招标公共</w:t>
      </w:r>
      <w:r>
        <w:rPr>
          <w:rFonts w:ascii="仿宋" w:hAnsi="仿宋" w:eastAsia="仿宋" w:cs="仿宋_GB2312"/>
          <w:kern w:val="0"/>
          <w:sz w:val="32"/>
          <w:szCs w:val="32"/>
        </w:rPr>
        <w:t xml:space="preserve"> </w:t>
      </w:r>
    </w:p>
    <w:p w14:paraId="5AAD5FCD">
      <w:pPr>
        <w:spacing w:line="560" w:lineRule="exact"/>
        <w:ind w:firstLine="3534" w:firstLineChars="800"/>
        <w:jc w:val="left"/>
        <w:rPr>
          <w:rFonts w:ascii="仿宋" w:hAnsi="仿宋" w:eastAsia="仿宋" w:cs="黑体"/>
          <w:b/>
          <w:kern w:val="0"/>
          <w:sz w:val="44"/>
          <w:szCs w:val="44"/>
        </w:rPr>
      </w:pPr>
      <w:r>
        <w:rPr>
          <w:rFonts w:hint="eastAsia" w:ascii="仿宋" w:hAnsi="仿宋" w:eastAsia="仿宋" w:cs="黑体"/>
          <w:b/>
          <w:kern w:val="0"/>
          <w:sz w:val="44"/>
          <w:szCs w:val="44"/>
        </w:rPr>
        <w:t>招标公告</w:t>
      </w:r>
    </w:p>
    <w:p w14:paraId="42784985">
      <w:pPr>
        <w:numPr>
          <w:ilvl w:val="0"/>
          <w:numId w:val="3"/>
        </w:numPr>
        <w:spacing w:line="560" w:lineRule="exact"/>
        <w:ind w:firstLine="562" w:firstLineChars="200"/>
        <w:rPr>
          <w:rFonts w:hint="eastAsia" w:ascii="仿宋" w:hAnsi="仿宋" w:eastAsia="仿宋" w:cs="仿宋_GB2312"/>
          <w:b/>
          <w:sz w:val="28"/>
          <w:szCs w:val="28"/>
          <w:u w:val="single"/>
        </w:rPr>
      </w:pPr>
      <w:r>
        <w:rPr>
          <w:rFonts w:hint="eastAsia" w:ascii="仿宋" w:hAnsi="仿宋" w:eastAsia="仿宋" w:cs="仿宋_GB2312"/>
          <w:b/>
          <w:sz w:val="28"/>
          <w:szCs w:val="28"/>
        </w:rPr>
        <w:t>招标项目名称：</w:t>
      </w:r>
      <w:r>
        <w:rPr>
          <w:rFonts w:hint="eastAsia" w:ascii="仿宋" w:hAnsi="仿宋" w:eastAsia="仿宋" w:cs="仿宋_GB2312"/>
          <w:sz w:val="28"/>
          <w:szCs w:val="28"/>
          <w:u w:val="single"/>
          <w:lang w:val="en-US" w:eastAsia="zh-CN"/>
        </w:rPr>
        <w:t>第一亚太公司关于</w:t>
      </w:r>
      <w:r>
        <w:rPr>
          <w:rFonts w:hint="eastAsia" w:ascii="仿宋" w:hAnsi="仿宋" w:eastAsia="仿宋" w:cs="仿宋_GB2312"/>
          <w:sz w:val="28"/>
          <w:szCs w:val="28"/>
          <w:u w:val="single"/>
        </w:rPr>
        <w:t>华南城及其附属公司欠费事</w:t>
      </w:r>
    </w:p>
    <w:p w14:paraId="6D08BC9C">
      <w:pPr>
        <w:numPr>
          <w:ilvl w:val="0"/>
          <w:numId w:val="0"/>
        </w:numPr>
        <w:spacing w:line="560" w:lineRule="exact"/>
        <w:ind w:firstLine="560" w:firstLineChars="200"/>
        <w:rPr>
          <w:rFonts w:hint="eastAsia" w:ascii="仿宋" w:hAnsi="仿宋" w:eastAsia="仿宋" w:cs="仿宋_GB2312"/>
          <w:b/>
          <w:sz w:val="28"/>
          <w:szCs w:val="28"/>
          <w:u w:val="single"/>
        </w:rPr>
      </w:pPr>
      <w:r>
        <w:rPr>
          <w:rFonts w:hint="eastAsia" w:ascii="仿宋" w:hAnsi="仿宋" w:eastAsia="仿宋" w:cs="仿宋_GB2312"/>
          <w:sz w:val="28"/>
          <w:szCs w:val="28"/>
          <w:u w:val="single"/>
        </w:rPr>
        <w:t>项的诉讼代理服务</w:t>
      </w:r>
    </w:p>
    <w:p w14:paraId="397313AA">
      <w:pPr>
        <w:numPr>
          <w:ilvl w:val="0"/>
          <w:numId w:val="3"/>
        </w:numPr>
        <w:spacing w:line="560" w:lineRule="exact"/>
        <w:ind w:firstLine="562" w:firstLineChars="200"/>
        <w:rPr>
          <w:rFonts w:ascii="仿宋" w:hAnsi="仿宋" w:eastAsia="仿宋" w:cs="仿宋_GB2312"/>
          <w:sz w:val="28"/>
          <w:szCs w:val="28"/>
        </w:rPr>
      </w:pPr>
      <w:r>
        <w:rPr>
          <w:rFonts w:hint="eastAsia" w:ascii="仿宋" w:hAnsi="仿宋" w:eastAsia="仿宋" w:cs="仿宋_GB2312"/>
          <w:b/>
          <w:sz w:val="28"/>
          <w:szCs w:val="28"/>
        </w:rPr>
        <w:t>二、招标方式：</w:t>
      </w:r>
      <w:r>
        <w:rPr>
          <w:rFonts w:hint="eastAsia" w:ascii="仿宋" w:hAnsi="仿宋" w:eastAsia="仿宋" w:cs="仿宋_GB2312"/>
          <w:sz w:val="28"/>
          <w:szCs w:val="28"/>
          <w:u w:val="single"/>
        </w:rPr>
        <w:t>公开招标</w:t>
      </w:r>
    </w:p>
    <w:p w14:paraId="4AAC86C6">
      <w:pPr>
        <w:spacing w:line="560" w:lineRule="exact"/>
        <w:ind w:firstLine="562" w:firstLineChars="200"/>
        <w:rPr>
          <w:rFonts w:ascii="仿宋" w:hAnsi="仿宋" w:eastAsia="仿宋" w:cs="仿宋_GB2312"/>
          <w:b/>
          <w:sz w:val="28"/>
          <w:szCs w:val="28"/>
          <w:u w:val="single"/>
        </w:rPr>
      </w:pPr>
      <w:r>
        <w:rPr>
          <w:rFonts w:hint="eastAsia" w:ascii="仿宋" w:hAnsi="仿宋" w:eastAsia="仿宋" w:cs="仿宋_GB2312"/>
          <w:b/>
          <w:sz w:val="28"/>
          <w:szCs w:val="28"/>
        </w:rPr>
        <w:t>三、项目地点：</w:t>
      </w:r>
      <w:r>
        <w:rPr>
          <w:rFonts w:hint="eastAsia" w:ascii="仿宋" w:hAnsi="仿宋" w:eastAsia="仿宋" w:cs="仿宋_GB2312"/>
          <w:sz w:val="28"/>
          <w:szCs w:val="28"/>
          <w:u w:val="single"/>
        </w:rPr>
        <w:t>详见投标须知前附表1</w:t>
      </w:r>
      <w:r>
        <w:rPr>
          <w:rFonts w:hint="eastAsia" w:ascii="仿宋" w:hAnsi="仿宋" w:eastAsia="仿宋" w:cs="仿宋_GB2312"/>
          <w:b/>
          <w:sz w:val="28"/>
          <w:szCs w:val="28"/>
          <w:u w:val="single"/>
        </w:rPr>
        <w:t xml:space="preserve"> </w:t>
      </w:r>
      <w:r>
        <w:rPr>
          <w:rFonts w:ascii="仿宋" w:hAnsi="仿宋" w:eastAsia="仿宋" w:cs="仿宋_GB2312"/>
          <w:sz w:val="28"/>
          <w:szCs w:val="28"/>
          <w:u w:val="single"/>
        </w:rPr>
        <w:t xml:space="preserve">  </w:t>
      </w:r>
      <w:r>
        <w:rPr>
          <w:rFonts w:hint="eastAsia" w:ascii="仿宋" w:hAnsi="仿宋" w:eastAsia="仿宋" w:cs="仿宋_GB2312"/>
          <w:b/>
          <w:sz w:val="28"/>
          <w:szCs w:val="28"/>
          <w:u w:val="single"/>
        </w:rPr>
        <w:t xml:space="preserve">                                      </w:t>
      </w:r>
    </w:p>
    <w:p w14:paraId="44FA0C5C">
      <w:pPr>
        <w:spacing w:line="560" w:lineRule="exact"/>
        <w:ind w:firstLine="562" w:firstLineChars="200"/>
        <w:rPr>
          <w:rFonts w:ascii="仿宋" w:hAnsi="仿宋" w:eastAsia="仿宋" w:cs="仿宋_GB2312"/>
          <w:b/>
          <w:sz w:val="28"/>
          <w:szCs w:val="28"/>
          <w:u w:val="single"/>
        </w:rPr>
      </w:pPr>
      <w:r>
        <w:rPr>
          <w:rFonts w:hint="eastAsia" w:ascii="仿宋" w:hAnsi="仿宋" w:eastAsia="仿宋" w:cs="仿宋_GB2312"/>
          <w:b/>
          <w:sz w:val="28"/>
          <w:szCs w:val="28"/>
        </w:rPr>
        <w:t>四、投标上限价：</w:t>
      </w:r>
      <w:r>
        <w:rPr>
          <w:rFonts w:hint="eastAsia" w:ascii="仿宋" w:hAnsi="仿宋" w:eastAsia="仿宋" w:cs="仿宋_GB2312"/>
          <w:sz w:val="28"/>
          <w:szCs w:val="28"/>
          <w:u w:val="single"/>
        </w:rPr>
        <w:t>详见投标须知前附表1</w:t>
      </w:r>
      <w:r>
        <w:rPr>
          <w:rFonts w:hint="eastAsia" w:ascii="仿宋" w:hAnsi="仿宋" w:eastAsia="仿宋" w:cs="仿宋_GB2312"/>
          <w:b/>
          <w:sz w:val="28"/>
          <w:szCs w:val="28"/>
          <w:u w:val="single"/>
        </w:rPr>
        <w:t xml:space="preserve"> </w:t>
      </w:r>
      <w:r>
        <w:rPr>
          <w:rFonts w:ascii="仿宋" w:hAnsi="仿宋" w:eastAsia="仿宋" w:cs="仿宋_GB2312"/>
          <w:color w:val="000000" w:themeColor="text1"/>
          <w:sz w:val="28"/>
          <w:szCs w:val="28"/>
          <w:u w:val="single"/>
          <w14:textFill>
            <w14:solidFill>
              <w14:schemeClr w14:val="tx1"/>
            </w14:solidFill>
          </w14:textFill>
        </w:rPr>
        <w:t xml:space="preserve">        </w:t>
      </w:r>
    </w:p>
    <w:p w14:paraId="7C517EF4">
      <w:pPr>
        <w:spacing w:line="560" w:lineRule="exact"/>
        <w:ind w:firstLine="562" w:firstLineChars="200"/>
        <w:rPr>
          <w:rFonts w:ascii="仿宋" w:hAnsi="仿宋" w:eastAsia="仿宋" w:cs="仿宋_GB2312"/>
          <w:b/>
          <w:sz w:val="28"/>
          <w:szCs w:val="28"/>
          <w:u w:val="single"/>
        </w:rPr>
      </w:pPr>
      <w:r>
        <w:rPr>
          <w:rFonts w:hint="eastAsia" w:ascii="仿宋" w:hAnsi="仿宋" w:eastAsia="仿宋" w:cs="仿宋_GB2312"/>
          <w:b/>
          <w:sz w:val="28"/>
          <w:szCs w:val="28"/>
        </w:rPr>
        <w:t>五、招标范围及主要内容：</w:t>
      </w:r>
      <w:r>
        <w:rPr>
          <w:rFonts w:hint="eastAsia" w:ascii="仿宋" w:hAnsi="仿宋" w:eastAsia="仿宋" w:cs="仿宋_GB2312"/>
          <w:sz w:val="28"/>
          <w:szCs w:val="28"/>
          <w:u w:val="single"/>
        </w:rPr>
        <w:t>详见投标须知前附表1</w:t>
      </w:r>
      <w:r>
        <w:rPr>
          <w:rFonts w:hint="eastAsia" w:ascii="仿宋" w:hAnsi="仿宋" w:eastAsia="仿宋" w:cs="仿宋_GB2312"/>
          <w:b/>
          <w:sz w:val="28"/>
          <w:szCs w:val="28"/>
          <w:u w:val="single"/>
        </w:rPr>
        <w:t xml:space="preserve">                              </w:t>
      </w:r>
    </w:p>
    <w:p w14:paraId="23347DF8">
      <w:pPr>
        <w:spacing w:line="560" w:lineRule="exact"/>
        <w:ind w:firstLine="562" w:firstLineChars="200"/>
        <w:rPr>
          <w:rFonts w:ascii="仿宋" w:hAnsi="仿宋" w:eastAsia="仿宋" w:cs="仿宋_GB2312"/>
          <w:b/>
          <w:sz w:val="28"/>
          <w:szCs w:val="28"/>
          <w:u w:val="single"/>
        </w:rPr>
      </w:pPr>
      <w:r>
        <w:rPr>
          <w:rFonts w:hint="eastAsia" w:ascii="仿宋" w:hAnsi="仿宋" w:eastAsia="仿宋" w:cs="仿宋_GB2312"/>
          <w:b/>
          <w:sz w:val="28"/>
          <w:szCs w:val="28"/>
        </w:rPr>
        <w:t>六、服务周期要求：</w:t>
      </w:r>
      <w:r>
        <w:rPr>
          <w:rFonts w:hint="eastAsia" w:ascii="仿宋" w:hAnsi="仿宋" w:eastAsia="仿宋" w:cs="仿宋_GB2312"/>
          <w:b/>
          <w:sz w:val="28"/>
          <w:szCs w:val="28"/>
          <w:u w:val="single"/>
        </w:rPr>
        <w:t xml:space="preserve">  </w:t>
      </w:r>
      <w:r>
        <w:rPr>
          <w:rFonts w:hint="eastAsia" w:ascii="仿宋" w:hAnsi="仿宋" w:eastAsia="仿宋" w:cs="仿宋_GB2312"/>
          <w:sz w:val="28"/>
          <w:szCs w:val="28"/>
          <w:u w:val="single"/>
        </w:rPr>
        <w:t>详见投标须知前附表1</w:t>
      </w:r>
      <w:r>
        <w:rPr>
          <w:rFonts w:hint="eastAsia" w:ascii="仿宋" w:hAnsi="仿宋" w:eastAsia="仿宋" w:cs="仿宋_GB2312"/>
          <w:b/>
          <w:sz w:val="28"/>
          <w:szCs w:val="28"/>
          <w:u w:val="single"/>
        </w:rPr>
        <w:t xml:space="preserve">                                     </w:t>
      </w:r>
    </w:p>
    <w:p w14:paraId="74088854">
      <w:pPr>
        <w:spacing w:line="560" w:lineRule="exact"/>
        <w:ind w:firstLine="562" w:firstLineChars="200"/>
        <w:rPr>
          <w:rFonts w:ascii="仿宋" w:hAnsi="仿宋" w:eastAsia="仿宋" w:cs="仿宋_GB2312"/>
          <w:b/>
          <w:sz w:val="28"/>
          <w:szCs w:val="28"/>
          <w:u w:val="single"/>
        </w:rPr>
      </w:pPr>
      <w:r>
        <w:rPr>
          <w:rFonts w:hint="eastAsia" w:ascii="仿宋" w:hAnsi="仿宋" w:eastAsia="仿宋" w:cs="仿宋_GB2312"/>
          <w:b/>
          <w:sz w:val="28"/>
          <w:szCs w:val="28"/>
        </w:rPr>
        <w:t>七、评标方法：</w:t>
      </w:r>
      <w:r>
        <w:rPr>
          <w:rFonts w:hint="eastAsia" w:ascii="仿宋" w:hAnsi="仿宋" w:eastAsia="仿宋" w:cs="仿宋_GB2312"/>
          <w:b/>
          <w:sz w:val="28"/>
          <w:szCs w:val="28"/>
          <w:u w:val="single"/>
        </w:rPr>
        <w:t xml:space="preserve">  </w:t>
      </w:r>
      <w:r>
        <w:rPr>
          <w:rFonts w:hint="eastAsia" w:ascii="仿宋" w:hAnsi="仿宋" w:eastAsia="仿宋" w:cs="仿宋_GB2312"/>
          <w:sz w:val="28"/>
          <w:szCs w:val="28"/>
          <w:u w:val="single"/>
        </w:rPr>
        <w:t>详见投标须知前附表1</w:t>
      </w:r>
      <w:r>
        <w:rPr>
          <w:rFonts w:hint="eastAsia" w:ascii="仿宋" w:hAnsi="仿宋" w:eastAsia="仿宋" w:cs="仿宋_GB2312"/>
          <w:b/>
          <w:sz w:val="28"/>
          <w:szCs w:val="28"/>
          <w:u w:val="single"/>
        </w:rPr>
        <w:t xml:space="preserve">                                          </w:t>
      </w:r>
    </w:p>
    <w:p w14:paraId="448B1C0F">
      <w:pPr>
        <w:spacing w:line="560" w:lineRule="exact"/>
        <w:ind w:firstLine="562" w:firstLineChars="200"/>
        <w:rPr>
          <w:rFonts w:ascii="仿宋" w:hAnsi="仿宋" w:eastAsia="仿宋" w:cs="仿宋_GB2312"/>
          <w:b/>
          <w:sz w:val="28"/>
          <w:szCs w:val="28"/>
          <w:u w:val="single"/>
        </w:rPr>
      </w:pPr>
      <w:r>
        <w:rPr>
          <w:rFonts w:hint="eastAsia" w:ascii="仿宋" w:hAnsi="仿宋" w:eastAsia="仿宋" w:cs="仿宋_GB2312"/>
          <w:b/>
          <w:sz w:val="28"/>
          <w:szCs w:val="28"/>
        </w:rPr>
        <w:t>八、中标人的确定方式：</w:t>
      </w:r>
      <w:r>
        <w:rPr>
          <w:rFonts w:hint="eastAsia" w:ascii="仿宋" w:hAnsi="仿宋" w:eastAsia="仿宋" w:cs="仿宋_GB2312"/>
          <w:sz w:val="28"/>
          <w:szCs w:val="28"/>
          <w:u w:val="single"/>
        </w:rPr>
        <w:t>详见投标须知前附表1</w:t>
      </w:r>
      <w:r>
        <w:rPr>
          <w:rFonts w:hint="eastAsia" w:ascii="仿宋" w:hAnsi="仿宋" w:eastAsia="仿宋" w:cs="仿宋_GB2312"/>
          <w:b/>
          <w:sz w:val="28"/>
          <w:szCs w:val="28"/>
          <w:u w:val="single"/>
        </w:rPr>
        <w:t xml:space="preserve">                                   </w:t>
      </w:r>
    </w:p>
    <w:p w14:paraId="17EA0531">
      <w:pPr>
        <w:spacing w:line="560" w:lineRule="exact"/>
        <w:ind w:firstLine="562" w:firstLineChars="200"/>
        <w:rPr>
          <w:rFonts w:ascii="仿宋" w:hAnsi="仿宋" w:eastAsia="仿宋" w:cs="仿宋_GB2312"/>
          <w:b/>
          <w:sz w:val="28"/>
          <w:szCs w:val="28"/>
          <w:u w:val="single"/>
        </w:rPr>
      </w:pPr>
      <w:r>
        <w:rPr>
          <w:rFonts w:hint="eastAsia" w:ascii="仿宋" w:hAnsi="仿宋" w:eastAsia="仿宋" w:cs="仿宋_GB2312"/>
          <w:b/>
          <w:sz w:val="28"/>
          <w:szCs w:val="28"/>
        </w:rPr>
        <w:t>九、投标申请人资格要求：</w:t>
      </w:r>
      <w:r>
        <w:rPr>
          <w:rFonts w:hint="eastAsia" w:ascii="仿宋" w:hAnsi="仿宋" w:eastAsia="仿宋" w:cs="仿宋_GB2312"/>
          <w:b/>
          <w:sz w:val="28"/>
          <w:szCs w:val="28"/>
          <w:u w:val="single"/>
        </w:rPr>
        <w:t xml:space="preserve"> </w:t>
      </w:r>
      <w:r>
        <w:rPr>
          <w:rFonts w:hint="eastAsia" w:ascii="仿宋" w:hAnsi="仿宋" w:eastAsia="仿宋" w:cs="仿宋_GB2312"/>
          <w:sz w:val="28"/>
          <w:szCs w:val="28"/>
          <w:u w:val="single"/>
        </w:rPr>
        <w:t>详见投标须知前附表1</w:t>
      </w:r>
      <w:r>
        <w:rPr>
          <w:rFonts w:hint="eastAsia" w:ascii="仿宋" w:hAnsi="仿宋" w:eastAsia="仿宋" w:cs="仿宋_GB2312"/>
          <w:b/>
          <w:sz w:val="28"/>
          <w:szCs w:val="28"/>
          <w:u w:val="single"/>
        </w:rPr>
        <w:t xml:space="preserve">                               </w:t>
      </w:r>
    </w:p>
    <w:p w14:paraId="33DF5B95">
      <w:pPr>
        <w:spacing w:line="560" w:lineRule="exact"/>
        <w:ind w:firstLine="562" w:firstLineChars="200"/>
        <w:rPr>
          <w:rFonts w:ascii="仿宋" w:hAnsi="仿宋" w:eastAsia="仿宋" w:cs="仿宋_GB2312"/>
          <w:b/>
          <w:sz w:val="28"/>
          <w:szCs w:val="28"/>
          <w:u w:val="single"/>
        </w:rPr>
      </w:pPr>
      <w:r>
        <w:rPr>
          <w:rFonts w:hint="eastAsia" w:ascii="仿宋" w:hAnsi="仿宋" w:eastAsia="仿宋" w:cs="仿宋_GB2312"/>
          <w:b/>
          <w:sz w:val="28"/>
          <w:szCs w:val="28"/>
        </w:rPr>
        <w:t>十、拟派项目负责人资格要求：</w:t>
      </w:r>
      <w:r>
        <w:rPr>
          <w:rFonts w:hint="eastAsia" w:ascii="仿宋" w:hAnsi="仿宋" w:eastAsia="仿宋" w:cs="仿宋_GB2312"/>
          <w:b/>
          <w:sz w:val="28"/>
          <w:szCs w:val="28"/>
          <w:u w:val="single"/>
        </w:rPr>
        <w:t xml:space="preserve"> </w:t>
      </w:r>
      <w:r>
        <w:rPr>
          <w:rFonts w:hint="eastAsia" w:ascii="仿宋" w:hAnsi="仿宋" w:eastAsia="仿宋" w:cs="仿宋_GB2312"/>
          <w:sz w:val="28"/>
          <w:szCs w:val="28"/>
          <w:u w:val="single"/>
        </w:rPr>
        <w:t>详见投标须知前附表1</w:t>
      </w:r>
      <w:r>
        <w:rPr>
          <w:rFonts w:hint="eastAsia" w:ascii="仿宋" w:hAnsi="仿宋" w:eastAsia="仿宋" w:cs="仿宋_GB2312"/>
          <w:b/>
          <w:sz w:val="28"/>
          <w:szCs w:val="28"/>
          <w:u w:val="single"/>
        </w:rPr>
        <w:t xml:space="preserve">                           </w:t>
      </w:r>
    </w:p>
    <w:p w14:paraId="4B527F15">
      <w:pPr>
        <w:spacing w:line="560" w:lineRule="exact"/>
        <w:ind w:firstLine="562" w:firstLineChars="200"/>
        <w:rPr>
          <w:rFonts w:ascii="仿宋" w:hAnsi="仿宋" w:eastAsia="仿宋" w:cs="仿宋_GB2312"/>
          <w:b/>
          <w:sz w:val="28"/>
          <w:szCs w:val="28"/>
        </w:rPr>
      </w:pPr>
      <w:r>
        <w:rPr>
          <w:rFonts w:hint="eastAsia" w:ascii="仿宋" w:hAnsi="仿宋" w:eastAsia="仿宋" w:cs="仿宋_GB2312"/>
          <w:b/>
          <w:sz w:val="28"/>
          <w:szCs w:val="28"/>
        </w:rPr>
        <w:t>十一、招标文件的获取</w:t>
      </w:r>
    </w:p>
    <w:p w14:paraId="0299DD57">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（一）投标申请人资格条件符合招标公告要求的，招标人将向合格投标报名单位免费发放招标文件。</w:t>
      </w:r>
    </w:p>
    <w:p w14:paraId="585538AE">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招标文件领取时间：</w:t>
      </w:r>
      <w:r>
        <w:rPr>
          <w:rFonts w:hint="eastAsia" w:ascii="仿宋" w:hAnsi="仿宋" w:eastAsia="仿宋" w:cs="仿宋_GB2312"/>
          <w:sz w:val="28"/>
          <w:szCs w:val="28"/>
          <w:u w:val="single"/>
        </w:rPr>
        <w:t xml:space="preserve"> 202</w:t>
      </w:r>
      <w:r>
        <w:rPr>
          <w:rFonts w:ascii="仿宋" w:hAnsi="仿宋" w:eastAsia="仿宋" w:cs="仿宋_GB2312"/>
          <w:sz w:val="28"/>
          <w:szCs w:val="28"/>
          <w:u w:val="single"/>
        </w:rPr>
        <w:t>6</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w:t>
      </w:r>
      <w:r>
        <w:rPr>
          <w:rFonts w:hint="eastAsia" w:ascii="仿宋" w:hAnsi="仿宋" w:eastAsia="仿宋" w:cs="仿宋_GB2312"/>
          <w:kern w:val="0"/>
          <w:sz w:val="28"/>
          <w:szCs w:val="28"/>
          <w:u w:val="single"/>
        </w:rPr>
        <w:t xml:space="preserve"> </w:t>
      </w:r>
      <w:r>
        <w:rPr>
          <w:rFonts w:hint="eastAsia" w:ascii="仿宋" w:hAnsi="仿宋" w:eastAsia="仿宋" w:cs="仿宋_GB2312"/>
          <w:sz w:val="28"/>
          <w:szCs w:val="28"/>
          <w:u w:val="single"/>
        </w:rPr>
        <w:t xml:space="preserve">                                    </w:t>
      </w:r>
    </w:p>
    <w:p w14:paraId="3C411CC7">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（二）招标文件领取地点：</w:t>
      </w:r>
      <w:r>
        <w:rPr>
          <w:rFonts w:hint="eastAsia" w:ascii="仿宋" w:hAnsi="仿宋" w:eastAsia="仿宋" w:cs="仿宋_GB2312"/>
          <w:sz w:val="28"/>
          <w:szCs w:val="28"/>
          <w:u w:val="single"/>
        </w:rPr>
        <w:t>详见投标须知前附表1</w:t>
      </w:r>
      <w:r>
        <w:rPr>
          <w:rFonts w:hint="eastAsia" w:ascii="仿宋" w:hAnsi="仿宋" w:eastAsia="仿宋" w:cs="仿宋_GB2312"/>
          <w:b/>
          <w:sz w:val="28"/>
          <w:szCs w:val="28"/>
          <w:u w:val="single"/>
        </w:rPr>
        <w:t xml:space="preserve"> </w:t>
      </w:r>
      <w:r>
        <w:rPr>
          <w:rFonts w:hint="eastAsia" w:ascii="仿宋" w:hAnsi="仿宋" w:eastAsia="仿宋" w:cs="仿宋_GB2312"/>
          <w:sz w:val="28"/>
          <w:szCs w:val="28"/>
          <w:u w:val="single"/>
        </w:rPr>
        <w:t xml:space="preserve">                                    </w:t>
      </w:r>
    </w:p>
    <w:p w14:paraId="0AEFE42A">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（三）需携带资料：</w:t>
      </w:r>
      <w:r>
        <w:rPr>
          <w:rFonts w:hint="eastAsia" w:ascii="仿宋" w:hAnsi="仿宋" w:eastAsia="仿宋" w:cs="仿宋_GB2312"/>
          <w:sz w:val="28"/>
          <w:szCs w:val="28"/>
          <w:u w:val="single"/>
        </w:rPr>
        <w:t>随带本人身份证，委托代理人还应随带“法定代表人证明书”和“法定代表人授权委托书”，以证明其身份。</w:t>
      </w:r>
    </w:p>
    <w:p w14:paraId="0720AE4C">
      <w:pPr>
        <w:spacing w:line="560" w:lineRule="exact"/>
        <w:ind w:firstLine="562" w:firstLineChars="200"/>
        <w:rPr>
          <w:rFonts w:ascii="仿宋" w:hAnsi="仿宋" w:eastAsia="仿宋" w:cs="仿宋_GB2312"/>
          <w:b/>
          <w:sz w:val="28"/>
          <w:szCs w:val="28"/>
        </w:rPr>
      </w:pPr>
      <w:r>
        <w:rPr>
          <w:rFonts w:hint="eastAsia" w:ascii="仿宋" w:hAnsi="仿宋" w:eastAsia="仿宋" w:cs="仿宋_GB2312"/>
          <w:b/>
          <w:sz w:val="28"/>
          <w:szCs w:val="28"/>
        </w:rPr>
        <w:t>十二、投标文件的递交</w:t>
      </w:r>
    </w:p>
    <w:p w14:paraId="611E08AE">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（一）截标时间：</w:t>
      </w:r>
      <w:r>
        <w:rPr>
          <w:rFonts w:hint="eastAsia" w:ascii="仿宋" w:hAnsi="仿宋" w:eastAsia="仿宋" w:cs="仿宋_GB2312"/>
          <w:sz w:val="28"/>
          <w:szCs w:val="28"/>
          <w:u w:val="single"/>
        </w:rPr>
        <w:t xml:space="preserve"> 202</w:t>
      </w:r>
      <w:r>
        <w:rPr>
          <w:rFonts w:ascii="仿宋" w:hAnsi="仿宋" w:eastAsia="仿宋" w:cs="仿宋_GB2312"/>
          <w:sz w:val="28"/>
          <w:szCs w:val="28"/>
          <w:u w:val="single"/>
        </w:rPr>
        <w:t>6</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w:t>
      </w:r>
      <w:r>
        <w:rPr>
          <w:rFonts w:ascii="仿宋" w:hAnsi="仿宋" w:eastAsia="仿宋" w:cs="仿宋_GB2312"/>
          <w:sz w:val="28"/>
          <w:szCs w:val="28"/>
          <w:u w:val="single"/>
        </w:rPr>
        <w:t>1</w:t>
      </w:r>
      <w:r>
        <w:rPr>
          <w:rFonts w:hint="eastAsia" w:ascii="仿宋" w:hAnsi="仿宋" w:eastAsia="仿宋" w:cs="仿宋_GB2312"/>
          <w:sz w:val="28"/>
          <w:szCs w:val="28"/>
          <w:u w:val="single"/>
          <w:lang w:val="en-US" w:eastAsia="zh-CN"/>
        </w:rPr>
        <w:t>0</w:t>
      </w:r>
      <w:r>
        <w:rPr>
          <w:rFonts w:ascii="仿宋" w:hAnsi="仿宋" w:eastAsia="仿宋" w:cs="仿宋_GB2312"/>
          <w:sz w:val="28"/>
          <w:szCs w:val="28"/>
          <w:u w:val="single"/>
        </w:rPr>
        <w:t>：</w:t>
      </w:r>
      <w:r>
        <w:rPr>
          <w:rFonts w:hint="eastAsia" w:ascii="仿宋" w:hAnsi="仿宋" w:eastAsia="仿宋" w:cs="仿宋_GB2312"/>
          <w:sz w:val="28"/>
          <w:szCs w:val="28"/>
          <w:u w:val="single"/>
        </w:rPr>
        <w:t>0</w:t>
      </w:r>
      <w:r>
        <w:rPr>
          <w:rFonts w:ascii="仿宋" w:hAnsi="仿宋" w:eastAsia="仿宋" w:cs="仿宋_GB2312"/>
          <w:sz w:val="28"/>
          <w:szCs w:val="28"/>
          <w:u w:val="single"/>
        </w:rPr>
        <w:t>0时</w:t>
      </w:r>
      <w:r>
        <w:rPr>
          <w:rFonts w:hint="eastAsia" w:ascii="仿宋" w:hAnsi="仿宋" w:eastAsia="仿宋" w:cs="仿宋_GB2312"/>
          <w:sz w:val="28"/>
          <w:szCs w:val="28"/>
          <w:u w:val="single"/>
        </w:rPr>
        <w:t xml:space="preserve">  </w:t>
      </w:r>
      <w:r>
        <w:rPr>
          <w:rFonts w:hint="eastAsia" w:ascii="仿宋" w:hAnsi="仿宋" w:eastAsia="仿宋" w:cs="仿宋_GB2312"/>
          <w:kern w:val="0"/>
          <w:sz w:val="28"/>
          <w:szCs w:val="28"/>
        </w:rPr>
        <w:t>。</w:t>
      </w:r>
    </w:p>
    <w:p w14:paraId="2D9E8844">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（二）截标地点：</w:t>
      </w:r>
      <w:r>
        <w:rPr>
          <w:rFonts w:hint="eastAsia" w:ascii="仿宋" w:hAnsi="仿宋" w:eastAsia="仿宋" w:cs="仿宋_GB2312"/>
          <w:sz w:val="28"/>
          <w:szCs w:val="28"/>
          <w:u w:val="single"/>
        </w:rPr>
        <w:t xml:space="preserve">详见投标须知前附表1 </w:t>
      </w:r>
      <w:r>
        <w:rPr>
          <w:rFonts w:hint="eastAsia" w:ascii="仿宋" w:hAnsi="仿宋" w:eastAsia="仿宋" w:cs="宋体"/>
          <w:sz w:val="28"/>
          <w:szCs w:val="28"/>
          <w:u w:val="single"/>
        </w:rPr>
        <w:t xml:space="preserve">                           </w:t>
      </w:r>
    </w:p>
    <w:p w14:paraId="1E094705">
      <w:pPr>
        <w:spacing w:line="560" w:lineRule="exact"/>
        <w:ind w:firstLine="562" w:firstLineChars="200"/>
        <w:rPr>
          <w:rFonts w:ascii="仿宋" w:hAnsi="仿宋" w:eastAsia="仿宋"/>
          <w:b/>
          <w:sz w:val="28"/>
          <w:szCs w:val="28"/>
        </w:rPr>
      </w:pPr>
      <w:bookmarkStart w:id="58" w:name="_Toc87887965"/>
      <w:bookmarkStart w:id="59" w:name="_Toc7752"/>
      <w:r>
        <w:rPr>
          <w:rFonts w:hint="eastAsia" w:ascii="仿宋" w:hAnsi="仿宋" w:eastAsia="仿宋"/>
          <w:b/>
          <w:sz w:val="28"/>
          <w:szCs w:val="28"/>
        </w:rPr>
        <w:t>十三、发布公告的媒介</w:t>
      </w:r>
    </w:p>
    <w:p w14:paraId="319D4D54">
      <w:pPr>
        <w:spacing w:line="560" w:lineRule="exact"/>
        <w:ind w:firstLine="560" w:firstLineChars="200"/>
        <w:rPr>
          <w:rFonts w:ascii="仿宋" w:hAnsi="仿宋" w:eastAsia="仿宋"/>
          <w:sz w:val="28"/>
          <w:szCs w:val="28"/>
        </w:rPr>
      </w:pPr>
      <w:r>
        <w:rPr>
          <w:rFonts w:hint="eastAsia" w:ascii="仿宋" w:hAnsi="仿宋" w:eastAsia="仿宋"/>
          <w:sz w:val="28"/>
          <w:szCs w:val="28"/>
        </w:rPr>
        <w:t>本次招标公告在</w:t>
      </w:r>
      <w:r>
        <w:rPr>
          <w:rFonts w:ascii="仿宋" w:hAnsi="仿宋" w:eastAsia="仿宋" w:cs="Courier New"/>
          <w:kern w:val="0"/>
          <w:sz w:val="28"/>
          <w:szCs w:val="28"/>
        </w:rPr>
        <w:t>https://www.szygcgpt.com/</w:t>
      </w:r>
      <w:r>
        <w:rPr>
          <w:rFonts w:hint="eastAsia" w:ascii="仿宋" w:hAnsi="仿宋" w:eastAsia="仿宋" w:cs="Courier New"/>
          <w:kern w:val="0"/>
          <w:sz w:val="28"/>
          <w:szCs w:val="28"/>
        </w:rPr>
        <w:t>（市属国企阳光采购服务平台）</w:t>
      </w:r>
      <w:r>
        <w:rPr>
          <w:rFonts w:hint="eastAsia" w:ascii="仿宋" w:hAnsi="仿宋" w:eastAsia="仿宋"/>
          <w:sz w:val="28"/>
          <w:szCs w:val="28"/>
        </w:rPr>
        <w:t>上发布。</w:t>
      </w:r>
    </w:p>
    <w:p w14:paraId="19495CA2">
      <w:pPr>
        <w:spacing w:line="560" w:lineRule="exact"/>
        <w:ind w:firstLine="562" w:firstLineChars="200"/>
        <w:rPr>
          <w:rFonts w:ascii="仿宋" w:hAnsi="仿宋" w:eastAsia="仿宋"/>
          <w:b/>
          <w:sz w:val="28"/>
          <w:szCs w:val="28"/>
        </w:rPr>
      </w:pPr>
      <w:r>
        <w:rPr>
          <w:rFonts w:hint="eastAsia" w:ascii="仿宋" w:hAnsi="仿宋" w:eastAsia="仿宋"/>
          <w:b/>
          <w:sz w:val="28"/>
          <w:szCs w:val="28"/>
        </w:rPr>
        <w:t>十</w:t>
      </w:r>
      <w:r>
        <w:rPr>
          <w:rFonts w:ascii="仿宋" w:hAnsi="仿宋" w:eastAsia="仿宋"/>
          <w:b/>
          <w:sz w:val="28"/>
          <w:szCs w:val="28"/>
        </w:rPr>
        <w:t>四</w:t>
      </w:r>
      <w:r>
        <w:rPr>
          <w:rFonts w:hint="eastAsia" w:ascii="仿宋" w:hAnsi="仿宋" w:eastAsia="仿宋"/>
          <w:b/>
          <w:sz w:val="28"/>
          <w:szCs w:val="28"/>
        </w:rPr>
        <w:t>、联系方式</w:t>
      </w:r>
    </w:p>
    <w:p w14:paraId="2997BA5E">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（一）联系人：</w:t>
      </w:r>
      <w:r>
        <w:rPr>
          <w:rFonts w:hint="eastAsia" w:ascii="仿宋" w:hAnsi="仿宋" w:eastAsia="仿宋"/>
          <w:sz w:val="28"/>
          <w:szCs w:val="28"/>
          <w:u w:val="single"/>
        </w:rPr>
        <w:t xml:space="preserve">    李先生             </w:t>
      </w:r>
    </w:p>
    <w:p w14:paraId="30D410FA">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（二）联系电话：</w:t>
      </w:r>
      <w:r>
        <w:rPr>
          <w:rFonts w:hint="eastAsia" w:ascii="仿宋" w:hAnsi="仿宋" w:eastAsia="仿宋"/>
          <w:sz w:val="28"/>
          <w:szCs w:val="28"/>
          <w:u w:val="single"/>
        </w:rPr>
        <w:t xml:space="preserve">   15889676077       </w:t>
      </w:r>
    </w:p>
    <w:p w14:paraId="1F183E7C">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（三）传真：</w:t>
      </w:r>
      <w:r>
        <w:rPr>
          <w:rFonts w:hint="eastAsia" w:ascii="仿宋" w:hAnsi="仿宋" w:eastAsia="仿宋"/>
          <w:sz w:val="28"/>
          <w:szCs w:val="28"/>
          <w:u w:val="single"/>
        </w:rPr>
        <w:t xml:space="preserve">        /                </w:t>
      </w:r>
    </w:p>
    <w:p w14:paraId="4F05DBCA">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（四）电子邮箱：</w:t>
      </w:r>
      <w:r>
        <w:rPr>
          <w:rFonts w:ascii="仿宋" w:hAnsi="仿宋" w:eastAsia="仿宋"/>
          <w:sz w:val="28"/>
          <w:szCs w:val="28"/>
          <w:u w:val="single"/>
        </w:rPr>
        <w:t xml:space="preserve">lijiale@csc-sz.com </w:t>
      </w:r>
      <w:r>
        <w:rPr>
          <w:rFonts w:hint="eastAsia" w:ascii="仿宋" w:hAnsi="仿宋" w:eastAsia="仿宋"/>
          <w:sz w:val="28"/>
          <w:szCs w:val="28"/>
          <w:u w:val="single"/>
        </w:rPr>
        <w:t xml:space="preserve">  </w:t>
      </w:r>
    </w:p>
    <w:p w14:paraId="0DC63F20">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（五）地址：</w:t>
      </w:r>
      <w:r>
        <w:rPr>
          <w:rFonts w:hint="eastAsia" w:ascii="仿宋" w:hAnsi="仿宋" w:eastAsia="仿宋"/>
          <w:sz w:val="28"/>
          <w:szCs w:val="28"/>
          <w:u w:val="single"/>
        </w:rPr>
        <w:t xml:space="preserve">详见投标须知前附表1 </w:t>
      </w:r>
    </w:p>
    <w:p w14:paraId="10EEF549">
      <w:pPr>
        <w:spacing w:line="560" w:lineRule="exact"/>
        <w:jc w:val="left"/>
        <w:rPr>
          <w:rFonts w:ascii="仿宋" w:hAnsi="仿宋" w:eastAsia="仿宋"/>
          <w:sz w:val="28"/>
          <w:szCs w:val="28"/>
        </w:rPr>
      </w:pPr>
    </w:p>
    <w:p w14:paraId="2EF601A1">
      <w:pPr>
        <w:spacing w:line="560" w:lineRule="exact"/>
        <w:jc w:val="left"/>
        <w:rPr>
          <w:rFonts w:ascii="仿宋" w:hAnsi="仿宋" w:eastAsia="仿宋"/>
          <w:sz w:val="28"/>
          <w:szCs w:val="28"/>
          <w:u w:val="single"/>
        </w:rPr>
      </w:pPr>
      <w:r>
        <w:rPr>
          <w:rFonts w:hint="eastAsia" w:ascii="仿宋" w:hAnsi="仿宋" w:eastAsia="仿宋"/>
          <w:sz w:val="28"/>
          <w:szCs w:val="28"/>
        </w:rPr>
        <w:t xml:space="preserve">                       招标人：</w:t>
      </w:r>
      <w:r>
        <w:rPr>
          <w:rFonts w:hint="eastAsia" w:ascii="仿宋" w:hAnsi="仿宋" w:eastAsia="仿宋"/>
          <w:sz w:val="28"/>
          <w:szCs w:val="28"/>
          <w:u w:val="single"/>
        </w:rPr>
        <w:t>深圳第一亚太物业管理有限公司</w:t>
      </w:r>
    </w:p>
    <w:p w14:paraId="1C9554A3">
      <w:pPr>
        <w:spacing w:line="560" w:lineRule="exact"/>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 xml:space="preserve">                                              </w:t>
      </w:r>
    </w:p>
    <w:p w14:paraId="79267696">
      <w:pPr>
        <w:spacing w:line="560" w:lineRule="exact"/>
        <w:ind w:firstLine="560" w:firstLineChars="200"/>
        <w:jc w:val="left"/>
        <w:rPr>
          <w:rFonts w:ascii="仿宋" w:hAnsi="仿宋" w:eastAsia="仿宋" w:cs="仿宋_GB2312"/>
          <w:kern w:val="0"/>
          <w:sz w:val="28"/>
          <w:szCs w:val="28"/>
        </w:rPr>
      </w:pPr>
      <w:r>
        <w:rPr>
          <w:rFonts w:hint="eastAsia" w:ascii="仿宋" w:hAnsi="仿宋" w:eastAsia="仿宋" w:cs="仿宋_GB2312"/>
          <w:kern w:val="0"/>
          <w:sz w:val="28"/>
          <w:szCs w:val="28"/>
        </w:rPr>
        <w:t xml:space="preserve">                                 202</w:t>
      </w:r>
      <w:r>
        <w:rPr>
          <w:rFonts w:ascii="仿宋" w:hAnsi="仿宋" w:eastAsia="仿宋" w:cs="仿宋_GB2312"/>
          <w:kern w:val="0"/>
          <w:sz w:val="28"/>
          <w:szCs w:val="28"/>
        </w:rPr>
        <w:t>6</w:t>
      </w:r>
      <w:r>
        <w:rPr>
          <w:rFonts w:hint="eastAsia" w:ascii="仿宋" w:hAnsi="仿宋" w:eastAsia="仿宋" w:cs="仿宋_GB2312"/>
          <w:kern w:val="0"/>
          <w:sz w:val="28"/>
          <w:szCs w:val="28"/>
        </w:rPr>
        <w:t xml:space="preserve">年 </w:t>
      </w:r>
      <w:r>
        <w:rPr>
          <w:rFonts w:hint="eastAsia" w:ascii="仿宋" w:hAnsi="仿宋" w:eastAsia="仿宋" w:cs="仿宋_GB2312"/>
          <w:kern w:val="0"/>
          <w:sz w:val="28"/>
          <w:szCs w:val="28"/>
          <w:lang w:val="en-US" w:eastAsia="zh-CN"/>
        </w:rPr>
        <w:t>9</w:t>
      </w:r>
      <w:r>
        <w:rPr>
          <w:rFonts w:hint="eastAsia" w:ascii="仿宋" w:hAnsi="仿宋" w:eastAsia="仿宋" w:cs="仿宋_GB2312"/>
          <w:kern w:val="0"/>
          <w:sz w:val="28"/>
          <w:szCs w:val="28"/>
        </w:rPr>
        <w:t>月</w:t>
      </w:r>
      <w:r>
        <w:rPr>
          <w:rFonts w:hint="eastAsia" w:ascii="仿宋" w:hAnsi="仿宋" w:eastAsia="仿宋" w:cs="仿宋_GB2312"/>
          <w:kern w:val="0"/>
          <w:sz w:val="28"/>
          <w:szCs w:val="28"/>
          <w:lang w:val="en-US" w:eastAsia="zh-CN"/>
        </w:rPr>
        <w:t>5</w:t>
      </w:r>
      <w:r>
        <w:rPr>
          <w:rFonts w:ascii="仿宋" w:hAnsi="仿宋" w:eastAsia="仿宋" w:cs="仿宋_GB2312"/>
          <w:kern w:val="0"/>
          <w:sz w:val="28"/>
          <w:szCs w:val="28"/>
        </w:rPr>
        <w:t xml:space="preserve"> </w:t>
      </w:r>
      <w:r>
        <w:rPr>
          <w:rFonts w:hint="eastAsia" w:ascii="仿宋" w:hAnsi="仿宋" w:eastAsia="仿宋" w:cs="仿宋_GB2312"/>
          <w:kern w:val="0"/>
          <w:sz w:val="28"/>
          <w:szCs w:val="28"/>
        </w:rPr>
        <w:t>日</w:t>
      </w:r>
    </w:p>
    <w:p w14:paraId="2E0EB4A4">
      <w:pPr>
        <w:spacing w:line="560" w:lineRule="exact"/>
        <w:ind w:firstLine="560" w:firstLineChars="200"/>
        <w:jc w:val="left"/>
        <w:rPr>
          <w:rFonts w:ascii="仿宋" w:hAnsi="仿宋" w:eastAsia="仿宋" w:cs="仿宋_GB2312"/>
          <w:sz w:val="28"/>
          <w:szCs w:val="28"/>
        </w:rPr>
      </w:pPr>
    </w:p>
    <w:p w14:paraId="2E39D6EB">
      <w:pPr>
        <w:pStyle w:val="7"/>
        <w:spacing w:line="560" w:lineRule="exact"/>
        <w:rPr>
          <w:rFonts w:ascii="仿宋" w:hAnsi="仿宋" w:eastAsia="仿宋" w:cs="仿宋_GB2312"/>
          <w:kern w:val="0"/>
          <w:sz w:val="32"/>
          <w:szCs w:val="32"/>
        </w:rPr>
      </w:pPr>
    </w:p>
    <w:p w14:paraId="32B5F4B9"/>
    <w:p w14:paraId="1C15815F"/>
    <w:p w14:paraId="4B9BCDAE">
      <w:pPr>
        <w:sectPr>
          <w:headerReference r:id="rId8" w:type="default"/>
          <w:footerReference r:id="rId9" w:type="default"/>
          <w:pgSz w:w="12240" w:h="15840"/>
          <w:pgMar w:top="1440" w:right="1797" w:bottom="1440" w:left="1797" w:header="720" w:footer="720" w:gutter="0"/>
          <w:cols w:space="720" w:num="1"/>
        </w:sectPr>
      </w:pPr>
    </w:p>
    <w:p w14:paraId="652D6F4D">
      <w:pPr>
        <w:pStyle w:val="2"/>
      </w:pPr>
    </w:p>
    <w:p w14:paraId="784DC0F8">
      <w:pPr>
        <w:pStyle w:val="7"/>
        <w:spacing w:line="560" w:lineRule="exact"/>
        <w:rPr>
          <w:rFonts w:ascii="仿宋" w:hAnsi="仿宋" w:eastAsia="仿宋"/>
          <w:kern w:val="0"/>
          <w:sz w:val="32"/>
          <w:szCs w:val="32"/>
        </w:rPr>
      </w:pPr>
      <w:r>
        <w:rPr>
          <w:rFonts w:hint="eastAsia" w:ascii="仿宋" w:hAnsi="仿宋" w:eastAsia="仿宋" w:cs="仿宋_GB2312"/>
          <w:kern w:val="0"/>
          <w:sz w:val="32"/>
          <w:szCs w:val="32"/>
        </w:rPr>
        <w:t>附件二：投标文件否决性条款摘要</w:t>
      </w:r>
      <w:bookmarkEnd w:id="58"/>
      <w:bookmarkEnd w:id="59"/>
    </w:p>
    <w:p w14:paraId="67D161B8">
      <w:pPr>
        <w:adjustRightInd w:val="0"/>
        <w:snapToGrid w:val="0"/>
        <w:spacing w:line="360" w:lineRule="auto"/>
        <w:ind w:firstLine="1440" w:firstLineChars="400"/>
        <w:rPr>
          <w:rFonts w:ascii="仿宋" w:hAnsi="仿宋" w:eastAsia="仿宋"/>
          <w:kern w:val="0"/>
          <w:sz w:val="36"/>
          <w:szCs w:val="36"/>
        </w:rPr>
      </w:pPr>
      <w:r>
        <w:rPr>
          <w:rFonts w:hint="eastAsia" w:ascii="仿宋" w:hAnsi="仿宋" w:eastAsia="仿宋"/>
          <w:kern w:val="0"/>
          <w:sz w:val="36"/>
          <w:szCs w:val="36"/>
        </w:rPr>
        <w:t>投标文件否决性条款摘要</w:t>
      </w:r>
    </w:p>
    <w:p w14:paraId="09882614">
      <w:pPr>
        <w:adjustRightInd w:val="0"/>
        <w:snapToGrid w:val="0"/>
        <w:spacing w:line="560" w:lineRule="exact"/>
        <w:ind w:firstLine="562" w:firstLineChars="200"/>
        <w:rPr>
          <w:rFonts w:ascii="仿宋" w:hAnsi="仿宋" w:eastAsia="仿宋" w:cs="仿宋_GB2312"/>
          <w:b/>
          <w:bCs/>
          <w:kern w:val="0"/>
          <w:sz w:val="28"/>
          <w:szCs w:val="28"/>
        </w:rPr>
      </w:pPr>
      <w:r>
        <w:rPr>
          <w:rFonts w:hint="eastAsia" w:ascii="仿宋" w:hAnsi="仿宋" w:eastAsia="仿宋" w:cs="仿宋_GB2312"/>
          <w:b/>
          <w:bCs/>
          <w:kern w:val="0"/>
          <w:sz w:val="28"/>
          <w:szCs w:val="28"/>
        </w:rPr>
        <w:t>一、</w:t>
      </w:r>
      <w:r>
        <w:rPr>
          <w:rFonts w:hint="eastAsia" w:ascii="仿宋" w:hAnsi="仿宋" w:eastAsia="仿宋" w:cs="仿宋_GB2312"/>
          <w:b/>
          <w:kern w:val="0"/>
          <w:sz w:val="28"/>
          <w:szCs w:val="28"/>
        </w:rPr>
        <w:t>开标阶段，投标文件不予受理的情形</w:t>
      </w:r>
      <w:r>
        <w:rPr>
          <w:rFonts w:hint="eastAsia" w:ascii="仿宋" w:hAnsi="仿宋" w:eastAsia="仿宋" w:cs="仿宋_GB2312"/>
          <w:b/>
          <w:bCs/>
          <w:kern w:val="0"/>
          <w:sz w:val="28"/>
          <w:szCs w:val="28"/>
        </w:rPr>
        <w:t xml:space="preserve">： </w:t>
      </w:r>
    </w:p>
    <w:p w14:paraId="38A73011">
      <w:pPr>
        <w:adjustRightInd w:val="0"/>
        <w:snapToGrid w:val="0"/>
        <w:spacing w:line="560" w:lineRule="exact"/>
        <w:ind w:firstLine="560" w:firstLineChars="200"/>
        <w:rPr>
          <w:rFonts w:ascii="仿宋" w:hAnsi="仿宋" w:eastAsia="仿宋" w:cs="仿宋_GB2312"/>
          <w:bCs/>
          <w:kern w:val="0"/>
          <w:sz w:val="28"/>
          <w:szCs w:val="28"/>
        </w:rPr>
      </w:pPr>
      <w:r>
        <w:rPr>
          <w:rFonts w:hint="eastAsia" w:ascii="仿宋" w:hAnsi="仿宋" w:eastAsia="仿宋" w:cs="仿宋_GB2312"/>
          <w:bCs/>
          <w:kern w:val="0"/>
          <w:sz w:val="28"/>
          <w:szCs w:val="28"/>
        </w:rPr>
        <w:t>1、</w:t>
      </w:r>
      <w:r>
        <w:rPr>
          <w:rFonts w:hint="eastAsia" w:ascii="仿宋" w:hAnsi="仿宋" w:eastAsia="仿宋" w:cs="仿宋_GB2312"/>
          <w:kern w:val="0"/>
          <w:sz w:val="28"/>
          <w:szCs w:val="28"/>
        </w:rPr>
        <w:t>在投标截止时间以后逾期送达的或者未送达指定地点的；</w:t>
      </w:r>
    </w:p>
    <w:p w14:paraId="15D3FF2F">
      <w:pPr>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2、投标文件中的投标资格证明文件不合格的；</w:t>
      </w:r>
    </w:p>
    <w:p w14:paraId="3E60D527">
      <w:pPr>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bCs/>
          <w:kern w:val="0"/>
          <w:sz w:val="28"/>
          <w:szCs w:val="28"/>
        </w:rPr>
        <w:t>3、</w:t>
      </w:r>
      <w:r>
        <w:rPr>
          <w:rFonts w:hint="eastAsia" w:ascii="仿宋" w:hAnsi="仿宋" w:eastAsia="仿宋" w:cs="仿宋_GB2312"/>
          <w:kern w:val="0"/>
          <w:sz w:val="28"/>
          <w:szCs w:val="28"/>
        </w:rPr>
        <w:t>投标文件的投标报价高于投标报价上限的；</w:t>
      </w:r>
    </w:p>
    <w:p w14:paraId="59E9D883">
      <w:pPr>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4、</w:t>
      </w:r>
      <w:r>
        <w:rPr>
          <w:rFonts w:hint="eastAsia" w:ascii="仿宋" w:hAnsi="仿宋" w:eastAsia="仿宋" w:cs="仿宋_GB2312"/>
          <w:bCs/>
          <w:sz w:val="28"/>
          <w:szCs w:val="28"/>
        </w:rPr>
        <w:t>投标文件承诺的服务周期超过招标文件要求的；</w:t>
      </w:r>
    </w:p>
    <w:p w14:paraId="300AA943">
      <w:pPr>
        <w:adjustRightInd w:val="0"/>
        <w:snapToGrid w:val="0"/>
        <w:spacing w:line="560" w:lineRule="exact"/>
        <w:ind w:firstLine="560" w:firstLineChars="200"/>
        <w:rPr>
          <w:rFonts w:ascii="仿宋" w:hAnsi="仿宋" w:eastAsia="仿宋" w:cs="仿宋_GB2312"/>
          <w:bCs/>
          <w:kern w:val="0"/>
          <w:sz w:val="28"/>
          <w:szCs w:val="28"/>
        </w:rPr>
      </w:pPr>
      <w:r>
        <w:rPr>
          <w:rFonts w:hint="eastAsia" w:ascii="仿宋" w:hAnsi="仿宋" w:eastAsia="仿宋" w:cs="仿宋_GB2312"/>
          <w:kern w:val="0"/>
          <w:sz w:val="28"/>
          <w:szCs w:val="28"/>
        </w:rPr>
        <w:t xml:space="preserve">5、未按招标文件要求提交投标保函原件的或资信标未提供投标保函复印件的(采用投标保函形式情形),投标人未按招标文件要求在资信标提供投标保证金转账凭证复印件的或截标后投标保证金未到账的(采用银行转账形式情形)。 </w:t>
      </w:r>
    </w:p>
    <w:p w14:paraId="7395A0B2">
      <w:pPr>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6、未按招标文件规定提交《投标函》的，且未规定加盖投标人印章、或未经法定代表人或其委托代理人签字(或盖章)的；</w:t>
      </w:r>
    </w:p>
    <w:p w14:paraId="5E05C0CB">
      <w:pPr>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7、投标文件中存在投标人名称不统一、投标人名称与投标人公章不一致、投标文件中的招标人名称与招标文件不一致的；</w:t>
      </w:r>
    </w:p>
    <w:p w14:paraId="69F98BA1">
      <w:pPr>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8、投标文件的有关内容未按本须知规定加盖投标人印章、或未经法定代表人或其委托代理人签字(或盖章)、或由委托代理人签字(或盖章)但未随投标文件一起提供“投标文件签署授权委托书”原件的；</w:t>
      </w:r>
    </w:p>
    <w:p w14:paraId="60B808CF">
      <w:pPr>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9、招标人要求提交投标文件电子文档，但投标人未提交或提交的电子文档不符合本须知要求的；</w:t>
      </w:r>
    </w:p>
    <w:p w14:paraId="3DB0A409">
      <w:pPr>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10、组成联合体投标的，投标文件中未按规定提交联合体各方共同投标协议的；</w:t>
      </w:r>
    </w:p>
    <w:p w14:paraId="60462147">
      <w:pPr>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11、参加联合体的各成员再以自己的名义单独投标的，或同时参加两个（含两个）以上的联合体投标的；</w:t>
      </w:r>
    </w:p>
    <w:p w14:paraId="435196FB">
      <w:pPr>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12、投标人没有实质性响应招标文件要求的。</w:t>
      </w:r>
    </w:p>
    <w:p w14:paraId="18F3ED33">
      <w:pPr>
        <w:adjustRightInd w:val="0"/>
        <w:snapToGrid w:val="0"/>
        <w:spacing w:line="560" w:lineRule="exact"/>
        <w:ind w:firstLine="562" w:firstLineChars="200"/>
        <w:rPr>
          <w:rFonts w:ascii="仿宋" w:hAnsi="仿宋" w:eastAsia="仿宋" w:cs="仿宋_GB2312"/>
          <w:kern w:val="0"/>
          <w:sz w:val="28"/>
          <w:szCs w:val="28"/>
        </w:rPr>
      </w:pPr>
      <w:r>
        <w:rPr>
          <w:rFonts w:hint="eastAsia" w:ascii="仿宋" w:hAnsi="仿宋" w:eastAsia="仿宋" w:cs="仿宋_GB2312"/>
          <w:b/>
          <w:kern w:val="0"/>
          <w:sz w:val="28"/>
          <w:szCs w:val="28"/>
        </w:rPr>
        <w:t>二、评标阶段有关无效标的情形：</w:t>
      </w:r>
      <w:r>
        <w:rPr>
          <w:rFonts w:hint="eastAsia" w:ascii="仿宋" w:hAnsi="仿宋" w:eastAsia="仿宋" w:cs="仿宋_GB2312"/>
          <w:kern w:val="0"/>
          <w:sz w:val="28"/>
          <w:szCs w:val="28"/>
        </w:rPr>
        <w:t xml:space="preserve"> </w:t>
      </w:r>
    </w:p>
    <w:p w14:paraId="78584B0D">
      <w:pPr>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bCs/>
          <w:kern w:val="0"/>
          <w:sz w:val="28"/>
          <w:szCs w:val="28"/>
        </w:rPr>
        <w:t>1</w:t>
      </w:r>
      <w:r>
        <w:rPr>
          <w:rFonts w:hint="eastAsia" w:ascii="仿宋" w:hAnsi="仿宋" w:eastAsia="仿宋" w:cs="仿宋_GB2312"/>
          <w:kern w:val="0"/>
          <w:sz w:val="28"/>
          <w:szCs w:val="28"/>
        </w:rPr>
        <w:t>、《投标函》未按招标文件规定填写的；</w:t>
      </w:r>
    </w:p>
    <w:p w14:paraId="24B844E1">
      <w:pPr>
        <w:tabs>
          <w:tab w:val="left" w:pos="6285"/>
        </w:tabs>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2、投标人资格条件不符合国家有关规定和招标文件要求的；</w:t>
      </w:r>
    </w:p>
    <w:p w14:paraId="6A1F54AD">
      <w:pPr>
        <w:tabs>
          <w:tab w:val="left" w:pos="6285"/>
        </w:tabs>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3、投标人以他人的名义投标或出现串通投标、弄虚作假情形的；</w:t>
      </w:r>
    </w:p>
    <w:p w14:paraId="7E57EA03">
      <w:pPr>
        <w:tabs>
          <w:tab w:val="left" w:pos="6285"/>
        </w:tabs>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4、投标文件中附有招标人不能接受的条件的。</w:t>
      </w:r>
    </w:p>
    <w:p w14:paraId="21C576EF">
      <w:pPr>
        <w:tabs>
          <w:tab w:val="left" w:pos="6285"/>
        </w:tabs>
        <w:adjustRightInd w:val="0"/>
        <w:snapToGrid w:val="0"/>
        <w:spacing w:line="560" w:lineRule="exact"/>
        <w:ind w:firstLine="562" w:firstLineChars="200"/>
        <w:rPr>
          <w:rFonts w:ascii="仿宋" w:hAnsi="仿宋" w:eastAsia="仿宋" w:cs="仿宋_GB2312"/>
          <w:b/>
          <w:kern w:val="0"/>
          <w:sz w:val="28"/>
          <w:szCs w:val="28"/>
        </w:rPr>
      </w:pPr>
      <w:r>
        <w:rPr>
          <w:rFonts w:hint="eastAsia" w:ascii="仿宋" w:hAnsi="仿宋" w:eastAsia="仿宋" w:cs="仿宋_GB2312"/>
          <w:b/>
          <w:kern w:val="0"/>
          <w:sz w:val="28"/>
          <w:szCs w:val="28"/>
        </w:rPr>
        <w:t>三、评标阶段有关废标的情形：</w:t>
      </w:r>
    </w:p>
    <w:p w14:paraId="117F0727">
      <w:pPr>
        <w:tabs>
          <w:tab w:val="left" w:pos="6285"/>
        </w:tabs>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1、评标委员会根据招标文件的规定对投标文件的投标价格进行调整，投标人不接受调整方式、调整后价格，或调整后价格超出招标控制价的；</w:t>
      </w:r>
    </w:p>
    <w:p w14:paraId="779D4065">
      <w:pPr>
        <w:tabs>
          <w:tab w:val="left" w:pos="6285"/>
        </w:tabs>
        <w:adjustRightInd w:val="0"/>
        <w:snapToGrid w:val="0"/>
        <w:spacing w:line="560" w:lineRule="exact"/>
        <w:ind w:firstLine="560" w:firstLineChars="200"/>
        <w:rPr>
          <w:rFonts w:ascii="仿宋" w:hAnsi="仿宋" w:eastAsia="仿宋" w:cs="仿宋_GB2312"/>
          <w:kern w:val="0"/>
          <w:sz w:val="28"/>
          <w:szCs w:val="28"/>
        </w:rPr>
      </w:pPr>
      <w:r>
        <w:rPr>
          <w:rFonts w:hint="eastAsia" w:ascii="仿宋" w:hAnsi="仿宋" w:eastAsia="仿宋" w:cs="仿宋_GB2312"/>
          <w:kern w:val="0"/>
          <w:sz w:val="28"/>
          <w:szCs w:val="28"/>
        </w:rPr>
        <w:t>2、</w:t>
      </w:r>
      <w:r>
        <w:rPr>
          <w:rFonts w:hint="eastAsia" w:ascii="仿宋" w:hAnsi="仿宋" w:eastAsia="仿宋" w:cs="仿宋_GB2312"/>
          <w:snapToGrid w:val="0"/>
          <w:kern w:val="0"/>
          <w:sz w:val="28"/>
          <w:szCs w:val="28"/>
        </w:rPr>
        <w:t>评标委员会认定的其他串通投标、弄虚作假情形</w:t>
      </w:r>
      <w:r>
        <w:rPr>
          <w:rFonts w:hint="eastAsia" w:ascii="仿宋" w:hAnsi="仿宋" w:eastAsia="仿宋" w:cs="仿宋_GB2312"/>
          <w:kern w:val="0"/>
          <w:sz w:val="28"/>
          <w:szCs w:val="28"/>
        </w:rPr>
        <w:t>。</w:t>
      </w:r>
    </w:p>
    <w:p w14:paraId="069B9C06">
      <w:pPr>
        <w:adjustRightInd w:val="0"/>
        <w:snapToGrid w:val="0"/>
        <w:spacing w:line="560" w:lineRule="exact"/>
        <w:ind w:firstLine="560" w:firstLineChars="200"/>
        <w:jc w:val="left"/>
        <w:rPr>
          <w:rFonts w:ascii="仿宋" w:hAnsi="仿宋" w:eastAsia="仿宋"/>
          <w:kern w:val="0"/>
          <w:sz w:val="28"/>
          <w:szCs w:val="28"/>
        </w:rPr>
      </w:pPr>
      <w:r>
        <w:rPr>
          <w:rFonts w:ascii="仿宋" w:hAnsi="仿宋" w:eastAsia="仿宋"/>
          <w:kern w:val="0"/>
          <w:sz w:val="28"/>
          <w:szCs w:val="28"/>
        </w:rPr>
        <w:br w:type="page"/>
      </w:r>
    </w:p>
    <w:p w14:paraId="0ED1BC5D">
      <w:pPr>
        <w:pStyle w:val="7"/>
        <w:spacing w:before="0" w:after="0" w:line="560" w:lineRule="exact"/>
        <w:rPr>
          <w:rFonts w:ascii="仿宋" w:hAnsi="仿宋" w:eastAsia="仿宋"/>
          <w:kern w:val="0"/>
          <w:sz w:val="32"/>
          <w:szCs w:val="32"/>
        </w:rPr>
      </w:pPr>
      <w:bookmarkStart w:id="60" w:name="_Toc87887966"/>
      <w:bookmarkStart w:id="61" w:name="_Toc23327"/>
      <w:bookmarkStart w:id="62" w:name="_Toc12963"/>
      <w:r>
        <w:rPr>
          <w:rFonts w:hint="eastAsia" w:ascii="仿宋" w:hAnsi="仿宋" w:eastAsia="仿宋" w:cs="仿宋_GB2312"/>
          <w:kern w:val="0"/>
          <w:sz w:val="32"/>
          <w:szCs w:val="32"/>
        </w:rPr>
        <w:t>附件三：评标程序和评标方法</w:t>
      </w:r>
      <w:bookmarkEnd w:id="60"/>
      <w:bookmarkEnd w:id="61"/>
      <w:bookmarkEnd w:id="62"/>
    </w:p>
    <w:p w14:paraId="4601BE99">
      <w:pPr>
        <w:rPr>
          <w:rFonts w:ascii="仿宋" w:hAnsi="仿宋" w:eastAsia="仿宋"/>
        </w:rPr>
      </w:pPr>
    </w:p>
    <w:p w14:paraId="63C7D272">
      <w:pPr>
        <w:pStyle w:val="8"/>
        <w:spacing w:before="0" w:after="0" w:line="480" w:lineRule="auto"/>
        <w:jc w:val="center"/>
        <w:rPr>
          <w:rFonts w:ascii="仿宋" w:hAnsi="仿宋" w:eastAsia="仿宋"/>
          <w:sz w:val="32"/>
          <w:szCs w:val="32"/>
        </w:rPr>
      </w:pPr>
      <w:r>
        <w:rPr>
          <w:rFonts w:hint="eastAsia" w:ascii="仿宋" w:hAnsi="仿宋" w:eastAsia="仿宋"/>
          <w:sz w:val="32"/>
          <w:szCs w:val="32"/>
        </w:rPr>
        <w:t>一、评标程序</w:t>
      </w:r>
    </w:p>
    <w:p w14:paraId="1E613DDF">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1.评标委员会推选一名成员担任主任委员，负责协调、组织评标活动的实施。（主任委员与评标委员会的其他成员享有同等的表决权）</w:t>
      </w:r>
    </w:p>
    <w:p w14:paraId="4D8CD7DF">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2.评标委员会了解项目概况（包括项目的重点、难点）、评标内容、评标方法、招标文件中须注意的事项、以及建议评标的要点。</w:t>
      </w:r>
    </w:p>
    <w:p w14:paraId="11E7817F">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3.评标委员会成员熟悉招标文件、开标情况一览表，研究评标重点及具体分工。</w:t>
      </w:r>
    </w:p>
    <w:p w14:paraId="389E23EF">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4.评标过程中发现有评标资料不齐全的情况，评标委员会应向工作人员反映，要求补充。</w:t>
      </w:r>
    </w:p>
    <w:p w14:paraId="5BE2905D">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评标委员会成员按照各自分工，根据招标文件规定的评标标准和方法，对投标文件进行系统的评审和比较。评审分初步评审和详细评审。经初步评审合格的投标文件，评标委员会对其技术部分和商务部分作进一步评审、比较。</w:t>
      </w:r>
    </w:p>
    <w:p w14:paraId="4F641BD5">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6．填写有关评标记录。</w:t>
      </w:r>
    </w:p>
    <w:p w14:paraId="682765F1">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7.评标过程中出现的争议，应当提交评标委员会集体讨论形成一致意见，不能形成一致意见的应在充分讨论后予以表决。</w:t>
      </w:r>
    </w:p>
    <w:p w14:paraId="0695452D">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8.对需要投标人澄清、说明、补正的，应当进行答辩，并作好记录。</w:t>
      </w:r>
    </w:p>
    <w:p w14:paraId="26BAFD13">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9.对评判为无效标或废标的情况进行详细的记录和说明，并告知相应的投标人，允许其进行解释，但不影响评判的最终结果。</w:t>
      </w:r>
    </w:p>
    <w:p w14:paraId="05EFC9C0">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10.对发现的违法、违规（嫌疑）行为，应当在评标报告中做出详细说明，做好取证工作。</w:t>
      </w:r>
    </w:p>
    <w:p w14:paraId="2E7F6D39">
      <w:pPr>
        <w:pStyle w:val="32"/>
        <w:spacing w:before="0" w:beforeAutospacing="0" w:after="0" w:afterAutospacing="0"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11.由评标委员会主任委员或其指定的其他评标委员会成员填写评标报告， 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做出书面说明并记录在案。</w:t>
      </w:r>
    </w:p>
    <w:p w14:paraId="576AB756">
      <w:pPr>
        <w:rPr>
          <w:rFonts w:ascii="仿宋" w:hAnsi="仿宋" w:eastAsia="仿宋"/>
        </w:rPr>
      </w:pPr>
    </w:p>
    <w:p w14:paraId="1D424F69">
      <w:pPr>
        <w:pStyle w:val="8"/>
        <w:spacing w:before="0" w:after="0" w:line="480" w:lineRule="auto"/>
        <w:jc w:val="center"/>
        <w:rPr>
          <w:rFonts w:ascii="黑体" w:hAnsi="黑体" w:eastAsia="黑体"/>
          <w:sz w:val="32"/>
          <w:szCs w:val="32"/>
        </w:rPr>
      </w:pPr>
    </w:p>
    <w:p w14:paraId="0DB77133">
      <w:pPr>
        <w:pStyle w:val="8"/>
        <w:spacing w:before="0" w:after="0" w:line="480" w:lineRule="auto"/>
        <w:jc w:val="center"/>
        <w:rPr>
          <w:rFonts w:ascii="黑体" w:hAnsi="黑体" w:eastAsia="黑体"/>
          <w:sz w:val="32"/>
          <w:szCs w:val="32"/>
        </w:rPr>
      </w:pPr>
    </w:p>
    <w:p w14:paraId="2EFE9FE0">
      <w:pPr>
        <w:pStyle w:val="8"/>
        <w:spacing w:before="0" w:after="0" w:line="480" w:lineRule="auto"/>
        <w:jc w:val="center"/>
        <w:rPr>
          <w:rFonts w:ascii="黑体" w:hAnsi="黑体" w:eastAsia="黑体"/>
          <w:sz w:val="32"/>
          <w:szCs w:val="32"/>
        </w:rPr>
      </w:pPr>
    </w:p>
    <w:p w14:paraId="5641C960">
      <w:pPr>
        <w:pStyle w:val="8"/>
        <w:spacing w:before="0" w:after="0" w:line="480" w:lineRule="auto"/>
        <w:jc w:val="center"/>
        <w:rPr>
          <w:rFonts w:ascii="黑体" w:hAnsi="黑体" w:eastAsia="黑体"/>
          <w:sz w:val="32"/>
          <w:szCs w:val="32"/>
        </w:rPr>
      </w:pPr>
    </w:p>
    <w:p w14:paraId="0B88CEEC">
      <w:pPr>
        <w:pStyle w:val="8"/>
        <w:spacing w:before="0" w:after="0" w:line="480" w:lineRule="auto"/>
        <w:jc w:val="center"/>
        <w:rPr>
          <w:rFonts w:ascii="黑体" w:hAnsi="黑体" w:eastAsia="黑体"/>
          <w:sz w:val="32"/>
          <w:szCs w:val="32"/>
        </w:rPr>
      </w:pPr>
    </w:p>
    <w:p w14:paraId="624990A4">
      <w:pPr>
        <w:pStyle w:val="8"/>
        <w:spacing w:before="0" w:after="0" w:line="480" w:lineRule="auto"/>
        <w:jc w:val="center"/>
        <w:rPr>
          <w:rFonts w:ascii="黑体" w:hAnsi="黑体" w:eastAsia="黑体"/>
          <w:sz w:val="32"/>
          <w:szCs w:val="32"/>
        </w:rPr>
      </w:pPr>
    </w:p>
    <w:p w14:paraId="6A176E15">
      <w:pPr>
        <w:pStyle w:val="8"/>
        <w:spacing w:before="0" w:after="0" w:line="480" w:lineRule="auto"/>
        <w:jc w:val="center"/>
        <w:rPr>
          <w:rFonts w:ascii="黑体" w:hAnsi="黑体" w:eastAsia="黑体"/>
          <w:sz w:val="32"/>
          <w:szCs w:val="32"/>
        </w:rPr>
      </w:pPr>
    </w:p>
    <w:p w14:paraId="0B3A1D56">
      <w:pPr>
        <w:pStyle w:val="8"/>
        <w:spacing w:before="0" w:after="0" w:line="480" w:lineRule="auto"/>
        <w:jc w:val="center"/>
        <w:rPr>
          <w:rFonts w:ascii="黑体" w:hAnsi="黑体" w:eastAsia="黑体"/>
          <w:sz w:val="32"/>
          <w:szCs w:val="32"/>
        </w:rPr>
      </w:pPr>
    </w:p>
    <w:p w14:paraId="2299AFCE">
      <w:pPr>
        <w:pStyle w:val="8"/>
        <w:spacing w:before="0" w:after="0" w:line="480" w:lineRule="auto"/>
        <w:jc w:val="center"/>
        <w:rPr>
          <w:rFonts w:ascii="黑体" w:hAnsi="黑体" w:eastAsia="黑体"/>
          <w:sz w:val="32"/>
          <w:szCs w:val="32"/>
        </w:rPr>
      </w:pPr>
    </w:p>
    <w:p w14:paraId="7400BD46">
      <w:pPr>
        <w:pStyle w:val="8"/>
        <w:spacing w:before="0" w:after="0" w:line="480" w:lineRule="auto"/>
        <w:jc w:val="center"/>
        <w:rPr>
          <w:rFonts w:ascii="黑体" w:hAnsi="黑体" w:eastAsia="黑体"/>
          <w:sz w:val="32"/>
          <w:szCs w:val="32"/>
        </w:rPr>
      </w:pPr>
    </w:p>
    <w:p w14:paraId="354C0250"/>
    <w:p w14:paraId="3A3D4691"/>
    <w:p w14:paraId="2045DE31">
      <w:pPr>
        <w:pStyle w:val="8"/>
        <w:spacing w:before="0" w:after="0" w:line="480" w:lineRule="auto"/>
        <w:jc w:val="center"/>
        <w:rPr>
          <w:rFonts w:ascii="黑体" w:hAnsi="黑体" w:eastAsia="黑体"/>
          <w:sz w:val="32"/>
          <w:szCs w:val="32"/>
        </w:rPr>
      </w:pPr>
      <w:r>
        <w:rPr>
          <w:rFonts w:hint="eastAsia" w:ascii="黑体" w:hAnsi="黑体" w:eastAsia="黑体"/>
          <w:sz w:val="32"/>
          <w:szCs w:val="32"/>
        </w:rPr>
        <w:t>二、评标方法</w:t>
      </w:r>
    </w:p>
    <w:p w14:paraId="7B7EC1AC">
      <w:pPr>
        <w:spacing w:line="360" w:lineRule="auto"/>
        <w:ind w:firstLine="562" w:firstLineChars="200"/>
        <w:rPr>
          <w:rFonts w:ascii="仿宋" w:hAnsi="仿宋" w:eastAsia="仿宋"/>
          <w:sz w:val="28"/>
          <w:szCs w:val="28"/>
        </w:rPr>
      </w:pPr>
      <w:r>
        <w:rPr>
          <w:rFonts w:hint="eastAsia" w:ascii="仿宋" w:hAnsi="仿宋" w:eastAsia="仿宋"/>
          <w:b/>
          <w:sz w:val="28"/>
          <w:szCs w:val="28"/>
        </w:rPr>
        <w:t>1.本招标项目的评标办法采用：</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7"/>
        <w:gridCol w:w="3007"/>
        <w:gridCol w:w="2411"/>
      </w:tblGrid>
      <w:tr w14:paraId="3816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3DADB819">
            <w:pPr>
              <w:pStyle w:val="18"/>
              <w:spacing w:line="400" w:lineRule="exact"/>
              <w:jc w:val="center"/>
              <w:rPr>
                <w:rFonts w:ascii="仿宋" w:hAnsi="仿宋" w:eastAsia="仿宋"/>
                <w:b/>
                <w:sz w:val="28"/>
                <w:szCs w:val="28"/>
              </w:rPr>
            </w:pPr>
            <w:r>
              <w:rPr>
                <w:rFonts w:hint="eastAsia" w:ascii="仿宋" w:hAnsi="仿宋" w:eastAsia="仿宋"/>
                <w:b/>
                <w:sz w:val="28"/>
                <w:szCs w:val="28"/>
              </w:rPr>
              <w:t>评标方法</w:t>
            </w:r>
          </w:p>
        </w:tc>
        <w:tc>
          <w:tcPr>
            <w:tcW w:w="3007" w:type="dxa"/>
            <w:tcBorders>
              <w:top w:val="single" w:color="auto" w:sz="6" w:space="0"/>
              <w:left w:val="single" w:color="auto" w:sz="4" w:space="0"/>
              <w:bottom w:val="single" w:color="auto" w:sz="6" w:space="0"/>
              <w:right w:val="single" w:color="auto" w:sz="6" w:space="0"/>
            </w:tcBorders>
            <w:vAlign w:val="center"/>
          </w:tcPr>
          <w:p w14:paraId="1811E181">
            <w:pPr>
              <w:pStyle w:val="18"/>
              <w:spacing w:line="400" w:lineRule="exact"/>
              <w:jc w:val="center"/>
              <w:rPr>
                <w:rFonts w:ascii="仿宋" w:hAnsi="仿宋" w:eastAsia="仿宋"/>
                <w:b/>
                <w:sz w:val="28"/>
                <w:szCs w:val="28"/>
              </w:rPr>
            </w:pPr>
            <w:r>
              <w:rPr>
                <w:rFonts w:hint="eastAsia" w:ascii="仿宋" w:hAnsi="仿宋" w:eastAsia="仿宋"/>
                <w:b/>
                <w:sz w:val="28"/>
                <w:szCs w:val="28"/>
              </w:rPr>
              <w:t>评审内容</w:t>
            </w:r>
          </w:p>
        </w:tc>
        <w:tc>
          <w:tcPr>
            <w:tcW w:w="2411" w:type="dxa"/>
            <w:tcBorders>
              <w:top w:val="single" w:color="auto" w:sz="6" w:space="0"/>
              <w:left w:val="single" w:color="auto" w:sz="4" w:space="0"/>
              <w:bottom w:val="single" w:color="auto" w:sz="6" w:space="0"/>
              <w:right w:val="single" w:color="auto" w:sz="6" w:space="0"/>
            </w:tcBorders>
          </w:tcPr>
          <w:p w14:paraId="1E6D1CDE">
            <w:pPr>
              <w:pStyle w:val="18"/>
              <w:spacing w:line="400" w:lineRule="exact"/>
              <w:jc w:val="center"/>
              <w:rPr>
                <w:rFonts w:ascii="仿宋" w:hAnsi="仿宋" w:eastAsia="仿宋"/>
                <w:b/>
                <w:sz w:val="28"/>
                <w:szCs w:val="28"/>
              </w:rPr>
            </w:pPr>
            <w:r>
              <w:rPr>
                <w:rFonts w:hint="eastAsia" w:ascii="仿宋" w:hAnsi="仿宋" w:eastAsia="仿宋"/>
                <w:b/>
                <w:sz w:val="28"/>
                <w:szCs w:val="28"/>
              </w:rPr>
              <w:t>备注</w:t>
            </w:r>
          </w:p>
        </w:tc>
      </w:tr>
      <w:tr w14:paraId="1F3F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4DFC0804">
            <w:pPr>
              <w:pStyle w:val="18"/>
              <w:spacing w:line="400" w:lineRule="exact"/>
              <w:jc w:val="center"/>
              <w:rPr>
                <w:rFonts w:ascii="仿宋" w:hAnsi="仿宋" w:eastAsia="仿宋"/>
                <w:sz w:val="28"/>
                <w:szCs w:val="28"/>
              </w:rPr>
            </w:pPr>
            <w:r>
              <w:rPr>
                <w:rFonts w:ascii="Segoe UI Symbol" w:hAnsi="Segoe UI Symbol" w:eastAsia="仿宋" w:cs="Segoe UI Symbol"/>
                <w:sz w:val="28"/>
                <w:szCs w:val="28"/>
              </w:rPr>
              <w:t>☑</w:t>
            </w:r>
            <w:r>
              <w:rPr>
                <w:rFonts w:hint="eastAsia" w:ascii="仿宋" w:hAnsi="仿宋" w:eastAsia="仿宋" w:cs="仿宋"/>
                <w:sz w:val="28"/>
                <w:szCs w:val="28"/>
              </w:rPr>
              <w:t>综合评分法</w:t>
            </w:r>
          </w:p>
        </w:tc>
        <w:tc>
          <w:tcPr>
            <w:tcW w:w="3007" w:type="dxa"/>
            <w:tcBorders>
              <w:top w:val="single" w:color="auto" w:sz="6" w:space="0"/>
              <w:left w:val="single" w:color="auto" w:sz="4" w:space="0"/>
              <w:bottom w:val="single" w:color="auto" w:sz="6" w:space="0"/>
              <w:right w:val="single" w:color="auto" w:sz="6" w:space="0"/>
            </w:tcBorders>
            <w:vAlign w:val="center"/>
          </w:tcPr>
          <w:p w14:paraId="56F6E202">
            <w:pPr>
              <w:pStyle w:val="18"/>
              <w:spacing w:line="400" w:lineRule="exact"/>
              <w:jc w:val="left"/>
              <w:rPr>
                <w:rFonts w:ascii="仿宋" w:hAnsi="仿宋" w:eastAsia="仿宋"/>
                <w:sz w:val="28"/>
                <w:szCs w:val="28"/>
              </w:rPr>
            </w:pPr>
            <w:r>
              <w:rPr>
                <w:rFonts w:hint="eastAsia" w:ascii="仿宋" w:hAnsi="仿宋" w:eastAsia="仿宋"/>
                <w:sz w:val="28"/>
                <w:szCs w:val="28"/>
              </w:rPr>
              <w:t>资信、商务、技术</w:t>
            </w:r>
          </w:p>
        </w:tc>
        <w:tc>
          <w:tcPr>
            <w:tcW w:w="2411" w:type="dxa"/>
            <w:tcBorders>
              <w:top w:val="single" w:color="auto" w:sz="6" w:space="0"/>
              <w:left w:val="single" w:color="auto" w:sz="4" w:space="0"/>
              <w:bottom w:val="single" w:color="auto" w:sz="6" w:space="0"/>
              <w:right w:val="single" w:color="auto" w:sz="6" w:space="0"/>
            </w:tcBorders>
          </w:tcPr>
          <w:p w14:paraId="057B3A78">
            <w:pPr>
              <w:pStyle w:val="18"/>
              <w:spacing w:line="400" w:lineRule="exact"/>
              <w:jc w:val="left"/>
              <w:rPr>
                <w:rFonts w:ascii="仿宋" w:hAnsi="仿宋" w:eastAsia="仿宋"/>
                <w:sz w:val="28"/>
                <w:szCs w:val="28"/>
              </w:rPr>
            </w:pPr>
          </w:p>
        </w:tc>
      </w:tr>
      <w:tr w14:paraId="52E2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51B55CED">
            <w:pPr>
              <w:pStyle w:val="18"/>
              <w:spacing w:line="400" w:lineRule="exact"/>
              <w:jc w:val="center"/>
              <w:rPr>
                <w:rFonts w:ascii="仿宋" w:hAnsi="仿宋" w:eastAsia="仿宋"/>
                <w:sz w:val="28"/>
                <w:szCs w:val="28"/>
              </w:rPr>
            </w:pPr>
            <w:r>
              <w:rPr>
                <w:rFonts w:hint="eastAsia" w:ascii="仿宋" w:hAnsi="仿宋" w:eastAsia="仿宋"/>
                <w:sz w:val="28"/>
                <w:szCs w:val="28"/>
              </w:rPr>
              <w:t>□信用商务法</w:t>
            </w:r>
          </w:p>
        </w:tc>
        <w:tc>
          <w:tcPr>
            <w:tcW w:w="3007" w:type="dxa"/>
            <w:tcBorders>
              <w:top w:val="single" w:color="auto" w:sz="6" w:space="0"/>
              <w:left w:val="single" w:color="auto" w:sz="4" w:space="0"/>
              <w:bottom w:val="single" w:color="auto" w:sz="6" w:space="0"/>
              <w:right w:val="single" w:color="auto" w:sz="6" w:space="0"/>
            </w:tcBorders>
            <w:vAlign w:val="center"/>
          </w:tcPr>
          <w:p w14:paraId="3F5F5C19">
            <w:pPr>
              <w:pStyle w:val="18"/>
              <w:spacing w:line="400" w:lineRule="exact"/>
              <w:jc w:val="left"/>
              <w:rPr>
                <w:rFonts w:ascii="仿宋" w:hAnsi="仿宋" w:eastAsia="仿宋"/>
                <w:sz w:val="28"/>
                <w:szCs w:val="28"/>
              </w:rPr>
            </w:pPr>
            <w:r>
              <w:rPr>
                <w:rFonts w:hint="eastAsia" w:ascii="仿宋" w:hAnsi="仿宋" w:eastAsia="仿宋"/>
                <w:sz w:val="28"/>
                <w:szCs w:val="28"/>
              </w:rPr>
              <w:t>资信、商务</w:t>
            </w:r>
          </w:p>
        </w:tc>
        <w:tc>
          <w:tcPr>
            <w:tcW w:w="2411" w:type="dxa"/>
            <w:tcBorders>
              <w:top w:val="single" w:color="auto" w:sz="6" w:space="0"/>
              <w:left w:val="single" w:color="auto" w:sz="4" w:space="0"/>
              <w:bottom w:val="single" w:color="auto" w:sz="6" w:space="0"/>
              <w:right w:val="single" w:color="auto" w:sz="6" w:space="0"/>
            </w:tcBorders>
          </w:tcPr>
          <w:p w14:paraId="5D407D36">
            <w:pPr>
              <w:pStyle w:val="18"/>
              <w:spacing w:line="400" w:lineRule="exact"/>
              <w:jc w:val="left"/>
              <w:rPr>
                <w:rFonts w:ascii="仿宋" w:hAnsi="仿宋" w:eastAsia="仿宋"/>
                <w:sz w:val="28"/>
                <w:szCs w:val="28"/>
              </w:rPr>
            </w:pPr>
          </w:p>
        </w:tc>
      </w:tr>
      <w:tr w14:paraId="6331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68704952">
            <w:pPr>
              <w:pStyle w:val="18"/>
              <w:spacing w:line="400" w:lineRule="exact"/>
              <w:jc w:val="center"/>
              <w:rPr>
                <w:rFonts w:ascii="仿宋" w:hAnsi="仿宋" w:eastAsia="仿宋"/>
                <w:sz w:val="28"/>
                <w:szCs w:val="28"/>
              </w:rPr>
            </w:pPr>
            <w:r>
              <w:rPr>
                <w:rFonts w:hint="eastAsia" w:ascii="仿宋" w:hAnsi="仿宋" w:eastAsia="仿宋"/>
                <w:sz w:val="28"/>
                <w:szCs w:val="28"/>
              </w:rPr>
              <w:t>□定性评审法</w:t>
            </w:r>
          </w:p>
        </w:tc>
        <w:tc>
          <w:tcPr>
            <w:tcW w:w="3007" w:type="dxa"/>
            <w:tcBorders>
              <w:top w:val="single" w:color="auto" w:sz="6" w:space="0"/>
              <w:left w:val="single" w:color="auto" w:sz="4" w:space="0"/>
              <w:bottom w:val="single" w:color="auto" w:sz="6" w:space="0"/>
              <w:right w:val="single" w:color="auto" w:sz="6" w:space="0"/>
            </w:tcBorders>
            <w:vAlign w:val="center"/>
          </w:tcPr>
          <w:p w14:paraId="77C7D785">
            <w:pPr>
              <w:pStyle w:val="18"/>
              <w:spacing w:line="400" w:lineRule="exact"/>
              <w:jc w:val="left"/>
              <w:rPr>
                <w:rFonts w:ascii="仿宋" w:hAnsi="仿宋" w:eastAsia="仿宋"/>
                <w:sz w:val="28"/>
                <w:szCs w:val="28"/>
              </w:rPr>
            </w:pPr>
            <w:r>
              <w:rPr>
                <w:rFonts w:hint="eastAsia" w:ascii="仿宋" w:hAnsi="仿宋" w:eastAsia="仿宋"/>
                <w:sz w:val="28"/>
                <w:szCs w:val="28"/>
              </w:rPr>
              <w:t>商务、技术</w:t>
            </w:r>
          </w:p>
        </w:tc>
        <w:tc>
          <w:tcPr>
            <w:tcW w:w="2411" w:type="dxa"/>
            <w:tcBorders>
              <w:top w:val="single" w:color="auto" w:sz="6" w:space="0"/>
              <w:left w:val="single" w:color="auto" w:sz="4" w:space="0"/>
              <w:bottom w:val="single" w:color="auto" w:sz="6" w:space="0"/>
              <w:right w:val="single" w:color="auto" w:sz="6" w:space="0"/>
            </w:tcBorders>
          </w:tcPr>
          <w:p w14:paraId="1245799D">
            <w:pPr>
              <w:pStyle w:val="18"/>
              <w:spacing w:line="400" w:lineRule="exact"/>
              <w:jc w:val="left"/>
              <w:rPr>
                <w:rFonts w:ascii="仿宋" w:hAnsi="仿宋" w:eastAsia="仿宋"/>
                <w:sz w:val="28"/>
                <w:szCs w:val="28"/>
              </w:rPr>
            </w:pPr>
          </w:p>
        </w:tc>
      </w:tr>
    </w:tbl>
    <w:p w14:paraId="689E67D7">
      <w:pPr>
        <w:spacing w:line="360" w:lineRule="auto"/>
        <w:ind w:firstLine="562" w:firstLineChars="200"/>
        <w:rPr>
          <w:rFonts w:ascii="仿宋" w:hAnsi="仿宋" w:eastAsia="仿宋"/>
          <w:b/>
          <w:sz w:val="28"/>
          <w:szCs w:val="28"/>
        </w:rPr>
      </w:pPr>
    </w:p>
    <w:p w14:paraId="3D0B607B">
      <w:pPr>
        <w:spacing w:line="360" w:lineRule="auto"/>
        <w:ind w:firstLine="562" w:firstLineChars="200"/>
        <w:rPr>
          <w:rFonts w:ascii="仿宋" w:hAnsi="仿宋" w:eastAsia="仿宋"/>
          <w:b/>
          <w:sz w:val="28"/>
          <w:szCs w:val="28"/>
        </w:rPr>
      </w:pPr>
      <w:r>
        <w:rPr>
          <w:rFonts w:hint="eastAsia" w:ascii="仿宋" w:hAnsi="仿宋" w:eastAsia="仿宋"/>
          <w:b/>
          <w:sz w:val="28"/>
          <w:szCs w:val="28"/>
        </w:rPr>
        <w:t>2.综合评分法</w:t>
      </w:r>
    </w:p>
    <w:p w14:paraId="29B48531">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2.1招标人在开标会上根据招标文件中投标文件不予受理情形的规定，对资格审查合格的投标人的投标文件是否应当受理进行审查，然后将应当受理的投标文件提交评标委员会评审；</w:t>
      </w:r>
    </w:p>
    <w:p w14:paraId="0046483F">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2.2评标委员会分别根据招标文件无效标情形的规定，对所有应当受理的投标文件进行初步评审；</w:t>
      </w:r>
    </w:p>
    <w:p w14:paraId="2F671EC7">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2.3评标委员会首先对通过初步评审的各投标人的技术标进行详细评审。即：各成员根据招标文件规定的技术标评分规则（见评标方法附件），对投标文件独立进行技术标评分。各成员的评分结果的算术平均值作为该投标人最后技术标评审得分（是否去掉最低或最高分，由项目管理单位在招标方案中明确）。在后续评审中该得分不得更改；</w:t>
      </w:r>
    </w:p>
    <w:p w14:paraId="51E92460">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2.4评标委员会在完成技术标评审后，接着对初步评审合格的各投标人商务标进行详细评审并打分；</w:t>
      </w:r>
    </w:p>
    <w:p w14:paraId="464381DC">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2.5评标委员会在完成商务标评审后，对初步评审合格的各投标人资信标进行详细评审并打分；</w:t>
      </w:r>
    </w:p>
    <w:p w14:paraId="72026773">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2.6最后，评标委员会应当按照下列公式计算评审总得分：</w:t>
      </w:r>
    </w:p>
    <w:p w14:paraId="7A4CD953">
      <w:pPr>
        <w:spacing w:line="360" w:lineRule="auto"/>
        <w:ind w:firstLine="562" w:firstLineChars="200"/>
        <w:rPr>
          <w:rFonts w:ascii="仿宋" w:hAnsi="仿宋" w:eastAsia="仿宋"/>
          <w:b/>
          <w:color w:val="000000"/>
          <w:sz w:val="28"/>
          <w:szCs w:val="28"/>
        </w:rPr>
      </w:pPr>
      <w:r>
        <w:rPr>
          <w:rFonts w:ascii="仿宋" w:hAnsi="仿宋" w:eastAsia="仿宋"/>
          <w:b/>
          <w:color w:val="000000"/>
          <w:position w:val="-12"/>
          <w:sz w:val="28"/>
          <w:szCs w:val="28"/>
        </w:rPr>
        <w:object>
          <v:shape id="_x0000_i1025" o:spt="75" type="#_x0000_t75" style="height:18pt;width:141.75pt;" o:ole="t" filled="f" o:preferrelative="t" stroked="f" coordsize="21600,21600">
            <v:path/>
            <v:fill on="f" focussize="0,0"/>
            <v:stroke on="f" joinstyle="miter"/>
            <v:imagedata r:id="rId17" o:title=""/>
            <o:lock v:ext="edit" aspectratio="t"/>
            <w10:wrap type="none"/>
            <w10:anchorlock/>
          </v:shape>
          <o:OLEObject Type="Embed" ProgID="Equation.3" ShapeID="_x0000_i1025" DrawAspect="Content" ObjectID="_1468075725" r:id="rId16">
            <o:LockedField>false</o:LockedField>
          </o:OLEObject>
        </w:object>
      </w:r>
    </w:p>
    <w:p w14:paraId="016D60B1">
      <w:pPr>
        <w:spacing w:line="360" w:lineRule="auto"/>
        <w:ind w:firstLine="560" w:firstLineChars="200"/>
        <w:rPr>
          <w:rFonts w:ascii="仿宋" w:hAnsi="仿宋" w:eastAsia="仿宋"/>
          <w:sz w:val="28"/>
          <w:szCs w:val="28"/>
        </w:rPr>
      </w:pPr>
      <w:r>
        <w:rPr>
          <w:rFonts w:hint="eastAsia" w:ascii="仿宋" w:hAnsi="仿宋" w:eastAsia="仿宋"/>
          <w:sz w:val="28"/>
          <w:szCs w:val="28"/>
        </w:rPr>
        <w:t>N</w:t>
      </w:r>
      <w:r>
        <w:rPr>
          <w:rFonts w:ascii="仿宋" w:hAnsi="仿宋" w:eastAsia="仿宋"/>
          <w:sz w:val="28"/>
          <w:szCs w:val="28"/>
        </w:rPr>
        <w:t>—</w:t>
      </w:r>
      <w:r>
        <w:rPr>
          <w:rFonts w:hint="eastAsia" w:ascii="仿宋" w:hAnsi="仿宋" w:eastAsia="仿宋"/>
          <w:sz w:val="28"/>
          <w:szCs w:val="28"/>
        </w:rPr>
        <w:t>评审总得分（得分取值保留到小数点后两位）；</w:t>
      </w:r>
    </w:p>
    <w:p w14:paraId="7765FDCB">
      <w:pPr>
        <w:spacing w:line="360" w:lineRule="auto"/>
        <w:ind w:firstLine="560" w:firstLineChars="200"/>
        <w:rPr>
          <w:rFonts w:ascii="仿宋" w:hAnsi="仿宋" w:eastAsia="仿宋"/>
          <w:sz w:val="28"/>
          <w:szCs w:val="28"/>
        </w:rPr>
      </w:pPr>
      <w:r>
        <w:rPr>
          <w:rFonts w:hint="eastAsia" w:ascii="仿宋" w:hAnsi="仿宋" w:eastAsia="仿宋"/>
          <w:sz w:val="28"/>
          <w:szCs w:val="28"/>
        </w:rPr>
        <w:t>J</w:t>
      </w:r>
      <w:r>
        <w:rPr>
          <w:rFonts w:ascii="仿宋" w:hAnsi="仿宋" w:eastAsia="仿宋"/>
          <w:sz w:val="28"/>
          <w:szCs w:val="28"/>
        </w:rPr>
        <w:t>—</w:t>
      </w:r>
      <w:r>
        <w:rPr>
          <w:rFonts w:hint="eastAsia" w:ascii="仿宋" w:hAnsi="仿宋" w:eastAsia="仿宋"/>
          <w:sz w:val="28"/>
          <w:szCs w:val="28"/>
        </w:rPr>
        <w:t>技术标评审得分（得分取值保留到小数点后两位）；</w:t>
      </w:r>
    </w:p>
    <w:p w14:paraId="7A171E33">
      <w:pPr>
        <w:spacing w:line="360" w:lineRule="auto"/>
        <w:ind w:firstLine="560" w:firstLineChars="200"/>
        <w:rPr>
          <w:rFonts w:ascii="仿宋" w:hAnsi="仿宋" w:eastAsia="仿宋"/>
          <w:sz w:val="28"/>
          <w:szCs w:val="28"/>
        </w:rPr>
      </w:pPr>
      <w:r>
        <w:rPr>
          <w:rFonts w:hint="eastAsia" w:ascii="仿宋" w:hAnsi="仿宋" w:eastAsia="仿宋"/>
          <w:sz w:val="28"/>
          <w:szCs w:val="28"/>
        </w:rPr>
        <w:t>S</w:t>
      </w:r>
      <w:r>
        <w:rPr>
          <w:rFonts w:ascii="仿宋" w:hAnsi="仿宋" w:eastAsia="仿宋"/>
          <w:sz w:val="28"/>
          <w:szCs w:val="28"/>
        </w:rPr>
        <w:t>—</w:t>
      </w:r>
      <w:r>
        <w:rPr>
          <w:rFonts w:hint="eastAsia" w:ascii="仿宋" w:hAnsi="仿宋" w:eastAsia="仿宋"/>
          <w:sz w:val="28"/>
          <w:szCs w:val="28"/>
        </w:rPr>
        <w:t>商务标评审得分（得分取值保留到小数点后两位）；</w:t>
      </w:r>
    </w:p>
    <w:p w14:paraId="6F8F8B51">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 xml:space="preserve">资信标评审得分（得分取值保留到小数点后两位）； </w:t>
      </w:r>
    </w:p>
    <w:p w14:paraId="721B0510">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A1</w:t>
      </w:r>
      <w:r>
        <w:rPr>
          <w:rFonts w:ascii="仿宋" w:hAnsi="仿宋" w:eastAsia="仿宋"/>
          <w:sz w:val="28"/>
          <w:szCs w:val="28"/>
        </w:rPr>
        <w:t>—</w:t>
      </w:r>
      <w:r>
        <w:rPr>
          <w:rFonts w:hint="eastAsia" w:ascii="仿宋" w:hAnsi="仿宋" w:eastAsia="仿宋"/>
          <w:sz w:val="28"/>
          <w:szCs w:val="28"/>
        </w:rPr>
        <w:t>技术标评审得分权重，按</w:t>
      </w:r>
      <w:permStart w:id="0" w:edGrp="everyone"/>
      <w:r>
        <w:rPr>
          <w:rFonts w:hint="eastAsia" w:ascii="仿宋" w:hAnsi="仿宋" w:eastAsia="仿宋"/>
          <w:b/>
          <w:bCs/>
          <w:sz w:val="28"/>
          <w:szCs w:val="28"/>
          <w:u w:val="single"/>
        </w:rPr>
        <w:t xml:space="preserve">  30  </w:t>
      </w:r>
      <w:permEnd w:id="0"/>
      <w:r>
        <w:rPr>
          <w:rFonts w:hint="eastAsia" w:ascii="仿宋" w:hAnsi="仿宋" w:eastAsia="仿宋"/>
          <w:sz w:val="28"/>
          <w:szCs w:val="28"/>
        </w:rPr>
        <w:t>%计；</w:t>
      </w:r>
    </w:p>
    <w:p w14:paraId="05331526">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A2</w:t>
      </w:r>
      <w:r>
        <w:rPr>
          <w:rFonts w:ascii="仿宋" w:hAnsi="仿宋" w:eastAsia="仿宋"/>
          <w:sz w:val="28"/>
          <w:szCs w:val="28"/>
        </w:rPr>
        <w:t>—</w:t>
      </w:r>
      <w:r>
        <w:rPr>
          <w:rFonts w:hint="eastAsia" w:ascii="仿宋" w:hAnsi="仿宋" w:eastAsia="仿宋"/>
          <w:sz w:val="28"/>
          <w:szCs w:val="28"/>
        </w:rPr>
        <w:t>商务标评审得分权重，按</w:t>
      </w:r>
      <w:permStart w:id="1" w:edGrp="everyone"/>
      <w:r>
        <w:rPr>
          <w:rFonts w:hint="eastAsia" w:ascii="仿宋" w:hAnsi="仿宋" w:eastAsia="仿宋"/>
          <w:b/>
          <w:bCs/>
          <w:sz w:val="28"/>
          <w:szCs w:val="28"/>
          <w:u w:val="single"/>
        </w:rPr>
        <w:t xml:space="preserve">  60  </w:t>
      </w:r>
      <w:permEnd w:id="1"/>
      <w:r>
        <w:rPr>
          <w:rFonts w:hint="eastAsia" w:ascii="仿宋" w:hAnsi="仿宋" w:eastAsia="仿宋"/>
          <w:sz w:val="28"/>
          <w:szCs w:val="28"/>
        </w:rPr>
        <w:t>%计；</w:t>
      </w:r>
    </w:p>
    <w:p w14:paraId="3FF0C6B8">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A3</w:t>
      </w:r>
      <w:r>
        <w:rPr>
          <w:rFonts w:ascii="仿宋" w:hAnsi="仿宋" w:eastAsia="仿宋"/>
          <w:sz w:val="28"/>
          <w:szCs w:val="28"/>
        </w:rPr>
        <w:t>—</w:t>
      </w:r>
      <w:r>
        <w:rPr>
          <w:rFonts w:hint="eastAsia" w:ascii="仿宋" w:hAnsi="仿宋" w:eastAsia="仿宋"/>
          <w:sz w:val="28"/>
          <w:szCs w:val="28"/>
        </w:rPr>
        <w:t>资信标评审得分权重，按</w:t>
      </w:r>
      <w:permStart w:id="2" w:edGrp="everyone"/>
      <w:r>
        <w:rPr>
          <w:rFonts w:hint="eastAsia" w:ascii="仿宋" w:hAnsi="仿宋" w:eastAsia="仿宋"/>
          <w:b/>
          <w:bCs/>
          <w:sz w:val="28"/>
          <w:szCs w:val="28"/>
          <w:u w:val="single"/>
        </w:rPr>
        <w:t xml:space="preserve">  10  </w:t>
      </w:r>
      <w:permEnd w:id="2"/>
      <w:r>
        <w:rPr>
          <w:rFonts w:hint="eastAsia" w:ascii="仿宋" w:hAnsi="仿宋" w:eastAsia="仿宋"/>
          <w:sz w:val="28"/>
          <w:szCs w:val="28"/>
        </w:rPr>
        <w:t>%计；</w:t>
      </w:r>
    </w:p>
    <w:p w14:paraId="68349F76">
      <w:pPr>
        <w:spacing w:line="360" w:lineRule="auto"/>
        <w:ind w:firstLine="560" w:firstLineChars="200"/>
        <w:rPr>
          <w:rFonts w:ascii="仿宋" w:hAnsi="仿宋" w:eastAsia="仿宋"/>
          <w:sz w:val="28"/>
          <w:szCs w:val="28"/>
        </w:rPr>
      </w:pPr>
      <w:r>
        <w:rPr>
          <w:rFonts w:hint="eastAsia" w:ascii="仿宋" w:hAnsi="仿宋" w:eastAsia="仿宋"/>
          <w:sz w:val="28"/>
          <w:szCs w:val="28"/>
        </w:rPr>
        <w:t>[A1+A2+A3=1，A2≥30%, A3≤10%]</w:t>
      </w:r>
    </w:p>
    <w:p w14:paraId="0B87AED8">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2.7评标委员会应当按评审总得分从高至低的顺序，按照“投标前须知附表1”约定推荐中标候选人，并形成评标报告；</w:t>
      </w:r>
    </w:p>
    <w:p w14:paraId="067DF288">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2.8若出现评审总得分相同且影响到推荐中标候选人时，按技术标得分从高至低的顺序推荐；若出现技术标得分也相同的情形，按商务标得分从高至低的顺序推荐；若出现商务标得分仍相同的情形，采用大号中签的抽签方式推荐。</w:t>
      </w:r>
    </w:p>
    <w:p w14:paraId="46D458FF">
      <w:pPr>
        <w:spacing w:line="360" w:lineRule="auto"/>
        <w:ind w:firstLine="562" w:firstLineChars="200"/>
        <w:rPr>
          <w:rFonts w:ascii="仿宋" w:hAnsi="仿宋" w:eastAsia="仿宋"/>
          <w:b/>
          <w:sz w:val="28"/>
          <w:szCs w:val="28"/>
        </w:rPr>
      </w:pPr>
      <w:r>
        <w:rPr>
          <w:rFonts w:hint="eastAsia" w:ascii="仿宋" w:hAnsi="仿宋" w:eastAsia="仿宋"/>
          <w:b/>
          <w:sz w:val="28"/>
          <w:szCs w:val="28"/>
        </w:rPr>
        <w:t>3.信用商务评审法</w:t>
      </w:r>
    </w:p>
    <w:p w14:paraId="4D73CA05">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3.1招标人在开标会上根据招标文件中投标文件不予受理情形的规定，对投标人的投标文件是否应当受理进行审查，然后将应当受理的投标文件提交评标委员会评审；</w:t>
      </w:r>
    </w:p>
    <w:p w14:paraId="0BCAE2F3">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3.2评标委员会根据招标文件初步评审内容的规定，对所有应当受理的投标文件进行初步评审；</w:t>
      </w:r>
    </w:p>
    <w:p w14:paraId="12C36002">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3.3评标委员会对所有初步评审合格的各投标人的商务标进行详细评审，并计算出商务标得分；</w:t>
      </w:r>
    </w:p>
    <w:p w14:paraId="6D30DBF1">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3.4评标委员会在完成商务标评审后，对初步评审合格的各投标人资信标进行详细评审并打分；</w:t>
      </w:r>
    </w:p>
    <w:p w14:paraId="63E8417B">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3.5最后，评标委员会应当按照下列公式计算评审总得分：</w:t>
      </w:r>
    </w:p>
    <w:p w14:paraId="1FF78621">
      <w:pPr>
        <w:spacing w:line="360" w:lineRule="auto"/>
        <w:ind w:firstLine="560" w:firstLineChars="200"/>
        <w:rPr>
          <w:rFonts w:ascii="仿宋" w:hAnsi="仿宋" w:eastAsia="仿宋"/>
          <w:sz w:val="28"/>
          <w:szCs w:val="28"/>
        </w:rPr>
      </w:pPr>
      <w:r>
        <w:rPr>
          <w:rFonts w:ascii="仿宋" w:hAnsi="仿宋" w:eastAsia="仿宋"/>
          <w:sz w:val="28"/>
          <w:szCs w:val="28"/>
        </w:rPr>
        <w:object>
          <v:shape id="_x0000_i1026" o:spt="75" type="#_x0000_t75" style="height:18pt;width:101.25pt;" o:ole="t" filled="f" o:preferrelative="t" stroked="f" coordsize="21600,21600">
            <v:path/>
            <v:fill on="f" focussize="0,0"/>
            <v:stroke on="f" joinstyle="miter"/>
            <v:imagedata r:id="rId19" o:title=""/>
            <o:lock v:ext="edit" aspectratio="t"/>
            <w10:wrap type="none"/>
            <w10:anchorlock/>
          </v:shape>
          <o:OLEObject Type="Embed" ProgID="Equation.3" ShapeID="_x0000_i1026" DrawAspect="Content" ObjectID="_1468075726" r:id="rId18">
            <o:LockedField>false</o:LockedField>
          </o:OLEObject>
        </w:object>
      </w:r>
    </w:p>
    <w:p w14:paraId="0DCD2350">
      <w:pPr>
        <w:spacing w:line="360" w:lineRule="auto"/>
        <w:ind w:firstLine="560" w:firstLineChars="200"/>
        <w:rPr>
          <w:rFonts w:ascii="仿宋" w:hAnsi="仿宋" w:eastAsia="仿宋"/>
          <w:sz w:val="28"/>
          <w:szCs w:val="28"/>
        </w:rPr>
      </w:pPr>
      <w:r>
        <w:rPr>
          <w:rFonts w:hint="eastAsia" w:ascii="仿宋" w:hAnsi="仿宋" w:eastAsia="仿宋"/>
          <w:sz w:val="28"/>
          <w:szCs w:val="28"/>
        </w:rPr>
        <w:t>N—评审总得分（得分取值保留到小数点后两位）；</w:t>
      </w:r>
    </w:p>
    <w:p w14:paraId="07CBC75A">
      <w:pPr>
        <w:spacing w:line="360" w:lineRule="auto"/>
        <w:ind w:firstLine="560" w:firstLineChars="200"/>
        <w:rPr>
          <w:rFonts w:ascii="仿宋" w:hAnsi="仿宋" w:eastAsia="仿宋"/>
          <w:sz w:val="28"/>
          <w:szCs w:val="28"/>
        </w:rPr>
      </w:pPr>
      <w:r>
        <w:rPr>
          <w:rFonts w:hint="eastAsia" w:ascii="仿宋" w:hAnsi="仿宋" w:eastAsia="仿宋"/>
          <w:sz w:val="28"/>
          <w:szCs w:val="28"/>
        </w:rPr>
        <w:t>S—商务标评审得分（得分取值保留到小数点后两位）；</w:t>
      </w:r>
    </w:p>
    <w:p w14:paraId="0391047B">
      <w:pPr>
        <w:spacing w:line="360" w:lineRule="auto"/>
        <w:ind w:firstLine="560" w:firstLineChars="200"/>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资信标评审得分（得分取值保留到小数点后两位）；</w:t>
      </w:r>
    </w:p>
    <w:p w14:paraId="117D3D2D">
      <w:pPr>
        <w:spacing w:line="360" w:lineRule="auto"/>
        <w:ind w:firstLine="560" w:firstLineChars="200"/>
        <w:rPr>
          <w:rFonts w:ascii="仿宋" w:hAnsi="仿宋" w:eastAsia="仿宋"/>
          <w:sz w:val="28"/>
          <w:szCs w:val="28"/>
        </w:rPr>
      </w:pPr>
      <w:r>
        <w:rPr>
          <w:rFonts w:hint="eastAsia" w:ascii="仿宋" w:hAnsi="仿宋" w:eastAsia="仿宋"/>
          <w:sz w:val="28"/>
          <w:szCs w:val="28"/>
        </w:rPr>
        <w:t>A2—商务标评审得分权重，按</w:t>
      </w:r>
      <w:permStart w:id="3" w:edGrp="everyone"/>
      <w:r>
        <w:rPr>
          <w:rFonts w:hint="eastAsia" w:ascii="仿宋" w:hAnsi="仿宋" w:eastAsia="仿宋"/>
          <w:sz w:val="28"/>
          <w:szCs w:val="28"/>
          <w:u w:val="single"/>
        </w:rPr>
        <w:t xml:space="preserve">    </w:t>
      </w:r>
      <w:permEnd w:id="3"/>
      <w:r>
        <w:rPr>
          <w:rFonts w:hint="eastAsia" w:ascii="仿宋" w:hAnsi="仿宋" w:eastAsia="仿宋"/>
          <w:sz w:val="28"/>
          <w:szCs w:val="28"/>
        </w:rPr>
        <w:t>%计；</w:t>
      </w:r>
    </w:p>
    <w:p w14:paraId="0F05DD5B">
      <w:pPr>
        <w:spacing w:line="360" w:lineRule="auto"/>
        <w:ind w:firstLine="560" w:firstLineChars="200"/>
        <w:rPr>
          <w:rFonts w:ascii="仿宋" w:hAnsi="仿宋" w:eastAsia="仿宋"/>
          <w:sz w:val="28"/>
          <w:szCs w:val="28"/>
        </w:rPr>
      </w:pPr>
      <w:r>
        <w:rPr>
          <w:rFonts w:hint="eastAsia" w:ascii="仿宋" w:hAnsi="仿宋" w:eastAsia="仿宋"/>
          <w:sz w:val="28"/>
          <w:szCs w:val="28"/>
        </w:rPr>
        <w:t>A3—资信标评审得分权重，按</w:t>
      </w:r>
      <w:permStart w:id="4" w:edGrp="everyone"/>
      <w:r>
        <w:rPr>
          <w:rFonts w:hint="eastAsia" w:ascii="仿宋" w:hAnsi="仿宋" w:eastAsia="仿宋"/>
          <w:sz w:val="28"/>
          <w:szCs w:val="28"/>
          <w:u w:val="single"/>
        </w:rPr>
        <w:t xml:space="preserve">    </w:t>
      </w:r>
      <w:permEnd w:id="4"/>
      <w:r>
        <w:rPr>
          <w:rFonts w:hint="eastAsia" w:ascii="仿宋" w:hAnsi="仿宋" w:eastAsia="仿宋"/>
          <w:sz w:val="28"/>
          <w:szCs w:val="28"/>
        </w:rPr>
        <w:t>%计；</w:t>
      </w:r>
    </w:p>
    <w:p w14:paraId="79AEF479">
      <w:pPr>
        <w:spacing w:line="360" w:lineRule="auto"/>
        <w:ind w:firstLine="560" w:firstLineChars="200"/>
        <w:rPr>
          <w:rFonts w:ascii="仿宋" w:hAnsi="仿宋" w:eastAsia="仿宋"/>
          <w:sz w:val="28"/>
          <w:szCs w:val="28"/>
        </w:rPr>
      </w:pPr>
      <w:r>
        <w:rPr>
          <w:rFonts w:hint="eastAsia" w:ascii="仿宋" w:hAnsi="仿宋" w:eastAsia="仿宋"/>
          <w:sz w:val="28"/>
          <w:szCs w:val="28"/>
        </w:rPr>
        <w:t>[A2+A3=1，A3≤30%]</w:t>
      </w:r>
    </w:p>
    <w:p w14:paraId="3EF0DCEF">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3.6评标委员会应当按评审总得分从高至低的顺序，按照“投标前须知附表1”约定推荐中标候选人，并形成评标报告；</w:t>
      </w:r>
    </w:p>
    <w:p w14:paraId="6E2EF6A3">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3.7若出现评审总得分相同且影响到推荐中标候选人时，按商务标得分从高至低的顺序推荐；若出现商务标得分也相同的情形，按资信标得分从高至低的顺序推荐；若出现资信标得分仍相同的情形，采用大号中签的抽签方式推荐。</w:t>
      </w:r>
    </w:p>
    <w:p w14:paraId="6D613227">
      <w:pPr>
        <w:spacing w:line="360" w:lineRule="auto"/>
        <w:ind w:firstLine="562" w:firstLineChars="200"/>
        <w:rPr>
          <w:rFonts w:ascii="仿宋" w:hAnsi="仿宋" w:eastAsia="仿宋"/>
          <w:b/>
          <w:sz w:val="28"/>
          <w:szCs w:val="28"/>
        </w:rPr>
      </w:pPr>
      <w:r>
        <w:rPr>
          <w:rFonts w:hint="eastAsia" w:ascii="仿宋" w:hAnsi="仿宋" w:eastAsia="仿宋"/>
          <w:b/>
          <w:sz w:val="28"/>
          <w:szCs w:val="28"/>
        </w:rPr>
        <w:t>4.定性评审法</w:t>
      </w:r>
    </w:p>
    <w:p w14:paraId="66E5ED0E">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4.1招标人在开标会上根据招标文件中投标文件不予受理情形的规定，对投标人的投标文件是否应当受理进行审查，然后将应当受理的投标文件提交评标委员会评审；</w:t>
      </w:r>
    </w:p>
    <w:p w14:paraId="2DD044C4">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4.2评标委员会根据招标文件初步评审内容的规定，对所有应当受理的投标文件进行初步评审；</w:t>
      </w:r>
    </w:p>
    <w:p w14:paraId="2A162534">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4.3评标委员会对通过初步评审的各投标人的技术标及商务标同时进行详细评审。即：各成员根据招标文件规定的技术标及商务标评审要素（见评标方法附件），各成员须对投标文件独立进行评审并提出评审意见，经讨论汇总后形成综合评审意见，内容主要包括：对各投标文件是否满足招标文件所有要求提出意见，指出各投标文件中存在的缺陷和问题，签订合同前应注意和澄清的事项, 并按照“投标前须知附表1”约定推荐无排序的中标候选人；</w:t>
      </w:r>
    </w:p>
    <w:p w14:paraId="333DFA18">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4.4评标委员会将综合评审意见整理成评标报告后，提交给招标人。</w:t>
      </w:r>
    </w:p>
    <w:p w14:paraId="21375059">
      <w:pPr>
        <w:spacing w:line="360" w:lineRule="auto"/>
        <w:ind w:firstLine="560" w:firstLineChars="200"/>
        <w:rPr>
          <w:rFonts w:ascii="仿宋" w:hAnsi="仿宋" w:eastAsia="仿宋" w:cs="宋体"/>
          <w:kern w:val="0"/>
          <w:sz w:val="28"/>
          <w:szCs w:val="28"/>
        </w:rPr>
      </w:pPr>
      <w:r>
        <w:rPr>
          <w:rFonts w:ascii="仿宋" w:hAnsi="仿宋" w:eastAsia="仿宋" w:cs="宋体"/>
          <w:kern w:val="0"/>
          <w:sz w:val="28"/>
          <w:szCs w:val="28"/>
        </w:rPr>
        <w:br w:type="page"/>
      </w:r>
    </w:p>
    <w:p w14:paraId="61C6B79D">
      <w:pPr>
        <w:pStyle w:val="8"/>
        <w:spacing w:before="0" w:after="0" w:line="480" w:lineRule="auto"/>
        <w:jc w:val="center"/>
        <w:rPr>
          <w:rFonts w:ascii="黑体" w:hAnsi="黑体" w:eastAsia="黑体"/>
          <w:sz w:val="32"/>
          <w:szCs w:val="32"/>
        </w:rPr>
      </w:pPr>
      <w:bookmarkStart w:id="63" w:name="OLE_LINK11"/>
      <w:bookmarkStart w:id="64" w:name="OLE_LINK10"/>
      <w:r>
        <w:rPr>
          <w:rFonts w:hint="eastAsia" w:ascii="黑体" w:hAnsi="黑体" w:eastAsia="黑体"/>
          <w:sz w:val="32"/>
          <w:szCs w:val="32"/>
        </w:rPr>
        <w:t>三、评标方法附件</w:t>
      </w:r>
    </w:p>
    <w:p w14:paraId="53444A0B">
      <w:pPr>
        <w:pStyle w:val="9"/>
        <w:ind w:firstLine="640"/>
        <w:jc w:val="center"/>
        <w:rPr>
          <w:rFonts w:ascii="黑体" w:hAnsi="黑体" w:eastAsia="黑体"/>
          <w:sz w:val="32"/>
          <w:szCs w:val="32"/>
        </w:rPr>
      </w:pPr>
      <w:r>
        <w:rPr>
          <w:rFonts w:hint="eastAsia" w:ascii="黑体" w:hAnsi="黑体" w:eastAsia="黑体"/>
          <w:sz w:val="32"/>
          <w:szCs w:val="32"/>
        </w:rPr>
        <w:t>（一）技术标评审表</w:t>
      </w:r>
    </w:p>
    <w:p w14:paraId="79616DF7">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1.技术标定量评审表</w:t>
      </w:r>
    </w:p>
    <w:p w14:paraId="64544F03">
      <w:pPr>
        <w:spacing w:line="360" w:lineRule="auto"/>
        <w:ind w:firstLine="482" w:firstLineChars="200"/>
        <w:jc w:val="left"/>
        <w:rPr>
          <w:rFonts w:ascii="仿宋" w:hAnsi="仿宋" w:eastAsia="仿宋"/>
          <w:b/>
          <w:sz w:val="24"/>
          <w:szCs w:val="24"/>
          <w:u w:val="single"/>
        </w:rPr>
      </w:pPr>
      <w:r>
        <w:rPr>
          <w:rFonts w:hint="eastAsia" w:ascii="仿宋" w:hAnsi="仿宋" w:eastAsia="仿宋"/>
          <w:b/>
          <w:sz w:val="24"/>
          <w:szCs w:val="24"/>
        </w:rPr>
        <w:t>项目名称：</w:t>
      </w:r>
      <w:r>
        <w:rPr>
          <w:rFonts w:hint="eastAsia" w:ascii="仿宋" w:hAnsi="仿宋" w:eastAsia="仿宋"/>
          <w:b/>
          <w:sz w:val="24"/>
          <w:szCs w:val="24"/>
          <w:u w:val="single"/>
        </w:rPr>
        <w:t xml:space="preserve">                                          </w:t>
      </w:r>
    </w:p>
    <w:tbl>
      <w:tblPr>
        <w:tblStyle w:val="36"/>
        <w:tblW w:w="94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102"/>
        <w:gridCol w:w="888"/>
        <w:gridCol w:w="4389"/>
        <w:gridCol w:w="760"/>
        <w:gridCol w:w="773"/>
        <w:gridCol w:w="766"/>
      </w:tblGrid>
      <w:tr w14:paraId="57A4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738" w:type="dxa"/>
            <w:tcBorders>
              <w:tl2br w:val="nil"/>
              <w:tr2bl w:val="nil"/>
            </w:tcBorders>
            <w:vAlign w:val="center"/>
          </w:tcPr>
          <w:p w14:paraId="3FD13CCE">
            <w:pPr>
              <w:spacing w:line="320" w:lineRule="exact"/>
              <w:jc w:val="center"/>
              <w:rPr>
                <w:rFonts w:ascii="宋体" w:hAnsi="宋体"/>
                <w:szCs w:val="21"/>
              </w:rPr>
            </w:pPr>
            <w:r>
              <w:rPr>
                <w:rFonts w:hint="eastAsia" w:ascii="宋体" w:hAnsi="宋体"/>
                <w:b/>
                <w:szCs w:val="21"/>
              </w:rPr>
              <w:t>序号</w:t>
            </w:r>
          </w:p>
        </w:tc>
        <w:tc>
          <w:tcPr>
            <w:tcW w:w="1102" w:type="dxa"/>
            <w:tcBorders>
              <w:tl2br w:val="nil"/>
              <w:tr2bl w:val="nil"/>
            </w:tcBorders>
            <w:vAlign w:val="center"/>
          </w:tcPr>
          <w:p w14:paraId="3A8B3177">
            <w:pPr>
              <w:spacing w:line="320" w:lineRule="exact"/>
              <w:jc w:val="center"/>
              <w:rPr>
                <w:rFonts w:ascii="宋体" w:hAnsi="宋体" w:cs="宋体"/>
                <w:kern w:val="0"/>
                <w:szCs w:val="21"/>
              </w:rPr>
            </w:pPr>
            <w:r>
              <w:rPr>
                <w:rFonts w:hint="eastAsia" w:ascii="宋体" w:hAnsi="宋体"/>
                <w:b/>
                <w:szCs w:val="21"/>
              </w:rPr>
              <w:t>评分因素</w:t>
            </w:r>
          </w:p>
        </w:tc>
        <w:tc>
          <w:tcPr>
            <w:tcW w:w="888" w:type="dxa"/>
            <w:tcBorders>
              <w:tl2br w:val="nil"/>
              <w:tr2bl w:val="nil"/>
            </w:tcBorders>
            <w:vAlign w:val="center"/>
          </w:tcPr>
          <w:p w14:paraId="4C25D95A">
            <w:pPr>
              <w:spacing w:line="320" w:lineRule="exact"/>
              <w:jc w:val="center"/>
              <w:rPr>
                <w:rFonts w:ascii="宋体" w:hAnsi="宋体" w:eastAsiaTheme="minorEastAsia"/>
                <w:szCs w:val="21"/>
              </w:rPr>
            </w:pPr>
            <w:r>
              <w:rPr>
                <w:rFonts w:hint="eastAsia" w:ascii="宋体" w:hAnsi="宋体"/>
                <w:b/>
                <w:szCs w:val="21"/>
              </w:rPr>
              <w:t>权重（分）</w:t>
            </w:r>
          </w:p>
        </w:tc>
        <w:tc>
          <w:tcPr>
            <w:tcW w:w="4389" w:type="dxa"/>
            <w:tcBorders>
              <w:tl2br w:val="nil"/>
              <w:tr2bl w:val="nil"/>
            </w:tcBorders>
            <w:vAlign w:val="center"/>
          </w:tcPr>
          <w:p w14:paraId="4EA8F70F">
            <w:pPr>
              <w:spacing w:line="320" w:lineRule="exact"/>
              <w:jc w:val="center"/>
              <w:rPr>
                <w:rFonts w:ascii="宋体" w:hAnsi="宋体"/>
                <w:szCs w:val="21"/>
              </w:rPr>
            </w:pPr>
            <w:r>
              <w:rPr>
                <w:rFonts w:hint="eastAsia" w:ascii="宋体" w:hAnsi="宋体"/>
                <w:b/>
                <w:szCs w:val="21"/>
              </w:rPr>
              <w:t>评分准则</w:t>
            </w:r>
          </w:p>
        </w:tc>
        <w:tc>
          <w:tcPr>
            <w:tcW w:w="760" w:type="dxa"/>
            <w:tcBorders>
              <w:tl2br w:val="nil"/>
              <w:tr2bl w:val="nil"/>
            </w:tcBorders>
            <w:vAlign w:val="center"/>
          </w:tcPr>
          <w:p w14:paraId="0950AA62">
            <w:pPr>
              <w:jc w:val="center"/>
              <w:rPr>
                <w:rFonts w:ascii="宋体" w:hAnsi="宋体"/>
                <w:b/>
                <w:szCs w:val="21"/>
              </w:rPr>
            </w:pPr>
            <w:r>
              <w:rPr>
                <w:rFonts w:hint="eastAsia" w:ascii="仿宋" w:hAnsi="仿宋" w:eastAsia="仿宋"/>
                <w:b/>
                <w:sz w:val="24"/>
                <w:szCs w:val="24"/>
              </w:rPr>
              <w:t>投标人1</w:t>
            </w:r>
          </w:p>
        </w:tc>
        <w:tc>
          <w:tcPr>
            <w:tcW w:w="773" w:type="dxa"/>
            <w:tcBorders>
              <w:tl2br w:val="nil"/>
              <w:tr2bl w:val="nil"/>
            </w:tcBorders>
            <w:vAlign w:val="center"/>
          </w:tcPr>
          <w:p w14:paraId="29C8B76C">
            <w:pPr>
              <w:jc w:val="center"/>
              <w:rPr>
                <w:rFonts w:ascii="宋体" w:hAnsi="宋体"/>
                <w:b/>
                <w:szCs w:val="21"/>
              </w:rPr>
            </w:pPr>
            <w:r>
              <w:rPr>
                <w:rFonts w:hint="eastAsia" w:ascii="仿宋" w:hAnsi="仿宋" w:eastAsia="仿宋"/>
                <w:b/>
                <w:sz w:val="24"/>
                <w:szCs w:val="24"/>
              </w:rPr>
              <w:t>投标人2</w:t>
            </w:r>
          </w:p>
        </w:tc>
        <w:tc>
          <w:tcPr>
            <w:tcW w:w="766" w:type="dxa"/>
            <w:tcBorders>
              <w:tl2br w:val="nil"/>
              <w:tr2bl w:val="nil"/>
            </w:tcBorders>
            <w:vAlign w:val="center"/>
          </w:tcPr>
          <w:p w14:paraId="78030E12">
            <w:pPr>
              <w:jc w:val="center"/>
              <w:rPr>
                <w:rFonts w:ascii="宋体" w:hAnsi="宋体"/>
                <w:b/>
                <w:szCs w:val="21"/>
              </w:rPr>
            </w:pPr>
            <w:r>
              <w:rPr>
                <w:rFonts w:hint="eastAsia" w:ascii="仿宋" w:hAnsi="仿宋" w:eastAsia="仿宋"/>
                <w:b/>
                <w:sz w:val="24"/>
                <w:szCs w:val="24"/>
              </w:rPr>
              <w:t>投标人3</w:t>
            </w:r>
          </w:p>
        </w:tc>
      </w:tr>
      <w:tr w14:paraId="3330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738" w:type="dxa"/>
            <w:tcBorders>
              <w:tl2br w:val="nil"/>
              <w:tr2bl w:val="nil"/>
            </w:tcBorders>
            <w:shd w:val="clear" w:color="auto" w:fill="auto"/>
            <w:vAlign w:val="center"/>
          </w:tcPr>
          <w:p w14:paraId="30CF791F">
            <w:pPr>
              <w:spacing w:line="320" w:lineRule="exact"/>
              <w:jc w:val="center"/>
              <w:rPr>
                <w:rFonts w:ascii="宋体" w:hAnsi="宋体" w:cstheme="minorBidi"/>
                <w:szCs w:val="21"/>
              </w:rPr>
            </w:pPr>
            <w:r>
              <w:rPr>
                <w:rFonts w:hint="eastAsia" w:ascii="仿宋_GB2312" w:hAnsi="仿宋_GB2312" w:eastAsia="仿宋_GB2312" w:cs="仿宋_GB2312"/>
                <w:szCs w:val="21"/>
              </w:rPr>
              <w:t>1</w:t>
            </w:r>
          </w:p>
        </w:tc>
        <w:tc>
          <w:tcPr>
            <w:tcW w:w="1102" w:type="dxa"/>
            <w:tcBorders>
              <w:tl2br w:val="nil"/>
              <w:tr2bl w:val="nil"/>
            </w:tcBorders>
            <w:shd w:val="clear" w:color="auto" w:fill="auto"/>
            <w:vAlign w:val="center"/>
          </w:tcPr>
          <w:p w14:paraId="5F8931AF">
            <w:pPr>
              <w:numPr>
                <w:ilvl w:val="0"/>
                <w:numId w:val="0"/>
              </w:numPr>
              <w:ind w:left="0" w:leftChars="0" w:firstLine="0" w:firstLineChars="0"/>
              <w:rPr>
                <w:rFonts w:ascii="仿宋" w:hAnsi="仿宋" w:eastAsia="仿宋" w:cs="仿宋"/>
                <w:kern w:val="0"/>
                <w:sz w:val="24"/>
                <w:szCs w:val="24"/>
              </w:rPr>
            </w:pPr>
            <w:r>
              <w:rPr>
                <w:rFonts w:hint="eastAsia" w:ascii="仿宋_GB2312" w:hAnsi="仿宋_GB2312" w:eastAsia="仿宋_GB2312" w:cs="仿宋_GB2312"/>
                <w:color w:val="000000"/>
                <w:kern w:val="0"/>
                <w:sz w:val="20"/>
                <w:lang w:bidi="ar"/>
              </w:rPr>
              <w:t>项目服务团队配置与专业适配性</w:t>
            </w:r>
          </w:p>
        </w:tc>
        <w:tc>
          <w:tcPr>
            <w:tcW w:w="888" w:type="dxa"/>
            <w:tcBorders>
              <w:tl2br w:val="nil"/>
              <w:tr2bl w:val="nil"/>
            </w:tcBorders>
            <w:shd w:val="clear" w:color="auto" w:fill="auto"/>
            <w:vAlign w:val="center"/>
          </w:tcPr>
          <w:p w14:paraId="48EBA346">
            <w:pPr>
              <w:numPr>
                <w:ilvl w:val="0"/>
                <w:numId w:val="0"/>
              </w:numPr>
              <w:ind w:left="0" w:leftChars="0" w:firstLine="0" w:firstLineChars="0"/>
              <w:jc w:val="center"/>
              <w:rPr>
                <w:rFonts w:ascii="仿宋" w:hAnsi="仿宋" w:eastAsia="仿宋" w:cs="仿宋"/>
                <w:sz w:val="24"/>
                <w:szCs w:val="24"/>
              </w:rPr>
            </w:pPr>
            <w:r>
              <w:rPr>
                <w:rFonts w:hint="eastAsia" w:ascii="仿宋_GB2312" w:hAnsi="仿宋_GB2312" w:eastAsia="仿宋_GB2312" w:cs="仿宋_GB2312"/>
                <w:color w:val="000000"/>
                <w:kern w:val="0"/>
                <w:sz w:val="20"/>
                <w:lang w:val="en-US" w:eastAsia="zh-CN" w:bidi="ar"/>
              </w:rPr>
              <w:t>30</w:t>
            </w:r>
          </w:p>
        </w:tc>
        <w:tc>
          <w:tcPr>
            <w:tcW w:w="4389" w:type="dxa"/>
            <w:tcBorders>
              <w:tl2br w:val="nil"/>
              <w:tr2bl w:val="nil"/>
            </w:tcBorders>
            <w:shd w:val="clear" w:color="auto" w:fill="FFFFFF"/>
            <w:vAlign w:val="center"/>
          </w:tcPr>
          <w:p w14:paraId="00323BC3">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优（25-30分）：</w:t>
            </w:r>
            <w:r>
              <w:rPr>
                <w:rFonts w:hint="eastAsia" w:ascii="仿宋_GB2312" w:hAnsi="仿宋_GB2312" w:eastAsia="仿宋_GB2312" w:cs="仿宋_GB2312"/>
                <w:color w:val="000000"/>
                <w:kern w:val="0"/>
                <w:sz w:val="20"/>
                <w:lang w:bidi="ar"/>
              </w:rPr>
              <w:t>团队配置精良，项目负责人具备深厚的债权诉讼执业经验，核心团队分工清晰、专业互补性强，批量案件实操经验丰富，与本项目需求高度匹配。</w:t>
            </w:r>
          </w:p>
          <w:p w14:paraId="42249516">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良（19-24分）：</w:t>
            </w:r>
            <w:r>
              <w:rPr>
                <w:rFonts w:hint="eastAsia" w:ascii="仿宋_GB2312" w:hAnsi="仿宋_GB2312" w:eastAsia="仿宋_GB2312" w:cs="仿宋_GB2312"/>
                <w:color w:val="000000"/>
                <w:kern w:val="0"/>
                <w:sz w:val="20"/>
                <w:lang w:bidi="ar"/>
              </w:rPr>
              <w:t>团队配置良好，项目负责人符合项目资历要求，核心团队分工明确，具备相应的案件服务经验，能够满足本项目服务需求。</w:t>
            </w:r>
          </w:p>
          <w:p w14:paraId="5F1BA9AB">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中（11-18分）：</w:t>
            </w:r>
            <w:r>
              <w:rPr>
                <w:rFonts w:hint="eastAsia" w:ascii="仿宋_GB2312" w:hAnsi="仿宋_GB2312" w:eastAsia="仿宋_GB2312" w:cs="仿宋_GB2312"/>
                <w:color w:val="000000"/>
                <w:kern w:val="0"/>
                <w:sz w:val="20"/>
                <w:lang w:bidi="ar"/>
              </w:rPr>
              <w:t>团队配置基本满足项目最低要求，项目负责人资历基本达标，案件经验有限，分工基本清晰，服务能力存在一定短板。</w:t>
            </w:r>
          </w:p>
          <w:p w14:paraId="4FBE5239">
            <w:pPr>
              <w:numPr>
                <w:ilvl w:val="0"/>
                <w:numId w:val="0"/>
              </w:numPr>
              <w:ind w:left="0" w:leftChars="0" w:firstLine="0" w:firstLineChars="0"/>
              <w:rPr>
                <w:rFonts w:ascii="仿宋" w:hAnsi="仿宋" w:eastAsia="仿宋" w:cs="仿宋"/>
                <w:color w:val="000000"/>
                <w:kern w:val="0"/>
                <w:sz w:val="20"/>
                <w:highlight w:val="yellow"/>
                <w:lang w:bidi="ar"/>
              </w:rPr>
            </w:pPr>
            <w:r>
              <w:rPr>
                <w:rFonts w:hint="eastAsia" w:ascii="仿宋_GB2312" w:hAnsi="仿宋_GB2312" w:eastAsia="仿宋_GB2312" w:cs="仿宋_GB2312"/>
                <w:b/>
                <w:bCs/>
                <w:color w:val="000000"/>
                <w:kern w:val="0"/>
                <w:sz w:val="20"/>
                <w:lang w:bidi="ar"/>
              </w:rPr>
              <w:t>差（0-10分）：</w:t>
            </w:r>
            <w:r>
              <w:rPr>
                <w:rFonts w:hint="eastAsia" w:ascii="仿宋_GB2312" w:hAnsi="仿宋_GB2312" w:eastAsia="仿宋_GB2312" w:cs="仿宋_GB2312"/>
                <w:color w:val="000000"/>
                <w:kern w:val="0"/>
                <w:sz w:val="20"/>
                <w:lang w:bidi="ar"/>
              </w:rPr>
              <w:t>团队配置不足，项目负责人资历不符合要求，无案件服务经验，分工模糊，无法保障项目服务质量。</w:t>
            </w:r>
          </w:p>
        </w:tc>
        <w:tc>
          <w:tcPr>
            <w:tcW w:w="760" w:type="dxa"/>
            <w:tcBorders>
              <w:tl2br w:val="nil"/>
              <w:tr2bl w:val="nil"/>
            </w:tcBorders>
            <w:shd w:val="clear" w:color="auto" w:fill="auto"/>
            <w:vAlign w:val="center"/>
          </w:tcPr>
          <w:p w14:paraId="36477610">
            <w:pPr>
              <w:spacing w:line="320" w:lineRule="exact"/>
              <w:rPr>
                <w:rFonts w:ascii="宋体" w:hAnsi="宋体" w:cs="宋体"/>
                <w:sz w:val="24"/>
                <w:szCs w:val="24"/>
              </w:rPr>
            </w:pPr>
          </w:p>
        </w:tc>
        <w:tc>
          <w:tcPr>
            <w:tcW w:w="773" w:type="dxa"/>
            <w:tcBorders>
              <w:tl2br w:val="nil"/>
              <w:tr2bl w:val="nil"/>
            </w:tcBorders>
            <w:shd w:val="clear" w:color="auto" w:fill="auto"/>
            <w:vAlign w:val="center"/>
          </w:tcPr>
          <w:p w14:paraId="548307DD">
            <w:pPr>
              <w:spacing w:line="320" w:lineRule="exact"/>
              <w:rPr>
                <w:rFonts w:ascii="宋体" w:hAnsi="宋体" w:cs="宋体"/>
                <w:sz w:val="24"/>
                <w:szCs w:val="24"/>
              </w:rPr>
            </w:pPr>
          </w:p>
        </w:tc>
        <w:tc>
          <w:tcPr>
            <w:tcW w:w="766" w:type="dxa"/>
            <w:tcBorders>
              <w:tl2br w:val="nil"/>
              <w:tr2bl w:val="nil"/>
            </w:tcBorders>
            <w:shd w:val="clear" w:color="auto" w:fill="auto"/>
            <w:vAlign w:val="center"/>
          </w:tcPr>
          <w:p w14:paraId="4106C153">
            <w:pPr>
              <w:spacing w:line="320" w:lineRule="exact"/>
              <w:rPr>
                <w:rFonts w:ascii="宋体" w:hAnsi="宋体" w:cs="宋体"/>
                <w:sz w:val="24"/>
                <w:szCs w:val="24"/>
              </w:rPr>
            </w:pPr>
          </w:p>
        </w:tc>
      </w:tr>
      <w:tr w14:paraId="07C1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738" w:type="dxa"/>
            <w:tcBorders>
              <w:tl2br w:val="nil"/>
              <w:tr2bl w:val="nil"/>
            </w:tcBorders>
            <w:vAlign w:val="center"/>
          </w:tcPr>
          <w:p w14:paraId="752B8132">
            <w:pPr>
              <w:spacing w:line="320" w:lineRule="exact"/>
              <w:jc w:val="center"/>
              <w:rPr>
                <w:rFonts w:ascii="宋体" w:hAnsi="宋体"/>
                <w:szCs w:val="21"/>
              </w:rPr>
            </w:pPr>
            <w:r>
              <w:rPr>
                <w:rFonts w:hint="eastAsia" w:ascii="仿宋_GB2312" w:hAnsi="仿宋_GB2312" w:eastAsia="仿宋_GB2312" w:cs="仿宋_GB2312"/>
                <w:szCs w:val="21"/>
              </w:rPr>
              <w:t>2</w:t>
            </w:r>
          </w:p>
        </w:tc>
        <w:tc>
          <w:tcPr>
            <w:tcW w:w="1102" w:type="dxa"/>
            <w:tcBorders>
              <w:tl2br w:val="nil"/>
              <w:tr2bl w:val="nil"/>
            </w:tcBorders>
            <w:vAlign w:val="center"/>
          </w:tcPr>
          <w:p w14:paraId="42686C84">
            <w:pPr>
              <w:numPr>
                <w:ilvl w:val="0"/>
                <w:numId w:val="0"/>
              </w:numPr>
              <w:ind w:left="0" w:leftChars="0" w:firstLine="0" w:firstLineChars="0"/>
              <w:rPr>
                <w:rFonts w:ascii="仿宋" w:hAnsi="仿宋" w:eastAsia="仿宋" w:cs="仿宋"/>
                <w:color w:val="000000"/>
                <w:kern w:val="0"/>
                <w:sz w:val="20"/>
                <w:lang w:bidi="ar"/>
              </w:rPr>
            </w:pPr>
            <w:r>
              <w:rPr>
                <w:rFonts w:hint="eastAsia" w:ascii="仿宋_GB2312" w:hAnsi="仿宋_GB2312" w:eastAsia="仿宋_GB2312" w:cs="仿宋_GB2312"/>
                <w:color w:val="000000"/>
                <w:kern w:val="0"/>
                <w:sz w:val="20"/>
                <w:lang w:bidi="ar"/>
              </w:rPr>
              <w:t>属地服务支撑与司法环境适配能力</w:t>
            </w:r>
          </w:p>
        </w:tc>
        <w:tc>
          <w:tcPr>
            <w:tcW w:w="888" w:type="dxa"/>
            <w:tcBorders>
              <w:tl2br w:val="nil"/>
              <w:tr2bl w:val="nil"/>
            </w:tcBorders>
            <w:vAlign w:val="center"/>
          </w:tcPr>
          <w:p w14:paraId="51F85CBE">
            <w:pPr>
              <w:numPr>
                <w:ilvl w:val="0"/>
                <w:numId w:val="0"/>
              </w:numPr>
              <w:ind w:left="0" w:leftChars="0" w:firstLine="0" w:firstLineChars="0"/>
              <w:jc w:val="center"/>
              <w:rPr>
                <w:rFonts w:ascii="仿宋" w:hAnsi="仿宋" w:eastAsia="仿宋" w:cs="仿宋"/>
                <w:sz w:val="24"/>
                <w:szCs w:val="24"/>
              </w:rPr>
            </w:pPr>
            <w:r>
              <w:rPr>
                <w:rFonts w:hint="eastAsia" w:ascii="仿宋_GB2312" w:hAnsi="仿宋_GB2312" w:eastAsia="仿宋_GB2312" w:cs="仿宋_GB2312"/>
                <w:color w:val="000000"/>
                <w:kern w:val="0"/>
                <w:sz w:val="20"/>
                <w:lang w:bidi="ar"/>
              </w:rPr>
              <w:t>20</w:t>
            </w:r>
          </w:p>
        </w:tc>
        <w:tc>
          <w:tcPr>
            <w:tcW w:w="4389" w:type="dxa"/>
            <w:tcBorders>
              <w:tl2br w:val="nil"/>
              <w:tr2bl w:val="nil"/>
            </w:tcBorders>
            <w:vAlign w:val="center"/>
          </w:tcPr>
          <w:p w14:paraId="7918F6DF">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优（17-20分）：</w:t>
            </w:r>
            <w:r>
              <w:rPr>
                <w:rFonts w:hint="eastAsia" w:ascii="仿宋_GB2312" w:hAnsi="仿宋_GB2312" w:eastAsia="仿宋_GB2312" w:cs="仿宋_GB2312"/>
                <w:color w:val="000000"/>
                <w:kern w:val="0"/>
                <w:sz w:val="20"/>
                <w:lang w:val="en-US" w:eastAsia="zh-CN" w:bidi="ar"/>
              </w:rPr>
              <w:t>该标段</w:t>
            </w:r>
            <w:r>
              <w:rPr>
                <w:rFonts w:hint="eastAsia" w:ascii="仿宋_GB2312" w:hAnsi="仿宋_GB2312" w:eastAsia="仿宋_GB2312" w:cs="仿宋_GB2312"/>
                <w:color w:val="000000"/>
                <w:kern w:val="0"/>
                <w:sz w:val="20"/>
                <w:lang w:bidi="ar"/>
              </w:rPr>
              <w:t>属地服务支撑体系完善，在所投标段涉及城市均有常设办公机构与常驻办案团队，熟悉当地司法实践与裁判口径，属地响应与协调能力极强。</w:t>
            </w:r>
          </w:p>
          <w:p w14:paraId="6415C059">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良（13-16分）：</w:t>
            </w:r>
            <w:r>
              <w:rPr>
                <w:rFonts w:hint="eastAsia" w:ascii="仿宋_GB2312" w:hAnsi="仿宋_GB2312" w:eastAsia="仿宋_GB2312" w:cs="仿宋_GB2312"/>
                <w:color w:val="000000"/>
                <w:kern w:val="0"/>
                <w:sz w:val="20"/>
                <w:lang w:val="en-US" w:eastAsia="zh-CN" w:bidi="ar"/>
              </w:rPr>
              <w:t>该标段</w:t>
            </w:r>
            <w:r>
              <w:rPr>
                <w:rFonts w:hint="eastAsia" w:ascii="仿宋_GB2312" w:hAnsi="仿宋_GB2312" w:eastAsia="仿宋_GB2312" w:cs="仿宋_GB2312"/>
                <w:color w:val="000000"/>
                <w:kern w:val="0"/>
                <w:sz w:val="20"/>
                <w:lang w:bidi="ar"/>
              </w:rPr>
              <w:t>属地服务支撑较好，在所投标段主要城市设有服务机构或固定办案团队，了解当地诉讼流程与裁判特点，能够保障属地办案效率。</w:t>
            </w:r>
          </w:p>
          <w:p w14:paraId="405B07B8">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中（7-12分）：</w:t>
            </w:r>
            <w:r>
              <w:rPr>
                <w:rFonts w:hint="eastAsia" w:ascii="仿宋_GB2312" w:hAnsi="仿宋_GB2312" w:eastAsia="仿宋_GB2312" w:cs="仿宋_GB2312"/>
                <w:color w:val="000000"/>
                <w:kern w:val="0"/>
                <w:sz w:val="20"/>
                <w:lang w:val="en-US" w:eastAsia="zh-CN" w:bidi="ar"/>
              </w:rPr>
              <w:t>该标段</w:t>
            </w:r>
            <w:r>
              <w:rPr>
                <w:rFonts w:hint="eastAsia" w:ascii="仿宋_GB2312" w:hAnsi="仿宋_GB2312" w:eastAsia="仿宋_GB2312" w:cs="仿宋_GB2312"/>
                <w:color w:val="000000"/>
                <w:kern w:val="0"/>
                <w:sz w:val="20"/>
                <w:lang w:bidi="ar"/>
              </w:rPr>
              <w:t>属地服务支撑一般，有基本的属地服务渠道，对当地司法环境有一定了解，响应效率存在一定滞后性。</w:t>
            </w:r>
          </w:p>
          <w:p w14:paraId="0B358FC8">
            <w:pPr>
              <w:numPr>
                <w:ilvl w:val="0"/>
                <w:numId w:val="0"/>
              </w:numPr>
              <w:ind w:left="0" w:leftChars="0" w:firstLine="0" w:firstLineChars="0"/>
              <w:rPr>
                <w:rFonts w:ascii="仿宋" w:hAnsi="仿宋" w:eastAsia="仿宋" w:cs="仿宋"/>
                <w:color w:val="000000"/>
                <w:kern w:val="0"/>
                <w:sz w:val="20"/>
                <w:lang w:bidi="ar"/>
              </w:rPr>
            </w:pPr>
            <w:r>
              <w:rPr>
                <w:rFonts w:hint="eastAsia" w:ascii="仿宋_GB2312" w:hAnsi="仿宋_GB2312" w:eastAsia="仿宋_GB2312" w:cs="仿宋_GB2312"/>
                <w:b/>
                <w:bCs/>
                <w:color w:val="000000"/>
                <w:kern w:val="0"/>
                <w:sz w:val="20"/>
                <w:lang w:bidi="ar"/>
              </w:rPr>
              <w:t>差（0-6分）：</w:t>
            </w:r>
            <w:r>
              <w:rPr>
                <w:rFonts w:hint="eastAsia" w:ascii="仿宋_GB2312" w:hAnsi="仿宋_GB2312" w:eastAsia="仿宋_GB2312" w:cs="仿宋_GB2312"/>
                <w:color w:val="000000"/>
                <w:kern w:val="0"/>
                <w:sz w:val="20"/>
                <w:lang w:bidi="ar"/>
              </w:rPr>
              <w:t>无有效属地服务支撑，不了解当地司法环境，无法保障属地案件办理的及时性。</w:t>
            </w:r>
          </w:p>
        </w:tc>
        <w:tc>
          <w:tcPr>
            <w:tcW w:w="760" w:type="dxa"/>
            <w:tcBorders>
              <w:tl2br w:val="nil"/>
              <w:tr2bl w:val="nil"/>
            </w:tcBorders>
            <w:vAlign w:val="center"/>
          </w:tcPr>
          <w:p w14:paraId="3912E646">
            <w:pPr>
              <w:spacing w:line="320" w:lineRule="exact"/>
              <w:rPr>
                <w:rFonts w:ascii="宋体" w:hAnsi="宋体"/>
                <w:szCs w:val="21"/>
              </w:rPr>
            </w:pPr>
          </w:p>
        </w:tc>
        <w:tc>
          <w:tcPr>
            <w:tcW w:w="773" w:type="dxa"/>
            <w:tcBorders>
              <w:tl2br w:val="nil"/>
              <w:tr2bl w:val="nil"/>
            </w:tcBorders>
            <w:vAlign w:val="center"/>
          </w:tcPr>
          <w:p w14:paraId="6E1B365F">
            <w:pPr>
              <w:spacing w:line="320" w:lineRule="exact"/>
              <w:rPr>
                <w:rFonts w:ascii="宋体" w:hAnsi="宋体"/>
                <w:szCs w:val="21"/>
              </w:rPr>
            </w:pPr>
          </w:p>
        </w:tc>
        <w:tc>
          <w:tcPr>
            <w:tcW w:w="766" w:type="dxa"/>
            <w:tcBorders>
              <w:tl2br w:val="nil"/>
              <w:tr2bl w:val="nil"/>
            </w:tcBorders>
            <w:vAlign w:val="center"/>
          </w:tcPr>
          <w:p w14:paraId="78E63409">
            <w:pPr>
              <w:spacing w:line="320" w:lineRule="exact"/>
              <w:rPr>
                <w:rFonts w:ascii="宋体" w:hAnsi="宋体"/>
                <w:szCs w:val="21"/>
              </w:rPr>
            </w:pPr>
          </w:p>
        </w:tc>
      </w:tr>
      <w:tr w14:paraId="5002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4" w:hRule="atLeast"/>
          <w:jc w:val="center"/>
        </w:trPr>
        <w:tc>
          <w:tcPr>
            <w:tcW w:w="738" w:type="dxa"/>
            <w:tcBorders>
              <w:tl2br w:val="nil"/>
              <w:tr2bl w:val="nil"/>
            </w:tcBorders>
            <w:vAlign w:val="center"/>
          </w:tcPr>
          <w:p w14:paraId="03590120">
            <w:pPr>
              <w:spacing w:line="320" w:lineRule="exact"/>
              <w:jc w:val="center"/>
              <w:rPr>
                <w:rFonts w:ascii="宋体" w:hAnsi="宋体"/>
                <w:szCs w:val="21"/>
              </w:rPr>
            </w:pPr>
            <w:r>
              <w:rPr>
                <w:rFonts w:hint="eastAsia" w:ascii="仿宋_GB2312" w:hAnsi="仿宋_GB2312" w:eastAsia="仿宋_GB2312" w:cs="仿宋_GB2312"/>
                <w:szCs w:val="21"/>
              </w:rPr>
              <w:t>3</w:t>
            </w:r>
          </w:p>
        </w:tc>
        <w:tc>
          <w:tcPr>
            <w:tcW w:w="1102" w:type="dxa"/>
            <w:tcBorders>
              <w:tl2br w:val="nil"/>
              <w:tr2bl w:val="nil"/>
            </w:tcBorders>
            <w:vAlign w:val="center"/>
          </w:tcPr>
          <w:p w14:paraId="567C0065">
            <w:pPr>
              <w:numPr>
                <w:ilvl w:val="0"/>
                <w:numId w:val="0"/>
              </w:numPr>
              <w:ind w:left="0" w:leftChars="0" w:firstLine="0" w:firstLineChars="0"/>
              <w:rPr>
                <w:rFonts w:ascii="仿宋" w:hAnsi="仿宋" w:eastAsia="仿宋" w:cs="仿宋"/>
                <w:kern w:val="0"/>
                <w:sz w:val="24"/>
                <w:szCs w:val="24"/>
              </w:rPr>
            </w:pPr>
            <w:r>
              <w:rPr>
                <w:rFonts w:hint="eastAsia" w:ascii="仿宋_GB2312" w:hAnsi="仿宋_GB2312" w:eastAsia="仿宋_GB2312" w:cs="仿宋_GB2312"/>
                <w:color w:val="000000"/>
                <w:kern w:val="0"/>
                <w:sz w:val="20"/>
                <w:lang w:bidi="ar"/>
              </w:rPr>
              <w:t>批量案件诉讼服务整体方案</w:t>
            </w:r>
          </w:p>
        </w:tc>
        <w:tc>
          <w:tcPr>
            <w:tcW w:w="888" w:type="dxa"/>
            <w:tcBorders>
              <w:tl2br w:val="nil"/>
              <w:tr2bl w:val="nil"/>
            </w:tcBorders>
            <w:vAlign w:val="center"/>
          </w:tcPr>
          <w:p w14:paraId="3382C2F6">
            <w:pPr>
              <w:numPr>
                <w:ilvl w:val="0"/>
                <w:numId w:val="0"/>
              </w:numPr>
              <w:ind w:left="0" w:leftChars="0" w:firstLine="0" w:firstLineChars="0"/>
              <w:jc w:val="center"/>
              <w:rPr>
                <w:rFonts w:ascii="仿宋" w:hAnsi="仿宋" w:eastAsia="仿宋" w:cs="仿宋"/>
                <w:sz w:val="24"/>
                <w:szCs w:val="24"/>
              </w:rPr>
            </w:pPr>
            <w:r>
              <w:rPr>
                <w:rFonts w:hint="eastAsia" w:ascii="仿宋_GB2312" w:hAnsi="仿宋_GB2312" w:eastAsia="仿宋_GB2312" w:cs="仿宋_GB2312"/>
                <w:color w:val="000000"/>
                <w:kern w:val="0"/>
                <w:sz w:val="20"/>
                <w:lang w:val="en-US" w:eastAsia="zh-CN" w:bidi="ar"/>
              </w:rPr>
              <w:t>3</w:t>
            </w:r>
            <w:r>
              <w:rPr>
                <w:rFonts w:hint="eastAsia" w:ascii="仿宋_GB2312" w:hAnsi="仿宋_GB2312" w:eastAsia="仿宋_GB2312" w:cs="仿宋_GB2312"/>
                <w:color w:val="000000"/>
                <w:kern w:val="0"/>
                <w:sz w:val="20"/>
                <w:lang w:bidi="ar"/>
              </w:rPr>
              <w:t>0</w:t>
            </w:r>
          </w:p>
        </w:tc>
        <w:tc>
          <w:tcPr>
            <w:tcW w:w="4389" w:type="dxa"/>
            <w:tcBorders>
              <w:tl2br w:val="nil"/>
              <w:tr2bl w:val="nil"/>
            </w:tcBorders>
            <w:vAlign w:val="center"/>
          </w:tcPr>
          <w:p w14:paraId="30A8A75B">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优（25-30分）：</w:t>
            </w:r>
            <w:r>
              <w:rPr>
                <w:rFonts w:hint="eastAsia" w:ascii="仿宋_GB2312" w:hAnsi="仿宋_GB2312" w:eastAsia="仿宋_GB2312" w:cs="仿宋_GB2312"/>
                <w:color w:val="000000"/>
                <w:kern w:val="0"/>
                <w:sz w:val="20"/>
                <w:lang w:bidi="ar"/>
              </w:rPr>
              <w:t>诉讼服务方案系统完整，深度贴合批量欠费案件特点，标准化作业流程清晰严谨，针对华南城主体特性制定了专属诉讼策略，逻辑性与可操作性极强。</w:t>
            </w:r>
          </w:p>
          <w:p w14:paraId="3A9E6893">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良（19-24分）：</w:t>
            </w:r>
            <w:r>
              <w:rPr>
                <w:rFonts w:hint="eastAsia" w:ascii="仿宋_GB2312" w:hAnsi="仿宋_GB2312" w:eastAsia="仿宋_GB2312" w:cs="仿宋_GB2312"/>
                <w:color w:val="000000"/>
                <w:kern w:val="0"/>
                <w:sz w:val="20"/>
                <w:lang w:bidi="ar"/>
              </w:rPr>
              <w:t>诉讼服务方案完整合理，符合案件办理基本规律，流程设置清晰，具备基本的批量案件处理思路，可操作性较好。</w:t>
            </w:r>
          </w:p>
          <w:p w14:paraId="4DC56B58">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中（11-18分）：</w:t>
            </w:r>
            <w:r>
              <w:rPr>
                <w:rFonts w:hint="eastAsia" w:ascii="仿宋_GB2312" w:hAnsi="仿宋_GB2312" w:eastAsia="仿宋_GB2312" w:cs="仿宋_GB2312"/>
                <w:color w:val="000000"/>
                <w:kern w:val="0"/>
                <w:sz w:val="20"/>
                <w:lang w:bidi="ar"/>
              </w:rPr>
              <w:t>诉讼服务方案基本完整，流程框架大体具备，但针对性不足，批量案件处理思路不够清晰，可操作性一般。</w:t>
            </w:r>
          </w:p>
          <w:p w14:paraId="5F41F700">
            <w:pPr>
              <w:numPr>
                <w:ilvl w:val="0"/>
                <w:numId w:val="0"/>
              </w:numPr>
              <w:ind w:left="0" w:leftChars="0" w:firstLine="0" w:firstLineChars="0"/>
              <w:rPr>
                <w:rFonts w:ascii="仿宋" w:hAnsi="仿宋" w:eastAsia="仿宋" w:cs="仿宋"/>
                <w:color w:val="000000"/>
                <w:kern w:val="0"/>
                <w:sz w:val="20"/>
                <w:lang w:bidi="ar"/>
              </w:rPr>
            </w:pPr>
            <w:r>
              <w:rPr>
                <w:rFonts w:hint="eastAsia" w:ascii="仿宋_GB2312" w:hAnsi="仿宋_GB2312" w:eastAsia="仿宋_GB2312" w:cs="仿宋_GB2312"/>
                <w:b/>
                <w:bCs/>
                <w:color w:val="000000"/>
                <w:kern w:val="0"/>
                <w:sz w:val="20"/>
                <w:lang w:bidi="ar"/>
              </w:rPr>
              <w:t>差（0-10分）：</w:t>
            </w:r>
            <w:r>
              <w:rPr>
                <w:rFonts w:hint="eastAsia" w:ascii="仿宋_GB2312" w:hAnsi="仿宋_GB2312" w:eastAsia="仿宋_GB2312" w:cs="仿宋_GB2312"/>
                <w:color w:val="000000"/>
                <w:kern w:val="0"/>
                <w:sz w:val="20"/>
                <w:lang w:bidi="ar"/>
              </w:rPr>
              <w:t>诉讼服务方案缺失或过于笼统，无明确的案件办理流程，不具备可操作性。</w:t>
            </w:r>
          </w:p>
        </w:tc>
        <w:tc>
          <w:tcPr>
            <w:tcW w:w="760" w:type="dxa"/>
            <w:tcBorders>
              <w:tl2br w:val="nil"/>
              <w:tr2bl w:val="nil"/>
            </w:tcBorders>
            <w:vAlign w:val="center"/>
          </w:tcPr>
          <w:p w14:paraId="186A32AD">
            <w:pPr>
              <w:spacing w:line="320" w:lineRule="exact"/>
              <w:rPr>
                <w:rFonts w:ascii="宋体" w:hAnsi="宋体"/>
                <w:szCs w:val="21"/>
              </w:rPr>
            </w:pPr>
          </w:p>
        </w:tc>
        <w:tc>
          <w:tcPr>
            <w:tcW w:w="773" w:type="dxa"/>
            <w:tcBorders>
              <w:tl2br w:val="nil"/>
              <w:tr2bl w:val="nil"/>
            </w:tcBorders>
            <w:vAlign w:val="center"/>
          </w:tcPr>
          <w:p w14:paraId="7155F3E6">
            <w:pPr>
              <w:spacing w:line="320" w:lineRule="exact"/>
              <w:rPr>
                <w:rFonts w:ascii="宋体" w:hAnsi="宋体"/>
                <w:szCs w:val="21"/>
              </w:rPr>
            </w:pPr>
          </w:p>
        </w:tc>
        <w:tc>
          <w:tcPr>
            <w:tcW w:w="766" w:type="dxa"/>
            <w:tcBorders>
              <w:tl2br w:val="nil"/>
              <w:tr2bl w:val="nil"/>
            </w:tcBorders>
            <w:vAlign w:val="center"/>
          </w:tcPr>
          <w:p w14:paraId="14B0A7A0">
            <w:pPr>
              <w:spacing w:line="320" w:lineRule="exact"/>
              <w:rPr>
                <w:rFonts w:ascii="宋体" w:hAnsi="宋体"/>
                <w:szCs w:val="21"/>
              </w:rPr>
            </w:pPr>
          </w:p>
        </w:tc>
      </w:tr>
      <w:tr w14:paraId="65B1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1" w:hRule="atLeast"/>
          <w:jc w:val="center"/>
        </w:trPr>
        <w:tc>
          <w:tcPr>
            <w:tcW w:w="738" w:type="dxa"/>
            <w:tcBorders>
              <w:tl2br w:val="nil"/>
              <w:tr2bl w:val="nil"/>
            </w:tcBorders>
            <w:vAlign w:val="center"/>
          </w:tcPr>
          <w:p w14:paraId="21F62891">
            <w:pPr>
              <w:spacing w:line="320" w:lineRule="exact"/>
              <w:jc w:val="center"/>
              <w:rPr>
                <w:rFonts w:ascii="宋体" w:hAnsi="宋体"/>
                <w:szCs w:val="21"/>
              </w:rPr>
            </w:pPr>
            <w:r>
              <w:rPr>
                <w:rFonts w:hint="eastAsia" w:ascii="仿宋_GB2312" w:hAnsi="仿宋_GB2312" w:eastAsia="仿宋_GB2312" w:cs="仿宋_GB2312"/>
                <w:szCs w:val="21"/>
                <w:lang w:val="en-US" w:eastAsia="zh-CN"/>
              </w:rPr>
              <w:t>4</w:t>
            </w:r>
          </w:p>
        </w:tc>
        <w:tc>
          <w:tcPr>
            <w:tcW w:w="1102" w:type="dxa"/>
            <w:tcBorders>
              <w:tl2br w:val="nil"/>
              <w:tr2bl w:val="nil"/>
            </w:tcBorders>
            <w:shd w:val="clear" w:color="auto" w:fill="auto"/>
            <w:vAlign w:val="center"/>
          </w:tcPr>
          <w:p w14:paraId="5F59F67F">
            <w:pPr>
              <w:numPr>
                <w:ilvl w:val="0"/>
                <w:numId w:val="0"/>
              </w:numPr>
              <w:ind w:left="0" w:leftChars="0" w:firstLine="0" w:firstLineChars="0"/>
              <w:rPr>
                <w:rFonts w:ascii="仿宋" w:hAnsi="仿宋" w:eastAsia="仿宋" w:cs="仿宋"/>
                <w:color w:val="000000"/>
                <w:sz w:val="24"/>
                <w:szCs w:val="24"/>
              </w:rPr>
            </w:pPr>
            <w:r>
              <w:rPr>
                <w:rFonts w:hint="eastAsia" w:ascii="仿宋_GB2312" w:hAnsi="仿宋_GB2312" w:eastAsia="仿宋_GB2312" w:cs="仿宋_GB2312"/>
                <w:color w:val="000000"/>
                <w:kern w:val="0"/>
                <w:sz w:val="20"/>
                <w:lang w:bidi="ar"/>
              </w:rPr>
              <w:t>服务质量管控与响应机制</w:t>
            </w:r>
          </w:p>
        </w:tc>
        <w:tc>
          <w:tcPr>
            <w:tcW w:w="888" w:type="dxa"/>
            <w:tcBorders>
              <w:tl2br w:val="nil"/>
              <w:tr2bl w:val="nil"/>
            </w:tcBorders>
            <w:shd w:val="clear" w:color="auto" w:fill="auto"/>
            <w:vAlign w:val="center"/>
          </w:tcPr>
          <w:p w14:paraId="04DB0536">
            <w:pPr>
              <w:numPr>
                <w:ilvl w:val="0"/>
                <w:numId w:val="0"/>
              </w:numPr>
              <w:ind w:left="0" w:leftChars="0" w:firstLine="0" w:firstLineChars="0"/>
              <w:jc w:val="center"/>
              <w:rPr>
                <w:rFonts w:ascii="仿宋" w:hAnsi="仿宋" w:eastAsia="仿宋" w:cs="仿宋"/>
                <w:sz w:val="24"/>
                <w:szCs w:val="24"/>
              </w:rPr>
            </w:pPr>
            <w:r>
              <w:rPr>
                <w:rFonts w:hint="eastAsia" w:ascii="仿宋_GB2312" w:hAnsi="仿宋_GB2312" w:eastAsia="仿宋_GB2312" w:cs="仿宋_GB2312"/>
                <w:color w:val="000000"/>
                <w:kern w:val="0"/>
                <w:sz w:val="20"/>
                <w:lang w:val="en-US" w:eastAsia="zh-CN" w:bidi="ar"/>
              </w:rPr>
              <w:t>20</w:t>
            </w:r>
          </w:p>
        </w:tc>
        <w:tc>
          <w:tcPr>
            <w:tcW w:w="4389" w:type="dxa"/>
            <w:tcBorders>
              <w:tl2br w:val="nil"/>
              <w:tr2bl w:val="nil"/>
            </w:tcBorders>
            <w:vAlign w:val="center"/>
          </w:tcPr>
          <w:p w14:paraId="4711ADFD">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优（17-20分）：</w:t>
            </w:r>
            <w:r>
              <w:rPr>
                <w:rFonts w:hint="eastAsia" w:ascii="仿宋_GB2312" w:hAnsi="仿宋_GB2312" w:eastAsia="仿宋_GB2312" w:cs="仿宋_GB2312"/>
                <w:color w:val="000000"/>
                <w:kern w:val="0"/>
                <w:sz w:val="20"/>
                <w:lang w:bidi="ar"/>
              </w:rPr>
              <w:t>质量管控体系完善，内部审核机制严谨，时效承诺明确且保障措施有力，沟通对接机制顺畅，应急响应能力强。</w:t>
            </w:r>
          </w:p>
          <w:p w14:paraId="7CFBAF20">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良（13-16分）：</w:t>
            </w:r>
            <w:r>
              <w:rPr>
                <w:rFonts w:hint="eastAsia" w:ascii="仿宋_GB2312" w:hAnsi="仿宋_GB2312" w:eastAsia="仿宋_GB2312" w:cs="仿宋_GB2312"/>
                <w:color w:val="000000"/>
                <w:kern w:val="0"/>
                <w:sz w:val="20"/>
                <w:lang w:bidi="ar"/>
              </w:rPr>
              <w:t>质量管控机制基本健全，有明确的时效要求与对接机制，能够保障日常服务响应与案件质量。</w:t>
            </w:r>
          </w:p>
          <w:p w14:paraId="284B8F32">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b/>
                <w:bCs/>
                <w:color w:val="000000"/>
                <w:kern w:val="0"/>
                <w:sz w:val="20"/>
                <w:lang w:bidi="ar"/>
              </w:rPr>
              <w:t>中（7-12分）：</w:t>
            </w:r>
            <w:r>
              <w:rPr>
                <w:rFonts w:hint="eastAsia" w:ascii="仿宋_GB2312" w:hAnsi="仿宋_GB2312" w:eastAsia="仿宋_GB2312" w:cs="仿宋_GB2312"/>
                <w:color w:val="000000"/>
                <w:kern w:val="0"/>
                <w:sz w:val="20"/>
                <w:lang w:bidi="ar"/>
              </w:rPr>
              <w:t>质量管控与响应机制基本具备，但不够细化，保障措施不足。</w:t>
            </w:r>
          </w:p>
          <w:p w14:paraId="61D2E33C">
            <w:pPr>
              <w:numPr>
                <w:ilvl w:val="0"/>
                <w:numId w:val="0"/>
              </w:numPr>
              <w:ind w:left="0" w:leftChars="0" w:firstLine="0" w:firstLineChars="0"/>
              <w:rPr>
                <w:rFonts w:ascii="仿宋" w:hAnsi="仿宋" w:eastAsia="仿宋" w:cs="仿宋"/>
                <w:b/>
                <w:bCs/>
                <w:szCs w:val="21"/>
              </w:rPr>
            </w:pPr>
            <w:r>
              <w:rPr>
                <w:rFonts w:hint="eastAsia" w:ascii="仿宋_GB2312" w:hAnsi="仿宋_GB2312" w:eastAsia="仿宋_GB2312" w:cs="仿宋_GB2312"/>
                <w:b/>
                <w:bCs/>
                <w:color w:val="000000"/>
                <w:kern w:val="0"/>
                <w:sz w:val="20"/>
                <w:lang w:bidi="ar"/>
              </w:rPr>
              <w:t>差（0-10分）：</w:t>
            </w:r>
            <w:r>
              <w:rPr>
                <w:rFonts w:hint="eastAsia" w:ascii="仿宋_GB2312" w:hAnsi="仿宋_GB2312" w:eastAsia="仿宋_GB2312" w:cs="仿宋_GB2312"/>
                <w:color w:val="000000"/>
                <w:kern w:val="0"/>
                <w:sz w:val="20"/>
                <w:lang w:bidi="ar"/>
              </w:rPr>
              <w:t>无明确的质量管控与响应机制，无法保障服务质量与效率。</w:t>
            </w:r>
          </w:p>
        </w:tc>
        <w:tc>
          <w:tcPr>
            <w:tcW w:w="760" w:type="dxa"/>
            <w:tcBorders>
              <w:tl2br w:val="nil"/>
              <w:tr2bl w:val="nil"/>
            </w:tcBorders>
            <w:vAlign w:val="center"/>
          </w:tcPr>
          <w:p w14:paraId="237E5D50">
            <w:pPr>
              <w:spacing w:line="320" w:lineRule="exact"/>
              <w:rPr>
                <w:rFonts w:ascii="宋体" w:hAnsi="宋体" w:cs="宋体"/>
                <w:sz w:val="24"/>
                <w:szCs w:val="24"/>
              </w:rPr>
            </w:pPr>
          </w:p>
        </w:tc>
        <w:tc>
          <w:tcPr>
            <w:tcW w:w="773" w:type="dxa"/>
            <w:tcBorders>
              <w:tl2br w:val="nil"/>
              <w:tr2bl w:val="nil"/>
            </w:tcBorders>
            <w:vAlign w:val="center"/>
          </w:tcPr>
          <w:p w14:paraId="068BA916">
            <w:pPr>
              <w:spacing w:line="320" w:lineRule="exact"/>
              <w:rPr>
                <w:rFonts w:ascii="宋体" w:hAnsi="宋体" w:cs="宋体"/>
                <w:sz w:val="24"/>
                <w:szCs w:val="24"/>
              </w:rPr>
            </w:pPr>
          </w:p>
        </w:tc>
        <w:tc>
          <w:tcPr>
            <w:tcW w:w="766" w:type="dxa"/>
            <w:tcBorders>
              <w:tl2br w:val="nil"/>
              <w:tr2bl w:val="nil"/>
            </w:tcBorders>
            <w:vAlign w:val="center"/>
          </w:tcPr>
          <w:p w14:paraId="40204D10">
            <w:pPr>
              <w:spacing w:line="320" w:lineRule="exact"/>
              <w:rPr>
                <w:rFonts w:ascii="宋体" w:hAnsi="宋体" w:cs="宋体"/>
                <w:sz w:val="24"/>
                <w:szCs w:val="24"/>
              </w:rPr>
            </w:pPr>
          </w:p>
        </w:tc>
      </w:tr>
      <w:tr w14:paraId="2085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38" w:type="dxa"/>
            <w:tcBorders>
              <w:tl2br w:val="nil"/>
              <w:tr2bl w:val="nil"/>
            </w:tcBorders>
            <w:vAlign w:val="center"/>
          </w:tcPr>
          <w:p w14:paraId="41D7C160">
            <w:pPr>
              <w:spacing w:line="320" w:lineRule="exact"/>
              <w:jc w:val="center"/>
              <w:rPr>
                <w:rFonts w:ascii="宋体" w:hAnsi="宋体"/>
                <w:szCs w:val="21"/>
              </w:rPr>
            </w:pPr>
          </w:p>
        </w:tc>
        <w:tc>
          <w:tcPr>
            <w:tcW w:w="1102" w:type="dxa"/>
            <w:tcBorders>
              <w:tl2br w:val="nil"/>
              <w:tr2bl w:val="nil"/>
            </w:tcBorders>
            <w:shd w:val="clear" w:color="auto" w:fill="auto"/>
            <w:vAlign w:val="center"/>
          </w:tcPr>
          <w:p w14:paraId="788C265E">
            <w:pPr>
              <w:spacing w:line="320" w:lineRule="exact"/>
              <w:jc w:val="center"/>
              <w:rPr>
                <w:rFonts w:hint="eastAsia" w:ascii="仿宋" w:hAnsi="仿宋" w:eastAsia="仿宋" w:cs="仿宋"/>
                <w:color w:val="000000"/>
                <w:sz w:val="24"/>
                <w:szCs w:val="24"/>
              </w:rPr>
            </w:pPr>
            <w:r>
              <w:rPr>
                <w:rFonts w:hint="eastAsia" w:ascii="仿宋_GB2312" w:hAnsi="仿宋_GB2312" w:eastAsia="仿宋_GB2312" w:cs="仿宋_GB2312"/>
                <w:color w:val="000000"/>
                <w:sz w:val="24"/>
                <w:szCs w:val="24"/>
              </w:rPr>
              <w:t>合计分</w:t>
            </w:r>
          </w:p>
        </w:tc>
        <w:tc>
          <w:tcPr>
            <w:tcW w:w="888" w:type="dxa"/>
            <w:tcBorders>
              <w:tl2br w:val="nil"/>
              <w:tr2bl w:val="nil"/>
            </w:tcBorders>
            <w:shd w:val="clear" w:color="auto" w:fill="auto"/>
            <w:vAlign w:val="center"/>
          </w:tcPr>
          <w:p w14:paraId="51AC6A61">
            <w:pPr>
              <w:numPr>
                <w:ilvl w:val="0"/>
                <w:numId w:val="0"/>
              </w:numPr>
              <w:ind w:left="0" w:leftChars="0" w:firstLine="0" w:firstLineChars="0"/>
              <w:jc w:val="center"/>
              <w:rPr>
                <w:rFonts w:hint="eastAsia" w:ascii="仿宋" w:hAnsi="仿宋" w:eastAsia="仿宋" w:cs="仿宋"/>
                <w:sz w:val="24"/>
                <w:szCs w:val="24"/>
              </w:rPr>
            </w:pPr>
            <w:r>
              <w:rPr>
                <w:rFonts w:hint="eastAsia" w:ascii="仿宋_GB2312" w:hAnsi="仿宋_GB2312" w:eastAsia="仿宋_GB2312" w:cs="仿宋_GB2312"/>
                <w:color w:val="000000"/>
                <w:kern w:val="0"/>
                <w:sz w:val="20"/>
                <w:lang w:bidi="ar"/>
              </w:rPr>
              <w:t>100</w:t>
            </w:r>
          </w:p>
        </w:tc>
        <w:tc>
          <w:tcPr>
            <w:tcW w:w="4389" w:type="dxa"/>
            <w:tcBorders>
              <w:tl2br w:val="nil"/>
              <w:tr2bl w:val="nil"/>
            </w:tcBorders>
            <w:vAlign w:val="center"/>
          </w:tcPr>
          <w:p w14:paraId="0358936E">
            <w:pPr>
              <w:spacing w:line="320" w:lineRule="exact"/>
              <w:jc w:val="center"/>
              <w:rPr>
                <w:rFonts w:ascii="仿宋" w:hAnsi="仿宋" w:eastAsia="仿宋" w:cs="仿宋"/>
                <w:b/>
                <w:bCs/>
                <w:szCs w:val="21"/>
              </w:rPr>
            </w:pPr>
          </w:p>
        </w:tc>
        <w:tc>
          <w:tcPr>
            <w:tcW w:w="760" w:type="dxa"/>
            <w:tcBorders>
              <w:tl2br w:val="nil"/>
              <w:tr2bl w:val="nil"/>
            </w:tcBorders>
            <w:vAlign w:val="center"/>
          </w:tcPr>
          <w:p w14:paraId="3413BCBD">
            <w:pPr>
              <w:spacing w:line="320" w:lineRule="exact"/>
              <w:rPr>
                <w:rFonts w:ascii="宋体" w:hAnsi="宋体" w:cs="宋体"/>
                <w:sz w:val="24"/>
                <w:szCs w:val="24"/>
              </w:rPr>
            </w:pPr>
          </w:p>
        </w:tc>
        <w:tc>
          <w:tcPr>
            <w:tcW w:w="773" w:type="dxa"/>
            <w:tcBorders>
              <w:tl2br w:val="nil"/>
              <w:tr2bl w:val="nil"/>
            </w:tcBorders>
            <w:vAlign w:val="center"/>
          </w:tcPr>
          <w:p w14:paraId="73D87B33">
            <w:pPr>
              <w:spacing w:line="320" w:lineRule="exact"/>
              <w:rPr>
                <w:rFonts w:ascii="宋体" w:hAnsi="宋体" w:cs="宋体"/>
                <w:sz w:val="24"/>
                <w:szCs w:val="24"/>
              </w:rPr>
            </w:pPr>
          </w:p>
        </w:tc>
        <w:tc>
          <w:tcPr>
            <w:tcW w:w="766" w:type="dxa"/>
            <w:tcBorders>
              <w:tl2br w:val="nil"/>
              <w:tr2bl w:val="nil"/>
            </w:tcBorders>
            <w:vAlign w:val="center"/>
          </w:tcPr>
          <w:p w14:paraId="5A492FC2">
            <w:pPr>
              <w:spacing w:line="320" w:lineRule="exact"/>
              <w:rPr>
                <w:rFonts w:ascii="宋体" w:hAnsi="宋体" w:cs="宋体"/>
                <w:sz w:val="24"/>
                <w:szCs w:val="24"/>
              </w:rPr>
            </w:pPr>
          </w:p>
        </w:tc>
      </w:tr>
    </w:tbl>
    <w:p w14:paraId="466070BA">
      <w:pPr>
        <w:ind w:firstLine="632"/>
        <w:rPr>
          <w:rFonts w:ascii="仿宋" w:hAnsi="仿宋" w:eastAsia="仿宋"/>
          <w:b/>
          <w:bCs/>
          <w:szCs w:val="21"/>
        </w:rPr>
      </w:pPr>
      <w:r>
        <w:rPr>
          <w:rFonts w:hint="eastAsia" w:ascii="仿宋" w:hAnsi="仿宋" w:eastAsia="仿宋"/>
          <w:b/>
          <w:bCs/>
          <w:szCs w:val="21"/>
        </w:rPr>
        <w:t>备注：</w:t>
      </w:r>
    </w:p>
    <w:p w14:paraId="30AF8A8C">
      <w:pPr>
        <w:ind w:firstLine="480" w:firstLineChars="200"/>
        <w:rPr>
          <w:rFonts w:ascii="仿宋" w:hAnsi="仿宋" w:eastAsia="仿宋"/>
          <w:sz w:val="24"/>
          <w:szCs w:val="24"/>
        </w:rPr>
      </w:pPr>
      <w:r>
        <w:rPr>
          <w:rFonts w:hint="eastAsia" w:ascii="仿宋" w:hAnsi="仿宋" w:eastAsia="仿宋"/>
          <w:sz w:val="24"/>
          <w:szCs w:val="24"/>
        </w:rPr>
        <w:t>1、表中评分项均需提供有效证明材料，需网上查询的投标单位自行查询并截图作为证明材料，缺项或者证明材料不充分则该项为0分或不合格为0分。</w:t>
      </w:r>
    </w:p>
    <w:p w14:paraId="65251260">
      <w:pPr>
        <w:ind w:firstLine="480" w:firstLineChars="200"/>
        <w:rPr>
          <w:rFonts w:ascii="仿宋" w:hAnsi="仿宋" w:eastAsia="仿宋"/>
          <w:b/>
          <w:bCs/>
          <w:szCs w:val="21"/>
        </w:rPr>
      </w:pPr>
      <w:r>
        <w:rPr>
          <w:rFonts w:hint="eastAsia" w:ascii="仿宋" w:hAnsi="仿宋" w:eastAsia="仿宋"/>
          <w:sz w:val="24"/>
          <w:szCs w:val="24"/>
        </w:rPr>
        <w:t>2.招标人必须明确每项评审内容、要求及分值范围，评标专家以此对每项评审内容进行打分。</w:t>
      </w:r>
    </w:p>
    <w:p w14:paraId="2D0AC73B">
      <w:pPr>
        <w:ind w:firstLine="480" w:firstLineChars="200"/>
        <w:rPr>
          <w:rFonts w:ascii="仿宋" w:hAnsi="仿宋" w:eastAsia="仿宋"/>
          <w:sz w:val="24"/>
          <w:szCs w:val="24"/>
        </w:rPr>
      </w:pPr>
      <w:r>
        <w:rPr>
          <w:rFonts w:hint="eastAsia" w:ascii="仿宋" w:hAnsi="仿宋" w:eastAsia="仿宋"/>
          <w:sz w:val="24"/>
          <w:szCs w:val="24"/>
        </w:rPr>
        <w:t>3.本表适用于专家独立评审使用。</w:t>
      </w:r>
    </w:p>
    <w:p w14:paraId="18A105EF">
      <w:pPr>
        <w:ind w:firstLine="840"/>
        <w:rPr>
          <w:rFonts w:ascii="仿宋" w:hAnsi="仿宋" w:eastAsia="仿宋"/>
          <w:b/>
          <w:bCs/>
          <w:sz w:val="28"/>
          <w:szCs w:val="28"/>
        </w:rPr>
      </w:pPr>
      <w:r>
        <w:rPr>
          <w:rFonts w:hint="eastAsia" w:ascii="仿宋" w:hAnsi="仿宋" w:eastAsia="仿宋"/>
          <w:kern w:val="0"/>
          <w:sz w:val="28"/>
          <w:szCs w:val="28"/>
        </w:rPr>
        <w:t>评标专家：</w:t>
      </w:r>
      <w:r>
        <w:rPr>
          <w:rFonts w:hint="eastAsia" w:ascii="仿宋" w:hAnsi="仿宋" w:eastAsia="仿宋"/>
          <w:kern w:val="0"/>
          <w:sz w:val="28"/>
          <w:szCs w:val="28"/>
          <w:u w:val="single"/>
        </w:rPr>
        <w:t xml:space="preserve">            </w:t>
      </w:r>
      <w:r>
        <w:rPr>
          <w:rFonts w:hint="eastAsia" w:ascii="仿宋" w:hAnsi="仿宋" w:eastAsia="仿宋"/>
          <w:kern w:val="0"/>
          <w:sz w:val="28"/>
          <w:szCs w:val="28"/>
        </w:rPr>
        <w:t xml:space="preserve">      评标日期：</w:t>
      </w:r>
      <w:r>
        <w:rPr>
          <w:rFonts w:hint="eastAsia" w:ascii="仿宋" w:hAnsi="仿宋" w:eastAsia="仿宋"/>
          <w:kern w:val="0"/>
          <w:sz w:val="28"/>
          <w:szCs w:val="28"/>
          <w:u w:val="single"/>
        </w:rPr>
        <w:t xml:space="preserve">          </w:t>
      </w:r>
    </w:p>
    <w:p w14:paraId="17168BE9">
      <w:pPr>
        <w:spacing w:line="360" w:lineRule="auto"/>
        <w:ind w:firstLine="482" w:firstLineChars="200"/>
        <w:rPr>
          <w:rFonts w:ascii="宋体" w:hAnsi="宋体"/>
          <w:b/>
          <w:sz w:val="24"/>
        </w:rPr>
        <w:sectPr>
          <w:pgSz w:w="12240" w:h="15840"/>
          <w:pgMar w:top="1440" w:right="1797" w:bottom="1440" w:left="1797" w:header="720" w:footer="720" w:gutter="0"/>
          <w:cols w:space="720" w:num="1"/>
        </w:sectPr>
      </w:pPr>
      <w:r>
        <w:rPr>
          <w:rFonts w:ascii="宋体" w:hAnsi="宋体"/>
          <w:b/>
          <w:sz w:val="24"/>
        </w:rPr>
        <w:br w:type="page"/>
      </w:r>
    </w:p>
    <w:p w14:paraId="05BC9E48">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2.技术标评审汇总表</w:t>
      </w:r>
    </w:p>
    <w:p w14:paraId="5287F802">
      <w:pPr>
        <w:spacing w:line="360" w:lineRule="auto"/>
        <w:ind w:firstLine="480" w:firstLineChars="200"/>
        <w:jc w:val="left"/>
        <w:rPr>
          <w:rFonts w:ascii="华文细黑" w:hAnsi="华文细黑" w:eastAsia="黑体"/>
          <w:sz w:val="28"/>
          <w:szCs w:val="28"/>
        </w:rPr>
      </w:pPr>
      <w:r>
        <w:rPr>
          <w:rFonts w:hint="eastAsia" w:ascii="华文细黑" w:hAnsi="华文细黑" w:eastAsia="黑体"/>
          <w:sz w:val="24"/>
          <w:szCs w:val="24"/>
        </w:rPr>
        <w:t>服务名称：</w:t>
      </w:r>
      <w:r>
        <w:rPr>
          <w:rFonts w:hint="eastAsia" w:ascii="华文细黑" w:hAnsi="华文细黑" w:eastAsia="黑体"/>
          <w:sz w:val="24"/>
          <w:szCs w:val="24"/>
          <w:u w:val="single"/>
        </w:rPr>
        <w:t xml:space="preserve">                    </w:t>
      </w:r>
      <w:r>
        <w:rPr>
          <w:rFonts w:hint="eastAsia" w:ascii="华文细黑" w:hAnsi="华文细黑" w:eastAsia="黑体"/>
          <w:sz w:val="24"/>
          <w:szCs w:val="24"/>
        </w:rPr>
        <w:t xml:space="preserve">  </w:t>
      </w:r>
    </w:p>
    <w:tbl>
      <w:tblPr>
        <w:tblStyle w:val="36"/>
        <w:tblW w:w="13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3800"/>
        <w:gridCol w:w="947"/>
        <w:gridCol w:w="1146"/>
        <w:gridCol w:w="1127"/>
        <w:gridCol w:w="1047"/>
        <w:gridCol w:w="1080"/>
        <w:gridCol w:w="1066"/>
        <w:gridCol w:w="1000"/>
        <w:gridCol w:w="1074"/>
      </w:tblGrid>
      <w:tr w14:paraId="3586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0" w:type="dxa"/>
            <w:vMerge w:val="restart"/>
            <w:vAlign w:val="center"/>
          </w:tcPr>
          <w:p w14:paraId="4BFC5D80">
            <w:pPr>
              <w:jc w:val="center"/>
              <w:rPr>
                <w:rFonts w:ascii="宋体" w:hAnsi="宋体"/>
                <w:b/>
                <w:bCs/>
                <w:spacing w:val="30"/>
                <w:szCs w:val="21"/>
              </w:rPr>
            </w:pPr>
            <w:r>
              <w:rPr>
                <w:rFonts w:hint="eastAsia" w:ascii="宋体" w:hAnsi="宋体"/>
                <w:b/>
                <w:bCs/>
                <w:spacing w:val="30"/>
                <w:szCs w:val="21"/>
              </w:rPr>
              <w:t>序号</w:t>
            </w:r>
          </w:p>
        </w:tc>
        <w:tc>
          <w:tcPr>
            <w:tcW w:w="3800" w:type="dxa"/>
            <w:vMerge w:val="restart"/>
            <w:vAlign w:val="center"/>
          </w:tcPr>
          <w:p w14:paraId="25B30C68">
            <w:pPr>
              <w:jc w:val="center"/>
              <w:rPr>
                <w:rFonts w:ascii="宋体" w:hAnsi="宋体"/>
                <w:b/>
                <w:bCs/>
                <w:spacing w:val="30"/>
                <w:szCs w:val="21"/>
              </w:rPr>
            </w:pPr>
            <w:r>
              <w:rPr>
                <w:rFonts w:hint="eastAsia" w:ascii="宋体" w:hAnsi="宋体"/>
                <w:b/>
                <w:bCs/>
                <w:spacing w:val="30"/>
                <w:szCs w:val="21"/>
              </w:rPr>
              <w:t>投标人名称</w:t>
            </w:r>
          </w:p>
        </w:tc>
        <w:tc>
          <w:tcPr>
            <w:tcW w:w="8487" w:type="dxa"/>
            <w:gridSpan w:val="8"/>
            <w:vAlign w:val="center"/>
          </w:tcPr>
          <w:p w14:paraId="4DF6F298">
            <w:pPr>
              <w:jc w:val="center"/>
              <w:rPr>
                <w:rFonts w:ascii="宋体" w:hAnsi="宋体"/>
                <w:b/>
                <w:bCs/>
                <w:spacing w:val="30"/>
                <w:szCs w:val="21"/>
              </w:rPr>
            </w:pPr>
            <w:r>
              <w:rPr>
                <w:rFonts w:hint="eastAsia" w:ascii="宋体" w:hAnsi="宋体"/>
                <w:b/>
                <w:bCs/>
                <w:spacing w:val="30"/>
                <w:szCs w:val="21"/>
              </w:rPr>
              <w:t>评委评定（是/否合格或分值）</w:t>
            </w:r>
          </w:p>
        </w:tc>
      </w:tr>
      <w:tr w14:paraId="5385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0" w:type="dxa"/>
            <w:vMerge w:val="continue"/>
            <w:vAlign w:val="center"/>
          </w:tcPr>
          <w:p w14:paraId="2108B5F1">
            <w:pPr>
              <w:jc w:val="center"/>
              <w:rPr>
                <w:rFonts w:ascii="宋体" w:hAnsi="宋体"/>
                <w:b/>
                <w:bCs/>
                <w:spacing w:val="30"/>
                <w:szCs w:val="21"/>
              </w:rPr>
            </w:pPr>
          </w:p>
        </w:tc>
        <w:tc>
          <w:tcPr>
            <w:tcW w:w="3800" w:type="dxa"/>
            <w:vMerge w:val="continue"/>
            <w:vAlign w:val="center"/>
          </w:tcPr>
          <w:p w14:paraId="112EF69A">
            <w:pPr>
              <w:rPr>
                <w:rFonts w:ascii="宋体" w:hAnsi="宋体"/>
                <w:b/>
                <w:bCs/>
                <w:spacing w:val="30"/>
                <w:szCs w:val="21"/>
              </w:rPr>
            </w:pPr>
          </w:p>
        </w:tc>
        <w:tc>
          <w:tcPr>
            <w:tcW w:w="947" w:type="dxa"/>
            <w:shd w:val="clear" w:color="auto" w:fill="auto"/>
            <w:vAlign w:val="center"/>
          </w:tcPr>
          <w:p w14:paraId="194E4145">
            <w:pPr>
              <w:jc w:val="center"/>
              <w:rPr>
                <w:rFonts w:ascii="宋体" w:hAnsi="宋体"/>
                <w:b/>
                <w:bCs/>
                <w:spacing w:val="30"/>
                <w:szCs w:val="21"/>
              </w:rPr>
            </w:pPr>
            <w:r>
              <w:rPr>
                <w:rFonts w:hint="eastAsia" w:ascii="宋体" w:hAnsi="宋体"/>
                <w:b/>
                <w:bCs/>
                <w:spacing w:val="30"/>
                <w:szCs w:val="21"/>
              </w:rPr>
              <w:t>评委1</w:t>
            </w:r>
          </w:p>
        </w:tc>
        <w:tc>
          <w:tcPr>
            <w:tcW w:w="1146" w:type="dxa"/>
            <w:shd w:val="clear" w:color="auto" w:fill="auto"/>
            <w:vAlign w:val="center"/>
          </w:tcPr>
          <w:p w14:paraId="1848EDE0">
            <w:pPr>
              <w:jc w:val="center"/>
              <w:rPr>
                <w:rFonts w:ascii="宋体" w:hAnsi="宋体"/>
                <w:b/>
                <w:bCs/>
                <w:spacing w:val="30"/>
                <w:szCs w:val="21"/>
              </w:rPr>
            </w:pPr>
            <w:r>
              <w:rPr>
                <w:rFonts w:hint="eastAsia" w:ascii="宋体" w:hAnsi="宋体"/>
                <w:b/>
                <w:bCs/>
                <w:spacing w:val="30"/>
                <w:szCs w:val="21"/>
              </w:rPr>
              <w:t>评委2</w:t>
            </w:r>
          </w:p>
        </w:tc>
        <w:tc>
          <w:tcPr>
            <w:tcW w:w="1127" w:type="dxa"/>
            <w:shd w:val="clear" w:color="auto" w:fill="auto"/>
            <w:vAlign w:val="center"/>
          </w:tcPr>
          <w:p w14:paraId="0814AD39">
            <w:pPr>
              <w:jc w:val="center"/>
              <w:rPr>
                <w:rFonts w:ascii="宋体" w:hAnsi="宋体"/>
                <w:b/>
                <w:bCs/>
                <w:spacing w:val="30"/>
                <w:szCs w:val="21"/>
              </w:rPr>
            </w:pPr>
            <w:r>
              <w:rPr>
                <w:rFonts w:hint="eastAsia" w:ascii="宋体" w:hAnsi="宋体"/>
                <w:b/>
                <w:bCs/>
                <w:spacing w:val="30"/>
                <w:szCs w:val="21"/>
              </w:rPr>
              <w:t>评委3</w:t>
            </w:r>
          </w:p>
        </w:tc>
        <w:tc>
          <w:tcPr>
            <w:tcW w:w="1047" w:type="dxa"/>
            <w:shd w:val="clear" w:color="auto" w:fill="auto"/>
            <w:vAlign w:val="center"/>
          </w:tcPr>
          <w:p w14:paraId="25BED03E">
            <w:pPr>
              <w:jc w:val="center"/>
              <w:rPr>
                <w:rFonts w:ascii="宋体" w:hAnsi="宋体"/>
                <w:b/>
                <w:bCs/>
                <w:spacing w:val="30"/>
                <w:szCs w:val="21"/>
              </w:rPr>
            </w:pPr>
            <w:r>
              <w:rPr>
                <w:rFonts w:hint="eastAsia" w:ascii="宋体" w:hAnsi="宋体"/>
                <w:b/>
                <w:bCs/>
                <w:spacing w:val="30"/>
                <w:szCs w:val="21"/>
              </w:rPr>
              <w:t>评委4</w:t>
            </w:r>
          </w:p>
        </w:tc>
        <w:tc>
          <w:tcPr>
            <w:tcW w:w="1080" w:type="dxa"/>
            <w:shd w:val="clear" w:color="auto" w:fill="auto"/>
            <w:vAlign w:val="center"/>
          </w:tcPr>
          <w:p w14:paraId="1C702652">
            <w:pPr>
              <w:jc w:val="center"/>
              <w:rPr>
                <w:rFonts w:ascii="宋体" w:hAnsi="宋体"/>
                <w:b/>
                <w:bCs/>
                <w:spacing w:val="30"/>
                <w:szCs w:val="21"/>
              </w:rPr>
            </w:pPr>
            <w:r>
              <w:rPr>
                <w:rFonts w:hint="eastAsia" w:ascii="宋体" w:hAnsi="宋体"/>
                <w:b/>
                <w:bCs/>
                <w:spacing w:val="30"/>
                <w:szCs w:val="21"/>
              </w:rPr>
              <w:t>评委5</w:t>
            </w:r>
          </w:p>
        </w:tc>
        <w:tc>
          <w:tcPr>
            <w:tcW w:w="1066" w:type="dxa"/>
            <w:shd w:val="clear" w:color="auto" w:fill="auto"/>
            <w:vAlign w:val="center"/>
          </w:tcPr>
          <w:p w14:paraId="37AE6707">
            <w:pPr>
              <w:jc w:val="center"/>
              <w:rPr>
                <w:rFonts w:ascii="宋体" w:hAnsi="宋体"/>
                <w:b/>
                <w:bCs/>
                <w:spacing w:val="30"/>
                <w:szCs w:val="21"/>
              </w:rPr>
            </w:pPr>
            <w:r>
              <w:rPr>
                <w:rFonts w:hint="eastAsia" w:ascii="宋体" w:hAnsi="宋体"/>
                <w:b/>
                <w:bCs/>
                <w:spacing w:val="30"/>
                <w:szCs w:val="21"/>
              </w:rPr>
              <w:t>评委6</w:t>
            </w:r>
          </w:p>
        </w:tc>
        <w:tc>
          <w:tcPr>
            <w:tcW w:w="1000" w:type="dxa"/>
            <w:shd w:val="clear" w:color="auto" w:fill="auto"/>
            <w:vAlign w:val="center"/>
          </w:tcPr>
          <w:p w14:paraId="5F406DF6">
            <w:pPr>
              <w:jc w:val="center"/>
              <w:rPr>
                <w:rFonts w:ascii="宋体" w:hAnsi="宋体"/>
                <w:b/>
                <w:bCs/>
                <w:spacing w:val="30"/>
                <w:szCs w:val="21"/>
              </w:rPr>
            </w:pPr>
            <w:r>
              <w:rPr>
                <w:rFonts w:hint="eastAsia" w:ascii="宋体" w:hAnsi="宋体"/>
                <w:b/>
                <w:bCs/>
                <w:spacing w:val="30"/>
                <w:szCs w:val="21"/>
              </w:rPr>
              <w:t>评委7</w:t>
            </w:r>
          </w:p>
        </w:tc>
        <w:tc>
          <w:tcPr>
            <w:tcW w:w="1074" w:type="dxa"/>
            <w:shd w:val="clear" w:color="auto" w:fill="auto"/>
            <w:vAlign w:val="center"/>
          </w:tcPr>
          <w:p w14:paraId="4795EB5C">
            <w:pPr>
              <w:jc w:val="center"/>
              <w:rPr>
                <w:rFonts w:ascii="宋体" w:hAnsi="宋体"/>
                <w:b/>
                <w:bCs/>
                <w:szCs w:val="21"/>
              </w:rPr>
            </w:pPr>
            <w:r>
              <w:rPr>
                <w:rFonts w:hint="eastAsia" w:ascii="宋体" w:hAnsi="宋体"/>
                <w:b/>
                <w:bCs/>
                <w:szCs w:val="21"/>
              </w:rPr>
              <w:t>最终评定</w:t>
            </w:r>
          </w:p>
        </w:tc>
      </w:tr>
      <w:tr w14:paraId="6AC9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0" w:type="dxa"/>
            <w:vAlign w:val="center"/>
          </w:tcPr>
          <w:p w14:paraId="4ADE5A6C">
            <w:pPr>
              <w:jc w:val="center"/>
              <w:rPr>
                <w:rFonts w:ascii="宋体" w:hAnsi="宋体"/>
                <w:b/>
                <w:bCs/>
                <w:spacing w:val="30"/>
                <w:szCs w:val="21"/>
              </w:rPr>
            </w:pPr>
            <w:r>
              <w:rPr>
                <w:rFonts w:hint="eastAsia" w:ascii="宋体" w:hAnsi="宋体"/>
                <w:b/>
                <w:bCs/>
                <w:spacing w:val="30"/>
                <w:szCs w:val="21"/>
              </w:rPr>
              <w:t>1</w:t>
            </w:r>
          </w:p>
        </w:tc>
        <w:tc>
          <w:tcPr>
            <w:tcW w:w="3800" w:type="dxa"/>
            <w:vAlign w:val="center"/>
          </w:tcPr>
          <w:p w14:paraId="705A0011">
            <w:pPr>
              <w:rPr>
                <w:rFonts w:ascii="宋体" w:hAnsi="宋体"/>
                <w:b/>
                <w:bCs/>
                <w:spacing w:val="30"/>
                <w:szCs w:val="21"/>
              </w:rPr>
            </w:pPr>
          </w:p>
        </w:tc>
        <w:tc>
          <w:tcPr>
            <w:tcW w:w="947" w:type="dxa"/>
            <w:shd w:val="clear" w:color="auto" w:fill="auto"/>
            <w:vAlign w:val="center"/>
          </w:tcPr>
          <w:p w14:paraId="1C3DCE38">
            <w:pPr>
              <w:rPr>
                <w:rFonts w:ascii="宋体" w:hAnsi="宋体"/>
                <w:b/>
                <w:bCs/>
                <w:spacing w:val="30"/>
                <w:szCs w:val="21"/>
              </w:rPr>
            </w:pPr>
          </w:p>
        </w:tc>
        <w:tc>
          <w:tcPr>
            <w:tcW w:w="1146" w:type="dxa"/>
            <w:shd w:val="clear" w:color="auto" w:fill="auto"/>
            <w:vAlign w:val="center"/>
          </w:tcPr>
          <w:p w14:paraId="767B44F3">
            <w:pPr>
              <w:rPr>
                <w:rFonts w:ascii="宋体" w:hAnsi="宋体"/>
                <w:b/>
                <w:bCs/>
                <w:spacing w:val="30"/>
                <w:szCs w:val="21"/>
              </w:rPr>
            </w:pPr>
          </w:p>
        </w:tc>
        <w:tc>
          <w:tcPr>
            <w:tcW w:w="1127" w:type="dxa"/>
            <w:shd w:val="clear" w:color="auto" w:fill="auto"/>
            <w:vAlign w:val="center"/>
          </w:tcPr>
          <w:p w14:paraId="5CDB5FF8">
            <w:pPr>
              <w:rPr>
                <w:rFonts w:ascii="宋体" w:hAnsi="宋体"/>
                <w:b/>
                <w:bCs/>
                <w:spacing w:val="30"/>
                <w:szCs w:val="21"/>
              </w:rPr>
            </w:pPr>
          </w:p>
        </w:tc>
        <w:tc>
          <w:tcPr>
            <w:tcW w:w="1047" w:type="dxa"/>
            <w:shd w:val="clear" w:color="auto" w:fill="auto"/>
            <w:vAlign w:val="center"/>
          </w:tcPr>
          <w:p w14:paraId="6051A4FD">
            <w:pPr>
              <w:rPr>
                <w:rFonts w:ascii="宋体" w:hAnsi="宋体"/>
                <w:b/>
                <w:bCs/>
                <w:spacing w:val="30"/>
                <w:szCs w:val="21"/>
              </w:rPr>
            </w:pPr>
          </w:p>
        </w:tc>
        <w:tc>
          <w:tcPr>
            <w:tcW w:w="1080" w:type="dxa"/>
            <w:shd w:val="clear" w:color="auto" w:fill="auto"/>
            <w:vAlign w:val="center"/>
          </w:tcPr>
          <w:p w14:paraId="501986D0">
            <w:pPr>
              <w:rPr>
                <w:rFonts w:ascii="宋体" w:hAnsi="宋体"/>
                <w:b/>
                <w:bCs/>
                <w:spacing w:val="30"/>
                <w:szCs w:val="21"/>
              </w:rPr>
            </w:pPr>
          </w:p>
        </w:tc>
        <w:tc>
          <w:tcPr>
            <w:tcW w:w="1066" w:type="dxa"/>
            <w:shd w:val="clear" w:color="auto" w:fill="auto"/>
            <w:vAlign w:val="center"/>
          </w:tcPr>
          <w:p w14:paraId="177B4545">
            <w:pPr>
              <w:rPr>
                <w:rFonts w:ascii="宋体" w:hAnsi="宋体"/>
                <w:b/>
                <w:bCs/>
                <w:spacing w:val="30"/>
                <w:szCs w:val="21"/>
              </w:rPr>
            </w:pPr>
          </w:p>
        </w:tc>
        <w:tc>
          <w:tcPr>
            <w:tcW w:w="1000" w:type="dxa"/>
            <w:shd w:val="clear" w:color="auto" w:fill="auto"/>
            <w:vAlign w:val="center"/>
          </w:tcPr>
          <w:p w14:paraId="1E93FB3A">
            <w:pPr>
              <w:rPr>
                <w:rFonts w:ascii="宋体" w:hAnsi="宋体"/>
                <w:b/>
                <w:bCs/>
                <w:spacing w:val="30"/>
                <w:szCs w:val="21"/>
              </w:rPr>
            </w:pPr>
          </w:p>
        </w:tc>
        <w:tc>
          <w:tcPr>
            <w:tcW w:w="1074" w:type="dxa"/>
            <w:shd w:val="clear" w:color="auto" w:fill="auto"/>
            <w:vAlign w:val="center"/>
          </w:tcPr>
          <w:p w14:paraId="2E640AB4">
            <w:pPr>
              <w:rPr>
                <w:rFonts w:ascii="宋体" w:hAnsi="宋体"/>
                <w:b/>
                <w:bCs/>
                <w:spacing w:val="30"/>
                <w:szCs w:val="21"/>
              </w:rPr>
            </w:pPr>
          </w:p>
        </w:tc>
      </w:tr>
      <w:tr w14:paraId="5605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0" w:type="dxa"/>
            <w:vAlign w:val="center"/>
          </w:tcPr>
          <w:p w14:paraId="7DA367E3">
            <w:pPr>
              <w:jc w:val="center"/>
              <w:rPr>
                <w:rFonts w:ascii="宋体" w:hAnsi="宋体"/>
                <w:b/>
                <w:bCs/>
                <w:spacing w:val="30"/>
                <w:szCs w:val="21"/>
              </w:rPr>
            </w:pPr>
            <w:r>
              <w:rPr>
                <w:rFonts w:hint="eastAsia" w:ascii="宋体" w:hAnsi="宋体"/>
                <w:b/>
                <w:bCs/>
                <w:spacing w:val="30"/>
                <w:szCs w:val="21"/>
              </w:rPr>
              <w:t>2</w:t>
            </w:r>
          </w:p>
        </w:tc>
        <w:tc>
          <w:tcPr>
            <w:tcW w:w="3800" w:type="dxa"/>
            <w:vAlign w:val="center"/>
          </w:tcPr>
          <w:p w14:paraId="0E3178C0">
            <w:pPr>
              <w:rPr>
                <w:rFonts w:ascii="宋体" w:hAnsi="宋体"/>
                <w:b/>
                <w:bCs/>
                <w:spacing w:val="30"/>
                <w:szCs w:val="21"/>
              </w:rPr>
            </w:pPr>
          </w:p>
        </w:tc>
        <w:tc>
          <w:tcPr>
            <w:tcW w:w="947" w:type="dxa"/>
            <w:shd w:val="clear" w:color="auto" w:fill="auto"/>
            <w:vAlign w:val="center"/>
          </w:tcPr>
          <w:p w14:paraId="1631DB2C">
            <w:pPr>
              <w:rPr>
                <w:rFonts w:ascii="宋体" w:hAnsi="宋体"/>
                <w:b/>
                <w:bCs/>
                <w:spacing w:val="30"/>
                <w:szCs w:val="21"/>
              </w:rPr>
            </w:pPr>
          </w:p>
        </w:tc>
        <w:tc>
          <w:tcPr>
            <w:tcW w:w="1146" w:type="dxa"/>
            <w:shd w:val="clear" w:color="auto" w:fill="auto"/>
            <w:vAlign w:val="center"/>
          </w:tcPr>
          <w:p w14:paraId="7BDAA0CA">
            <w:pPr>
              <w:rPr>
                <w:rFonts w:ascii="宋体" w:hAnsi="宋体"/>
                <w:b/>
                <w:bCs/>
                <w:spacing w:val="30"/>
                <w:szCs w:val="21"/>
              </w:rPr>
            </w:pPr>
          </w:p>
        </w:tc>
        <w:tc>
          <w:tcPr>
            <w:tcW w:w="1127" w:type="dxa"/>
            <w:shd w:val="clear" w:color="auto" w:fill="auto"/>
            <w:vAlign w:val="center"/>
          </w:tcPr>
          <w:p w14:paraId="6DEC4FA4">
            <w:pPr>
              <w:rPr>
                <w:rFonts w:ascii="宋体" w:hAnsi="宋体"/>
                <w:b/>
                <w:bCs/>
                <w:spacing w:val="30"/>
                <w:szCs w:val="21"/>
              </w:rPr>
            </w:pPr>
          </w:p>
        </w:tc>
        <w:tc>
          <w:tcPr>
            <w:tcW w:w="1047" w:type="dxa"/>
            <w:shd w:val="clear" w:color="auto" w:fill="auto"/>
            <w:vAlign w:val="center"/>
          </w:tcPr>
          <w:p w14:paraId="20F7F7CA">
            <w:pPr>
              <w:rPr>
                <w:rFonts w:ascii="宋体" w:hAnsi="宋体"/>
                <w:b/>
                <w:bCs/>
                <w:spacing w:val="30"/>
                <w:szCs w:val="21"/>
              </w:rPr>
            </w:pPr>
          </w:p>
        </w:tc>
        <w:tc>
          <w:tcPr>
            <w:tcW w:w="1080" w:type="dxa"/>
            <w:shd w:val="clear" w:color="auto" w:fill="auto"/>
            <w:vAlign w:val="center"/>
          </w:tcPr>
          <w:p w14:paraId="5920134D">
            <w:pPr>
              <w:rPr>
                <w:rFonts w:ascii="宋体" w:hAnsi="宋体"/>
                <w:b/>
                <w:bCs/>
                <w:spacing w:val="30"/>
                <w:szCs w:val="21"/>
              </w:rPr>
            </w:pPr>
          </w:p>
        </w:tc>
        <w:tc>
          <w:tcPr>
            <w:tcW w:w="1066" w:type="dxa"/>
            <w:shd w:val="clear" w:color="auto" w:fill="auto"/>
            <w:vAlign w:val="center"/>
          </w:tcPr>
          <w:p w14:paraId="1517BA49">
            <w:pPr>
              <w:rPr>
                <w:rFonts w:ascii="宋体" w:hAnsi="宋体"/>
                <w:b/>
                <w:bCs/>
                <w:spacing w:val="30"/>
                <w:szCs w:val="21"/>
              </w:rPr>
            </w:pPr>
          </w:p>
        </w:tc>
        <w:tc>
          <w:tcPr>
            <w:tcW w:w="1000" w:type="dxa"/>
            <w:shd w:val="clear" w:color="auto" w:fill="auto"/>
            <w:vAlign w:val="center"/>
          </w:tcPr>
          <w:p w14:paraId="6284C934">
            <w:pPr>
              <w:rPr>
                <w:rFonts w:ascii="宋体" w:hAnsi="宋体"/>
                <w:b/>
                <w:bCs/>
                <w:spacing w:val="30"/>
                <w:szCs w:val="21"/>
              </w:rPr>
            </w:pPr>
          </w:p>
        </w:tc>
        <w:tc>
          <w:tcPr>
            <w:tcW w:w="1074" w:type="dxa"/>
            <w:shd w:val="clear" w:color="auto" w:fill="auto"/>
            <w:vAlign w:val="center"/>
          </w:tcPr>
          <w:p w14:paraId="15822CA0">
            <w:pPr>
              <w:rPr>
                <w:rFonts w:ascii="宋体" w:hAnsi="宋体"/>
                <w:b/>
                <w:bCs/>
                <w:spacing w:val="30"/>
                <w:szCs w:val="21"/>
              </w:rPr>
            </w:pPr>
          </w:p>
        </w:tc>
      </w:tr>
      <w:tr w14:paraId="542AF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0" w:type="dxa"/>
            <w:vAlign w:val="center"/>
          </w:tcPr>
          <w:p w14:paraId="6289C84A">
            <w:pPr>
              <w:jc w:val="center"/>
              <w:rPr>
                <w:rFonts w:ascii="宋体" w:hAnsi="宋体"/>
                <w:b/>
                <w:bCs/>
                <w:spacing w:val="30"/>
                <w:szCs w:val="21"/>
              </w:rPr>
            </w:pPr>
            <w:r>
              <w:rPr>
                <w:rFonts w:hint="eastAsia" w:ascii="宋体" w:hAnsi="宋体"/>
                <w:b/>
                <w:bCs/>
                <w:spacing w:val="30"/>
                <w:szCs w:val="21"/>
              </w:rPr>
              <w:t>3</w:t>
            </w:r>
          </w:p>
        </w:tc>
        <w:tc>
          <w:tcPr>
            <w:tcW w:w="3800" w:type="dxa"/>
            <w:vAlign w:val="center"/>
          </w:tcPr>
          <w:p w14:paraId="7D151C3C">
            <w:pPr>
              <w:rPr>
                <w:rFonts w:ascii="宋体" w:hAnsi="宋体"/>
                <w:b/>
                <w:bCs/>
                <w:spacing w:val="30"/>
                <w:szCs w:val="21"/>
              </w:rPr>
            </w:pPr>
          </w:p>
        </w:tc>
        <w:tc>
          <w:tcPr>
            <w:tcW w:w="947" w:type="dxa"/>
            <w:shd w:val="clear" w:color="auto" w:fill="auto"/>
            <w:vAlign w:val="center"/>
          </w:tcPr>
          <w:p w14:paraId="5E303FE7">
            <w:pPr>
              <w:rPr>
                <w:rFonts w:ascii="宋体" w:hAnsi="宋体"/>
                <w:b/>
                <w:bCs/>
                <w:spacing w:val="30"/>
                <w:szCs w:val="21"/>
              </w:rPr>
            </w:pPr>
          </w:p>
        </w:tc>
        <w:tc>
          <w:tcPr>
            <w:tcW w:w="1146" w:type="dxa"/>
            <w:shd w:val="clear" w:color="auto" w:fill="auto"/>
            <w:vAlign w:val="center"/>
          </w:tcPr>
          <w:p w14:paraId="14ABCD1B">
            <w:pPr>
              <w:rPr>
                <w:rFonts w:ascii="宋体" w:hAnsi="宋体"/>
                <w:b/>
                <w:bCs/>
                <w:spacing w:val="30"/>
                <w:szCs w:val="21"/>
              </w:rPr>
            </w:pPr>
          </w:p>
        </w:tc>
        <w:tc>
          <w:tcPr>
            <w:tcW w:w="1127" w:type="dxa"/>
            <w:shd w:val="clear" w:color="auto" w:fill="auto"/>
            <w:vAlign w:val="center"/>
          </w:tcPr>
          <w:p w14:paraId="3D769A79">
            <w:pPr>
              <w:rPr>
                <w:rFonts w:ascii="宋体" w:hAnsi="宋体"/>
                <w:b/>
                <w:bCs/>
                <w:spacing w:val="30"/>
                <w:szCs w:val="21"/>
              </w:rPr>
            </w:pPr>
          </w:p>
        </w:tc>
        <w:tc>
          <w:tcPr>
            <w:tcW w:w="1047" w:type="dxa"/>
            <w:shd w:val="clear" w:color="auto" w:fill="auto"/>
            <w:vAlign w:val="center"/>
          </w:tcPr>
          <w:p w14:paraId="756CA521">
            <w:pPr>
              <w:rPr>
                <w:rFonts w:ascii="宋体" w:hAnsi="宋体"/>
                <w:b/>
                <w:bCs/>
                <w:spacing w:val="30"/>
                <w:szCs w:val="21"/>
              </w:rPr>
            </w:pPr>
          </w:p>
        </w:tc>
        <w:tc>
          <w:tcPr>
            <w:tcW w:w="1080" w:type="dxa"/>
            <w:shd w:val="clear" w:color="auto" w:fill="auto"/>
            <w:vAlign w:val="center"/>
          </w:tcPr>
          <w:p w14:paraId="0C5A0536">
            <w:pPr>
              <w:rPr>
                <w:rFonts w:ascii="宋体" w:hAnsi="宋体"/>
                <w:b/>
                <w:bCs/>
                <w:spacing w:val="30"/>
                <w:szCs w:val="21"/>
              </w:rPr>
            </w:pPr>
          </w:p>
        </w:tc>
        <w:tc>
          <w:tcPr>
            <w:tcW w:w="1066" w:type="dxa"/>
            <w:shd w:val="clear" w:color="auto" w:fill="auto"/>
            <w:vAlign w:val="center"/>
          </w:tcPr>
          <w:p w14:paraId="68EEF27E">
            <w:pPr>
              <w:rPr>
                <w:rFonts w:ascii="宋体" w:hAnsi="宋体"/>
                <w:b/>
                <w:bCs/>
                <w:spacing w:val="30"/>
                <w:szCs w:val="21"/>
              </w:rPr>
            </w:pPr>
          </w:p>
        </w:tc>
        <w:tc>
          <w:tcPr>
            <w:tcW w:w="1000" w:type="dxa"/>
            <w:shd w:val="clear" w:color="auto" w:fill="auto"/>
            <w:vAlign w:val="center"/>
          </w:tcPr>
          <w:p w14:paraId="6B596B04">
            <w:pPr>
              <w:rPr>
                <w:rFonts w:ascii="宋体" w:hAnsi="宋体"/>
                <w:b/>
                <w:bCs/>
                <w:spacing w:val="30"/>
                <w:szCs w:val="21"/>
              </w:rPr>
            </w:pPr>
          </w:p>
        </w:tc>
        <w:tc>
          <w:tcPr>
            <w:tcW w:w="1074" w:type="dxa"/>
            <w:shd w:val="clear" w:color="auto" w:fill="auto"/>
            <w:vAlign w:val="center"/>
          </w:tcPr>
          <w:p w14:paraId="4C308F1A">
            <w:pPr>
              <w:rPr>
                <w:rFonts w:ascii="宋体" w:hAnsi="宋体"/>
                <w:b/>
                <w:bCs/>
                <w:spacing w:val="30"/>
                <w:szCs w:val="21"/>
              </w:rPr>
            </w:pPr>
          </w:p>
        </w:tc>
      </w:tr>
      <w:tr w14:paraId="6AEF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0" w:type="dxa"/>
            <w:vAlign w:val="center"/>
          </w:tcPr>
          <w:p w14:paraId="44D46935">
            <w:pPr>
              <w:jc w:val="center"/>
              <w:rPr>
                <w:rFonts w:ascii="宋体" w:hAnsi="宋体"/>
                <w:b/>
                <w:bCs/>
                <w:spacing w:val="30"/>
                <w:szCs w:val="21"/>
              </w:rPr>
            </w:pPr>
            <w:r>
              <w:rPr>
                <w:rFonts w:hint="eastAsia" w:ascii="宋体" w:hAnsi="宋体"/>
                <w:b/>
                <w:bCs/>
                <w:spacing w:val="30"/>
                <w:szCs w:val="21"/>
              </w:rPr>
              <w:t>4</w:t>
            </w:r>
          </w:p>
        </w:tc>
        <w:tc>
          <w:tcPr>
            <w:tcW w:w="3800" w:type="dxa"/>
            <w:vAlign w:val="center"/>
          </w:tcPr>
          <w:p w14:paraId="3BC73ABF">
            <w:pPr>
              <w:rPr>
                <w:rFonts w:ascii="宋体" w:hAnsi="宋体"/>
                <w:b/>
                <w:bCs/>
                <w:spacing w:val="30"/>
                <w:szCs w:val="21"/>
              </w:rPr>
            </w:pPr>
          </w:p>
        </w:tc>
        <w:tc>
          <w:tcPr>
            <w:tcW w:w="947" w:type="dxa"/>
            <w:shd w:val="clear" w:color="auto" w:fill="auto"/>
            <w:vAlign w:val="center"/>
          </w:tcPr>
          <w:p w14:paraId="23E9A463">
            <w:pPr>
              <w:rPr>
                <w:rFonts w:ascii="宋体" w:hAnsi="宋体"/>
                <w:b/>
                <w:bCs/>
                <w:spacing w:val="30"/>
                <w:szCs w:val="21"/>
              </w:rPr>
            </w:pPr>
          </w:p>
        </w:tc>
        <w:tc>
          <w:tcPr>
            <w:tcW w:w="1146" w:type="dxa"/>
            <w:shd w:val="clear" w:color="auto" w:fill="auto"/>
            <w:vAlign w:val="center"/>
          </w:tcPr>
          <w:p w14:paraId="16597234">
            <w:pPr>
              <w:rPr>
                <w:rFonts w:ascii="宋体" w:hAnsi="宋体"/>
                <w:b/>
                <w:bCs/>
                <w:spacing w:val="30"/>
                <w:szCs w:val="21"/>
              </w:rPr>
            </w:pPr>
          </w:p>
        </w:tc>
        <w:tc>
          <w:tcPr>
            <w:tcW w:w="1127" w:type="dxa"/>
            <w:shd w:val="clear" w:color="auto" w:fill="auto"/>
            <w:vAlign w:val="center"/>
          </w:tcPr>
          <w:p w14:paraId="0DFD1DDC">
            <w:pPr>
              <w:rPr>
                <w:rFonts w:ascii="宋体" w:hAnsi="宋体"/>
                <w:b/>
                <w:bCs/>
                <w:spacing w:val="30"/>
                <w:szCs w:val="21"/>
              </w:rPr>
            </w:pPr>
          </w:p>
        </w:tc>
        <w:tc>
          <w:tcPr>
            <w:tcW w:w="1047" w:type="dxa"/>
            <w:shd w:val="clear" w:color="auto" w:fill="auto"/>
            <w:vAlign w:val="center"/>
          </w:tcPr>
          <w:p w14:paraId="03147ADE">
            <w:pPr>
              <w:rPr>
                <w:rFonts w:ascii="宋体" w:hAnsi="宋体"/>
                <w:b/>
                <w:bCs/>
                <w:spacing w:val="30"/>
                <w:szCs w:val="21"/>
              </w:rPr>
            </w:pPr>
          </w:p>
        </w:tc>
        <w:tc>
          <w:tcPr>
            <w:tcW w:w="1080" w:type="dxa"/>
            <w:shd w:val="clear" w:color="auto" w:fill="auto"/>
            <w:vAlign w:val="center"/>
          </w:tcPr>
          <w:p w14:paraId="2A71B444">
            <w:pPr>
              <w:rPr>
                <w:rFonts w:ascii="宋体" w:hAnsi="宋体"/>
                <w:b/>
                <w:bCs/>
                <w:spacing w:val="30"/>
                <w:szCs w:val="21"/>
              </w:rPr>
            </w:pPr>
          </w:p>
        </w:tc>
        <w:tc>
          <w:tcPr>
            <w:tcW w:w="1066" w:type="dxa"/>
            <w:shd w:val="clear" w:color="auto" w:fill="auto"/>
            <w:vAlign w:val="center"/>
          </w:tcPr>
          <w:p w14:paraId="6AF704B4">
            <w:pPr>
              <w:rPr>
                <w:rFonts w:ascii="宋体" w:hAnsi="宋体"/>
                <w:b/>
                <w:bCs/>
                <w:spacing w:val="30"/>
                <w:szCs w:val="21"/>
              </w:rPr>
            </w:pPr>
          </w:p>
        </w:tc>
        <w:tc>
          <w:tcPr>
            <w:tcW w:w="1000" w:type="dxa"/>
            <w:shd w:val="clear" w:color="auto" w:fill="auto"/>
            <w:vAlign w:val="center"/>
          </w:tcPr>
          <w:p w14:paraId="283B7F77">
            <w:pPr>
              <w:rPr>
                <w:rFonts w:ascii="宋体" w:hAnsi="宋体"/>
                <w:b/>
                <w:bCs/>
                <w:spacing w:val="30"/>
                <w:szCs w:val="21"/>
              </w:rPr>
            </w:pPr>
          </w:p>
        </w:tc>
        <w:tc>
          <w:tcPr>
            <w:tcW w:w="1074" w:type="dxa"/>
            <w:shd w:val="clear" w:color="auto" w:fill="auto"/>
            <w:vAlign w:val="center"/>
          </w:tcPr>
          <w:p w14:paraId="3B77372E">
            <w:pPr>
              <w:rPr>
                <w:rFonts w:ascii="宋体" w:hAnsi="宋体"/>
                <w:b/>
                <w:bCs/>
                <w:spacing w:val="30"/>
                <w:szCs w:val="21"/>
              </w:rPr>
            </w:pPr>
          </w:p>
        </w:tc>
      </w:tr>
      <w:tr w14:paraId="5097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0" w:type="dxa"/>
            <w:vAlign w:val="center"/>
          </w:tcPr>
          <w:p w14:paraId="24EC4436">
            <w:pPr>
              <w:jc w:val="center"/>
              <w:rPr>
                <w:rFonts w:ascii="宋体" w:hAnsi="宋体"/>
                <w:b/>
                <w:bCs/>
                <w:spacing w:val="30"/>
                <w:szCs w:val="21"/>
              </w:rPr>
            </w:pPr>
            <w:r>
              <w:rPr>
                <w:rFonts w:hint="eastAsia" w:ascii="宋体" w:hAnsi="宋体"/>
                <w:b/>
                <w:bCs/>
                <w:spacing w:val="30"/>
                <w:szCs w:val="21"/>
              </w:rPr>
              <w:t>5</w:t>
            </w:r>
          </w:p>
        </w:tc>
        <w:tc>
          <w:tcPr>
            <w:tcW w:w="3800" w:type="dxa"/>
            <w:vAlign w:val="center"/>
          </w:tcPr>
          <w:p w14:paraId="156D47CE">
            <w:pPr>
              <w:rPr>
                <w:rFonts w:ascii="宋体" w:hAnsi="宋体"/>
                <w:b/>
                <w:bCs/>
                <w:spacing w:val="30"/>
                <w:szCs w:val="21"/>
              </w:rPr>
            </w:pPr>
          </w:p>
        </w:tc>
        <w:tc>
          <w:tcPr>
            <w:tcW w:w="947" w:type="dxa"/>
            <w:shd w:val="clear" w:color="auto" w:fill="auto"/>
            <w:vAlign w:val="center"/>
          </w:tcPr>
          <w:p w14:paraId="35F2ABDB">
            <w:pPr>
              <w:rPr>
                <w:rFonts w:ascii="宋体" w:hAnsi="宋体"/>
                <w:b/>
                <w:bCs/>
                <w:spacing w:val="30"/>
                <w:szCs w:val="21"/>
              </w:rPr>
            </w:pPr>
          </w:p>
        </w:tc>
        <w:tc>
          <w:tcPr>
            <w:tcW w:w="1146" w:type="dxa"/>
            <w:shd w:val="clear" w:color="auto" w:fill="auto"/>
            <w:vAlign w:val="center"/>
          </w:tcPr>
          <w:p w14:paraId="1B21602E">
            <w:pPr>
              <w:rPr>
                <w:rFonts w:ascii="宋体" w:hAnsi="宋体"/>
                <w:b/>
                <w:bCs/>
                <w:spacing w:val="30"/>
                <w:szCs w:val="21"/>
              </w:rPr>
            </w:pPr>
          </w:p>
        </w:tc>
        <w:tc>
          <w:tcPr>
            <w:tcW w:w="1127" w:type="dxa"/>
            <w:shd w:val="clear" w:color="auto" w:fill="auto"/>
            <w:vAlign w:val="center"/>
          </w:tcPr>
          <w:p w14:paraId="17EDF0FF">
            <w:pPr>
              <w:rPr>
                <w:rFonts w:ascii="宋体" w:hAnsi="宋体"/>
                <w:b/>
                <w:bCs/>
                <w:spacing w:val="30"/>
                <w:szCs w:val="21"/>
              </w:rPr>
            </w:pPr>
          </w:p>
        </w:tc>
        <w:tc>
          <w:tcPr>
            <w:tcW w:w="1047" w:type="dxa"/>
            <w:shd w:val="clear" w:color="auto" w:fill="auto"/>
            <w:vAlign w:val="center"/>
          </w:tcPr>
          <w:p w14:paraId="3BA550DE">
            <w:pPr>
              <w:rPr>
                <w:rFonts w:ascii="宋体" w:hAnsi="宋体"/>
                <w:b/>
                <w:bCs/>
                <w:spacing w:val="30"/>
                <w:szCs w:val="21"/>
              </w:rPr>
            </w:pPr>
          </w:p>
        </w:tc>
        <w:tc>
          <w:tcPr>
            <w:tcW w:w="1080" w:type="dxa"/>
            <w:shd w:val="clear" w:color="auto" w:fill="auto"/>
            <w:vAlign w:val="center"/>
          </w:tcPr>
          <w:p w14:paraId="074A3677">
            <w:pPr>
              <w:rPr>
                <w:rFonts w:ascii="宋体" w:hAnsi="宋体"/>
                <w:b/>
                <w:bCs/>
                <w:spacing w:val="30"/>
                <w:szCs w:val="21"/>
              </w:rPr>
            </w:pPr>
          </w:p>
        </w:tc>
        <w:tc>
          <w:tcPr>
            <w:tcW w:w="1066" w:type="dxa"/>
            <w:shd w:val="clear" w:color="auto" w:fill="auto"/>
            <w:vAlign w:val="center"/>
          </w:tcPr>
          <w:p w14:paraId="3D94BF97">
            <w:pPr>
              <w:rPr>
                <w:rFonts w:ascii="宋体" w:hAnsi="宋体"/>
                <w:b/>
                <w:bCs/>
                <w:spacing w:val="30"/>
                <w:szCs w:val="21"/>
              </w:rPr>
            </w:pPr>
          </w:p>
        </w:tc>
        <w:tc>
          <w:tcPr>
            <w:tcW w:w="1000" w:type="dxa"/>
            <w:shd w:val="clear" w:color="auto" w:fill="auto"/>
            <w:vAlign w:val="center"/>
          </w:tcPr>
          <w:p w14:paraId="7D513925">
            <w:pPr>
              <w:rPr>
                <w:rFonts w:ascii="宋体" w:hAnsi="宋体"/>
                <w:b/>
                <w:bCs/>
                <w:spacing w:val="30"/>
                <w:szCs w:val="21"/>
              </w:rPr>
            </w:pPr>
          </w:p>
        </w:tc>
        <w:tc>
          <w:tcPr>
            <w:tcW w:w="1074" w:type="dxa"/>
            <w:shd w:val="clear" w:color="auto" w:fill="auto"/>
            <w:vAlign w:val="center"/>
          </w:tcPr>
          <w:p w14:paraId="150C2E41">
            <w:pPr>
              <w:rPr>
                <w:rFonts w:ascii="宋体" w:hAnsi="宋体"/>
                <w:b/>
                <w:bCs/>
                <w:spacing w:val="30"/>
                <w:szCs w:val="21"/>
              </w:rPr>
            </w:pPr>
          </w:p>
        </w:tc>
      </w:tr>
      <w:tr w14:paraId="053B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0" w:type="dxa"/>
            <w:vAlign w:val="center"/>
          </w:tcPr>
          <w:p w14:paraId="7084BDDF">
            <w:pPr>
              <w:jc w:val="center"/>
              <w:rPr>
                <w:rFonts w:ascii="宋体" w:hAnsi="宋体"/>
                <w:b/>
                <w:bCs/>
                <w:spacing w:val="30"/>
                <w:szCs w:val="21"/>
              </w:rPr>
            </w:pPr>
            <w:r>
              <w:rPr>
                <w:rFonts w:hint="eastAsia" w:ascii="宋体" w:hAnsi="宋体"/>
                <w:b/>
                <w:bCs/>
                <w:spacing w:val="30"/>
                <w:szCs w:val="21"/>
              </w:rPr>
              <w:t>6</w:t>
            </w:r>
          </w:p>
        </w:tc>
        <w:tc>
          <w:tcPr>
            <w:tcW w:w="3800" w:type="dxa"/>
            <w:vAlign w:val="center"/>
          </w:tcPr>
          <w:p w14:paraId="771069CB">
            <w:pPr>
              <w:rPr>
                <w:rFonts w:ascii="宋体" w:hAnsi="宋体"/>
                <w:b/>
                <w:bCs/>
                <w:spacing w:val="30"/>
                <w:szCs w:val="21"/>
              </w:rPr>
            </w:pPr>
          </w:p>
        </w:tc>
        <w:tc>
          <w:tcPr>
            <w:tcW w:w="947" w:type="dxa"/>
            <w:shd w:val="clear" w:color="auto" w:fill="auto"/>
            <w:vAlign w:val="center"/>
          </w:tcPr>
          <w:p w14:paraId="68F6A4DA">
            <w:pPr>
              <w:rPr>
                <w:rFonts w:ascii="宋体" w:hAnsi="宋体"/>
                <w:b/>
                <w:bCs/>
                <w:spacing w:val="30"/>
                <w:szCs w:val="21"/>
              </w:rPr>
            </w:pPr>
          </w:p>
        </w:tc>
        <w:tc>
          <w:tcPr>
            <w:tcW w:w="1146" w:type="dxa"/>
            <w:shd w:val="clear" w:color="auto" w:fill="auto"/>
            <w:vAlign w:val="center"/>
          </w:tcPr>
          <w:p w14:paraId="464230E5">
            <w:pPr>
              <w:rPr>
                <w:rFonts w:ascii="宋体" w:hAnsi="宋体"/>
                <w:b/>
                <w:bCs/>
                <w:spacing w:val="30"/>
                <w:szCs w:val="21"/>
              </w:rPr>
            </w:pPr>
          </w:p>
        </w:tc>
        <w:tc>
          <w:tcPr>
            <w:tcW w:w="1127" w:type="dxa"/>
            <w:shd w:val="clear" w:color="auto" w:fill="auto"/>
            <w:vAlign w:val="center"/>
          </w:tcPr>
          <w:p w14:paraId="39335356">
            <w:pPr>
              <w:rPr>
                <w:rFonts w:ascii="宋体" w:hAnsi="宋体"/>
                <w:b/>
                <w:bCs/>
                <w:spacing w:val="30"/>
                <w:szCs w:val="21"/>
              </w:rPr>
            </w:pPr>
          </w:p>
        </w:tc>
        <w:tc>
          <w:tcPr>
            <w:tcW w:w="1047" w:type="dxa"/>
            <w:shd w:val="clear" w:color="auto" w:fill="auto"/>
            <w:vAlign w:val="center"/>
          </w:tcPr>
          <w:p w14:paraId="6758DB1D">
            <w:pPr>
              <w:rPr>
                <w:rFonts w:ascii="宋体" w:hAnsi="宋体"/>
                <w:b/>
                <w:bCs/>
                <w:spacing w:val="30"/>
                <w:szCs w:val="21"/>
              </w:rPr>
            </w:pPr>
          </w:p>
        </w:tc>
        <w:tc>
          <w:tcPr>
            <w:tcW w:w="1080" w:type="dxa"/>
            <w:shd w:val="clear" w:color="auto" w:fill="auto"/>
            <w:vAlign w:val="center"/>
          </w:tcPr>
          <w:p w14:paraId="3C15AD28">
            <w:pPr>
              <w:rPr>
                <w:rFonts w:ascii="宋体" w:hAnsi="宋体"/>
                <w:b/>
                <w:bCs/>
                <w:spacing w:val="30"/>
                <w:szCs w:val="21"/>
              </w:rPr>
            </w:pPr>
          </w:p>
        </w:tc>
        <w:tc>
          <w:tcPr>
            <w:tcW w:w="1066" w:type="dxa"/>
            <w:shd w:val="clear" w:color="auto" w:fill="auto"/>
            <w:vAlign w:val="center"/>
          </w:tcPr>
          <w:p w14:paraId="4BB1135A">
            <w:pPr>
              <w:rPr>
                <w:rFonts w:ascii="宋体" w:hAnsi="宋体"/>
                <w:b/>
                <w:bCs/>
                <w:spacing w:val="30"/>
                <w:szCs w:val="21"/>
              </w:rPr>
            </w:pPr>
          </w:p>
        </w:tc>
        <w:tc>
          <w:tcPr>
            <w:tcW w:w="1000" w:type="dxa"/>
            <w:shd w:val="clear" w:color="auto" w:fill="auto"/>
            <w:vAlign w:val="center"/>
          </w:tcPr>
          <w:p w14:paraId="697525B8">
            <w:pPr>
              <w:rPr>
                <w:rFonts w:ascii="宋体" w:hAnsi="宋体"/>
                <w:b/>
                <w:bCs/>
                <w:spacing w:val="30"/>
                <w:szCs w:val="21"/>
              </w:rPr>
            </w:pPr>
          </w:p>
        </w:tc>
        <w:tc>
          <w:tcPr>
            <w:tcW w:w="1074" w:type="dxa"/>
            <w:shd w:val="clear" w:color="auto" w:fill="auto"/>
            <w:vAlign w:val="center"/>
          </w:tcPr>
          <w:p w14:paraId="030222E2">
            <w:pPr>
              <w:rPr>
                <w:rFonts w:ascii="宋体" w:hAnsi="宋体"/>
                <w:b/>
                <w:bCs/>
                <w:spacing w:val="30"/>
                <w:szCs w:val="21"/>
              </w:rPr>
            </w:pPr>
          </w:p>
        </w:tc>
      </w:tr>
      <w:tr w14:paraId="7CED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50" w:type="dxa"/>
            <w:vAlign w:val="center"/>
          </w:tcPr>
          <w:p w14:paraId="037457B9">
            <w:pPr>
              <w:jc w:val="center"/>
              <w:rPr>
                <w:rFonts w:ascii="宋体" w:hAnsi="宋体"/>
                <w:b/>
                <w:bCs/>
                <w:spacing w:val="30"/>
                <w:szCs w:val="21"/>
              </w:rPr>
            </w:pPr>
            <w:r>
              <w:rPr>
                <w:rFonts w:hint="eastAsia" w:ascii="宋体" w:hAnsi="宋体"/>
                <w:b/>
                <w:bCs/>
                <w:spacing w:val="30"/>
                <w:szCs w:val="21"/>
              </w:rPr>
              <w:t>7</w:t>
            </w:r>
          </w:p>
        </w:tc>
        <w:tc>
          <w:tcPr>
            <w:tcW w:w="3800" w:type="dxa"/>
            <w:vAlign w:val="center"/>
          </w:tcPr>
          <w:p w14:paraId="16E57BE4">
            <w:pPr>
              <w:rPr>
                <w:rFonts w:ascii="宋体" w:hAnsi="宋体"/>
                <w:b/>
                <w:bCs/>
                <w:spacing w:val="30"/>
                <w:szCs w:val="21"/>
              </w:rPr>
            </w:pPr>
          </w:p>
        </w:tc>
        <w:tc>
          <w:tcPr>
            <w:tcW w:w="947" w:type="dxa"/>
            <w:shd w:val="clear" w:color="auto" w:fill="auto"/>
            <w:vAlign w:val="center"/>
          </w:tcPr>
          <w:p w14:paraId="0D61FB82">
            <w:pPr>
              <w:rPr>
                <w:rFonts w:ascii="宋体" w:hAnsi="宋体"/>
                <w:b/>
                <w:bCs/>
                <w:spacing w:val="30"/>
                <w:szCs w:val="21"/>
              </w:rPr>
            </w:pPr>
          </w:p>
        </w:tc>
        <w:tc>
          <w:tcPr>
            <w:tcW w:w="1146" w:type="dxa"/>
            <w:shd w:val="clear" w:color="auto" w:fill="auto"/>
            <w:vAlign w:val="center"/>
          </w:tcPr>
          <w:p w14:paraId="318FE20D">
            <w:pPr>
              <w:rPr>
                <w:rFonts w:ascii="宋体" w:hAnsi="宋体"/>
                <w:b/>
                <w:bCs/>
                <w:spacing w:val="30"/>
                <w:szCs w:val="21"/>
              </w:rPr>
            </w:pPr>
          </w:p>
        </w:tc>
        <w:tc>
          <w:tcPr>
            <w:tcW w:w="1127" w:type="dxa"/>
            <w:shd w:val="clear" w:color="auto" w:fill="auto"/>
            <w:vAlign w:val="center"/>
          </w:tcPr>
          <w:p w14:paraId="3F2BEC15">
            <w:pPr>
              <w:rPr>
                <w:rFonts w:ascii="宋体" w:hAnsi="宋体"/>
                <w:b/>
                <w:bCs/>
                <w:spacing w:val="30"/>
                <w:szCs w:val="21"/>
              </w:rPr>
            </w:pPr>
          </w:p>
        </w:tc>
        <w:tc>
          <w:tcPr>
            <w:tcW w:w="1047" w:type="dxa"/>
            <w:shd w:val="clear" w:color="auto" w:fill="auto"/>
            <w:vAlign w:val="center"/>
          </w:tcPr>
          <w:p w14:paraId="7DCBC1D1">
            <w:pPr>
              <w:rPr>
                <w:rFonts w:ascii="宋体" w:hAnsi="宋体"/>
                <w:b/>
                <w:bCs/>
                <w:spacing w:val="30"/>
                <w:szCs w:val="21"/>
              </w:rPr>
            </w:pPr>
          </w:p>
        </w:tc>
        <w:tc>
          <w:tcPr>
            <w:tcW w:w="1080" w:type="dxa"/>
            <w:shd w:val="clear" w:color="auto" w:fill="auto"/>
            <w:vAlign w:val="center"/>
          </w:tcPr>
          <w:p w14:paraId="1759C0B9">
            <w:pPr>
              <w:rPr>
                <w:rFonts w:ascii="宋体" w:hAnsi="宋体"/>
                <w:b/>
                <w:bCs/>
                <w:spacing w:val="30"/>
                <w:szCs w:val="21"/>
              </w:rPr>
            </w:pPr>
          </w:p>
        </w:tc>
        <w:tc>
          <w:tcPr>
            <w:tcW w:w="1066" w:type="dxa"/>
            <w:shd w:val="clear" w:color="auto" w:fill="auto"/>
            <w:vAlign w:val="center"/>
          </w:tcPr>
          <w:p w14:paraId="028DD722">
            <w:pPr>
              <w:rPr>
                <w:rFonts w:ascii="宋体" w:hAnsi="宋体"/>
                <w:b/>
                <w:bCs/>
                <w:spacing w:val="30"/>
                <w:szCs w:val="21"/>
              </w:rPr>
            </w:pPr>
          </w:p>
        </w:tc>
        <w:tc>
          <w:tcPr>
            <w:tcW w:w="1000" w:type="dxa"/>
            <w:shd w:val="clear" w:color="auto" w:fill="auto"/>
            <w:vAlign w:val="center"/>
          </w:tcPr>
          <w:p w14:paraId="6ADAC64B">
            <w:pPr>
              <w:rPr>
                <w:rFonts w:ascii="宋体" w:hAnsi="宋体"/>
                <w:b/>
                <w:bCs/>
                <w:spacing w:val="30"/>
                <w:szCs w:val="21"/>
              </w:rPr>
            </w:pPr>
          </w:p>
        </w:tc>
        <w:tc>
          <w:tcPr>
            <w:tcW w:w="1074" w:type="dxa"/>
            <w:shd w:val="clear" w:color="auto" w:fill="auto"/>
            <w:vAlign w:val="center"/>
          </w:tcPr>
          <w:p w14:paraId="4905E6B6">
            <w:pPr>
              <w:rPr>
                <w:rFonts w:ascii="宋体" w:hAnsi="宋体"/>
                <w:b/>
                <w:bCs/>
                <w:spacing w:val="30"/>
                <w:szCs w:val="21"/>
              </w:rPr>
            </w:pPr>
          </w:p>
        </w:tc>
      </w:tr>
      <w:tr w14:paraId="7C1E5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3237" w:type="dxa"/>
            <w:gridSpan w:val="10"/>
          </w:tcPr>
          <w:p w14:paraId="4BE6FF34">
            <w:pPr>
              <w:spacing w:line="360" w:lineRule="auto"/>
              <w:rPr>
                <w:rFonts w:ascii="黑体" w:hAnsi="Verdana" w:eastAsia="黑体"/>
                <w:szCs w:val="21"/>
              </w:rPr>
            </w:pPr>
            <w:r>
              <w:rPr>
                <w:rFonts w:hint="eastAsia" w:ascii="黑体" w:hAnsi="Verdana" w:eastAsia="黑体"/>
                <w:szCs w:val="21"/>
              </w:rPr>
              <w:t>评标委员会签名：</w:t>
            </w:r>
          </w:p>
          <w:p w14:paraId="3FD99DB6">
            <w:pPr>
              <w:rPr>
                <w:rFonts w:ascii="黑体" w:hAnsi="Verdana" w:eastAsia="黑体"/>
                <w:szCs w:val="21"/>
              </w:rPr>
            </w:pPr>
            <w:r>
              <w:rPr>
                <w:rFonts w:hint="eastAsia" w:ascii="黑体" w:hAnsi="Verdana" w:eastAsia="黑体"/>
                <w:szCs w:val="21"/>
              </w:rPr>
              <w:t xml:space="preserve">      </w:t>
            </w:r>
          </w:p>
          <w:p w14:paraId="745BA474">
            <w:pPr>
              <w:rPr>
                <w:rFonts w:ascii="黑体" w:hAnsi="Verdana" w:eastAsia="黑体"/>
                <w:szCs w:val="21"/>
              </w:rPr>
            </w:pPr>
          </w:p>
          <w:p w14:paraId="02D685DD">
            <w:pPr>
              <w:jc w:val="right"/>
              <w:rPr>
                <w:rFonts w:ascii="宋体" w:hAnsi="宋体"/>
                <w:b/>
                <w:bCs/>
                <w:spacing w:val="30"/>
                <w:szCs w:val="21"/>
              </w:rPr>
            </w:pPr>
            <w:r>
              <w:rPr>
                <w:rFonts w:hint="eastAsia" w:ascii="黑体" w:hAnsi="Verdana" w:eastAsia="黑体"/>
                <w:szCs w:val="21"/>
              </w:rPr>
              <w:t>日期：     年   月  日</w:t>
            </w:r>
          </w:p>
        </w:tc>
      </w:tr>
    </w:tbl>
    <w:p w14:paraId="64B0B121">
      <w:pPr>
        <w:jc w:val="right"/>
        <w:rPr>
          <w:rFonts w:ascii="黑体" w:eastAsia="黑体"/>
          <w:szCs w:val="21"/>
        </w:rPr>
      </w:pPr>
    </w:p>
    <w:p w14:paraId="578150E8">
      <w:pPr>
        <w:rPr>
          <w:rFonts w:ascii="黑体" w:eastAsia="黑体"/>
          <w:szCs w:val="21"/>
        </w:rPr>
      </w:pPr>
      <w:r>
        <w:rPr>
          <w:rFonts w:hint="eastAsia" w:ascii="黑体" w:eastAsia="黑体"/>
          <w:szCs w:val="21"/>
        </w:rPr>
        <w:t>注：</w:t>
      </w:r>
    </w:p>
    <w:p w14:paraId="350D3A4C">
      <w:pPr>
        <w:spacing w:line="360" w:lineRule="auto"/>
        <w:ind w:firstLine="420" w:firstLineChars="200"/>
        <w:jc w:val="left"/>
        <w:rPr>
          <w:rFonts w:ascii="黑体" w:eastAsia="黑体"/>
          <w:szCs w:val="21"/>
        </w:rPr>
      </w:pPr>
      <w:r>
        <w:rPr>
          <w:rFonts w:hint="eastAsia" w:ascii="黑体" w:eastAsia="黑体"/>
          <w:szCs w:val="21"/>
        </w:rPr>
        <w:t>1. 采用定量评审时最终评定得分为各评委评分的算术平均值。（是否去掉最高或最低分，由使用单位在招标方案中明确）</w:t>
      </w:r>
    </w:p>
    <w:p w14:paraId="12BDC90F">
      <w:pPr>
        <w:spacing w:line="360" w:lineRule="auto"/>
        <w:ind w:firstLine="1680" w:firstLineChars="200"/>
        <w:jc w:val="left"/>
        <w:rPr>
          <w:sz w:val="84"/>
        </w:rPr>
      </w:pPr>
    </w:p>
    <w:p w14:paraId="7AF62229">
      <w:pPr>
        <w:spacing w:line="360" w:lineRule="auto"/>
        <w:ind w:firstLine="482" w:firstLineChars="200"/>
        <w:rPr>
          <w:rFonts w:ascii="宋体" w:hAnsi="宋体"/>
          <w:b/>
          <w:sz w:val="24"/>
        </w:rPr>
        <w:sectPr>
          <w:pgSz w:w="15840" w:h="12240" w:orient="landscape"/>
          <w:pgMar w:top="1797" w:right="1440" w:bottom="1797" w:left="1440" w:header="720" w:footer="720" w:gutter="0"/>
          <w:cols w:space="720" w:num="1"/>
        </w:sectPr>
      </w:pPr>
    </w:p>
    <w:p w14:paraId="5F1AA5FB">
      <w:pPr>
        <w:spacing w:line="360" w:lineRule="auto"/>
        <w:ind w:firstLine="482" w:firstLineChars="200"/>
        <w:rPr>
          <w:rFonts w:ascii="宋体" w:hAnsi="宋体"/>
          <w:b/>
          <w:sz w:val="24"/>
        </w:rPr>
      </w:pPr>
    </w:p>
    <w:p w14:paraId="0C58F19B">
      <w:pPr>
        <w:pStyle w:val="9"/>
        <w:ind w:firstLine="640"/>
        <w:jc w:val="center"/>
        <w:rPr>
          <w:rFonts w:ascii="黑体" w:hAnsi="黑体" w:eastAsia="黑体"/>
          <w:sz w:val="32"/>
          <w:szCs w:val="32"/>
        </w:rPr>
      </w:pPr>
      <w:r>
        <w:rPr>
          <w:rFonts w:hint="eastAsia" w:ascii="黑体" w:hAnsi="黑体" w:eastAsia="黑体"/>
          <w:sz w:val="32"/>
          <w:szCs w:val="32"/>
        </w:rPr>
        <w:t>（二）商务标评审细则</w:t>
      </w:r>
    </w:p>
    <w:p w14:paraId="30A5A0D3">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一、投标人需分别填报所投标段的基础代理费总价和风险代理费费率；两项报价任一超过对应标段限价的，投标作无效处理。</w:t>
      </w:r>
    </w:p>
    <w:p w14:paraId="70A8652A">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二、评标基准值</w:t>
      </w:r>
    </w:p>
    <w:p w14:paraId="6D686F05">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（一）基础代理费基准价：通过初步评审的有效投标中，基础代理费最低报价为基础费基准价；</w:t>
      </w:r>
    </w:p>
    <w:p w14:paraId="232B588A">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（二）风险代理费费率基准价：通过初步评审的有效投标中，各起诉标的档位的风险代理费费率最低报价为风险费基准价。</w:t>
      </w:r>
    </w:p>
    <w:p w14:paraId="0DDA8A7F">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三、报价得分计算</w:t>
      </w:r>
    </w:p>
    <w:p w14:paraId="7068A76D">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 xml:space="preserve">（一）商务标得分＝基础代理费得分×50%+风险代理费得分×50% </w:t>
      </w:r>
    </w:p>
    <w:p w14:paraId="74F1D364">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（二）基础代理费得分＝（基础费基准价÷投标人基础费报价）×100，最高100分；</w:t>
      </w:r>
    </w:p>
    <w:p w14:paraId="0F8B48C6">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（三）风险代理费得分＝［各起诉标的档位（诉讼标的额× 基准费率）之和 ÷ 各起诉标的档位（诉讼标的额×报价费率）之和］×100，最高100分。</w:t>
      </w:r>
    </w:p>
    <w:p w14:paraId="6F7606BF">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注：得分精确到小数点后二位。</w:t>
      </w:r>
    </w:p>
    <w:p w14:paraId="1F0735E4">
      <w:pPr>
        <w:pStyle w:val="51"/>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560" w:firstLineChars="200"/>
        <w:jc w:val="center"/>
        <w:textAlignment w:val="auto"/>
        <w:rPr>
          <w:rFonts w:ascii="黑体" w:hAnsi="黑体" w:eastAsia="黑体"/>
          <w:sz w:val="30"/>
          <w:szCs w:val="30"/>
        </w:rPr>
      </w:pPr>
      <w:r>
        <w:rPr>
          <w:rFonts w:ascii="仿宋" w:hAnsi="仿宋" w:eastAsia="仿宋" w:cs="宋体"/>
          <w:kern w:val="0"/>
          <w:sz w:val="28"/>
          <w:szCs w:val="28"/>
        </w:rPr>
        <w:br w:type="page"/>
      </w:r>
      <w:r>
        <w:rPr>
          <w:rFonts w:hint="eastAsia" w:ascii="黑体" w:hAnsi="黑体" w:eastAsia="黑体"/>
          <w:sz w:val="30"/>
          <w:szCs w:val="30"/>
        </w:rPr>
        <w:t>商务标评分表</w:t>
      </w:r>
    </w:p>
    <w:tbl>
      <w:tblPr>
        <w:tblStyle w:val="36"/>
        <w:tblW w:w="8960" w:type="dxa"/>
        <w:tblInd w:w="93" w:type="dxa"/>
        <w:tblLayout w:type="autofit"/>
        <w:tblCellMar>
          <w:top w:w="0" w:type="dxa"/>
          <w:left w:w="108" w:type="dxa"/>
          <w:bottom w:w="0" w:type="dxa"/>
          <w:right w:w="108" w:type="dxa"/>
        </w:tblCellMar>
      </w:tblPr>
      <w:tblGrid>
        <w:gridCol w:w="780"/>
        <w:gridCol w:w="2240"/>
        <w:gridCol w:w="2605"/>
        <w:gridCol w:w="3335"/>
      </w:tblGrid>
      <w:tr w14:paraId="5445B56C">
        <w:tblPrEx>
          <w:tblCellMar>
            <w:top w:w="0" w:type="dxa"/>
            <w:left w:w="108" w:type="dxa"/>
            <w:bottom w:w="0" w:type="dxa"/>
            <w:right w:w="108" w:type="dxa"/>
          </w:tblCellMar>
        </w:tblPrEx>
        <w:trPr>
          <w:trHeight w:val="499" w:hRule="atLeast"/>
        </w:trPr>
        <w:tc>
          <w:tcPr>
            <w:tcW w:w="896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5BC0119">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服务名称：</w:t>
            </w:r>
          </w:p>
        </w:tc>
      </w:tr>
      <w:tr w14:paraId="5CD98C0F">
        <w:tblPrEx>
          <w:tblCellMar>
            <w:top w:w="0" w:type="dxa"/>
            <w:left w:w="108" w:type="dxa"/>
            <w:bottom w:w="0" w:type="dxa"/>
            <w:right w:w="108" w:type="dxa"/>
          </w:tblCellMar>
        </w:tblPrEx>
        <w:trPr>
          <w:trHeight w:val="499" w:hRule="atLeast"/>
        </w:trPr>
        <w:tc>
          <w:tcPr>
            <w:tcW w:w="562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EA5583">
            <w:pPr>
              <w:jc w:val="left"/>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投标报价上限：</w:t>
            </w:r>
          </w:p>
        </w:tc>
        <w:tc>
          <w:tcPr>
            <w:tcW w:w="3335" w:type="dxa"/>
            <w:tcBorders>
              <w:top w:val="single" w:color="auto" w:sz="4" w:space="0"/>
              <w:left w:val="nil"/>
              <w:bottom w:val="single" w:color="auto" w:sz="4" w:space="0"/>
              <w:right w:val="single" w:color="auto" w:sz="4" w:space="0"/>
            </w:tcBorders>
            <w:shd w:val="clear" w:color="auto" w:fill="auto"/>
            <w:noWrap/>
            <w:vAlign w:val="center"/>
          </w:tcPr>
          <w:p w14:paraId="0FE8E7BF">
            <w:pPr>
              <w:jc w:val="left"/>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抽取下浮率：</w:t>
            </w:r>
          </w:p>
        </w:tc>
      </w:tr>
      <w:tr w14:paraId="43133BD7">
        <w:tblPrEx>
          <w:tblCellMar>
            <w:top w:w="0" w:type="dxa"/>
            <w:left w:w="108" w:type="dxa"/>
            <w:bottom w:w="0" w:type="dxa"/>
            <w:right w:w="108" w:type="dxa"/>
          </w:tblCellMar>
        </w:tblPrEx>
        <w:trPr>
          <w:trHeight w:val="1320" w:hRule="atLeast"/>
        </w:trPr>
        <w:tc>
          <w:tcPr>
            <w:tcW w:w="562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927588D">
            <w:pPr>
              <w:rPr>
                <w:rFonts w:hint="eastAsia" w:ascii="黑体" w:hAnsi="黑体" w:eastAsia="黑体" w:cs="宋体"/>
                <w:color w:val="000000"/>
                <w:kern w:val="0"/>
                <w:sz w:val="24"/>
                <w:szCs w:val="24"/>
              </w:rPr>
            </w:pPr>
            <w:r>
              <w:rPr>
                <w:rFonts w:hint="eastAsia" w:ascii="黑体" w:hAnsi="黑体" w:eastAsia="黑体" w:cs="宋体"/>
                <w:b/>
                <w:bCs/>
                <w:color w:val="000000"/>
                <w:kern w:val="0"/>
                <w:sz w:val="24"/>
                <w:szCs w:val="24"/>
              </w:rPr>
              <w:t>评标基准价计算规则</w:t>
            </w:r>
            <w:r>
              <w:rPr>
                <w:rFonts w:hint="eastAsia" w:ascii="黑体" w:hAnsi="黑体" w:eastAsia="黑体" w:cs="宋体"/>
                <w:color w:val="000000"/>
                <w:kern w:val="0"/>
                <w:sz w:val="24"/>
                <w:szCs w:val="24"/>
              </w:rPr>
              <w:t>：</w:t>
            </w:r>
          </w:p>
          <w:p w14:paraId="06B1A3D7">
            <w:pPr>
              <w:rPr>
                <w:rFonts w:hint="eastAsia"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（一）基础代理费基准价：通过初步评审的有效投标中，基础代理费最低报价为基础费基准价；</w:t>
            </w:r>
          </w:p>
          <w:p w14:paraId="7E9636FE">
            <w:pPr>
              <w:rPr>
                <w:rFonts w:ascii="黑体" w:hAnsi="黑体" w:eastAsia="黑体" w:cs="宋体"/>
                <w:color w:val="000000"/>
                <w:kern w:val="0"/>
                <w:sz w:val="24"/>
                <w:szCs w:val="24"/>
              </w:rPr>
            </w:pPr>
            <w:r>
              <w:rPr>
                <w:rFonts w:hint="eastAsia" w:ascii="仿宋" w:hAnsi="仿宋" w:eastAsia="仿宋" w:cs="宋体"/>
                <w:color w:val="000000"/>
                <w:kern w:val="0"/>
                <w:szCs w:val="21"/>
                <w:lang w:val="en-US" w:eastAsia="zh-CN"/>
              </w:rPr>
              <w:t>（二）风险代理费费率基准价：通过初步评审的有效投标中，各起诉标的档位的风险代理费费率最低报价为风险费基准价。</w:t>
            </w:r>
          </w:p>
        </w:tc>
        <w:tc>
          <w:tcPr>
            <w:tcW w:w="3335" w:type="dxa"/>
            <w:tcBorders>
              <w:top w:val="single" w:color="auto" w:sz="4" w:space="0"/>
              <w:left w:val="nil"/>
              <w:bottom w:val="single" w:color="auto" w:sz="4" w:space="0"/>
              <w:right w:val="single" w:color="auto" w:sz="4" w:space="0"/>
            </w:tcBorders>
            <w:shd w:val="clear" w:color="auto" w:fill="auto"/>
            <w:noWrap/>
            <w:vAlign w:val="center"/>
          </w:tcPr>
          <w:p w14:paraId="179485EE">
            <w:pPr>
              <w:jc w:val="left"/>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评标基准价X1</w:t>
            </w:r>
            <w:r>
              <w:rPr>
                <w:rFonts w:hint="eastAsia" w:ascii="黑体" w:hAnsi="黑体" w:eastAsia="黑体" w:cs="宋体"/>
                <w:color w:val="000000"/>
                <w:kern w:val="0"/>
                <w:sz w:val="24"/>
                <w:szCs w:val="24"/>
              </w:rPr>
              <w:t>：</w:t>
            </w:r>
          </w:p>
        </w:tc>
      </w:tr>
      <w:tr w14:paraId="40272D98">
        <w:tblPrEx>
          <w:tblCellMar>
            <w:top w:w="0" w:type="dxa"/>
            <w:left w:w="108" w:type="dxa"/>
            <w:bottom w:w="0" w:type="dxa"/>
            <w:right w:w="108" w:type="dxa"/>
          </w:tblCellMar>
        </w:tblPrEx>
        <w:trPr>
          <w:trHeight w:val="1530" w:hRule="atLeast"/>
        </w:trPr>
        <w:tc>
          <w:tcPr>
            <w:tcW w:w="89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2494669">
            <w:pPr>
              <w:rPr>
                <w:rFonts w:hint="eastAsia" w:ascii="黑体" w:hAnsi="黑体" w:eastAsia="黑体" w:cs="宋体"/>
                <w:b/>
                <w:bCs/>
                <w:color w:val="000000"/>
                <w:kern w:val="0"/>
                <w:sz w:val="24"/>
                <w:szCs w:val="24"/>
              </w:rPr>
            </w:pPr>
            <w:r>
              <w:rPr>
                <w:rFonts w:hint="eastAsia" w:ascii="黑体" w:hAnsi="黑体" w:eastAsia="黑体" w:cs="宋体"/>
                <w:b/>
                <w:bCs/>
                <w:color w:val="000000"/>
                <w:kern w:val="0"/>
                <w:sz w:val="24"/>
                <w:szCs w:val="24"/>
              </w:rPr>
              <w:t>投标报价评分规则：</w:t>
            </w:r>
          </w:p>
          <w:p w14:paraId="03FEE2A4">
            <w:pPr>
              <w:rPr>
                <w:rFonts w:hint="eastAsia"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 xml:space="preserve">（一）商务标得分＝基础代理费得分×50%+风险代理费得分×50% </w:t>
            </w:r>
          </w:p>
          <w:p w14:paraId="071A40B4">
            <w:pPr>
              <w:rPr>
                <w:rFonts w:hint="eastAsia"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（二）基础代理费得分＝（基础费基准价÷投标人基础费报价）×100，最高100分；</w:t>
            </w:r>
          </w:p>
          <w:p w14:paraId="425CE671">
            <w:pPr>
              <w:rPr>
                <w:rFonts w:hint="eastAsia"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（三）风险代理费得分＝［各起诉标的档位（诉讼标的额× 基准费率）之和 ÷ 各起诉标的档位（诉讼标的额×报价费率）之和］×100，最高100分。</w:t>
            </w:r>
          </w:p>
          <w:p w14:paraId="43C7953D">
            <w:pPr>
              <w:rPr>
                <w:rFonts w:ascii="黑体" w:hAnsi="黑体" w:eastAsia="黑体" w:cs="宋体"/>
                <w:color w:val="000000"/>
                <w:kern w:val="0"/>
                <w:sz w:val="24"/>
                <w:szCs w:val="24"/>
              </w:rPr>
            </w:pPr>
            <w:r>
              <w:rPr>
                <w:rFonts w:hint="eastAsia" w:ascii="仿宋" w:hAnsi="仿宋" w:eastAsia="仿宋" w:cs="宋体"/>
                <w:color w:val="000000"/>
                <w:kern w:val="0"/>
                <w:szCs w:val="21"/>
              </w:rPr>
              <w:t>注：得分精确到小数点后二位。</w:t>
            </w:r>
          </w:p>
        </w:tc>
      </w:tr>
      <w:tr w14:paraId="59BE6480">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14:paraId="5A0133FC">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序号</w:t>
            </w:r>
          </w:p>
        </w:tc>
        <w:tc>
          <w:tcPr>
            <w:tcW w:w="2240" w:type="dxa"/>
            <w:tcBorders>
              <w:top w:val="nil"/>
              <w:left w:val="nil"/>
              <w:bottom w:val="single" w:color="auto" w:sz="4" w:space="0"/>
              <w:right w:val="single" w:color="auto" w:sz="4" w:space="0"/>
            </w:tcBorders>
            <w:shd w:val="clear" w:color="auto" w:fill="auto"/>
            <w:noWrap/>
            <w:vAlign w:val="center"/>
          </w:tcPr>
          <w:p w14:paraId="7DEDE3FF">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投标单位名称</w:t>
            </w:r>
          </w:p>
        </w:tc>
        <w:tc>
          <w:tcPr>
            <w:tcW w:w="2605" w:type="dxa"/>
            <w:tcBorders>
              <w:top w:val="nil"/>
              <w:left w:val="nil"/>
              <w:bottom w:val="single" w:color="auto" w:sz="4" w:space="0"/>
              <w:right w:val="single" w:color="auto" w:sz="4" w:space="0"/>
            </w:tcBorders>
            <w:shd w:val="clear" w:color="auto" w:fill="auto"/>
            <w:noWrap/>
            <w:vAlign w:val="center"/>
          </w:tcPr>
          <w:p w14:paraId="57708173">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投标报价</w:t>
            </w:r>
          </w:p>
        </w:tc>
        <w:tc>
          <w:tcPr>
            <w:tcW w:w="3335" w:type="dxa"/>
            <w:tcBorders>
              <w:top w:val="nil"/>
              <w:left w:val="nil"/>
              <w:bottom w:val="single" w:color="auto" w:sz="4" w:space="0"/>
              <w:right w:val="single" w:color="auto" w:sz="4" w:space="0"/>
            </w:tcBorders>
            <w:shd w:val="clear" w:color="auto" w:fill="auto"/>
            <w:vAlign w:val="center"/>
          </w:tcPr>
          <w:p w14:paraId="442AB67F">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得分S</w:t>
            </w:r>
          </w:p>
        </w:tc>
      </w:tr>
      <w:tr w14:paraId="34E8E5A9">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14:paraId="5827F893">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shd w:val="clear" w:color="auto" w:fill="auto"/>
            <w:noWrap/>
            <w:vAlign w:val="center"/>
          </w:tcPr>
          <w:p w14:paraId="0E6A40CD">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shd w:val="clear" w:color="auto" w:fill="auto"/>
            <w:noWrap/>
            <w:vAlign w:val="center"/>
          </w:tcPr>
          <w:p w14:paraId="093CA072">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shd w:val="clear" w:color="auto" w:fill="auto"/>
            <w:vAlign w:val="center"/>
          </w:tcPr>
          <w:p w14:paraId="2C8BDB73">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58B8F032">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14:paraId="476E4352">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shd w:val="clear" w:color="auto" w:fill="auto"/>
            <w:noWrap/>
            <w:vAlign w:val="center"/>
          </w:tcPr>
          <w:p w14:paraId="13A9C534">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shd w:val="clear" w:color="auto" w:fill="auto"/>
            <w:noWrap/>
            <w:vAlign w:val="center"/>
          </w:tcPr>
          <w:p w14:paraId="7152E8FC">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shd w:val="clear" w:color="auto" w:fill="auto"/>
            <w:noWrap/>
            <w:vAlign w:val="center"/>
          </w:tcPr>
          <w:p w14:paraId="179A30D4">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34DAC365">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14:paraId="20ED11C3">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shd w:val="clear" w:color="auto" w:fill="auto"/>
            <w:noWrap/>
            <w:vAlign w:val="center"/>
          </w:tcPr>
          <w:p w14:paraId="3B91A14F">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shd w:val="clear" w:color="auto" w:fill="auto"/>
            <w:noWrap/>
            <w:vAlign w:val="center"/>
          </w:tcPr>
          <w:p w14:paraId="62B15AC6">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shd w:val="clear" w:color="auto" w:fill="auto"/>
            <w:noWrap/>
            <w:vAlign w:val="center"/>
          </w:tcPr>
          <w:p w14:paraId="372D62D1">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66B4B9F1">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14:paraId="72BDF805">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shd w:val="clear" w:color="auto" w:fill="auto"/>
            <w:noWrap/>
            <w:vAlign w:val="center"/>
          </w:tcPr>
          <w:p w14:paraId="216BA2B4">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shd w:val="clear" w:color="auto" w:fill="auto"/>
            <w:noWrap/>
            <w:vAlign w:val="center"/>
          </w:tcPr>
          <w:p w14:paraId="2F9D85F6">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shd w:val="clear" w:color="auto" w:fill="auto"/>
            <w:noWrap/>
            <w:vAlign w:val="center"/>
          </w:tcPr>
          <w:p w14:paraId="04C5C509">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7007608D">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14:paraId="0795F618">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shd w:val="clear" w:color="auto" w:fill="auto"/>
            <w:noWrap/>
            <w:vAlign w:val="center"/>
          </w:tcPr>
          <w:p w14:paraId="672DA36F">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shd w:val="clear" w:color="auto" w:fill="auto"/>
            <w:noWrap/>
            <w:vAlign w:val="center"/>
          </w:tcPr>
          <w:p w14:paraId="46AB8C41">
            <w:pPr>
              <w:jc w:val="center"/>
              <w:rPr>
                <w:rFonts w:ascii="黑体" w:hAnsi="黑体" w:eastAsia="黑体" w:cs="宋体"/>
                <w:color w:val="000000"/>
                <w:kern w:val="0"/>
                <w:sz w:val="24"/>
                <w:szCs w:val="24"/>
              </w:rPr>
            </w:pPr>
          </w:p>
        </w:tc>
        <w:tc>
          <w:tcPr>
            <w:tcW w:w="3335" w:type="dxa"/>
            <w:tcBorders>
              <w:top w:val="nil"/>
              <w:left w:val="nil"/>
              <w:bottom w:val="single" w:color="auto" w:sz="4" w:space="0"/>
              <w:right w:val="single" w:color="auto" w:sz="4" w:space="0"/>
            </w:tcBorders>
            <w:shd w:val="clear" w:color="auto" w:fill="auto"/>
            <w:noWrap/>
            <w:vAlign w:val="center"/>
          </w:tcPr>
          <w:p w14:paraId="5716334B">
            <w:pPr>
              <w:jc w:val="center"/>
              <w:rPr>
                <w:rFonts w:ascii="黑体" w:hAnsi="黑体" w:eastAsia="黑体" w:cs="宋体"/>
                <w:color w:val="000000"/>
                <w:kern w:val="0"/>
                <w:sz w:val="24"/>
                <w:szCs w:val="24"/>
              </w:rPr>
            </w:pPr>
          </w:p>
        </w:tc>
      </w:tr>
      <w:tr w14:paraId="21285149">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14:paraId="6903CEF2">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shd w:val="clear" w:color="auto" w:fill="auto"/>
            <w:noWrap/>
            <w:vAlign w:val="center"/>
          </w:tcPr>
          <w:p w14:paraId="10080C0D">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shd w:val="clear" w:color="auto" w:fill="auto"/>
            <w:noWrap/>
            <w:vAlign w:val="center"/>
          </w:tcPr>
          <w:p w14:paraId="6FB0C3C1">
            <w:pPr>
              <w:jc w:val="center"/>
              <w:rPr>
                <w:rFonts w:ascii="黑体" w:hAnsi="黑体" w:eastAsia="黑体" w:cs="宋体"/>
                <w:color w:val="000000"/>
                <w:kern w:val="0"/>
                <w:sz w:val="24"/>
                <w:szCs w:val="24"/>
              </w:rPr>
            </w:pPr>
          </w:p>
        </w:tc>
        <w:tc>
          <w:tcPr>
            <w:tcW w:w="3335" w:type="dxa"/>
            <w:tcBorders>
              <w:top w:val="single" w:color="auto" w:sz="4" w:space="0"/>
              <w:left w:val="nil"/>
              <w:bottom w:val="single" w:color="auto" w:sz="4" w:space="0"/>
              <w:right w:val="single" w:color="auto" w:sz="4" w:space="0"/>
            </w:tcBorders>
            <w:shd w:val="clear" w:color="auto" w:fill="auto"/>
            <w:noWrap/>
            <w:vAlign w:val="center"/>
          </w:tcPr>
          <w:p w14:paraId="0D21620A">
            <w:pPr>
              <w:jc w:val="center"/>
              <w:rPr>
                <w:rFonts w:ascii="黑体" w:hAnsi="黑体" w:eastAsia="黑体" w:cs="宋体"/>
                <w:color w:val="000000"/>
                <w:kern w:val="0"/>
                <w:sz w:val="24"/>
                <w:szCs w:val="24"/>
              </w:rPr>
            </w:pPr>
          </w:p>
        </w:tc>
      </w:tr>
      <w:tr w14:paraId="02F71849">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14:paraId="3F0C8A7A">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shd w:val="clear" w:color="auto" w:fill="auto"/>
            <w:noWrap/>
            <w:vAlign w:val="center"/>
          </w:tcPr>
          <w:p w14:paraId="2FEDE7F9">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shd w:val="clear" w:color="auto" w:fill="auto"/>
            <w:noWrap/>
            <w:vAlign w:val="center"/>
          </w:tcPr>
          <w:p w14:paraId="56B9ABC4">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shd w:val="clear" w:color="auto" w:fill="auto"/>
            <w:noWrap/>
            <w:vAlign w:val="center"/>
          </w:tcPr>
          <w:p w14:paraId="2F9DDA01">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4D990442">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14:paraId="2D9E97EE">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shd w:val="clear" w:color="auto" w:fill="auto"/>
            <w:noWrap/>
            <w:vAlign w:val="center"/>
          </w:tcPr>
          <w:p w14:paraId="0389F383">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shd w:val="clear" w:color="auto" w:fill="auto"/>
            <w:noWrap/>
            <w:vAlign w:val="center"/>
          </w:tcPr>
          <w:p w14:paraId="362B264B">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shd w:val="clear" w:color="auto" w:fill="auto"/>
            <w:noWrap/>
            <w:vAlign w:val="center"/>
          </w:tcPr>
          <w:p w14:paraId="3B6043D5">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1D8F03A7">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shd w:val="clear" w:color="auto" w:fill="auto"/>
            <w:noWrap/>
            <w:vAlign w:val="center"/>
          </w:tcPr>
          <w:p w14:paraId="00BBE615">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shd w:val="clear" w:color="auto" w:fill="auto"/>
            <w:noWrap/>
            <w:vAlign w:val="center"/>
          </w:tcPr>
          <w:p w14:paraId="5CCBC792">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shd w:val="clear" w:color="auto" w:fill="auto"/>
            <w:noWrap/>
            <w:vAlign w:val="center"/>
          </w:tcPr>
          <w:p w14:paraId="07FDF3BA">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shd w:val="clear" w:color="auto" w:fill="auto"/>
            <w:noWrap/>
            <w:vAlign w:val="center"/>
          </w:tcPr>
          <w:p w14:paraId="1090DF82">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7C1370F8">
        <w:tblPrEx>
          <w:tblCellMar>
            <w:top w:w="0" w:type="dxa"/>
            <w:left w:w="108" w:type="dxa"/>
            <w:bottom w:w="0" w:type="dxa"/>
            <w:right w:w="108" w:type="dxa"/>
          </w:tblCellMar>
        </w:tblPrEx>
        <w:trPr>
          <w:trHeight w:val="1646" w:hRule="atLeast"/>
        </w:trPr>
        <w:tc>
          <w:tcPr>
            <w:tcW w:w="896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D3AC972">
            <w:pPr>
              <w:spacing w:line="360" w:lineRule="auto"/>
              <w:rPr>
                <w:rFonts w:ascii="黑体" w:hAnsi="Verdana" w:eastAsia="黑体"/>
                <w:szCs w:val="21"/>
              </w:rPr>
            </w:pPr>
            <w:r>
              <w:rPr>
                <w:rFonts w:hint="eastAsia" w:ascii="黑体" w:hAnsi="Verdana" w:eastAsia="黑体"/>
                <w:szCs w:val="21"/>
              </w:rPr>
              <w:t>评标委员会签名：</w:t>
            </w:r>
          </w:p>
          <w:p w14:paraId="7208ECED">
            <w:pPr>
              <w:rPr>
                <w:rFonts w:ascii="黑体" w:hAnsi="Verdana" w:eastAsia="黑体"/>
                <w:szCs w:val="21"/>
              </w:rPr>
            </w:pPr>
            <w:r>
              <w:rPr>
                <w:rFonts w:hint="eastAsia" w:ascii="黑体" w:hAnsi="Verdana" w:eastAsia="黑体"/>
                <w:szCs w:val="21"/>
              </w:rPr>
              <w:t xml:space="preserve">      </w:t>
            </w:r>
          </w:p>
          <w:p w14:paraId="158F41D2">
            <w:pPr>
              <w:rPr>
                <w:rFonts w:ascii="黑体" w:hAnsi="Verdana" w:eastAsia="黑体"/>
                <w:szCs w:val="21"/>
              </w:rPr>
            </w:pPr>
          </w:p>
          <w:p w14:paraId="2C3F9DB4">
            <w:pPr>
              <w:jc w:val="right"/>
              <w:rPr>
                <w:rFonts w:ascii="黑体" w:hAnsi="黑体" w:eastAsia="黑体" w:cs="宋体"/>
                <w:color w:val="000000"/>
                <w:kern w:val="0"/>
                <w:sz w:val="24"/>
                <w:szCs w:val="24"/>
              </w:rPr>
            </w:pPr>
            <w:r>
              <w:rPr>
                <w:rFonts w:hint="eastAsia" w:ascii="黑体" w:hAnsi="Verdana" w:eastAsia="黑体"/>
                <w:szCs w:val="21"/>
              </w:rPr>
              <w:t>日期：     年   月  日</w:t>
            </w:r>
          </w:p>
        </w:tc>
      </w:tr>
    </w:tbl>
    <w:p w14:paraId="6BEC9F70">
      <w:pPr>
        <w:rPr>
          <w:rFonts w:ascii="黑体" w:hAnsi="黑体" w:eastAsia="黑体"/>
          <w:b/>
          <w:bCs/>
          <w:szCs w:val="21"/>
        </w:rPr>
      </w:pPr>
      <w:r>
        <w:rPr>
          <w:rFonts w:hint="eastAsia" w:ascii="黑体" w:hAnsi="黑体" w:eastAsia="黑体"/>
          <w:b/>
          <w:bCs/>
          <w:szCs w:val="21"/>
        </w:rPr>
        <w:t>备注：</w:t>
      </w:r>
    </w:p>
    <w:p w14:paraId="704075B5">
      <w:pPr>
        <w:spacing w:line="360" w:lineRule="auto"/>
        <w:ind w:firstLine="560" w:firstLineChars="200"/>
        <w:rPr>
          <w:rFonts w:ascii="仿宋" w:hAnsi="仿宋" w:eastAsia="仿宋" w:cs="宋体"/>
          <w:kern w:val="0"/>
          <w:sz w:val="28"/>
          <w:szCs w:val="28"/>
        </w:rPr>
      </w:pPr>
    </w:p>
    <w:p w14:paraId="48F7AB5E">
      <w:pPr>
        <w:pStyle w:val="9"/>
        <w:ind w:firstLine="640"/>
        <w:jc w:val="center"/>
        <w:rPr>
          <w:rFonts w:ascii="黑体" w:hAnsi="黑体" w:eastAsia="黑体"/>
          <w:sz w:val="32"/>
          <w:szCs w:val="32"/>
        </w:rPr>
      </w:pPr>
      <w:r>
        <w:rPr>
          <w:rFonts w:hint="eastAsia" w:ascii="黑体" w:hAnsi="黑体" w:eastAsia="黑体"/>
          <w:sz w:val="32"/>
          <w:szCs w:val="32"/>
        </w:rPr>
        <w:t>（三）资信标评审表</w:t>
      </w:r>
    </w:p>
    <w:p w14:paraId="0D7F0145">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1.资信标定量评审表</w:t>
      </w:r>
    </w:p>
    <w:p w14:paraId="24280A12">
      <w:pPr>
        <w:spacing w:line="360" w:lineRule="auto"/>
        <w:ind w:firstLine="482" w:firstLineChars="200"/>
        <w:jc w:val="left"/>
        <w:rPr>
          <w:rFonts w:ascii="华文细黑" w:hAnsi="华文细黑" w:eastAsia="黑体"/>
          <w:b/>
          <w:sz w:val="36"/>
        </w:rPr>
      </w:pPr>
      <w:r>
        <w:rPr>
          <w:rFonts w:hint="eastAsia" w:ascii="仿宋" w:hAnsi="仿宋" w:eastAsia="仿宋"/>
          <w:b/>
          <w:sz w:val="24"/>
          <w:szCs w:val="24"/>
        </w:rPr>
        <w:t>服务名称：</w:t>
      </w:r>
    </w:p>
    <w:tbl>
      <w:tblPr>
        <w:tblStyle w:val="36"/>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347"/>
        <w:gridCol w:w="4157"/>
        <w:gridCol w:w="972"/>
        <w:gridCol w:w="792"/>
        <w:gridCol w:w="1008"/>
      </w:tblGrid>
      <w:tr w14:paraId="3914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97" w:type="dxa"/>
            <w:vMerge w:val="restart"/>
            <w:vAlign w:val="center"/>
          </w:tcPr>
          <w:p w14:paraId="22A661A1">
            <w:pPr>
              <w:jc w:val="center"/>
              <w:rPr>
                <w:rFonts w:ascii="黑体" w:hAnsi="黑体" w:eastAsia="黑体"/>
                <w:b/>
                <w:sz w:val="24"/>
                <w:szCs w:val="24"/>
              </w:rPr>
            </w:pPr>
            <w:r>
              <w:rPr>
                <w:rFonts w:hint="eastAsia" w:ascii="黑体" w:hAnsi="黑体" w:eastAsia="黑体"/>
                <w:b/>
                <w:sz w:val="24"/>
                <w:szCs w:val="24"/>
              </w:rPr>
              <w:t>序号</w:t>
            </w:r>
          </w:p>
        </w:tc>
        <w:tc>
          <w:tcPr>
            <w:tcW w:w="1347" w:type="dxa"/>
            <w:vMerge w:val="restart"/>
            <w:vAlign w:val="center"/>
          </w:tcPr>
          <w:p w14:paraId="5EC50371">
            <w:pPr>
              <w:jc w:val="center"/>
              <w:rPr>
                <w:rFonts w:ascii="黑体" w:hAnsi="黑体" w:eastAsia="黑体"/>
                <w:b/>
                <w:sz w:val="24"/>
                <w:szCs w:val="24"/>
              </w:rPr>
            </w:pPr>
            <w:r>
              <w:rPr>
                <w:rFonts w:hint="eastAsia" w:ascii="黑体" w:hAnsi="黑体" w:eastAsia="黑体"/>
                <w:b/>
                <w:sz w:val="24"/>
                <w:szCs w:val="24"/>
              </w:rPr>
              <w:t>评 审 内 容 及 要 求</w:t>
            </w:r>
          </w:p>
        </w:tc>
        <w:tc>
          <w:tcPr>
            <w:tcW w:w="4157" w:type="dxa"/>
            <w:vMerge w:val="restart"/>
            <w:vAlign w:val="center"/>
          </w:tcPr>
          <w:p w14:paraId="0E665000">
            <w:pPr>
              <w:jc w:val="center"/>
              <w:rPr>
                <w:rFonts w:ascii="黑体" w:hAnsi="黑体" w:eastAsia="黑体"/>
                <w:b/>
                <w:sz w:val="24"/>
                <w:szCs w:val="24"/>
              </w:rPr>
            </w:pPr>
            <w:r>
              <w:rPr>
                <w:rFonts w:hint="eastAsia" w:ascii="黑体" w:hAnsi="黑体" w:eastAsia="黑体"/>
                <w:b/>
                <w:sz w:val="24"/>
                <w:szCs w:val="24"/>
              </w:rPr>
              <w:t>分值范围</w:t>
            </w:r>
          </w:p>
        </w:tc>
        <w:tc>
          <w:tcPr>
            <w:tcW w:w="972" w:type="dxa"/>
            <w:vAlign w:val="center"/>
          </w:tcPr>
          <w:p w14:paraId="34C07057">
            <w:pPr>
              <w:jc w:val="center"/>
              <w:rPr>
                <w:rFonts w:ascii="黑体" w:hAnsi="黑体" w:eastAsia="黑体"/>
                <w:b/>
                <w:sz w:val="24"/>
                <w:szCs w:val="24"/>
              </w:rPr>
            </w:pPr>
            <w:r>
              <w:rPr>
                <w:rFonts w:hint="eastAsia" w:ascii="黑体" w:hAnsi="黑体" w:eastAsia="黑体"/>
                <w:b/>
                <w:sz w:val="24"/>
                <w:szCs w:val="24"/>
              </w:rPr>
              <w:t>投标人1</w:t>
            </w:r>
          </w:p>
        </w:tc>
        <w:tc>
          <w:tcPr>
            <w:tcW w:w="792" w:type="dxa"/>
            <w:vAlign w:val="center"/>
          </w:tcPr>
          <w:p w14:paraId="65239A4D">
            <w:pPr>
              <w:jc w:val="center"/>
              <w:rPr>
                <w:rFonts w:ascii="黑体" w:hAnsi="黑体" w:eastAsia="黑体"/>
                <w:b/>
                <w:sz w:val="24"/>
                <w:szCs w:val="24"/>
              </w:rPr>
            </w:pPr>
            <w:r>
              <w:rPr>
                <w:rFonts w:hint="eastAsia" w:ascii="黑体" w:hAnsi="黑体" w:eastAsia="黑体"/>
                <w:b/>
                <w:sz w:val="24"/>
                <w:szCs w:val="24"/>
              </w:rPr>
              <w:t>投标人2</w:t>
            </w:r>
          </w:p>
        </w:tc>
        <w:tc>
          <w:tcPr>
            <w:tcW w:w="1008" w:type="dxa"/>
            <w:vAlign w:val="center"/>
          </w:tcPr>
          <w:p w14:paraId="21ECD1BF">
            <w:pPr>
              <w:jc w:val="center"/>
              <w:rPr>
                <w:rFonts w:ascii="黑体" w:hAnsi="黑体" w:eastAsia="黑体"/>
                <w:b/>
                <w:sz w:val="24"/>
                <w:szCs w:val="24"/>
              </w:rPr>
            </w:pPr>
            <w:r>
              <w:rPr>
                <w:rFonts w:hint="eastAsia" w:ascii="黑体" w:hAnsi="黑体" w:eastAsia="黑体"/>
                <w:b/>
                <w:sz w:val="24"/>
                <w:szCs w:val="24"/>
              </w:rPr>
              <w:t>投标人3</w:t>
            </w:r>
          </w:p>
        </w:tc>
      </w:tr>
      <w:tr w14:paraId="366F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97" w:type="dxa"/>
            <w:vMerge w:val="continue"/>
            <w:vAlign w:val="center"/>
          </w:tcPr>
          <w:p w14:paraId="2697B0E3">
            <w:pPr>
              <w:jc w:val="center"/>
              <w:rPr>
                <w:rFonts w:ascii="黑体" w:hAnsi="黑体" w:eastAsia="黑体"/>
                <w:b/>
                <w:sz w:val="24"/>
                <w:szCs w:val="24"/>
              </w:rPr>
            </w:pPr>
          </w:p>
        </w:tc>
        <w:tc>
          <w:tcPr>
            <w:tcW w:w="1347" w:type="dxa"/>
            <w:vMerge w:val="continue"/>
            <w:vAlign w:val="center"/>
          </w:tcPr>
          <w:p w14:paraId="415F6593">
            <w:pPr>
              <w:jc w:val="center"/>
              <w:rPr>
                <w:rFonts w:ascii="黑体" w:hAnsi="黑体" w:eastAsia="黑体"/>
                <w:b/>
                <w:sz w:val="24"/>
                <w:szCs w:val="24"/>
              </w:rPr>
            </w:pPr>
          </w:p>
        </w:tc>
        <w:tc>
          <w:tcPr>
            <w:tcW w:w="4157" w:type="dxa"/>
            <w:vMerge w:val="continue"/>
            <w:vAlign w:val="center"/>
          </w:tcPr>
          <w:p w14:paraId="0FA65E21">
            <w:pPr>
              <w:jc w:val="center"/>
              <w:rPr>
                <w:rFonts w:ascii="黑体" w:hAnsi="黑体" w:eastAsia="黑体"/>
                <w:b/>
                <w:sz w:val="24"/>
                <w:szCs w:val="24"/>
              </w:rPr>
            </w:pPr>
          </w:p>
        </w:tc>
        <w:tc>
          <w:tcPr>
            <w:tcW w:w="972" w:type="dxa"/>
            <w:vAlign w:val="center"/>
          </w:tcPr>
          <w:p w14:paraId="77EFBCE0">
            <w:pPr>
              <w:jc w:val="center"/>
              <w:rPr>
                <w:rFonts w:ascii="黑体" w:hAnsi="黑体" w:eastAsia="黑体"/>
                <w:b/>
                <w:sz w:val="24"/>
                <w:szCs w:val="24"/>
              </w:rPr>
            </w:pPr>
          </w:p>
        </w:tc>
        <w:tc>
          <w:tcPr>
            <w:tcW w:w="792" w:type="dxa"/>
            <w:vAlign w:val="center"/>
          </w:tcPr>
          <w:p w14:paraId="03A3D47B">
            <w:pPr>
              <w:jc w:val="center"/>
              <w:rPr>
                <w:rFonts w:ascii="黑体" w:hAnsi="黑体" w:eastAsia="黑体"/>
                <w:b/>
                <w:sz w:val="24"/>
                <w:szCs w:val="24"/>
              </w:rPr>
            </w:pPr>
          </w:p>
        </w:tc>
        <w:tc>
          <w:tcPr>
            <w:tcW w:w="1008" w:type="dxa"/>
            <w:vAlign w:val="center"/>
          </w:tcPr>
          <w:p w14:paraId="3B368A7F">
            <w:pPr>
              <w:jc w:val="center"/>
              <w:rPr>
                <w:rFonts w:ascii="黑体" w:hAnsi="黑体" w:eastAsia="黑体"/>
                <w:b/>
                <w:sz w:val="24"/>
                <w:szCs w:val="24"/>
              </w:rPr>
            </w:pPr>
          </w:p>
        </w:tc>
      </w:tr>
      <w:tr w14:paraId="1F3C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6" w:hRule="exact"/>
        </w:trPr>
        <w:tc>
          <w:tcPr>
            <w:tcW w:w="797" w:type="dxa"/>
            <w:vAlign w:val="center"/>
          </w:tcPr>
          <w:p w14:paraId="0CF2209F">
            <w:pPr>
              <w:widowControl w:val="0"/>
              <w:jc w:val="center"/>
              <w:rPr>
                <w:rFonts w:ascii="黑体" w:hAnsi="黑体" w:eastAsia="黑体"/>
                <w:sz w:val="24"/>
                <w:szCs w:val="24"/>
              </w:rPr>
            </w:pPr>
            <w:r>
              <w:rPr>
                <w:rFonts w:hint="eastAsia" w:ascii="仿宋_GB2312" w:hAnsi="仿宋_GB2312" w:eastAsia="仿宋_GB2312" w:cs="仿宋_GB2312"/>
                <w:sz w:val="24"/>
                <w:szCs w:val="24"/>
              </w:rPr>
              <w:t>1</w:t>
            </w:r>
          </w:p>
        </w:tc>
        <w:tc>
          <w:tcPr>
            <w:tcW w:w="1347" w:type="dxa"/>
            <w:vAlign w:val="center"/>
          </w:tcPr>
          <w:p w14:paraId="32F51D34">
            <w:pPr>
              <w:numPr>
                <w:ilvl w:val="0"/>
                <w:numId w:val="0"/>
              </w:numPr>
              <w:ind w:left="0" w:leftChars="0" w:firstLine="0" w:firstLineChars="0"/>
              <w:rPr>
                <w:rFonts w:ascii="黑体" w:hAnsi="黑体" w:eastAsia="黑体"/>
                <w:sz w:val="24"/>
                <w:szCs w:val="24"/>
              </w:rPr>
            </w:pPr>
            <w:r>
              <w:rPr>
                <w:rFonts w:hint="eastAsia" w:ascii="仿宋_GB2312" w:hAnsi="仿宋_GB2312" w:eastAsia="仿宋_GB2312" w:cs="仿宋_GB2312"/>
                <w:color w:val="000000"/>
                <w:kern w:val="0"/>
                <w:sz w:val="20"/>
                <w:lang w:bidi="ar"/>
              </w:rPr>
              <w:t>主体资格与信用状况（20分）</w:t>
            </w:r>
          </w:p>
        </w:tc>
        <w:tc>
          <w:tcPr>
            <w:tcW w:w="4157" w:type="dxa"/>
            <w:vAlign w:val="center"/>
          </w:tcPr>
          <w:p w14:paraId="52F076BD">
            <w:pPr>
              <w:numPr>
                <w:ilvl w:val="0"/>
                <w:numId w:val="4"/>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经“信用中国”</w:t>
            </w:r>
            <w:r>
              <w:rPr>
                <w:rFonts w:hint="eastAsia" w:ascii="仿宋_GB2312" w:hAnsi="仿宋_GB2312" w:eastAsia="仿宋_GB2312" w:cs="仿宋_GB2312"/>
                <w:color w:val="000000"/>
                <w:kern w:val="0"/>
                <w:sz w:val="20"/>
                <w:lang w:eastAsia="zh-CN" w:bidi="ar"/>
              </w:rPr>
              <w:t>、</w:t>
            </w:r>
            <w:r>
              <w:rPr>
                <w:rFonts w:hint="eastAsia" w:ascii="仿宋_GB2312" w:hAnsi="仿宋_GB2312" w:eastAsia="仿宋_GB2312" w:cs="仿宋_GB2312"/>
                <w:color w:val="000000"/>
                <w:kern w:val="0"/>
                <w:sz w:val="20"/>
                <w:lang w:bidi="ar"/>
              </w:rPr>
              <w:t>“中国裁判文书网”</w:t>
            </w:r>
            <w:r>
              <w:rPr>
                <w:rFonts w:hint="eastAsia" w:ascii="仿宋_GB2312" w:hAnsi="仿宋_GB2312" w:eastAsia="仿宋_GB2312" w:cs="仿宋_GB2312"/>
                <w:color w:val="000000"/>
                <w:kern w:val="0"/>
                <w:sz w:val="20"/>
                <w:lang w:eastAsia="zh-CN" w:bidi="ar"/>
              </w:rPr>
              <w:t>、</w:t>
            </w:r>
            <w:r>
              <w:rPr>
                <w:rFonts w:hint="eastAsia" w:ascii="仿宋_GB2312" w:hAnsi="仿宋_GB2312" w:eastAsia="仿宋_GB2312" w:cs="仿宋_GB2312"/>
                <w:color w:val="000000"/>
                <w:kern w:val="0"/>
                <w:sz w:val="20"/>
                <w:lang w:bidi="ar"/>
              </w:rPr>
              <w:t>“中国政府采购网” 查询，未列入失信被执行人、重大税收违法失信主体、政府采购严重违法失信名单，得10分；存在任一情形得0分。</w:t>
            </w:r>
          </w:p>
          <w:p w14:paraId="1188E806">
            <w:pPr>
              <w:numPr>
                <w:ilvl w:val="0"/>
                <w:numId w:val="4"/>
              </w:numPr>
              <w:rPr>
                <w:rFonts w:ascii="仿宋" w:hAnsi="仿宋" w:eastAsia="仿宋" w:cs="仿宋"/>
                <w:szCs w:val="21"/>
              </w:rPr>
            </w:pPr>
            <w:r>
              <w:rPr>
                <w:rFonts w:hint="eastAsia" w:ascii="仿宋_GB2312" w:hAnsi="仿宋_GB2312" w:eastAsia="仿宋_GB2312" w:cs="仿宋_GB2312"/>
                <w:color w:val="000000"/>
                <w:kern w:val="0"/>
                <w:sz w:val="20"/>
                <w:lang w:val="en-US" w:eastAsia="zh-CN" w:bidi="ar"/>
              </w:rPr>
              <w:t>截止至投标截止日，</w:t>
            </w:r>
            <w:r>
              <w:rPr>
                <w:rFonts w:hint="eastAsia" w:ascii="仿宋_GB2312" w:hAnsi="仿宋_GB2312" w:eastAsia="仿宋_GB2312" w:cs="仿宋_GB2312"/>
                <w:color w:val="000000"/>
                <w:kern w:val="0"/>
                <w:sz w:val="20"/>
                <w:lang w:bidi="ar"/>
              </w:rPr>
              <w:t>近3年律所及拟派团队律师未受过司法行政机关行政处罚或律师协会行业处分，提供加盖公章的承诺函得10分；有相关记录得0分。</w:t>
            </w:r>
          </w:p>
        </w:tc>
        <w:tc>
          <w:tcPr>
            <w:tcW w:w="972" w:type="dxa"/>
            <w:vAlign w:val="center"/>
          </w:tcPr>
          <w:p w14:paraId="748DC216">
            <w:pPr>
              <w:jc w:val="center"/>
              <w:rPr>
                <w:rFonts w:ascii="仿宋" w:hAnsi="仿宋" w:eastAsia="仿宋" w:cs="仿宋"/>
                <w:szCs w:val="21"/>
              </w:rPr>
            </w:pPr>
          </w:p>
        </w:tc>
        <w:tc>
          <w:tcPr>
            <w:tcW w:w="792" w:type="dxa"/>
            <w:vAlign w:val="center"/>
          </w:tcPr>
          <w:p w14:paraId="6F756E50">
            <w:pPr>
              <w:jc w:val="center"/>
              <w:rPr>
                <w:rFonts w:ascii="黑体" w:hAnsi="黑体" w:eastAsia="黑体"/>
                <w:sz w:val="24"/>
                <w:szCs w:val="24"/>
              </w:rPr>
            </w:pPr>
          </w:p>
        </w:tc>
        <w:tc>
          <w:tcPr>
            <w:tcW w:w="1008" w:type="dxa"/>
            <w:vAlign w:val="center"/>
          </w:tcPr>
          <w:p w14:paraId="267CB000">
            <w:pPr>
              <w:jc w:val="center"/>
              <w:rPr>
                <w:rFonts w:ascii="黑体" w:hAnsi="黑体" w:eastAsia="黑体"/>
                <w:sz w:val="24"/>
                <w:szCs w:val="24"/>
              </w:rPr>
            </w:pPr>
          </w:p>
        </w:tc>
      </w:tr>
      <w:tr w14:paraId="709C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5" w:hRule="exact"/>
        </w:trPr>
        <w:tc>
          <w:tcPr>
            <w:tcW w:w="797" w:type="dxa"/>
            <w:vAlign w:val="center"/>
          </w:tcPr>
          <w:p w14:paraId="31B976F4">
            <w:pPr>
              <w:widowControl w:val="0"/>
              <w:jc w:val="center"/>
              <w:rPr>
                <w:rFonts w:ascii="黑体" w:hAnsi="黑体" w:eastAsia="黑体"/>
                <w:sz w:val="24"/>
                <w:szCs w:val="24"/>
              </w:rPr>
            </w:pPr>
            <w:r>
              <w:rPr>
                <w:rFonts w:hint="eastAsia" w:ascii="仿宋_GB2312" w:hAnsi="仿宋_GB2312" w:eastAsia="仿宋_GB2312" w:cs="仿宋_GB2312"/>
                <w:sz w:val="24"/>
                <w:szCs w:val="24"/>
              </w:rPr>
              <w:t>2</w:t>
            </w:r>
          </w:p>
        </w:tc>
        <w:tc>
          <w:tcPr>
            <w:tcW w:w="1347" w:type="dxa"/>
            <w:vAlign w:val="center"/>
          </w:tcPr>
          <w:p w14:paraId="2D8B9982">
            <w:pPr>
              <w:numPr>
                <w:ilvl w:val="0"/>
                <w:numId w:val="0"/>
              </w:numPr>
              <w:ind w:left="0" w:leftChars="0" w:firstLine="0" w:firstLineChars="0"/>
              <w:rPr>
                <w:rFonts w:ascii="黑体" w:hAnsi="黑体" w:eastAsia="黑体"/>
                <w:sz w:val="24"/>
                <w:szCs w:val="24"/>
              </w:rPr>
            </w:pPr>
            <w:r>
              <w:rPr>
                <w:rFonts w:hint="eastAsia" w:ascii="仿宋_GB2312" w:hAnsi="仿宋_GB2312" w:eastAsia="仿宋_GB2312" w:cs="仿宋_GB2312"/>
                <w:color w:val="000000"/>
                <w:kern w:val="0"/>
                <w:sz w:val="20"/>
                <w:lang w:bidi="ar"/>
              </w:rPr>
              <w:t>项目业绩（</w:t>
            </w:r>
            <w:r>
              <w:rPr>
                <w:rFonts w:hint="eastAsia" w:ascii="仿宋_GB2312" w:hAnsi="仿宋_GB2312" w:eastAsia="仿宋_GB2312" w:cs="仿宋_GB2312"/>
                <w:color w:val="000000"/>
                <w:kern w:val="0"/>
                <w:sz w:val="20"/>
                <w:lang w:val="en-US" w:eastAsia="zh-CN" w:bidi="ar"/>
              </w:rPr>
              <w:t>3</w:t>
            </w:r>
            <w:r>
              <w:rPr>
                <w:rFonts w:hint="eastAsia" w:ascii="仿宋_GB2312" w:hAnsi="仿宋_GB2312" w:eastAsia="仿宋_GB2312" w:cs="仿宋_GB2312"/>
                <w:color w:val="000000"/>
                <w:kern w:val="0"/>
                <w:sz w:val="20"/>
                <w:lang w:bidi="ar"/>
              </w:rPr>
              <w:t>0分）</w:t>
            </w:r>
          </w:p>
        </w:tc>
        <w:tc>
          <w:tcPr>
            <w:tcW w:w="4157" w:type="dxa"/>
            <w:vAlign w:val="center"/>
          </w:tcPr>
          <w:p w14:paraId="7E613267">
            <w:pPr>
              <w:numPr>
                <w:ilvl w:val="0"/>
                <w:numId w:val="5"/>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val="en-US" w:eastAsia="zh-CN" w:bidi="ar"/>
              </w:rPr>
              <w:t>截止至投标截止日，</w:t>
            </w:r>
            <w:r>
              <w:rPr>
                <w:rFonts w:hint="eastAsia" w:ascii="仿宋_GB2312" w:hAnsi="仿宋_GB2312" w:eastAsia="仿宋_GB2312" w:cs="仿宋_GB2312"/>
                <w:color w:val="000000"/>
                <w:kern w:val="0"/>
                <w:sz w:val="20"/>
                <w:lang w:bidi="ar"/>
              </w:rPr>
              <w:t>近3年具有诉讼催收服务业绩，单项目委托债权金额≥5000万元的，每提供1个得5分，最多得15 分；单项目金额不足5000万的，每1个得2分，最多得6分。</w:t>
            </w:r>
          </w:p>
          <w:p w14:paraId="75F2BBAB">
            <w:pPr>
              <w:numPr>
                <w:ilvl w:val="0"/>
                <w:numId w:val="5"/>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val="en-US" w:eastAsia="zh-CN" w:bidi="ar"/>
              </w:rPr>
              <w:t>截止至投标截止日，</w:t>
            </w:r>
            <w:r>
              <w:rPr>
                <w:rFonts w:hint="eastAsia" w:ascii="仿宋_GB2312" w:hAnsi="仿宋_GB2312" w:eastAsia="仿宋_GB2312" w:cs="仿宋_GB2312"/>
                <w:color w:val="000000"/>
                <w:kern w:val="0"/>
                <w:sz w:val="20"/>
                <w:lang w:bidi="ar"/>
              </w:rPr>
              <w:t>近3年累计服务的企业客户≥5家得15分，3-4家得8分，1-2 家得3分，无得0分。</w:t>
            </w:r>
          </w:p>
          <w:p w14:paraId="59490E6D">
            <w:pPr>
              <w:numPr>
                <w:ilvl w:val="0"/>
                <w:numId w:val="0"/>
              </w:numPr>
              <w:ind w:left="0" w:leftChars="0" w:firstLine="0" w:firstLineChars="0"/>
              <w:rPr>
                <w:rFonts w:ascii="黑体" w:hAnsi="黑体" w:eastAsia="黑体"/>
                <w:sz w:val="24"/>
                <w:szCs w:val="24"/>
              </w:rPr>
            </w:pPr>
            <w:r>
              <w:rPr>
                <w:rFonts w:hint="eastAsia" w:ascii="仿宋_GB2312" w:hAnsi="仿宋_GB2312" w:eastAsia="仿宋_GB2312" w:cs="仿宋_GB2312"/>
                <w:color w:val="000000"/>
                <w:kern w:val="0"/>
                <w:sz w:val="20"/>
                <w:lang w:bidi="ar"/>
              </w:rPr>
              <w:t>备注：须提供委托合同等证明材料，否则不计分。</w:t>
            </w:r>
          </w:p>
        </w:tc>
        <w:tc>
          <w:tcPr>
            <w:tcW w:w="972" w:type="dxa"/>
            <w:vAlign w:val="center"/>
          </w:tcPr>
          <w:p w14:paraId="641882C5">
            <w:pPr>
              <w:jc w:val="center"/>
              <w:rPr>
                <w:rFonts w:ascii="黑体" w:hAnsi="黑体" w:eastAsia="黑体"/>
                <w:sz w:val="24"/>
                <w:szCs w:val="24"/>
              </w:rPr>
            </w:pPr>
          </w:p>
        </w:tc>
        <w:tc>
          <w:tcPr>
            <w:tcW w:w="792" w:type="dxa"/>
            <w:vAlign w:val="center"/>
          </w:tcPr>
          <w:p w14:paraId="55247960">
            <w:pPr>
              <w:jc w:val="center"/>
              <w:rPr>
                <w:rFonts w:ascii="黑体" w:hAnsi="黑体" w:eastAsia="黑体"/>
                <w:sz w:val="24"/>
                <w:szCs w:val="24"/>
              </w:rPr>
            </w:pPr>
          </w:p>
        </w:tc>
        <w:tc>
          <w:tcPr>
            <w:tcW w:w="1008" w:type="dxa"/>
            <w:vAlign w:val="center"/>
          </w:tcPr>
          <w:p w14:paraId="4D5D7278">
            <w:pPr>
              <w:jc w:val="center"/>
              <w:rPr>
                <w:rFonts w:ascii="黑体" w:hAnsi="黑体" w:eastAsia="黑体"/>
                <w:sz w:val="24"/>
                <w:szCs w:val="24"/>
              </w:rPr>
            </w:pPr>
          </w:p>
        </w:tc>
      </w:tr>
      <w:tr w14:paraId="2702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exact"/>
        </w:trPr>
        <w:tc>
          <w:tcPr>
            <w:tcW w:w="797" w:type="dxa"/>
            <w:vAlign w:val="center"/>
          </w:tcPr>
          <w:p w14:paraId="662EF78B">
            <w:pPr>
              <w:spacing w:line="320" w:lineRule="exact"/>
              <w:jc w:val="center"/>
              <w:rPr>
                <w:rFonts w:ascii="黑体" w:hAnsi="黑体" w:eastAsia="黑体"/>
                <w:sz w:val="24"/>
                <w:szCs w:val="24"/>
              </w:rPr>
            </w:pPr>
            <w:r>
              <w:rPr>
                <w:rFonts w:hint="eastAsia" w:ascii="仿宋_GB2312" w:hAnsi="仿宋_GB2312" w:eastAsia="仿宋_GB2312" w:cs="仿宋_GB2312"/>
                <w:sz w:val="24"/>
                <w:szCs w:val="24"/>
              </w:rPr>
              <w:t>3</w:t>
            </w:r>
          </w:p>
        </w:tc>
        <w:tc>
          <w:tcPr>
            <w:tcW w:w="1347" w:type="dxa"/>
            <w:vAlign w:val="center"/>
          </w:tcPr>
          <w:p w14:paraId="568475CF">
            <w:pPr>
              <w:numPr>
                <w:ilvl w:val="0"/>
                <w:numId w:val="0"/>
              </w:numPr>
              <w:ind w:left="0" w:leftChars="0" w:firstLine="0" w:firstLineChars="0"/>
              <w:rPr>
                <w:rFonts w:ascii="黑体" w:hAnsi="黑体" w:eastAsia="黑体"/>
                <w:sz w:val="24"/>
                <w:szCs w:val="24"/>
              </w:rPr>
            </w:pPr>
            <w:r>
              <w:rPr>
                <w:rFonts w:hint="eastAsia" w:ascii="仿宋_GB2312" w:hAnsi="仿宋_GB2312" w:eastAsia="仿宋_GB2312" w:cs="仿宋_GB2312"/>
                <w:color w:val="000000"/>
                <w:kern w:val="0"/>
                <w:sz w:val="20"/>
                <w:lang w:bidi="ar"/>
              </w:rPr>
              <w:t>属地司法实践经验（</w:t>
            </w:r>
            <w:r>
              <w:rPr>
                <w:rFonts w:hint="eastAsia" w:ascii="仿宋_GB2312" w:hAnsi="仿宋_GB2312" w:eastAsia="仿宋_GB2312" w:cs="仿宋_GB2312"/>
                <w:color w:val="000000"/>
                <w:kern w:val="0"/>
                <w:sz w:val="20"/>
                <w:lang w:val="en-US" w:eastAsia="zh-CN" w:bidi="ar"/>
              </w:rPr>
              <w:t>2</w:t>
            </w:r>
            <w:r>
              <w:rPr>
                <w:rFonts w:hint="eastAsia" w:ascii="仿宋_GB2312" w:hAnsi="仿宋_GB2312" w:eastAsia="仿宋_GB2312" w:cs="仿宋_GB2312"/>
                <w:color w:val="000000"/>
                <w:kern w:val="0"/>
                <w:sz w:val="20"/>
                <w:lang w:bidi="ar"/>
              </w:rPr>
              <w:t>0分）</w:t>
            </w:r>
          </w:p>
        </w:tc>
        <w:tc>
          <w:tcPr>
            <w:tcW w:w="4157" w:type="dxa"/>
            <w:vAlign w:val="center"/>
          </w:tcPr>
          <w:p w14:paraId="08C9F10C">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val="en-US" w:eastAsia="zh-CN" w:bidi="ar"/>
              </w:rPr>
              <w:t>截止至投标截止日，</w:t>
            </w:r>
            <w:r>
              <w:rPr>
                <w:rFonts w:hint="eastAsia" w:ascii="仿宋_GB2312" w:hAnsi="仿宋_GB2312" w:eastAsia="仿宋_GB2312" w:cs="仿宋_GB2312"/>
                <w:color w:val="000000"/>
                <w:kern w:val="0"/>
                <w:sz w:val="20"/>
                <w:lang w:bidi="ar"/>
              </w:rPr>
              <w:t>近3年，投标人在所投标段对应的地市人民法院，代理过合同纠纷、债权催收类诉讼案件并已办结的：</w:t>
            </w:r>
          </w:p>
          <w:p w14:paraId="27FB8C0E">
            <w:pPr>
              <w:numPr>
                <w:ilvl w:val="0"/>
                <w:numId w:val="6"/>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覆盖所投标段全部地市，且每个地市有5件及以上已结案件，得20分；</w:t>
            </w:r>
          </w:p>
          <w:p w14:paraId="40CFFE9E">
            <w:pPr>
              <w:numPr>
                <w:ilvl w:val="0"/>
                <w:numId w:val="6"/>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覆盖所投标段2/3及以上地市，且每个地市有3件及以上已结案件，得12分；</w:t>
            </w:r>
          </w:p>
          <w:p w14:paraId="4E95F768">
            <w:pPr>
              <w:numPr>
                <w:ilvl w:val="0"/>
                <w:numId w:val="6"/>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覆盖所投标段1/3及以上地市，且每个地市有1件及以上已结案件，得6分；无相关属地案件经验，得0分。</w:t>
            </w:r>
          </w:p>
          <w:p w14:paraId="1D297986">
            <w:pPr>
              <w:numPr>
                <w:ilvl w:val="0"/>
                <w:numId w:val="0"/>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备注：须提供载明管辖法院的生效裁判文书作为证明材料，否则不计分。</w:t>
            </w:r>
          </w:p>
          <w:p w14:paraId="013995E7">
            <w:pPr>
              <w:numPr>
                <w:ilvl w:val="0"/>
                <w:numId w:val="0"/>
              </w:numPr>
              <w:rPr>
                <w:rFonts w:hint="eastAsia" w:ascii="仿宋_GB2312" w:hAnsi="仿宋_GB2312" w:eastAsia="仿宋_GB2312" w:cs="仿宋_GB2312"/>
                <w:color w:val="000000"/>
                <w:kern w:val="0"/>
                <w:sz w:val="20"/>
                <w:lang w:bidi="ar"/>
              </w:rPr>
            </w:pPr>
          </w:p>
          <w:p w14:paraId="0F84B4D0">
            <w:pPr>
              <w:numPr>
                <w:ilvl w:val="0"/>
                <w:numId w:val="0"/>
              </w:numPr>
              <w:rPr>
                <w:rFonts w:hint="eastAsia" w:ascii="仿宋_GB2312" w:hAnsi="仿宋_GB2312" w:eastAsia="仿宋_GB2312" w:cs="仿宋_GB2312"/>
                <w:color w:val="000000"/>
                <w:kern w:val="0"/>
                <w:sz w:val="20"/>
                <w:lang w:bidi="ar"/>
              </w:rPr>
            </w:pPr>
          </w:p>
          <w:p w14:paraId="3BCF5C3B">
            <w:pPr>
              <w:numPr>
                <w:ilvl w:val="0"/>
                <w:numId w:val="0"/>
              </w:numPr>
              <w:rPr>
                <w:rFonts w:hint="eastAsia" w:ascii="仿宋_GB2312" w:hAnsi="仿宋_GB2312" w:eastAsia="仿宋_GB2312" w:cs="仿宋_GB2312"/>
                <w:color w:val="000000"/>
                <w:kern w:val="0"/>
                <w:sz w:val="20"/>
                <w:lang w:bidi="ar"/>
              </w:rPr>
            </w:pPr>
          </w:p>
          <w:p w14:paraId="02A9C6D5">
            <w:pPr>
              <w:numPr>
                <w:ilvl w:val="0"/>
                <w:numId w:val="0"/>
              </w:numPr>
              <w:ind w:left="0" w:leftChars="0" w:firstLine="0" w:firstLineChars="0"/>
              <w:rPr>
                <w:rFonts w:ascii="黑体" w:hAnsi="黑体" w:eastAsia="黑体"/>
                <w:sz w:val="24"/>
                <w:szCs w:val="24"/>
              </w:rPr>
            </w:pPr>
          </w:p>
        </w:tc>
        <w:tc>
          <w:tcPr>
            <w:tcW w:w="972" w:type="dxa"/>
            <w:vAlign w:val="center"/>
          </w:tcPr>
          <w:p w14:paraId="214941AC">
            <w:pPr>
              <w:jc w:val="center"/>
              <w:rPr>
                <w:rFonts w:ascii="黑体" w:hAnsi="黑体" w:eastAsia="黑体"/>
                <w:sz w:val="24"/>
                <w:szCs w:val="24"/>
              </w:rPr>
            </w:pPr>
          </w:p>
        </w:tc>
        <w:tc>
          <w:tcPr>
            <w:tcW w:w="792" w:type="dxa"/>
            <w:vAlign w:val="center"/>
          </w:tcPr>
          <w:p w14:paraId="0899307B">
            <w:pPr>
              <w:jc w:val="center"/>
              <w:rPr>
                <w:rFonts w:ascii="黑体" w:hAnsi="黑体" w:eastAsia="黑体"/>
                <w:sz w:val="24"/>
                <w:szCs w:val="24"/>
              </w:rPr>
            </w:pPr>
          </w:p>
        </w:tc>
        <w:tc>
          <w:tcPr>
            <w:tcW w:w="1008" w:type="dxa"/>
            <w:vAlign w:val="center"/>
          </w:tcPr>
          <w:p w14:paraId="558D441A">
            <w:pPr>
              <w:jc w:val="center"/>
              <w:rPr>
                <w:rFonts w:ascii="黑体" w:hAnsi="黑体" w:eastAsia="黑体"/>
                <w:sz w:val="24"/>
                <w:szCs w:val="24"/>
              </w:rPr>
            </w:pPr>
          </w:p>
        </w:tc>
      </w:tr>
      <w:tr w14:paraId="5297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797" w:type="dxa"/>
            <w:vAlign w:val="center"/>
          </w:tcPr>
          <w:p w14:paraId="09A8D894">
            <w:pPr>
              <w:widowControl w:val="0"/>
              <w:jc w:val="center"/>
              <w:rPr>
                <w:rFonts w:ascii="黑体" w:hAnsi="黑体" w:eastAsia="黑体"/>
                <w:sz w:val="28"/>
                <w:szCs w:val="28"/>
              </w:rPr>
            </w:pPr>
            <w:r>
              <w:rPr>
                <w:rFonts w:hint="eastAsia" w:ascii="仿宋_GB2312" w:hAnsi="仿宋_GB2312" w:eastAsia="仿宋_GB2312" w:cs="仿宋_GB2312"/>
                <w:sz w:val="24"/>
                <w:szCs w:val="24"/>
                <w:lang w:val="en-US" w:eastAsia="zh-CN"/>
              </w:rPr>
              <w:t>4</w:t>
            </w:r>
          </w:p>
        </w:tc>
        <w:tc>
          <w:tcPr>
            <w:tcW w:w="1347" w:type="dxa"/>
            <w:vAlign w:val="center"/>
          </w:tcPr>
          <w:p w14:paraId="1C9118C0">
            <w:pPr>
              <w:numPr>
                <w:ilvl w:val="0"/>
                <w:numId w:val="0"/>
              </w:numPr>
              <w:ind w:left="0" w:leftChars="0" w:firstLine="0" w:firstLineChars="0"/>
              <w:rPr>
                <w:rFonts w:hint="eastAsia" w:ascii="黑体" w:hAnsi="黑体" w:eastAsia="黑体"/>
                <w:b/>
                <w:sz w:val="24"/>
                <w:szCs w:val="24"/>
              </w:rPr>
            </w:pPr>
            <w:r>
              <w:rPr>
                <w:rFonts w:hint="eastAsia" w:ascii="仿宋_GB2312" w:hAnsi="仿宋_GB2312" w:eastAsia="仿宋_GB2312" w:cs="仿宋_GB2312"/>
                <w:color w:val="000000"/>
                <w:kern w:val="0"/>
                <w:sz w:val="20"/>
                <w:lang w:bidi="ar"/>
              </w:rPr>
              <w:t>律所综合实力（</w:t>
            </w:r>
            <w:r>
              <w:rPr>
                <w:rFonts w:hint="eastAsia" w:ascii="仿宋_GB2312" w:hAnsi="仿宋_GB2312" w:eastAsia="仿宋_GB2312" w:cs="仿宋_GB2312"/>
                <w:color w:val="000000"/>
                <w:kern w:val="0"/>
                <w:sz w:val="20"/>
                <w:lang w:val="en-US" w:eastAsia="zh-CN" w:bidi="ar"/>
              </w:rPr>
              <w:t>3</w:t>
            </w:r>
            <w:r>
              <w:rPr>
                <w:rFonts w:hint="eastAsia" w:ascii="仿宋_GB2312" w:hAnsi="仿宋_GB2312" w:eastAsia="仿宋_GB2312" w:cs="仿宋_GB2312"/>
                <w:color w:val="000000"/>
                <w:kern w:val="0"/>
                <w:sz w:val="20"/>
                <w:lang w:bidi="ar"/>
              </w:rPr>
              <w:t>0分）</w:t>
            </w:r>
          </w:p>
        </w:tc>
        <w:tc>
          <w:tcPr>
            <w:tcW w:w="4157" w:type="dxa"/>
            <w:vAlign w:val="center"/>
          </w:tcPr>
          <w:p w14:paraId="3B6F4D53">
            <w:pPr>
              <w:numPr>
                <w:ilvl w:val="0"/>
                <w:numId w:val="7"/>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律所成立年限≥10年得10分，5-9 年得6分，1-4年得2分，不足1年得0分。</w:t>
            </w:r>
          </w:p>
          <w:p w14:paraId="0BDF4884">
            <w:pPr>
              <w:numPr>
                <w:ilvl w:val="0"/>
                <w:numId w:val="7"/>
              </w:num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律所执业律师总人数≥50人得10分，20-49人得6分，20人以下得2分。</w:t>
            </w:r>
          </w:p>
          <w:p w14:paraId="122E270F">
            <w:pPr>
              <w:numPr>
                <w:numId w:val="0"/>
              </w:numPr>
              <w:rPr>
                <w:rFonts w:hint="eastAsia" w:ascii="黑体" w:hAnsi="黑体" w:eastAsia="黑体"/>
                <w:b/>
                <w:sz w:val="24"/>
                <w:szCs w:val="24"/>
              </w:rPr>
            </w:pPr>
            <w:r>
              <w:rPr>
                <w:rFonts w:hint="eastAsia" w:ascii="仿宋_GB2312" w:hAnsi="仿宋_GB2312" w:eastAsia="仿宋_GB2312" w:cs="仿宋_GB2312"/>
                <w:color w:val="000000"/>
                <w:kern w:val="0"/>
                <w:sz w:val="20"/>
                <w:lang w:val="en-US" w:eastAsia="zh-CN" w:bidi="ar"/>
              </w:rPr>
              <w:t>3.截止至投标截止</w:t>
            </w:r>
            <w:r>
              <w:rPr>
                <w:rFonts w:hint="eastAsia" w:ascii="仿宋_GB2312" w:hAnsi="仿宋_GB2312" w:eastAsia="仿宋_GB2312" w:cs="仿宋_GB2312"/>
                <w:color w:val="000000"/>
                <w:kern w:val="0"/>
                <w:sz w:val="20"/>
                <w:lang w:val="en-US" w:eastAsia="zh-CN" w:bidi="ar"/>
              </w:rPr>
              <w:t>日，</w:t>
            </w:r>
            <w:r>
              <w:rPr>
                <w:rFonts w:hint="eastAsia" w:ascii="仿宋_GB2312" w:hAnsi="仿宋_GB2312" w:eastAsia="仿宋_GB2312" w:cs="仿宋_GB2312"/>
                <w:color w:val="000000"/>
                <w:kern w:val="0"/>
                <w:sz w:val="20"/>
                <w:lang w:bidi="ar"/>
              </w:rPr>
              <w:t>近3年获得市级及以上律师协会颁发的优秀律所、诚信律所等荣誉称号得10分，区级荣誉得4分，无得0分。</w:t>
            </w:r>
          </w:p>
        </w:tc>
        <w:tc>
          <w:tcPr>
            <w:tcW w:w="972" w:type="dxa"/>
            <w:vAlign w:val="center"/>
          </w:tcPr>
          <w:p w14:paraId="666D6F2C">
            <w:pPr>
              <w:jc w:val="center"/>
              <w:rPr>
                <w:rFonts w:ascii="黑体" w:hAnsi="黑体" w:eastAsia="黑体"/>
                <w:color w:val="000000"/>
                <w:sz w:val="28"/>
                <w:szCs w:val="28"/>
              </w:rPr>
            </w:pPr>
          </w:p>
        </w:tc>
        <w:tc>
          <w:tcPr>
            <w:tcW w:w="792" w:type="dxa"/>
            <w:vAlign w:val="center"/>
          </w:tcPr>
          <w:p w14:paraId="09682F60">
            <w:pPr>
              <w:jc w:val="center"/>
              <w:rPr>
                <w:rFonts w:ascii="黑体" w:hAnsi="黑体" w:eastAsia="黑体"/>
                <w:sz w:val="28"/>
                <w:szCs w:val="28"/>
              </w:rPr>
            </w:pPr>
          </w:p>
        </w:tc>
        <w:tc>
          <w:tcPr>
            <w:tcW w:w="1008" w:type="dxa"/>
            <w:vAlign w:val="center"/>
          </w:tcPr>
          <w:p w14:paraId="0E5D4DCD">
            <w:pPr>
              <w:jc w:val="center"/>
              <w:rPr>
                <w:rFonts w:ascii="黑体" w:hAnsi="黑体" w:eastAsia="黑体"/>
                <w:sz w:val="28"/>
                <w:szCs w:val="28"/>
              </w:rPr>
            </w:pPr>
          </w:p>
        </w:tc>
      </w:tr>
      <w:tr w14:paraId="4EAA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97" w:type="dxa"/>
            <w:vAlign w:val="center"/>
          </w:tcPr>
          <w:p w14:paraId="0B1FB2C6">
            <w:pPr>
              <w:jc w:val="center"/>
              <w:rPr>
                <w:rFonts w:ascii="黑体" w:hAnsi="黑体" w:eastAsia="黑体"/>
                <w:sz w:val="28"/>
                <w:szCs w:val="28"/>
              </w:rPr>
            </w:pPr>
          </w:p>
        </w:tc>
        <w:tc>
          <w:tcPr>
            <w:tcW w:w="1347" w:type="dxa"/>
            <w:vAlign w:val="center"/>
          </w:tcPr>
          <w:p w14:paraId="294FE66C">
            <w:pPr>
              <w:jc w:val="center"/>
              <w:rPr>
                <w:rFonts w:ascii="黑体" w:hAnsi="黑体" w:eastAsia="黑体"/>
                <w:b/>
                <w:sz w:val="24"/>
                <w:szCs w:val="24"/>
              </w:rPr>
            </w:pPr>
            <w:r>
              <w:rPr>
                <w:rFonts w:hint="eastAsia" w:ascii="黑体" w:hAnsi="黑体" w:eastAsia="黑体"/>
                <w:b/>
                <w:sz w:val="24"/>
                <w:szCs w:val="24"/>
              </w:rPr>
              <w:t>合计分</w:t>
            </w:r>
          </w:p>
        </w:tc>
        <w:tc>
          <w:tcPr>
            <w:tcW w:w="4157" w:type="dxa"/>
            <w:vAlign w:val="center"/>
          </w:tcPr>
          <w:p w14:paraId="32975345">
            <w:pPr>
              <w:widowControl w:val="0"/>
              <w:jc w:val="center"/>
              <w:rPr>
                <w:rStyle w:val="41"/>
                <w:rFonts w:ascii="黑体" w:hAnsi="黑体" w:eastAsia="黑体"/>
                <w:i w:val="0"/>
              </w:rPr>
            </w:pPr>
            <w:r>
              <w:rPr>
                <w:rFonts w:hint="eastAsia" w:ascii="黑体" w:hAnsi="黑体" w:eastAsia="黑体"/>
                <w:b/>
                <w:sz w:val="24"/>
                <w:szCs w:val="24"/>
              </w:rPr>
              <w:t>100</w:t>
            </w:r>
          </w:p>
        </w:tc>
        <w:tc>
          <w:tcPr>
            <w:tcW w:w="972" w:type="dxa"/>
            <w:vAlign w:val="center"/>
          </w:tcPr>
          <w:p w14:paraId="5DC5F146">
            <w:pPr>
              <w:jc w:val="center"/>
              <w:rPr>
                <w:rFonts w:ascii="黑体" w:hAnsi="黑体" w:eastAsia="黑体"/>
                <w:sz w:val="28"/>
                <w:szCs w:val="28"/>
              </w:rPr>
            </w:pPr>
          </w:p>
        </w:tc>
        <w:tc>
          <w:tcPr>
            <w:tcW w:w="792" w:type="dxa"/>
            <w:vAlign w:val="center"/>
          </w:tcPr>
          <w:p w14:paraId="11A61360">
            <w:pPr>
              <w:jc w:val="center"/>
              <w:rPr>
                <w:rFonts w:ascii="黑体" w:hAnsi="黑体" w:eastAsia="黑体"/>
                <w:sz w:val="28"/>
                <w:szCs w:val="28"/>
              </w:rPr>
            </w:pPr>
          </w:p>
        </w:tc>
        <w:tc>
          <w:tcPr>
            <w:tcW w:w="1008" w:type="dxa"/>
            <w:vAlign w:val="center"/>
          </w:tcPr>
          <w:p w14:paraId="265B076C">
            <w:pPr>
              <w:jc w:val="center"/>
              <w:rPr>
                <w:rFonts w:ascii="黑体" w:hAnsi="黑体" w:eastAsia="黑体"/>
                <w:sz w:val="28"/>
                <w:szCs w:val="28"/>
              </w:rPr>
            </w:pPr>
          </w:p>
        </w:tc>
      </w:tr>
      <w:tr w14:paraId="03D1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6301" w:type="dxa"/>
            <w:gridSpan w:val="3"/>
            <w:vAlign w:val="center"/>
          </w:tcPr>
          <w:p w14:paraId="056D1FA3">
            <w:pPr>
              <w:jc w:val="center"/>
              <w:rPr>
                <w:rFonts w:ascii="黑体" w:hAnsi="黑体" w:eastAsia="黑体"/>
                <w:b/>
                <w:sz w:val="24"/>
                <w:szCs w:val="24"/>
              </w:rPr>
            </w:pPr>
            <w:r>
              <w:rPr>
                <w:rFonts w:hint="eastAsia" w:ascii="黑体" w:hAnsi="黑体" w:eastAsia="黑体"/>
                <w:b/>
                <w:sz w:val="24"/>
                <w:szCs w:val="24"/>
              </w:rPr>
              <w:t>综合得分：</w:t>
            </w:r>
          </w:p>
        </w:tc>
        <w:tc>
          <w:tcPr>
            <w:tcW w:w="972" w:type="dxa"/>
            <w:vAlign w:val="center"/>
          </w:tcPr>
          <w:p w14:paraId="0F6213B7">
            <w:pPr>
              <w:jc w:val="center"/>
              <w:rPr>
                <w:rFonts w:ascii="黑体" w:hAnsi="黑体" w:eastAsia="黑体"/>
                <w:sz w:val="28"/>
                <w:szCs w:val="28"/>
              </w:rPr>
            </w:pPr>
            <w:r>
              <w:rPr>
                <w:rFonts w:ascii="黑体" w:hAnsi="黑体" w:eastAsia="黑体"/>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12700</wp:posOffset>
                      </wp:positionV>
                      <wp:extent cx="663575" cy="206375"/>
                      <wp:effectExtent l="1270" t="4445" r="5715" b="17780"/>
                      <wp:wrapNone/>
                      <wp:docPr id="9" name="自选图形 3"/>
                      <wp:cNvGraphicFramePr/>
                      <a:graphic xmlns:a="http://schemas.openxmlformats.org/drawingml/2006/main">
                        <a:graphicData uri="http://schemas.microsoft.com/office/word/2010/wordprocessingShape">
                          <wps:wsp>
                            <wps:cNvCnPr/>
                            <wps:spPr>
                              <a:xfrm>
                                <a:off x="0" y="0"/>
                                <a:ext cx="663575" cy="206375"/>
                              </a:xfrm>
                              <a:prstGeom prst="straightConnector1">
                                <a:avLst/>
                              </a:prstGeom>
                              <a:ln w="6350"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4.85pt;margin-top:1pt;height:16.25pt;width:52.25pt;z-index:251659264;mso-width-relative:page;mso-height-relative:page;" filled="f" stroked="t" coordsize="21600,21600" o:gfxdata="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1aRRhdYAAAAGAQAADwAAAAAAAAABACAAAAAiAAAAZHJzL2Rvd25yZXYueG1sUEsB&#10;AhQAFAAAAAgAh07iQIgQqp73AQAA5wMAAA4AAAAAAAAAAQAgAAAAJQEAAGRycy9lMm9Eb2MueG1s&#10;UEsFBgAAAAAGAAYAWQEAAI4FAAAAAA==&#10;">
                      <v:fill on="f" focussize="0,0"/>
                      <v:stroke weight="0.5pt" color="#000000" joinstyle="round"/>
                      <v:imagedata o:title=""/>
                      <o:lock v:ext="edit" aspectratio="f"/>
                    </v:shape>
                  </w:pict>
                </mc:Fallback>
              </mc:AlternateContent>
            </w:r>
          </w:p>
        </w:tc>
        <w:tc>
          <w:tcPr>
            <w:tcW w:w="792" w:type="dxa"/>
            <w:vAlign w:val="center"/>
          </w:tcPr>
          <w:p w14:paraId="15A9EB31">
            <w:pPr>
              <w:jc w:val="center"/>
              <w:rPr>
                <w:rFonts w:ascii="黑体" w:hAnsi="黑体" w:eastAsia="黑体"/>
                <w:sz w:val="28"/>
                <w:szCs w:val="28"/>
              </w:rPr>
            </w:pPr>
            <w:r>
              <w:rPr>
                <w:rFonts w:ascii="黑体" w:hAnsi="黑体" w:eastAsia="黑体"/>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-58420</wp:posOffset>
                      </wp:positionH>
                      <wp:positionV relativeFrom="paragraph">
                        <wp:posOffset>-635</wp:posOffset>
                      </wp:positionV>
                      <wp:extent cx="508000" cy="215900"/>
                      <wp:effectExtent l="1905" t="4445" r="8255" b="8255"/>
                      <wp:wrapNone/>
                      <wp:docPr id="5" name="自选图形 4"/>
                      <wp:cNvGraphicFramePr/>
                      <a:graphic xmlns:a="http://schemas.openxmlformats.org/drawingml/2006/main">
                        <a:graphicData uri="http://schemas.microsoft.com/office/word/2010/wordprocessingShape">
                          <wps:wsp>
                            <wps:cNvCnPr/>
                            <wps:spPr>
                              <a:xfrm>
                                <a:off x="0" y="0"/>
                                <a:ext cx="508000" cy="215900"/>
                              </a:xfrm>
                              <a:prstGeom prst="straightConnector1">
                                <a:avLst/>
                              </a:prstGeom>
                              <a:ln w="6350"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margin-left:-4.6pt;margin-top:-0.05pt;height:17pt;width:40pt;z-index:251660288;mso-width-relative:page;mso-height-relative:page;" filled="f" stroked="t" coordsize="21600,21600" o:gfxdata="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iJNffVAAAABgEAAA8AAAAAAAAAAQAgAAAAIgAAAGRycy9kb3ducmV2LnhtbFBLAQIU&#10;ABQAAAAIAIdO4kB2dTk39gEAAOcDAAAOAAAAAAAAAAEAIAAAACQBAABkcnMvZTJvRG9jLnhtbFBL&#10;BQYAAAAABgAGAFkBAACMBQAAAAA=&#10;">
                      <v:fill on="f" focussize="0,0"/>
                      <v:stroke weight="0.5pt" color="#000000" joinstyle="round"/>
                      <v:imagedata o:title=""/>
                      <o:lock v:ext="edit" aspectratio="f"/>
                    </v:shape>
                  </w:pict>
                </mc:Fallback>
              </mc:AlternateContent>
            </w:r>
          </w:p>
        </w:tc>
        <w:tc>
          <w:tcPr>
            <w:tcW w:w="1008" w:type="dxa"/>
            <w:vAlign w:val="center"/>
          </w:tcPr>
          <w:p w14:paraId="77CA9933">
            <w:pPr>
              <w:jc w:val="center"/>
              <w:rPr>
                <w:rFonts w:ascii="黑体" w:hAnsi="黑体" w:eastAsia="黑体"/>
                <w:sz w:val="28"/>
                <w:szCs w:val="28"/>
              </w:rPr>
            </w:pPr>
            <w:r>
              <w:rPr>
                <w:rFonts w:ascii="黑体" w:hAns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6985</wp:posOffset>
                      </wp:positionV>
                      <wp:extent cx="610235" cy="223520"/>
                      <wp:effectExtent l="1905" t="4445" r="12700" b="15875"/>
                      <wp:wrapNone/>
                      <wp:docPr id="10" name="自选图形 5"/>
                      <wp:cNvGraphicFramePr/>
                      <a:graphic xmlns:a="http://schemas.openxmlformats.org/drawingml/2006/main">
                        <a:graphicData uri="http://schemas.microsoft.com/office/word/2010/wordprocessingShape">
                          <wps:wsp>
                            <wps:cNvCnPr/>
                            <wps:spPr>
                              <a:xfrm>
                                <a:off x="0" y="0"/>
                                <a:ext cx="610235" cy="223520"/>
                              </a:xfrm>
                              <a:prstGeom prst="straightConnector1">
                                <a:avLst/>
                              </a:prstGeom>
                              <a:ln w="6350"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margin-left:-3.65pt;margin-top:0.55pt;height:17.6pt;width:48.05pt;z-index:251661312;mso-width-relative:page;mso-height-relative:page;" filled="f" stroked="t" coordsize="21600,21600" o:gfxdata="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5CLk1QAAAAYBAAAPAAAAAAAAAAEAIAAAACIAAABkcnMvZG93bnJldi54bWxQSwEC&#10;FAAUAAAACACHTuJAzvu+s/cBAADoAwAADgAAAAAAAAABACAAAAAkAQAAZHJzL2Uyb0RvYy54bWxQ&#10;SwUGAAAAAAYABgBZAQAAjQUAAAAA&#10;">
                      <v:fill on="f" focussize="0,0"/>
                      <v:stroke weight="0.5pt" color="#000000" joinstyle="round"/>
                      <v:imagedata o:title=""/>
                      <o:lock v:ext="edit" aspectratio="f"/>
                    </v:shape>
                  </w:pict>
                </mc:Fallback>
              </mc:AlternateContent>
            </w:r>
          </w:p>
        </w:tc>
      </w:tr>
      <w:tr w14:paraId="13E7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9073" w:type="dxa"/>
            <w:gridSpan w:val="6"/>
            <w:vAlign w:val="center"/>
          </w:tcPr>
          <w:p w14:paraId="3B8FC2D8">
            <w:pPr>
              <w:spacing w:line="360" w:lineRule="auto"/>
              <w:rPr>
                <w:rFonts w:ascii="黑体" w:hAnsi="黑体" w:eastAsia="黑体"/>
                <w:sz w:val="24"/>
                <w:szCs w:val="24"/>
              </w:rPr>
            </w:pPr>
            <w:r>
              <w:rPr>
                <w:rFonts w:hint="eastAsia" w:ascii="黑体" w:hAnsi="黑体" w:eastAsia="黑体"/>
                <w:sz w:val="24"/>
                <w:szCs w:val="24"/>
              </w:rPr>
              <w:t>评标委员会签名：</w:t>
            </w:r>
          </w:p>
          <w:p w14:paraId="219A1950">
            <w:pPr>
              <w:jc w:val="center"/>
              <w:rPr>
                <w:rFonts w:ascii="黑体" w:hAnsi="黑体" w:eastAsia="黑体"/>
                <w:b/>
                <w:sz w:val="24"/>
                <w:szCs w:val="24"/>
              </w:rPr>
            </w:pPr>
          </w:p>
          <w:p w14:paraId="242E08B3">
            <w:pPr>
              <w:jc w:val="right"/>
              <w:rPr>
                <w:rFonts w:ascii="黑体" w:hAnsi="黑体" w:eastAsia="黑体"/>
                <w:sz w:val="24"/>
                <w:szCs w:val="24"/>
              </w:rPr>
            </w:pPr>
            <w:r>
              <w:rPr>
                <w:rFonts w:hint="eastAsia" w:ascii="黑体" w:hAnsi="黑体" w:eastAsia="黑体"/>
                <w:sz w:val="24"/>
                <w:szCs w:val="24"/>
              </w:rPr>
              <w:t>日期：     年   月  日</w:t>
            </w:r>
          </w:p>
        </w:tc>
      </w:tr>
    </w:tbl>
    <w:p w14:paraId="5CBB405B">
      <w:pPr>
        <w:rPr>
          <w:rFonts w:ascii="黑体" w:hAnsi="黑体" w:eastAsia="黑体"/>
          <w:b/>
          <w:bCs/>
          <w:szCs w:val="21"/>
        </w:rPr>
      </w:pPr>
      <w:r>
        <w:rPr>
          <w:rFonts w:hint="eastAsia" w:ascii="黑体" w:hAnsi="黑体" w:eastAsia="黑体"/>
          <w:b/>
          <w:bCs/>
          <w:szCs w:val="21"/>
        </w:rPr>
        <w:t>备注：</w:t>
      </w:r>
    </w:p>
    <w:p w14:paraId="12843AFF">
      <w:pPr>
        <w:adjustRightInd w:val="0"/>
        <w:snapToGrid w:val="0"/>
        <w:spacing w:line="360" w:lineRule="auto"/>
        <w:ind w:firstLine="420" w:firstLineChars="200"/>
        <w:rPr>
          <w:rFonts w:ascii="黑体" w:eastAsia="黑体"/>
          <w:szCs w:val="21"/>
        </w:rPr>
      </w:pPr>
      <w:r>
        <w:rPr>
          <w:rFonts w:hint="eastAsia" w:ascii="黑体" w:eastAsia="黑体"/>
          <w:szCs w:val="21"/>
        </w:rPr>
        <w:t>1.招标人必须明确评审项目的评分标准。</w:t>
      </w:r>
    </w:p>
    <w:p w14:paraId="5568449C">
      <w:pPr>
        <w:adjustRightInd w:val="0"/>
        <w:snapToGrid w:val="0"/>
        <w:spacing w:line="360" w:lineRule="auto"/>
        <w:ind w:firstLine="420" w:firstLineChars="200"/>
        <w:rPr>
          <w:rFonts w:ascii="黑体" w:eastAsia="黑体"/>
          <w:szCs w:val="21"/>
        </w:rPr>
      </w:pPr>
      <w:r>
        <w:rPr>
          <w:rFonts w:hint="eastAsia" w:ascii="黑体" w:eastAsia="黑体"/>
          <w:szCs w:val="21"/>
        </w:rPr>
        <w:t>2.本表评审依据要求的各项证明文件须编入投标文件。</w:t>
      </w:r>
    </w:p>
    <w:p w14:paraId="1C06C931">
      <w:pPr>
        <w:adjustRightInd w:val="0"/>
        <w:snapToGrid w:val="0"/>
        <w:spacing w:line="360" w:lineRule="auto"/>
        <w:ind w:firstLine="420" w:firstLineChars="200"/>
        <w:rPr>
          <w:rFonts w:ascii="黑体" w:eastAsia="黑体"/>
          <w:szCs w:val="21"/>
        </w:rPr>
      </w:pPr>
      <w:r>
        <w:rPr>
          <w:rFonts w:hint="eastAsia" w:ascii="黑体" w:eastAsia="黑体"/>
          <w:szCs w:val="21"/>
        </w:rPr>
        <w:t>3.表中要求提供相关证明文件的内容，投标文件中须明确加以说明并提供，未按要求提供相关文件或说明不清楚或评审委员会无法凭所提供的材料判断是否得分的情况，一律作不得分处理。</w:t>
      </w:r>
    </w:p>
    <w:p w14:paraId="7E567362">
      <w:pPr>
        <w:spacing w:line="360" w:lineRule="auto"/>
        <w:ind w:firstLine="420" w:firstLineChars="200"/>
        <w:jc w:val="center"/>
        <w:rPr>
          <w:rFonts w:ascii="宋体"/>
          <w:szCs w:val="21"/>
        </w:rPr>
        <w:sectPr>
          <w:headerReference r:id="rId10" w:type="default"/>
          <w:footerReference r:id="rId11" w:type="default"/>
          <w:pgSz w:w="12240" w:h="15840"/>
          <w:pgMar w:top="1440" w:right="1797" w:bottom="1440" w:left="1797" w:header="720" w:footer="720" w:gutter="0"/>
          <w:cols w:space="720" w:num="1"/>
        </w:sectPr>
      </w:pPr>
    </w:p>
    <w:bookmarkEnd w:id="63"/>
    <w:bookmarkEnd w:id="64"/>
    <w:p w14:paraId="76B35E1C">
      <w:pPr>
        <w:pStyle w:val="9"/>
        <w:ind w:firstLine="640"/>
        <w:jc w:val="center"/>
        <w:rPr>
          <w:rFonts w:ascii="黑体" w:hAnsi="黑体" w:eastAsia="黑体"/>
          <w:sz w:val="32"/>
          <w:szCs w:val="32"/>
        </w:rPr>
      </w:pPr>
      <w:r>
        <w:rPr>
          <w:rFonts w:hint="eastAsia" w:ascii="黑体" w:hAnsi="黑体" w:eastAsia="黑体"/>
          <w:sz w:val="32"/>
          <w:szCs w:val="32"/>
        </w:rPr>
        <w:t>（四）评分汇总表</w:t>
      </w:r>
    </w:p>
    <w:p w14:paraId="248C3F54">
      <w:pPr>
        <w:spacing w:line="360" w:lineRule="auto"/>
        <w:ind w:firstLine="482" w:firstLineChars="200"/>
        <w:jc w:val="left"/>
        <w:rPr>
          <w:rFonts w:ascii="黑体" w:hAnsi="黑体" w:eastAsia="黑体"/>
          <w:b/>
          <w:sz w:val="36"/>
        </w:rPr>
      </w:pPr>
      <w:r>
        <w:rPr>
          <w:rFonts w:hint="eastAsia" w:ascii="黑体" w:hAnsi="黑体" w:eastAsia="黑体"/>
          <w:b/>
          <w:sz w:val="24"/>
          <w:szCs w:val="24"/>
        </w:rPr>
        <w:t>服务名称：</w:t>
      </w:r>
    </w:p>
    <w:tbl>
      <w:tblPr>
        <w:tblStyle w:val="36"/>
        <w:tblW w:w="1304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544"/>
        <w:gridCol w:w="1134"/>
        <w:gridCol w:w="1134"/>
        <w:gridCol w:w="1134"/>
        <w:gridCol w:w="1134"/>
        <w:gridCol w:w="1134"/>
        <w:gridCol w:w="1276"/>
        <w:gridCol w:w="1843"/>
      </w:tblGrid>
      <w:tr w14:paraId="2EA0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restart"/>
            <w:vAlign w:val="center"/>
          </w:tcPr>
          <w:p w14:paraId="11CEB147">
            <w:pPr>
              <w:jc w:val="center"/>
              <w:rPr>
                <w:rFonts w:ascii="黑体" w:hAnsi="黑体" w:eastAsia="黑体"/>
                <w:b/>
                <w:sz w:val="24"/>
                <w:szCs w:val="24"/>
              </w:rPr>
            </w:pPr>
            <w:r>
              <w:rPr>
                <w:rFonts w:hint="eastAsia" w:ascii="黑体" w:hAnsi="黑体" w:eastAsia="黑体"/>
                <w:b/>
                <w:sz w:val="24"/>
                <w:szCs w:val="24"/>
              </w:rPr>
              <w:t>序号</w:t>
            </w:r>
          </w:p>
        </w:tc>
        <w:tc>
          <w:tcPr>
            <w:tcW w:w="3544" w:type="dxa"/>
            <w:vMerge w:val="restart"/>
            <w:vAlign w:val="center"/>
          </w:tcPr>
          <w:p w14:paraId="3FFB9789">
            <w:pPr>
              <w:jc w:val="center"/>
              <w:rPr>
                <w:rFonts w:ascii="黑体" w:hAnsi="黑体" w:eastAsia="黑体"/>
                <w:b/>
                <w:sz w:val="24"/>
                <w:szCs w:val="24"/>
              </w:rPr>
            </w:pPr>
            <w:r>
              <w:rPr>
                <w:rFonts w:hint="eastAsia" w:ascii="黑体" w:hAnsi="黑体" w:eastAsia="黑体"/>
                <w:b/>
                <w:sz w:val="24"/>
                <w:szCs w:val="24"/>
              </w:rPr>
              <w:t>投标人名称</w:t>
            </w:r>
          </w:p>
        </w:tc>
        <w:tc>
          <w:tcPr>
            <w:tcW w:w="2268" w:type="dxa"/>
            <w:gridSpan w:val="2"/>
            <w:vAlign w:val="center"/>
          </w:tcPr>
          <w:p w14:paraId="193C1F33">
            <w:pPr>
              <w:jc w:val="center"/>
              <w:rPr>
                <w:rFonts w:ascii="黑体" w:hAnsi="黑体" w:eastAsia="黑体"/>
                <w:b/>
                <w:sz w:val="24"/>
                <w:szCs w:val="24"/>
              </w:rPr>
            </w:pPr>
            <w:r>
              <w:rPr>
                <w:rFonts w:hint="eastAsia" w:ascii="黑体" w:hAnsi="黑体" w:eastAsia="黑体"/>
                <w:b/>
                <w:sz w:val="24"/>
                <w:szCs w:val="24"/>
              </w:rPr>
              <w:t>技术标</w:t>
            </w:r>
          </w:p>
        </w:tc>
        <w:tc>
          <w:tcPr>
            <w:tcW w:w="2268" w:type="dxa"/>
            <w:gridSpan w:val="2"/>
            <w:vAlign w:val="center"/>
          </w:tcPr>
          <w:p w14:paraId="05F8EAB1">
            <w:pPr>
              <w:jc w:val="center"/>
              <w:rPr>
                <w:rFonts w:ascii="黑体" w:hAnsi="黑体" w:eastAsia="黑体"/>
                <w:b/>
                <w:sz w:val="24"/>
                <w:szCs w:val="24"/>
              </w:rPr>
            </w:pPr>
            <w:r>
              <w:rPr>
                <w:rFonts w:hint="eastAsia" w:ascii="黑体" w:hAnsi="黑体" w:eastAsia="黑体"/>
                <w:b/>
                <w:sz w:val="24"/>
                <w:szCs w:val="24"/>
              </w:rPr>
              <w:t>商务标</w:t>
            </w:r>
          </w:p>
        </w:tc>
        <w:tc>
          <w:tcPr>
            <w:tcW w:w="2410" w:type="dxa"/>
            <w:gridSpan w:val="2"/>
            <w:vAlign w:val="center"/>
          </w:tcPr>
          <w:p w14:paraId="6E36F1D4">
            <w:pPr>
              <w:jc w:val="center"/>
              <w:rPr>
                <w:rFonts w:ascii="黑体" w:hAnsi="黑体" w:eastAsia="黑体"/>
                <w:b/>
                <w:sz w:val="24"/>
                <w:szCs w:val="24"/>
              </w:rPr>
            </w:pPr>
            <w:r>
              <w:rPr>
                <w:rFonts w:hint="eastAsia" w:ascii="黑体" w:hAnsi="黑体" w:eastAsia="黑体"/>
                <w:b/>
                <w:sz w:val="24"/>
                <w:szCs w:val="24"/>
              </w:rPr>
              <w:t>资信标</w:t>
            </w:r>
          </w:p>
        </w:tc>
        <w:tc>
          <w:tcPr>
            <w:tcW w:w="1843" w:type="dxa"/>
            <w:vAlign w:val="center"/>
          </w:tcPr>
          <w:p w14:paraId="175EDD24">
            <w:pPr>
              <w:jc w:val="center"/>
              <w:rPr>
                <w:rFonts w:ascii="黑体" w:hAnsi="黑体" w:eastAsia="黑体"/>
                <w:b/>
                <w:sz w:val="24"/>
                <w:szCs w:val="24"/>
              </w:rPr>
            </w:pPr>
            <w:r>
              <w:rPr>
                <w:rFonts w:hint="eastAsia" w:ascii="黑体" w:hAnsi="黑体" w:eastAsia="黑体"/>
                <w:b/>
                <w:sz w:val="24"/>
                <w:szCs w:val="24"/>
              </w:rPr>
              <w:t>综合得分</w:t>
            </w:r>
          </w:p>
        </w:tc>
      </w:tr>
      <w:tr w14:paraId="4FA5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continue"/>
            <w:vAlign w:val="center"/>
          </w:tcPr>
          <w:p w14:paraId="594B135B">
            <w:pPr>
              <w:jc w:val="center"/>
              <w:rPr>
                <w:rFonts w:ascii="黑体" w:hAnsi="黑体" w:eastAsia="黑体"/>
                <w:b/>
                <w:sz w:val="24"/>
                <w:szCs w:val="24"/>
              </w:rPr>
            </w:pPr>
          </w:p>
        </w:tc>
        <w:tc>
          <w:tcPr>
            <w:tcW w:w="3544" w:type="dxa"/>
            <w:vMerge w:val="continue"/>
            <w:vAlign w:val="center"/>
          </w:tcPr>
          <w:p w14:paraId="1C628CAB">
            <w:pPr>
              <w:jc w:val="center"/>
              <w:rPr>
                <w:rFonts w:ascii="黑体" w:hAnsi="黑体" w:eastAsia="黑体"/>
                <w:b/>
                <w:sz w:val="24"/>
                <w:szCs w:val="24"/>
              </w:rPr>
            </w:pPr>
          </w:p>
        </w:tc>
        <w:tc>
          <w:tcPr>
            <w:tcW w:w="1134" w:type="dxa"/>
            <w:vAlign w:val="center"/>
          </w:tcPr>
          <w:p w14:paraId="563DA12F">
            <w:pPr>
              <w:jc w:val="center"/>
              <w:rPr>
                <w:rFonts w:ascii="黑体" w:hAnsi="黑体" w:eastAsia="黑体"/>
                <w:b/>
                <w:sz w:val="24"/>
                <w:szCs w:val="24"/>
              </w:rPr>
            </w:pPr>
            <w:r>
              <w:rPr>
                <w:rFonts w:hint="eastAsia" w:ascii="黑体" w:hAnsi="黑体" w:eastAsia="黑体"/>
                <w:b/>
                <w:sz w:val="24"/>
                <w:szCs w:val="24"/>
              </w:rPr>
              <w:t>得分J</w:t>
            </w:r>
          </w:p>
        </w:tc>
        <w:tc>
          <w:tcPr>
            <w:tcW w:w="1134" w:type="dxa"/>
            <w:vAlign w:val="center"/>
          </w:tcPr>
          <w:p w14:paraId="51ABC294">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1</w:t>
            </w:r>
          </w:p>
        </w:tc>
        <w:tc>
          <w:tcPr>
            <w:tcW w:w="1134" w:type="dxa"/>
            <w:vAlign w:val="center"/>
          </w:tcPr>
          <w:p w14:paraId="21CF35F2">
            <w:pPr>
              <w:jc w:val="center"/>
              <w:rPr>
                <w:rFonts w:ascii="黑体" w:hAnsi="黑体" w:eastAsia="黑体"/>
                <w:b/>
                <w:sz w:val="24"/>
                <w:szCs w:val="24"/>
              </w:rPr>
            </w:pPr>
            <w:r>
              <w:rPr>
                <w:rFonts w:hint="eastAsia" w:ascii="黑体" w:hAnsi="黑体" w:eastAsia="黑体"/>
                <w:b/>
                <w:sz w:val="24"/>
                <w:szCs w:val="24"/>
              </w:rPr>
              <w:t>得分S</w:t>
            </w:r>
          </w:p>
        </w:tc>
        <w:tc>
          <w:tcPr>
            <w:tcW w:w="1134" w:type="dxa"/>
            <w:vAlign w:val="center"/>
          </w:tcPr>
          <w:p w14:paraId="38881520">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2</w:t>
            </w:r>
          </w:p>
        </w:tc>
        <w:tc>
          <w:tcPr>
            <w:tcW w:w="1134" w:type="dxa"/>
            <w:vAlign w:val="center"/>
          </w:tcPr>
          <w:p w14:paraId="7F88E974">
            <w:pPr>
              <w:jc w:val="center"/>
              <w:rPr>
                <w:rFonts w:ascii="黑体" w:hAnsi="黑体" w:eastAsia="黑体"/>
                <w:b/>
                <w:sz w:val="24"/>
                <w:szCs w:val="24"/>
              </w:rPr>
            </w:pPr>
            <w:r>
              <w:rPr>
                <w:rFonts w:hint="eastAsia" w:ascii="黑体" w:hAnsi="黑体" w:eastAsia="黑体"/>
                <w:b/>
                <w:sz w:val="24"/>
                <w:szCs w:val="24"/>
              </w:rPr>
              <w:t>得分Z</w:t>
            </w:r>
          </w:p>
        </w:tc>
        <w:tc>
          <w:tcPr>
            <w:tcW w:w="1276" w:type="dxa"/>
            <w:vAlign w:val="center"/>
          </w:tcPr>
          <w:p w14:paraId="763978DE">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3</w:t>
            </w:r>
          </w:p>
        </w:tc>
        <w:tc>
          <w:tcPr>
            <w:tcW w:w="1843" w:type="dxa"/>
            <w:vAlign w:val="center"/>
          </w:tcPr>
          <w:p w14:paraId="1CEE6F4D">
            <w:pPr>
              <w:jc w:val="center"/>
              <w:rPr>
                <w:rFonts w:ascii="黑体" w:hAnsi="黑体" w:eastAsia="黑体"/>
                <w:b/>
                <w:sz w:val="24"/>
                <w:szCs w:val="24"/>
              </w:rPr>
            </w:pPr>
            <w:r>
              <w:rPr>
                <w:rFonts w:hint="eastAsia" w:ascii="黑体" w:hAnsi="黑体" w:eastAsia="黑体"/>
                <w:b/>
                <w:sz w:val="24"/>
                <w:szCs w:val="24"/>
              </w:rPr>
              <w:t>N</w:t>
            </w:r>
          </w:p>
        </w:tc>
      </w:tr>
      <w:tr w14:paraId="7D3D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4E478683">
            <w:pPr>
              <w:widowControl w:val="0"/>
              <w:jc w:val="center"/>
              <w:rPr>
                <w:rFonts w:ascii="黑体" w:hAnsi="黑体" w:eastAsia="黑体"/>
                <w:sz w:val="24"/>
                <w:szCs w:val="24"/>
              </w:rPr>
            </w:pPr>
            <w:r>
              <w:rPr>
                <w:rFonts w:hint="eastAsia" w:ascii="黑体" w:hAnsi="黑体" w:eastAsia="黑体"/>
                <w:sz w:val="24"/>
                <w:szCs w:val="24"/>
              </w:rPr>
              <w:t>1.</w:t>
            </w:r>
          </w:p>
        </w:tc>
        <w:tc>
          <w:tcPr>
            <w:tcW w:w="3544" w:type="dxa"/>
            <w:vAlign w:val="center"/>
          </w:tcPr>
          <w:p w14:paraId="59E62304">
            <w:pPr>
              <w:jc w:val="center"/>
              <w:rPr>
                <w:rFonts w:ascii="黑体" w:hAnsi="黑体" w:eastAsia="黑体"/>
                <w:sz w:val="24"/>
                <w:szCs w:val="24"/>
              </w:rPr>
            </w:pPr>
          </w:p>
        </w:tc>
        <w:tc>
          <w:tcPr>
            <w:tcW w:w="1134" w:type="dxa"/>
          </w:tcPr>
          <w:p w14:paraId="38559E25">
            <w:pPr>
              <w:jc w:val="center"/>
              <w:rPr>
                <w:rFonts w:ascii="黑体" w:hAnsi="黑体" w:eastAsia="黑体"/>
                <w:sz w:val="24"/>
                <w:szCs w:val="24"/>
              </w:rPr>
            </w:pPr>
          </w:p>
        </w:tc>
        <w:tc>
          <w:tcPr>
            <w:tcW w:w="1134" w:type="dxa"/>
          </w:tcPr>
          <w:p w14:paraId="57D2B48A">
            <w:pPr>
              <w:jc w:val="center"/>
              <w:rPr>
                <w:rFonts w:ascii="黑体" w:hAnsi="黑体" w:eastAsia="黑体"/>
                <w:sz w:val="24"/>
                <w:szCs w:val="24"/>
              </w:rPr>
            </w:pPr>
          </w:p>
        </w:tc>
        <w:tc>
          <w:tcPr>
            <w:tcW w:w="1134" w:type="dxa"/>
          </w:tcPr>
          <w:p w14:paraId="7E6403D8">
            <w:pPr>
              <w:jc w:val="center"/>
              <w:rPr>
                <w:rFonts w:ascii="黑体" w:hAnsi="黑体" w:eastAsia="黑体"/>
                <w:sz w:val="24"/>
                <w:szCs w:val="24"/>
              </w:rPr>
            </w:pPr>
          </w:p>
        </w:tc>
        <w:tc>
          <w:tcPr>
            <w:tcW w:w="1134" w:type="dxa"/>
            <w:vAlign w:val="center"/>
          </w:tcPr>
          <w:p w14:paraId="2FFAC0AA">
            <w:pPr>
              <w:jc w:val="center"/>
              <w:rPr>
                <w:rFonts w:ascii="黑体" w:hAnsi="黑体" w:eastAsia="黑体"/>
                <w:sz w:val="24"/>
                <w:szCs w:val="24"/>
              </w:rPr>
            </w:pPr>
          </w:p>
        </w:tc>
        <w:tc>
          <w:tcPr>
            <w:tcW w:w="1134" w:type="dxa"/>
          </w:tcPr>
          <w:p w14:paraId="506D10BE">
            <w:pPr>
              <w:jc w:val="center"/>
              <w:rPr>
                <w:rFonts w:ascii="黑体" w:hAnsi="黑体" w:eastAsia="黑体"/>
                <w:sz w:val="24"/>
                <w:szCs w:val="24"/>
              </w:rPr>
            </w:pPr>
          </w:p>
        </w:tc>
        <w:tc>
          <w:tcPr>
            <w:tcW w:w="1276" w:type="dxa"/>
            <w:vAlign w:val="center"/>
          </w:tcPr>
          <w:p w14:paraId="561E9199">
            <w:pPr>
              <w:jc w:val="center"/>
              <w:rPr>
                <w:rFonts w:ascii="黑体" w:hAnsi="黑体" w:eastAsia="黑体"/>
                <w:sz w:val="24"/>
                <w:szCs w:val="24"/>
              </w:rPr>
            </w:pPr>
          </w:p>
        </w:tc>
        <w:tc>
          <w:tcPr>
            <w:tcW w:w="1843" w:type="dxa"/>
            <w:vAlign w:val="center"/>
          </w:tcPr>
          <w:p w14:paraId="539B602F">
            <w:pPr>
              <w:jc w:val="center"/>
              <w:rPr>
                <w:rFonts w:ascii="黑体" w:hAnsi="黑体" w:eastAsia="黑体"/>
                <w:sz w:val="24"/>
                <w:szCs w:val="24"/>
              </w:rPr>
            </w:pPr>
          </w:p>
        </w:tc>
      </w:tr>
      <w:tr w14:paraId="1C8B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2F693119">
            <w:pPr>
              <w:widowControl w:val="0"/>
              <w:jc w:val="center"/>
              <w:rPr>
                <w:rFonts w:ascii="黑体" w:hAnsi="黑体" w:eastAsia="黑体"/>
                <w:sz w:val="24"/>
                <w:szCs w:val="24"/>
              </w:rPr>
            </w:pPr>
          </w:p>
        </w:tc>
        <w:tc>
          <w:tcPr>
            <w:tcW w:w="3544" w:type="dxa"/>
            <w:vAlign w:val="center"/>
          </w:tcPr>
          <w:p w14:paraId="7CF6DCA0">
            <w:pPr>
              <w:jc w:val="center"/>
              <w:rPr>
                <w:rFonts w:ascii="黑体" w:hAnsi="黑体" w:eastAsia="黑体"/>
                <w:sz w:val="24"/>
                <w:szCs w:val="24"/>
              </w:rPr>
            </w:pPr>
          </w:p>
        </w:tc>
        <w:tc>
          <w:tcPr>
            <w:tcW w:w="1134" w:type="dxa"/>
          </w:tcPr>
          <w:p w14:paraId="6B8C5D13">
            <w:pPr>
              <w:jc w:val="center"/>
              <w:rPr>
                <w:rFonts w:ascii="黑体" w:hAnsi="黑体" w:eastAsia="黑体"/>
                <w:sz w:val="24"/>
                <w:szCs w:val="24"/>
              </w:rPr>
            </w:pPr>
          </w:p>
        </w:tc>
        <w:tc>
          <w:tcPr>
            <w:tcW w:w="1134" w:type="dxa"/>
          </w:tcPr>
          <w:p w14:paraId="7FD46445">
            <w:pPr>
              <w:jc w:val="center"/>
              <w:rPr>
                <w:rFonts w:ascii="黑体" w:hAnsi="黑体" w:eastAsia="黑体"/>
                <w:sz w:val="24"/>
                <w:szCs w:val="24"/>
              </w:rPr>
            </w:pPr>
          </w:p>
        </w:tc>
        <w:tc>
          <w:tcPr>
            <w:tcW w:w="1134" w:type="dxa"/>
          </w:tcPr>
          <w:p w14:paraId="54989439">
            <w:pPr>
              <w:jc w:val="center"/>
              <w:rPr>
                <w:rFonts w:ascii="黑体" w:hAnsi="黑体" w:eastAsia="黑体"/>
                <w:sz w:val="24"/>
                <w:szCs w:val="24"/>
              </w:rPr>
            </w:pPr>
          </w:p>
        </w:tc>
        <w:tc>
          <w:tcPr>
            <w:tcW w:w="1134" w:type="dxa"/>
            <w:vAlign w:val="center"/>
          </w:tcPr>
          <w:p w14:paraId="5DC2D5E7">
            <w:pPr>
              <w:jc w:val="center"/>
              <w:rPr>
                <w:rFonts w:ascii="黑体" w:hAnsi="黑体" w:eastAsia="黑体"/>
                <w:sz w:val="24"/>
                <w:szCs w:val="24"/>
              </w:rPr>
            </w:pPr>
          </w:p>
        </w:tc>
        <w:tc>
          <w:tcPr>
            <w:tcW w:w="1134" w:type="dxa"/>
          </w:tcPr>
          <w:p w14:paraId="1E386823">
            <w:pPr>
              <w:jc w:val="center"/>
              <w:rPr>
                <w:rFonts w:ascii="黑体" w:hAnsi="黑体" w:eastAsia="黑体"/>
                <w:sz w:val="24"/>
                <w:szCs w:val="24"/>
              </w:rPr>
            </w:pPr>
          </w:p>
        </w:tc>
        <w:tc>
          <w:tcPr>
            <w:tcW w:w="1276" w:type="dxa"/>
            <w:vAlign w:val="center"/>
          </w:tcPr>
          <w:p w14:paraId="74FAFD9E">
            <w:pPr>
              <w:jc w:val="center"/>
              <w:rPr>
                <w:rFonts w:ascii="黑体" w:hAnsi="黑体" w:eastAsia="黑体"/>
                <w:sz w:val="24"/>
                <w:szCs w:val="24"/>
              </w:rPr>
            </w:pPr>
          </w:p>
        </w:tc>
        <w:tc>
          <w:tcPr>
            <w:tcW w:w="1843" w:type="dxa"/>
            <w:vAlign w:val="center"/>
          </w:tcPr>
          <w:p w14:paraId="501BCC2E">
            <w:pPr>
              <w:jc w:val="center"/>
              <w:rPr>
                <w:rFonts w:ascii="黑体" w:hAnsi="黑体" w:eastAsia="黑体"/>
                <w:sz w:val="24"/>
                <w:szCs w:val="24"/>
              </w:rPr>
            </w:pPr>
          </w:p>
        </w:tc>
      </w:tr>
      <w:tr w14:paraId="734A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04298EEC">
            <w:pPr>
              <w:widowControl w:val="0"/>
              <w:jc w:val="center"/>
              <w:rPr>
                <w:rFonts w:ascii="黑体" w:hAnsi="黑体" w:eastAsia="黑体"/>
                <w:sz w:val="24"/>
                <w:szCs w:val="24"/>
              </w:rPr>
            </w:pPr>
          </w:p>
        </w:tc>
        <w:tc>
          <w:tcPr>
            <w:tcW w:w="3544" w:type="dxa"/>
            <w:vAlign w:val="center"/>
          </w:tcPr>
          <w:p w14:paraId="14DA6D48">
            <w:pPr>
              <w:jc w:val="center"/>
              <w:rPr>
                <w:rFonts w:ascii="黑体" w:hAnsi="黑体" w:eastAsia="黑体"/>
                <w:sz w:val="24"/>
                <w:szCs w:val="24"/>
              </w:rPr>
            </w:pPr>
          </w:p>
        </w:tc>
        <w:tc>
          <w:tcPr>
            <w:tcW w:w="1134" w:type="dxa"/>
          </w:tcPr>
          <w:p w14:paraId="192CDDF5">
            <w:pPr>
              <w:jc w:val="center"/>
              <w:rPr>
                <w:rFonts w:ascii="黑体" w:hAnsi="黑体" w:eastAsia="黑体"/>
                <w:sz w:val="24"/>
                <w:szCs w:val="24"/>
              </w:rPr>
            </w:pPr>
          </w:p>
        </w:tc>
        <w:tc>
          <w:tcPr>
            <w:tcW w:w="1134" w:type="dxa"/>
          </w:tcPr>
          <w:p w14:paraId="6858F6A0">
            <w:pPr>
              <w:jc w:val="center"/>
              <w:rPr>
                <w:rFonts w:ascii="黑体" w:hAnsi="黑体" w:eastAsia="黑体"/>
                <w:sz w:val="24"/>
                <w:szCs w:val="24"/>
              </w:rPr>
            </w:pPr>
          </w:p>
        </w:tc>
        <w:tc>
          <w:tcPr>
            <w:tcW w:w="1134" w:type="dxa"/>
          </w:tcPr>
          <w:p w14:paraId="018ECA1D">
            <w:pPr>
              <w:jc w:val="center"/>
              <w:rPr>
                <w:rFonts w:ascii="黑体" w:hAnsi="黑体" w:eastAsia="黑体"/>
                <w:sz w:val="24"/>
                <w:szCs w:val="24"/>
              </w:rPr>
            </w:pPr>
          </w:p>
        </w:tc>
        <w:tc>
          <w:tcPr>
            <w:tcW w:w="1134" w:type="dxa"/>
            <w:vAlign w:val="center"/>
          </w:tcPr>
          <w:p w14:paraId="0BC56710">
            <w:pPr>
              <w:jc w:val="center"/>
              <w:rPr>
                <w:rFonts w:ascii="黑体" w:hAnsi="黑体" w:eastAsia="黑体"/>
                <w:sz w:val="24"/>
                <w:szCs w:val="24"/>
              </w:rPr>
            </w:pPr>
          </w:p>
        </w:tc>
        <w:tc>
          <w:tcPr>
            <w:tcW w:w="1134" w:type="dxa"/>
          </w:tcPr>
          <w:p w14:paraId="7D625D29">
            <w:pPr>
              <w:jc w:val="center"/>
              <w:rPr>
                <w:rFonts w:ascii="黑体" w:hAnsi="黑体" w:eastAsia="黑体"/>
                <w:sz w:val="24"/>
                <w:szCs w:val="24"/>
              </w:rPr>
            </w:pPr>
          </w:p>
        </w:tc>
        <w:tc>
          <w:tcPr>
            <w:tcW w:w="1276" w:type="dxa"/>
            <w:vAlign w:val="center"/>
          </w:tcPr>
          <w:p w14:paraId="466C9CAD">
            <w:pPr>
              <w:jc w:val="center"/>
              <w:rPr>
                <w:rFonts w:ascii="黑体" w:hAnsi="黑体" w:eastAsia="黑体"/>
                <w:sz w:val="24"/>
                <w:szCs w:val="24"/>
              </w:rPr>
            </w:pPr>
          </w:p>
        </w:tc>
        <w:tc>
          <w:tcPr>
            <w:tcW w:w="1843" w:type="dxa"/>
            <w:vAlign w:val="center"/>
          </w:tcPr>
          <w:p w14:paraId="1000003A">
            <w:pPr>
              <w:jc w:val="center"/>
              <w:rPr>
                <w:rFonts w:ascii="黑体" w:hAnsi="黑体" w:eastAsia="黑体"/>
                <w:sz w:val="24"/>
                <w:szCs w:val="24"/>
              </w:rPr>
            </w:pPr>
          </w:p>
        </w:tc>
      </w:tr>
      <w:tr w14:paraId="0B95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394D12B4">
            <w:pPr>
              <w:widowControl w:val="0"/>
              <w:jc w:val="center"/>
              <w:rPr>
                <w:rFonts w:ascii="黑体" w:hAnsi="黑体" w:eastAsia="黑体"/>
                <w:sz w:val="24"/>
                <w:szCs w:val="24"/>
              </w:rPr>
            </w:pPr>
          </w:p>
        </w:tc>
        <w:tc>
          <w:tcPr>
            <w:tcW w:w="3544" w:type="dxa"/>
            <w:vAlign w:val="center"/>
          </w:tcPr>
          <w:p w14:paraId="4B6DD554">
            <w:pPr>
              <w:jc w:val="center"/>
              <w:rPr>
                <w:rFonts w:ascii="黑体" w:hAnsi="黑体" w:eastAsia="黑体"/>
                <w:sz w:val="24"/>
                <w:szCs w:val="24"/>
              </w:rPr>
            </w:pPr>
          </w:p>
        </w:tc>
        <w:tc>
          <w:tcPr>
            <w:tcW w:w="1134" w:type="dxa"/>
          </w:tcPr>
          <w:p w14:paraId="6F6D0168">
            <w:pPr>
              <w:jc w:val="center"/>
              <w:rPr>
                <w:rFonts w:ascii="黑体" w:hAnsi="黑体" w:eastAsia="黑体"/>
                <w:sz w:val="24"/>
                <w:szCs w:val="24"/>
              </w:rPr>
            </w:pPr>
          </w:p>
        </w:tc>
        <w:tc>
          <w:tcPr>
            <w:tcW w:w="1134" w:type="dxa"/>
          </w:tcPr>
          <w:p w14:paraId="26EB0783">
            <w:pPr>
              <w:jc w:val="center"/>
              <w:rPr>
                <w:rFonts w:ascii="黑体" w:hAnsi="黑体" w:eastAsia="黑体"/>
                <w:sz w:val="24"/>
                <w:szCs w:val="24"/>
              </w:rPr>
            </w:pPr>
          </w:p>
        </w:tc>
        <w:tc>
          <w:tcPr>
            <w:tcW w:w="1134" w:type="dxa"/>
          </w:tcPr>
          <w:p w14:paraId="5E4298AD">
            <w:pPr>
              <w:jc w:val="center"/>
              <w:rPr>
                <w:rFonts w:ascii="黑体" w:hAnsi="黑体" w:eastAsia="黑体"/>
                <w:sz w:val="24"/>
                <w:szCs w:val="24"/>
              </w:rPr>
            </w:pPr>
          </w:p>
        </w:tc>
        <w:tc>
          <w:tcPr>
            <w:tcW w:w="1134" w:type="dxa"/>
            <w:vAlign w:val="center"/>
          </w:tcPr>
          <w:p w14:paraId="7C39B488">
            <w:pPr>
              <w:jc w:val="center"/>
              <w:rPr>
                <w:rFonts w:ascii="黑体" w:hAnsi="黑体" w:eastAsia="黑体"/>
                <w:sz w:val="24"/>
                <w:szCs w:val="24"/>
              </w:rPr>
            </w:pPr>
          </w:p>
        </w:tc>
        <w:tc>
          <w:tcPr>
            <w:tcW w:w="1134" w:type="dxa"/>
          </w:tcPr>
          <w:p w14:paraId="692A5BE1">
            <w:pPr>
              <w:jc w:val="center"/>
              <w:rPr>
                <w:rFonts w:ascii="黑体" w:hAnsi="黑体" w:eastAsia="黑体"/>
                <w:sz w:val="24"/>
                <w:szCs w:val="24"/>
              </w:rPr>
            </w:pPr>
          </w:p>
        </w:tc>
        <w:tc>
          <w:tcPr>
            <w:tcW w:w="1276" w:type="dxa"/>
            <w:vAlign w:val="center"/>
          </w:tcPr>
          <w:p w14:paraId="3D0020F3">
            <w:pPr>
              <w:jc w:val="center"/>
              <w:rPr>
                <w:rFonts w:ascii="黑体" w:hAnsi="黑体" w:eastAsia="黑体"/>
                <w:sz w:val="24"/>
                <w:szCs w:val="24"/>
              </w:rPr>
            </w:pPr>
          </w:p>
        </w:tc>
        <w:tc>
          <w:tcPr>
            <w:tcW w:w="1843" w:type="dxa"/>
            <w:vAlign w:val="center"/>
          </w:tcPr>
          <w:p w14:paraId="33E0BFCE">
            <w:pPr>
              <w:jc w:val="center"/>
              <w:rPr>
                <w:rFonts w:ascii="黑体" w:hAnsi="黑体" w:eastAsia="黑体"/>
                <w:sz w:val="24"/>
                <w:szCs w:val="24"/>
              </w:rPr>
            </w:pPr>
          </w:p>
        </w:tc>
      </w:tr>
      <w:tr w14:paraId="269A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42B8887B">
            <w:pPr>
              <w:widowControl w:val="0"/>
              <w:jc w:val="center"/>
              <w:rPr>
                <w:rFonts w:ascii="黑体" w:hAnsi="黑体" w:eastAsia="黑体"/>
                <w:sz w:val="24"/>
                <w:szCs w:val="24"/>
              </w:rPr>
            </w:pPr>
          </w:p>
        </w:tc>
        <w:tc>
          <w:tcPr>
            <w:tcW w:w="3544" w:type="dxa"/>
            <w:vAlign w:val="center"/>
          </w:tcPr>
          <w:p w14:paraId="69B88D25">
            <w:pPr>
              <w:jc w:val="center"/>
              <w:rPr>
                <w:rFonts w:ascii="黑体" w:hAnsi="黑体" w:eastAsia="黑体"/>
                <w:sz w:val="24"/>
                <w:szCs w:val="24"/>
              </w:rPr>
            </w:pPr>
          </w:p>
        </w:tc>
        <w:tc>
          <w:tcPr>
            <w:tcW w:w="1134" w:type="dxa"/>
          </w:tcPr>
          <w:p w14:paraId="3BCC1E04">
            <w:pPr>
              <w:jc w:val="center"/>
              <w:rPr>
                <w:rFonts w:ascii="黑体" w:hAnsi="黑体" w:eastAsia="黑体"/>
                <w:sz w:val="24"/>
                <w:szCs w:val="24"/>
              </w:rPr>
            </w:pPr>
          </w:p>
        </w:tc>
        <w:tc>
          <w:tcPr>
            <w:tcW w:w="1134" w:type="dxa"/>
          </w:tcPr>
          <w:p w14:paraId="51FF163D">
            <w:pPr>
              <w:jc w:val="center"/>
              <w:rPr>
                <w:rFonts w:ascii="黑体" w:hAnsi="黑体" w:eastAsia="黑体"/>
                <w:sz w:val="24"/>
                <w:szCs w:val="24"/>
              </w:rPr>
            </w:pPr>
          </w:p>
        </w:tc>
        <w:tc>
          <w:tcPr>
            <w:tcW w:w="1134" w:type="dxa"/>
          </w:tcPr>
          <w:p w14:paraId="6BF8F228">
            <w:pPr>
              <w:jc w:val="center"/>
              <w:rPr>
                <w:rFonts w:ascii="黑体" w:hAnsi="黑体" w:eastAsia="黑体"/>
                <w:sz w:val="24"/>
                <w:szCs w:val="24"/>
              </w:rPr>
            </w:pPr>
          </w:p>
        </w:tc>
        <w:tc>
          <w:tcPr>
            <w:tcW w:w="1134" w:type="dxa"/>
            <w:vAlign w:val="center"/>
          </w:tcPr>
          <w:p w14:paraId="05BA0BCA">
            <w:pPr>
              <w:jc w:val="center"/>
              <w:rPr>
                <w:rFonts w:ascii="黑体" w:hAnsi="黑体" w:eastAsia="黑体"/>
                <w:sz w:val="24"/>
                <w:szCs w:val="24"/>
              </w:rPr>
            </w:pPr>
          </w:p>
        </w:tc>
        <w:tc>
          <w:tcPr>
            <w:tcW w:w="1134" w:type="dxa"/>
          </w:tcPr>
          <w:p w14:paraId="69273D88">
            <w:pPr>
              <w:jc w:val="center"/>
              <w:rPr>
                <w:rFonts w:ascii="黑体" w:hAnsi="黑体" w:eastAsia="黑体"/>
                <w:sz w:val="24"/>
                <w:szCs w:val="24"/>
              </w:rPr>
            </w:pPr>
          </w:p>
        </w:tc>
        <w:tc>
          <w:tcPr>
            <w:tcW w:w="1276" w:type="dxa"/>
            <w:vAlign w:val="center"/>
          </w:tcPr>
          <w:p w14:paraId="1AC86CB9">
            <w:pPr>
              <w:jc w:val="center"/>
              <w:rPr>
                <w:rFonts w:ascii="黑体" w:hAnsi="黑体" w:eastAsia="黑体"/>
                <w:sz w:val="24"/>
                <w:szCs w:val="24"/>
              </w:rPr>
            </w:pPr>
          </w:p>
        </w:tc>
        <w:tc>
          <w:tcPr>
            <w:tcW w:w="1843" w:type="dxa"/>
            <w:vAlign w:val="center"/>
          </w:tcPr>
          <w:p w14:paraId="6285505B">
            <w:pPr>
              <w:jc w:val="center"/>
              <w:rPr>
                <w:rFonts w:ascii="黑体" w:hAnsi="黑体" w:eastAsia="黑体"/>
                <w:sz w:val="24"/>
                <w:szCs w:val="24"/>
              </w:rPr>
            </w:pPr>
          </w:p>
        </w:tc>
      </w:tr>
      <w:tr w14:paraId="1B115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3AF6D644">
            <w:pPr>
              <w:widowControl w:val="0"/>
              <w:jc w:val="center"/>
              <w:rPr>
                <w:rFonts w:ascii="黑体" w:hAnsi="黑体" w:eastAsia="黑体"/>
                <w:sz w:val="24"/>
                <w:szCs w:val="24"/>
              </w:rPr>
            </w:pPr>
          </w:p>
        </w:tc>
        <w:tc>
          <w:tcPr>
            <w:tcW w:w="3544" w:type="dxa"/>
            <w:vAlign w:val="center"/>
          </w:tcPr>
          <w:p w14:paraId="75F2BF40">
            <w:pPr>
              <w:jc w:val="center"/>
              <w:rPr>
                <w:rFonts w:ascii="黑体" w:hAnsi="黑体" w:eastAsia="黑体"/>
                <w:sz w:val="24"/>
                <w:szCs w:val="24"/>
              </w:rPr>
            </w:pPr>
          </w:p>
        </w:tc>
        <w:tc>
          <w:tcPr>
            <w:tcW w:w="1134" w:type="dxa"/>
          </w:tcPr>
          <w:p w14:paraId="44B09875">
            <w:pPr>
              <w:jc w:val="center"/>
              <w:rPr>
                <w:rFonts w:ascii="黑体" w:hAnsi="黑体" w:eastAsia="黑体"/>
                <w:sz w:val="24"/>
                <w:szCs w:val="24"/>
              </w:rPr>
            </w:pPr>
          </w:p>
        </w:tc>
        <w:tc>
          <w:tcPr>
            <w:tcW w:w="1134" w:type="dxa"/>
          </w:tcPr>
          <w:p w14:paraId="43E33E97">
            <w:pPr>
              <w:jc w:val="center"/>
              <w:rPr>
                <w:rFonts w:ascii="黑体" w:hAnsi="黑体" w:eastAsia="黑体"/>
                <w:sz w:val="24"/>
                <w:szCs w:val="24"/>
              </w:rPr>
            </w:pPr>
          </w:p>
        </w:tc>
        <w:tc>
          <w:tcPr>
            <w:tcW w:w="1134" w:type="dxa"/>
          </w:tcPr>
          <w:p w14:paraId="35BC2270">
            <w:pPr>
              <w:jc w:val="center"/>
              <w:rPr>
                <w:rFonts w:ascii="黑体" w:hAnsi="黑体" w:eastAsia="黑体"/>
                <w:sz w:val="24"/>
                <w:szCs w:val="24"/>
              </w:rPr>
            </w:pPr>
          </w:p>
        </w:tc>
        <w:tc>
          <w:tcPr>
            <w:tcW w:w="1134" w:type="dxa"/>
            <w:vAlign w:val="center"/>
          </w:tcPr>
          <w:p w14:paraId="69AC3F9F">
            <w:pPr>
              <w:jc w:val="center"/>
              <w:rPr>
                <w:rFonts w:ascii="黑体" w:hAnsi="黑体" w:eastAsia="黑体"/>
                <w:sz w:val="24"/>
                <w:szCs w:val="24"/>
              </w:rPr>
            </w:pPr>
          </w:p>
        </w:tc>
        <w:tc>
          <w:tcPr>
            <w:tcW w:w="1134" w:type="dxa"/>
          </w:tcPr>
          <w:p w14:paraId="22EB4DAF">
            <w:pPr>
              <w:jc w:val="center"/>
              <w:rPr>
                <w:rFonts w:ascii="黑体" w:hAnsi="黑体" w:eastAsia="黑体"/>
                <w:sz w:val="24"/>
                <w:szCs w:val="24"/>
              </w:rPr>
            </w:pPr>
          </w:p>
        </w:tc>
        <w:tc>
          <w:tcPr>
            <w:tcW w:w="1276" w:type="dxa"/>
            <w:vAlign w:val="center"/>
          </w:tcPr>
          <w:p w14:paraId="6DA40E3A">
            <w:pPr>
              <w:jc w:val="center"/>
              <w:rPr>
                <w:rFonts w:ascii="黑体" w:hAnsi="黑体" w:eastAsia="黑体"/>
                <w:sz w:val="24"/>
                <w:szCs w:val="24"/>
              </w:rPr>
            </w:pPr>
          </w:p>
        </w:tc>
        <w:tc>
          <w:tcPr>
            <w:tcW w:w="1843" w:type="dxa"/>
            <w:vAlign w:val="center"/>
          </w:tcPr>
          <w:p w14:paraId="3E9E4353">
            <w:pPr>
              <w:jc w:val="center"/>
              <w:rPr>
                <w:rFonts w:ascii="黑体" w:hAnsi="黑体" w:eastAsia="黑体"/>
                <w:sz w:val="24"/>
                <w:szCs w:val="24"/>
              </w:rPr>
            </w:pPr>
          </w:p>
        </w:tc>
      </w:tr>
      <w:tr w14:paraId="1317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exact"/>
        </w:trPr>
        <w:tc>
          <w:tcPr>
            <w:tcW w:w="13042" w:type="dxa"/>
            <w:gridSpan w:val="9"/>
            <w:vAlign w:val="center"/>
          </w:tcPr>
          <w:p w14:paraId="5B9068EE">
            <w:pPr>
              <w:spacing w:line="360" w:lineRule="auto"/>
              <w:rPr>
                <w:rFonts w:ascii="黑体" w:hAnsi="黑体" w:eastAsia="黑体"/>
                <w:sz w:val="24"/>
                <w:szCs w:val="24"/>
              </w:rPr>
            </w:pPr>
            <w:r>
              <w:rPr>
                <w:rFonts w:hint="eastAsia" w:ascii="黑体" w:hAnsi="黑体" w:eastAsia="黑体"/>
                <w:sz w:val="24"/>
                <w:szCs w:val="24"/>
              </w:rPr>
              <w:t>评标委员会签名：</w:t>
            </w:r>
          </w:p>
          <w:p w14:paraId="1F63B6E5">
            <w:pPr>
              <w:jc w:val="center"/>
              <w:rPr>
                <w:rFonts w:ascii="黑体" w:hAnsi="黑体" w:eastAsia="黑体"/>
                <w:b/>
                <w:sz w:val="24"/>
                <w:szCs w:val="24"/>
              </w:rPr>
            </w:pPr>
          </w:p>
          <w:p w14:paraId="670034F6">
            <w:pPr>
              <w:jc w:val="right"/>
              <w:rPr>
                <w:rFonts w:ascii="黑体" w:hAnsi="黑体" w:eastAsia="黑体"/>
                <w:sz w:val="24"/>
                <w:szCs w:val="24"/>
              </w:rPr>
            </w:pPr>
            <w:r>
              <w:rPr>
                <w:rFonts w:hint="eastAsia" w:ascii="黑体" w:hAnsi="黑体" w:eastAsia="黑体"/>
                <w:sz w:val="24"/>
                <w:szCs w:val="24"/>
              </w:rPr>
              <w:t>日期：     年   月  日</w:t>
            </w:r>
          </w:p>
        </w:tc>
      </w:tr>
    </w:tbl>
    <w:p w14:paraId="6D225DF6">
      <w:pPr>
        <w:adjustRightInd w:val="0"/>
        <w:snapToGrid w:val="0"/>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备注：</w:t>
      </w:r>
    </w:p>
    <w:p w14:paraId="7C530D6B">
      <w:pPr>
        <w:adjustRightInd w:val="0"/>
        <w:snapToGrid w:val="0"/>
        <w:spacing w:line="360" w:lineRule="auto"/>
        <w:ind w:firstLine="420" w:firstLineChars="200"/>
        <w:rPr>
          <w:rFonts w:ascii="黑体" w:eastAsia="黑体"/>
          <w:szCs w:val="21"/>
        </w:rPr>
      </w:pPr>
      <w:r>
        <w:rPr>
          <w:rFonts w:hint="eastAsia" w:ascii="黑体" w:eastAsia="黑体"/>
          <w:szCs w:val="21"/>
        </w:rPr>
        <w:t>1.本项目采用的评标方法为：</w:t>
      </w:r>
      <w:r>
        <w:rPr>
          <w:rFonts w:hint="eastAsia" w:ascii="黑体" w:eastAsia="黑体"/>
          <w:szCs w:val="21"/>
          <w:u w:val="single"/>
        </w:rPr>
        <w:t xml:space="preserve">            </w:t>
      </w:r>
      <w:r>
        <w:rPr>
          <w:rFonts w:hint="eastAsia" w:ascii="黑体" w:eastAsia="黑体"/>
          <w:szCs w:val="21"/>
        </w:rPr>
        <w:t>。</w:t>
      </w:r>
    </w:p>
    <w:p w14:paraId="39FB0EFD">
      <w:pPr>
        <w:adjustRightInd w:val="0"/>
        <w:snapToGrid w:val="0"/>
        <w:spacing w:line="360" w:lineRule="auto"/>
        <w:ind w:firstLine="420" w:firstLineChars="200"/>
        <w:rPr>
          <w:rFonts w:ascii="宋体" w:hAnsi="宋体"/>
          <w:b/>
          <w:sz w:val="24"/>
        </w:rPr>
        <w:sectPr>
          <w:pgSz w:w="15840" w:h="12240" w:orient="landscape"/>
          <w:pgMar w:top="1797" w:right="1440" w:bottom="1797" w:left="1440" w:header="720" w:footer="720" w:gutter="0"/>
          <w:cols w:space="720" w:num="1"/>
        </w:sectPr>
      </w:pPr>
      <w:r>
        <w:rPr>
          <w:rFonts w:hint="eastAsia" w:ascii="黑体" w:eastAsia="黑体"/>
          <w:szCs w:val="21"/>
        </w:rPr>
        <w:t>2.综合得分N=</w:t>
      </w:r>
      <w:r>
        <w:rPr>
          <w:rFonts w:hint="eastAsia" w:ascii="黑体" w:eastAsia="黑体"/>
          <w:szCs w:val="21"/>
          <w:u w:val="single"/>
        </w:rPr>
        <w:t xml:space="preserve">                          </w:t>
      </w:r>
      <w:r>
        <w:rPr>
          <w:rFonts w:hint="eastAsia" w:ascii="黑体" w:eastAsia="黑体"/>
          <w:szCs w:val="21"/>
        </w:rPr>
        <w:t>。</w:t>
      </w:r>
    </w:p>
    <w:p w14:paraId="23960F61">
      <w:pPr>
        <w:pStyle w:val="9"/>
        <w:ind w:firstLine="640"/>
        <w:jc w:val="center"/>
        <w:rPr>
          <w:rFonts w:ascii="黑体" w:hAnsi="黑体" w:eastAsia="黑体"/>
          <w:sz w:val="32"/>
          <w:szCs w:val="32"/>
        </w:rPr>
      </w:pPr>
    </w:p>
    <w:p w14:paraId="0BA4CDA2">
      <w:pPr>
        <w:pStyle w:val="9"/>
        <w:ind w:firstLine="640"/>
        <w:jc w:val="center"/>
        <w:rPr>
          <w:rFonts w:ascii="黑体" w:hAnsi="黑体" w:eastAsia="黑体"/>
          <w:sz w:val="32"/>
          <w:szCs w:val="32"/>
        </w:rPr>
      </w:pPr>
      <w:r>
        <w:rPr>
          <w:rFonts w:hint="eastAsia" w:ascii="黑体" w:hAnsi="黑体" w:eastAsia="黑体"/>
          <w:sz w:val="32"/>
          <w:szCs w:val="32"/>
        </w:rPr>
        <w:t>四、其他开评标表格</w:t>
      </w:r>
    </w:p>
    <w:p w14:paraId="5CDE4D50">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开标情况记录表</w:t>
      </w:r>
    </w:p>
    <w:p w14:paraId="5FF08E82">
      <w:pPr>
        <w:spacing w:line="360" w:lineRule="auto"/>
        <w:ind w:firstLine="480" w:firstLineChars="200"/>
        <w:jc w:val="left"/>
        <w:rPr>
          <w:rFonts w:ascii="仿宋_GB2312" w:hAnsi="仿宋_GB2312" w:eastAsia="仿宋_GB2312" w:cs="仿宋_GB2312"/>
          <w:sz w:val="36"/>
          <w:u w:val="single"/>
        </w:rPr>
      </w:pPr>
      <w:r>
        <w:rPr>
          <w:rFonts w:hint="eastAsia" w:ascii="仿宋_GB2312" w:hAnsi="仿宋_GB2312" w:eastAsia="仿宋_GB2312" w:cs="仿宋_GB2312"/>
          <w:sz w:val="24"/>
          <w:szCs w:val="24"/>
        </w:rPr>
        <w:t>服务名称：</w:t>
      </w:r>
      <w:r>
        <w:rPr>
          <w:rFonts w:hint="eastAsia" w:ascii="仿宋_GB2312" w:hAnsi="仿宋_GB2312" w:eastAsia="仿宋_GB2312" w:cs="仿宋_GB2312"/>
          <w:sz w:val="24"/>
          <w:szCs w:val="24"/>
          <w:u w:val="single"/>
        </w:rPr>
        <w:t xml:space="preserve">                                   </w:t>
      </w: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995"/>
        <w:gridCol w:w="1477"/>
        <w:gridCol w:w="1477"/>
        <w:gridCol w:w="1477"/>
        <w:gridCol w:w="1477"/>
      </w:tblGrid>
      <w:tr w14:paraId="3CBB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4661D169">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995" w:type="dxa"/>
            <w:vAlign w:val="center"/>
          </w:tcPr>
          <w:p w14:paraId="6D5CECAD">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投标人名称</w:t>
            </w:r>
          </w:p>
        </w:tc>
        <w:tc>
          <w:tcPr>
            <w:tcW w:w="1477" w:type="dxa"/>
            <w:vAlign w:val="center"/>
          </w:tcPr>
          <w:p w14:paraId="38DAF4D5">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投标人报价</w:t>
            </w:r>
          </w:p>
        </w:tc>
        <w:tc>
          <w:tcPr>
            <w:tcW w:w="1477" w:type="dxa"/>
            <w:vAlign w:val="center"/>
          </w:tcPr>
          <w:p w14:paraId="31B24DFE">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服务期限（天）</w:t>
            </w:r>
          </w:p>
        </w:tc>
        <w:tc>
          <w:tcPr>
            <w:tcW w:w="1477" w:type="dxa"/>
            <w:vAlign w:val="center"/>
          </w:tcPr>
          <w:p w14:paraId="02BA1CB8">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投标人确认</w:t>
            </w:r>
          </w:p>
        </w:tc>
        <w:tc>
          <w:tcPr>
            <w:tcW w:w="1477" w:type="dxa"/>
            <w:vAlign w:val="center"/>
          </w:tcPr>
          <w:p w14:paraId="34FC665F">
            <w:pPr>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14:paraId="1310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17DAF4B0">
            <w:pPr>
              <w:spacing w:line="360" w:lineRule="auto"/>
              <w:jc w:val="center"/>
              <w:rPr>
                <w:rFonts w:ascii="黑体" w:hAnsi="黑体" w:eastAsia="黑体"/>
                <w:b/>
                <w:color w:val="000000"/>
                <w:sz w:val="24"/>
                <w:szCs w:val="24"/>
              </w:rPr>
            </w:pPr>
          </w:p>
        </w:tc>
        <w:tc>
          <w:tcPr>
            <w:tcW w:w="1995" w:type="dxa"/>
            <w:vAlign w:val="center"/>
          </w:tcPr>
          <w:p w14:paraId="07383AF3">
            <w:pPr>
              <w:spacing w:line="360" w:lineRule="auto"/>
              <w:jc w:val="center"/>
              <w:rPr>
                <w:rFonts w:ascii="黑体" w:hAnsi="黑体" w:eastAsia="黑体"/>
                <w:b/>
                <w:color w:val="000000"/>
                <w:sz w:val="24"/>
                <w:szCs w:val="24"/>
              </w:rPr>
            </w:pPr>
          </w:p>
        </w:tc>
        <w:tc>
          <w:tcPr>
            <w:tcW w:w="1477" w:type="dxa"/>
            <w:vAlign w:val="center"/>
          </w:tcPr>
          <w:p w14:paraId="18614C12">
            <w:pPr>
              <w:spacing w:line="360" w:lineRule="auto"/>
              <w:jc w:val="center"/>
              <w:rPr>
                <w:rFonts w:ascii="黑体" w:hAnsi="黑体" w:eastAsia="黑体"/>
                <w:b/>
                <w:color w:val="000000"/>
                <w:sz w:val="24"/>
                <w:szCs w:val="24"/>
              </w:rPr>
            </w:pPr>
          </w:p>
        </w:tc>
        <w:tc>
          <w:tcPr>
            <w:tcW w:w="1477" w:type="dxa"/>
            <w:vAlign w:val="center"/>
          </w:tcPr>
          <w:p w14:paraId="68D87898">
            <w:pPr>
              <w:spacing w:line="360" w:lineRule="auto"/>
              <w:jc w:val="center"/>
              <w:rPr>
                <w:rFonts w:ascii="黑体" w:hAnsi="黑体" w:eastAsia="黑体"/>
                <w:b/>
                <w:color w:val="000000"/>
                <w:sz w:val="24"/>
                <w:szCs w:val="24"/>
              </w:rPr>
            </w:pPr>
          </w:p>
        </w:tc>
        <w:tc>
          <w:tcPr>
            <w:tcW w:w="1477" w:type="dxa"/>
            <w:vAlign w:val="center"/>
          </w:tcPr>
          <w:p w14:paraId="1C156C86">
            <w:pPr>
              <w:spacing w:line="360" w:lineRule="auto"/>
              <w:jc w:val="center"/>
              <w:rPr>
                <w:rFonts w:ascii="黑体" w:hAnsi="黑体" w:eastAsia="黑体"/>
                <w:b/>
                <w:color w:val="000000"/>
                <w:sz w:val="24"/>
                <w:szCs w:val="24"/>
              </w:rPr>
            </w:pPr>
          </w:p>
        </w:tc>
        <w:tc>
          <w:tcPr>
            <w:tcW w:w="1477" w:type="dxa"/>
            <w:vAlign w:val="center"/>
          </w:tcPr>
          <w:p w14:paraId="3A93138D">
            <w:pPr>
              <w:spacing w:line="360" w:lineRule="auto"/>
              <w:jc w:val="center"/>
              <w:rPr>
                <w:rFonts w:ascii="黑体" w:hAnsi="黑体" w:eastAsia="黑体"/>
                <w:b/>
                <w:color w:val="000000"/>
                <w:sz w:val="24"/>
                <w:szCs w:val="24"/>
              </w:rPr>
            </w:pPr>
          </w:p>
        </w:tc>
      </w:tr>
      <w:tr w14:paraId="36A6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4139C1DE">
            <w:pPr>
              <w:spacing w:line="360" w:lineRule="auto"/>
              <w:jc w:val="center"/>
              <w:rPr>
                <w:rFonts w:ascii="黑体" w:hAnsi="黑体" w:eastAsia="黑体"/>
                <w:b/>
                <w:sz w:val="24"/>
                <w:szCs w:val="24"/>
              </w:rPr>
            </w:pPr>
          </w:p>
        </w:tc>
        <w:tc>
          <w:tcPr>
            <w:tcW w:w="1995" w:type="dxa"/>
            <w:vAlign w:val="center"/>
          </w:tcPr>
          <w:p w14:paraId="5AF65938">
            <w:pPr>
              <w:spacing w:line="360" w:lineRule="auto"/>
              <w:jc w:val="center"/>
              <w:rPr>
                <w:rFonts w:ascii="黑体" w:hAnsi="黑体" w:eastAsia="黑体"/>
                <w:b/>
                <w:sz w:val="24"/>
                <w:szCs w:val="24"/>
              </w:rPr>
            </w:pPr>
          </w:p>
        </w:tc>
        <w:tc>
          <w:tcPr>
            <w:tcW w:w="1477" w:type="dxa"/>
            <w:vAlign w:val="center"/>
          </w:tcPr>
          <w:p w14:paraId="7D91C4FB">
            <w:pPr>
              <w:spacing w:line="360" w:lineRule="auto"/>
              <w:jc w:val="center"/>
              <w:rPr>
                <w:rFonts w:ascii="黑体" w:hAnsi="黑体" w:eastAsia="黑体"/>
                <w:b/>
                <w:sz w:val="24"/>
                <w:szCs w:val="24"/>
              </w:rPr>
            </w:pPr>
          </w:p>
        </w:tc>
        <w:tc>
          <w:tcPr>
            <w:tcW w:w="1477" w:type="dxa"/>
            <w:vAlign w:val="center"/>
          </w:tcPr>
          <w:p w14:paraId="44D77839">
            <w:pPr>
              <w:spacing w:line="360" w:lineRule="auto"/>
              <w:jc w:val="center"/>
              <w:rPr>
                <w:rFonts w:ascii="黑体" w:hAnsi="黑体" w:eastAsia="黑体"/>
                <w:b/>
                <w:sz w:val="24"/>
                <w:szCs w:val="24"/>
              </w:rPr>
            </w:pPr>
          </w:p>
        </w:tc>
        <w:tc>
          <w:tcPr>
            <w:tcW w:w="1477" w:type="dxa"/>
            <w:vAlign w:val="center"/>
          </w:tcPr>
          <w:p w14:paraId="62A92FE5">
            <w:pPr>
              <w:spacing w:line="360" w:lineRule="auto"/>
              <w:jc w:val="center"/>
              <w:rPr>
                <w:rFonts w:ascii="黑体" w:hAnsi="黑体" w:eastAsia="黑体"/>
                <w:b/>
                <w:sz w:val="24"/>
                <w:szCs w:val="24"/>
              </w:rPr>
            </w:pPr>
          </w:p>
        </w:tc>
        <w:tc>
          <w:tcPr>
            <w:tcW w:w="1477" w:type="dxa"/>
            <w:vAlign w:val="center"/>
          </w:tcPr>
          <w:p w14:paraId="60954935">
            <w:pPr>
              <w:spacing w:line="360" w:lineRule="auto"/>
              <w:jc w:val="center"/>
              <w:rPr>
                <w:rFonts w:ascii="黑体" w:hAnsi="黑体" w:eastAsia="黑体"/>
                <w:b/>
                <w:sz w:val="24"/>
                <w:szCs w:val="24"/>
              </w:rPr>
            </w:pPr>
          </w:p>
        </w:tc>
      </w:tr>
      <w:tr w14:paraId="5FFC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2F0D6EDA">
            <w:pPr>
              <w:spacing w:line="360" w:lineRule="auto"/>
              <w:jc w:val="center"/>
              <w:rPr>
                <w:rFonts w:ascii="黑体" w:hAnsi="黑体" w:eastAsia="黑体"/>
                <w:b/>
                <w:sz w:val="24"/>
                <w:szCs w:val="24"/>
              </w:rPr>
            </w:pPr>
          </w:p>
        </w:tc>
        <w:tc>
          <w:tcPr>
            <w:tcW w:w="1995" w:type="dxa"/>
            <w:vAlign w:val="center"/>
          </w:tcPr>
          <w:p w14:paraId="2FFEC596">
            <w:pPr>
              <w:spacing w:line="360" w:lineRule="auto"/>
              <w:jc w:val="center"/>
              <w:rPr>
                <w:rFonts w:ascii="黑体" w:hAnsi="黑体" w:eastAsia="黑体"/>
                <w:b/>
                <w:sz w:val="24"/>
                <w:szCs w:val="24"/>
              </w:rPr>
            </w:pPr>
          </w:p>
        </w:tc>
        <w:tc>
          <w:tcPr>
            <w:tcW w:w="1477" w:type="dxa"/>
            <w:vAlign w:val="center"/>
          </w:tcPr>
          <w:p w14:paraId="772D9DCB">
            <w:pPr>
              <w:spacing w:line="360" w:lineRule="auto"/>
              <w:jc w:val="center"/>
              <w:rPr>
                <w:rFonts w:ascii="黑体" w:hAnsi="黑体" w:eastAsia="黑体"/>
                <w:b/>
                <w:sz w:val="24"/>
                <w:szCs w:val="24"/>
              </w:rPr>
            </w:pPr>
          </w:p>
        </w:tc>
        <w:tc>
          <w:tcPr>
            <w:tcW w:w="1477" w:type="dxa"/>
            <w:vAlign w:val="center"/>
          </w:tcPr>
          <w:p w14:paraId="2CAF58C4">
            <w:pPr>
              <w:spacing w:line="360" w:lineRule="auto"/>
              <w:jc w:val="center"/>
              <w:rPr>
                <w:rFonts w:ascii="黑体" w:hAnsi="黑体" w:eastAsia="黑体"/>
                <w:b/>
                <w:sz w:val="24"/>
                <w:szCs w:val="24"/>
              </w:rPr>
            </w:pPr>
          </w:p>
        </w:tc>
        <w:tc>
          <w:tcPr>
            <w:tcW w:w="1477" w:type="dxa"/>
            <w:vAlign w:val="center"/>
          </w:tcPr>
          <w:p w14:paraId="3C7312FE">
            <w:pPr>
              <w:spacing w:line="360" w:lineRule="auto"/>
              <w:jc w:val="center"/>
              <w:rPr>
                <w:rFonts w:ascii="黑体" w:hAnsi="黑体" w:eastAsia="黑体"/>
                <w:b/>
                <w:sz w:val="24"/>
                <w:szCs w:val="24"/>
              </w:rPr>
            </w:pPr>
          </w:p>
        </w:tc>
        <w:tc>
          <w:tcPr>
            <w:tcW w:w="1477" w:type="dxa"/>
            <w:vAlign w:val="center"/>
          </w:tcPr>
          <w:p w14:paraId="288E27DE">
            <w:pPr>
              <w:spacing w:line="360" w:lineRule="auto"/>
              <w:jc w:val="center"/>
              <w:rPr>
                <w:rFonts w:ascii="黑体" w:hAnsi="黑体" w:eastAsia="黑体"/>
                <w:b/>
                <w:sz w:val="24"/>
                <w:szCs w:val="24"/>
              </w:rPr>
            </w:pPr>
          </w:p>
        </w:tc>
      </w:tr>
      <w:tr w14:paraId="2F1A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422DED42">
            <w:pPr>
              <w:spacing w:line="360" w:lineRule="auto"/>
              <w:jc w:val="center"/>
              <w:rPr>
                <w:rFonts w:ascii="黑体" w:hAnsi="黑体" w:eastAsia="黑体"/>
                <w:b/>
                <w:sz w:val="24"/>
                <w:szCs w:val="24"/>
              </w:rPr>
            </w:pPr>
          </w:p>
        </w:tc>
        <w:tc>
          <w:tcPr>
            <w:tcW w:w="1995" w:type="dxa"/>
            <w:vAlign w:val="center"/>
          </w:tcPr>
          <w:p w14:paraId="03545E95">
            <w:pPr>
              <w:spacing w:line="360" w:lineRule="auto"/>
              <w:jc w:val="center"/>
              <w:rPr>
                <w:rFonts w:ascii="黑体" w:hAnsi="黑体" w:eastAsia="黑体"/>
                <w:b/>
                <w:sz w:val="24"/>
                <w:szCs w:val="24"/>
              </w:rPr>
            </w:pPr>
          </w:p>
        </w:tc>
        <w:tc>
          <w:tcPr>
            <w:tcW w:w="1477" w:type="dxa"/>
            <w:vAlign w:val="center"/>
          </w:tcPr>
          <w:p w14:paraId="49792B5A">
            <w:pPr>
              <w:spacing w:line="360" w:lineRule="auto"/>
              <w:jc w:val="center"/>
              <w:rPr>
                <w:rFonts w:ascii="黑体" w:hAnsi="黑体" w:eastAsia="黑体"/>
                <w:b/>
                <w:sz w:val="24"/>
                <w:szCs w:val="24"/>
              </w:rPr>
            </w:pPr>
          </w:p>
        </w:tc>
        <w:tc>
          <w:tcPr>
            <w:tcW w:w="1477" w:type="dxa"/>
            <w:vAlign w:val="center"/>
          </w:tcPr>
          <w:p w14:paraId="3F6F2D1A">
            <w:pPr>
              <w:spacing w:line="360" w:lineRule="auto"/>
              <w:jc w:val="center"/>
              <w:rPr>
                <w:rFonts w:ascii="黑体" w:hAnsi="黑体" w:eastAsia="黑体"/>
                <w:b/>
                <w:sz w:val="24"/>
                <w:szCs w:val="24"/>
              </w:rPr>
            </w:pPr>
          </w:p>
        </w:tc>
        <w:tc>
          <w:tcPr>
            <w:tcW w:w="1477" w:type="dxa"/>
            <w:vAlign w:val="center"/>
          </w:tcPr>
          <w:p w14:paraId="643CF68D">
            <w:pPr>
              <w:spacing w:line="360" w:lineRule="auto"/>
              <w:jc w:val="center"/>
              <w:rPr>
                <w:rFonts w:ascii="黑体" w:hAnsi="黑体" w:eastAsia="黑体"/>
                <w:b/>
                <w:sz w:val="24"/>
                <w:szCs w:val="24"/>
              </w:rPr>
            </w:pPr>
          </w:p>
        </w:tc>
        <w:tc>
          <w:tcPr>
            <w:tcW w:w="1477" w:type="dxa"/>
            <w:vAlign w:val="center"/>
          </w:tcPr>
          <w:p w14:paraId="5A716334">
            <w:pPr>
              <w:spacing w:line="360" w:lineRule="auto"/>
              <w:jc w:val="center"/>
              <w:rPr>
                <w:rFonts w:ascii="黑体" w:hAnsi="黑体" w:eastAsia="黑体"/>
                <w:b/>
                <w:sz w:val="24"/>
                <w:szCs w:val="24"/>
              </w:rPr>
            </w:pPr>
          </w:p>
        </w:tc>
      </w:tr>
      <w:tr w14:paraId="5767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05A0FEAC">
            <w:pPr>
              <w:spacing w:line="360" w:lineRule="auto"/>
              <w:jc w:val="center"/>
              <w:rPr>
                <w:rFonts w:ascii="黑体" w:hAnsi="黑体" w:eastAsia="黑体"/>
                <w:b/>
                <w:sz w:val="24"/>
                <w:szCs w:val="24"/>
              </w:rPr>
            </w:pPr>
          </w:p>
        </w:tc>
        <w:tc>
          <w:tcPr>
            <w:tcW w:w="1995" w:type="dxa"/>
            <w:vAlign w:val="center"/>
          </w:tcPr>
          <w:p w14:paraId="3917A043">
            <w:pPr>
              <w:spacing w:line="360" w:lineRule="auto"/>
              <w:jc w:val="center"/>
              <w:rPr>
                <w:rFonts w:ascii="黑体" w:hAnsi="黑体" w:eastAsia="黑体"/>
                <w:b/>
                <w:sz w:val="24"/>
                <w:szCs w:val="24"/>
              </w:rPr>
            </w:pPr>
          </w:p>
        </w:tc>
        <w:tc>
          <w:tcPr>
            <w:tcW w:w="1477" w:type="dxa"/>
            <w:vAlign w:val="center"/>
          </w:tcPr>
          <w:p w14:paraId="56A45A90">
            <w:pPr>
              <w:spacing w:line="360" w:lineRule="auto"/>
              <w:jc w:val="center"/>
              <w:rPr>
                <w:rFonts w:ascii="黑体" w:hAnsi="黑体" w:eastAsia="黑体"/>
                <w:b/>
                <w:sz w:val="24"/>
                <w:szCs w:val="24"/>
              </w:rPr>
            </w:pPr>
          </w:p>
        </w:tc>
        <w:tc>
          <w:tcPr>
            <w:tcW w:w="1477" w:type="dxa"/>
            <w:vAlign w:val="center"/>
          </w:tcPr>
          <w:p w14:paraId="752B88A7">
            <w:pPr>
              <w:spacing w:line="360" w:lineRule="auto"/>
              <w:jc w:val="center"/>
              <w:rPr>
                <w:rFonts w:ascii="黑体" w:hAnsi="黑体" w:eastAsia="黑体"/>
                <w:b/>
                <w:sz w:val="24"/>
                <w:szCs w:val="24"/>
              </w:rPr>
            </w:pPr>
          </w:p>
        </w:tc>
        <w:tc>
          <w:tcPr>
            <w:tcW w:w="1477" w:type="dxa"/>
            <w:vAlign w:val="center"/>
          </w:tcPr>
          <w:p w14:paraId="1D2C74E5">
            <w:pPr>
              <w:spacing w:line="360" w:lineRule="auto"/>
              <w:jc w:val="center"/>
              <w:rPr>
                <w:rFonts w:ascii="黑体" w:hAnsi="黑体" w:eastAsia="黑体"/>
                <w:b/>
                <w:sz w:val="24"/>
                <w:szCs w:val="24"/>
              </w:rPr>
            </w:pPr>
          </w:p>
        </w:tc>
        <w:tc>
          <w:tcPr>
            <w:tcW w:w="1477" w:type="dxa"/>
            <w:vAlign w:val="center"/>
          </w:tcPr>
          <w:p w14:paraId="3C2E062F">
            <w:pPr>
              <w:spacing w:line="360" w:lineRule="auto"/>
              <w:jc w:val="center"/>
              <w:rPr>
                <w:rFonts w:ascii="黑体" w:hAnsi="黑体" w:eastAsia="黑体"/>
                <w:b/>
                <w:sz w:val="24"/>
                <w:szCs w:val="24"/>
              </w:rPr>
            </w:pPr>
          </w:p>
        </w:tc>
      </w:tr>
      <w:tr w14:paraId="4908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51081971">
            <w:pPr>
              <w:spacing w:line="360" w:lineRule="auto"/>
              <w:jc w:val="center"/>
              <w:rPr>
                <w:rFonts w:ascii="黑体" w:hAnsi="黑体" w:eastAsia="黑体"/>
                <w:b/>
                <w:sz w:val="24"/>
                <w:szCs w:val="24"/>
              </w:rPr>
            </w:pPr>
          </w:p>
        </w:tc>
        <w:tc>
          <w:tcPr>
            <w:tcW w:w="1995" w:type="dxa"/>
            <w:vAlign w:val="center"/>
          </w:tcPr>
          <w:p w14:paraId="0093FB47">
            <w:pPr>
              <w:spacing w:line="360" w:lineRule="auto"/>
              <w:jc w:val="center"/>
              <w:rPr>
                <w:rFonts w:ascii="黑体" w:hAnsi="黑体" w:eastAsia="黑体"/>
                <w:b/>
                <w:sz w:val="24"/>
                <w:szCs w:val="24"/>
              </w:rPr>
            </w:pPr>
          </w:p>
        </w:tc>
        <w:tc>
          <w:tcPr>
            <w:tcW w:w="1477" w:type="dxa"/>
            <w:vAlign w:val="center"/>
          </w:tcPr>
          <w:p w14:paraId="41FABE11">
            <w:pPr>
              <w:spacing w:line="360" w:lineRule="auto"/>
              <w:jc w:val="center"/>
              <w:rPr>
                <w:rFonts w:ascii="黑体" w:hAnsi="黑体" w:eastAsia="黑体"/>
                <w:b/>
                <w:sz w:val="24"/>
                <w:szCs w:val="24"/>
              </w:rPr>
            </w:pPr>
          </w:p>
        </w:tc>
        <w:tc>
          <w:tcPr>
            <w:tcW w:w="1477" w:type="dxa"/>
            <w:vAlign w:val="center"/>
          </w:tcPr>
          <w:p w14:paraId="4326B3FA">
            <w:pPr>
              <w:spacing w:line="360" w:lineRule="auto"/>
              <w:jc w:val="center"/>
              <w:rPr>
                <w:rFonts w:ascii="黑体" w:hAnsi="黑体" w:eastAsia="黑体"/>
                <w:b/>
                <w:sz w:val="24"/>
                <w:szCs w:val="24"/>
              </w:rPr>
            </w:pPr>
          </w:p>
        </w:tc>
        <w:tc>
          <w:tcPr>
            <w:tcW w:w="1477" w:type="dxa"/>
            <w:vAlign w:val="center"/>
          </w:tcPr>
          <w:p w14:paraId="2CC6ED8D">
            <w:pPr>
              <w:spacing w:line="360" w:lineRule="auto"/>
              <w:jc w:val="center"/>
              <w:rPr>
                <w:rFonts w:ascii="黑体" w:hAnsi="黑体" w:eastAsia="黑体"/>
                <w:b/>
                <w:sz w:val="24"/>
                <w:szCs w:val="24"/>
              </w:rPr>
            </w:pPr>
          </w:p>
        </w:tc>
        <w:tc>
          <w:tcPr>
            <w:tcW w:w="1477" w:type="dxa"/>
            <w:vAlign w:val="center"/>
          </w:tcPr>
          <w:p w14:paraId="6502670E">
            <w:pPr>
              <w:spacing w:line="360" w:lineRule="auto"/>
              <w:jc w:val="center"/>
              <w:rPr>
                <w:rFonts w:ascii="黑体" w:hAnsi="黑体" w:eastAsia="黑体"/>
                <w:b/>
                <w:sz w:val="24"/>
                <w:szCs w:val="24"/>
              </w:rPr>
            </w:pPr>
          </w:p>
        </w:tc>
      </w:tr>
      <w:tr w14:paraId="2F31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68ABFF35">
            <w:pPr>
              <w:spacing w:line="360" w:lineRule="auto"/>
              <w:jc w:val="center"/>
              <w:rPr>
                <w:rFonts w:ascii="黑体" w:hAnsi="黑体" w:eastAsia="黑体"/>
                <w:b/>
                <w:sz w:val="24"/>
                <w:szCs w:val="24"/>
              </w:rPr>
            </w:pPr>
          </w:p>
        </w:tc>
        <w:tc>
          <w:tcPr>
            <w:tcW w:w="1995" w:type="dxa"/>
            <w:vAlign w:val="center"/>
          </w:tcPr>
          <w:p w14:paraId="4254E5E0">
            <w:pPr>
              <w:spacing w:line="360" w:lineRule="auto"/>
              <w:jc w:val="center"/>
              <w:rPr>
                <w:rFonts w:ascii="黑体" w:hAnsi="黑体" w:eastAsia="黑体"/>
                <w:b/>
                <w:sz w:val="24"/>
                <w:szCs w:val="24"/>
              </w:rPr>
            </w:pPr>
          </w:p>
        </w:tc>
        <w:tc>
          <w:tcPr>
            <w:tcW w:w="1477" w:type="dxa"/>
            <w:vAlign w:val="center"/>
          </w:tcPr>
          <w:p w14:paraId="0C240054">
            <w:pPr>
              <w:spacing w:line="360" w:lineRule="auto"/>
              <w:jc w:val="center"/>
              <w:rPr>
                <w:rFonts w:ascii="黑体" w:hAnsi="黑体" w:eastAsia="黑体"/>
                <w:b/>
                <w:sz w:val="24"/>
                <w:szCs w:val="24"/>
              </w:rPr>
            </w:pPr>
          </w:p>
        </w:tc>
        <w:tc>
          <w:tcPr>
            <w:tcW w:w="1477" w:type="dxa"/>
            <w:vAlign w:val="center"/>
          </w:tcPr>
          <w:p w14:paraId="6E7D2CB3">
            <w:pPr>
              <w:spacing w:line="360" w:lineRule="auto"/>
              <w:jc w:val="center"/>
              <w:rPr>
                <w:rFonts w:ascii="黑体" w:hAnsi="黑体" w:eastAsia="黑体"/>
                <w:b/>
                <w:sz w:val="24"/>
                <w:szCs w:val="24"/>
              </w:rPr>
            </w:pPr>
          </w:p>
        </w:tc>
        <w:tc>
          <w:tcPr>
            <w:tcW w:w="1477" w:type="dxa"/>
            <w:vAlign w:val="center"/>
          </w:tcPr>
          <w:p w14:paraId="2EE3F390">
            <w:pPr>
              <w:spacing w:line="360" w:lineRule="auto"/>
              <w:jc w:val="center"/>
              <w:rPr>
                <w:rFonts w:ascii="黑体" w:hAnsi="黑体" w:eastAsia="黑体"/>
                <w:b/>
                <w:sz w:val="24"/>
                <w:szCs w:val="24"/>
              </w:rPr>
            </w:pPr>
          </w:p>
        </w:tc>
        <w:tc>
          <w:tcPr>
            <w:tcW w:w="1477" w:type="dxa"/>
            <w:vAlign w:val="center"/>
          </w:tcPr>
          <w:p w14:paraId="75BF15A0">
            <w:pPr>
              <w:spacing w:line="360" w:lineRule="auto"/>
              <w:jc w:val="center"/>
              <w:rPr>
                <w:rFonts w:ascii="黑体" w:hAnsi="黑体" w:eastAsia="黑体"/>
                <w:b/>
                <w:sz w:val="24"/>
                <w:szCs w:val="24"/>
              </w:rPr>
            </w:pPr>
          </w:p>
        </w:tc>
      </w:tr>
      <w:tr w14:paraId="47B5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2BA86D0D">
            <w:pPr>
              <w:spacing w:line="360" w:lineRule="auto"/>
              <w:jc w:val="center"/>
              <w:rPr>
                <w:rFonts w:ascii="黑体" w:hAnsi="黑体" w:eastAsia="黑体"/>
                <w:b/>
                <w:sz w:val="24"/>
                <w:szCs w:val="24"/>
              </w:rPr>
            </w:pPr>
          </w:p>
        </w:tc>
        <w:tc>
          <w:tcPr>
            <w:tcW w:w="1995" w:type="dxa"/>
            <w:vAlign w:val="center"/>
          </w:tcPr>
          <w:p w14:paraId="39168A44">
            <w:pPr>
              <w:spacing w:line="360" w:lineRule="auto"/>
              <w:jc w:val="center"/>
              <w:rPr>
                <w:rFonts w:ascii="黑体" w:hAnsi="黑体" w:eastAsia="黑体"/>
                <w:b/>
                <w:sz w:val="24"/>
                <w:szCs w:val="24"/>
              </w:rPr>
            </w:pPr>
          </w:p>
        </w:tc>
        <w:tc>
          <w:tcPr>
            <w:tcW w:w="1477" w:type="dxa"/>
            <w:vAlign w:val="center"/>
          </w:tcPr>
          <w:p w14:paraId="20E35F29">
            <w:pPr>
              <w:spacing w:line="360" w:lineRule="auto"/>
              <w:jc w:val="center"/>
              <w:rPr>
                <w:rFonts w:ascii="黑体" w:hAnsi="黑体" w:eastAsia="黑体"/>
                <w:b/>
                <w:sz w:val="24"/>
                <w:szCs w:val="24"/>
              </w:rPr>
            </w:pPr>
          </w:p>
        </w:tc>
        <w:tc>
          <w:tcPr>
            <w:tcW w:w="1477" w:type="dxa"/>
            <w:vAlign w:val="center"/>
          </w:tcPr>
          <w:p w14:paraId="3CF28047">
            <w:pPr>
              <w:spacing w:line="360" w:lineRule="auto"/>
              <w:jc w:val="center"/>
              <w:rPr>
                <w:rFonts w:ascii="黑体" w:hAnsi="黑体" w:eastAsia="黑体"/>
                <w:b/>
                <w:sz w:val="24"/>
                <w:szCs w:val="24"/>
              </w:rPr>
            </w:pPr>
          </w:p>
        </w:tc>
        <w:tc>
          <w:tcPr>
            <w:tcW w:w="1477" w:type="dxa"/>
            <w:vAlign w:val="center"/>
          </w:tcPr>
          <w:p w14:paraId="77A8B09A">
            <w:pPr>
              <w:spacing w:line="360" w:lineRule="auto"/>
              <w:jc w:val="center"/>
              <w:rPr>
                <w:rFonts w:ascii="黑体" w:hAnsi="黑体" w:eastAsia="黑体"/>
                <w:b/>
                <w:sz w:val="24"/>
                <w:szCs w:val="24"/>
              </w:rPr>
            </w:pPr>
          </w:p>
        </w:tc>
        <w:tc>
          <w:tcPr>
            <w:tcW w:w="1477" w:type="dxa"/>
            <w:vAlign w:val="center"/>
          </w:tcPr>
          <w:p w14:paraId="1AFEF984">
            <w:pPr>
              <w:spacing w:line="360" w:lineRule="auto"/>
              <w:jc w:val="center"/>
              <w:rPr>
                <w:rFonts w:ascii="黑体" w:hAnsi="黑体" w:eastAsia="黑体"/>
                <w:b/>
                <w:sz w:val="24"/>
                <w:szCs w:val="24"/>
              </w:rPr>
            </w:pPr>
          </w:p>
        </w:tc>
      </w:tr>
      <w:tr w14:paraId="138B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47BB86A3">
            <w:pPr>
              <w:spacing w:line="360" w:lineRule="auto"/>
              <w:jc w:val="center"/>
              <w:rPr>
                <w:rFonts w:ascii="黑体" w:hAnsi="黑体" w:eastAsia="黑体"/>
                <w:b/>
                <w:sz w:val="24"/>
                <w:szCs w:val="24"/>
              </w:rPr>
            </w:pPr>
          </w:p>
        </w:tc>
        <w:tc>
          <w:tcPr>
            <w:tcW w:w="1995" w:type="dxa"/>
            <w:vAlign w:val="center"/>
          </w:tcPr>
          <w:p w14:paraId="7E5CC66B">
            <w:pPr>
              <w:spacing w:line="360" w:lineRule="auto"/>
              <w:jc w:val="center"/>
              <w:rPr>
                <w:rFonts w:ascii="黑体" w:hAnsi="黑体" w:eastAsia="黑体"/>
                <w:b/>
                <w:sz w:val="24"/>
                <w:szCs w:val="24"/>
              </w:rPr>
            </w:pPr>
          </w:p>
        </w:tc>
        <w:tc>
          <w:tcPr>
            <w:tcW w:w="1477" w:type="dxa"/>
            <w:vAlign w:val="center"/>
          </w:tcPr>
          <w:p w14:paraId="3EE07822">
            <w:pPr>
              <w:spacing w:line="360" w:lineRule="auto"/>
              <w:jc w:val="center"/>
              <w:rPr>
                <w:rFonts w:ascii="黑体" w:hAnsi="黑体" w:eastAsia="黑体"/>
                <w:b/>
                <w:sz w:val="24"/>
                <w:szCs w:val="24"/>
              </w:rPr>
            </w:pPr>
          </w:p>
        </w:tc>
        <w:tc>
          <w:tcPr>
            <w:tcW w:w="1477" w:type="dxa"/>
            <w:vAlign w:val="center"/>
          </w:tcPr>
          <w:p w14:paraId="0DC401A6">
            <w:pPr>
              <w:spacing w:line="360" w:lineRule="auto"/>
              <w:jc w:val="center"/>
              <w:rPr>
                <w:rFonts w:ascii="黑体" w:hAnsi="黑体" w:eastAsia="黑体"/>
                <w:b/>
                <w:sz w:val="24"/>
                <w:szCs w:val="24"/>
              </w:rPr>
            </w:pPr>
          </w:p>
        </w:tc>
        <w:tc>
          <w:tcPr>
            <w:tcW w:w="1477" w:type="dxa"/>
            <w:vAlign w:val="center"/>
          </w:tcPr>
          <w:p w14:paraId="6409795B">
            <w:pPr>
              <w:spacing w:line="360" w:lineRule="auto"/>
              <w:jc w:val="center"/>
              <w:rPr>
                <w:rFonts w:ascii="黑体" w:hAnsi="黑体" w:eastAsia="黑体"/>
                <w:b/>
                <w:sz w:val="24"/>
                <w:szCs w:val="24"/>
              </w:rPr>
            </w:pPr>
          </w:p>
        </w:tc>
        <w:tc>
          <w:tcPr>
            <w:tcW w:w="1477" w:type="dxa"/>
            <w:vAlign w:val="center"/>
          </w:tcPr>
          <w:p w14:paraId="70946BB1">
            <w:pPr>
              <w:spacing w:line="360" w:lineRule="auto"/>
              <w:jc w:val="center"/>
              <w:rPr>
                <w:rFonts w:ascii="黑体" w:hAnsi="黑体" w:eastAsia="黑体"/>
                <w:b/>
                <w:sz w:val="24"/>
                <w:szCs w:val="24"/>
              </w:rPr>
            </w:pPr>
          </w:p>
        </w:tc>
      </w:tr>
    </w:tbl>
    <w:p w14:paraId="4364C909">
      <w:pPr>
        <w:spacing w:line="360" w:lineRule="auto"/>
        <w:ind w:firstLine="480" w:firstLineChars="200"/>
        <w:rPr>
          <w:rFonts w:ascii="宋体" w:hAnsi="宋体"/>
          <w:sz w:val="24"/>
        </w:rPr>
      </w:pPr>
    </w:p>
    <w:p w14:paraId="4411F29F">
      <w:pPr>
        <w:spacing w:line="480" w:lineRule="auto"/>
        <w:ind w:firstLine="480" w:firstLineChars="200"/>
        <w:rPr>
          <w:rFonts w:ascii="黑体" w:hAnsi="黑体" w:eastAsia="黑体"/>
          <w:sz w:val="24"/>
        </w:rPr>
      </w:pPr>
    </w:p>
    <w:p w14:paraId="70B7D658">
      <w:pPr>
        <w:spacing w:line="480" w:lineRule="auto"/>
        <w:ind w:firstLine="480" w:firstLineChars="200"/>
        <w:rPr>
          <w:rFonts w:ascii="黑体" w:hAnsi="黑体" w:eastAsia="黑体"/>
          <w:sz w:val="24"/>
        </w:rPr>
      </w:pPr>
      <w:r>
        <w:rPr>
          <w:rFonts w:hint="eastAsia" w:ascii="黑体" w:hAnsi="黑体" w:eastAsia="黑体"/>
          <w:sz w:val="24"/>
        </w:rPr>
        <w:t>招标人签字：</w:t>
      </w:r>
      <w:r>
        <w:rPr>
          <w:rFonts w:hint="eastAsia" w:ascii="黑体" w:hAnsi="黑体" w:eastAsia="黑体"/>
          <w:sz w:val="24"/>
          <w:u w:val="single"/>
        </w:rPr>
        <w:t xml:space="preserve">                                 </w:t>
      </w:r>
    </w:p>
    <w:p w14:paraId="68E5375B">
      <w:pPr>
        <w:spacing w:line="480" w:lineRule="auto"/>
        <w:ind w:firstLine="480" w:firstLineChars="200"/>
        <w:rPr>
          <w:rFonts w:ascii="黑体" w:hAnsi="黑体" w:eastAsia="黑体"/>
          <w:sz w:val="24"/>
          <w:u w:val="single"/>
        </w:rPr>
      </w:pPr>
      <w:r>
        <w:rPr>
          <w:rFonts w:hint="eastAsia" w:ascii="黑体" w:hAnsi="黑体" w:eastAsia="黑体"/>
          <w:sz w:val="24"/>
        </w:rPr>
        <w:t>开标日期：</w:t>
      </w:r>
      <w:r>
        <w:rPr>
          <w:rFonts w:hint="eastAsia" w:ascii="黑体" w:hAnsi="黑体" w:eastAsia="黑体"/>
          <w:sz w:val="24"/>
          <w:u w:val="single"/>
        </w:rPr>
        <w:t xml:space="preserve">                                    </w:t>
      </w:r>
    </w:p>
    <w:p w14:paraId="37C95288">
      <w:pPr>
        <w:spacing w:line="360" w:lineRule="auto"/>
        <w:ind w:firstLine="482" w:firstLineChars="200"/>
        <w:rPr>
          <w:rFonts w:ascii="宋体" w:hAnsi="宋体"/>
          <w:b/>
          <w:sz w:val="24"/>
        </w:rPr>
      </w:pPr>
      <w:r>
        <w:rPr>
          <w:rFonts w:ascii="宋体" w:hAnsi="宋体"/>
          <w:b/>
          <w:sz w:val="24"/>
        </w:rPr>
        <w:br w:type="page"/>
      </w:r>
    </w:p>
    <w:p w14:paraId="41B47630">
      <w:pPr>
        <w:spacing w:line="560" w:lineRule="exact"/>
        <w:outlineLvl w:val="1"/>
        <w:rPr>
          <w:rFonts w:ascii="仿宋" w:hAnsi="仿宋" w:eastAsia="仿宋"/>
          <w:b/>
          <w:bCs/>
          <w:kern w:val="0"/>
          <w:sz w:val="28"/>
          <w:szCs w:val="28"/>
        </w:rPr>
      </w:pPr>
      <w:bookmarkStart w:id="65" w:name="_Toc87887968"/>
      <w:bookmarkStart w:id="66" w:name="_Toc23286"/>
      <w:bookmarkStart w:id="67" w:name="_Toc30784"/>
      <w:r>
        <w:rPr>
          <w:rFonts w:hint="eastAsia" w:ascii="仿宋" w:hAnsi="仿宋" w:eastAsia="仿宋"/>
          <w:b/>
          <w:bCs/>
          <w:kern w:val="0"/>
          <w:sz w:val="28"/>
          <w:szCs w:val="28"/>
        </w:rPr>
        <w:t>附件四：招标投标分段限时投诉的规定</w:t>
      </w:r>
    </w:p>
    <w:p w14:paraId="77F83CEE">
      <w:pPr>
        <w:pStyle w:val="51"/>
        <w:spacing w:line="560" w:lineRule="exact"/>
        <w:ind w:firstLine="562"/>
        <w:jc w:val="center"/>
        <w:outlineLvl w:val="1"/>
        <w:rPr>
          <w:rFonts w:ascii="仿宋" w:hAnsi="仿宋" w:eastAsia="仿宋"/>
          <w:b/>
          <w:bCs/>
          <w:kern w:val="0"/>
          <w:sz w:val="28"/>
          <w:szCs w:val="28"/>
        </w:rPr>
      </w:pPr>
      <w:r>
        <w:rPr>
          <w:rFonts w:hint="eastAsia" w:ascii="仿宋" w:hAnsi="仿宋" w:eastAsia="仿宋"/>
          <w:b/>
          <w:bCs/>
          <w:kern w:val="0"/>
          <w:sz w:val="28"/>
          <w:szCs w:val="28"/>
        </w:rPr>
        <w:t>招标投标分段限时投诉的规定</w:t>
      </w:r>
    </w:p>
    <w:p w14:paraId="4D7FAE1C">
      <w:pPr>
        <w:spacing w:line="560" w:lineRule="exact"/>
        <w:ind w:firstLine="560" w:firstLineChars="200"/>
        <w:outlineLvl w:val="1"/>
        <w:rPr>
          <w:rFonts w:ascii="仿宋" w:hAnsi="仿宋" w:eastAsia="仿宋"/>
          <w:bCs/>
          <w:kern w:val="0"/>
          <w:sz w:val="28"/>
          <w:szCs w:val="28"/>
        </w:rPr>
      </w:pPr>
      <w:r>
        <w:rPr>
          <w:rFonts w:hint="eastAsia" w:ascii="仿宋" w:hAnsi="仿宋" w:eastAsia="仿宋"/>
          <w:bCs/>
          <w:kern w:val="0"/>
          <w:sz w:val="28"/>
          <w:szCs w:val="28"/>
        </w:rPr>
        <w:t>为提高招标投标活动效率，本项目招标投标各阶段的投诉处理按</w:t>
      </w:r>
    </w:p>
    <w:p w14:paraId="43BF8459">
      <w:pPr>
        <w:pStyle w:val="51"/>
        <w:spacing w:line="560" w:lineRule="exact"/>
        <w:ind w:firstLine="0" w:firstLineChars="0"/>
        <w:outlineLvl w:val="1"/>
        <w:rPr>
          <w:rFonts w:ascii="仿宋" w:hAnsi="仿宋" w:eastAsia="仿宋"/>
          <w:bCs/>
          <w:kern w:val="0"/>
          <w:sz w:val="28"/>
          <w:szCs w:val="28"/>
        </w:rPr>
      </w:pPr>
      <w:r>
        <w:rPr>
          <w:rFonts w:hint="eastAsia" w:ascii="仿宋" w:hAnsi="仿宋" w:eastAsia="仿宋"/>
          <w:bCs/>
          <w:kern w:val="0"/>
          <w:sz w:val="28"/>
          <w:szCs w:val="28"/>
        </w:rPr>
        <w:t>“分段限时投诉”原则进行。投诉人在知道或者应当知道其权益受到</w:t>
      </w:r>
    </w:p>
    <w:p w14:paraId="79BF94E4">
      <w:pPr>
        <w:pStyle w:val="51"/>
        <w:spacing w:line="560" w:lineRule="exact"/>
        <w:ind w:firstLine="0" w:firstLineChars="0"/>
        <w:outlineLvl w:val="1"/>
        <w:rPr>
          <w:rFonts w:ascii="仿宋" w:hAnsi="仿宋" w:eastAsia="仿宋"/>
          <w:bCs/>
          <w:kern w:val="0"/>
          <w:sz w:val="28"/>
          <w:szCs w:val="28"/>
        </w:rPr>
      </w:pPr>
      <w:r>
        <w:rPr>
          <w:rFonts w:hint="eastAsia" w:ascii="仿宋" w:hAnsi="仿宋" w:eastAsia="仿宋"/>
          <w:bCs/>
          <w:kern w:val="0"/>
          <w:sz w:val="28"/>
          <w:szCs w:val="28"/>
        </w:rPr>
        <w:t>侵害之日起 5 日内未提出书面投诉或超过本规定要求投诉时效的，招</w:t>
      </w:r>
    </w:p>
    <w:p w14:paraId="3D3896B6">
      <w:pPr>
        <w:spacing w:line="560" w:lineRule="exact"/>
        <w:outlineLvl w:val="1"/>
        <w:rPr>
          <w:rFonts w:ascii="仿宋" w:hAnsi="仿宋" w:eastAsia="仿宋"/>
          <w:bCs/>
          <w:kern w:val="0"/>
          <w:sz w:val="28"/>
          <w:szCs w:val="28"/>
        </w:rPr>
      </w:pPr>
      <w:r>
        <w:rPr>
          <w:rFonts w:hint="eastAsia" w:ascii="仿宋" w:hAnsi="仿宋" w:eastAsia="仿宋"/>
          <w:bCs/>
          <w:kern w:val="0"/>
          <w:sz w:val="28"/>
          <w:szCs w:val="28"/>
        </w:rPr>
        <w:t>标人可以不受理该投诉。</w:t>
      </w:r>
    </w:p>
    <w:p w14:paraId="1101CDB2">
      <w:pPr>
        <w:pStyle w:val="51"/>
        <w:spacing w:line="560" w:lineRule="exact"/>
        <w:ind w:firstLine="560"/>
        <w:outlineLvl w:val="1"/>
        <w:rPr>
          <w:rFonts w:ascii="仿宋" w:hAnsi="仿宋" w:eastAsia="仿宋"/>
          <w:bCs/>
          <w:kern w:val="0"/>
          <w:sz w:val="28"/>
          <w:szCs w:val="28"/>
        </w:rPr>
      </w:pPr>
      <w:r>
        <w:rPr>
          <w:rFonts w:hint="eastAsia" w:ascii="仿宋" w:hAnsi="仿宋" w:eastAsia="仿宋"/>
          <w:bCs/>
          <w:kern w:val="0"/>
          <w:sz w:val="28"/>
          <w:szCs w:val="28"/>
        </w:rPr>
        <w:t>一、对招标公告内容的投诉时限：公告发布首日起 5 日内。</w:t>
      </w:r>
    </w:p>
    <w:p w14:paraId="76EE9699">
      <w:pPr>
        <w:pStyle w:val="51"/>
        <w:spacing w:line="560" w:lineRule="exact"/>
        <w:ind w:firstLine="560"/>
        <w:outlineLvl w:val="1"/>
        <w:rPr>
          <w:rFonts w:ascii="仿宋" w:hAnsi="仿宋" w:eastAsia="仿宋"/>
          <w:bCs/>
          <w:kern w:val="0"/>
          <w:sz w:val="28"/>
          <w:szCs w:val="28"/>
        </w:rPr>
      </w:pPr>
      <w:r>
        <w:rPr>
          <w:rFonts w:hint="eastAsia" w:ascii="仿宋" w:hAnsi="仿宋" w:eastAsia="仿宋"/>
          <w:bCs/>
          <w:kern w:val="0"/>
          <w:sz w:val="28"/>
          <w:szCs w:val="28"/>
        </w:rPr>
        <w:t>二、对招标文件内容的投诉时限：招标文件发布后 5 日内；补遗</w:t>
      </w:r>
    </w:p>
    <w:p w14:paraId="7CE594C6">
      <w:pPr>
        <w:spacing w:line="560" w:lineRule="exact"/>
        <w:outlineLvl w:val="1"/>
        <w:rPr>
          <w:rFonts w:ascii="仿宋" w:hAnsi="仿宋" w:eastAsia="仿宋"/>
          <w:bCs/>
          <w:kern w:val="0"/>
          <w:sz w:val="28"/>
          <w:szCs w:val="28"/>
        </w:rPr>
      </w:pPr>
      <w:r>
        <w:rPr>
          <w:rFonts w:hint="eastAsia" w:ascii="仿宋" w:hAnsi="仿宋" w:eastAsia="仿宋"/>
          <w:bCs/>
          <w:kern w:val="0"/>
          <w:sz w:val="28"/>
          <w:szCs w:val="28"/>
        </w:rPr>
        <w:t>或答疑文件发出后的下一个工作日内。</w:t>
      </w:r>
    </w:p>
    <w:p w14:paraId="79ED218F">
      <w:pPr>
        <w:pStyle w:val="51"/>
        <w:spacing w:line="560" w:lineRule="exact"/>
        <w:ind w:firstLine="560"/>
        <w:outlineLvl w:val="1"/>
        <w:rPr>
          <w:rFonts w:ascii="仿宋" w:hAnsi="仿宋" w:eastAsia="仿宋"/>
          <w:bCs/>
          <w:kern w:val="0"/>
          <w:sz w:val="28"/>
          <w:szCs w:val="28"/>
        </w:rPr>
      </w:pPr>
      <w:r>
        <w:rPr>
          <w:rFonts w:hint="eastAsia" w:ascii="仿宋" w:hAnsi="仿宋" w:eastAsia="仿宋"/>
          <w:bCs/>
          <w:kern w:val="0"/>
          <w:sz w:val="28"/>
          <w:szCs w:val="28"/>
        </w:rPr>
        <w:t>三、对开标结果的投诉应于开标结束前当场向招标人提出，可以</w:t>
      </w:r>
    </w:p>
    <w:p w14:paraId="403A5FBA">
      <w:pPr>
        <w:spacing w:line="560" w:lineRule="exact"/>
        <w:outlineLvl w:val="1"/>
        <w:rPr>
          <w:rFonts w:ascii="仿宋" w:hAnsi="仿宋" w:eastAsia="仿宋"/>
          <w:bCs/>
          <w:kern w:val="0"/>
          <w:sz w:val="28"/>
          <w:szCs w:val="28"/>
        </w:rPr>
      </w:pPr>
      <w:r>
        <w:rPr>
          <w:rFonts w:hint="eastAsia" w:ascii="仿宋" w:hAnsi="仿宋" w:eastAsia="仿宋"/>
          <w:bCs/>
          <w:kern w:val="0"/>
          <w:sz w:val="28"/>
          <w:szCs w:val="28"/>
        </w:rPr>
        <w:t>口头方式投诉。</w:t>
      </w:r>
    </w:p>
    <w:p w14:paraId="7487429B">
      <w:pPr>
        <w:spacing w:line="560" w:lineRule="exact"/>
        <w:ind w:firstLine="560" w:firstLineChars="200"/>
        <w:outlineLvl w:val="1"/>
        <w:rPr>
          <w:rFonts w:ascii="仿宋" w:hAnsi="仿宋" w:eastAsia="仿宋"/>
          <w:bCs/>
          <w:kern w:val="0"/>
          <w:sz w:val="28"/>
          <w:szCs w:val="28"/>
        </w:rPr>
      </w:pPr>
      <w:r>
        <w:rPr>
          <w:rFonts w:hint="eastAsia" w:ascii="仿宋" w:hAnsi="仿宋" w:eastAsia="仿宋"/>
          <w:bCs/>
          <w:kern w:val="0"/>
          <w:sz w:val="28"/>
          <w:szCs w:val="28"/>
        </w:rPr>
        <w:t>四、对评标结果投诉时限：中标结果公示结束之前。</w:t>
      </w:r>
    </w:p>
    <w:p w14:paraId="3C5B3613">
      <w:pPr>
        <w:spacing w:line="560" w:lineRule="exact"/>
        <w:ind w:firstLine="560" w:firstLineChars="200"/>
        <w:outlineLvl w:val="1"/>
        <w:rPr>
          <w:rFonts w:ascii="仿宋" w:hAnsi="仿宋" w:eastAsia="仿宋"/>
          <w:bCs/>
          <w:kern w:val="0"/>
          <w:sz w:val="28"/>
          <w:szCs w:val="28"/>
        </w:rPr>
      </w:pPr>
      <w:r>
        <w:rPr>
          <w:rFonts w:hint="eastAsia" w:ascii="仿宋" w:hAnsi="仿宋" w:eastAsia="仿宋"/>
          <w:bCs/>
          <w:kern w:val="0"/>
          <w:sz w:val="28"/>
          <w:szCs w:val="28"/>
        </w:rPr>
        <w:t>五、对合同签订过程的投诉时限：合同签订前。</w:t>
      </w:r>
    </w:p>
    <w:p w14:paraId="3EACE643">
      <w:pPr>
        <w:pStyle w:val="51"/>
        <w:spacing w:line="560" w:lineRule="exact"/>
        <w:ind w:firstLine="422" w:firstLineChars="0"/>
        <w:jc w:val="center"/>
        <w:outlineLvl w:val="1"/>
        <w:rPr>
          <w:rFonts w:ascii="黑体" w:hAnsi="黑体" w:eastAsia="黑体"/>
          <w:b/>
          <w:bCs/>
          <w:kern w:val="0"/>
          <w:sz w:val="44"/>
          <w:szCs w:val="44"/>
        </w:rPr>
      </w:pPr>
    </w:p>
    <w:p w14:paraId="1BB48BD0">
      <w:pPr>
        <w:pStyle w:val="51"/>
        <w:spacing w:line="560" w:lineRule="exact"/>
        <w:ind w:firstLine="422" w:firstLineChars="0"/>
        <w:jc w:val="center"/>
        <w:outlineLvl w:val="1"/>
        <w:rPr>
          <w:rFonts w:ascii="黑体" w:hAnsi="黑体" w:eastAsia="黑体"/>
          <w:b/>
          <w:bCs/>
          <w:kern w:val="0"/>
          <w:sz w:val="44"/>
          <w:szCs w:val="44"/>
        </w:rPr>
      </w:pPr>
    </w:p>
    <w:p w14:paraId="17BCC340">
      <w:pPr>
        <w:pStyle w:val="51"/>
        <w:spacing w:line="560" w:lineRule="exact"/>
        <w:ind w:firstLine="422" w:firstLineChars="0"/>
        <w:jc w:val="center"/>
        <w:outlineLvl w:val="1"/>
        <w:rPr>
          <w:rFonts w:ascii="黑体" w:hAnsi="黑体" w:eastAsia="黑体"/>
          <w:b/>
          <w:bCs/>
          <w:kern w:val="0"/>
          <w:sz w:val="44"/>
          <w:szCs w:val="44"/>
        </w:rPr>
      </w:pPr>
    </w:p>
    <w:p w14:paraId="6B64EFB7">
      <w:pPr>
        <w:pStyle w:val="51"/>
        <w:spacing w:line="560" w:lineRule="exact"/>
        <w:ind w:firstLine="422" w:firstLineChars="0"/>
        <w:jc w:val="center"/>
        <w:outlineLvl w:val="1"/>
        <w:rPr>
          <w:rFonts w:ascii="黑体" w:hAnsi="黑体" w:eastAsia="黑体"/>
          <w:b/>
          <w:bCs/>
          <w:kern w:val="0"/>
          <w:sz w:val="44"/>
          <w:szCs w:val="44"/>
        </w:rPr>
      </w:pPr>
    </w:p>
    <w:p w14:paraId="3381FD6F">
      <w:pPr>
        <w:pStyle w:val="51"/>
        <w:spacing w:line="560" w:lineRule="exact"/>
        <w:ind w:firstLine="422" w:firstLineChars="0"/>
        <w:jc w:val="center"/>
        <w:outlineLvl w:val="1"/>
        <w:rPr>
          <w:rFonts w:ascii="黑体" w:hAnsi="黑体" w:eastAsia="黑体"/>
          <w:b/>
          <w:bCs/>
          <w:kern w:val="0"/>
          <w:sz w:val="44"/>
          <w:szCs w:val="44"/>
        </w:rPr>
      </w:pPr>
    </w:p>
    <w:p w14:paraId="5F5553B6">
      <w:pPr>
        <w:pStyle w:val="51"/>
        <w:spacing w:line="560" w:lineRule="exact"/>
        <w:ind w:firstLine="422" w:firstLineChars="0"/>
        <w:jc w:val="center"/>
        <w:outlineLvl w:val="1"/>
        <w:rPr>
          <w:rFonts w:ascii="黑体" w:hAnsi="黑体" w:eastAsia="黑体"/>
          <w:b/>
          <w:bCs/>
          <w:kern w:val="0"/>
          <w:sz w:val="44"/>
          <w:szCs w:val="44"/>
        </w:rPr>
      </w:pPr>
    </w:p>
    <w:p w14:paraId="335082B2">
      <w:pPr>
        <w:pStyle w:val="51"/>
        <w:spacing w:line="560" w:lineRule="exact"/>
        <w:ind w:firstLine="422" w:firstLineChars="0"/>
        <w:jc w:val="center"/>
        <w:outlineLvl w:val="1"/>
        <w:rPr>
          <w:rFonts w:ascii="黑体" w:hAnsi="黑体" w:eastAsia="黑体"/>
          <w:b/>
          <w:bCs/>
          <w:kern w:val="0"/>
          <w:sz w:val="44"/>
          <w:szCs w:val="44"/>
        </w:rPr>
      </w:pPr>
    </w:p>
    <w:p w14:paraId="0090D088">
      <w:pPr>
        <w:pStyle w:val="51"/>
        <w:spacing w:line="560" w:lineRule="exact"/>
        <w:ind w:firstLine="422" w:firstLineChars="0"/>
        <w:jc w:val="center"/>
        <w:outlineLvl w:val="1"/>
        <w:rPr>
          <w:rFonts w:ascii="黑体" w:hAnsi="黑体" w:eastAsia="黑体"/>
          <w:b/>
          <w:bCs/>
          <w:kern w:val="0"/>
          <w:sz w:val="44"/>
          <w:szCs w:val="44"/>
        </w:rPr>
      </w:pPr>
    </w:p>
    <w:p w14:paraId="38A643A8">
      <w:pPr>
        <w:pStyle w:val="51"/>
        <w:spacing w:line="560" w:lineRule="exact"/>
        <w:ind w:firstLine="422" w:firstLineChars="0"/>
        <w:jc w:val="center"/>
        <w:outlineLvl w:val="1"/>
        <w:rPr>
          <w:rFonts w:ascii="黑体" w:hAnsi="黑体" w:eastAsia="黑体"/>
          <w:b/>
          <w:bCs/>
          <w:kern w:val="0"/>
          <w:sz w:val="44"/>
          <w:szCs w:val="44"/>
        </w:rPr>
      </w:pPr>
    </w:p>
    <w:p w14:paraId="54950E9C">
      <w:pPr>
        <w:pStyle w:val="51"/>
        <w:spacing w:line="560" w:lineRule="exact"/>
        <w:ind w:firstLine="422" w:firstLineChars="0"/>
        <w:jc w:val="center"/>
        <w:outlineLvl w:val="1"/>
        <w:rPr>
          <w:rFonts w:ascii="黑体" w:hAnsi="黑体" w:eastAsia="黑体"/>
          <w:b/>
          <w:bCs/>
          <w:kern w:val="0"/>
          <w:sz w:val="44"/>
          <w:szCs w:val="44"/>
        </w:rPr>
      </w:pPr>
    </w:p>
    <w:p w14:paraId="0C0F7343">
      <w:pPr>
        <w:pStyle w:val="51"/>
        <w:spacing w:line="560" w:lineRule="exact"/>
        <w:ind w:firstLine="422" w:firstLineChars="0"/>
        <w:jc w:val="center"/>
        <w:outlineLvl w:val="1"/>
        <w:rPr>
          <w:rFonts w:ascii="黑体" w:hAnsi="黑体" w:eastAsia="黑体"/>
          <w:b/>
          <w:bCs/>
          <w:kern w:val="0"/>
          <w:sz w:val="44"/>
          <w:szCs w:val="44"/>
        </w:rPr>
      </w:pPr>
      <w:r>
        <w:rPr>
          <w:rFonts w:hint="eastAsia" w:ascii="黑体" w:hAnsi="黑体" w:eastAsia="黑体"/>
          <w:b/>
          <w:bCs/>
          <w:kern w:val="0"/>
          <w:sz w:val="44"/>
          <w:szCs w:val="44"/>
        </w:rPr>
        <w:t>二、投标须知</w:t>
      </w:r>
      <w:bookmarkEnd w:id="65"/>
      <w:bookmarkEnd w:id="66"/>
      <w:bookmarkEnd w:id="67"/>
    </w:p>
    <w:p w14:paraId="29CFEDEE">
      <w:pPr>
        <w:pStyle w:val="51"/>
        <w:spacing w:line="560" w:lineRule="exact"/>
        <w:ind w:firstLine="560"/>
        <w:rPr>
          <w:rFonts w:ascii="仿宋_GB2312" w:hAnsi="宋体" w:eastAsia="仿宋_GB2312"/>
          <w:bCs/>
          <w:kern w:val="0"/>
          <w:sz w:val="28"/>
          <w:szCs w:val="28"/>
        </w:rPr>
      </w:pPr>
    </w:p>
    <w:p w14:paraId="420B18B0">
      <w:pPr>
        <w:pStyle w:val="7"/>
        <w:spacing w:before="0" w:after="0" w:line="400" w:lineRule="exact"/>
        <w:jc w:val="center"/>
        <w:rPr>
          <w:rFonts w:ascii="黑体" w:hAnsi="黑体" w:eastAsia="黑体"/>
          <w:b w:val="0"/>
          <w:kern w:val="0"/>
          <w:sz w:val="36"/>
          <w:szCs w:val="36"/>
        </w:rPr>
      </w:pPr>
      <w:bookmarkStart w:id="68" w:name="_Toc16943"/>
      <w:bookmarkStart w:id="69" w:name="_Toc9676"/>
      <w:bookmarkStart w:id="70" w:name="_Toc87887969"/>
      <w:r>
        <w:rPr>
          <w:rFonts w:hint="eastAsia" w:ascii="黑体" w:hAnsi="黑体" w:eastAsia="黑体"/>
          <w:b w:val="0"/>
          <w:kern w:val="0"/>
          <w:sz w:val="36"/>
          <w:szCs w:val="36"/>
        </w:rPr>
        <w:t>（一）总则</w:t>
      </w:r>
      <w:bookmarkEnd w:id="68"/>
      <w:bookmarkEnd w:id="69"/>
      <w:bookmarkEnd w:id="70"/>
    </w:p>
    <w:p w14:paraId="12CF0D11">
      <w:pPr>
        <w:pStyle w:val="51"/>
        <w:spacing w:line="560" w:lineRule="exact"/>
        <w:ind w:firstLine="560"/>
        <w:rPr>
          <w:rFonts w:ascii="仿宋_GB2312" w:hAnsi="宋体" w:eastAsia="仿宋_GB2312"/>
          <w:bCs/>
          <w:kern w:val="0"/>
          <w:sz w:val="28"/>
          <w:szCs w:val="28"/>
        </w:rPr>
      </w:pPr>
    </w:p>
    <w:p w14:paraId="0500982F">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1.项目说明</w:t>
      </w:r>
    </w:p>
    <w:p w14:paraId="3FCC27D7">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1.1项目名称见</w:t>
      </w:r>
      <w:r>
        <w:rPr>
          <w:rFonts w:hint="eastAsia" w:ascii="仿宋_GB2312" w:hAnsi="仿宋_GB2312" w:eastAsia="仿宋_GB2312" w:cs="仿宋_GB2312"/>
          <w:kern w:val="0"/>
          <w:sz w:val="28"/>
          <w:szCs w:val="28"/>
        </w:rPr>
        <w:t>“投标前须知附表1”</w:t>
      </w:r>
      <w:r>
        <w:rPr>
          <w:rFonts w:hint="eastAsia" w:ascii="仿宋_GB2312" w:hAnsi="仿宋_GB2312" w:eastAsia="仿宋_GB2312" w:cs="仿宋_GB2312"/>
          <w:bCs/>
          <w:kern w:val="0"/>
          <w:sz w:val="28"/>
          <w:szCs w:val="28"/>
        </w:rPr>
        <w:t>所述。</w:t>
      </w:r>
    </w:p>
    <w:p w14:paraId="47F79E12">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1.2项目地点见</w:t>
      </w:r>
      <w:r>
        <w:rPr>
          <w:rFonts w:hint="eastAsia" w:ascii="仿宋_GB2312" w:hAnsi="仿宋_GB2312" w:eastAsia="仿宋_GB2312" w:cs="仿宋_GB2312"/>
          <w:kern w:val="0"/>
          <w:sz w:val="28"/>
          <w:szCs w:val="28"/>
        </w:rPr>
        <w:t>“投标前须知附表1”</w:t>
      </w:r>
      <w:r>
        <w:rPr>
          <w:rFonts w:hint="eastAsia" w:ascii="仿宋_GB2312" w:hAnsi="仿宋_GB2312" w:eastAsia="仿宋_GB2312" w:cs="仿宋_GB2312"/>
          <w:bCs/>
          <w:kern w:val="0"/>
          <w:sz w:val="28"/>
          <w:szCs w:val="28"/>
        </w:rPr>
        <w:t>所述。</w:t>
      </w:r>
    </w:p>
    <w:p w14:paraId="0C72ACD6">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2.资金来源</w:t>
      </w:r>
    </w:p>
    <w:p w14:paraId="295F18D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2.1本项目已完成审批手续，项目资金通过</w:t>
      </w:r>
      <w:r>
        <w:rPr>
          <w:rFonts w:hint="eastAsia" w:ascii="仿宋_GB2312" w:hAnsi="仿宋_GB2312" w:eastAsia="仿宋_GB2312" w:cs="仿宋_GB2312"/>
          <w:kern w:val="0"/>
          <w:sz w:val="28"/>
          <w:szCs w:val="28"/>
        </w:rPr>
        <w:t>“投标前须知附表1”</w:t>
      </w:r>
      <w:r>
        <w:rPr>
          <w:rFonts w:hint="eastAsia" w:ascii="仿宋_GB2312" w:hAnsi="仿宋_GB2312" w:eastAsia="仿宋_GB2312" w:cs="仿宋_GB2312"/>
          <w:bCs/>
          <w:kern w:val="0"/>
          <w:sz w:val="28"/>
          <w:szCs w:val="28"/>
        </w:rPr>
        <w:t>所述的方式获得。</w:t>
      </w:r>
    </w:p>
    <w:p w14:paraId="5DC40480">
      <w:pPr>
        <w:pStyle w:val="23"/>
        <w:spacing w:line="560" w:lineRule="exact"/>
        <w:ind w:firstLine="56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3.招标范围：</w:t>
      </w:r>
    </w:p>
    <w:p w14:paraId="1E568DFD">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3.1 本次招标范围及内容见</w:t>
      </w:r>
      <w:r>
        <w:rPr>
          <w:rFonts w:hint="eastAsia" w:ascii="仿宋_GB2312" w:hAnsi="仿宋_GB2312" w:eastAsia="仿宋_GB2312" w:cs="仿宋_GB2312"/>
          <w:kern w:val="0"/>
          <w:sz w:val="28"/>
          <w:szCs w:val="28"/>
        </w:rPr>
        <w:t>“投标前须知附表1”</w:t>
      </w:r>
      <w:r>
        <w:rPr>
          <w:rFonts w:hint="eastAsia" w:ascii="仿宋_GB2312" w:hAnsi="仿宋_GB2312" w:eastAsia="仿宋_GB2312" w:cs="仿宋_GB2312"/>
          <w:bCs/>
          <w:kern w:val="0"/>
          <w:sz w:val="28"/>
          <w:szCs w:val="28"/>
        </w:rPr>
        <w:t>所述。</w:t>
      </w:r>
    </w:p>
    <w:p w14:paraId="21FC66FA">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4.服务周期要求</w:t>
      </w:r>
    </w:p>
    <w:p w14:paraId="7636416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4.1本项目服务周期要求见</w:t>
      </w:r>
      <w:r>
        <w:rPr>
          <w:rFonts w:hint="eastAsia" w:ascii="仿宋_GB2312" w:hAnsi="仿宋_GB2312" w:eastAsia="仿宋_GB2312" w:cs="仿宋_GB2312"/>
          <w:kern w:val="0"/>
          <w:sz w:val="28"/>
          <w:szCs w:val="28"/>
        </w:rPr>
        <w:t>“投标前须知附表1”</w:t>
      </w:r>
      <w:r>
        <w:rPr>
          <w:rFonts w:hint="eastAsia" w:ascii="仿宋_GB2312" w:hAnsi="仿宋_GB2312" w:eastAsia="仿宋_GB2312" w:cs="仿宋_GB2312"/>
          <w:bCs/>
          <w:kern w:val="0"/>
          <w:sz w:val="28"/>
          <w:szCs w:val="28"/>
        </w:rPr>
        <w:t>所述。</w:t>
      </w:r>
    </w:p>
    <w:p w14:paraId="2F266B96">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5.合格的投标人</w:t>
      </w:r>
    </w:p>
    <w:p w14:paraId="18363A09">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5.1投标人资质、投标人项目负责人要求见</w:t>
      </w:r>
      <w:r>
        <w:rPr>
          <w:rFonts w:hint="eastAsia" w:ascii="仿宋_GB2312" w:hAnsi="仿宋_GB2312" w:eastAsia="仿宋_GB2312" w:cs="仿宋_GB2312"/>
          <w:kern w:val="0"/>
          <w:sz w:val="28"/>
          <w:szCs w:val="28"/>
        </w:rPr>
        <w:t>“投标前须知附表1”</w:t>
      </w:r>
      <w:r>
        <w:rPr>
          <w:rFonts w:hint="eastAsia" w:ascii="仿宋_GB2312" w:hAnsi="仿宋_GB2312" w:eastAsia="仿宋_GB2312" w:cs="仿宋_GB2312"/>
          <w:bCs/>
          <w:kern w:val="0"/>
          <w:sz w:val="28"/>
          <w:szCs w:val="28"/>
        </w:rPr>
        <w:t>所述。</w:t>
      </w:r>
    </w:p>
    <w:p w14:paraId="6F1A1C6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5.2本次招标资格审查方式见</w:t>
      </w:r>
      <w:r>
        <w:rPr>
          <w:rFonts w:hint="eastAsia" w:ascii="仿宋_GB2312" w:hAnsi="仿宋_GB2312" w:eastAsia="仿宋_GB2312" w:cs="仿宋_GB2312"/>
          <w:kern w:val="0"/>
          <w:sz w:val="28"/>
          <w:szCs w:val="28"/>
        </w:rPr>
        <w:t>“投标前须知附表1”</w:t>
      </w:r>
      <w:r>
        <w:rPr>
          <w:rFonts w:hint="eastAsia" w:ascii="仿宋_GB2312" w:hAnsi="仿宋_GB2312" w:eastAsia="仿宋_GB2312" w:cs="仿宋_GB2312"/>
          <w:bCs/>
          <w:kern w:val="0"/>
          <w:sz w:val="28"/>
          <w:szCs w:val="28"/>
        </w:rPr>
        <w:t>所述。</w:t>
      </w:r>
    </w:p>
    <w:p w14:paraId="03928805">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5.3由两个或两个以上法人组成一个联合体以一个投标人的身份共同投标时，除符合5.1、5.2款的要求外，还应符合以下要求：</w:t>
      </w:r>
    </w:p>
    <w:p w14:paraId="27A4D7DB">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5.3.1投标人的投标文件及中标后签署的合同协议书对联合体每一成员均具法律约束力；</w:t>
      </w:r>
    </w:p>
    <w:p w14:paraId="1F87BFAB">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5.3.2联合体的各成员应当签订共同投标协议，明确约定各方拟承担的工作和责任，并将该共同投标协议随投标文件一并递交给招标人；</w:t>
      </w:r>
    </w:p>
    <w:p w14:paraId="4DBCB7C7">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5.3.3联合体中标后，联合体各方应当共同与招标人签订合同，为履行合同向招标人承担连带责任；</w:t>
      </w:r>
    </w:p>
    <w:p w14:paraId="31DE7BF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5.3.4由联合体的各成员提交一份授权书，证明联合体代表资格，该授权书作为投标文件的组成部分一并提交给招标人；</w:t>
      </w:r>
    </w:p>
    <w:p w14:paraId="66530A7C">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5.3.5联合体代表应被授权作为联合体所有成员的代表承担责任和接受指令，并负责整个合同的全面履行；</w:t>
      </w:r>
    </w:p>
    <w:p w14:paraId="1FBDD52C">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5.3.6参加联合体的各成员不得再以自己的名义单独投标，也不得同时参加两个或两个以上的联合体投标。出现上述情况者，其投标和与其有关的联合体的投标均做无效标处理；</w:t>
      </w:r>
    </w:p>
    <w:p w14:paraId="60F4923D">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5.3.7除非另有规定或说明，本须知中“投标人”一词亦指联合体各成员。</w:t>
      </w:r>
    </w:p>
    <w:p w14:paraId="48B2D928">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5.4投标人应当具备承担本招标项目的能力；具备国家有关规定或者招标文件规定的资格条件；且通过合法途径取得招标文件。</w:t>
      </w:r>
    </w:p>
    <w:p w14:paraId="0D9A3475">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6.投标费用</w:t>
      </w:r>
    </w:p>
    <w:p w14:paraId="60A35EC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6.1投标人应自行承担所有准备及参加投标相关的费用。不论投标的结果如何，招标人均无承担的义务和责任。</w:t>
      </w:r>
    </w:p>
    <w:p w14:paraId="7ED0D623">
      <w:pPr>
        <w:pStyle w:val="51"/>
        <w:spacing w:line="560" w:lineRule="exact"/>
        <w:ind w:firstLine="560"/>
        <w:rPr>
          <w:rFonts w:ascii="仿宋_GB2312" w:hAnsi="仿宋_GB2312" w:eastAsia="仿宋_GB2312" w:cs="仿宋_GB2312"/>
          <w:bCs/>
          <w:kern w:val="0"/>
          <w:sz w:val="28"/>
          <w:szCs w:val="28"/>
        </w:rPr>
      </w:pPr>
    </w:p>
    <w:p w14:paraId="5641816D">
      <w:pPr>
        <w:pStyle w:val="7"/>
        <w:spacing w:before="0" w:after="0" w:line="400" w:lineRule="exact"/>
        <w:jc w:val="center"/>
        <w:rPr>
          <w:rFonts w:ascii="黑体" w:hAnsi="黑体" w:eastAsia="黑体"/>
          <w:b w:val="0"/>
          <w:kern w:val="0"/>
          <w:sz w:val="36"/>
          <w:szCs w:val="36"/>
        </w:rPr>
      </w:pPr>
      <w:bookmarkStart w:id="71" w:name="_Toc3264"/>
      <w:bookmarkStart w:id="72" w:name="_Toc87887970"/>
      <w:bookmarkStart w:id="73" w:name="_Toc24042"/>
    </w:p>
    <w:p w14:paraId="68DB395C"/>
    <w:p w14:paraId="48DCD14F"/>
    <w:p w14:paraId="51D319D6">
      <w:pPr>
        <w:pStyle w:val="7"/>
        <w:spacing w:before="0" w:after="0" w:line="400" w:lineRule="exact"/>
        <w:jc w:val="center"/>
        <w:rPr>
          <w:rFonts w:ascii="黑体" w:hAnsi="黑体" w:eastAsia="黑体"/>
          <w:b w:val="0"/>
          <w:kern w:val="0"/>
          <w:sz w:val="36"/>
          <w:szCs w:val="36"/>
        </w:rPr>
      </w:pPr>
    </w:p>
    <w:p w14:paraId="415A8BB3">
      <w:pPr>
        <w:pStyle w:val="7"/>
        <w:spacing w:before="0" w:after="0" w:line="400" w:lineRule="exact"/>
        <w:jc w:val="center"/>
        <w:rPr>
          <w:rFonts w:ascii="黑体" w:hAnsi="黑体" w:eastAsia="黑体"/>
          <w:b w:val="0"/>
          <w:kern w:val="0"/>
          <w:sz w:val="36"/>
          <w:szCs w:val="36"/>
        </w:rPr>
      </w:pPr>
    </w:p>
    <w:p w14:paraId="5A8BFDC3"/>
    <w:p w14:paraId="2B60D006">
      <w:pPr>
        <w:pStyle w:val="7"/>
        <w:spacing w:before="0" w:after="0" w:line="400" w:lineRule="exact"/>
        <w:jc w:val="center"/>
        <w:rPr>
          <w:rFonts w:ascii="黑体" w:hAnsi="黑体" w:eastAsia="黑体"/>
          <w:b w:val="0"/>
          <w:kern w:val="0"/>
          <w:sz w:val="36"/>
          <w:szCs w:val="36"/>
        </w:rPr>
      </w:pPr>
      <w:r>
        <w:rPr>
          <w:rFonts w:hint="eastAsia" w:ascii="黑体" w:hAnsi="黑体" w:eastAsia="黑体"/>
          <w:b w:val="0"/>
          <w:kern w:val="0"/>
          <w:sz w:val="36"/>
          <w:szCs w:val="36"/>
        </w:rPr>
        <w:t>（二）招标文件</w:t>
      </w:r>
      <w:bookmarkEnd w:id="47"/>
      <w:bookmarkEnd w:id="48"/>
      <w:bookmarkEnd w:id="49"/>
      <w:bookmarkEnd w:id="71"/>
      <w:bookmarkEnd w:id="72"/>
      <w:bookmarkEnd w:id="73"/>
    </w:p>
    <w:p w14:paraId="1CADADD8">
      <w:pPr>
        <w:pStyle w:val="51"/>
        <w:spacing w:line="560" w:lineRule="exact"/>
        <w:ind w:firstLine="560"/>
        <w:rPr>
          <w:rFonts w:ascii="仿宋_GB2312" w:hAnsi="宋体" w:eastAsia="仿宋_GB2312"/>
          <w:bCs/>
          <w:kern w:val="0"/>
          <w:sz w:val="28"/>
          <w:szCs w:val="28"/>
        </w:rPr>
      </w:pPr>
    </w:p>
    <w:p w14:paraId="69FE5AF4">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7.招标文件的组成</w:t>
      </w:r>
    </w:p>
    <w:p w14:paraId="09B3DDBB">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7.1招标文件包括下列内容：</w:t>
      </w:r>
    </w:p>
    <w:p w14:paraId="5FE631D5">
      <w:pPr>
        <w:pStyle w:val="51"/>
        <w:spacing w:line="560" w:lineRule="exact"/>
        <w:ind w:firstLine="560"/>
        <w:rPr>
          <w:rFonts w:ascii="仿宋" w:hAnsi="仿宋" w:eastAsia="仿宋"/>
          <w:bCs/>
          <w:kern w:val="0"/>
          <w:sz w:val="28"/>
          <w:szCs w:val="28"/>
        </w:rPr>
      </w:pPr>
      <w:r>
        <w:rPr>
          <w:rFonts w:hint="eastAsia" w:ascii="仿宋_GB2312" w:hAnsi="仿宋_GB2312" w:eastAsia="仿宋_GB2312" w:cs="仿宋_GB2312"/>
          <w:bCs/>
          <w:kern w:val="0"/>
          <w:sz w:val="28"/>
          <w:szCs w:val="28"/>
        </w:rPr>
        <w:t>第一章 致投标人</w:t>
      </w:r>
    </w:p>
    <w:p w14:paraId="557ECC5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第二章 投标须知</w:t>
      </w:r>
    </w:p>
    <w:p w14:paraId="17C4F64E">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 xml:space="preserve"> 一、投标须知前附件</w:t>
      </w:r>
    </w:p>
    <w:p w14:paraId="17DBDDEB">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 xml:space="preserve"> 二、投标须知</w:t>
      </w:r>
    </w:p>
    <w:p w14:paraId="19FAA268">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第三章 合同条款</w:t>
      </w:r>
    </w:p>
    <w:p w14:paraId="7ECDAB22">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第四章 需求任务书</w:t>
      </w:r>
    </w:p>
    <w:p w14:paraId="09B58A9C">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一、项目需求标准</w:t>
      </w:r>
    </w:p>
    <w:p w14:paraId="4AC8B46C">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二、项目需求清单</w:t>
      </w:r>
    </w:p>
    <w:p w14:paraId="2BF0D1D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第五章 投标文件格式</w:t>
      </w:r>
    </w:p>
    <w:p w14:paraId="1F01B3BF">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一、资格审查文件</w:t>
      </w:r>
    </w:p>
    <w:p w14:paraId="7F680987">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二、投标函部分</w:t>
      </w:r>
    </w:p>
    <w:p w14:paraId="3A171A83">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三、资信标部分</w:t>
      </w:r>
    </w:p>
    <w:p w14:paraId="1EA23EC2">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四、商务标部分</w:t>
      </w:r>
    </w:p>
    <w:p w14:paraId="1F1C6E83">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五、技术标部分</w:t>
      </w:r>
    </w:p>
    <w:p w14:paraId="19D44DF3">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第六章 中标通知书</w:t>
      </w:r>
    </w:p>
    <w:p w14:paraId="72FBB9CF">
      <w:pPr>
        <w:pStyle w:val="23"/>
        <w:spacing w:line="560" w:lineRule="exact"/>
        <w:ind w:firstLine="49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7.2除7.1款内容外，招标人在投标截止日期前</w:t>
      </w:r>
      <w:r>
        <w:rPr>
          <w:rFonts w:hint="eastAsia" w:ascii="仿宋_GB2312" w:hAnsi="仿宋_GB2312" w:eastAsia="仿宋_GB2312" w:cs="仿宋_GB2312"/>
          <w:bCs/>
          <w:kern w:val="0"/>
          <w:sz w:val="28"/>
          <w:szCs w:val="28"/>
          <w:u w:val="single"/>
        </w:rPr>
        <w:t xml:space="preserve"> 2 </w:t>
      </w:r>
      <w:r>
        <w:rPr>
          <w:rFonts w:hint="eastAsia" w:ascii="仿宋_GB2312" w:hAnsi="仿宋_GB2312" w:eastAsia="仿宋_GB2312" w:cs="仿宋_GB2312"/>
          <w:bCs/>
          <w:kern w:val="0"/>
          <w:sz w:val="28"/>
          <w:szCs w:val="28"/>
        </w:rPr>
        <w:t>日前以书面形式发出的招标文件的澄清(答疑)纪要、修改(补充)函件，均是招标文件的组成部分，对招标人投标人起约束作用。</w:t>
      </w:r>
    </w:p>
    <w:p w14:paraId="377EF1EF">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7.3投标人购取招标文件后，应仔细检查招标文件的所有内容，如有残缺应在领到招标文件后</w:t>
      </w:r>
      <w:r>
        <w:rPr>
          <w:rFonts w:hint="eastAsia" w:ascii="仿宋_GB2312" w:hAnsi="仿宋_GB2312" w:eastAsia="仿宋_GB2312" w:cs="仿宋_GB2312"/>
          <w:bCs/>
          <w:kern w:val="0"/>
          <w:sz w:val="28"/>
          <w:szCs w:val="28"/>
          <w:u w:val="single"/>
        </w:rPr>
        <w:t xml:space="preserve"> 2</w:t>
      </w:r>
      <w:r>
        <w:rPr>
          <w:rFonts w:hint="eastAsia" w:ascii="仿宋_GB2312" w:hAnsi="仿宋_GB2312" w:eastAsia="仿宋_GB2312" w:cs="仿宋_GB2312"/>
          <w:bCs/>
          <w:kern w:val="0"/>
          <w:sz w:val="28"/>
          <w:szCs w:val="28"/>
        </w:rPr>
        <w:t>日内向招标人提出，否则，由此引起的投标损失自负。投标人同时应认真审阅招标文件中所有的事项、条款、格式和标准要求等，如果投标人的投标文件没有按照招标文件要求提交全部资料或者投标文件没有对招标文件做出实质性响应，其风险应由投标人自行承担，并且根据有关条款规定，其投标有可能被拒绝。</w:t>
      </w:r>
    </w:p>
    <w:p w14:paraId="2EC381C0">
      <w:pPr>
        <w:pStyle w:val="51"/>
        <w:spacing w:line="560" w:lineRule="exact"/>
        <w:ind w:firstLine="561"/>
        <w:rPr>
          <w:rFonts w:ascii="仿宋" w:hAnsi="仿宋" w:eastAsia="仿宋"/>
          <w:b/>
          <w:bCs/>
          <w:kern w:val="0"/>
          <w:sz w:val="28"/>
          <w:szCs w:val="28"/>
        </w:rPr>
      </w:pPr>
      <w:r>
        <w:rPr>
          <w:rFonts w:hint="eastAsia" w:ascii="仿宋_GB2312" w:hAnsi="仿宋_GB2312" w:eastAsia="仿宋_GB2312" w:cs="仿宋_GB2312"/>
          <w:b/>
          <w:bCs/>
          <w:kern w:val="0"/>
          <w:sz w:val="28"/>
          <w:szCs w:val="28"/>
        </w:rPr>
        <w:t>8.招标文件的澄清</w:t>
      </w:r>
    </w:p>
    <w:p w14:paraId="36639B73">
      <w:pPr>
        <w:pStyle w:val="23"/>
        <w:spacing w:line="560" w:lineRule="exact"/>
        <w:ind w:firstLine="557"/>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8.1 投标人若对招标文件有疑问，需要招标人予以澄清，应于投标截止日期之前</w:t>
      </w:r>
      <w:r>
        <w:rPr>
          <w:rFonts w:hint="eastAsia" w:ascii="仿宋_GB2312" w:hAnsi="仿宋_GB2312" w:eastAsia="仿宋_GB2312" w:cs="仿宋_GB2312"/>
          <w:bCs/>
          <w:kern w:val="0"/>
          <w:sz w:val="28"/>
          <w:szCs w:val="28"/>
          <w:u w:val="single"/>
        </w:rPr>
        <w:t xml:space="preserve"> 3 </w:t>
      </w:r>
      <w:r>
        <w:rPr>
          <w:rFonts w:hint="eastAsia" w:ascii="仿宋_GB2312" w:hAnsi="仿宋_GB2312" w:eastAsia="仿宋_GB2312" w:cs="仿宋_GB2312"/>
          <w:bCs/>
          <w:kern w:val="0"/>
          <w:sz w:val="28"/>
          <w:szCs w:val="28"/>
        </w:rPr>
        <w:t xml:space="preserve">日以书面形式向招标人提出，送至招标公告中的招标人地址。不论是招标人根据需要主动对招标文件进行必要的澄清或是根据投标人的要求对招标文件做出澄清，招标人都将在投标截止日期前 </w:t>
      </w:r>
      <w:r>
        <w:rPr>
          <w:rFonts w:hint="eastAsia" w:ascii="仿宋_GB2312" w:hAnsi="仿宋_GB2312" w:eastAsia="仿宋_GB2312" w:cs="仿宋_GB2312"/>
          <w:bCs/>
          <w:kern w:val="0"/>
          <w:sz w:val="28"/>
          <w:szCs w:val="28"/>
          <w:u w:val="single"/>
        </w:rPr>
        <w:t xml:space="preserve"> 2 </w:t>
      </w:r>
      <w:r>
        <w:rPr>
          <w:rFonts w:hint="eastAsia" w:ascii="仿宋_GB2312" w:hAnsi="仿宋_GB2312" w:eastAsia="仿宋_GB2312" w:cs="仿宋_GB2312"/>
          <w:bCs/>
          <w:kern w:val="0"/>
          <w:sz w:val="28"/>
          <w:szCs w:val="28"/>
        </w:rPr>
        <w:t>日前以书面形式发出澄清纪要，同时将澄清纪要寄送给所有投标人。投标人收到招标人书面答复时，应办理签收手续。招标文件的澄清作为招标文件的组成部分，具有约束力。</w:t>
      </w:r>
    </w:p>
    <w:p w14:paraId="79FB35AD">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9.招标文件的修改</w:t>
      </w:r>
    </w:p>
    <w:p w14:paraId="2A045F4C">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9.1 招标文件发出后，在投标截止日期前</w:t>
      </w:r>
      <w:r>
        <w:rPr>
          <w:rFonts w:hint="eastAsia" w:ascii="仿宋_GB2312" w:hAnsi="仿宋_GB2312" w:eastAsia="仿宋_GB2312" w:cs="仿宋_GB2312"/>
          <w:bCs/>
          <w:kern w:val="0"/>
          <w:sz w:val="28"/>
          <w:szCs w:val="28"/>
          <w:u w:val="single"/>
        </w:rPr>
        <w:t xml:space="preserve"> 2</w:t>
      </w:r>
      <w:r>
        <w:rPr>
          <w:rFonts w:hint="eastAsia" w:ascii="仿宋_GB2312" w:hAnsi="仿宋_GB2312" w:eastAsia="仿宋_GB2312" w:cs="仿宋_GB2312"/>
          <w:bCs/>
          <w:kern w:val="0"/>
          <w:sz w:val="28"/>
          <w:szCs w:val="28"/>
        </w:rPr>
        <w:t>日的任何时候，确需要变更招标内容的，招标人可主动或在解答投标人提出的澄清问题时对招标文件进行修改。</w:t>
      </w:r>
    </w:p>
    <w:p w14:paraId="7A310EB8">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9.2 招标文件的修改将以书面形式寄送给所有投标人，招标文件的修改作为招标文件的组成部分，并具有约束力。投标人收到招标人的修改函件时，应办理签收手续。</w:t>
      </w:r>
    </w:p>
    <w:p w14:paraId="1D76D35C">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9.3 招标文件、招标文件澄清(答疑)纪要、招标文件修改(补充)函件内容均以书面明确的内容为准。当招标文件、澄清(答疑)纪要、修改(补充)函件内容相互矛盾时，以最后发出的为准。</w:t>
      </w:r>
    </w:p>
    <w:p w14:paraId="61CBD699">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9.4 招标人保证招标文件澄清(答疑)纪要、招标文件修改(补充)函件在投标截止时间至少</w:t>
      </w:r>
      <w:r>
        <w:rPr>
          <w:rFonts w:hint="eastAsia" w:ascii="仿宋_GB2312" w:hAnsi="仿宋_GB2312" w:eastAsia="仿宋_GB2312" w:cs="仿宋_GB2312"/>
          <w:bCs/>
          <w:kern w:val="0"/>
          <w:sz w:val="28"/>
          <w:szCs w:val="28"/>
          <w:u w:val="single"/>
        </w:rPr>
        <w:t>2</w:t>
      </w:r>
      <w:r>
        <w:rPr>
          <w:rFonts w:hint="eastAsia" w:ascii="仿宋_GB2312" w:hAnsi="仿宋_GB2312" w:eastAsia="仿宋_GB2312" w:cs="仿宋_GB2312"/>
          <w:bCs/>
          <w:kern w:val="0"/>
          <w:sz w:val="28"/>
          <w:szCs w:val="28"/>
        </w:rPr>
        <w:t>日前以书面形式发给所有投标人。为使投标人在编写投标文件时有充分时间对招标文件的修改(补充)部分进行研究，招标人可以酌情延长递交投标文件的截止日期，具体时间将在修改(补充)函件中明确。</w:t>
      </w:r>
    </w:p>
    <w:p w14:paraId="52B0454F">
      <w:pPr>
        <w:pStyle w:val="51"/>
        <w:spacing w:line="560" w:lineRule="exact"/>
        <w:ind w:firstLine="560"/>
        <w:rPr>
          <w:rFonts w:ascii="仿宋_GB2312" w:hAnsi="仿宋_GB2312" w:eastAsia="仿宋_GB2312" w:cs="仿宋_GB2312"/>
          <w:bCs/>
          <w:kern w:val="0"/>
          <w:sz w:val="28"/>
          <w:szCs w:val="28"/>
        </w:rPr>
      </w:pPr>
    </w:p>
    <w:p w14:paraId="3497B0E1">
      <w:pPr>
        <w:pStyle w:val="51"/>
        <w:spacing w:line="560" w:lineRule="exact"/>
        <w:ind w:firstLine="560"/>
        <w:rPr>
          <w:rFonts w:ascii="仿宋_GB2312" w:hAnsi="宋体" w:eastAsia="仿宋_GB2312"/>
          <w:bCs/>
          <w:kern w:val="0"/>
          <w:sz w:val="28"/>
          <w:szCs w:val="28"/>
        </w:rPr>
      </w:pPr>
    </w:p>
    <w:p w14:paraId="494F17AE">
      <w:pPr>
        <w:pStyle w:val="7"/>
        <w:spacing w:before="0" w:after="0" w:line="400" w:lineRule="exact"/>
        <w:jc w:val="center"/>
        <w:rPr>
          <w:rFonts w:ascii="黑体" w:hAnsi="黑体" w:eastAsia="黑体"/>
          <w:b w:val="0"/>
          <w:kern w:val="0"/>
          <w:sz w:val="36"/>
          <w:szCs w:val="36"/>
        </w:rPr>
      </w:pPr>
      <w:bookmarkStart w:id="74" w:name="_Toc17563"/>
      <w:bookmarkStart w:id="75" w:name="_Toc87887971"/>
      <w:bookmarkStart w:id="76" w:name="_Toc2534"/>
      <w:r>
        <w:rPr>
          <w:rFonts w:hint="eastAsia" w:ascii="黑体" w:hAnsi="黑体" w:eastAsia="黑体"/>
          <w:b w:val="0"/>
          <w:kern w:val="0"/>
          <w:sz w:val="36"/>
          <w:szCs w:val="36"/>
        </w:rPr>
        <w:t>（三）投标文件的编制</w:t>
      </w:r>
      <w:bookmarkEnd w:id="74"/>
      <w:bookmarkEnd w:id="75"/>
      <w:bookmarkEnd w:id="76"/>
    </w:p>
    <w:p w14:paraId="7168B603">
      <w:pPr>
        <w:pStyle w:val="23"/>
        <w:spacing w:line="560" w:lineRule="exact"/>
        <w:ind w:firstLine="562"/>
        <w:rPr>
          <w:rFonts w:ascii="仿宋_GB2312" w:hAnsi="宋体" w:eastAsia="仿宋_GB2312"/>
          <w:b/>
          <w:bCs/>
          <w:kern w:val="0"/>
          <w:sz w:val="28"/>
          <w:szCs w:val="28"/>
        </w:rPr>
      </w:pPr>
    </w:p>
    <w:p w14:paraId="7F682639">
      <w:pPr>
        <w:pStyle w:val="23"/>
        <w:spacing w:line="560" w:lineRule="exact"/>
        <w:ind w:firstLine="56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10.投标文件的语言及度量单位</w:t>
      </w:r>
    </w:p>
    <w:p w14:paraId="3FF364E1">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10.1 投标人与招标人之间与投标有关的所有往来通知、函件和投标文件均应使用中文。投标人随投标文件提供的证明文件和资料可以为其它语言，但必须附中文译文，并且，为了解释投标文件，应以中文为准。</w:t>
      </w:r>
    </w:p>
    <w:p w14:paraId="4AE74477">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10.2 除另有规定外，投标文件使用的度量单位，均采用中华人民共和国法定计量单位。</w:t>
      </w:r>
    </w:p>
    <w:p w14:paraId="5E025FAC">
      <w:pPr>
        <w:pStyle w:val="23"/>
        <w:spacing w:line="560" w:lineRule="exact"/>
        <w:ind w:firstLine="56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11.投标文件的组成</w:t>
      </w:r>
    </w:p>
    <w:p w14:paraId="52D9050E">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11.1 投标文件由</w:t>
      </w:r>
      <w:r>
        <w:rPr>
          <w:rFonts w:hint="eastAsia" w:ascii="仿宋_GB2312" w:hAnsi="仿宋_GB2312" w:eastAsia="仿宋_GB2312" w:cs="仿宋_GB2312"/>
          <w:sz w:val="28"/>
          <w:szCs w:val="28"/>
        </w:rPr>
        <w:t>☑</w:t>
      </w:r>
      <w:r>
        <w:rPr>
          <w:rFonts w:hint="eastAsia" w:ascii="仿宋_GB2312" w:hAnsi="仿宋_GB2312" w:eastAsia="仿宋_GB2312" w:cs="仿宋_GB2312"/>
          <w:bCs/>
          <w:kern w:val="0"/>
          <w:sz w:val="28"/>
          <w:szCs w:val="28"/>
        </w:rPr>
        <w:t>资信标部分</w:t>
      </w:r>
      <w:r>
        <w:rPr>
          <w:rFonts w:hint="eastAsia" w:ascii="仿宋_GB2312" w:hAnsi="仿宋_GB2312" w:eastAsia="仿宋_GB2312" w:cs="仿宋_GB2312"/>
          <w:sz w:val="28"/>
          <w:szCs w:val="28"/>
        </w:rPr>
        <w:t>☑</w:t>
      </w:r>
      <w:r>
        <w:rPr>
          <w:rFonts w:hint="eastAsia" w:ascii="仿宋_GB2312" w:hAnsi="仿宋_GB2312" w:eastAsia="仿宋_GB2312" w:cs="仿宋_GB2312"/>
          <w:bCs/>
          <w:kern w:val="0"/>
          <w:sz w:val="28"/>
          <w:szCs w:val="28"/>
        </w:rPr>
        <w:t>商务标部分</w:t>
      </w:r>
      <w:r>
        <w:rPr>
          <w:rFonts w:hint="eastAsia" w:ascii="仿宋_GB2312" w:hAnsi="仿宋_GB2312" w:eastAsia="仿宋_GB2312" w:cs="仿宋_GB2312"/>
          <w:sz w:val="28"/>
          <w:szCs w:val="28"/>
        </w:rPr>
        <w:t>☑资格审查文件☑投标函部分</w:t>
      </w:r>
      <w:r>
        <w:rPr>
          <w:rFonts w:hint="eastAsia" w:ascii="仿宋_GB2312" w:hAnsi="仿宋_GB2312" w:eastAsia="仿宋_GB2312" w:cs="仿宋_GB2312"/>
          <w:bCs/>
          <w:kern w:val="0"/>
          <w:sz w:val="28"/>
          <w:szCs w:val="28"/>
        </w:rPr>
        <w:t>。</w:t>
      </w:r>
    </w:p>
    <w:p w14:paraId="3EDEABA2">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11.2投标函部分主要包括下列内容：</w:t>
      </w:r>
    </w:p>
    <w:p w14:paraId="047CCFDD">
      <w:pPr>
        <w:pStyle w:val="51"/>
        <w:spacing w:line="560" w:lineRule="exact"/>
        <w:ind w:firstLine="560"/>
        <w:jc w:val="left"/>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11.2.1</w:t>
      </w:r>
      <w:r>
        <w:rPr>
          <w:rFonts w:hint="eastAsia" w:ascii="仿宋_GB2312" w:hAnsi="仿宋_GB2312" w:eastAsia="仿宋_GB2312" w:cs="仿宋_GB2312"/>
          <w:bCs/>
          <w:kern w:val="0"/>
          <w:sz w:val="28"/>
          <w:szCs w:val="28"/>
        </w:rPr>
        <w:t>法定代表人身份证明书；</w:t>
      </w:r>
    </w:p>
    <w:p w14:paraId="5856B719">
      <w:pPr>
        <w:pStyle w:val="51"/>
        <w:spacing w:line="560" w:lineRule="exact"/>
        <w:ind w:firstLine="56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11.2.2投标文件签署授权委托书；</w:t>
      </w:r>
    </w:p>
    <w:p w14:paraId="199837F8">
      <w:pPr>
        <w:pStyle w:val="51"/>
        <w:spacing w:line="56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bCs/>
          <w:kern w:val="0"/>
          <w:sz w:val="28"/>
          <w:szCs w:val="28"/>
        </w:rPr>
        <w:t>11.2.3投标函；</w:t>
      </w:r>
    </w:p>
    <w:p w14:paraId="5219DB64">
      <w:pPr>
        <w:pStyle w:val="51"/>
        <w:spacing w:line="56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11.2.4</w:t>
      </w:r>
      <w:r>
        <w:rPr>
          <w:rFonts w:hint="eastAsia" w:ascii="仿宋_GB2312" w:hAnsi="仿宋_GB2312" w:eastAsia="仿宋_GB2312" w:cs="仿宋_GB2312"/>
          <w:bCs/>
          <w:kern w:val="0"/>
          <w:sz w:val="28"/>
          <w:szCs w:val="28"/>
        </w:rPr>
        <w:t>投标保函或投标保证金收讫证明文件；</w:t>
      </w:r>
    </w:p>
    <w:p w14:paraId="741A6176">
      <w:pPr>
        <w:pStyle w:val="51"/>
        <w:spacing w:line="56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11.3.5廉洁投标承诺书；</w:t>
      </w:r>
    </w:p>
    <w:p w14:paraId="24B170A8">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11.3资信标部分主要包括下列内容：</w:t>
      </w:r>
    </w:p>
    <w:p w14:paraId="51FA3D3A">
      <w:pPr>
        <w:pStyle w:val="51"/>
        <w:spacing w:line="56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11.3.1投标人资质情况；</w:t>
      </w:r>
    </w:p>
    <w:p w14:paraId="4BDE1858">
      <w:pPr>
        <w:pStyle w:val="51"/>
        <w:spacing w:line="56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11.3.2投标人</w:t>
      </w:r>
      <w:r>
        <w:rPr>
          <w:rFonts w:hint="eastAsia" w:ascii="仿宋" w:hAnsi="仿宋" w:eastAsia="仿宋"/>
          <w:kern w:val="0"/>
          <w:sz w:val="28"/>
          <w:szCs w:val="28"/>
        </w:rPr>
        <w:t>主体资格</w:t>
      </w:r>
      <w:r>
        <w:rPr>
          <w:rFonts w:hint="eastAsia" w:ascii="仿宋_GB2312" w:hAnsi="仿宋_GB2312" w:eastAsia="仿宋_GB2312" w:cs="仿宋_GB2312"/>
          <w:kern w:val="0"/>
          <w:sz w:val="28"/>
          <w:szCs w:val="28"/>
        </w:rPr>
        <w:t>；</w:t>
      </w:r>
    </w:p>
    <w:p w14:paraId="108C0B82">
      <w:pPr>
        <w:pStyle w:val="51"/>
        <w:spacing w:line="56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11.3.3投标人营业收入等财务状况；</w:t>
      </w:r>
    </w:p>
    <w:p w14:paraId="4C058E16">
      <w:pPr>
        <w:pStyle w:val="51"/>
        <w:spacing w:line="56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11.3.4投标人纳税情况；</w:t>
      </w:r>
    </w:p>
    <w:p w14:paraId="36405472">
      <w:pPr>
        <w:pStyle w:val="51"/>
        <w:spacing w:line="56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11.3.5投标人业绩情况；</w:t>
      </w:r>
    </w:p>
    <w:p w14:paraId="65D9B386">
      <w:pPr>
        <w:pStyle w:val="51"/>
        <w:spacing w:line="560" w:lineRule="exact"/>
        <w:ind w:firstLine="56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11.3.6投标人综合实力与信誉；</w:t>
      </w:r>
    </w:p>
    <w:p w14:paraId="5B9980D7">
      <w:pPr>
        <w:pStyle w:val="51"/>
        <w:spacing w:line="560" w:lineRule="exact"/>
        <w:ind w:firstLine="560"/>
        <w:jc w:val="left"/>
        <w:rPr>
          <w:rFonts w:ascii="仿宋_GB2312" w:hAnsi="仿宋_GB2312" w:eastAsia="仿宋_GB2312" w:cs="仿宋_GB2312"/>
          <w:bCs/>
          <w:kern w:val="0"/>
          <w:sz w:val="28"/>
          <w:szCs w:val="28"/>
        </w:rPr>
      </w:pPr>
      <w:r>
        <w:rPr>
          <w:rFonts w:hint="eastAsia" w:ascii="仿宋_GB2312" w:hAnsi="仿宋_GB2312" w:eastAsia="仿宋_GB2312" w:cs="仿宋_GB2312"/>
          <w:kern w:val="0"/>
          <w:sz w:val="28"/>
          <w:szCs w:val="28"/>
        </w:rPr>
        <w:t>11.3.7</w:t>
      </w:r>
      <w:r>
        <w:rPr>
          <w:rFonts w:hint="eastAsia" w:ascii="仿宋_GB2312" w:hAnsi="仿宋_GB2312" w:eastAsia="仿宋_GB2312" w:cs="仿宋_GB2312"/>
          <w:bCs/>
          <w:kern w:val="0"/>
          <w:sz w:val="28"/>
          <w:szCs w:val="28"/>
        </w:rPr>
        <w:t>招标人要求提供的与投标人资信评审有关的其他材料。</w:t>
      </w:r>
    </w:p>
    <w:p w14:paraId="544FFB9D">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11.4 商务标部分主要包括下列内容：</w:t>
      </w:r>
    </w:p>
    <w:p w14:paraId="2D2BD1EA">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 xml:space="preserve">11.4.1报价表； </w:t>
      </w:r>
    </w:p>
    <w:p w14:paraId="2C4BD9AD">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11.4.2招标文件要求投标人提交的其他投标资料。</w:t>
      </w:r>
    </w:p>
    <w:p w14:paraId="16FD47D0">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11.5技术标部分要求：</w:t>
      </w:r>
    </w:p>
    <w:p w14:paraId="35575B69">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技术标格式由投标人自拟,内容应满足技术标评审要求。</w:t>
      </w:r>
    </w:p>
    <w:p w14:paraId="562529DA">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11.6资格审查方式为资格后审的，投标人还应提交资格审查文件：</w:t>
      </w:r>
    </w:p>
    <w:p w14:paraId="0341C89F">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11.6.1投标人营业执照；</w:t>
      </w:r>
    </w:p>
    <w:p w14:paraId="47FCB946">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11.6.2投标人资质证书；</w:t>
      </w:r>
    </w:p>
    <w:p w14:paraId="1BAFEA30">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11.6.3投标人拟派出的项目负责人资格证书；</w:t>
      </w:r>
    </w:p>
    <w:p w14:paraId="3718298B">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 xml:space="preserve">11.6.4招标人要求提供的与投标人条件审查有关的其他资格证明材料。 </w:t>
      </w:r>
    </w:p>
    <w:p w14:paraId="35B6EC3B">
      <w:pPr>
        <w:pStyle w:val="23"/>
        <w:spacing w:line="560" w:lineRule="exact"/>
        <w:ind w:firstLine="56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12.投标文件电子文档的提交及要求</w:t>
      </w:r>
    </w:p>
    <w:p w14:paraId="693046E8">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12.1 投标人在提交书面投标文件的同时，应提交该投标文件的电子文档。</w:t>
      </w:r>
    </w:p>
    <w:p w14:paraId="421CEC3E">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12.2 电子文档的格式要求： 采用word/Excel/PDF形式。</w:t>
      </w:r>
    </w:p>
    <w:p w14:paraId="78270D92">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12.3投标文件的电子文档，必须提供一份只读U盘，并在U盘上注明投标人名称、服务名称。</w:t>
      </w:r>
    </w:p>
    <w:p w14:paraId="35F7A79E">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12.4 投标人提交的书面投标文件的实质内容应与提交的电子文档的实质内容完全一致。如果评标委员会发现两者的实质内容不一致，将按不利于投标人的原则予以处置。因此产生的一切责任均由投标人承担。</w:t>
      </w:r>
    </w:p>
    <w:p w14:paraId="283015E2">
      <w:pPr>
        <w:pStyle w:val="23"/>
        <w:spacing w:line="560" w:lineRule="exact"/>
        <w:ind w:firstLine="56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13.投标文件的格式要求</w:t>
      </w:r>
    </w:p>
    <w:p w14:paraId="3976F131">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13.1投标文件包括本须知第16条中规定的内容，投标人提交的投标文件必须毫无例外地使用招标文件所提供的投标文件格式，详见招标文件第七章—投标文件格式(表格可以按同样格式扩展)。</w:t>
      </w:r>
    </w:p>
    <w:p w14:paraId="7FA94B96">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13.2投标文件的正本和副本均需打印或使用不褪色的墨水笔书写，字迹应清晰易于辨认，并在投标文件封面的右上角清楚地注明“正本”或“副本”。正本和副本如有不一致之处，以正本为准。</w:t>
      </w:r>
    </w:p>
    <w:p w14:paraId="56B9EF1C">
      <w:pPr>
        <w:pStyle w:val="23"/>
        <w:spacing w:line="560" w:lineRule="exact"/>
        <w:ind w:firstLine="56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14.投标文件的数量要求</w:t>
      </w:r>
    </w:p>
    <w:p w14:paraId="59DE88CC">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14.1 投标人应按</w:t>
      </w:r>
      <w:r>
        <w:rPr>
          <w:rFonts w:hint="eastAsia" w:ascii="仿宋_GB2312" w:hAnsi="仿宋_GB2312" w:eastAsia="仿宋_GB2312" w:cs="仿宋_GB2312"/>
          <w:kern w:val="0"/>
          <w:sz w:val="28"/>
          <w:szCs w:val="28"/>
        </w:rPr>
        <w:t>“投标前须知附表1”</w:t>
      </w:r>
      <w:r>
        <w:rPr>
          <w:rFonts w:hint="eastAsia" w:ascii="仿宋_GB2312" w:hAnsi="仿宋_GB2312" w:eastAsia="仿宋_GB2312" w:cs="仿宋_GB2312"/>
          <w:bCs/>
          <w:kern w:val="0"/>
          <w:sz w:val="28"/>
          <w:szCs w:val="28"/>
        </w:rPr>
        <w:t>规定份数提交投标文件。</w:t>
      </w:r>
    </w:p>
    <w:p w14:paraId="7B8A4504">
      <w:pPr>
        <w:pStyle w:val="23"/>
        <w:spacing w:line="560" w:lineRule="exact"/>
        <w:ind w:firstLine="55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15.投标文件的签署</w:t>
      </w:r>
    </w:p>
    <w:p w14:paraId="70603FB0">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15.1 投标文件应根据第七章—投标文件格式要求加盖投标人印章并经法定代表人或其委托代理人签字或盖章。由委托代理人签字或盖章的在投标文件中须同时提交投标文件签署授权委托书。投标文件签署授权委托书应符合第七章—投标文件格式投标函部分的要求。</w:t>
      </w:r>
    </w:p>
    <w:p w14:paraId="5447B885">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15.2商务标书符合招标文件规定；</w:t>
      </w:r>
    </w:p>
    <w:p w14:paraId="41332F6F">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15.3签字的造价人员对其签认的投标文件的真实性、合法性承担个人执业责任(但并不因此免除投标人应承担的法律责任)。</w:t>
      </w:r>
    </w:p>
    <w:p w14:paraId="1CBCD987">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15.4 除投标人对错误处须修改外，全套投标文件应无涂改或增删，如有修改，修改处应由投标人加盖投标人的印章或由投标文件签字人签字或盖章。</w:t>
      </w:r>
    </w:p>
    <w:p w14:paraId="7B1D4670">
      <w:pPr>
        <w:pStyle w:val="23"/>
        <w:spacing w:line="560" w:lineRule="exact"/>
        <w:ind w:firstLine="56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16.投标报价</w:t>
      </w:r>
    </w:p>
    <w:p w14:paraId="524E2D86">
      <w:pPr>
        <w:pStyle w:val="23"/>
        <w:spacing w:line="560" w:lineRule="exact"/>
        <w:ind w:firstLine="560"/>
        <w:rPr>
          <w:rFonts w:ascii="仿宋" w:hAnsi="仿宋" w:eastAsia="仿宋"/>
          <w:bCs/>
          <w:kern w:val="0"/>
          <w:sz w:val="28"/>
          <w:szCs w:val="28"/>
        </w:rPr>
      </w:pPr>
      <w:r>
        <w:rPr>
          <w:rFonts w:hint="eastAsia" w:ascii="仿宋_GB2312" w:hAnsi="仿宋_GB2312" w:eastAsia="仿宋_GB2312" w:cs="仿宋_GB2312"/>
          <w:bCs/>
          <w:kern w:val="0"/>
          <w:sz w:val="28"/>
          <w:szCs w:val="28"/>
        </w:rPr>
        <w:t>16.1投标报价是投标人的投标文件中提出的各项支付费用的金额总和。投标人的投标报价应保证在投标有效期内有效，在合同执行期内是固定不变。</w:t>
      </w:r>
    </w:p>
    <w:p w14:paraId="19A5E02C">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16.2投标人的投标报价应是合同上所列的各项内容的全部。</w:t>
      </w:r>
    </w:p>
    <w:p w14:paraId="1A82237C">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16.2.1投标人若是提供了可变动价格或包含价格调整要求投标，其投标将会被拒绝。</w:t>
      </w:r>
    </w:p>
    <w:p w14:paraId="6FD9966C">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16.2.2投标人若是提供了两个（含两个）以上报价，且未明确哪个是有效报价，其投标将会被拒绝（除允许提供备选方案的）。</w:t>
      </w:r>
    </w:p>
    <w:p w14:paraId="65ABF23F">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16.3投标报价的招标控制价见</w:t>
      </w:r>
      <w:r>
        <w:rPr>
          <w:rFonts w:hint="eastAsia" w:ascii="仿宋_GB2312" w:hAnsi="仿宋_GB2312" w:eastAsia="仿宋_GB2312" w:cs="仿宋_GB2312"/>
          <w:kern w:val="0"/>
          <w:sz w:val="28"/>
          <w:szCs w:val="28"/>
        </w:rPr>
        <w:t>“投标前须知附表2”</w:t>
      </w:r>
      <w:r>
        <w:rPr>
          <w:rFonts w:hint="eastAsia" w:ascii="仿宋_GB2312" w:hAnsi="仿宋_GB2312" w:eastAsia="仿宋_GB2312" w:cs="仿宋_GB2312"/>
          <w:bCs/>
          <w:kern w:val="0"/>
          <w:sz w:val="28"/>
          <w:szCs w:val="28"/>
        </w:rPr>
        <w:t>。</w:t>
      </w:r>
    </w:p>
    <w:p w14:paraId="433DB6A9">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16.4招标人不接受任何免费赠送的货物或服务。如有，将按缺漏项处理。</w:t>
      </w:r>
    </w:p>
    <w:p w14:paraId="75F171B1">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16.5最低投标报价不得低于成本。</w:t>
      </w:r>
    </w:p>
    <w:p w14:paraId="6BB12F2E">
      <w:pPr>
        <w:pStyle w:val="23"/>
        <w:spacing w:line="560" w:lineRule="exact"/>
        <w:ind w:firstLine="56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17.投标货币</w:t>
      </w:r>
    </w:p>
    <w:p w14:paraId="7FF2BD9C">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17.1 本工程投标报价采用的币种见</w:t>
      </w:r>
      <w:r>
        <w:rPr>
          <w:rFonts w:hint="eastAsia" w:ascii="仿宋_GB2312" w:hAnsi="仿宋_GB2312" w:eastAsia="仿宋_GB2312" w:cs="仿宋_GB2312"/>
          <w:kern w:val="0"/>
          <w:sz w:val="28"/>
          <w:szCs w:val="28"/>
        </w:rPr>
        <w:t>“投标前须知附表1”</w:t>
      </w:r>
      <w:r>
        <w:rPr>
          <w:rFonts w:hint="eastAsia" w:ascii="仿宋_GB2312" w:hAnsi="仿宋_GB2312" w:eastAsia="仿宋_GB2312" w:cs="仿宋_GB2312"/>
          <w:bCs/>
          <w:kern w:val="0"/>
          <w:sz w:val="28"/>
          <w:szCs w:val="28"/>
        </w:rPr>
        <w:t>。</w:t>
      </w:r>
    </w:p>
    <w:p w14:paraId="28AE81DE">
      <w:pPr>
        <w:pStyle w:val="23"/>
        <w:spacing w:line="560" w:lineRule="exact"/>
        <w:ind w:firstLine="56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18.投标有效期</w:t>
      </w:r>
    </w:p>
    <w:p w14:paraId="6B6361F4">
      <w:pPr>
        <w:pStyle w:val="23"/>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18.1 投标有效期见</w:t>
      </w:r>
      <w:r>
        <w:rPr>
          <w:rFonts w:hint="eastAsia" w:ascii="仿宋_GB2312" w:hAnsi="仿宋_GB2312" w:eastAsia="仿宋_GB2312" w:cs="仿宋_GB2312"/>
          <w:kern w:val="0"/>
          <w:sz w:val="28"/>
          <w:szCs w:val="28"/>
        </w:rPr>
        <w:t>“投标前须知附表2”</w:t>
      </w:r>
      <w:r>
        <w:rPr>
          <w:rFonts w:hint="eastAsia" w:ascii="仿宋_GB2312" w:hAnsi="仿宋_GB2312" w:eastAsia="仿宋_GB2312" w:cs="仿宋_GB2312"/>
          <w:bCs/>
          <w:kern w:val="0"/>
          <w:sz w:val="28"/>
          <w:szCs w:val="28"/>
        </w:rPr>
        <w:t>所规定的期限，在此期限内，所有投标文件均保持有效。</w:t>
      </w:r>
    </w:p>
    <w:p w14:paraId="28D11213">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18.2特殊的情况下，在原定投标有效期满之前，招标人可以根据需要以书面形式向投标人提出延长投标有效期的要求，对此要求投标人须以书面形式予以答复，投标人可以拒绝招标人这种要求，而不被没收投标保证金或投标保函。同意延长投标有效期的投标人不能要求也不允许修改其投标文件，但需要相应延长投标担保的有效期，在延长的投标有效期内本须知第19条关于投标保证金或投标保函的退还与没收的规定仍然适用。</w:t>
      </w:r>
    </w:p>
    <w:p w14:paraId="0DDFD45F">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19．投标担保、履约担保</w:t>
      </w:r>
    </w:p>
    <w:p w14:paraId="10DBF8F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19.1投标人应按</w:t>
      </w:r>
      <w:r>
        <w:rPr>
          <w:rFonts w:hint="eastAsia" w:ascii="仿宋_GB2312" w:hAnsi="仿宋_GB2312" w:eastAsia="仿宋_GB2312" w:cs="仿宋_GB2312"/>
          <w:kern w:val="0"/>
          <w:sz w:val="28"/>
          <w:szCs w:val="28"/>
        </w:rPr>
        <w:t>“投标前须知附表1”</w:t>
      </w:r>
      <w:r>
        <w:rPr>
          <w:rFonts w:hint="eastAsia" w:ascii="仿宋_GB2312" w:hAnsi="仿宋_GB2312" w:eastAsia="仿宋_GB2312" w:cs="仿宋_GB2312"/>
          <w:bCs/>
          <w:kern w:val="0"/>
          <w:sz w:val="28"/>
          <w:szCs w:val="28"/>
        </w:rPr>
        <w:t>规定要求提交投标担保。</w:t>
      </w:r>
    </w:p>
    <w:p w14:paraId="2C86C307">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 xml:space="preserve">19.2本项目投标担保： </w:t>
      </w:r>
    </w:p>
    <w:p w14:paraId="073FC0CC">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19.2.1投标担保是为了避免招标人因投标人的行为而蒙受损失，招标人可根据19.2.4规定的条件没收投标保证金或投标保函。</w:t>
      </w:r>
    </w:p>
    <w:p w14:paraId="68052C58">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19.2.2未中标的投标人的投标担保将按照本须知规定的投标有效期或经投标人同意的延长的投标有效期期满后7天内予以退还（不计利息）。</w:t>
      </w:r>
    </w:p>
    <w:p w14:paraId="1A1CE3BE">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19.2.3出现下列情形之一时，招标人应当在7天内退还投标人的投标担保：</w:t>
      </w:r>
    </w:p>
    <w:p w14:paraId="37BAA998">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19.2.3.1中标通知书发出，中标人签订了合同；</w:t>
      </w:r>
    </w:p>
    <w:p w14:paraId="5A37C5D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19.2.3.2招标过程中招标活动因正当理由被招标人宣布终止；</w:t>
      </w:r>
    </w:p>
    <w:p w14:paraId="19F74158">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19.2.3.3招标失败需重新组织招标；</w:t>
      </w:r>
    </w:p>
    <w:p w14:paraId="58A2C153">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19.2.3.4投标有效期满而投标人不同意作出延长。</w:t>
      </w:r>
    </w:p>
    <w:p w14:paraId="55E1025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19.2.4投标人有下列任何情况发生时，投标担保将被没收。给招标人造成的损失超过投标担保金额的，投标人还应当对超过部分给予赔偿。</w:t>
      </w:r>
    </w:p>
    <w:p w14:paraId="69D9E145">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19.2.4.1投标人有弄虚作假或串通投标等违法违规行为；</w:t>
      </w:r>
    </w:p>
    <w:p w14:paraId="0B123A7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19.2.4.2投标人在投标有效期内撤回其投标文件；</w:t>
      </w:r>
    </w:p>
    <w:p w14:paraId="3FAF79CF">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19.2.4.3在规定期限内中标人拒绝与招标人签订合同或不提交履约担保的；</w:t>
      </w:r>
    </w:p>
    <w:p w14:paraId="7C505092">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19.2.4.4投标人资质证书被暂扣或吊销，但仍参与投标的。</w:t>
      </w:r>
    </w:p>
    <w:p w14:paraId="448C3B69">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20.投标人的替代方案</w:t>
      </w:r>
    </w:p>
    <w:p w14:paraId="7DE592AB">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20.1 本项目不接受替代方案。</w:t>
      </w:r>
    </w:p>
    <w:p w14:paraId="7B77020D">
      <w:pPr>
        <w:pStyle w:val="51"/>
        <w:spacing w:line="560" w:lineRule="exact"/>
        <w:ind w:firstLine="560"/>
        <w:rPr>
          <w:rFonts w:ascii="仿宋_GB2312" w:hAnsi="仿宋_GB2312" w:eastAsia="仿宋_GB2312" w:cs="仿宋_GB2312"/>
          <w:bCs/>
          <w:kern w:val="0"/>
          <w:sz w:val="28"/>
          <w:szCs w:val="28"/>
        </w:rPr>
      </w:pPr>
    </w:p>
    <w:p w14:paraId="6EB3BAE6">
      <w:pPr>
        <w:pStyle w:val="7"/>
        <w:spacing w:before="0" w:after="0" w:line="400" w:lineRule="exact"/>
        <w:jc w:val="center"/>
        <w:rPr>
          <w:rFonts w:ascii="黑体" w:hAnsi="黑体" w:eastAsia="黑体"/>
          <w:b w:val="0"/>
          <w:kern w:val="0"/>
          <w:sz w:val="36"/>
          <w:szCs w:val="36"/>
        </w:rPr>
      </w:pPr>
      <w:bookmarkStart w:id="77" w:name="_Toc6295"/>
      <w:bookmarkStart w:id="78" w:name="_Toc14868"/>
      <w:bookmarkStart w:id="79" w:name="_Toc87887972"/>
      <w:r>
        <w:rPr>
          <w:rFonts w:hint="eastAsia" w:ascii="黑体" w:hAnsi="黑体" w:eastAsia="黑体"/>
          <w:b w:val="0"/>
          <w:kern w:val="0"/>
          <w:sz w:val="36"/>
          <w:szCs w:val="36"/>
        </w:rPr>
        <w:t>（四）投标文件的提交</w:t>
      </w:r>
      <w:bookmarkEnd w:id="77"/>
      <w:bookmarkEnd w:id="78"/>
      <w:bookmarkEnd w:id="79"/>
    </w:p>
    <w:p w14:paraId="30F2283B">
      <w:pPr>
        <w:pStyle w:val="51"/>
        <w:spacing w:line="560" w:lineRule="exact"/>
        <w:ind w:firstLine="560"/>
        <w:rPr>
          <w:rFonts w:ascii="仿宋" w:hAnsi="仿宋" w:eastAsia="仿宋"/>
          <w:bCs/>
          <w:kern w:val="0"/>
          <w:sz w:val="28"/>
          <w:szCs w:val="28"/>
        </w:rPr>
      </w:pPr>
    </w:p>
    <w:p w14:paraId="5FC94B42">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21.投标文件的密封和标记</w:t>
      </w:r>
    </w:p>
    <w:p w14:paraId="6F979BC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21.1投标文件中的资信标部分、商务标部分、技术标部分、投标函部分、资格审查文件和电子标书应分别密封包装，并在密封袋上相应注明“资格审查文件”、 “资信标部分”“商务标部分”、“投标函部分”“技术标部分”、“电子标书”，并分别注明工程名称、投标人名称。</w:t>
      </w:r>
    </w:p>
    <w:p w14:paraId="7A5AB1D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21.2将密封包装好的资信标部分、商务标部分、技术标部分、资格审查文件和电子标书统一密封包装在一个外密封袋中，并在外密封袋上注明“投标文件”、服务名称、投标人名称，并按前</w:t>
      </w:r>
      <w:r>
        <w:rPr>
          <w:rFonts w:hint="eastAsia" w:ascii="仿宋_GB2312" w:hAnsi="仿宋_GB2312" w:eastAsia="仿宋_GB2312" w:cs="仿宋_GB2312"/>
          <w:kern w:val="0"/>
          <w:sz w:val="28"/>
          <w:szCs w:val="28"/>
        </w:rPr>
        <w:t>“投标前须知附表2”</w:t>
      </w:r>
      <w:r>
        <w:rPr>
          <w:rFonts w:hint="eastAsia" w:ascii="仿宋_GB2312" w:hAnsi="仿宋_GB2312" w:eastAsia="仿宋_GB2312" w:cs="仿宋_GB2312"/>
          <w:bCs/>
          <w:kern w:val="0"/>
          <w:sz w:val="28"/>
          <w:szCs w:val="28"/>
        </w:rPr>
        <w:t>的规定注明开标时间以及“在此之前不得开封”字样。</w:t>
      </w:r>
    </w:p>
    <w:p w14:paraId="36C5FE40">
      <w:pPr>
        <w:pStyle w:val="51"/>
        <w:spacing w:line="560" w:lineRule="exact"/>
        <w:ind w:firstLine="560"/>
        <w:rPr>
          <w:rFonts w:ascii="仿宋" w:hAnsi="仿宋" w:eastAsia="仿宋"/>
          <w:bCs/>
          <w:kern w:val="0"/>
          <w:sz w:val="28"/>
          <w:szCs w:val="28"/>
        </w:rPr>
      </w:pPr>
      <w:r>
        <w:rPr>
          <w:rFonts w:hint="eastAsia" w:ascii="仿宋_GB2312" w:hAnsi="仿宋_GB2312" w:eastAsia="仿宋_GB2312" w:cs="仿宋_GB2312"/>
          <w:bCs/>
          <w:kern w:val="0"/>
          <w:sz w:val="28"/>
          <w:szCs w:val="28"/>
        </w:rPr>
        <w:t>21.3所有密封袋的封口处均应贴封条并骑缝加盖投标人公章。</w:t>
      </w:r>
    </w:p>
    <w:p w14:paraId="302A34BA">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22.投标截止时间</w:t>
      </w:r>
    </w:p>
    <w:p w14:paraId="57AD4BE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22.1 投标人应根据“ 投标前须知附表2”的规定，在投标截止时间前将投标文件送达指定地点。</w:t>
      </w:r>
    </w:p>
    <w:p w14:paraId="38B77FCE">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23.投标文件的补充修改与撤回</w:t>
      </w:r>
    </w:p>
    <w:p w14:paraId="302B802F">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23.1 投标人在递交投标文件以后，在规定的投标截止时间之前，可以书面形式补充、修改或撤回已提交的投标文件，并通知招标人。补充、修改的内容为投标文件的组成部分。</w:t>
      </w:r>
    </w:p>
    <w:p w14:paraId="37CBE37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23.2 投标人的补充、修改或撤回通知，应按本须知第26条有关规定编制、密封、标记和递交，并在密封袋上清楚注明“补充”、“修改”或“撤回”字样。</w:t>
      </w:r>
    </w:p>
    <w:p w14:paraId="032C70DC">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23.3 根据本须知第22条规定，在投标截止时间以后，不得补充、修改投标文件。</w:t>
      </w:r>
    </w:p>
    <w:p w14:paraId="0FDF3678">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24.截标时投标文件的数量要求</w:t>
      </w:r>
    </w:p>
    <w:p w14:paraId="22B59093">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24.1截标时投标文件递交数量不足，则可能推迟招标或重新招标。如导致招标失败，招标人将不负担因此给投标人造成的损失。</w:t>
      </w:r>
    </w:p>
    <w:p w14:paraId="271357A7">
      <w:pPr>
        <w:pStyle w:val="51"/>
        <w:spacing w:line="560" w:lineRule="exact"/>
        <w:ind w:firstLine="560"/>
        <w:rPr>
          <w:rFonts w:ascii="仿宋_GB2312" w:hAnsi="宋体" w:eastAsia="仿宋_GB2312"/>
          <w:bCs/>
          <w:kern w:val="0"/>
          <w:sz w:val="28"/>
          <w:szCs w:val="28"/>
        </w:rPr>
      </w:pPr>
    </w:p>
    <w:p w14:paraId="76B882BE">
      <w:pPr>
        <w:pStyle w:val="7"/>
        <w:spacing w:before="0" w:after="0" w:line="400" w:lineRule="exact"/>
        <w:jc w:val="center"/>
        <w:rPr>
          <w:rFonts w:ascii="黑体" w:hAnsi="黑体" w:eastAsia="黑体"/>
          <w:b w:val="0"/>
          <w:kern w:val="0"/>
          <w:sz w:val="36"/>
          <w:szCs w:val="36"/>
        </w:rPr>
      </w:pPr>
      <w:bookmarkStart w:id="80" w:name="_Toc9452"/>
      <w:bookmarkStart w:id="81" w:name="_Toc14355"/>
      <w:bookmarkStart w:id="82" w:name="_Toc87887973"/>
      <w:r>
        <w:rPr>
          <w:rFonts w:hint="eastAsia" w:ascii="黑体" w:hAnsi="黑体" w:eastAsia="黑体"/>
          <w:b w:val="0"/>
          <w:kern w:val="0"/>
          <w:sz w:val="36"/>
          <w:szCs w:val="36"/>
        </w:rPr>
        <w:t>（五）资格后审</w:t>
      </w:r>
      <w:bookmarkEnd w:id="80"/>
      <w:bookmarkEnd w:id="81"/>
      <w:bookmarkEnd w:id="82"/>
    </w:p>
    <w:p w14:paraId="1A96A244">
      <w:pPr>
        <w:pStyle w:val="51"/>
        <w:spacing w:line="560" w:lineRule="exact"/>
        <w:ind w:firstLine="560"/>
        <w:rPr>
          <w:rFonts w:ascii="仿宋_GB2312" w:hAnsi="宋体" w:eastAsia="仿宋_GB2312"/>
          <w:bCs/>
          <w:kern w:val="0"/>
          <w:sz w:val="28"/>
          <w:szCs w:val="28"/>
        </w:rPr>
      </w:pPr>
    </w:p>
    <w:p w14:paraId="0B174291">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25.资格后审</w:t>
      </w:r>
    </w:p>
    <w:p w14:paraId="7AD369A7">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资格审查方式为资格后审的，其资格审查活动按以下规定进行：</w:t>
      </w:r>
    </w:p>
    <w:p w14:paraId="67B41662">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25.1资格审查由招标人组成的开标小组负责，在截标后对各投标人资格进行审查。</w:t>
      </w:r>
    </w:p>
    <w:p w14:paraId="75B51C1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25.2开标小组开启资格审查文件，严格对照招标公告中要求的投标人资格条件，逐个审查投标人递交的资格证明文件，审核判断投标人是否满足该资格条件。</w:t>
      </w:r>
    </w:p>
    <w:p w14:paraId="05F4893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25.3审查过程中如出现疑问，开标小组可要求投标人进行澄清说明，并根据招标公告设置的条件要求进行判断；如出现投标人资格不符合招标公告设置条件的，应当向投标人说明情况，并允许投标人答辩，记录有关情况。</w:t>
      </w:r>
    </w:p>
    <w:p w14:paraId="1CCDE68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25.4投标人应准备相关原件以备查验。</w:t>
      </w:r>
    </w:p>
    <w:p w14:paraId="545DB40C">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25.5拟进行资格后审澄清、答辩的代表由招标人核对身份。</w:t>
      </w:r>
    </w:p>
    <w:p w14:paraId="19D400D2">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25.6开标小组要求投标人进行澄清、答辩，但投标人在招标人规定时间内未派出人员及时作出澄清、答辩的，开标小组会将可能作出不利于投标人的判定。</w:t>
      </w:r>
    </w:p>
    <w:p w14:paraId="35575DC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25.7资格审查合格投标人少于3家的，不再进行后续招标投标程序。</w:t>
      </w:r>
    </w:p>
    <w:p w14:paraId="4D83A404">
      <w:pPr>
        <w:pStyle w:val="51"/>
        <w:spacing w:line="560" w:lineRule="exact"/>
        <w:ind w:firstLine="560"/>
        <w:rPr>
          <w:rFonts w:ascii="仿宋" w:hAnsi="仿宋" w:eastAsia="仿宋"/>
          <w:bCs/>
          <w:kern w:val="0"/>
          <w:sz w:val="28"/>
          <w:szCs w:val="28"/>
        </w:rPr>
      </w:pPr>
    </w:p>
    <w:p w14:paraId="6298B00D">
      <w:pPr>
        <w:pStyle w:val="51"/>
        <w:spacing w:line="560" w:lineRule="exact"/>
        <w:ind w:firstLine="560"/>
        <w:rPr>
          <w:rFonts w:ascii="仿宋_GB2312" w:hAnsi="宋体" w:eastAsia="仿宋_GB2312"/>
          <w:bCs/>
          <w:kern w:val="0"/>
          <w:sz w:val="28"/>
          <w:szCs w:val="28"/>
        </w:rPr>
      </w:pPr>
    </w:p>
    <w:p w14:paraId="00236DBC">
      <w:pPr>
        <w:pStyle w:val="7"/>
        <w:spacing w:before="0" w:after="0" w:line="400" w:lineRule="exact"/>
        <w:ind w:firstLine="720"/>
        <w:jc w:val="center"/>
        <w:rPr>
          <w:rFonts w:ascii="黑体" w:hAnsi="黑体" w:eastAsia="黑体"/>
          <w:b w:val="0"/>
          <w:kern w:val="0"/>
          <w:sz w:val="36"/>
          <w:szCs w:val="36"/>
        </w:rPr>
      </w:pPr>
      <w:bookmarkStart w:id="83" w:name="_Toc87887974"/>
      <w:bookmarkStart w:id="84" w:name="_Toc16942"/>
      <w:bookmarkStart w:id="85" w:name="_Toc17861"/>
      <w:r>
        <w:rPr>
          <w:rFonts w:hint="eastAsia" w:ascii="黑体" w:hAnsi="黑体" w:eastAsia="黑体"/>
          <w:b w:val="0"/>
          <w:kern w:val="0"/>
          <w:sz w:val="36"/>
          <w:szCs w:val="36"/>
        </w:rPr>
        <w:t>（六）开标</w:t>
      </w:r>
      <w:bookmarkEnd w:id="83"/>
      <w:bookmarkEnd w:id="84"/>
      <w:bookmarkEnd w:id="85"/>
    </w:p>
    <w:p w14:paraId="3CE8431A">
      <w:pPr>
        <w:pStyle w:val="51"/>
        <w:spacing w:line="560" w:lineRule="exact"/>
        <w:ind w:firstLine="560"/>
        <w:rPr>
          <w:rFonts w:ascii="仿宋_GB2312" w:hAnsi="宋体" w:eastAsia="仿宋_GB2312"/>
          <w:bCs/>
          <w:kern w:val="0"/>
          <w:sz w:val="28"/>
          <w:szCs w:val="28"/>
        </w:rPr>
      </w:pPr>
    </w:p>
    <w:p w14:paraId="155FC291">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26.开标</w:t>
      </w:r>
    </w:p>
    <w:p w14:paraId="19E6E592">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26.1 本招标项目招标人将于</w:t>
      </w:r>
      <w:r>
        <w:rPr>
          <w:rFonts w:hint="eastAsia" w:ascii="仿宋_GB2312" w:hAnsi="仿宋_GB2312" w:eastAsia="仿宋_GB2312" w:cs="仿宋_GB2312"/>
          <w:kern w:val="0"/>
          <w:sz w:val="28"/>
          <w:szCs w:val="28"/>
        </w:rPr>
        <w:t>“投标前须知附表2”</w:t>
      </w:r>
      <w:r>
        <w:rPr>
          <w:rFonts w:hint="eastAsia" w:ascii="仿宋_GB2312" w:hAnsi="仿宋_GB2312" w:eastAsia="仿宋_GB2312" w:cs="仿宋_GB2312"/>
          <w:bCs/>
          <w:kern w:val="0"/>
          <w:sz w:val="28"/>
          <w:szCs w:val="28"/>
        </w:rPr>
        <w:t>所规定的时间和地点公开举行开标会议，并邀请所有投标人代表（资格后审不合格单位除外）参加。</w:t>
      </w:r>
    </w:p>
    <w:p w14:paraId="2F89FF91">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26.2 参加开标会议的投标人的法定代表人或其委托代理人应随带本人身份证，委托代理人还应随带“法定代表人证明书”和“法定代表人授权委托书”，以证明其身份。</w:t>
      </w:r>
    </w:p>
    <w:p w14:paraId="3B3EA4C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26.3 开标会议由招标人主持。</w:t>
      </w:r>
    </w:p>
    <w:p w14:paraId="4C89F1DD">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(1)由投标人或投标人代表检查投标文件的密封和标记情况；</w:t>
      </w:r>
    </w:p>
    <w:p w14:paraId="4A18E5B4">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(2)经确认无误后，由招标人当众拆封，宣读投标人名称、投标价格以及投标文件中的其他主要内容。</w:t>
      </w:r>
    </w:p>
    <w:p w14:paraId="7695E47E">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26.4 招标人在投标截止时间前收到的所有投标文件，开标时都应当众拆封、宣读。但按规定提交合格的撤回通知的投标文件不予开封，并退给投标人。</w:t>
      </w:r>
    </w:p>
    <w:p w14:paraId="22B90F61">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26.5按本须知第27条规定宣布为不予受理的投标文件，不予送交评审；其它不属于本须知第27条情形的投标文件均送交评标委员会。</w:t>
      </w:r>
    </w:p>
    <w:p w14:paraId="6248F8F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26.6招标人应对开标过程进行记录，以存档备查。</w:t>
      </w:r>
    </w:p>
    <w:p w14:paraId="3C3D9E87">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27.投标文件的受理</w:t>
      </w:r>
    </w:p>
    <w:p w14:paraId="5E43F30E">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27.1 投标文件有下列情形之一的，招标人将不予受理：</w:t>
      </w:r>
    </w:p>
    <w:p w14:paraId="1EC46F3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27.1.1 在规定投标截止时间以后逾期送达的或者未送达指定地点的；</w:t>
      </w:r>
    </w:p>
    <w:p w14:paraId="1BA2032B">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27.1.2 未按规定密封和骑缝加盖投标人公章的；</w:t>
      </w:r>
    </w:p>
    <w:p w14:paraId="4F97A16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27.1.3 投标文件的投标报价高于招标控制价或投标报价上限的；</w:t>
      </w:r>
    </w:p>
    <w:p w14:paraId="5EB1DAE1">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27.1.4 投标文件承诺的服务周期超过招标文件要求的；</w:t>
      </w:r>
    </w:p>
    <w:p w14:paraId="1A8E1BC5">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27.2 如果招标人根据招标文件的规定难以准确判断某投标人的投标文件是否应予受理的，或有投标人在开标会上对审查程序与结果提出异议的，招标人将记录有关情况提交评标委员会讨论决定。</w:t>
      </w:r>
    </w:p>
    <w:p w14:paraId="1BE2C7E2">
      <w:pPr>
        <w:pStyle w:val="51"/>
        <w:spacing w:line="560" w:lineRule="exact"/>
        <w:ind w:firstLine="560"/>
        <w:rPr>
          <w:rFonts w:ascii="仿宋_GB2312" w:hAnsi="宋体" w:eastAsia="仿宋_GB2312"/>
          <w:bCs/>
          <w:kern w:val="0"/>
          <w:sz w:val="28"/>
          <w:szCs w:val="28"/>
        </w:rPr>
      </w:pPr>
    </w:p>
    <w:p w14:paraId="66EBC59E">
      <w:pPr>
        <w:topLinePunct/>
        <w:adjustRightInd w:val="0"/>
        <w:snapToGrid w:val="0"/>
        <w:spacing w:line="360" w:lineRule="auto"/>
        <w:ind w:firstLine="480" w:firstLineChars="200"/>
        <w:jc w:val="left"/>
        <w:rPr>
          <w:rFonts w:ascii="宋体" w:hAnsi="宋体"/>
          <w:kern w:val="0"/>
          <w:sz w:val="24"/>
          <w:szCs w:val="24"/>
        </w:rPr>
      </w:pPr>
    </w:p>
    <w:p w14:paraId="20FCC665">
      <w:pPr>
        <w:pStyle w:val="7"/>
        <w:spacing w:before="0" w:after="0" w:line="400" w:lineRule="exact"/>
        <w:ind w:firstLine="720"/>
        <w:jc w:val="center"/>
        <w:rPr>
          <w:rFonts w:ascii="黑体" w:hAnsi="黑体" w:eastAsia="黑体"/>
          <w:b w:val="0"/>
          <w:kern w:val="0"/>
          <w:sz w:val="36"/>
          <w:szCs w:val="36"/>
        </w:rPr>
      </w:pPr>
      <w:bookmarkStart w:id="86" w:name="_Toc87887975"/>
      <w:bookmarkStart w:id="87" w:name="_Toc18566"/>
      <w:bookmarkStart w:id="88" w:name="_Toc13727"/>
      <w:r>
        <w:rPr>
          <w:rFonts w:hint="eastAsia" w:ascii="黑体" w:hAnsi="黑体" w:eastAsia="黑体"/>
          <w:b w:val="0"/>
          <w:kern w:val="0"/>
          <w:sz w:val="36"/>
          <w:szCs w:val="36"/>
        </w:rPr>
        <w:t>（七）评  标</w:t>
      </w:r>
      <w:bookmarkEnd w:id="86"/>
      <w:bookmarkEnd w:id="87"/>
      <w:bookmarkEnd w:id="88"/>
    </w:p>
    <w:p w14:paraId="1189CF2C">
      <w:pPr>
        <w:pStyle w:val="51"/>
        <w:spacing w:line="560" w:lineRule="exact"/>
        <w:ind w:firstLine="560"/>
        <w:rPr>
          <w:rFonts w:ascii="仿宋_GB2312" w:hAnsi="宋体" w:eastAsia="仿宋_GB2312"/>
          <w:bCs/>
          <w:kern w:val="0"/>
          <w:sz w:val="28"/>
          <w:szCs w:val="28"/>
        </w:rPr>
      </w:pPr>
    </w:p>
    <w:p w14:paraId="65362BC7">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28.评标委员会和评标</w:t>
      </w:r>
    </w:p>
    <w:p w14:paraId="43C22DCB">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28.1 评标委员会由招标人依法组建，负责评标活动。</w:t>
      </w:r>
    </w:p>
    <w:p w14:paraId="6D7E23E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28.2 开标结束后，开始评标，评标采用保密方式进行。</w:t>
      </w:r>
    </w:p>
    <w:p w14:paraId="0B3CDA99">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29. 招标人将向评标委员会提供以下资料，供评标使用：</w:t>
      </w:r>
    </w:p>
    <w:p w14:paraId="71CD1CB5">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29.1 招标文件，包括补遗文件、答疑文件等；</w:t>
      </w:r>
    </w:p>
    <w:p w14:paraId="290917B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29.2 供评标使用的主要技术资料；</w:t>
      </w:r>
    </w:p>
    <w:p w14:paraId="0868B25C">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29.3 项目概况和评标重点的书面介绍。</w:t>
      </w:r>
    </w:p>
    <w:p w14:paraId="23E2C6B9">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29.4 其他评标必须的资料。</w:t>
      </w:r>
    </w:p>
    <w:p w14:paraId="25A3FFF4">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30.投标文件的初步评审</w:t>
      </w:r>
    </w:p>
    <w:p w14:paraId="2D32CC1D">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30.1由评标委员会进行投标文件的初步评审；</w:t>
      </w:r>
    </w:p>
    <w:p w14:paraId="7C28557C">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30.2投标文件有下列情形之一的，初步评审不通过，应作无效标处理：</w:t>
      </w:r>
    </w:p>
    <w:p w14:paraId="78C36C6F">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30.2.1 投标文件的有关内容未按规定加盖投标人印章、或未经法定代表人或其委托代理人签字(或盖章)、或由委托代理人签字(或盖章)但未随投标文件一起提供“投标文件签署授权委托书”原件的；</w:t>
      </w:r>
    </w:p>
    <w:p w14:paraId="1A648FC1">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30.2.2投标函未按招标文件规填写的；</w:t>
      </w:r>
    </w:p>
    <w:p w14:paraId="3A4FD6B8">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30.2.3招标人要求提交投标文件电子文档，但投标人未提交或提交的电子文档不符合要求的。</w:t>
      </w:r>
    </w:p>
    <w:p w14:paraId="01E2BBB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30.2.4投标人组成联合体投标，但投标文件未按规定附有联合体各方共同投标协议的；</w:t>
      </w:r>
    </w:p>
    <w:p w14:paraId="14F3DB3D">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30.2.5参加联合体的各成员再以自己的名义单独投标的，或同时参加两个或两个以上的联合体投标的；</w:t>
      </w:r>
    </w:p>
    <w:p w14:paraId="3BFEF1EF">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30.2.6投标人资格条件不符合国家有关规定和招标文件要求的。</w:t>
      </w:r>
    </w:p>
    <w:p w14:paraId="65B30583">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31.投标文件的详细评审</w:t>
      </w:r>
    </w:p>
    <w:p w14:paraId="2EE46223">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31.1评标委员会根据“投标前须知附表2”规定的评标方法和标准，对投标文件进行系统的评审和比较，招标文件中没有规定的标准和方法不得作为评标的依据。</w:t>
      </w:r>
    </w:p>
    <w:p w14:paraId="1FCFE9A0">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32.投标文件的重大偏差</w:t>
      </w:r>
    </w:p>
    <w:p w14:paraId="2B8E21D5">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32.1投标文件存在重大偏差的，应作废标处理。下列情况属于重大偏差：</w:t>
      </w:r>
    </w:p>
    <w:p w14:paraId="760A5B5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32.1.1投标人以他人的名义投标或出现下列串通投标、弄虚作假投标嫌疑的：</w:t>
      </w:r>
    </w:p>
    <w:p w14:paraId="476343B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32.1.2投标人资质条件不符合国家有关规定和招标文件要求；</w:t>
      </w:r>
    </w:p>
    <w:p w14:paraId="48E04313">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 xml:space="preserve">32.1.3投标人拒不按照要求对投标文件进行澄清、说明、补正的或评标委员会根据本须知第35.1条规定对投标文件的计算错误进行修正后，投标人不接受修正后的投标报价的； </w:t>
      </w:r>
    </w:p>
    <w:p w14:paraId="2D2E84F7">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32.1.4投标文件附有招标人不能接受的条件；</w:t>
      </w:r>
    </w:p>
    <w:p w14:paraId="6E73482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32.1.5投标文件不满足招标文件规定的任何一项实质性要求的；</w:t>
      </w:r>
    </w:p>
    <w:p w14:paraId="7FA02F4F">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33.投标文件的细微偏差</w:t>
      </w:r>
    </w:p>
    <w:p w14:paraId="1BFC563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33.1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4B86101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33.2评标委员会应当书面要求存在细微偏差的投标人在评标结束前予以补正。拒不补正的，在详细评审时可以对细微偏差作不利于该投标人的量化，量化标准以招标文件规定为准。</w:t>
      </w:r>
    </w:p>
    <w:p w14:paraId="13996AC7">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33.3 在评审过程中，评标委员会可以以书面形式要求投标人就投标文件中含义不明确的内容进行说明并提供相关材料。</w:t>
      </w:r>
    </w:p>
    <w:p w14:paraId="081A9FC4">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34.投标文件的澄清和对答辩人的要求</w:t>
      </w:r>
    </w:p>
    <w:p w14:paraId="0E1C737D">
      <w:pPr>
        <w:pStyle w:val="51"/>
        <w:spacing w:line="560" w:lineRule="exact"/>
        <w:ind w:firstLine="560"/>
        <w:rPr>
          <w:rFonts w:ascii="仿宋" w:hAnsi="仿宋" w:eastAsia="仿宋"/>
          <w:bCs/>
          <w:kern w:val="0"/>
          <w:sz w:val="28"/>
          <w:szCs w:val="28"/>
        </w:rPr>
      </w:pPr>
      <w:r>
        <w:rPr>
          <w:rFonts w:hint="eastAsia" w:ascii="仿宋_GB2312" w:hAnsi="仿宋_GB2312" w:eastAsia="仿宋_GB2312" w:cs="仿宋_GB2312"/>
          <w:bCs/>
          <w:kern w:val="0"/>
          <w:sz w:val="28"/>
          <w:szCs w:val="28"/>
        </w:rPr>
        <w:t>34.1为有助于投标文件的审查、评价和比较，评标委员会可以要求投标人对投标文件含义不明确的内容作必要的澄清或说明，投标人应当进行澄清或说明，但不得超出投标文件的范围或改变投标报价和其他实质性内容。根据本须知第35条规定，凡属于评标委员会在评标中发现的计算错误并进行核实的修改不在此列。</w:t>
      </w:r>
    </w:p>
    <w:p w14:paraId="4C18FC8C">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34.2 评标过程中对各投标单位的答辩人要求如下：</w:t>
      </w:r>
    </w:p>
    <w:p w14:paraId="2AEF8A9C">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34.2.1拟进行投标答辩的，投标人法定代表人或其授权委托人。</w:t>
      </w:r>
    </w:p>
    <w:p w14:paraId="30DECA89">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34.3评标委员会要求投标人进行答辩，但投标人在规定时间内未派出答辩人及时作出答辩的，评标委员会将根据招标文件规定作出不利于投标人的判定。</w:t>
      </w:r>
    </w:p>
    <w:p w14:paraId="68CF4FA2">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35.投标文件计算错误的修正</w:t>
      </w:r>
    </w:p>
    <w:p w14:paraId="4A8C0317">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35.1投标人的投标报价中如出现算术错误，将按以下方法进行调整：</w:t>
      </w:r>
    </w:p>
    <w:p w14:paraId="1D9F25B3">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35.1.1投标文件中大写金额与小写金额不一致的，以大写金额为准；</w:t>
      </w:r>
    </w:p>
    <w:p w14:paraId="4055A65E">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35.1.2总价金额与按单价计算的总金额不一致的，以单价计算的总金额为准。除非评标委员会认为单价有明显的小数点错误，此时应以合价金额为准，调整单价；</w:t>
      </w:r>
    </w:p>
    <w:p w14:paraId="3D66856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35.2投标人的投标报价如果出现缺项、漏项或是修改了本招标项目列明项目的数量情况的，评标委员会应根据具体评标方法和评审标准，按照不利于该投标人的原则进行调整，且投标人不得因此提出任何异议。</w:t>
      </w:r>
    </w:p>
    <w:p w14:paraId="20031DD3">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35.3按照本节第35.1条、第35.2条规定的调整方法确定的调整后报价，须取得投标人同意并书面签字确认。如果投标人拒不接受调整方法以及调整后的报价的，其投标将被拒绝。</w:t>
      </w:r>
    </w:p>
    <w:p w14:paraId="1E13DCA1">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35.4如果出现多报或超出本招标项目列明项目的数量情况的，评标委员会应根据具体评标方法和评审标准，按照不利于该投标人的原则进行调整，且投标人不得因此提出任何异议。</w:t>
      </w:r>
    </w:p>
    <w:p w14:paraId="2A84CB45">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35.5中标人的投标报价是按照本节第35.1条、第35.2条、第35.3条规定的进行了调整的，其中标价按就低不就高的原则确定。如果投标人拒不接受的，其投标将被拒绝。</w:t>
      </w:r>
    </w:p>
    <w:p w14:paraId="3D35BA5D">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35.5.1投标人的投标报价的总价小于调整后的报价，中标价即为投标人的投标报价的总价；投标报价的总价大于调整后的报价，中标价即为调整后的报价。</w:t>
      </w:r>
    </w:p>
    <w:p w14:paraId="4F728239">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36.无效标和废标的处理</w:t>
      </w:r>
    </w:p>
    <w:p w14:paraId="1EE717FD">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36.1除本须知第30.2条和第32.1条明确规定的无效标和废标情形外，评标委员会对投标文件应坚持谨慎确定无效标和废标的原则。</w:t>
      </w:r>
    </w:p>
    <w:p w14:paraId="3F6DEAC4">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36.2评标委员会在作出任何一项无效标和废标决定前，都应当严格遵循以下程序：</w:t>
      </w:r>
    </w:p>
    <w:p w14:paraId="66E13D2A">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36.2.1 要求当事投标人作相应的答辩；</w:t>
      </w:r>
    </w:p>
    <w:p w14:paraId="66DBACBF">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36.2.2 将答辩记录送当事投标人法定代表人或其授权委托人签字确认；</w:t>
      </w:r>
    </w:p>
    <w:p w14:paraId="3B82DBE4">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36.2.3 在充分讨论的基础上集体表决；</w:t>
      </w:r>
    </w:p>
    <w:p w14:paraId="19E918A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36.2.4 若表决通过无效标或废标决定，告知投标当事人，并在评标报告中详细载明无效标或废标的理由、依据、答辩的情况和集体表决的情况(同意无效标或废标和不同意无效标或废标的评标委员会成员均应当注明)。</w:t>
      </w:r>
    </w:p>
    <w:p w14:paraId="591FFE92">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37.中标候选人的推荐或确定</w:t>
      </w:r>
    </w:p>
    <w:p w14:paraId="0279F288">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37.1 评标委员会实行少数服从多数的原则，评标结果经评标委员会全体成员过半数通过有效。</w:t>
      </w:r>
    </w:p>
    <w:p w14:paraId="1C6304BB">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37.2 评标委员会经过对投标文件进行评审和比较后，向招标人提出书面评标报告，并推荐中标候选人。</w:t>
      </w:r>
    </w:p>
    <w:p w14:paraId="38334A98">
      <w:pPr>
        <w:pStyle w:val="51"/>
        <w:spacing w:line="560" w:lineRule="exact"/>
        <w:ind w:firstLine="560"/>
        <w:rPr>
          <w:rFonts w:ascii="仿宋" w:hAnsi="仿宋" w:eastAsia="仿宋"/>
          <w:bCs/>
          <w:kern w:val="0"/>
          <w:sz w:val="28"/>
          <w:szCs w:val="28"/>
        </w:rPr>
      </w:pPr>
      <w:r>
        <w:rPr>
          <w:rFonts w:hint="eastAsia" w:ascii="仿宋_GB2312" w:hAnsi="仿宋_GB2312" w:eastAsia="仿宋_GB2312" w:cs="仿宋_GB2312"/>
          <w:bCs/>
          <w:kern w:val="0"/>
          <w:sz w:val="28"/>
          <w:szCs w:val="28"/>
        </w:rPr>
        <w:t>37.3 招标人根据评标委员会提出的书面评标报告和推荐的中标候选人确定中标人，也可以授权评标委员会直接确定中标人。</w:t>
      </w:r>
    </w:p>
    <w:p w14:paraId="37A612C2">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38.评标过程的保密</w:t>
      </w:r>
    </w:p>
    <w:p w14:paraId="3E35282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38.1 开标后，直到授予中标人合同为止，凡属于对投标文件的审查、澄清、评价和比较有关的资料以及中标侯选人的推荐情况，与评标有关的其他任何情况均严格保密。</w:t>
      </w:r>
    </w:p>
    <w:p w14:paraId="0FC09EC5">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38.2 在投标文件的评审和比较、中标候选人推荐以及授予合同的过程中，投标人不得有向招标人和评标委员会施加影响的任何行为。</w:t>
      </w:r>
    </w:p>
    <w:p w14:paraId="1C7C1205">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38.3 中标人确定后，招标人不对未中标人就评标过程以及未能中标原因作出任何解释。未中标人不得向评标委员会组成人员或其他有关人员索问评标过程的情况和材料。</w:t>
      </w:r>
    </w:p>
    <w:p w14:paraId="741241DE">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39.其它规定</w:t>
      </w:r>
    </w:p>
    <w:p w14:paraId="29742B8C">
      <w:pPr>
        <w:pStyle w:val="51"/>
        <w:spacing w:line="560" w:lineRule="exact"/>
        <w:ind w:firstLine="560"/>
        <w:rPr>
          <w:rFonts w:ascii="仿宋" w:hAnsi="仿宋" w:eastAsia="仿宋"/>
          <w:bCs/>
          <w:kern w:val="0"/>
          <w:sz w:val="28"/>
          <w:szCs w:val="28"/>
        </w:rPr>
      </w:pPr>
      <w:r>
        <w:rPr>
          <w:rFonts w:hint="eastAsia" w:ascii="仿宋_GB2312" w:hAnsi="仿宋_GB2312" w:eastAsia="仿宋_GB2312" w:cs="仿宋_GB2312"/>
          <w:bCs/>
          <w:kern w:val="0"/>
          <w:sz w:val="28"/>
          <w:szCs w:val="28"/>
        </w:rPr>
        <w:t>44.1评标过程中，若评标委员会认为本次招标缺乏竞争性，可以不推荐中标候选人，由招标人重新组织招标。</w:t>
      </w:r>
    </w:p>
    <w:p w14:paraId="4CFB2425">
      <w:pPr>
        <w:pStyle w:val="51"/>
        <w:spacing w:line="560" w:lineRule="exact"/>
        <w:ind w:firstLine="560"/>
        <w:rPr>
          <w:rFonts w:ascii="仿宋_GB2312" w:hAnsi="宋体" w:eastAsia="仿宋_GB2312"/>
          <w:bCs/>
          <w:kern w:val="0"/>
          <w:sz w:val="28"/>
          <w:szCs w:val="28"/>
        </w:rPr>
      </w:pPr>
    </w:p>
    <w:p w14:paraId="6C1A861F">
      <w:pPr>
        <w:pStyle w:val="7"/>
        <w:spacing w:before="0" w:after="0" w:line="400" w:lineRule="exact"/>
        <w:ind w:firstLine="723"/>
        <w:jc w:val="center"/>
        <w:rPr>
          <w:rFonts w:ascii="黑体" w:hAnsi="黑体" w:eastAsia="黑体"/>
          <w:b w:val="0"/>
          <w:kern w:val="0"/>
          <w:sz w:val="36"/>
          <w:szCs w:val="36"/>
        </w:rPr>
      </w:pPr>
      <w:bookmarkStart w:id="89" w:name="_Toc17165"/>
      <w:bookmarkStart w:id="90" w:name="_Toc29873"/>
      <w:bookmarkStart w:id="91" w:name="_Toc87887976"/>
      <w:r>
        <w:rPr>
          <w:rFonts w:hint="eastAsia" w:ascii="黑体" w:hAnsi="黑体" w:eastAsia="黑体"/>
          <w:b w:val="0"/>
          <w:kern w:val="0"/>
          <w:sz w:val="36"/>
          <w:szCs w:val="36"/>
        </w:rPr>
        <w:t>（八）定标</w:t>
      </w:r>
      <w:bookmarkEnd w:id="89"/>
      <w:bookmarkEnd w:id="90"/>
      <w:bookmarkEnd w:id="91"/>
    </w:p>
    <w:p w14:paraId="3475BCCE">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40.中标人确定方式</w:t>
      </w:r>
    </w:p>
    <w:p w14:paraId="26859A08">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40.1招标人根据评标委员会推荐的中标候选人确定中标人，也可以授权评标委员会直接确定中标人。</w:t>
      </w:r>
    </w:p>
    <w:p w14:paraId="1631238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40.2招标人授权评标委员会确定中标人的：评标委员会根据招标文件中的评审内容和评审指引，对各投标人的投标文件进行评审，推荐有排序的</w:t>
      </w:r>
      <w:r>
        <w:rPr>
          <w:rFonts w:hint="eastAsia" w:ascii="仿宋_GB2312" w:hAnsi="仿宋_GB2312" w:eastAsia="仿宋_GB2312" w:cs="仿宋_GB2312"/>
          <w:bCs/>
          <w:kern w:val="0"/>
          <w:sz w:val="28"/>
          <w:szCs w:val="28"/>
          <w:u w:val="single"/>
        </w:rPr>
        <w:t xml:space="preserve"> 1 </w:t>
      </w:r>
      <w:r>
        <w:rPr>
          <w:rFonts w:hint="eastAsia" w:ascii="仿宋_GB2312" w:hAnsi="仿宋_GB2312" w:eastAsia="仿宋_GB2312" w:cs="仿宋_GB2312"/>
          <w:bCs/>
          <w:kern w:val="0"/>
          <w:sz w:val="28"/>
          <w:szCs w:val="28"/>
        </w:rPr>
        <w:t>名中标候选人，评标报告通过招标人审批后，第一中标候选人即为中标人。</w:t>
      </w:r>
    </w:p>
    <w:p w14:paraId="1D181AD0">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40.3采用评定分离，招标人根据评标委员会评标报告在推荐的中标候选人确定中标人的：评标委员会根据招标文件中的评审内容和评审指引，对各投标人的投标文件进行评审，推荐不超过</w:t>
      </w:r>
      <w:r>
        <w:rPr>
          <w:rFonts w:hint="eastAsia" w:ascii="仿宋_GB2312" w:hAnsi="仿宋_GB2312" w:eastAsia="仿宋_GB2312" w:cs="仿宋_GB2312"/>
          <w:bCs/>
          <w:kern w:val="0"/>
          <w:sz w:val="28"/>
          <w:szCs w:val="28"/>
          <w:u w:val="single"/>
        </w:rPr>
        <w:t xml:space="preserve">   </w:t>
      </w:r>
      <w:r>
        <w:rPr>
          <w:rFonts w:hint="eastAsia" w:ascii="仿宋_GB2312" w:hAnsi="仿宋_GB2312" w:eastAsia="仿宋_GB2312" w:cs="仿宋_GB2312"/>
          <w:bCs/>
          <w:kern w:val="0"/>
          <w:sz w:val="28"/>
          <w:szCs w:val="28"/>
        </w:rPr>
        <w:t xml:space="preserve">名无排序中标候选人，后由招标人在评标委员会推荐的中标候选人中确定 </w:t>
      </w:r>
      <w:r>
        <w:rPr>
          <w:rFonts w:hint="eastAsia" w:ascii="仿宋_GB2312" w:hAnsi="仿宋_GB2312" w:eastAsia="仿宋_GB2312" w:cs="仿宋_GB2312"/>
          <w:bCs/>
          <w:kern w:val="0"/>
          <w:sz w:val="28"/>
          <w:szCs w:val="28"/>
          <w:u w:val="single"/>
        </w:rPr>
        <w:t xml:space="preserve">   </w:t>
      </w:r>
      <w:r>
        <w:rPr>
          <w:rFonts w:hint="eastAsia" w:ascii="仿宋_GB2312" w:hAnsi="仿宋_GB2312" w:eastAsia="仿宋_GB2312" w:cs="仿宋_GB2312"/>
          <w:bCs/>
          <w:kern w:val="0"/>
          <w:sz w:val="28"/>
          <w:szCs w:val="28"/>
        </w:rPr>
        <w:t>名中标人。</w:t>
      </w:r>
    </w:p>
    <w:p w14:paraId="5FE8BACE">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40.4本次招标，评标委员会评标得分仅作为招标人确定中标人的参考，招标人有权确定任一中标候选人为中标人。</w:t>
      </w:r>
    </w:p>
    <w:p w14:paraId="36526AEC">
      <w:pPr>
        <w:pStyle w:val="51"/>
        <w:spacing w:line="560" w:lineRule="exact"/>
        <w:ind w:firstLine="560"/>
        <w:rPr>
          <w:rFonts w:ascii="仿宋" w:hAnsi="仿宋" w:eastAsia="仿宋"/>
          <w:bCs/>
          <w:kern w:val="0"/>
          <w:sz w:val="28"/>
          <w:szCs w:val="28"/>
        </w:rPr>
      </w:pPr>
      <w:r>
        <w:rPr>
          <w:rFonts w:hint="eastAsia" w:ascii="仿宋_GB2312" w:hAnsi="仿宋_GB2312" w:eastAsia="仿宋_GB2312" w:cs="仿宋_GB2312"/>
          <w:bCs/>
          <w:kern w:val="0"/>
          <w:sz w:val="28"/>
          <w:szCs w:val="28"/>
        </w:rPr>
        <w:t>40.5如出现中标人放弃中标的情形，招标人可按上述程序在剩余中标候选人中重新确定中标人，也可重新组织招标。</w:t>
      </w:r>
    </w:p>
    <w:p w14:paraId="538A0A64">
      <w:pPr>
        <w:pStyle w:val="51"/>
        <w:spacing w:line="560" w:lineRule="exact"/>
        <w:ind w:firstLine="560"/>
        <w:rPr>
          <w:rFonts w:ascii="仿宋" w:hAnsi="仿宋" w:eastAsia="仿宋"/>
          <w:bCs/>
          <w:kern w:val="0"/>
          <w:sz w:val="28"/>
          <w:szCs w:val="28"/>
        </w:rPr>
      </w:pPr>
    </w:p>
    <w:p w14:paraId="0325A5AD">
      <w:pPr>
        <w:pStyle w:val="7"/>
        <w:spacing w:before="0" w:after="0" w:line="400" w:lineRule="exact"/>
        <w:ind w:firstLine="720"/>
        <w:jc w:val="center"/>
        <w:rPr>
          <w:rFonts w:ascii="黑体" w:hAnsi="黑体" w:eastAsia="黑体"/>
          <w:b w:val="0"/>
          <w:kern w:val="0"/>
          <w:sz w:val="36"/>
          <w:szCs w:val="36"/>
        </w:rPr>
      </w:pPr>
      <w:bookmarkStart w:id="92" w:name="_Toc18245"/>
      <w:bookmarkStart w:id="93" w:name="_Toc27398"/>
      <w:bookmarkStart w:id="94" w:name="_Toc87887977"/>
      <w:r>
        <w:rPr>
          <w:rFonts w:hint="eastAsia" w:ascii="黑体" w:hAnsi="黑体" w:eastAsia="黑体"/>
          <w:b w:val="0"/>
          <w:kern w:val="0"/>
          <w:sz w:val="36"/>
          <w:szCs w:val="36"/>
        </w:rPr>
        <w:t>（九）中标通知书</w:t>
      </w:r>
      <w:bookmarkEnd w:id="92"/>
      <w:bookmarkEnd w:id="93"/>
      <w:bookmarkEnd w:id="94"/>
    </w:p>
    <w:p w14:paraId="428A875B">
      <w:pPr>
        <w:pStyle w:val="51"/>
        <w:spacing w:line="560" w:lineRule="exact"/>
        <w:ind w:firstLine="560"/>
        <w:rPr>
          <w:rFonts w:ascii="仿宋_GB2312" w:hAnsi="宋体" w:eastAsia="仿宋_GB2312"/>
          <w:bCs/>
          <w:kern w:val="0"/>
          <w:sz w:val="28"/>
          <w:szCs w:val="28"/>
        </w:rPr>
      </w:pPr>
    </w:p>
    <w:p w14:paraId="61F18142">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41．中标通知书</w:t>
      </w:r>
    </w:p>
    <w:p w14:paraId="2DEDFC4D">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41.1招标人应在确定中标人后，将中标结果在 “市属国企阳光采购服务平台”公示。</w:t>
      </w:r>
    </w:p>
    <w:p w14:paraId="1A474D18">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41.2公示期内对中标结果若无质疑，公示期结束后该中标结果自动生效。招标人将发出中标通知书。中标通知书是本招标项目合同的组成部分。如接到有关投诉的，招标人将可能暂停发出中标通知书。</w:t>
      </w:r>
    </w:p>
    <w:p w14:paraId="1D5A2C79">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41.3招标人将以《中标通知书》通知中标人中标。未收到《中标通知书》投标者为落标，招标人不解释落标原因，不退回投标书。</w:t>
      </w:r>
    </w:p>
    <w:p w14:paraId="449F7910">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42．招标人的权利</w:t>
      </w:r>
    </w:p>
    <w:p w14:paraId="43E52E72">
      <w:pPr>
        <w:pStyle w:val="51"/>
        <w:spacing w:line="560" w:lineRule="exact"/>
        <w:ind w:firstLine="560"/>
        <w:rPr>
          <w:rFonts w:ascii="仿宋" w:hAnsi="仿宋" w:eastAsia="仿宋"/>
          <w:bCs/>
          <w:kern w:val="0"/>
          <w:sz w:val="28"/>
          <w:szCs w:val="28"/>
        </w:rPr>
      </w:pPr>
      <w:r>
        <w:rPr>
          <w:rFonts w:hint="eastAsia" w:ascii="仿宋_GB2312" w:hAnsi="仿宋_GB2312" w:eastAsia="仿宋_GB2312" w:cs="仿宋_GB2312"/>
          <w:bCs/>
          <w:kern w:val="0"/>
          <w:sz w:val="28"/>
          <w:szCs w:val="28"/>
        </w:rPr>
        <w:t>42.1招标人在发出中标通知书之前因正当理由，经公司相关部门批准，有权根据评标委员会评审意见接受或拒绝投标、宣布投标程序无效或拒绝所有投标。对受影响的投标人不承担任何责任。</w:t>
      </w:r>
    </w:p>
    <w:p w14:paraId="49986A9B">
      <w:pPr>
        <w:pStyle w:val="51"/>
        <w:spacing w:line="560" w:lineRule="exact"/>
        <w:ind w:firstLine="560"/>
        <w:rPr>
          <w:rFonts w:ascii="仿宋_GB2312" w:hAnsi="宋体" w:eastAsia="仿宋_GB2312"/>
          <w:bCs/>
          <w:kern w:val="0"/>
          <w:sz w:val="28"/>
          <w:szCs w:val="28"/>
        </w:rPr>
      </w:pPr>
    </w:p>
    <w:p w14:paraId="6CB91C2C">
      <w:pPr>
        <w:pStyle w:val="7"/>
        <w:spacing w:before="0" w:after="0" w:line="400" w:lineRule="exact"/>
        <w:ind w:firstLine="720"/>
        <w:jc w:val="center"/>
        <w:rPr>
          <w:rFonts w:ascii="黑体" w:hAnsi="黑体" w:eastAsia="黑体"/>
          <w:b w:val="0"/>
          <w:kern w:val="0"/>
          <w:sz w:val="36"/>
          <w:szCs w:val="36"/>
        </w:rPr>
      </w:pPr>
      <w:bookmarkStart w:id="95" w:name="_Toc87887978"/>
      <w:bookmarkStart w:id="96" w:name="_Toc10952"/>
      <w:bookmarkStart w:id="97" w:name="_Toc11830"/>
      <w:r>
        <w:rPr>
          <w:rFonts w:hint="eastAsia" w:ascii="黑体" w:hAnsi="黑体" w:eastAsia="黑体"/>
          <w:b w:val="0"/>
          <w:kern w:val="0"/>
          <w:sz w:val="36"/>
          <w:szCs w:val="36"/>
        </w:rPr>
        <w:t>（十）合同授予</w:t>
      </w:r>
      <w:bookmarkEnd w:id="95"/>
      <w:bookmarkEnd w:id="96"/>
      <w:bookmarkEnd w:id="97"/>
    </w:p>
    <w:p w14:paraId="2D2B7768">
      <w:pPr>
        <w:pStyle w:val="51"/>
        <w:spacing w:line="560" w:lineRule="exact"/>
        <w:ind w:firstLine="560"/>
        <w:rPr>
          <w:rFonts w:ascii="仿宋_GB2312" w:hAnsi="宋体" w:eastAsia="仿宋_GB2312"/>
          <w:bCs/>
          <w:kern w:val="0"/>
          <w:sz w:val="28"/>
          <w:szCs w:val="28"/>
        </w:rPr>
      </w:pPr>
    </w:p>
    <w:p w14:paraId="344753C0">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43．签订合同</w:t>
      </w:r>
    </w:p>
    <w:p w14:paraId="6DA24F84">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43.1招标人和中标人应当按</w:t>
      </w:r>
      <w:r>
        <w:rPr>
          <w:rFonts w:hint="eastAsia" w:ascii="仿宋_GB2312" w:hAnsi="仿宋_GB2312" w:eastAsia="仿宋_GB2312" w:cs="仿宋_GB2312"/>
          <w:kern w:val="0"/>
          <w:sz w:val="28"/>
          <w:szCs w:val="28"/>
        </w:rPr>
        <w:t>“投标前须知附表2”</w:t>
      </w:r>
      <w:r>
        <w:rPr>
          <w:rFonts w:hint="eastAsia" w:ascii="仿宋_GB2312" w:hAnsi="仿宋_GB2312" w:eastAsia="仿宋_GB2312" w:cs="仿宋_GB2312"/>
          <w:bCs/>
          <w:kern w:val="0"/>
          <w:sz w:val="28"/>
          <w:szCs w:val="28"/>
        </w:rPr>
        <w:t>的规定，依据招标文件和中标人的投标文件订立书面合同。</w:t>
      </w:r>
    </w:p>
    <w:p w14:paraId="7A506644">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43.2中标人无正当理由拒签合同的，或者在签订合同时向招标人提出附加条件或者更改合同实质性内容的，招标人可取消其中标资格，并没收其投标担保；给招标人的损失超过其投标担保数额的，中标人应当对超过部分予以赔偿；没有提交投标担保的，应当对招标人的损失承担赔偿责任。</w:t>
      </w:r>
    </w:p>
    <w:p w14:paraId="7BFB7605">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43.3招标人无正当理由拒签合同的，或者在签订合同时向中标人提出附加条件或者更改合同实质性内容的，有关行政监督部门将给予警告，责令改正；给中标人造成损失的，还应当赔偿损失。</w:t>
      </w:r>
    </w:p>
    <w:p w14:paraId="12B36193">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43.4招标人与中标人签订的合同必须遵守本招标文件的合同条件，并且不得更改合同条件。</w:t>
      </w:r>
    </w:p>
    <w:p w14:paraId="4C4D2CC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43.5中标人应当按照合同约定履行义务，完成合同标的，不得将合同标的转让(转包)给他人实施。</w:t>
      </w:r>
    </w:p>
    <w:p w14:paraId="780F3B1E">
      <w:pPr>
        <w:pStyle w:val="51"/>
        <w:spacing w:line="560" w:lineRule="exact"/>
        <w:ind w:firstLine="560"/>
        <w:rPr>
          <w:rFonts w:ascii="仿宋_GB2312" w:hAnsi="宋体" w:eastAsia="仿宋_GB2312"/>
          <w:bCs/>
          <w:kern w:val="0"/>
          <w:sz w:val="28"/>
          <w:szCs w:val="28"/>
        </w:rPr>
      </w:pPr>
    </w:p>
    <w:p w14:paraId="49B51255">
      <w:pPr>
        <w:pStyle w:val="7"/>
        <w:spacing w:before="0" w:after="0" w:line="400" w:lineRule="exact"/>
        <w:ind w:firstLine="720"/>
        <w:jc w:val="center"/>
        <w:rPr>
          <w:rFonts w:ascii="黑体" w:hAnsi="黑体" w:eastAsia="黑体"/>
          <w:b w:val="0"/>
          <w:kern w:val="0"/>
          <w:sz w:val="36"/>
          <w:szCs w:val="36"/>
        </w:rPr>
      </w:pPr>
      <w:bookmarkStart w:id="98" w:name="_Toc28172"/>
      <w:bookmarkStart w:id="99" w:name="_Toc3756"/>
      <w:bookmarkStart w:id="100" w:name="_Toc87887979"/>
      <w:r>
        <w:rPr>
          <w:rFonts w:hint="eastAsia" w:ascii="黑体" w:hAnsi="黑体" w:eastAsia="黑体"/>
          <w:b w:val="0"/>
          <w:kern w:val="0"/>
          <w:sz w:val="36"/>
          <w:szCs w:val="36"/>
        </w:rPr>
        <w:t>（十一）其他</w:t>
      </w:r>
      <w:bookmarkEnd w:id="98"/>
      <w:bookmarkEnd w:id="99"/>
      <w:bookmarkEnd w:id="100"/>
    </w:p>
    <w:p w14:paraId="51BE8E2F">
      <w:pPr>
        <w:pStyle w:val="51"/>
        <w:spacing w:line="560" w:lineRule="exact"/>
        <w:ind w:firstLine="560"/>
        <w:rPr>
          <w:rFonts w:ascii="仿宋_GB2312" w:hAnsi="宋体" w:eastAsia="仿宋_GB2312"/>
          <w:bCs/>
          <w:kern w:val="0"/>
          <w:sz w:val="28"/>
          <w:szCs w:val="28"/>
        </w:rPr>
      </w:pPr>
    </w:p>
    <w:p w14:paraId="2CE887A1">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44．招标投标投诉的处理</w:t>
      </w:r>
    </w:p>
    <w:p w14:paraId="2F3DB9D5">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44.1本招标项目实行分段限时投诉制度，即在每个招标投标阶段，投标人均应对所存异议及时投诉。凡超出被投诉阶段投诉时限的，其投诉将不予受理。</w:t>
      </w:r>
    </w:p>
    <w:p w14:paraId="497F8176">
      <w:pPr>
        <w:pStyle w:val="51"/>
        <w:spacing w:line="560" w:lineRule="exact"/>
        <w:ind w:firstLine="56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45．其他</w:t>
      </w:r>
    </w:p>
    <w:p w14:paraId="743D22AE">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45.1本招标文件的解释权归招标人所有，招标人有权在法律允许范围内调整本次招标活动的细节及保留最终解释权。</w:t>
      </w:r>
    </w:p>
    <w:p w14:paraId="73ABAB06">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45.2评标委员会经评审，认为所有投标都不符合招标文件要求的，可以否决所有投标。所有投标被否决的，招标人应重新招标。招标人不负担因招标失败给投标人造成的损失。</w:t>
      </w:r>
    </w:p>
    <w:p w14:paraId="44DF0F14">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45.3招标人向投标人提供的资料和数据，是招标人现有的能使投标人利用的资料，招标人对投标人由此而做出的推论、理解和结论概不负责。</w:t>
      </w:r>
    </w:p>
    <w:p w14:paraId="3867C789">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45.4如果投标人实质上不符合投标资格，即使参加投标并缴纳各种费用，招标人可以随时取消其投标或中标资格，招标人对该投标人的一切损失概不责任。</w:t>
      </w:r>
    </w:p>
    <w:p w14:paraId="6A25A115">
      <w:pPr>
        <w:pStyle w:val="51"/>
        <w:spacing w:line="560" w:lineRule="exact"/>
        <w:ind w:firstLine="560"/>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45.5中标无效的，发出的中标通知书和签订的合同自始没有法律约束力，但不影响合同中存在的有关解决争议方法的条款的效力。</w:t>
      </w:r>
    </w:p>
    <w:p w14:paraId="5E8B73F5">
      <w:pPr>
        <w:pStyle w:val="51"/>
        <w:spacing w:line="560" w:lineRule="exact"/>
        <w:ind w:firstLine="560"/>
        <w:rPr>
          <w:rFonts w:ascii="仿宋" w:hAnsi="仿宋" w:eastAsia="仿宋"/>
          <w:bCs/>
          <w:kern w:val="0"/>
          <w:sz w:val="28"/>
          <w:szCs w:val="28"/>
        </w:rPr>
      </w:pPr>
      <w:r>
        <w:rPr>
          <w:rFonts w:hint="eastAsia" w:ascii="仿宋_GB2312" w:hAnsi="仿宋_GB2312" w:eastAsia="仿宋_GB2312" w:cs="仿宋_GB2312"/>
          <w:bCs/>
          <w:kern w:val="0"/>
          <w:sz w:val="28"/>
          <w:szCs w:val="28"/>
        </w:rPr>
        <w:t>45.6本招标文件所有的附件与本招标文件具有同等效力。</w:t>
      </w:r>
    </w:p>
    <w:p w14:paraId="3727AC62">
      <w:pPr>
        <w:widowControl w:val="0"/>
        <w:spacing w:line="360" w:lineRule="auto"/>
        <w:ind w:firstLine="420" w:firstLineChars="200"/>
        <w:rPr>
          <w:rFonts w:ascii="宋体" w:hAnsi="宋体"/>
          <w:kern w:val="0"/>
          <w:szCs w:val="21"/>
        </w:rPr>
      </w:pPr>
    </w:p>
    <w:p w14:paraId="5D2A2822">
      <w:pPr>
        <w:widowControl w:val="0"/>
        <w:spacing w:line="360" w:lineRule="auto"/>
        <w:rPr>
          <w:rFonts w:ascii="宋体" w:hAnsi="宋体"/>
          <w:kern w:val="0"/>
          <w:szCs w:val="21"/>
        </w:rPr>
      </w:pPr>
    </w:p>
    <w:p w14:paraId="60E56BA3">
      <w:pPr>
        <w:widowControl w:val="0"/>
        <w:spacing w:line="360" w:lineRule="auto"/>
        <w:rPr>
          <w:rFonts w:ascii="宋体" w:hAnsi="宋体"/>
          <w:kern w:val="0"/>
          <w:szCs w:val="21"/>
        </w:rPr>
      </w:pPr>
    </w:p>
    <w:p w14:paraId="09441717">
      <w:pPr>
        <w:pStyle w:val="4"/>
        <w:spacing w:before="0" w:after="0" w:line="560" w:lineRule="exact"/>
        <w:jc w:val="center"/>
        <w:rPr>
          <w:rFonts w:ascii="黑体" w:hAnsi="黑体" w:eastAsia="黑体"/>
          <w:b w:val="0"/>
          <w:bCs w:val="0"/>
          <w:sz w:val="48"/>
          <w:szCs w:val="48"/>
          <w:shd w:val="clear" w:color="060000" w:fill="auto"/>
        </w:rPr>
      </w:pPr>
      <w:bookmarkStart w:id="101" w:name="_Toc23268"/>
      <w:bookmarkStart w:id="102" w:name="_Toc24201"/>
      <w:bookmarkStart w:id="103" w:name="_Toc87887980"/>
      <w:r>
        <w:rPr>
          <w:rFonts w:ascii="黑体" w:hAnsi="黑体" w:eastAsia="黑体"/>
          <w:b w:val="0"/>
          <w:bCs w:val="0"/>
          <w:sz w:val="48"/>
          <w:szCs w:val="48"/>
          <w:shd w:val="clear" w:color="060000" w:fill="auto"/>
        </w:rPr>
        <w:t>第</w:t>
      </w:r>
      <w:r>
        <w:rPr>
          <w:rFonts w:hint="eastAsia" w:ascii="黑体" w:hAnsi="黑体" w:eastAsia="黑体"/>
          <w:b w:val="0"/>
          <w:bCs w:val="0"/>
          <w:sz w:val="48"/>
          <w:szCs w:val="48"/>
          <w:shd w:val="clear" w:color="060000" w:fill="auto"/>
        </w:rPr>
        <w:t>三</w:t>
      </w:r>
      <w:r>
        <w:rPr>
          <w:rFonts w:ascii="黑体" w:hAnsi="黑体" w:eastAsia="黑体"/>
          <w:b w:val="0"/>
          <w:bCs w:val="0"/>
          <w:sz w:val="48"/>
          <w:szCs w:val="48"/>
          <w:shd w:val="clear" w:color="060000" w:fill="auto"/>
        </w:rPr>
        <w:t xml:space="preserve">章 </w:t>
      </w:r>
      <w:r>
        <w:rPr>
          <w:rFonts w:hint="eastAsia" w:ascii="黑体" w:hAnsi="黑体" w:eastAsia="黑体"/>
          <w:b w:val="0"/>
          <w:bCs w:val="0"/>
          <w:sz w:val="48"/>
          <w:szCs w:val="48"/>
          <w:shd w:val="clear" w:color="060000" w:fill="auto"/>
        </w:rPr>
        <w:t>合同文本及条款</w:t>
      </w:r>
      <w:bookmarkEnd w:id="101"/>
      <w:bookmarkEnd w:id="102"/>
      <w:bookmarkEnd w:id="103"/>
    </w:p>
    <w:p w14:paraId="7AB088B8">
      <w:pPr>
        <w:pStyle w:val="51"/>
        <w:spacing w:line="360" w:lineRule="auto"/>
        <w:ind w:firstLine="562"/>
        <w:rPr>
          <w:rFonts w:ascii="宋体" w:hAnsi="宋体"/>
          <w:b/>
          <w:sz w:val="28"/>
          <w:szCs w:val="28"/>
        </w:rPr>
      </w:pPr>
    </w:p>
    <w:p w14:paraId="1E52366F">
      <w:pPr>
        <w:jc w:val="center"/>
        <w:rPr>
          <w:rFonts w:ascii="方正小标宋简体" w:hAnsi="楷体" w:eastAsia="方正小标宋简体"/>
          <w:sz w:val="44"/>
          <w:szCs w:val="44"/>
        </w:rPr>
      </w:pPr>
      <w:bookmarkStart w:id="104" w:name="_Toc87887981"/>
      <w:bookmarkStart w:id="105" w:name="_Toc25859"/>
      <w:bookmarkStart w:id="106" w:name="_Toc22658"/>
      <w:r>
        <w:rPr>
          <w:rFonts w:hint="eastAsia" w:ascii="方正小标宋简体" w:hAnsi="楷体" w:eastAsia="方正小标宋简体"/>
          <w:sz w:val="44"/>
          <w:szCs w:val="44"/>
        </w:rPr>
        <w:t>委托代理合同</w:t>
      </w:r>
    </w:p>
    <w:p w14:paraId="11B87EE0">
      <w:pPr>
        <w:spacing w:line="500" w:lineRule="exact"/>
        <w:ind w:right="-147"/>
        <w:jc w:val="left"/>
        <w:rPr>
          <w:rFonts w:ascii="仿宋_GB2312" w:hAnsi="仿宋" w:eastAsia="仿宋_GB2312"/>
          <w:spacing w:val="2"/>
          <w:sz w:val="28"/>
          <w:szCs w:val="28"/>
        </w:rPr>
      </w:pPr>
      <w:r>
        <w:rPr>
          <w:rFonts w:hint="eastAsia" w:ascii="仿宋_GB2312" w:hAnsi="仿宋" w:eastAsia="仿宋_GB2312"/>
          <w:b/>
          <w:bCs/>
          <w:spacing w:val="2"/>
          <w:sz w:val="28"/>
          <w:szCs w:val="28"/>
        </w:rPr>
        <w:t>甲方（委托人）：</w:t>
      </w:r>
      <w:r>
        <w:rPr>
          <w:rFonts w:hint="eastAsia" w:ascii="仿宋_GB2312" w:hAnsi="仿宋" w:eastAsia="仿宋_GB2312"/>
          <w:spacing w:val="2"/>
          <w:sz w:val="28"/>
          <w:szCs w:val="28"/>
        </w:rPr>
        <w:t>深圳第一亚太物业管理有限公司</w:t>
      </w:r>
    </w:p>
    <w:p w14:paraId="191F9156">
      <w:pPr>
        <w:spacing w:line="500" w:lineRule="exact"/>
        <w:ind w:right="-147"/>
        <w:jc w:val="left"/>
        <w:rPr>
          <w:rFonts w:hint="eastAsia" w:ascii="仿宋_GB2312" w:hAnsi="仿宋" w:eastAsia="仿宋_GB2312"/>
          <w:b/>
          <w:bCs/>
          <w:spacing w:val="2"/>
          <w:sz w:val="28"/>
          <w:szCs w:val="28"/>
        </w:rPr>
      </w:pPr>
      <w:r>
        <w:rPr>
          <w:rFonts w:hint="eastAsia" w:ascii="仿宋_GB2312" w:hAnsi="仿宋" w:eastAsia="仿宋_GB2312"/>
          <w:b/>
          <w:bCs/>
          <w:spacing w:val="2"/>
          <w:sz w:val="28"/>
          <w:szCs w:val="28"/>
        </w:rPr>
        <w:t>统一社会信用代码：</w:t>
      </w:r>
    </w:p>
    <w:p w14:paraId="0738F44B">
      <w:pPr>
        <w:spacing w:line="500" w:lineRule="exact"/>
        <w:ind w:right="-147"/>
        <w:jc w:val="left"/>
        <w:rPr>
          <w:rFonts w:hint="eastAsia" w:ascii="仿宋_GB2312" w:hAnsi="仿宋" w:eastAsia="仿宋_GB2312"/>
          <w:b/>
          <w:bCs/>
          <w:spacing w:val="2"/>
          <w:sz w:val="28"/>
          <w:szCs w:val="28"/>
        </w:rPr>
      </w:pPr>
      <w:r>
        <w:rPr>
          <w:rFonts w:hint="eastAsia" w:ascii="仿宋_GB2312" w:hAnsi="仿宋" w:eastAsia="仿宋_GB2312"/>
          <w:b/>
          <w:bCs/>
          <w:spacing w:val="2"/>
          <w:sz w:val="28"/>
          <w:szCs w:val="28"/>
        </w:rPr>
        <w:t>法定代表人：</w:t>
      </w:r>
    </w:p>
    <w:p w14:paraId="11A73E58">
      <w:pPr>
        <w:spacing w:line="500" w:lineRule="exact"/>
        <w:ind w:right="-147"/>
        <w:jc w:val="left"/>
        <w:rPr>
          <w:rFonts w:hint="eastAsia" w:ascii="仿宋_GB2312" w:hAnsi="仿宋" w:eastAsia="仿宋_GB2312"/>
          <w:b/>
          <w:bCs/>
          <w:spacing w:val="2"/>
          <w:sz w:val="28"/>
          <w:szCs w:val="28"/>
          <w:lang w:eastAsia="zh-CN"/>
        </w:rPr>
      </w:pPr>
      <w:r>
        <w:rPr>
          <w:rFonts w:hint="eastAsia" w:ascii="仿宋_GB2312" w:hAnsi="仿宋" w:eastAsia="仿宋_GB2312"/>
          <w:b/>
          <w:bCs/>
          <w:spacing w:val="2"/>
          <w:sz w:val="28"/>
          <w:szCs w:val="28"/>
        </w:rPr>
        <w:t>联系人：</w:t>
      </w:r>
    </w:p>
    <w:p w14:paraId="6FB07ACD">
      <w:pPr>
        <w:spacing w:line="500" w:lineRule="exact"/>
        <w:ind w:right="-147"/>
        <w:jc w:val="left"/>
        <w:rPr>
          <w:rFonts w:hint="eastAsia" w:ascii="仿宋_GB2312" w:hAnsi="仿宋" w:eastAsia="仿宋_GB2312"/>
          <w:b/>
          <w:bCs/>
          <w:spacing w:val="2"/>
          <w:sz w:val="28"/>
          <w:szCs w:val="28"/>
        </w:rPr>
      </w:pPr>
      <w:r>
        <w:rPr>
          <w:rFonts w:hint="eastAsia" w:ascii="仿宋_GB2312" w:hAnsi="仿宋" w:eastAsia="仿宋_GB2312"/>
          <w:b/>
          <w:bCs/>
          <w:spacing w:val="2"/>
          <w:sz w:val="28"/>
          <w:szCs w:val="28"/>
        </w:rPr>
        <w:t>住所地/通讯地址：</w:t>
      </w:r>
    </w:p>
    <w:p w14:paraId="3B8818A5">
      <w:pPr>
        <w:spacing w:line="500" w:lineRule="exact"/>
        <w:ind w:right="-147"/>
        <w:jc w:val="left"/>
        <w:rPr>
          <w:rFonts w:hint="eastAsia" w:ascii="仿宋_GB2312" w:hAnsi="仿宋" w:eastAsia="仿宋_GB2312"/>
          <w:spacing w:val="2"/>
          <w:sz w:val="28"/>
          <w:szCs w:val="28"/>
        </w:rPr>
      </w:pPr>
      <w:r>
        <w:rPr>
          <w:rFonts w:hint="eastAsia" w:ascii="仿宋_GB2312" w:hAnsi="仿宋" w:eastAsia="仿宋_GB2312"/>
          <w:b/>
          <w:bCs/>
          <w:spacing w:val="2"/>
          <w:sz w:val="28"/>
          <w:szCs w:val="28"/>
        </w:rPr>
        <w:t>联系电话：</w:t>
      </w:r>
    </w:p>
    <w:p w14:paraId="5B8000AC">
      <w:pPr>
        <w:spacing w:line="500" w:lineRule="exact"/>
        <w:ind w:right="-147" w:firstLine="568" w:firstLineChars="200"/>
        <w:jc w:val="left"/>
        <w:rPr>
          <w:rFonts w:ascii="仿宋_GB2312" w:hAnsi="仿宋" w:eastAsia="仿宋_GB2312"/>
          <w:spacing w:val="2"/>
          <w:sz w:val="28"/>
          <w:szCs w:val="28"/>
        </w:rPr>
      </w:pPr>
      <w:r>
        <w:rPr>
          <w:rFonts w:hint="eastAsia" w:ascii="仿宋_GB2312" w:hAnsi="仿宋" w:eastAsia="仿宋_GB2312"/>
          <w:spacing w:val="2"/>
          <w:sz w:val="28"/>
          <w:szCs w:val="28"/>
        </w:rPr>
        <w:t>甲方下属分公司（共同委托主体，由甲方统一行使本合同项下权利、履行义务，下属分公司配合甲方及乙方开展工作）：</w:t>
      </w:r>
    </w:p>
    <w:p w14:paraId="138ED861">
      <w:pPr>
        <w:spacing w:line="500" w:lineRule="exact"/>
        <w:ind w:right="-147" w:firstLine="568" w:firstLineChars="200"/>
        <w:jc w:val="left"/>
        <w:rPr>
          <w:rFonts w:ascii="仿宋_GB2312" w:hAnsi="仿宋" w:eastAsia="仿宋_GB2312"/>
          <w:spacing w:val="2"/>
          <w:sz w:val="28"/>
          <w:szCs w:val="28"/>
        </w:rPr>
      </w:pPr>
      <w:r>
        <w:rPr>
          <w:rFonts w:hint="eastAsia" w:ascii="仿宋_GB2312" w:hAnsi="仿宋" w:eastAsia="仿宋_GB2312"/>
          <w:spacing w:val="2"/>
          <w:sz w:val="28"/>
          <w:szCs w:val="28"/>
        </w:rPr>
        <w:t>1.深圳第一亚太物业管理有限公司重庆分公司，统一社会信用代码：91500113305147353R</w:t>
      </w:r>
    </w:p>
    <w:p w14:paraId="2EF10E7E">
      <w:pPr>
        <w:spacing w:line="500" w:lineRule="exact"/>
        <w:ind w:right="-147" w:firstLine="568" w:firstLineChars="200"/>
        <w:jc w:val="left"/>
        <w:rPr>
          <w:rFonts w:ascii="仿宋_GB2312" w:hAnsi="仿宋" w:eastAsia="仿宋_GB2312"/>
          <w:spacing w:val="2"/>
          <w:sz w:val="28"/>
          <w:szCs w:val="28"/>
        </w:rPr>
      </w:pPr>
      <w:r>
        <w:rPr>
          <w:rFonts w:hint="eastAsia" w:ascii="仿宋_GB2312" w:hAnsi="仿宋" w:eastAsia="仿宋_GB2312"/>
          <w:spacing w:val="2"/>
          <w:sz w:val="28"/>
          <w:szCs w:val="28"/>
        </w:rPr>
        <w:t>2.深圳第一亚太物业管理有限公司合肥分公司，统一社会信用代码：91340100070932292K</w:t>
      </w:r>
    </w:p>
    <w:p w14:paraId="0E7BC6CE">
      <w:pPr>
        <w:spacing w:line="500" w:lineRule="exact"/>
        <w:ind w:right="-147" w:firstLine="568" w:firstLineChars="200"/>
        <w:jc w:val="left"/>
        <w:rPr>
          <w:rFonts w:hint="default" w:ascii="仿宋_GB2312" w:hAnsi="仿宋" w:eastAsia="仿宋_GB2312"/>
          <w:spacing w:val="2"/>
          <w:sz w:val="28"/>
          <w:szCs w:val="28"/>
          <w:lang w:val="en-US" w:eastAsia="zh-CN"/>
        </w:rPr>
      </w:pPr>
      <w:r>
        <w:rPr>
          <w:rFonts w:hint="eastAsia" w:ascii="仿宋_GB2312" w:hAnsi="仿宋" w:eastAsia="仿宋_GB2312"/>
          <w:spacing w:val="2"/>
          <w:sz w:val="28"/>
          <w:szCs w:val="28"/>
        </w:rPr>
        <w:t>3.深圳第一亚太物业管理有限公司江西分公司，统一社会信用代码：913601255736160486</w:t>
      </w:r>
    </w:p>
    <w:p w14:paraId="6881DCF3">
      <w:pPr>
        <w:spacing w:line="500" w:lineRule="exact"/>
        <w:ind w:right="-147" w:firstLine="568" w:firstLineChars="200"/>
        <w:jc w:val="left"/>
        <w:rPr>
          <w:rFonts w:hint="eastAsia" w:ascii="仿宋_GB2312" w:hAnsi="仿宋" w:eastAsia="仿宋_GB2312"/>
          <w:spacing w:val="2"/>
          <w:sz w:val="28"/>
          <w:szCs w:val="28"/>
          <w:lang w:val="en-US" w:eastAsia="zh-CN"/>
        </w:rPr>
      </w:pPr>
      <w:r>
        <w:rPr>
          <w:rFonts w:hint="eastAsia" w:ascii="仿宋_GB2312" w:hAnsi="仿宋" w:eastAsia="仿宋_GB2312"/>
          <w:spacing w:val="2"/>
          <w:sz w:val="28"/>
          <w:szCs w:val="28"/>
          <w:lang w:val="en-US" w:eastAsia="zh-CN"/>
        </w:rPr>
        <w:t>4.</w:t>
      </w:r>
      <w:r>
        <w:rPr>
          <w:rFonts w:hint="eastAsia" w:ascii="仿宋_GB2312" w:hAnsi="仿宋" w:eastAsia="仿宋_GB2312"/>
          <w:spacing w:val="2"/>
          <w:sz w:val="28"/>
          <w:szCs w:val="28"/>
        </w:rPr>
        <w:t>深圳第一亚太物业管理有限公司</w:t>
      </w:r>
      <w:r>
        <w:rPr>
          <w:rFonts w:hint="eastAsia" w:ascii="仿宋_GB2312" w:hAnsi="仿宋" w:eastAsia="仿宋_GB2312"/>
          <w:spacing w:val="2"/>
          <w:sz w:val="28"/>
          <w:szCs w:val="28"/>
          <w:lang w:val="en-US" w:eastAsia="zh-CN"/>
        </w:rPr>
        <w:t>郑州</w:t>
      </w:r>
      <w:r>
        <w:rPr>
          <w:rFonts w:hint="eastAsia" w:ascii="仿宋_GB2312" w:hAnsi="仿宋" w:eastAsia="仿宋_GB2312"/>
          <w:spacing w:val="2"/>
          <w:sz w:val="28"/>
          <w:szCs w:val="28"/>
        </w:rPr>
        <w:t>分公司</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统一社会信用代码：</w:t>
      </w:r>
      <w:r>
        <w:rPr>
          <w:rFonts w:hint="eastAsia" w:ascii="仿宋_GB2312" w:hAnsi="仿宋" w:eastAsia="仿宋_GB2312"/>
          <w:spacing w:val="2"/>
          <w:sz w:val="28"/>
          <w:szCs w:val="28"/>
          <w:lang w:val="en-US" w:eastAsia="zh-CN"/>
        </w:rPr>
        <w:t>91410100062680486F</w:t>
      </w:r>
    </w:p>
    <w:p w14:paraId="2839FB03">
      <w:pPr>
        <w:numPr>
          <w:ilvl w:val="0"/>
          <w:numId w:val="0"/>
        </w:numPr>
        <w:spacing w:line="500" w:lineRule="exact"/>
        <w:ind w:right="-147" w:rightChars="0" w:firstLine="568" w:firstLineChars="200"/>
        <w:jc w:val="left"/>
        <w:rPr>
          <w:rFonts w:hint="eastAsia" w:ascii="仿宋_GB2312" w:hAnsi="仿宋" w:eastAsia="仿宋_GB2312"/>
          <w:spacing w:val="2"/>
          <w:sz w:val="28"/>
          <w:szCs w:val="28"/>
        </w:rPr>
      </w:pPr>
      <w:r>
        <w:rPr>
          <w:rFonts w:hint="eastAsia" w:ascii="仿宋_GB2312" w:hAnsi="仿宋" w:eastAsia="仿宋_GB2312"/>
          <w:spacing w:val="2"/>
          <w:sz w:val="28"/>
          <w:szCs w:val="28"/>
          <w:lang w:val="en-US" w:eastAsia="zh-CN"/>
        </w:rPr>
        <w:t>5.</w:t>
      </w:r>
      <w:r>
        <w:rPr>
          <w:rFonts w:hint="eastAsia" w:ascii="仿宋_GB2312" w:hAnsi="仿宋" w:eastAsia="仿宋_GB2312"/>
          <w:spacing w:val="2"/>
          <w:sz w:val="28"/>
          <w:szCs w:val="28"/>
        </w:rPr>
        <w:t>深圳第一亚太物业管理有限公司</w:t>
      </w:r>
      <w:r>
        <w:rPr>
          <w:rFonts w:hint="eastAsia" w:ascii="仿宋_GB2312" w:hAnsi="仿宋" w:eastAsia="仿宋_GB2312"/>
          <w:spacing w:val="2"/>
          <w:sz w:val="28"/>
          <w:szCs w:val="28"/>
          <w:lang w:val="en-US" w:eastAsia="zh-CN"/>
        </w:rPr>
        <w:t>西安</w:t>
      </w:r>
      <w:r>
        <w:rPr>
          <w:rFonts w:hint="eastAsia" w:ascii="仿宋_GB2312" w:hAnsi="仿宋" w:eastAsia="仿宋_GB2312"/>
          <w:spacing w:val="2"/>
          <w:sz w:val="28"/>
          <w:szCs w:val="28"/>
        </w:rPr>
        <w:t>分公司</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统一社会信用代码：91610139587431458P</w:t>
      </w:r>
    </w:p>
    <w:p w14:paraId="585ED272">
      <w:pPr>
        <w:numPr>
          <w:ilvl w:val="0"/>
          <w:numId w:val="0"/>
        </w:numPr>
        <w:spacing w:line="500" w:lineRule="exact"/>
        <w:ind w:right="-147" w:rightChars="0" w:firstLine="568" w:firstLineChars="200"/>
        <w:jc w:val="left"/>
        <w:rPr>
          <w:rFonts w:hint="eastAsia" w:ascii="仿宋_GB2312" w:hAnsi="仿宋" w:eastAsia="仿宋_GB2312"/>
          <w:spacing w:val="2"/>
          <w:sz w:val="28"/>
          <w:szCs w:val="28"/>
        </w:rPr>
      </w:pPr>
      <w:r>
        <w:rPr>
          <w:rFonts w:hint="eastAsia" w:ascii="仿宋_GB2312" w:hAnsi="仿宋" w:eastAsia="仿宋_GB2312"/>
          <w:spacing w:val="2"/>
          <w:sz w:val="28"/>
          <w:szCs w:val="28"/>
          <w:lang w:val="en-US" w:eastAsia="zh-CN"/>
        </w:rPr>
        <w:t>6.</w:t>
      </w:r>
      <w:r>
        <w:rPr>
          <w:rFonts w:hint="eastAsia" w:ascii="仿宋_GB2312" w:hAnsi="仿宋" w:eastAsia="仿宋_GB2312"/>
          <w:spacing w:val="2"/>
          <w:sz w:val="28"/>
          <w:szCs w:val="28"/>
        </w:rPr>
        <w:t>深圳第一亚太物业管理有限公司</w:t>
      </w:r>
      <w:r>
        <w:rPr>
          <w:rFonts w:hint="eastAsia" w:ascii="仿宋_GB2312" w:hAnsi="仿宋" w:eastAsia="仿宋_GB2312"/>
          <w:spacing w:val="2"/>
          <w:sz w:val="28"/>
          <w:szCs w:val="28"/>
          <w:lang w:val="en-US" w:eastAsia="zh-CN"/>
        </w:rPr>
        <w:t>南宁</w:t>
      </w:r>
      <w:r>
        <w:rPr>
          <w:rFonts w:hint="eastAsia" w:ascii="仿宋_GB2312" w:hAnsi="仿宋" w:eastAsia="仿宋_GB2312"/>
          <w:spacing w:val="2"/>
          <w:sz w:val="28"/>
          <w:szCs w:val="28"/>
        </w:rPr>
        <w:t>分公司</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统一社会信用代码：91450100561559680J</w:t>
      </w:r>
    </w:p>
    <w:p w14:paraId="6D45D662">
      <w:pPr>
        <w:numPr>
          <w:ilvl w:val="0"/>
          <w:numId w:val="0"/>
        </w:numPr>
        <w:spacing w:line="500" w:lineRule="exact"/>
        <w:ind w:right="-147" w:rightChars="0" w:firstLine="568" w:firstLineChars="200"/>
        <w:jc w:val="left"/>
        <w:rPr>
          <w:rFonts w:hint="default" w:ascii="仿宋_GB2312" w:hAnsi="仿宋" w:eastAsia="仿宋_GB2312"/>
          <w:spacing w:val="2"/>
          <w:sz w:val="28"/>
          <w:szCs w:val="28"/>
          <w:lang w:val="en-US" w:eastAsia="zh-CN"/>
        </w:rPr>
      </w:pPr>
      <w:r>
        <w:rPr>
          <w:rFonts w:hint="eastAsia" w:ascii="仿宋_GB2312" w:hAnsi="仿宋" w:eastAsia="仿宋_GB2312"/>
          <w:spacing w:val="2"/>
          <w:sz w:val="28"/>
          <w:szCs w:val="28"/>
          <w:lang w:val="en-US" w:eastAsia="zh-CN"/>
        </w:rPr>
        <w:t>7.</w:t>
      </w:r>
      <w:r>
        <w:rPr>
          <w:rFonts w:hint="eastAsia" w:ascii="仿宋_GB2312" w:hAnsi="仿宋" w:eastAsia="仿宋_GB2312"/>
          <w:spacing w:val="2"/>
          <w:sz w:val="28"/>
          <w:szCs w:val="28"/>
        </w:rPr>
        <w:t>深圳第一亚太物业管理有限公司</w:t>
      </w:r>
      <w:r>
        <w:rPr>
          <w:rFonts w:hint="eastAsia" w:ascii="仿宋_GB2312" w:hAnsi="仿宋" w:eastAsia="仿宋_GB2312"/>
          <w:spacing w:val="2"/>
          <w:sz w:val="28"/>
          <w:szCs w:val="28"/>
          <w:lang w:val="en-US" w:eastAsia="zh-CN"/>
        </w:rPr>
        <w:t>哈尔滨</w:t>
      </w:r>
      <w:r>
        <w:rPr>
          <w:rFonts w:hint="eastAsia" w:ascii="仿宋_GB2312" w:hAnsi="仿宋" w:eastAsia="仿宋_GB2312"/>
          <w:spacing w:val="2"/>
          <w:sz w:val="28"/>
          <w:szCs w:val="28"/>
        </w:rPr>
        <w:t>分公司</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统一社会信用代码：</w:t>
      </w:r>
      <w:r>
        <w:rPr>
          <w:rFonts w:hint="default" w:ascii="仿宋_GB2312" w:hAnsi="仿宋" w:eastAsia="仿宋_GB2312"/>
          <w:spacing w:val="2"/>
          <w:sz w:val="28"/>
          <w:szCs w:val="28"/>
          <w:lang w:val="en-US" w:eastAsia="zh-CN"/>
        </w:rPr>
        <w:t>91230100056312353F</w:t>
      </w:r>
    </w:p>
    <w:p w14:paraId="035DB45D">
      <w:pPr>
        <w:numPr>
          <w:ilvl w:val="0"/>
          <w:numId w:val="0"/>
        </w:numPr>
        <w:spacing w:line="500" w:lineRule="exact"/>
        <w:ind w:right="-147" w:rightChars="0" w:firstLine="568" w:firstLineChars="200"/>
        <w:jc w:val="left"/>
        <w:rPr>
          <w:rFonts w:hint="default" w:ascii="仿宋_GB2312" w:hAnsi="仿宋" w:eastAsia="仿宋_GB2312"/>
          <w:spacing w:val="2"/>
          <w:sz w:val="28"/>
          <w:szCs w:val="28"/>
          <w:lang w:val="en-US" w:eastAsia="zh-CN"/>
        </w:rPr>
      </w:pPr>
      <w:r>
        <w:rPr>
          <w:rFonts w:hint="eastAsia" w:ascii="仿宋_GB2312" w:hAnsi="仿宋" w:eastAsia="仿宋_GB2312"/>
          <w:spacing w:val="2"/>
          <w:sz w:val="28"/>
          <w:szCs w:val="28"/>
          <w:lang w:val="en-US" w:eastAsia="zh-CN"/>
        </w:rPr>
        <w:t>8.</w:t>
      </w:r>
      <w:r>
        <w:rPr>
          <w:rFonts w:hint="eastAsia" w:ascii="仿宋_GB2312" w:hAnsi="仿宋" w:eastAsia="仿宋_GB2312"/>
          <w:spacing w:val="2"/>
          <w:sz w:val="28"/>
          <w:szCs w:val="28"/>
        </w:rPr>
        <w:t>深圳第一亚太物业管理有限公司</w:t>
      </w:r>
      <w:r>
        <w:rPr>
          <w:rFonts w:hint="eastAsia" w:ascii="仿宋_GB2312" w:hAnsi="仿宋" w:eastAsia="仿宋_GB2312"/>
          <w:spacing w:val="2"/>
          <w:sz w:val="28"/>
          <w:szCs w:val="28"/>
          <w:lang w:val="en-US" w:eastAsia="zh-CN"/>
        </w:rPr>
        <w:t>深圳</w:t>
      </w:r>
      <w:r>
        <w:rPr>
          <w:rFonts w:hint="eastAsia" w:ascii="仿宋_GB2312" w:hAnsi="仿宋" w:eastAsia="仿宋_GB2312"/>
          <w:spacing w:val="2"/>
          <w:sz w:val="28"/>
          <w:szCs w:val="28"/>
        </w:rPr>
        <w:t>分公司</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统一社会信用代码：</w:t>
      </w:r>
      <w:r>
        <w:rPr>
          <w:rFonts w:hint="default" w:ascii="仿宋_GB2312" w:hAnsi="仿宋" w:eastAsia="仿宋_GB2312"/>
          <w:spacing w:val="2"/>
          <w:sz w:val="28"/>
          <w:szCs w:val="28"/>
          <w:lang w:val="en-US" w:eastAsia="zh-CN"/>
        </w:rPr>
        <w:t>9144030031177672X0</w:t>
      </w:r>
    </w:p>
    <w:p w14:paraId="7BC47E7D">
      <w:pPr>
        <w:spacing w:line="500" w:lineRule="exact"/>
        <w:ind w:right="-147"/>
        <w:jc w:val="left"/>
        <w:rPr>
          <w:rFonts w:hint="eastAsia" w:ascii="仿宋_GB2312" w:hAnsi="仿宋" w:eastAsia="仿宋_GB2312"/>
          <w:spacing w:val="2"/>
          <w:sz w:val="28"/>
          <w:szCs w:val="28"/>
        </w:rPr>
      </w:pPr>
    </w:p>
    <w:p w14:paraId="0D2F5F01">
      <w:pPr>
        <w:spacing w:line="500" w:lineRule="exact"/>
        <w:ind w:right="-147"/>
        <w:jc w:val="left"/>
        <w:rPr>
          <w:rFonts w:hint="eastAsia" w:ascii="仿宋_GB2312" w:hAnsi="仿宋" w:eastAsia="仿宋_GB2312"/>
          <w:spacing w:val="2"/>
          <w:sz w:val="28"/>
          <w:szCs w:val="28"/>
        </w:rPr>
      </w:pPr>
    </w:p>
    <w:p w14:paraId="75B8055A">
      <w:pPr>
        <w:spacing w:line="500" w:lineRule="exact"/>
        <w:ind w:right="-147"/>
        <w:jc w:val="left"/>
        <w:rPr>
          <w:rFonts w:hint="eastAsia" w:ascii="仿宋_GB2312" w:hAnsi="仿宋" w:eastAsia="仿宋_GB2312"/>
          <w:spacing w:val="2"/>
          <w:sz w:val="28"/>
          <w:szCs w:val="28"/>
        </w:rPr>
      </w:pPr>
      <w:r>
        <w:rPr>
          <w:rFonts w:hint="eastAsia" w:ascii="仿宋_GB2312" w:hAnsi="仿宋" w:eastAsia="仿宋_GB2312"/>
          <w:b/>
          <w:bCs/>
          <w:spacing w:val="2"/>
          <w:sz w:val="28"/>
          <w:szCs w:val="28"/>
        </w:rPr>
        <w:t>乙方</w:t>
      </w:r>
      <w:r>
        <w:rPr>
          <w:rFonts w:hint="eastAsia" w:ascii="仿宋_GB2312" w:hAnsi="仿宋" w:eastAsia="仿宋_GB2312"/>
          <w:b/>
          <w:bCs/>
          <w:spacing w:val="2"/>
          <w:sz w:val="28"/>
          <w:szCs w:val="28"/>
          <w:highlight w:val="none"/>
        </w:rPr>
        <w:t>：</w:t>
      </w:r>
    </w:p>
    <w:p w14:paraId="52ED9293">
      <w:pPr>
        <w:spacing w:line="500" w:lineRule="exact"/>
        <w:ind w:right="-147"/>
        <w:jc w:val="left"/>
        <w:rPr>
          <w:rFonts w:hint="eastAsia" w:ascii="仿宋_GB2312" w:hAnsi="仿宋" w:eastAsia="仿宋_GB2312"/>
          <w:b/>
          <w:bCs/>
          <w:spacing w:val="2"/>
          <w:sz w:val="28"/>
          <w:szCs w:val="28"/>
        </w:rPr>
      </w:pPr>
      <w:r>
        <w:rPr>
          <w:rFonts w:hint="eastAsia" w:ascii="仿宋_GB2312" w:hAnsi="仿宋" w:eastAsia="仿宋_GB2312"/>
          <w:b/>
          <w:bCs/>
          <w:spacing w:val="2"/>
          <w:sz w:val="28"/>
          <w:szCs w:val="28"/>
        </w:rPr>
        <w:t>负责人/执行合伙人：</w:t>
      </w:r>
    </w:p>
    <w:p w14:paraId="6EDCCE7E">
      <w:pPr>
        <w:spacing w:line="500" w:lineRule="exact"/>
        <w:ind w:right="-147"/>
        <w:jc w:val="left"/>
        <w:rPr>
          <w:rFonts w:hint="default" w:ascii="仿宋_GB2312" w:hAnsi="仿宋" w:eastAsia="仿宋_GB2312"/>
          <w:spacing w:val="2"/>
          <w:sz w:val="28"/>
          <w:szCs w:val="28"/>
          <w:lang w:val="en-US" w:eastAsia="zh-CN"/>
        </w:rPr>
      </w:pPr>
      <w:r>
        <w:rPr>
          <w:rFonts w:hint="eastAsia" w:ascii="仿宋_GB2312" w:hAnsi="仿宋" w:eastAsia="仿宋_GB2312"/>
          <w:b/>
          <w:bCs/>
          <w:spacing w:val="2"/>
          <w:sz w:val="28"/>
          <w:szCs w:val="28"/>
          <w:lang w:val="en-US" w:eastAsia="zh-CN"/>
        </w:rPr>
        <w:t>联系人：</w:t>
      </w:r>
    </w:p>
    <w:p w14:paraId="02775AEF">
      <w:pPr>
        <w:spacing w:line="500" w:lineRule="exact"/>
        <w:ind w:right="-147"/>
        <w:jc w:val="left"/>
        <w:rPr>
          <w:rFonts w:ascii="仿宋_GB2312" w:hAnsi="仿宋" w:eastAsia="仿宋_GB2312"/>
          <w:spacing w:val="2"/>
          <w:sz w:val="28"/>
          <w:szCs w:val="28"/>
        </w:rPr>
      </w:pPr>
      <w:r>
        <w:rPr>
          <w:rFonts w:hint="eastAsia" w:ascii="仿宋_GB2312" w:hAnsi="仿宋" w:eastAsia="仿宋_GB2312"/>
          <w:b/>
          <w:bCs/>
          <w:spacing w:val="2"/>
          <w:sz w:val="28"/>
          <w:szCs w:val="28"/>
        </w:rPr>
        <w:t>住所地/通讯地址：</w:t>
      </w:r>
    </w:p>
    <w:p w14:paraId="0AB8F5F7">
      <w:pPr>
        <w:jc w:val="left"/>
        <w:rPr>
          <w:rFonts w:hint="eastAsia" w:ascii="仿宋_GB2312" w:hAnsi="仿宋" w:eastAsia="仿宋"/>
          <w:b/>
          <w:bCs/>
          <w:spacing w:val="2"/>
          <w:sz w:val="28"/>
          <w:szCs w:val="28"/>
          <w:lang w:eastAsia="zh-CN"/>
        </w:rPr>
      </w:pPr>
      <w:r>
        <w:rPr>
          <w:rFonts w:hint="eastAsia" w:ascii="仿宋_GB2312" w:hAnsi="仿宋" w:eastAsia="仿宋_GB2312"/>
          <w:b/>
          <w:bCs/>
          <w:spacing w:val="2"/>
          <w:sz w:val="28"/>
          <w:szCs w:val="28"/>
        </w:rPr>
        <w:t>联系电话：</w:t>
      </w:r>
    </w:p>
    <w:p w14:paraId="21C6DDED">
      <w:pPr>
        <w:spacing w:line="460" w:lineRule="exact"/>
        <w:ind w:firstLine="568" w:firstLineChars="200"/>
        <w:rPr>
          <w:rFonts w:ascii="仿宋_GB2312" w:hAnsi="仿宋" w:eastAsia="仿宋_GB2312"/>
          <w:spacing w:val="2"/>
          <w:sz w:val="28"/>
          <w:szCs w:val="28"/>
        </w:rPr>
      </w:pPr>
    </w:p>
    <w:p w14:paraId="7E69445A">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鉴于甲方系物业服务企业，其下属重庆、合肥、江西</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郑州、西安、南宁、哈尔滨、深圳</w:t>
      </w:r>
      <w:r>
        <w:rPr>
          <w:rFonts w:hint="eastAsia" w:ascii="仿宋_GB2312" w:hAnsi="仿宋" w:eastAsia="仿宋_GB2312"/>
          <w:spacing w:val="2"/>
          <w:sz w:val="28"/>
          <w:szCs w:val="28"/>
        </w:rPr>
        <w:t>分公司（以下统称“甲方及下属分公司”）均存在应收账款未收回情形，需通过诉讼方式追缴；乙方系依法设立的律师事务所，具备提供民商事诉讼代理法律服务的资质和能力。根据《中华人民共和国民法典》、《中华人民共和国律师法》、《中华人民共和国民事诉讼法》等相关法律法规，甲乙双方本着平等自愿、诚实信用、公平合理的原则，经充分协商一致，订立本合同，以资共同遵守。</w:t>
      </w:r>
    </w:p>
    <w:p w14:paraId="3D712A8B">
      <w:pPr>
        <w:spacing w:line="560" w:lineRule="exact"/>
        <w:ind w:firstLine="568" w:firstLineChars="200"/>
        <w:rPr>
          <w:rFonts w:ascii="黑体" w:hAnsi="黑体" w:eastAsia="黑体"/>
          <w:bCs/>
          <w:spacing w:val="2"/>
          <w:sz w:val="28"/>
          <w:szCs w:val="28"/>
        </w:rPr>
      </w:pPr>
      <w:r>
        <w:rPr>
          <w:rFonts w:hint="eastAsia" w:ascii="黑体" w:hAnsi="黑体" w:eastAsia="黑体"/>
          <w:bCs/>
          <w:spacing w:val="2"/>
          <w:sz w:val="28"/>
          <w:szCs w:val="28"/>
        </w:rPr>
        <w:t>一、委托事项与范围</w:t>
      </w:r>
    </w:p>
    <w:p w14:paraId="57C04576">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1.1委托内容：甲方代表其自身及下属</w:t>
      </w:r>
      <w:r>
        <w:rPr>
          <w:rFonts w:hint="eastAsia" w:ascii="仿宋_GB2312" w:hAnsi="仿宋" w:eastAsia="仿宋_GB2312"/>
          <w:spacing w:val="2"/>
          <w:sz w:val="28"/>
          <w:szCs w:val="28"/>
          <w:lang w:val="en-US" w:eastAsia="zh-CN"/>
        </w:rPr>
        <w:t>八</w:t>
      </w:r>
      <w:r>
        <w:rPr>
          <w:rFonts w:hint="eastAsia" w:ascii="仿宋_GB2312" w:hAnsi="仿宋" w:eastAsia="仿宋_GB2312"/>
          <w:spacing w:val="2"/>
          <w:sz w:val="28"/>
          <w:szCs w:val="28"/>
        </w:rPr>
        <w:t>家分公司</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按照实际划分三个标段</w:t>
      </w:r>
      <w:r>
        <w:rPr>
          <w:rFonts w:hint="eastAsia" w:ascii="仿宋_GB2312" w:hAnsi="仿宋" w:eastAsia="仿宋_GB2312"/>
          <w:spacing w:val="2"/>
          <w:sz w:val="28"/>
          <w:szCs w:val="28"/>
          <w:highlight w:val="none"/>
          <w:lang w:eastAsia="zh-CN"/>
        </w:rPr>
        <w:t>）</w:t>
      </w:r>
      <w:r>
        <w:rPr>
          <w:rFonts w:hint="eastAsia" w:ascii="仿宋_GB2312" w:hAnsi="仿宋" w:eastAsia="仿宋_GB2312"/>
          <w:spacing w:val="2"/>
          <w:sz w:val="28"/>
          <w:szCs w:val="28"/>
          <w:highlight w:val="none"/>
        </w:rPr>
        <w:t>，委托乙方作为</w:t>
      </w:r>
      <w:r>
        <w:rPr>
          <w:rFonts w:hint="eastAsia" w:ascii="仿宋_GB2312" w:hAnsi="仿宋" w:eastAsia="仿宋_GB2312"/>
          <w:spacing w:val="2"/>
          <w:sz w:val="28"/>
          <w:szCs w:val="28"/>
          <w:highlight w:val="none"/>
          <w:lang w:val="en-US" w:eastAsia="zh-CN"/>
        </w:rPr>
        <w:t xml:space="preserve">      标段的</w:t>
      </w:r>
      <w:r>
        <w:rPr>
          <w:rFonts w:hint="eastAsia" w:ascii="仿宋_GB2312" w:hAnsi="仿宋" w:eastAsia="仿宋_GB2312"/>
          <w:spacing w:val="2"/>
          <w:sz w:val="28"/>
          <w:szCs w:val="28"/>
          <w:highlight w:val="none"/>
        </w:rPr>
        <w:t>代理人，以诉讼手段开展应收账款清收专项工作，代理阶段</w:t>
      </w:r>
      <w:r>
        <w:rPr>
          <w:rFonts w:hint="eastAsia" w:ascii="仿宋_GB2312" w:hAnsi="仿宋" w:eastAsia="仿宋_GB2312"/>
          <w:spacing w:val="2"/>
          <w:sz w:val="28"/>
          <w:szCs w:val="28"/>
        </w:rPr>
        <w:t>为</w:t>
      </w:r>
      <w:r>
        <w:rPr>
          <w:rFonts w:hint="eastAsia" w:ascii="仿宋_GB2312" w:hAnsi="仿宋" w:eastAsia="仿宋_GB2312"/>
          <w:spacing w:val="2"/>
          <w:sz w:val="28"/>
          <w:szCs w:val="28"/>
          <w:lang w:val="en-US" w:eastAsia="zh-CN"/>
        </w:rPr>
        <w:t>一审、二审、再审、执行诉讼</w:t>
      </w:r>
      <w:r>
        <w:rPr>
          <w:rFonts w:hint="eastAsia" w:ascii="仿宋_GB2312" w:hAnsi="仿宋" w:eastAsia="仿宋_GB2312"/>
          <w:spacing w:val="2"/>
          <w:sz w:val="28"/>
          <w:szCs w:val="28"/>
        </w:rPr>
        <w:t>程序全流程。乙方接受委托后，应按本合同约定及甲方</w:t>
      </w:r>
      <w:r>
        <w:rPr>
          <w:rFonts w:hint="eastAsia" w:ascii="仿宋_GB2312" w:hAnsi="仿宋" w:eastAsia="仿宋_GB2312"/>
          <w:spacing w:val="2"/>
          <w:sz w:val="28"/>
          <w:szCs w:val="28"/>
          <w:lang w:val="en-US" w:eastAsia="zh-CN"/>
        </w:rPr>
        <w:t>书面</w:t>
      </w:r>
      <w:r>
        <w:rPr>
          <w:rFonts w:hint="eastAsia" w:ascii="仿宋_GB2312" w:hAnsi="仿宋" w:eastAsia="仿宋_GB2312"/>
          <w:spacing w:val="2"/>
          <w:sz w:val="28"/>
          <w:szCs w:val="28"/>
        </w:rPr>
        <w:t>指令，代理甲方及下属分公司处理对应应收账款的诉讼追缴相关法律事务。</w:t>
      </w:r>
    </w:p>
    <w:p w14:paraId="0BE2D2A6">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1.2代理案件范围：本合同项下的代理案件范</w:t>
      </w:r>
      <w:r>
        <w:rPr>
          <w:rFonts w:hint="eastAsia" w:ascii="仿宋_GB2312" w:hAnsi="仿宋" w:eastAsia="仿宋_GB2312"/>
          <w:spacing w:val="2"/>
          <w:sz w:val="28"/>
          <w:szCs w:val="28"/>
          <w:highlight w:val="none"/>
        </w:rPr>
        <w:t>围，以双方盖章确认的《应收账款清收案件明细表》（见附件一）为准。该明细表应逐一列明案</w:t>
      </w:r>
      <w:r>
        <w:rPr>
          <w:rFonts w:hint="eastAsia" w:ascii="仿宋_GB2312" w:hAnsi="仿宋" w:eastAsia="仿宋_GB2312"/>
          <w:spacing w:val="2"/>
          <w:sz w:val="28"/>
          <w:szCs w:val="28"/>
        </w:rPr>
        <w:t>件所属主体（甲方或某下属分公司）、债务人名称、统一社会信用代码、应收账款金额、是否已催收及催收情况等核心信息。</w:t>
      </w:r>
    </w:p>
    <w:p w14:paraId="46D562CE">
      <w:pPr>
        <w:spacing w:line="560" w:lineRule="exact"/>
        <w:ind w:right="-149" w:firstLine="568" w:firstLineChars="200"/>
        <w:jc w:val="left"/>
        <w:rPr>
          <w:rFonts w:ascii="仿宋_GB2312" w:hAnsi="仿宋" w:eastAsia="仿宋_GB2312"/>
          <w:spacing w:val="2"/>
          <w:sz w:val="28"/>
          <w:szCs w:val="28"/>
        </w:rPr>
      </w:pPr>
      <w:r>
        <w:rPr>
          <w:rFonts w:hint="eastAsia" w:ascii="仿宋_GB2312" w:hAnsi="仿宋" w:eastAsia="仿宋_GB2312"/>
          <w:spacing w:val="2"/>
          <w:sz w:val="28"/>
          <w:szCs w:val="28"/>
        </w:rPr>
        <w:t>1.3启动模式：本合同项下案件实行“分批次启动”机制，甲方根据实际需求向乙方出具《批次起诉指令单》（格式见附件二，需加盖甲方公章）。乙方严格按照指令单载明的案件清单、启动时限及具体要求，启动对应案件的一审诉讼代理程序。无甲方书面确认的《批次起诉指令单》，乙方不得擅自启动任何案件的立案、保全、调解等法律程序；未经甲方书面同意，乙方不得变更指令单内容。</w:t>
      </w:r>
    </w:p>
    <w:p w14:paraId="2F76BECF">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1.4服务范围：乙方就每批次指令案件提供</w:t>
      </w:r>
      <w:r>
        <w:rPr>
          <w:rFonts w:hint="eastAsia" w:ascii="仿宋_GB2312" w:hAnsi="仿宋" w:eastAsia="仿宋_GB2312"/>
          <w:spacing w:val="2"/>
          <w:sz w:val="28"/>
          <w:szCs w:val="28"/>
          <w:lang w:val="en-US" w:eastAsia="zh-CN"/>
        </w:rPr>
        <w:t>一审、二审、再审、执行（第一（一）标段无一审程序）诉讼</w:t>
      </w:r>
      <w:r>
        <w:rPr>
          <w:rFonts w:hint="eastAsia" w:ascii="仿宋_GB2312" w:hAnsi="仿宋" w:eastAsia="仿宋_GB2312"/>
          <w:spacing w:val="2"/>
          <w:sz w:val="28"/>
          <w:szCs w:val="28"/>
        </w:rPr>
        <w:t>程序全流程闭环法律服务，包括但不限于：对案件进行法律分析并出具诉讼可行性意见、制定诉讼策略、整理案件材料、起草起诉状等法律文书、向法院提交立案材料、申请财产保全（含续保）、参与庭审活动（举证、质证、辩论</w:t>
      </w:r>
      <w:r>
        <w:rPr>
          <w:rFonts w:hint="eastAsia" w:ascii="仿宋_GB2312" w:hAnsi="仿宋" w:eastAsia="仿宋_GB2312"/>
          <w:spacing w:val="2"/>
          <w:sz w:val="28"/>
          <w:szCs w:val="28"/>
          <w:lang w:val="en-US" w:eastAsia="zh-CN"/>
        </w:rPr>
        <w:t>等</w:t>
      </w:r>
      <w:r>
        <w:rPr>
          <w:rFonts w:hint="eastAsia" w:ascii="仿宋_GB2312" w:hAnsi="仿宋" w:eastAsia="仿宋_GB2312"/>
          <w:spacing w:val="2"/>
          <w:sz w:val="28"/>
          <w:szCs w:val="28"/>
        </w:rPr>
        <w:t>）、调解协商（需经甲方书面同意）等，直至</w:t>
      </w:r>
      <w:r>
        <w:rPr>
          <w:rFonts w:hint="eastAsia" w:ascii="仿宋_GB2312" w:hAnsi="仿宋" w:eastAsia="仿宋_GB2312"/>
          <w:spacing w:val="2"/>
          <w:sz w:val="28"/>
          <w:szCs w:val="28"/>
          <w:lang w:val="en-US" w:eastAsia="zh-CN"/>
        </w:rPr>
        <w:t>所有</w:t>
      </w:r>
      <w:r>
        <w:rPr>
          <w:rFonts w:hint="eastAsia" w:ascii="仿宋_GB2312" w:hAnsi="仿宋" w:eastAsia="仿宋_GB2312"/>
          <w:spacing w:val="2"/>
          <w:sz w:val="28"/>
          <w:szCs w:val="28"/>
        </w:rPr>
        <w:t>案件达到本合同约定的“案件终结标准”。</w:t>
      </w:r>
    </w:p>
    <w:p w14:paraId="3A13712E">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rPr>
        <w:t>1.5案件终结标准：单个案件</w:t>
      </w:r>
      <w:r>
        <w:rPr>
          <w:rFonts w:hint="eastAsia" w:ascii="仿宋_GB2312" w:hAnsi="仿宋" w:eastAsia="仿宋_GB2312"/>
          <w:spacing w:val="2"/>
          <w:sz w:val="28"/>
          <w:szCs w:val="28"/>
          <w:highlight w:val="none"/>
        </w:rPr>
        <w:t>满足下列情形之一的，即视为案件终结：</w:t>
      </w:r>
    </w:p>
    <w:p w14:paraId="7F7A99C9">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1.5.1债务人就该案件对应的应收账款全额清偿，款项全部支付至甲方指定的对应收款账户；</w:t>
      </w:r>
    </w:p>
    <w:p w14:paraId="6348C6FB">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1.5.</w:t>
      </w:r>
      <w:r>
        <w:rPr>
          <w:rFonts w:hint="eastAsia" w:ascii="仿宋_GB2312" w:hAnsi="仿宋" w:eastAsia="仿宋_GB2312"/>
          <w:spacing w:val="2"/>
          <w:sz w:val="28"/>
          <w:szCs w:val="28"/>
          <w:highlight w:val="none"/>
          <w:lang w:val="en-US" w:eastAsia="zh-CN"/>
        </w:rPr>
        <w:t>2</w:t>
      </w:r>
      <w:r>
        <w:rPr>
          <w:rFonts w:hint="eastAsia" w:ascii="仿宋_GB2312" w:hAnsi="仿宋" w:eastAsia="仿宋_GB2312"/>
          <w:spacing w:val="2"/>
          <w:sz w:val="28"/>
          <w:szCs w:val="28"/>
          <w:highlight w:val="none"/>
        </w:rPr>
        <w:t>甲方书面通知乙方撤回对该案件的起诉，且明确不再就该案件委托乙方继续代理；</w:t>
      </w:r>
    </w:p>
    <w:p w14:paraId="3932FCDF">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1.5.</w:t>
      </w:r>
      <w:r>
        <w:rPr>
          <w:rFonts w:hint="eastAsia" w:ascii="仿宋_GB2312" w:hAnsi="仿宋" w:eastAsia="仿宋_GB2312"/>
          <w:spacing w:val="2"/>
          <w:sz w:val="28"/>
          <w:szCs w:val="28"/>
          <w:highlight w:val="none"/>
          <w:lang w:val="en-US" w:eastAsia="zh-CN"/>
        </w:rPr>
        <w:t>3</w:t>
      </w:r>
      <w:r>
        <w:rPr>
          <w:rFonts w:hint="eastAsia" w:ascii="仿宋_GB2312" w:hAnsi="仿宋" w:eastAsia="仿宋_GB2312"/>
          <w:spacing w:val="2"/>
          <w:sz w:val="28"/>
          <w:szCs w:val="28"/>
          <w:highlight w:val="none"/>
        </w:rPr>
        <w:t>因法律规定的不可抗力或法定事由（如诉讼时效届满且无法补救、债务人主体资格灭失等），导致该案件</w:t>
      </w:r>
      <w:r>
        <w:rPr>
          <w:rFonts w:hint="eastAsia" w:ascii="仿宋_GB2312" w:hAnsi="仿宋" w:eastAsia="仿宋_GB2312"/>
          <w:spacing w:val="2"/>
          <w:sz w:val="28"/>
          <w:szCs w:val="28"/>
          <w:highlight w:val="none"/>
          <w:lang w:val="en-US" w:eastAsia="zh-CN"/>
        </w:rPr>
        <w:t>诉讼</w:t>
      </w:r>
      <w:r>
        <w:rPr>
          <w:rFonts w:hint="eastAsia" w:ascii="仿宋_GB2312" w:hAnsi="仿宋" w:eastAsia="仿宋_GB2312"/>
          <w:spacing w:val="2"/>
          <w:sz w:val="28"/>
          <w:szCs w:val="28"/>
          <w:highlight w:val="none"/>
        </w:rPr>
        <w:t>程序无法继续推进，且乙方已履行完毕全部必要告知义务。</w:t>
      </w:r>
    </w:p>
    <w:p w14:paraId="6F8C115C">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1.6委托期限：自本合同签订之日起</w:t>
      </w:r>
      <w:r>
        <w:rPr>
          <w:rFonts w:hint="eastAsia" w:ascii="仿宋_GB2312" w:hAnsi="仿宋" w:eastAsia="仿宋_GB2312"/>
          <w:spacing w:val="2"/>
          <w:sz w:val="28"/>
          <w:szCs w:val="28"/>
          <w:highlight w:val="none"/>
          <w:lang w:eastAsia="zh-CN"/>
        </w:rPr>
        <w:t>，</w:t>
      </w:r>
      <w:r>
        <w:rPr>
          <w:rFonts w:hint="eastAsia" w:ascii="仿宋_GB2312" w:hAnsi="仿宋" w:eastAsia="仿宋_GB2312"/>
          <w:spacing w:val="2"/>
          <w:sz w:val="28"/>
          <w:szCs w:val="28"/>
          <w:highlight w:val="none"/>
          <w:lang w:val="en-US" w:eastAsia="zh-CN"/>
        </w:rPr>
        <w:t>至案件办结之日止</w:t>
      </w:r>
      <w:r>
        <w:rPr>
          <w:rFonts w:hint="eastAsia" w:ascii="仿宋_GB2312" w:hAnsi="仿宋" w:eastAsia="仿宋_GB2312"/>
          <w:spacing w:val="2"/>
          <w:sz w:val="28"/>
          <w:szCs w:val="28"/>
          <w:highlight w:val="none"/>
        </w:rPr>
        <w:t>。</w:t>
      </w:r>
    </w:p>
    <w:p w14:paraId="7A80DEC4">
      <w:pPr>
        <w:spacing w:line="560" w:lineRule="exact"/>
        <w:ind w:firstLine="568" w:firstLineChars="200"/>
        <w:rPr>
          <w:rFonts w:ascii="黑体" w:hAnsi="黑体" w:eastAsia="黑体"/>
          <w:bCs/>
          <w:spacing w:val="2"/>
          <w:sz w:val="28"/>
          <w:szCs w:val="28"/>
          <w:highlight w:val="none"/>
        </w:rPr>
      </w:pPr>
      <w:r>
        <w:rPr>
          <w:rFonts w:hint="eastAsia" w:ascii="黑体" w:hAnsi="黑体" w:eastAsia="黑体"/>
          <w:bCs/>
          <w:spacing w:val="2"/>
          <w:sz w:val="28"/>
          <w:szCs w:val="28"/>
          <w:highlight w:val="none"/>
        </w:rPr>
        <w:t>二、代理权限</w:t>
      </w:r>
    </w:p>
    <w:p w14:paraId="25E99DE4">
      <w:pPr>
        <w:spacing w:line="560" w:lineRule="exact"/>
        <w:ind w:right="-149" w:firstLine="568" w:firstLineChars="200"/>
        <w:rPr>
          <w:rFonts w:hint="eastAsia" w:ascii="仿宋_GB2312" w:hAnsi="仿宋" w:eastAsia="仿宋_GB2312"/>
          <w:spacing w:val="2"/>
          <w:sz w:val="28"/>
          <w:szCs w:val="28"/>
          <w:highlight w:val="none"/>
        </w:rPr>
      </w:pPr>
      <w:r>
        <w:rPr>
          <w:rFonts w:hint="eastAsia" w:ascii="仿宋_GB2312" w:hAnsi="仿宋" w:eastAsia="仿宋_GB2312"/>
          <w:spacing w:val="2"/>
          <w:sz w:val="28"/>
          <w:szCs w:val="28"/>
          <w:highlight w:val="none"/>
        </w:rPr>
        <w:t>2.1代理权限类型：乙方的代理权限为特别授权代理，具体权限以甲方就每批次案件或单个案件出具的《授权委托书》（模板见附件三）为准。《授权委托书》应根据案件所属主体（甲方或下属分公司）分别出具，确保授权主体合法有效。</w:t>
      </w:r>
    </w:p>
    <w:p w14:paraId="3A069EA3">
      <w:pPr>
        <w:spacing w:line="560" w:lineRule="exact"/>
        <w:ind w:right="-149" w:firstLine="568" w:firstLineChars="200"/>
        <w:rPr>
          <w:rFonts w:hint="eastAsia" w:ascii="仿宋_GB2312" w:hAnsi="仿宋" w:eastAsia="仿宋_GB2312"/>
          <w:spacing w:val="2"/>
          <w:sz w:val="28"/>
          <w:szCs w:val="28"/>
          <w:highlight w:val="none"/>
        </w:rPr>
      </w:pPr>
      <w:r>
        <w:rPr>
          <w:rFonts w:hint="eastAsia" w:ascii="仿宋_GB2312" w:hAnsi="仿宋" w:eastAsia="仿宋_GB2312"/>
          <w:spacing w:val="2"/>
          <w:sz w:val="28"/>
          <w:szCs w:val="28"/>
          <w:highlight w:val="none"/>
        </w:rPr>
        <w:t>特别约定：因本合同委托事项涉及不同地域，甲方同意乙方可根据案件办理需要，将案件转委托给乙方分所进行处理，并由甲方或下属分公司配合向乙方分所出具《授权委托书》及相应授权委托资料。</w:t>
      </w:r>
    </w:p>
    <w:p w14:paraId="65913A0E">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2.2权限限制：乙方在行使代理权限过程中，涉及下列重大实体权利处分事项的，必须事先取得甲方针对该个案书面同意（需加盖甲方公章），否则无权实施任何相关行为：</w:t>
      </w:r>
    </w:p>
    <w:p w14:paraId="59462E16">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2.2.1承认、放弃或变更诉讼请求（包括但不限于减少诉讼标的额、放弃利息主张等）；</w:t>
      </w:r>
    </w:p>
    <w:p w14:paraId="6BDB8BB6">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2.2.2与债务人达成和解协议、调解协议，或出具债务减免、延期还款等任何形式的承诺，并签署相关法律文件；</w:t>
      </w:r>
    </w:p>
    <w:p w14:paraId="1362A1B9">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2.2.3撤回起诉申请；</w:t>
      </w:r>
    </w:p>
    <w:p w14:paraId="21CB3831">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2.2.4接受以非货币财产（如房产、车辆、股权等）抵偿债务；</w:t>
      </w:r>
    </w:p>
    <w:p w14:paraId="10B9C20E">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2.2.5放弃该案件对应的债权担保权利（如有）。</w:t>
      </w:r>
    </w:p>
    <w:p w14:paraId="17ADD393">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2.3常规权限：除本合同2.2条约定的限制事项外，乙方有权独立处理下列一审程序性事务：起草、修改并提交各类程序性法律文书；申请财产保全、证据保全；参与庭审活动；签收程序性法律文书（如开庭传票、举证通知书等，裁判文书需在收到后24小时内报备甲方）；办理案件一审阶段相关的其他程序性手续。</w:t>
      </w:r>
    </w:p>
    <w:p w14:paraId="6B40DCC7">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2.4策略调整：乙方在代理过程中，如认为需要调整诉讼策略，应提前3个工作日向甲方提交书面的策略调整方案，详细说明调整理由、调整内容及预期效果，经甲方书面同意后，方可按照调整后的策略推进工作。</w:t>
      </w:r>
    </w:p>
    <w:p w14:paraId="7B1AB29E">
      <w:pPr>
        <w:spacing w:line="560" w:lineRule="exact"/>
        <w:ind w:firstLine="568" w:firstLineChars="200"/>
        <w:rPr>
          <w:rFonts w:hint="eastAsia" w:ascii="仿宋_GB2312" w:hAnsi="仿宋" w:eastAsia="仿宋_GB2312"/>
          <w:spacing w:val="2"/>
          <w:sz w:val="28"/>
          <w:szCs w:val="28"/>
        </w:rPr>
      </w:pPr>
      <w:r>
        <w:rPr>
          <w:rFonts w:hint="eastAsia" w:ascii="黑体" w:hAnsi="黑体" w:eastAsia="黑体"/>
          <w:bCs/>
          <w:spacing w:val="2"/>
          <w:sz w:val="28"/>
          <w:szCs w:val="28"/>
        </w:rPr>
        <w:t>三、律师代理费</w:t>
      </w:r>
      <w:r>
        <w:rPr>
          <w:rFonts w:hint="eastAsia" w:ascii="黑体" w:hAnsi="黑体" w:eastAsia="黑体"/>
          <w:bCs/>
          <w:spacing w:val="2"/>
          <w:sz w:val="28"/>
          <w:szCs w:val="28"/>
          <w:lang w:val="en-US" w:eastAsia="zh-CN"/>
        </w:rPr>
        <w:t>标准</w:t>
      </w:r>
      <w:r>
        <w:rPr>
          <w:rFonts w:hint="eastAsia" w:ascii="黑体" w:hAnsi="黑体" w:eastAsia="黑体"/>
          <w:bCs/>
          <w:spacing w:val="2"/>
          <w:sz w:val="28"/>
          <w:szCs w:val="28"/>
        </w:rPr>
        <w:t>及支付方式</w:t>
      </w:r>
    </w:p>
    <w:p w14:paraId="7508900B">
      <w:pPr>
        <w:spacing w:line="560" w:lineRule="exact"/>
        <w:ind w:right="-149" w:firstLine="568" w:firstLineChars="200"/>
        <w:rPr>
          <w:rFonts w:hint="eastAsia" w:ascii="仿宋_GB2312" w:hAnsi="仿宋" w:eastAsia="仿宋_GB2312"/>
          <w:spacing w:val="2"/>
          <w:sz w:val="28"/>
          <w:szCs w:val="28"/>
          <w:lang w:val="en-US" w:eastAsia="zh-CN"/>
        </w:rPr>
      </w:pPr>
      <w:r>
        <w:rPr>
          <w:rFonts w:hint="eastAsia" w:ascii="仿宋_GB2312" w:hAnsi="仿宋" w:eastAsia="仿宋_GB2312"/>
          <w:spacing w:val="2"/>
          <w:sz w:val="28"/>
          <w:szCs w:val="28"/>
        </w:rPr>
        <w:t>3.1</w:t>
      </w:r>
      <w:r>
        <w:rPr>
          <w:rFonts w:hint="eastAsia" w:ascii="仿宋_GB2312" w:hAnsi="仿宋" w:eastAsia="仿宋_GB2312"/>
          <w:spacing w:val="2"/>
          <w:sz w:val="28"/>
          <w:szCs w:val="28"/>
          <w:lang w:val="en-US" w:eastAsia="zh-CN"/>
        </w:rPr>
        <w:t>律师代理费标准</w:t>
      </w:r>
    </w:p>
    <w:p w14:paraId="79E05249">
      <w:pPr>
        <w:spacing w:line="560" w:lineRule="exact"/>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rPr>
        <w:t>3.</w:t>
      </w:r>
      <w:r>
        <w:rPr>
          <w:rFonts w:hint="eastAsia" w:ascii="仿宋_GB2312" w:hAnsi="仿宋" w:eastAsia="仿宋_GB2312"/>
          <w:spacing w:val="2"/>
          <w:sz w:val="28"/>
          <w:szCs w:val="28"/>
          <w:lang w:val="en-US" w:eastAsia="zh-CN"/>
        </w:rPr>
        <w:t>1</w:t>
      </w:r>
      <w:r>
        <w:rPr>
          <w:rFonts w:hint="eastAsia" w:ascii="仿宋_GB2312" w:hAnsi="仿宋" w:eastAsia="仿宋_GB2312"/>
          <w:spacing w:val="2"/>
          <w:sz w:val="28"/>
          <w:szCs w:val="28"/>
        </w:rPr>
        <w:t>.1律师代理费用指乙方为完成甲方委托案件诉讼阶段的法律服务工作而收取的代理费用，按照案件起诉标的额确定律师代理费标准，具体如下表:</w:t>
      </w:r>
    </w:p>
    <w:tbl>
      <w:tblPr>
        <w:tblStyle w:val="36"/>
        <w:tblW w:w="5006" w:type="pct"/>
        <w:tblInd w:w="144" w:type="dxa"/>
        <w:tblLayout w:type="fixed"/>
        <w:tblCellMar>
          <w:top w:w="0" w:type="dxa"/>
          <w:left w:w="108" w:type="dxa"/>
          <w:bottom w:w="0" w:type="dxa"/>
          <w:right w:w="108" w:type="dxa"/>
        </w:tblCellMar>
      </w:tblPr>
      <w:tblGrid>
        <w:gridCol w:w="1012"/>
        <w:gridCol w:w="3285"/>
        <w:gridCol w:w="1100"/>
        <w:gridCol w:w="1878"/>
        <w:gridCol w:w="1598"/>
      </w:tblGrid>
      <w:tr w14:paraId="1010E042">
        <w:tblPrEx>
          <w:tblCellMar>
            <w:top w:w="0" w:type="dxa"/>
            <w:left w:w="108" w:type="dxa"/>
            <w:bottom w:w="0" w:type="dxa"/>
            <w:right w:w="108" w:type="dxa"/>
          </w:tblCellMar>
        </w:tblPrEx>
        <w:trPr>
          <w:trHeight w:val="695" w:hRule="atLeast"/>
        </w:trPr>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090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sz w:val="24"/>
                <w:szCs w:val="24"/>
              </w:rPr>
            </w:pPr>
            <w:r>
              <w:rPr>
                <w:rFonts w:hint="eastAsia" w:ascii="仿宋" w:hAnsi="仿宋" w:eastAsia="仿宋" w:cs="仿宋"/>
                <w:b/>
                <w:bCs/>
                <w:color w:val="000000"/>
                <w:kern w:val="0"/>
                <w:sz w:val="24"/>
                <w:szCs w:val="24"/>
                <w:lang w:bidi="ar"/>
              </w:rPr>
              <w:t>序号</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09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sz w:val="24"/>
                <w:szCs w:val="24"/>
              </w:rPr>
            </w:pPr>
            <w:r>
              <w:rPr>
                <w:rFonts w:hint="eastAsia" w:ascii="仿宋" w:hAnsi="仿宋" w:eastAsia="仿宋" w:cs="仿宋"/>
                <w:b/>
                <w:bCs/>
                <w:color w:val="000000"/>
                <w:kern w:val="0"/>
                <w:sz w:val="24"/>
                <w:szCs w:val="24"/>
                <w:lang w:bidi="ar"/>
              </w:rPr>
              <w:t>起诉标的额</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7C06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sz w:val="24"/>
                <w:szCs w:val="24"/>
              </w:rPr>
            </w:pPr>
            <w:r>
              <w:rPr>
                <w:rFonts w:hint="eastAsia" w:ascii="仿宋" w:hAnsi="仿宋" w:eastAsia="仿宋" w:cs="仿宋"/>
                <w:b/>
                <w:bCs/>
                <w:color w:val="000000"/>
                <w:kern w:val="0"/>
                <w:sz w:val="24"/>
                <w:szCs w:val="24"/>
                <w:lang w:bidi="ar"/>
              </w:rPr>
              <w:t>数量</w:t>
            </w:r>
          </w:p>
        </w:tc>
        <w:tc>
          <w:tcPr>
            <w:tcW w:w="1058" w:type="pct"/>
            <w:tcBorders>
              <w:top w:val="single" w:color="000000" w:sz="4" w:space="0"/>
              <w:left w:val="single" w:color="000000" w:sz="4" w:space="0"/>
              <w:right w:val="single" w:color="auto" w:sz="4" w:space="0"/>
            </w:tcBorders>
            <w:shd w:val="clear" w:color="auto" w:fill="auto"/>
            <w:vAlign w:val="center"/>
          </w:tcPr>
          <w:p w14:paraId="47837F8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kern w:val="2"/>
                <w:sz w:val="24"/>
                <w:szCs w:val="24"/>
                <w:lang w:val="en-US" w:eastAsia="zh-CN" w:bidi="ar-SA"/>
              </w:rPr>
            </w:pPr>
            <w:r>
              <w:rPr>
                <w:rFonts w:hint="eastAsia" w:ascii="仿宋" w:hAnsi="仿宋" w:eastAsia="仿宋" w:cs="仿宋"/>
                <w:b/>
                <w:bCs/>
                <w:color w:val="000000"/>
                <w:sz w:val="24"/>
                <w:szCs w:val="24"/>
                <w:lang w:val="en-US" w:eastAsia="zh-CN"/>
              </w:rPr>
              <w:t>基础代理费（元）</w:t>
            </w:r>
          </w:p>
        </w:tc>
        <w:tc>
          <w:tcPr>
            <w:tcW w:w="900" w:type="pct"/>
            <w:tcBorders>
              <w:top w:val="single" w:color="000000" w:sz="4" w:space="0"/>
              <w:left w:val="single" w:color="auto" w:sz="4" w:space="0"/>
              <w:right w:val="single" w:color="auto" w:sz="4" w:space="0"/>
            </w:tcBorders>
            <w:shd w:val="clear" w:color="auto" w:fill="auto"/>
            <w:vAlign w:val="center"/>
          </w:tcPr>
          <w:p w14:paraId="7C079FE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2"/>
                <w:sz w:val="24"/>
                <w:szCs w:val="24"/>
                <w:lang w:val="en-US" w:eastAsia="zh-CN" w:bidi="ar-SA"/>
              </w:rPr>
            </w:pPr>
            <w:r>
              <w:rPr>
                <w:rFonts w:hint="eastAsia" w:ascii="仿宋" w:hAnsi="仿宋" w:eastAsia="仿宋" w:cs="仿宋"/>
                <w:b/>
                <w:bCs/>
                <w:color w:val="000000"/>
                <w:sz w:val="24"/>
                <w:szCs w:val="24"/>
                <w:lang w:val="en-US" w:eastAsia="zh-CN"/>
              </w:rPr>
              <w:t>风险代理费%</w:t>
            </w:r>
          </w:p>
        </w:tc>
      </w:tr>
      <w:tr w14:paraId="21159FAD">
        <w:tblPrEx>
          <w:tblCellMar>
            <w:top w:w="0" w:type="dxa"/>
            <w:left w:w="108" w:type="dxa"/>
            <w:bottom w:w="0" w:type="dxa"/>
            <w:right w:w="108" w:type="dxa"/>
          </w:tblCellMar>
        </w:tblPrEx>
        <w:trPr>
          <w:trHeight w:val="545" w:hRule="atLeast"/>
        </w:trPr>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D3A4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sz w:val="24"/>
                <w:szCs w:val="24"/>
              </w:rPr>
            </w:pPr>
            <w:r>
              <w:rPr>
                <w:rFonts w:hint="eastAsia" w:ascii="仿宋" w:hAnsi="仿宋" w:eastAsia="仿宋" w:cs="仿宋"/>
                <w:b/>
                <w:bCs/>
                <w:color w:val="000000"/>
                <w:kern w:val="0"/>
                <w:sz w:val="24"/>
                <w:szCs w:val="24"/>
                <w:lang w:bidi="ar"/>
              </w:rPr>
              <w:t>1</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9DD0">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b/>
                <w:bCs/>
                <w:color w:val="000000"/>
                <w:sz w:val="24"/>
                <w:szCs w:val="24"/>
              </w:rPr>
            </w:pPr>
            <w:r>
              <w:rPr>
                <w:rFonts w:hint="eastAsia" w:ascii="仿宋" w:hAnsi="仿宋" w:eastAsia="仿宋" w:cs="仿宋"/>
                <w:b/>
                <w:bCs/>
                <w:i w:val="0"/>
                <w:iCs w:val="0"/>
                <w:color w:val="000000"/>
                <w:kern w:val="0"/>
                <w:sz w:val="24"/>
                <w:szCs w:val="24"/>
                <w:u w:val="none"/>
                <w:lang w:val="en-US" w:eastAsia="zh-CN" w:bidi="ar"/>
              </w:rPr>
              <w:t>标的额＜1万元</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A98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kern w:val="0"/>
                <w:sz w:val="24"/>
                <w:szCs w:val="24"/>
                <w:lang w:bidi="ar"/>
              </w:rPr>
            </w:pP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51E2F76">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c>
          <w:tcPr>
            <w:tcW w:w="900"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303F7CF0">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r>
      <w:tr w14:paraId="22B99354">
        <w:tblPrEx>
          <w:tblCellMar>
            <w:top w:w="0" w:type="dxa"/>
            <w:left w:w="108" w:type="dxa"/>
            <w:bottom w:w="0" w:type="dxa"/>
            <w:right w:w="108" w:type="dxa"/>
          </w:tblCellMar>
        </w:tblPrEx>
        <w:trPr>
          <w:trHeight w:val="572" w:hRule="atLeast"/>
        </w:trPr>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20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sz w:val="24"/>
                <w:szCs w:val="24"/>
              </w:rPr>
            </w:pPr>
            <w:r>
              <w:rPr>
                <w:rFonts w:hint="eastAsia" w:ascii="仿宋" w:hAnsi="仿宋" w:eastAsia="仿宋" w:cs="仿宋"/>
                <w:b/>
                <w:bCs/>
                <w:color w:val="000000"/>
                <w:kern w:val="0"/>
                <w:sz w:val="24"/>
                <w:szCs w:val="24"/>
                <w:lang w:bidi="ar"/>
              </w:rPr>
              <w:t>2</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03AB">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b/>
                <w:bCs/>
                <w:color w:val="000000"/>
                <w:sz w:val="24"/>
                <w:szCs w:val="24"/>
              </w:rPr>
            </w:pPr>
            <w:r>
              <w:rPr>
                <w:rFonts w:hint="eastAsia" w:ascii="仿宋" w:hAnsi="仿宋" w:eastAsia="仿宋" w:cs="仿宋"/>
                <w:b/>
                <w:bCs/>
                <w:i w:val="0"/>
                <w:iCs w:val="0"/>
                <w:color w:val="000000"/>
                <w:kern w:val="0"/>
                <w:sz w:val="24"/>
                <w:szCs w:val="24"/>
                <w:u w:val="none"/>
                <w:lang w:val="en-US" w:eastAsia="zh-CN" w:bidi="ar"/>
              </w:rPr>
              <w:t>1万元≤10万元</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46B9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kern w:val="0"/>
                <w:sz w:val="24"/>
                <w:szCs w:val="24"/>
                <w:lang w:bidi="ar"/>
              </w:rPr>
            </w:pP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9064FB4">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c>
          <w:tcPr>
            <w:tcW w:w="900"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0C646F02">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r>
      <w:tr w14:paraId="5A5DA444">
        <w:tblPrEx>
          <w:tblCellMar>
            <w:top w:w="0" w:type="dxa"/>
            <w:left w:w="108" w:type="dxa"/>
            <w:bottom w:w="0" w:type="dxa"/>
            <w:right w:w="108" w:type="dxa"/>
          </w:tblCellMar>
        </w:tblPrEx>
        <w:trPr>
          <w:trHeight w:val="573" w:hRule="atLeast"/>
        </w:trPr>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DC93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sz w:val="24"/>
                <w:szCs w:val="24"/>
              </w:rPr>
            </w:pPr>
            <w:r>
              <w:rPr>
                <w:rFonts w:hint="eastAsia" w:ascii="仿宋" w:hAnsi="仿宋" w:eastAsia="仿宋" w:cs="仿宋"/>
                <w:b/>
                <w:bCs/>
                <w:color w:val="000000"/>
                <w:kern w:val="0"/>
                <w:sz w:val="24"/>
                <w:szCs w:val="24"/>
                <w:lang w:bidi="ar"/>
              </w:rPr>
              <w:t>3</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7327">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b/>
                <w:bCs/>
                <w:color w:val="000000"/>
                <w:sz w:val="24"/>
                <w:szCs w:val="24"/>
              </w:rPr>
            </w:pPr>
            <w:r>
              <w:rPr>
                <w:rFonts w:hint="eastAsia" w:ascii="仿宋" w:hAnsi="仿宋" w:eastAsia="仿宋" w:cs="仿宋"/>
                <w:b/>
                <w:bCs/>
                <w:i w:val="0"/>
                <w:iCs w:val="0"/>
                <w:color w:val="000000"/>
                <w:kern w:val="0"/>
                <w:sz w:val="24"/>
                <w:szCs w:val="24"/>
                <w:u w:val="none"/>
                <w:lang w:val="en-US" w:eastAsia="zh-CN" w:bidi="ar"/>
              </w:rPr>
              <w:t>10万元≤标的额＜50万元</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BBDF">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kern w:val="0"/>
                <w:sz w:val="24"/>
                <w:szCs w:val="24"/>
                <w:lang w:bidi="ar"/>
              </w:rPr>
            </w:pP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4D25E986">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c>
          <w:tcPr>
            <w:tcW w:w="900"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35EB9C6E">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r>
      <w:tr w14:paraId="78656D78">
        <w:tblPrEx>
          <w:tblCellMar>
            <w:top w:w="0" w:type="dxa"/>
            <w:left w:w="108" w:type="dxa"/>
            <w:bottom w:w="0" w:type="dxa"/>
            <w:right w:w="108" w:type="dxa"/>
          </w:tblCellMar>
        </w:tblPrEx>
        <w:trPr>
          <w:trHeight w:val="600" w:hRule="atLeast"/>
        </w:trPr>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E554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sz w:val="24"/>
                <w:szCs w:val="24"/>
              </w:rPr>
            </w:pPr>
            <w:r>
              <w:rPr>
                <w:rFonts w:hint="eastAsia" w:ascii="仿宋" w:hAnsi="仿宋" w:eastAsia="仿宋" w:cs="仿宋"/>
                <w:b/>
                <w:bCs/>
                <w:color w:val="000000"/>
                <w:kern w:val="0"/>
                <w:sz w:val="24"/>
                <w:szCs w:val="24"/>
                <w:lang w:bidi="ar"/>
              </w:rPr>
              <w:t>4</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63B2">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b/>
                <w:bCs/>
                <w:color w:val="000000"/>
                <w:sz w:val="24"/>
                <w:szCs w:val="24"/>
              </w:rPr>
            </w:pPr>
            <w:r>
              <w:rPr>
                <w:rFonts w:hint="eastAsia" w:ascii="仿宋" w:hAnsi="仿宋" w:eastAsia="仿宋" w:cs="仿宋"/>
                <w:b/>
                <w:bCs/>
                <w:i w:val="0"/>
                <w:iCs w:val="0"/>
                <w:color w:val="000000"/>
                <w:kern w:val="0"/>
                <w:sz w:val="24"/>
                <w:szCs w:val="24"/>
                <w:u w:val="none"/>
                <w:lang w:val="en-US" w:eastAsia="zh-CN" w:bidi="ar"/>
              </w:rPr>
              <w:t>50万元≤标的额＜100万元</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036A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kern w:val="0"/>
                <w:sz w:val="24"/>
                <w:szCs w:val="24"/>
                <w:lang w:bidi="ar"/>
              </w:rPr>
            </w:pP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06007148">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c>
          <w:tcPr>
            <w:tcW w:w="900"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7B4A7640">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r>
      <w:tr w14:paraId="720D0E43">
        <w:tblPrEx>
          <w:tblCellMar>
            <w:top w:w="0" w:type="dxa"/>
            <w:left w:w="108" w:type="dxa"/>
            <w:bottom w:w="0" w:type="dxa"/>
            <w:right w:w="108" w:type="dxa"/>
          </w:tblCellMar>
        </w:tblPrEx>
        <w:trPr>
          <w:trHeight w:val="546" w:hRule="atLeast"/>
        </w:trPr>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11F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4"/>
                <w:szCs w:val="24"/>
                <w:lang w:val="en-US" w:eastAsia="zh-CN" w:bidi="ar"/>
              </w:rPr>
            </w:pPr>
            <w:r>
              <w:rPr>
                <w:rFonts w:hint="eastAsia" w:ascii="仿宋" w:hAnsi="仿宋" w:eastAsia="仿宋" w:cs="仿宋"/>
                <w:b/>
                <w:bCs/>
                <w:color w:val="000000"/>
                <w:kern w:val="0"/>
                <w:sz w:val="24"/>
                <w:szCs w:val="24"/>
                <w:lang w:val="en-US" w:eastAsia="zh-CN" w:bidi="ar"/>
              </w:rPr>
              <w:t>5</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84A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i w:val="0"/>
                <w:iCs w:val="0"/>
                <w:color w:val="000000"/>
                <w:kern w:val="0"/>
                <w:sz w:val="24"/>
                <w:szCs w:val="24"/>
                <w:u w:val="none"/>
                <w:lang w:val="en-US" w:eastAsia="zh-CN" w:bidi="ar"/>
              </w:rPr>
              <w:t>100万元≤标的额＜500万元</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04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4"/>
                <w:szCs w:val="24"/>
                <w:lang w:bidi="ar"/>
              </w:rPr>
            </w:pP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7A5BB26">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c>
          <w:tcPr>
            <w:tcW w:w="900"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2E03E6F4">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r>
      <w:tr w14:paraId="5BA18421">
        <w:tblPrEx>
          <w:tblCellMar>
            <w:top w:w="0" w:type="dxa"/>
            <w:left w:w="108" w:type="dxa"/>
            <w:bottom w:w="0" w:type="dxa"/>
            <w:right w:w="108" w:type="dxa"/>
          </w:tblCellMar>
        </w:tblPrEx>
        <w:trPr>
          <w:trHeight w:val="576" w:hRule="atLeast"/>
        </w:trPr>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2E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4"/>
                <w:szCs w:val="24"/>
                <w:lang w:val="en-US" w:eastAsia="zh-CN" w:bidi="ar"/>
              </w:rPr>
            </w:pPr>
            <w:r>
              <w:rPr>
                <w:rFonts w:hint="eastAsia" w:ascii="仿宋" w:hAnsi="仿宋" w:eastAsia="仿宋" w:cs="仿宋"/>
                <w:b/>
                <w:bCs/>
                <w:color w:val="000000"/>
                <w:kern w:val="0"/>
                <w:sz w:val="24"/>
                <w:szCs w:val="24"/>
                <w:lang w:val="en-US" w:eastAsia="zh-CN" w:bidi="ar"/>
              </w:rPr>
              <w:t>6</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387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i w:val="0"/>
                <w:iCs w:val="0"/>
                <w:color w:val="000000"/>
                <w:kern w:val="0"/>
                <w:sz w:val="24"/>
                <w:szCs w:val="24"/>
                <w:u w:val="none"/>
                <w:lang w:val="en-US" w:eastAsia="zh-CN" w:bidi="ar"/>
              </w:rPr>
              <w:t>500万元≤标的额＜2000万元</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64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4"/>
                <w:szCs w:val="24"/>
                <w:lang w:bidi="ar"/>
              </w:rPr>
            </w:pP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7A25915">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c>
          <w:tcPr>
            <w:tcW w:w="900"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53C7D70C">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r>
      <w:tr w14:paraId="29341B2A">
        <w:tblPrEx>
          <w:tblCellMar>
            <w:top w:w="0" w:type="dxa"/>
            <w:left w:w="108" w:type="dxa"/>
            <w:bottom w:w="0" w:type="dxa"/>
            <w:right w:w="108" w:type="dxa"/>
          </w:tblCellMar>
        </w:tblPrEx>
        <w:trPr>
          <w:trHeight w:val="550" w:hRule="atLeast"/>
        </w:trPr>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3BC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kern w:val="0"/>
                <w:sz w:val="24"/>
                <w:szCs w:val="24"/>
                <w:lang w:val="en-US" w:eastAsia="zh-CN" w:bidi="ar"/>
              </w:rPr>
              <w:t>7</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5026">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b/>
                <w:bCs/>
                <w:color w:val="000000"/>
                <w:sz w:val="24"/>
                <w:szCs w:val="24"/>
              </w:rPr>
            </w:pPr>
            <w:r>
              <w:rPr>
                <w:rFonts w:hint="eastAsia" w:ascii="仿宋" w:hAnsi="仿宋" w:eastAsia="仿宋" w:cs="仿宋"/>
                <w:b/>
                <w:bCs/>
                <w:i w:val="0"/>
                <w:iCs w:val="0"/>
                <w:color w:val="000000"/>
                <w:kern w:val="0"/>
                <w:sz w:val="24"/>
                <w:szCs w:val="24"/>
                <w:u w:val="none"/>
                <w:lang w:val="en-US" w:eastAsia="zh-CN" w:bidi="ar"/>
              </w:rPr>
              <w:t>2000万元≤标的额＜5000万元</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9AAA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kern w:val="0"/>
                <w:sz w:val="24"/>
                <w:szCs w:val="24"/>
                <w:lang w:bidi="ar"/>
              </w:rPr>
            </w:pP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02EE5D06">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c>
          <w:tcPr>
            <w:tcW w:w="900"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48F2AD5F">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r>
      <w:tr w14:paraId="799ED323">
        <w:tblPrEx>
          <w:tblCellMar>
            <w:top w:w="0" w:type="dxa"/>
            <w:left w:w="108" w:type="dxa"/>
            <w:bottom w:w="0" w:type="dxa"/>
            <w:right w:w="108" w:type="dxa"/>
          </w:tblCellMar>
        </w:tblPrEx>
        <w:trPr>
          <w:trHeight w:val="518" w:hRule="atLeast"/>
        </w:trPr>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9AC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4"/>
                <w:szCs w:val="24"/>
                <w:lang w:val="en-US" w:eastAsia="zh-CN" w:bidi="ar"/>
              </w:rPr>
            </w:pPr>
            <w:r>
              <w:rPr>
                <w:rFonts w:hint="eastAsia" w:ascii="仿宋" w:hAnsi="仿宋" w:eastAsia="仿宋" w:cs="仿宋"/>
                <w:b/>
                <w:bCs/>
                <w:color w:val="000000"/>
                <w:kern w:val="0"/>
                <w:sz w:val="24"/>
                <w:szCs w:val="24"/>
                <w:lang w:val="en-US" w:eastAsia="zh-CN" w:bidi="ar"/>
              </w:rPr>
              <w:t>8</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3B5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i w:val="0"/>
                <w:iCs w:val="0"/>
                <w:color w:val="000000"/>
                <w:kern w:val="0"/>
                <w:sz w:val="24"/>
                <w:szCs w:val="24"/>
                <w:u w:val="none"/>
                <w:lang w:val="en-US" w:eastAsia="zh-CN" w:bidi="ar"/>
              </w:rPr>
              <w:t>5000万元≤标的额＜10000万元</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074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kern w:val="0"/>
                <w:sz w:val="24"/>
                <w:szCs w:val="24"/>
                <w:lang w:bidi="ar"/>
              </w:rPr>
            </w:pP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8419F8D">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c>
          <w:tcPr>
            <w:tcW w:w="900"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48D73319">
            <w:pPr>
              <w:keepNext w:val="0"/>
              <w:keepLines w:val="0"/>
              <w:widowControl/>
              <w:suppressLineNumbers w:val="0"/>
              <w:spacing w:before="0" w:beforeAutospacing="0" w:after="0" w:afterAutospacing="0"/>
              <w:ind w:left="0" w:right="0"/>
              <w:jc w:val="center"/>
              <w:rPr>
                <w:rFonts w:hint="default" w:ascii="宋体" w:hAnsi="宋体" w:cs="宋体"/>
                <w:b/>
                <w:bCs/>
                <w:color w:val="000000"/>
                <w:sz w:val="24"/>
                <w:szCs w:val="24"/>
              </w:rPr>
            </w:pPr>
          </w:p>
        </w:tc>
      </w:tr>
      <w:tr w14:paraId="1050C4BA">
        <w:tblPrEx>
          <w:tblCellMar>
            <w:top w:w="0" w:type="dxa"/>
            <w:left w:w="108" w:type="dxa"/>
            <w:bottom w:w="0" w:type="dxa"/>
            <w:right w:w="108" w:type="dxa"/>
          </w:tblCellMar>
        </w:tblPrEx>
        <w:trPr>
          <w:trHeight w:val="559" w:hRule="atLeast"/>
        </w:trPr>
        <w:tc>
          <w:tcPr>
            <w:tcW w:w="5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28D8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4"/>
                <w:szCs w:val="24"/>
                <w:lang w:val="en-US" w:eastAsia="zh-CN" w:bidi="ar"/>
              </w:rPr>
            </w:pPr>
            <w:r>
              <w:rPr>
                <w:rFonts w:hint="eastAsia" w:ascii="仿宋" w:hAnsi="仿宋" w:eastAsia="仿宋" w:cs="仿宋"/>
                <w:b/>
                <w:bCs/>
                <w:color w:val="000000"/>
                <w:kern w:val="0"/>
                <w:sz w:val="24"/>
                <w:szCs w:val="24"/>
                <w:lang w:val="en-US" w:eastAsia="zh-CN" w:bidi="ar"/>
              </w:rPr>
              <w:t>9</w:t>
            </w:r>
          </w:p>
        </w:tc>
        <w:tc>
          <w:tcPr>
            <w:tcW w:w="1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2C1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4"/>
                <w:szCs w:val="24"/>
                <w:lang w:bidi="ar"/>
              </w:rPr>
            </w:pPr>
            <w:r>
              <w:rPr>
                <w:rFonts w:hint="eastAsia" w:ascii="仿宋" w:hAnsi="仿宋" w:eastAsia="仿宋" w:cs="仿宋"/>
                <w:b/>
                <w:bCs/>
                <w:i w:val="0"/>
                <w:iCs w:val="0"/>
                <w:color w:val="000000"/>
                <w:kern w:val="0"/>
                <w:sz w:val="24"/>
                <w:szCs w:val="24"/>
                <w:u w:val="none"/>
                <w:lang w:val="en-US" w:eastAsia="zh-CN" w:bidi="ar"/>
              </w:rPr>
              <w:t>10000万元≤标的额</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22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4"/>
                <w:szCs w:val="24"/>
                <w:lang w:bidi="ar"/>
              </w:rPr>
            </w:pP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8752634">
            <w:pPr>
              <w:keepNext w:val="0"/>
              <w:keepLines w:val="0"/>
              <w:widowControl/>
              <w:suppressLineNumbers w:val="0"/>
              <w:spacing w:before="0" w:beforeAutospacing="0" w:after="0" w:afterAutospacing="0"/>
              <w:ind w:left="0" w:right="0"/>
              <w:jc w:val="center"/>
              <w:rPr>
                <w:rFonts w:hint="default" w:ascii="仿宋" w:hAnsi="仿宋" w:eastAsia="仿宋" w:cs="仿宋"/>
                <w:b/>
                <w:bCs/>
                <w:color w:val="000000"/>
                <w:sz w:val="24"/>
                <w:szCs w:val="24"/>
              </w:rPr>
            </w:pPr>
          </w:p>
        </w:tc>
        <w:tc>
          <w:tcPr>
            <w:tcW w:w="900"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40362EF5">
            <w:pPr>
              <w:keepNext w:val="0"/>
              <w:keepLines w:val="0"/>
              <w:widowControl/>
              <w:suppressLineNumbers w:val="0"/>
              <w:spacing w:before="0" w:beforeAutospacing="0" w:after="0" w:afterAutospacing="0"/>
              <w:ind w:left="0" w:right="0"/>
              <w:jc w:val="center"/>
              <w:rPr>
                <w:rFonts w:hint="default" w:ascii="仿宋" w:hAnsi="仿宋" w:eastAsia="仿宋" w:cs="仿宋"/>
                <w:b/>
                <w:bCs/>
                <w:color w:val="000000"/>
                <w:sz w:val="24"/>
                <w:szCs w:val="24"/>
              </w:rPr>
            </w:pPr>
          </w:p>
        </w:tc>
      </w:tr>
      <w:tr w14:paraId="7560D5C6">
        <w:tblPrEx>
          <w:tblCellMar>
            <w:top w:w="0" w:type="dxa"/>
            <w:left w:w="108" w:type="dxa"/>
            <w:bottom w:w="0" w:type="dxa"/>
            <w:right w:w="108" w:type="dxa"/>
          </w:tblCellMar>
        </w:tblPrEx>
        <w:trPr>
          <w:trHeight w:val="624" w:hRule="atLeast"/>
        </w:trPr>
        <w:tc>
          <w:tcPr>
            <w:tcW w:w="5000" w:type="pct"/>
            <w:gridSpan w:val="5"/>
            <w:tcBorders>
              <w:top w:val="single" w:color="000000" w:sz="4" w:space="0"/>
              <w:left w:val="single" w:color="000000" w:sz="4" w:space="0"/>
              <w:bottom w:val="single" w:color="000000" w:sz="4" w:space="0"/>
              <w:right w:val="single" w:color="auto" w:sz="4" w:space="0"/>
            </w:tcBorders>
            <w:shd w:val="clear" w:color="auto" w:fill="auto"/>
            <w:noWrap/>
            <w:vAlign w:val="center"/>
          </w:tcPr>
          <w:p w14:paraId="66E616FE">
            <w:pPr>
              <w:keepNext w:val="0"/>
              <w:keepLines w:val="0"/>
              <w:widowControl/>
              <w:suppressLineNumbers w:val="0"/>
              <w:spacing w:before="0" w:beforeAutospacing="0" w:after="0" w:afterAutospacing="0"/>
              <w:ind w:left="0" w:right="0"/>
              <w:jc w:val="center"/>
              <w:rPr>
                <w:rFonts w:hint="default" w:ascii="仿宋" w:hAnsi="仿宋" w:eastAsia="仿宋" w:cs="仿宋"/>
                <w:b/>
                <w:bCs/>
                <w:color w:val="000000"/>
                <w:sz w:val="24"/>
                <w:szCs w:val="24"/>
              </w:rPr>
            </w:pPr>
            <w:r>
              <w:rPr>
                <w:rFonts w:hint="eastAsia" w:ascii="仿宋_GB2312" w:hAnsi="仿宋" w:eastAsia="仿宋_GB2312"/>
                <w:b/>
                <w:bCs/>
                <w:spacing w:val="2"/>
                <w:sz w:val="24"/>
                <w:szCs w:val="24"/>
              </w:rPr>
              <w:t>注：案件提交法院立案后但尚未正式转立案前，达成和解撤诉的或甲方主动撤诉的，</w:t>
            </w:r>
            <w:r>
              <w:rPr>
                <w:rFonts w:hint="default" w:ascii="仿宋_GB2312" w:hAnsi="仿宋" w:eastAsia="仿宋_GB2312"/>
                <w:b/>
                <w:bCs/>
                <w:spacing w:val="2"/>
                <w:sz w:val="24"/>
                <w:szCs w:val="24"/>
              </w:rPr>
              <w:t>律师</w:t>
            </w:r>
            <w:r>
              <w:rPr>
                <w:rFonts w:hint="eastAsia" w:ascii="仿宋_GB2312" w:hAnsi="仿宋" w:eastAsia="仿宋_GB2312"/>
                <w:b/>
                <w:bCs/>
                <w:spacing w:val="2"/>
                <w:sz w:val="24"/>
                <w:szCs w:val="24"/>
              </w:rPr>
              <w:t>代理费减半收取。</w:t>
            </w:r>
          </w:p>
        </w:tc>
      </w:tr>
    </w:tbl>
    <w:p w14:paraId="31719468">
      <w:pPr>
        <w:spacing w:line="360" w:lineRule="auto"/>
        <w:ind w:right="-149" w:firstLine="568" w:firstLineChars="200"/>
        <w:rPr>
          <w:rFonts w:hint="eastAsia" w:ascii="仿宋_GB2312" w:hAnsi="仿宋" w:eastAsia="仿宋_GB2312"/>
          <w:spacing w:val="2"/>
          <w:sz w:val="28"/>
          <w:szCs w:val="28"/>
          <w:lang w:val="en-US" w:eastAsia="zh-CN"/>
        </w:rPr>
      </w:pPr>
      <w:r>
        <w:rPr>
          <w:rFonts w:hint="eastAsia" w:ascii="仿宋_GB2312" w:hAnsi="仿宋" w:eastAsia="仿宋_GB2312"/>
          <w:spacing w:val="2"/>
          <w:sz w:val="28"/>
          <w:szCs w:val="28"/>
          <w:lang w:val="en-US" w:eastAsia="zh-CN"/>
        </w:rPr>
        <w:t>3.2支付方式</w:t>
      </w:r>
    </w:p>
    <w:p w14:paraId="7906C109">
      <w:pPr>
        <w:pStyle w:val="2"/>
        <w:spacing w:line="360" w:lineRule="auto"/>
        <w:ind w:left="0" w:leftChars="0" w:firstLine="568" w:firstLineChars="200"/>
        <w:rPr>
          <w:rFonts w:hint="eastAsia" w:ascii="仿宋_GB2312" w:hAnsi="仿宋" w:eastAsia="仿宋_GB2312"/>
          <w:spacing w:val="2"/>
          <w:sz w:val="28"/>
          <w:szCs w:val="28"/>
          <w:lang w:val="en-US" w:eastAsia="zh-CN"/>
        </w:rPr>
      </w:pPr>
      <w:r>
        <w:rPr>
          <w:rFonts w:hint="eastAsia" w:ascii="仿宋_GB2312" w:hAnsi="仿宋" w:eastAsia="仿宋_GB2312"/>
          <w:spacing w:val="2"/>
          <w:sz w:val="28"/>
          <w:szCs w:val="28"/>
        </w:rPr>
        <w:t>律师代理费按批次结算，乙方按照《批次起诉指令单》启动诉讼代理程序，甲方应</w:t>
      </w:r>
      <w:r>
        <w:rPr>
          <w:rFonts w:hint="eastAsia" w:ascii="仿宋_GB2312" w:hAnsi="仿宋" w:eastAsia="仿宋_GB2312"/>
          <w:spacing w:val="2"/>
          <w:sz w:val="28"/>
          <w:szCs w:val="28"/>
          <w:lang w:val="en-US" w:eastAsia="zh-CN"/>
        </w:rPr>
        <w:t>在</w:t>
      </w:r>
      <w:r>
        <w:rPr>
          <w:rFonts w:hint="eastAsia" w:ascii="仿宋_GB2312" w:hAnsi="仿宋" w:eastAsia="仿宋_GB2312"/>
          <w:spacing w:val="2"/>
          <w:sz w:val="28"/>
          <w:szCs w:val="28"/>
        </w:rPr>
        <w:t>《批次起诉指令单》</w:t>
      </w:r>
      <w:r>
        <w:rPr>
          <w:rFonts w:hint="eastAsia" w:ascii="仿宋_GB2312" w:hAnsi="仿宋" w:eastAsia="仿宋_GB2312"/>
          <w:spacing w:val="2"/>
          <w:sz w:val="28"/>
          <w:szCs w:val="28"/>
          <w:lang w:val="en-US" w:eastAsia="zh-CN"/>
        </w:rPr>
        <w:t>确定</w:t>
      </w:r>
      <w:r>
        <w:rPr>
          <w:rFonts w:hint="eastAsia" w:ascii="仿宋_GB2312" w:hAnsi="仿宋" w:eastAsia="仿宋_GB2312"/>
          <w:spacing w:val="2"/>
          <w:sz w:val="28"/>
          <w:szCs w:val="28"/>
        </w:rPr>
        <w:t>后</w:t>
      </w:r>
      <w:r>
        <w:rPr>
          <w:rFonts w:hint="eastAsia" w:ascii="仿宋_GB2312" w:hAnsi="仿宋" w:eastAsia="仿宋_GB2312"/>
          <w:spacing w:val="2"/>
          <w:sz w:val="28"/>
          <w:szCs w:val="28"/>
          <w:lang w:val="en-US" w:eastAsia="zh-CN"/>
        </w:rPr>
        <w:t>按照以下标准进行费用支付。</w:t>
      </w:r>
    </w:p>
    <w:p w14:paraId="078B08FB">
      <w:pPr>
        <w:spacing w:line="360" w:lineRule="auto"/>
        <w:ind w:right="-149" w:firstLine="568" w:firstLineChars="200"/>
        <w:rPr>
          <w:rFonts w:hint="eastAsia" w:ascii="仿宋_GB2312" w:hAnsi="仿宋" w:eastAsia="仿宋_GB2312"/>
          <w:spacing w:val="2"/>
          <w:sz w:val="28"/>
          <w:szCs w:val="28"/>
          <w:lang w:val="en-US" w:eastAsia="zh-CN"/>
        </w:rPr>
      </w:pPr>
      <w:r>
        <w:rPr>
          <w:rFonts w:hint="eastAsia" w:ascii="仿宋_GB2312" w:hAnsi="仿宋" w:eastAsia="仿宋_GB2312"/>
          <w:spacing w:val="2"/>
          <w:sz w:val="28"/>
          <w:szCs w:val="28"/>
          <w:lang w:val="en-US" w:eastAsia="zh-CN"/>
        </w:rPr>
        <w:t>3.2.1标段一（一）：重庆、江西、合肥分公司2022年12月31日及以前</w:t>
      </w:r>
      <w:r>
        <w:rPr>
          <w:rFonts w:hint="eastAsia" w:ascii="仿宋_GB2312" w:hAnsi="仿宋" w:eastAsia="仿宋_GB2312"/>
          <w:spacing w:val="2"/>
          <w:sz w:val="28"/>
          <w:szCs w:val="28"/>
        </w:rPr>
        <w:t>债权净额</w:t>
      </w:r>
      <w:r>
        <w:rPr>
          <w:rFonts w:hint="eastAsia" w:ascii="仿宋_GB2312" w:hAnsi="仿宋" w:eastAsia="仿宋_GB2312"/>
          <w:spacing w:val="2"/>
          <w:sz w:val="28"/>
          <w:szCs w:val="28"/>
          <w:lang w:val="en-US" w:eastAsia="zh-CN"/>
        </w:rPr>
        <w:t>的</w:t>
      </w:r>
      <w:r>
        <w:rPr>
          <w:rFonts w:hint="eastAsia" w:ascii="仿宋_GB2312" w:hAnsi="仿宋" w:eastAsia="仿宋_GB2312"/>
          <w:spacing w:val="2"/>
          <w:sz w:val="28"/>
          <w:szCs w:val="28"/>
        </w:rPr>
        <w:t>诉讼</w:t>
      </w:r>
      <w:r>
        <w:rPr>
          <w:rFonts w:hint="eastAsia" w:ascii="仿宋_GB2312" w:hAnsi="仿宋" w:eastAsia="仿宋_GB2312"/>
          <w:spacing w:val="2"/>
          <w:sz w:val="28"/>
          <w:szCs w:val="28"/>
          <w:lang w:val="en-US" w:eastAsia="zh-CN"/>
        </w:rPr>
        <w:t>代理服务</w:t>
      </w:r>
      <w:r>
        <w:rPr>
          <w:rFonts w:hint="eastAsia" w:ascii="仿宋_GB2312" w:hAnsi="仿宋" w:eastAsia="仿宋_GB2312"/>
          <w:spacing w:val="2"/>
          <w:sz w:val="28"/>
          <w:szCs w:val="28"/>
        </w:rPr>
        <w:t>。</w:t>
      </w:r>
    </w:p>
    <w:p w14:paraId="4EB69BB5">
      <w:pPr>
        <w:spacing w:line="360" w:lineRule="auto"/>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lang w:val="en-US" w:eastAsia="zh-CN"/>
        </w:rPr>
        <w:t>（1）第一阶段：</w:t>
      </w:r>
      <w:r>
        <w:rPr>
          <w:rFonts w:hint="eastAsia" w:ascii="仿宋_GB2312" w:hAnsi="仿宋" w:eastAsia="仿宋_GB2312"/>
          <w:spacing w:val="2"/>
          <w:sz w:val="28"/>
          <w:szCs w:val="28"/>
        </w:rPr>
        <w:t>甲方收到人民法院</w:t>
      </w:r>
      <w:r>
        <w:rPr>
          <w:rFonts w:hint="eastAsia" w:ascii="仿宋_GB2312" w:hAnsi="仿宋" w:eastAsia="仿宋_GB2312"/>
          <w:spacing w:val="2"/>
          <w:sz w:val="28"/>
          <w:szCs w:val="28"/>
          <w:lang w:val="en-US" w:eastAsia="zh-CN"/>
        </w:rPr>
        <w:t>发送</w:t>
      </w:r>
      <w:r>
        <w:rPr>
          <w:rFonts w:hint="eastAsia" w:ascii="仿宋_GB2312" w:hAnsi="仿宋" w:eastAsia="仿宋_GB2312"/>
          <w:spacing w:val="2"/>
          <w:sz w:val="28"/>
          <w:szCs w:val="28"/>
        </w:rPr>
        <w:t>的二审案件</w:t>
      </w:r>
      <w:r>
        <w:rPr>
          <w:rFonts w:hint="eastAsia" w:ascii="仿宋_GB2312" w:hAnsi="仿宋" w:eastAsia="仿宋_GB2312"/>
          <w:spacing w:val="2"/>
          <w:sz w:val="28"/>
          <w:szCs w:val="28"/>
          <w:lang w:val="en-US" w:eastAsia="zh-CN"/>
        </w:rPr>
        <w:t>上诉状等或向法院提交上诉材料</w:t>
      </w:r>
      <w:r>
        <w:rPr>
          <w:rFonts w:hint="eastAsia" w:ascii="仿宋_GB2312" w:hAnsi="仿宋" w:eastAsia="仿宋_GB2312"/>
          <w:spacing w:val="2"/>
          <w:sz w:val="28"/>
          <w:szCs w:val="28"/>
        </w:rPr>
        <w:t>后，</w:t>
      </w:r>
      <w:r>
        <w:rPr>
          <w:rFonts w:hint="eastAsia" w:ascii="仿宋_GB2312" w:hAnsi="仿宋" w:eastAsia="仿宋_GB2312"/>
          <w:spacing w:val="2"/>
          <w:sz w:val="28"/>
          <w:szCs w:val="28"/>
          <w:lang w:val="en-US" w:eastAsia="zh-CN"/>
        </w:rPr>
        <w:t>在收到乙方开具的符合要求的发票之日起10日内，</w:t>
      </w:r>
      <w:r>
        <w:rPr>
          <w:rFonts w:hint="eastAsia" w:ascii="仿宋_GB2312" w:hAnsi="仿宋" w:eastAsia="仿宋_GB2312"/>
          <w:spacing w:val="2"/>
          <w:sz w:val="28"/>
          <w:szCs w:val="28"/>
          <w:lang w:eastAsia="zh-CN"/>
        </w:rPr>
        <w:t>向乙方支付</w:t>
      </w:r>
      <w:r>
        <w:rPr>
          <w:rFonts w:hint="eastAsia" w:ascii="仿宋_GB2312" w:hAnsi="仿宋" w:eastAsia="仿宋_GB2312"/>
          <w:spacing w:val="2"/>
          <w:sz w:val="28"/>
          <w:szCs w:val="28"/>
        </w:rPr>
        <w:t>第</w:t>
      </w:r>
      <w:r>
        <w:rPr>
          <w:rFonts w:hint="eastAsia" w:ascii="仿宋_GB2312" w:hAnsi="仿宋" w:eastAsia="仿宋_GB2312"/>
          <w:spacing w:val="2"/>
          <w:sz w:val="28"/>
          <w:szCs w:val="28"/>
          <w:lang w:val="en-US" w:eastAsia="zh-CN"/>
        </w:rPr>
        <w:t>一</w:t>
      </w:r>
      <w:r>
        <w:rPr>
          <w:rFonts w:hint="eastAsia" w:ascii="仿宋_GB2312" w:hAnsi="仿宋" w:eastAsia="仿宋_GB2312"/>
          <w:spacing w:val="2"/>
          <w:sz w:val="28"/>
          <w:szCs w:val="28"/>
        </w:rPr>
        <w:t>阶段的律师服务费</w:t>
      </w:r>
      <w:r>
        <w:rPr>
          <w:rFonts w:hint="eastAsia" w:ascii="仿宋_GB2312" w:hAnsi="仿宋" w:eastAsia="仿宋_GB2312"/>
          <w:spacing w:val="2"/>
          <w:sz w:val="28"/>
          <w:szCs w:val="28"/>
          <w:lang w:eastAsia="zh-CN"/>
        </w:rPr>
        <w:t>固定部分</w:t>
      </w:r>
      <w:r>
        <w:rPr>
          <w:rFonts w:hint="eastAsia" w:ascii="仿宋_GB2312" w:hAnsi="仿宋" w:eastAsia="仿宋_GB2312"/>
          <w:spacing w:val="2"/>
          <w:sz w:val="28"/>
          <w:szCs w:val="28"/>
        </w:rPr>
        <w:t>的</w:t>
      </w:r>
      <w:r>
        <w:rPr>
          <w:rFonts w:hint="eastAsia" w:ascii="仿宋_GB2312" w:hAnsi="仿宋" w:eastAsia="仿宋_GB2312"/>
          <w:spacing w:val="2"/>
          <w:sz w:val="28"/>
          <w:szCs w:val="28"/>
          <w:lang w:val="en-US" w:eastAsia="zh-CN"/>
        </w:rPr>
        <w:t>30</w:t>
      </w:r>
      <w:r>
        <w:rPr>
          <w:rFonts w:hint="eastAsia" w:ascii="仿宋_GB2312" w:hAnsi="仿宋" w:eastAsia="仿宋_GB2312"/>
          <w:spacing w:val="2"/>
          <w:sz w:val="28"/>
          <w:szCs w:val="28"/>
        </w:rPr>
        <w:t>%。</w:t>
      </w:r>
    </w:p>
    <w:p w14:paraId="24EE7C96">
      <w:pPr>
        <w:spacing w:line="360" w:lineRule="auto"/>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lang w:val="en-US" w:eastAsia="zh-CN"/>
        </w:rPr>
        <w:t>（2）第二阶段：二</w:t>
      </w:r>
      <w:r>
        <w:rPr>
          <w:rFonts w:hint="eastAsia" w:ascii="仿宋_GB2312" w:hAnsi="仿宋" w:eastAsia="仿宋_GB2312"/>
          <w:spacing w:val="2"/>
          <w:sz w:val="28"/>
          <w:szCs w:val="28"/>
        </w:rPr>
        <w:t>审程序</w:t>
      </w:r>
      <w:r>
        <w:rPr>
          <w:rFonts w:hint="eastAsia" w:ascii="仿宋_GB2312" w:hAnsi="仿宋" w:eastAsia="仿宋_GB2312"/>
          <w:spacing w:val="2"/>
          <w:sz w:val="28"/>
          <w:szCs w:val="28"/>
          <w:lang w:val="en-US" w:eastAsia="zh-CN"/>
        </w:rPr>
        <w:t>终结</w:t>
      </w:r>
      <w:r>
        <w:rPr>
          <w:rFonts w:hint="eastAsia" w:ascii="仿宋_GB2312" w:hAnsi="仿宋" w:eastAsia="仿宋_GB2312"/>
          <w:spacing w:val="2"/>
          <w:sz w:val="28"/>
          <w:szCs w:val="28"/>
          <w:lang w:eastAsia="zh-CN"/>
        </w:rPr>
        <w:t>（含通过法院调解结案）</w:t>
      </w:r>
      <w:r>
        <w:rPr>
          <w:rFonts w:hint="eastAsia" w:ascii="仿宋_GB2312" w:hAnsi="仿宋" w:eastAsia="仿宋_GB2312"/>
          <w:spacing w:val="2"/>
          <w:sz w:val="28"/>
          <w:szCs w:val="28"/>
        </w:rPr>
        <w:t>，</w:t>
      </w:r>
      <w:r>
        <w:rPr>
          <w:rFonts w:hint="eastAsia" w:ascii="仿宋_GB2312" w:hAnsi="仿宋" w:eastAsia="仿宋_GB2312"/>
          <w:spacing w:val="2"/>
          <w:sz w:val="28"/>
          <w:szCs w:val="28"/>
          <w:lang w:eastAsia="zh-CN"/>
        </w:rPr>
        <w:t>甲方收到</w:t>
      </w:r>
      <w:r>
        <w:rPr>
          <w:rFonts w:hint="eastAsia" w:ascii="仿宋_GB2312" w:hAnsi="仿宋" w:eastAsia="仿宋_GB2312"/>
          <w:spacing w:val="2"/>
          <w:sz w:val="28"/>
          <w:szCs w:val="28"/>
          <w:lang w:val="en-US" w:eastAsia="zh-CN"/>
        </w:rPr>
        <w:t>生效法律</w:t>
      </w:r>
      <w:r>
        <w:rPr>
          <w:rFonts w:hint="eastAsia" w:ascii="仿宋_GB2312" w:hAnsi="仿宋" w:eastAsia="仿宋_GB2312"/>
          <w:spacing w:val="2"/>
          <w:sz w:val="28"/>
          <w:szCs w:val="28"/>
          <w:lang w:eastAsia="zh-CN"/>
        </w:rPr>
        <w:t>文书（含调解书）后，</w:t>
      </w:r>
      <w:r>
        <w:rPr>
          <w:rFonts w:hint="eastAsia" w:ascii="仿宋_GB2312" w:hAnsi="仿宋" w:eastAsia="仿宋_GB2312"/>
          <w:spacing w:val="2"/>
          <w:sz w:val="28"/>
          <w:szCs w:val="28"/>
          <w:lang w:val="en-US" w:eastAsia="zh-CN"/>
        </w:rPr>
        <w:t>在收到乙方开具的符合要求的发票之日起10日内</w:t>
      </w:r>
      <w:r>
        <w:rPr>
          <w:rFonts w:hint="eastAsia" w:ascii="仿宋_GB2312" w:hAnsi="仿宋" w:eastAsia="仿宋_GB2312"/>
          <w:spacing w:val="2"/>
          <w:sz w:val="28"/>
          <w:szCs w:val="28"/>
          <w:lang w:eastAsia="zh-CN"/>
        </w:rPr>
        <w:t>向乙方支付</w:t>
      </w:r>
      <w:r>
        <w:rPr>
          <w:rFonts w:hint="eastAsia" w:ascii="仿宋_GB2312" w:hAnsi="仿宋" w:eastAsia="仿宋_GB2312"/>
          <w:spacing w:val="2"/>
          <w:sz w:val="28"/>
          <w:szCs w:val="28"/>
        </w:rPr>
        <w:t>第</w:t>
      </w:r>
      <w:r>
        <w:rPr>
          <w:rFonts w:hint="eastAsia" w:ascii="仿宋_GB2312" w:hAnsi="仿宋" w:eastAsia="仿宋_GB2312"/>
          <w:spacing w:val="2"/>
          <w:sz w:val="28"/>
          <w:szCs w:val="28"/>
          <w:lang w:val="en-US" w:eastAsia="zh-CN"/>
        </w:rPr>
        <w:t>二</w:t>
      </w:r>
      <w:r>
        <w:rPr>
          <w:rFonts w:hint="eastAsia" w:ascii="仿宋_GB2312" w:hAnsi="仿宋" w:eastAsia="仿宋_GB2312"/>
          <w:spacing w:val="2"/>
          <w:sz w:val="28"/>
          <w:szCs w:val="28"/>
        </w:rPr>
        <w:t>阶段的律师服务费</w:t>
      </w:r>
      <w:r>
        <w:rPr>
          <w:rFonts w:hint="eastAsia" w:ascii="仿宋_GB2312" w:hAnsi="仿宋" w:eastAsia="仿宋_GB2312"/>
          <w:spacing w:val="2"/>
          <w:sz w:val="28"/>
          <w:szCs w:val="28"/>
          <w:lang w:eastAsia="zh-CN"/>
        </w:rPr>
        <w:t>固定部分</w:t>
      </w:r>
      <w:r>
        <w:rPr>
          <w:rFonts w:hint="eastAsia" w:ascii="仿宋_GB2312" w:hAnsi="仿宋" w:eastAsia="仿宋_GB2312"/>
          <w:spacing w:val="2"/>
          <w:sz w:val="28"/>
          <w:szCs w:val="28"/>
        </w:rPr>
        <w:t>的</w:t>
      </w:r>
      <w:r>
        <w:rPr>
          <w:rFonts w:hint="eastAsia" w:ascii="仿宋_GB2312" w:hAnsi="仿宋" w:eastAsia="仿宋_GB2312"/>
          <w:spacing w:val="2"/>
          <w:sz w:val="28"/>
          <w:szCs w:val="28"/>
          <w:lang w:val="en-US" w:eastAsia="zh-CN"/>
        </w:rPr>
        <w:t>50</w:t>
      </w:r>
      <w:r>
        <w:rPr>
          <w:rFonts w:hint="eastAsia" w:ascii="仿宋_GB2312" w:hAnsi="仿宋" w:eastAsia="仿宋_GB2312"/>
          <w:spacing w:val="2"/>
          <w:sz w:val="28"/>
          <w:szCs w:val="28"/>
        </w:rPr>
        <w:t>%。</w:t>
      </w:r>
    </w:p>
    <w:p w14:paraId="6A86C754">
      <w:pPr>
        <w:spacing w:line="360" w:lineRule="auto"/>
        <w:ind w:right="-149" w:firstLine="568" w:firstLineChars="200"/>
        <w:rPr>
          <w:rFonts w:hint="eastAsia" w:ascii="仿宋_GB2312" w:hAnsi="仿宋" w:eastAsia="仿宋_GB2312"/>
          <w:spacing w:val="2"/>
          <w:sz w:val="28"/>
          <w:szCs w:val="28"/>
          <w:lang w:eastAsia="zh-CN"/>
        </w:rPr>
      </w:pPr>
      <w:r>
        <w:rPr>
          <w:rFonts w:hint="eastAsia" w:ascii="仿宋_GB2312" w:hAnsi="仿宋" w:eastAsia="仿宋_GB2312"/>
          <w:spacing w:val="2"/>
          <w:sz w:val="28"/>
          <w:szCs w:val="28"/>
          <w:lang w:val="en-US" w:eastAsia="zh-CN"/>
        </w:rPr>
        <w:t>（3）</w:t>
      </w:r>
      <w:r>
        <w:rPr>
          <w:rFonts w:hint="eastAsia" w:ascii="仿宋_GB2312" w:hAnsi="仿宋" w:eastAsia="仿宋_GB2312"/>
          <w:spacing w:val="2"/>
          <w:sz w:val="28"/>
          <w:szCs w:val="28"/>
          <w:lang w:eastAsia="zh-CN"/>
        </w:rPr>
        <w:t>若案件存在再审程序的，再审程序终结（含法院调解结案），甲方收到法院生效法律文书（含民事调解书）后，自收到乙方开具合规发票之日起</w:t>
      </w:r>
      <w:r>
        <w:rPr>
          <w:rFonts w:hint="eastAsia" w:ascii="仿宋_GB2312" w:hAnsi="仿宋" w:eastAsia="仿宋_GB2312"/>
          <w:spacing w:val="2"/>
          <w:sz w:val="28"/>
          <w:szCs w:val="28"/>
          <w:lang w:val="en-US" w:eastAsia="zh-CN"/>
        </w:rPr>
        <w:t>10</w:t>
      </w:r>
      <w:r>
        <w:rPr>
          <w:rFonts w:hint="eastAsia" w:ascii="仿宋_GB2312" w:hAnsi="仿宋" w:eastAsia="仿宋_GB2312"/>
          <w:spacing w:val="2"/>
          <w:sz w:val="28"/>
          <w:szCs w:val="28"/>
          <w:lang w:eastAsia="zh-CN"/>
        </w:rPr>
        <w:t>日内，向乙方支付本案基础代理服务费</w:t>
      </w:r>
      <w:r>
        <w:rPr>
          <w:rFonts w:hint="eastAsia" w:ascii="仿宋_GB2312" w:hAnsi="仿宋" w:eastAsia="仿宋_GB2312"/>
          <w:spacing w:val="2"/>
          <w:sz w:val="28"/>
          <w:szCs w:val="28"/>
          <w:lang w:val="en-US" w:eastAsia="zh-CN"/>
        </w:rPr>
        <w:t>2</w:t>
      </w:r>
      <w:r>
        <w:rPr>
          <w:rFonts w:hint="eastAsia" w:ascii="仿宋_GB2312" w:hAnsi="仿宋" w:eastAsia="仿宋_GB2312"/>
          <w:spacing w:val="2"/>
          <w:sz w:val="28"/>
          <w:szCs w:val="28"/>
          <w:lang w:eastAsia="zh-CN"/>
        </w:rPr>
        <w:t>0%。</w:t>
      </w:r>
    </w:p>
    <w:p w14:paraId="04C8EFA7">
      <w:pPr>
        <w:spacing w:line="360" w:lineRule="auto"/>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4</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案件未</w:t>
      </w:r>
      <w:r>
        <w:rPr>
          <w:rFonts w:hint="eastAsia" w:ascii="仿宋_GB2312" w:hAnsi="仿宋" w:eastAsia="仿宋_GB2312"/>
          <w:spacing w:val="2"/>
          <w:sz w:val="28"/>
          <w:szCs w:val="28"/>
        </w:rPr>
        <w:t>进入二审</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再审</w:t>
      </w:r>
      <w:r>
        <w:rPr>
          <w:rFonts w:hint="eastAsia" w:ascii="仿宋_GB2312" w:hAnsi="仿宋" w:eastAsia="仿宋_GB2312"/>
          <w:spacing w:val="2"/>
          <w:sz w:val="28"/>
          <w:szCs w:val="28"/>
        </w:rPr>
        <w:t>程序的，本合同项下</w:t>
      </w:r>
      <w:r>
        <w:rPr>
          <w:rFonts w:hint="eastAsia" w:ascii="仿宋_GB2312" w:hAnsi="仿宋" w:eastAsia="仿宋_GB2312"/>
          <w:spacing w:val="2"/>
          <w:sz w:val="28"/>
          <w:szCs w:val="28"/>
          <w:lang w:val="en-US" w:eastAsia="zh-CN"/>
        </w:rPr>
        <w:t>该案件的</w:t>
      </w:r>
      <w:r>
        <w:rPr>
          <w:rFonts w:hint="eastAsia" w:ascii="仿宋_GB2312" w:hAnsi="仿宋" w:eastAsia="仿宋_GB2312"/>
          <w:spacing w:val="2"/>
          <w:sz w:val="28"/>
          <w:szCs w:val="28"/>
        </w:rPr>
        <w:t>二审</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再审</w:t>
      </w:r>
      <w:r>
        <w:rPr>
          <w:rFonts w:hint="eastAsia" w:ascii="仿宋_GB2312" w:hAnsi="仿宋" w:eastAsia="仿宋_GB2312"/>
          <w:spacing w:val="2"/>
          <w:sz w:val="28"/>
          <w:szCs w:val="28"/>
        </w:rPr>
        <w:t>委托事项自动终止，甲方无需支付</w:t>
      </w:r>
      <w:r>
        <w:rPr>
          <w:rFonts w:hint="eastAsia" w:ascii="仿宋_GB2312" w:hAnsi="仿宋" w:eastAsia="仿宋_GB2312"/>
          <w:spacing w:val="2"/>
          <w:sz w:val="28"/>
          <w:szCs w:val="28"/>
          <w:lang w:val="en-US" w:eastAsia="zh-CN"/>
        </w:rPr>
        <w:t>该案件</w:t>
      </w:r>
      <w:r>
        <w:rPr>
          <w:rFonts w:hint="eastAsia" w:ascii="仿宋_GB2312" w:hAnsi="仿宋" w:eastAsia="仿宋_GB2312"/>
          <w:spacing w:val="2"/>
          <w:sz w:val="28"/>
          <w:szCs w:val="28"/>
        </w:rPr>
        <w:t>二审</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再审</w:t>
      </w:r>
      <w:r>
        <w:rPr>
          <w:rFonts w:hint="eastAsia" w:ascii="仿宋_GB2312" w:hAnsi="仿宋" w:eastAsia="仿宋_GB2312"/>
          <w:spacing w:val="2"/>
          <w:sz w:val="28"/>
          <w:szCs w:val="28"/>
        </w:rPr>
        <w:t>阶段任何律师服务费。</w:t>
      </w:r>
    </w:p>
    <w:p w14:paraId="6C17454F">
      <w:pPr>
        <w:spacing w:line="560" w:lineRule="exact"/>
        <w:ind w:right="-149" w:firstLine="568" w:firstLineChars="200"/>
        <w:rPr>
          <w:rFonts w:hint="eastAsia" w:ascii="仿宋_GB2312" w:hAnsi="仿宋" w:eastAsia="仿宋_GB2312"/>
          <w:color w:val="FF0000"/>
          <w:spacing w:val="2"/>
          <w:sz w:val="28"/>
          <w:szCs w:val="28"/>
        </w:rPr>
      </w:pP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5</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第</w:t>
      </w:r>
      <w:r>
        <w:rPr>
          <w:rFonts w:hint="eastAsia" w:ascii="仿宋_GB2312" w:hAnsi="仿宋" w:eastAsia="仿宋_GB2312"/>
          <w:spacing w:val="2"/>
          <w:sz w:val="28"/>
          <w:szCs w:val="28"/>
          <w:lang w:val="en-US" w:eastAsia="zh-CN"/>
        </w:rPr>
        <w:t>三</w:t>
      </w:r>
      <w:r>
        <w:rPr>
          <w:rFonts w:hint="eastAsia" w:ascii="仿宋_GB2312" w:hAnsi="仿宋" w:eastAsia="仿宋_GB2312"/>
          <w:spacing w:val="2"/>
          <w:sz w:val="28"/>
          <w:szCs w:val="28"/>
        </w:rPr>
        <w:t>阶段服务：</w:t>
      </w:r>
      <w:r>
        <w:rPr>
          <w:rFonts w:hint="eastAsia" w:ascii="仿宋_GB2312" w:hAnsi="仿宋" w:eastAsia="仿宋_GB2312"/>
          <w:color w:val="FF0000"/>
          <w:spacing w:val="2"/>
          <w:sz w:val="28"/>
          <w:szCs w:val="28"/>
        </w:rPr>
        <w:t>案件在诉讼审理阶段，经乙方代理工作促成调解、和解并出具调解书/和解协议，约定以物抵债的，不因调解文书出具即视为完成回款；该等以物抵债需经甲方内部审批同意，抵债动产完成实际交付、抵债不动产办理完毕权属转移登记，且相应产权权属登记至甲方（或甲方指定主体）名下之日，方视为回款实现，以文书确认的抵债金额作为风险代理费用计算基数。如因义务人原因导致该以物抵债最终无法履行、抵债落空的，该部分不再计付风险代理费用。</w:t>
      </w:r>
    </w:p>
    <w:p w14:paraId="307F6269">
      <w:pPr>
        <w:spacing w:line="560" w:lineRule="exact"/>
        <w:ind w:right="-149" w:firstLine="568" w:firstLineChars="200"/>
        <w:rPr>
          <w:rFonts w:hint="eastAsia" w:ascii="仿宋_GB2312" w:hAnsi="仿宋" w:eastAsia="仿宋_GB2312"/>
          <w:spacing w:val="2"/>
          <w:sz w:val="28"/>
          <w:szCs w:val="28"/>
          <w:highlight w:val="none"/>
          <w:lang w:val="en-US" w:eastAsia="zh-CN"/>
        </w:rPr>
      </w:pPr>
      <w:r>
        <w:rPr>
          <w:rFonts w:hint="eastAsia" w:ascii="仿宋_GB2312" w:hAnsi="仿宋" w:eastAsia="仿宋_GB2312"/>
          <w:color w:val="FF0000"/>
          <w:spacing w:val="2"/>
          <w:sz w:val="28"/>
          <w:szCs w:val="28"/>
        </w:rPr>
        <w:t>自执行程序启动之日起，至实际回款之日止，第六阶段的律师服务执行风险代理机制，依据各案诉讼标的及实际回款核算确定。另外风险代理费执行回款金额挂钩（执行标的二拍流拍后，甲方经审批同意以物抵债的，则以物抵债视同执行回款，且回款的金额以抵债金额为准）。</w:t>
      </w:r>
    </w:p>
    <w:p w14:paraId="36B3F8A4">
      <w:pPr>
        <w:spacing w:line="560" w:lineRule="exact"/>
        <w:ind w:right="-149" w:firstLine="568" w:firstLineChars="200"/>
        <w:rPr>
          <w:rFonts w:hint="eastAsia" w:ascii="仿宋_GB2312" w:hAnsi="仿宋" w:eastAsia="仿宋_GB2312"/>
          <w:spacing w:val="2"/>
          <w:sz w:val="28"/>
          <w:szCs w:val="28"/>
        </w:rPr>
      </w:pPr>
      <w:r>
        <w:rPr>
          <w:rFonts w:hint="eastAsia" w:ascii="仿宋_GB2312" w:hAnsi="仿宋" w:eastAsia="仿宋_GB2312"/>
          <w:color w:val="FF0000"/>
          <w:spacing w:val="2"/>
          <w:sz w:val="28"/>
          <w:szCs w:val="28"/>
        </w:rPr>
        <w:t>其中风险代理部分，按下述标准计算，</w:t>
      </w:r>
      <w:r>
        <w:rPr>
          <w:rFonts w:hint="eastAsia" w:ascii="仿宋_GB2312" w:hAnsi="仿宋" w:eastAsia="仿宋_GB2312"/>
          <w:spacing w:val="2"/>
          <w:sz w:val="28"/>
          <w:szCs w:val="28"/>
          <w:highlight w:val="none"/>
          <w:lang w:val="en-US" w:eastAsia="zh-CN"/>
        </w:rPr>
        <w:t>风险代理</w:t>
      </w:r>
      <w:r>
        <w:rPr>
          <w:rFonts w:hint="eastAsia" w:ascii="仿宋_GB2312" w:hAnsi="仿宋" w:eastAsia="仿宋_GB2312"/>
          <w:spacing w:val="2"/>
          <w:sz w:val="28"/>
          <w:szCs w:val="28"/>
          <w:highlight w:val="none"/>
        </w:rPr>
        <w:t>费用计算基数是按照</w:t>
      </w:r>
      <w:r>
        <w:rPr>
          <w:rFonts w:hint="eastAsia" w:ascii="仿宋_GB2312" w:hAnsi="仿宋" w:eastAsia="仿宋_GB2312"/>
          <w:spacing w:val="2"/>
          <w:sz w:val="28"/>
          <w:szCs w:val="28"/>
          <w:highlight w:val="none"/>
          <w:lang w:val="en-US" w:eastAsia="zh-CN"/>
        </w:rPr>
        <w:t>本</w:t>
      </w:r>
      <w:r>
        <w:rPr>
          <w:rFonts w:hint="eastAsia" w:ascii="仿宋_GB2312" w:hAnsi="仿宋" w:eastAsia="仿宋_GB2312"/>
          <w:spacing w:val="2"/>
          <w:sz w:val="28"/>
          <w:szCs w:val="28"/>
          <w:highlight w:val="none"/>
        </w:rPr>
        <w:t>案单独计算，不超过封顶金额：单案诉讼标的</w:t>
      </w:r>
      <w:r>
        <w:rPr>
          <w:rFonts w:hint="eastAsia" w:ascii="仿宋_GB2312" w:hAnsi="仿宋" w:eastAsia="仿宋_GB2312"/>
          <w:spacing w:val="2"/>
          <w:sz w:val="28"/>
          <w:szCs w:val="28"/>
          <w:highlight w:val="none"/>
          <w:lang w:val="en-US" w:eastAsia="zh-CN"/>
        </w:rPr>
        <w:t>10</w:t>
      </w:r>
      <w:r>
        <w:rPr>
          <w:rFonts w:hint="eastAsia" w:ascii="仿宋_GB2312" w:hAnsi="仿宋" w:eastAsia="仿宋_GB2312"/>
          <w:spacing w:val="2"/>
          <w:sz w:val="28"/>
          <w:szCs w:val="28"/>
          <w:highlight w:val="none"/>
        </w:rPr>
        <w:t>万元以上至</w:t>
      </w:r>
      <w:r>
        <w:rPr>
          <w:rFonts w:hint="eastAsia" w:ascii="仿宋_GB2312" w:hAnsi="仿宋" w:eastAsia="仿宋_GB2312"/>
          <w:spacing w:val="2"/>
          <w:sz w:val="28"/>
          <w:szCs w:val="28"/>
          <w:highlight w:val="none"/>
          <w:lang w:val="en-US" w:eastAsia="zh-CN"/>
        </w:rPr>
        <w:t>50</w:t>
      </w:r>
      <w:r>
        <w:rPr>
          <w:rFonts w:hint="eastAsia" w:ascii="仿宋_GB2312" w:hAnsi="仿宋" w:eastAsia="仿宋_GB2312"/>
          <w:spacing w:val="2"/>
          <w:sz w:val="28"/>
          <w:szCs w:val="28"/>
          <w:highlight w:val="none"/>
        </w:rPr>
        <w:t>万元（含）以下的部分，按实际回款</w:t>
      </w:r>
      <w:r>
        <w:rPr>
          <w:rFonts w:hint="eastAsia" w:ascii="仿宋_GB2312" w:hAnsi="仿宋" w:eastAsia="仿宋_GB2312"/>
          <w:spacing w:val="2"/>
          <w:sz w:val="28"/>
          <w:szCs w:val="28"/>
          <w:highlight w:val="none"/>
          <w:lang w:eastAsia="zh-CN"/>
        </w:rPr>
        <w:t>X</w:t>
      </w:r>
      <w:r>
        <w:rPr>
          <w:rFonts w:hint="eastAsia" w:ascii="仿宋_GB2312" w:hAnsi="仿宋" w:eastAsia="仿宋_GB2312"/>
          <w:spacing w:val="2"/>
          <w:sz w:val="28"/>
          <w:szCs w:val="28"/>
          <w:highlight w:val="none"/>
        </w:rPr>
        <w:t>%的比例</w:t>
      </w:r>
      <w:r>
        <w:rPr>
          <w:rFonts w:hint="eastAsia" w:ascii="仿宋_GB2312" w:hAnsi="仿宋" w:eastAsia="仿宋_GB2312"/>
          <w:spacing w:val="2"/>
          <w:sz w:val="28"/>
          <w:szCs w:val="28"/>
          <w:highlight w:val="none"/>
          <w:lang w:val="en-US" w:eastAsia="zh-CN"/>
        </w:rPr>
        <w:t>支付</w:t>
      </w:r>
      <w:r>
        <w:rPr>
          <w:rFonts w:hint="eastAsia" w:ascii="仿宋_GB2312" w:hAnsi="仿宋" w:eastAsia="仿宋_GB2312"/>
          <w:spacing w:val="2"/>
          <w:sz w:val="28"/>
          <w:szCs w:val="28"/>
          <w:highlight w:val="none"/>
        </w:rPr>
        <w:t>；单案诉讼标的</w:t>
      </w:r>
      <w:r>
        <w:rPr>
          <w:rFonts w:hint="eastAsia" w:ascii="仿宋_GB2312" w:hAnsi="仿宋" w:eastAsia="仿宋_GB2312"/>
          <w:spacing w:val="2"/>
          <w:sz w:val="28"/>
          <w:szCs w:val="28"/>
          <w:highlight w:val="none"/>
          <w:lang w:val="en-US" w:eastAsia="zh-CN"/>
        </w:rPr>
        <w:t>50</w:t>
      </w:r>
      <w:r>
        <w:rPr>
          <w:rFonts w:hint="eastAsia" w:ascii="仿宋_GB2312" w:hAnsi="仿宋" w:eastAsia="仿宋_GB2312"/>
          <w:spacing w:val="2"/>
          <w:sz w:val="28"/>
          <w:szCs w:val="28"/>
          <w:highlight w:val="none"/>
        </w:rPr>
        <w:t>万元以上至</w:t>
      </w:r>
      <w:r>
        <w:rPr>
          <w:rFonts w:hint="eastAsia" w:ascii="仿宋_GB2312" w:hAnsi="仿宋" w:eastAsia="仿宋_GB2312"/>
          <w:spacing w:val="2"/>
          <w:sz w:val="28"/>
          <w:szCs w:val="28"/>
          <w:highlight w:val="none"/>
          <w:lang w:val="en-US" w:eastAsia="zh-CN"/>
        </w:rPr>
        <w:t>100</w:t>
      </w:r>
      <w:r>
        <w:rPr>
          <w:rFonts w:hint="eastAsia" w:ascii="仿宋_GB2312" w:hAnsi="仿宋" w:eastAsia="仿宋_GB2312"/>
          <w:spacing w:val="2"/>
          <w:sz w:val="28"/>
          <w:szCs w:val="28"/>
          <w:highlight w:val="none"/>
        </w:rPr>
        <w:t>万元（含）以下的部分，按实际回款</w:t>
      </w:r>
      <w:r>
        <w:rPr>
          <w:rFonts w:hint="eastAsia" w:ascii="仿宋_GB2312" w:hAnsi="仿宋" w:eastAsia="仿宋_GB2312"/>
          <w:spacing w:val="2"/>
          <w:sz w:val="28"/>
          <w:szCs w:val="28"/>
          <w:highlight w:val="none"/>
          <w:lang w:eastAsia="zh-CN"/>
        </w:rPr>
        <w:t>X</w:t>
      </w:r>
      <w:r>
        <w:rPr>
          <w:rFonts w:hint="eastAsia" w:ascii="仿宋_GB2312" w:hAnsi="仿宋" w:eastAsia="仿宋_GB2312"/>
          <w:spacing w:val="2"/>
          <w:sz w:val="28"/>
          <w:szCs w:val="28"/>
          <w:highlight w:val="none"/>
        </w:rPr>
        <w:t>%的比例</w:t>
      </w:r>
      <w:r>
        <w:rPr>
          <w:rFonts w:hint="eastAsia" w:ascii="仿宋_GB2312" w:hAnsi="仿宋" w:eastAsia="仿宋_GB2312"/>
          <w:spacing w:val="2"/>
          <w:sz w:val="28"/>
          <w:szCs w:val="28"/>
          <w:highlight w:val="none"/>
          <w:lang w:val="en-US" w:eastAsia="zh-CN"/>
        </w:rPr>
        <w:t>支付</w:t>
      </w:r>
      <w:r>
        <w:rPr>
          <w:rFonts w:hint="eastAsia" w:ascii="仿宋_GB2312" w:hAnsi="仿宋" w:eastAsia="仿宋_GB2312"/>
          <w:spacing w:val="2"/>
          <w:sz w:val="28"/>
          <w:szCs w:val="28"/>
          <w:highlight w:val="none"/>
        </w:rPr>
        <w:t>；单案诉讼标的</w:t>
      </w:r>
      <w:r>
        <w:rPr>
          <w:rFonts w:hint="eastAsia" w:ascii="仿宋_GB2312" w:hAnsi="仿宋" w:eastAsia="仿宋_GB2312"/>
          <w:spacing w:val="2"/>
          <w:sz w:val="28"/>
          <w:szCs w:val="28"/>
          <w:highlight w:val="none"/>
          <w:lang w:val="en-US" w:eastAsia="zh-CN"/>
        </w:rPr>
        <w:t>100</w:t>
      </w:r>
      <w:r>
        <w:rPr>
          <w:rFonts w:hint="eastAsia" w:ascii="仿宋_GB2312" w:hAnsi="仿宋" w:eastAsia="仿宋_GB2312"/>
          <w:spacing w:val="2"/>
          <w:sz w:val="28"/>
          <w:szCs w:val="28"/>
          <w:highlight w:val="none"/>
        </w:rPr>
        <w:t>万元以上至</w:t>
      </w:r>
      <w:r>
        <w:rPr>
          <w:rFonts w:hint="eastAsia" w:ascii="仿宋_GB2312" w:hAnsi="仿宋" w:eastAsia="仿宋_GB2312"/>
          <w:spacing w:val="2"/>
          <w:sz w:val="28"/>
          <w:szCs w:val="28"/>
          <w:highlight w:val="none"/>
          <w:lang w:val="en-US" w:eastAsia="zh-CN"/>
        </w:rPr>
        <w:t>500</w:t>
      </w:r>
      <w:r>
        <w:rPr>
          <w:rFonts w:hint="eastAsia" w:ascii="仿宋_GB2312" w:hAnsi="仿宋" w:eastAsia="仿宋_GB2312"/>
          <w:spacing w:val="2"/>
          <w:sz w:val="28"/>
          <w:szCs w:val="28"/>
          <w:highlight w:val="none"/>
        </w:rPr>
        <w:t>万元（含）以下的部分，按实际回款</w:t>
      </w:r>
      <w:r>
        <w:rPr>
          <w:rFonts w:hint="eastAsia" w:ascii="仿宋_GB2312" w:hAnsi="仿宋" w:eastAsia="仿宋_GB2312"/>
          <w:spacing w:val="2"/>
          <w:sz w:val="28"/>
          <w:szCs w:val="28"/>
          <w:highlight w:val="none"/>
          <w:lang w:eastAsia="zh-CN"/>
        </w:rPr>
        <w:t>X</w:t>
      </w:r>
      <w:r>
        <w:rPr>
          <w:rFonts w:hint="eastAsia" w:ascii="仿宋_GB2312" w:hAnsi="仿宋" w:eastAsia="仿宋_GB2312"/>
          <w:spacing w:val="2"/>
          <w:sz w:val="28"/>
          <w:szCs w:val="28"/>
          <w:highlight w:val="none"/>
        </w:rPr>
        <w:t>%的比例</w:t>
      </w:r>
      <w:r>
        <w:rPr>
          <w:rFonts w:hint="eastAsia" w:ascii="仿宋_GB2312" w:hAnsi="仿宋" w:eastAsia="仿宋_GB2312"/>
          <w:spacing w:val="2"/>
          <w:sz w:val="28"/>
          <w:szCs w:val="28"/>
          <w:highlight w:val="none"/>
          <w:lang w:val="en-US" w:eastAsia="zh-CN"/>
        </w:rPr>
        <w:t>支付</w:t>
      </w:r>
      <w:r>
        <w:rPr>
          <w:rFonts w:hint="eastAsia" w:ascii="仿宋_GB2312" w:hAnsi="仿宋" w:eastAsia="仿宋_GB2312"/>
          <w:spacing w:val="2"/>
          <w:sz w:val="28"/>
          <w:szCs w:val="28"/>
          <w:highlight w:val="none"/>
        </w:rPr>
        <w:t>；单案诉讼标的</w:t>
      </w:r>
      <w:r>
        <w:rPr>
          <w:rFonts w:hint="eastAsia" w:ascii="仿宋_GB2312" w:hAnsi="仿宋" w:eastAsia="仿宋_GB2312"/>
          <w:spacing w:val="2"/>
          <w:sz w:val="28"/>
          <w:szCs w:val="28"/>
          <w:highlight w:val="none"/>
          <w:lang w:val="en-US" w:eastAsia="zh-CN"/>
        </w:rPr>
        <w:t>500</w:t>
      </w:r>
      <w:r>
        <w:rPr>
          <w:rFonts w:hint="eastAsia" w:ascii="仿宋_GB2312" w:hAnsi="仿宋" w:eastAsia="仿宋_GB2312"/>
          <w:spacing w:val="2"/>
          <w:sz w:val="28"/>
          <w:szCs w:val="28"/>
          <w:highlight w:val="none"/>
        </w:rPr>
        <w:t>万元以上至</w:t>
      </w:r>
      <w:r>
        <w:rPr>
          <w:rFonts w:hint="eastAsia" w:ascii="仿宋_GB2312" w:hAnsi="仿宋" w:eastAsia="仿宋_GB2312"/>
          <w:spacing w:val="2"/>
          <w:sz w:val="28"/>
          <w:szCs w:val="28"/>
          <w:highlight w:val="none"/>
          <w:lang w:val="en-US" w:eastAsia="zh-CN"/>
        </w:rPr>
        <w:t>2000</w:t>
      </w:r>
      <w:r>
        <w:rPr>
          <w:rFonts w:hint="eastAsia" w:ascii="仿宋_GB2312" w:hAnsi="仿宋" w:eastAsia="仿宋_GB2312"/>
          <w:spacing w:val="2"/>
          <w:sz w:val="28"/>
          <w:szCs w:val="28"/>
          <w:highlight w:val="none"/>
        </w:rPr>
        <w:t>万元（含）以下的部分，按实际回款</w:t>
      </w:r>
      <w:r>
        <w:rPr>
          <w:rFonts w:hint="eastAsia" w:ascii="仿宋_GB2312" w:hAnsi="仿宋" w:eastAsia="仿宋_GB2312"/>
          <w:spacing w:val="2"/>
          <w:sz w:val="28"/>
          <w:szCs w:val="28"/>
          <w:highlight w:val="none"/>
          <w:lang w:eastAsia="zh-CN"/>
        </w:rPr>
        <w:t>X</w:t>
      </w:r>
      <w:r>
        <w:rPr>
          <w:rFonts w:hint="eastAsia" w:ascii="仿宋_GB2312" w:hAnsi="仿宋" w:eastAsia="仿宋_GB2312"/>
          <w:spacing w:val="2"/>
          <w:sz w:val="28"/>
          <w:szCs w:val="28"/>
          <w:highlight w:val="none"/>
        </w:rPr>
        <w:t>%的比例</w:t>
      </w:r>
      <w:r>
        <w:rPr>
          <w:rFonts w:hint="eastAsia" w:ascii="仿宋_GB2312" w:hAnsi="仿宋" w:eastAsia="仿宋_GB2312"/>
          <w:spacing w:val="2"/>
          <w:sz w:val="28"/>
          <w:szCs w:val="28"/>
          <w:highlight w:val="none"/>
          <w:lang w:val="en-US" w:eastAsia="zh-CN"/>
        </w:rPr>
        <w:t>支付</w:t>
      </w:r>
      <w:r>
        <w:rPr>
          <w:rFonts w:hint="eastAsia" w:ascii="仿宋_GB2312" w:hAnsi="仿宋" w:eastAsia="仿宋_GB2312"/>
          <w:spacing w:val="2"/>
          <w:sz w:val="28"/>
          <w:szCs w:val="28"/>
          <w:highlight w:val="none"/>
        </w:rPr>
        <w:t>；单案诉讼标的</w:t>
      </w:r>
      <w:r>
        <w:rPr>
          <w:rFonts w:hint="eastAsia" w:ascii="仿宋_GB2312" w:hAnsi="仿宋" w:eastAsia="仿宋_GB2312"/>
          <w:spacing w:val="2"/>
          <w:sz w:val="28"/>
          <w:szCs w:val="28"/>
          <w:highlight w:val="none"/>
          <w:lang w:val="en-US" w:eastAsia="zh-CN"/>
        </w:rPr>
        <w:t>2000</w:t>
      </w:r>
      <w:r>
        <w:rPr>
          <w:rFonts w:hint="eastAsia" w:ascii="仿宋_GB2312" w:hAnsi="仿宋" w:eastAsia="仿宋_GB2312"/>
          <w:spacing w:val="2"/>
          <w:sz w:val="28"/>
          <w:szCs w:val="28"/>
          <w:highlight w:val="none"/>
        </w:rPr>
        <w:t>万元以上至</w:t>
      </w:r>
      <w:r>
        <w:rPr>
          <w:rFonts w:hint="eastAsia" w:ascii="仿宋_GB2312" w:hAnsi="仿宋" w:eastAsia="仿宋_GB2312"/>
          <w:spacing w:val="2"/>
          <w:sz w:val="28"/>
          <w:szCs w:val="28"/>
          <w:highlight w:val="none"/>
          <w:lang w:val="en-US" w:eastAsia="zh-CN"/>
        </w:rPr>
        <w:t>5000</w:t>
      </w:r>
      <w:r>
        <w:rPr>
          <w:rFonts w:hint="eastAsia" w:ascii="仿宋_GB2312" w:hAnsi="仿宋" w:eastAsia="仿宋_GB2312"/>
          <w:spacing w:val="2"/>
          <w:sz w:val="28"/>
          <w:szCs w:val="28"/>
          <w:highlight w:val="none"/>
        </w:rPr>
        <w:t>万元（含）以下的部分，按实际回款</w:t>
      </w:r>
      <w:r>
        <w:rPr>
          <w:rFonts w:hint="eastAsia" w:ascii="仿宋_GB2312" w:hAnsi="仿宋" w:eastAsia="仿宋_GB2312"/>
          <w:spacing w:val="2"/>
          <w:sz w:val="28"/>
          <w:szCs w:val="28"/>
          <w:highlight w:val="none"/>
          <w:lang w:eastAsia="zh-CN"/>
        </w:rPr>
        <w:t>X</w:t>
      </w:r>
      <w:r>
        <w:rPr>
          <w:rFonts w:hint="eastAsia" w:ascii="仿宋_GB2312" w:hAnsi="仿宋" w:eastAsia="仿宋_GB2312"/>
          <w:spacing w:val="2"/>
          <w:sz w:val="28"/>
          <w:szCs w:val="28"/>
          <w:highlight w:val="none"/>
        </w:rPr>
        <w:t>%的比</w:t>
      </w:r>
      <w:r>
        <w:rPr>
          <w:rFonts w:hint="eastAsia" w:ascii="仿宋_GB2312" w:hAnsi="仿宋" w:eastAsia="仿宋_GB2312"/>
          <w:spacing w:val="2"/>
          <w:sz w:val="28"/>
          <w:szCs w:val="28"/>
        </w:rPr>
        <w:t>例</w:t>
      </w:r>
      <w:r>
        <w:rPr>
          <w:rFonts w:hint="eastAsia" w:ascii="仿宋_GB2312" w:hAnsi="仿宋" w:eastAsia="仿宋_GB2312"/>
          <w:spacing w:val="2"/>
          <w:sz w:val="28"/>
          <w:szCs w:val="28"/>
          <w:lang w:val="en-US" w:eastAsia="zh-CN"/>
        </w:rPr>
        <w:t>支付</w:t>
      </w:r>
      <w:r>
        <w:rPr>
          <w:rFonts w:hint="eastAsia" w:ascii="仿宋_GB2312" w:hAnsi="仿宋" w:eastAsia="仿宋_GB2312"/>
          <w:spacing w:val="2"/>
          <w:sz w:val="28"/>
          <w:szCs w:val="28"/>
        </w:rPr>
        <w:t>。</w:t>
      </w:r>
    </w:p>
    <w:p w14:paraId="7AE2F35C">
      <w:pPr>
        <w:spacing w:line="560" w:lineRule="exact"/>
        <w:ind w:right="-149" w:firstLine="568" w:firstLineChars="200"/>
        <w:rPr>
          <w:rFonts w:hint="eastAsia" w:ascii="仿宋_GB2312" w:hAnsi="仿宋" w:eastAsia="仿宋_GB2312"/>
          <w:color w:val="FF0000"/>
          <w:spacing w:val="2"/>
          <w:sz w:val="28"/>
          <w:szCs w:val="28"/>
          <w:lang w:val="en-US" w:eastAsia="zh-CN"/>
        </w:rPr>
      </w:pPr>
      <w:r>
        <w:rPr>
          <w:rFonts w:hint="eastAsia" w:ascii="仿宋_GB2312" w:hAnsi="仿宋" w:eastAsia="仿宋_GB2312"/>
          <w:color w:val="FF0000"/>
          <w:spacing w:val="2"/>
          <w:sz w:val="28"/>
          <w:szCs w:val="28"/>
        </w:rPr>
        <w:t>关于风险代理部分的费用，甲方在收到相应的执行回款或视同执行回款完成后，自收到乙方开具的符合要求的发票之日起10日内，向乙方逐笔支付。经双方协商一致，也可在累积至人民币XXX万元（或双方书面约定的其他金额）后统一支付。</w:t>
      </w:r>
    </w:p>
    <w:p w14:paraId="27D1EEE5">
      <w:pPr>
        <w:spacing w:line="560" w:lineRule="exact"/>
        <w:ind w:right="-149" w:firstLine="568" w:firstLineChars="200"/>
        <w:rPr>
          <w:rFonts w:hint="eastAsia" w:ascii="仿宋_GB2312" w:hAnsi="仿宋" w:eastAsia="仿宋_GB2312"/>
          <w:spacing w:val="2"/>
          <w:sz w:val="28"/>
          <w:szCs w:val="28"/>
          <w:lang w:val="en-US" w:eastAsia="zh-CN"/>
        </w:rPr>
      </w:pPr>
      <w:r>
        <w:rPr>
          <w:rFonts w:hint="eastAsia" w:ascii="仿宋_GB2312" w:hAnsi="仿宋" w:eastAsia="仿宋_GB2312"/>
          <w:spacing w:val="2"/>
          <w:sz w:val="28"/>
          <w:szCs w:val="28"/>
          <w:lang w:val="en-US" w:eastAsia="zh-CN"/>
        </w:rPr>
        <w:t>3.2.2标段一（二）、二、三：重庆、江西、合肥分公司2023年1月1日-2026年5月31日</w:t>
      </w:r>
      <w:r>
        <w:rPr>
          <w:rFonts w:hint="eastAsia" w:ascii="仿宋_GB2312" w:hAnsi="仿宋" w:eastAsia="仿宋_GB2312"/>
          <w:spacing w:val="2"/>
          <w:sz w:val="28"/>
          <w:szCs w:val="28"/>
        </w:rPr>
        <w:t>债权净额</w:t>
      </w:r>
      <w:r>
        <w:rPr>
          <w:rFonts w:hint="eastAsia" w:ascii="仿宋_GB2312" w:hAnsi="仿宋" w:eastAsia="仿宋_GB2312"/>
          <w:spacing w:val="2"/>
          <w:sz w:val="28"/>
          <w:szCs w:val="28"/>
          <w:lang w:val="en-US" w:eastAsia="zh-CN"/>
        </w:rPr>
        <w:t>的</w:t>
      </w:r>
      <w:r>
        <w:rPr>
          <w:rFonts w:hint="eastAsia" w:ascii="仿宋_GB2312" w:hAnsi="仿宋" w:eastAsia="仿宋_GB2312"/>
          <w:spacing w:val="2"/>
          <w:sz w:val="28"/>
          <w:szCs w:val="28"/>
        </w:rPr>
        <w:t>诉讼</w:t>
      </w:r>
      <w:r>
        <w:rPr>
          <w:rFonts w:hint="eastAsia" w:ascii="仿宋_GB2312" w:hAnsi="仿宋" w:eastAsia="仿宋_GB2312"/>
          <w:spacing w:val="2"/>
          <w:sz w:val="28"/>
          <w:szCs w:val="28"/>
          <w:lang w:val="en-US" w:eastAsia="zh-CN"/>
        </w:rPr>
        <w:t>代理服务</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深圳、郑州、西安、南宁、哈尔滨分公司2022年6月30日及以前</w:t>
      </w:r>
      <w:r>
        <w:rPr>
          <w:rFonts w:hint="eastAsia" w:ascii="仿宋_GB2312" w:hAnsi="仿宋" w:eastAsia="仿宋_GB2312"/>
          <w:spacing w:val="2"/>
          <w:sz w:val="28"/>
          <w:szCs w:val="28"/>
        </w:rPr>
        <w:t>债权净额诉讼</w:t>
      </w:r>
      <w:r>
        <w:rPr>
          <w:rFonts w:hint="eastAsia" w:ascii="仿宋_GB2312" w:hAnsi="仿宋" w:eastAsia="仿宋_GB2312"/>
          <w:spacing w:val="2"/>
          <w:sz w:val="28"/>
          <w:szCs w:val="28"/>
          <w:lang w:val="en-US" w:eastAsia="zh-CN"/>
        </w:rPr>
        <w:t>的</w:t>
      </w:r>
      <w:r>
        <w:rPr>
          <w:rFonts w:hint="eastAsia" w:ascii="仿宋_GB2312" w:hAnsi="仿宋" w:eastAsia="仿宋_GB2312"/>
          <w:spacing w:val="2"/>
          <w:sz w:val="28"/>
          <w:szCs w:val="28"/>
        </w:rPr>
        <w:t>二审、再审各审级与执行</w:t>
      </w:r>
      <w:r>
        <w:rPr>
          <w:rFonts w:hint="eastAsia" w:ascii="仿宋_GB2312" w:hAnsi="仿宋" w:eastAsia="仿宋_GB2312"/>
          <w:spacing w:val="2"/>
          <w:sz w:val="28"/>
          <w:szCs w:val="28"/>
          <w:lang w:val="en-US" w:eastAsia="zh-CN"/>
        </w:rPr>
        <w:t>的</w:t>
      </w:r>
      <w:r>
        <w:rPr>
          <w:rFonts w:hint="eastAsia" w:ascii="仿宋_GB2312" w:hAnsi="仿宋" w:eastAsia="仿宋_GB2312"/>
          <w:spacing w:val="2"/>
          <w:sz w:val="28"/>
          <w:szCs w:val="28"/>
        </w:rPr>
        <w:t>诉讼</w:t>
      </w:r>
      <w:r>
        <w:rPr>
          <w:rFonts w:hint="eastAsia" w:ascii="仿宋_GB2312" w:hAnsi="仿宋" w:eastAsia="仿宋_GB2312"/>
          <w:spacing w:val="2"/>
          <w:sz w:val="28"/>
          <w:szCs w:val="28"/>
          <w:lang w:val="en-US" w:eastAsia="zh-CN"/>
        </w:rPr>
        <w:t>代理服务</w:t>
      </w:r>
      <w:r>
        <w:rPr>
          <w:rFonts w:hint="eastAsia" w:ascii="仿宋_GB2312" w:hAnsi="仿宋" w:eastAsia="仿宋_GB2312"/>
          <w:spacing w:val="2"/>
          <w:sz w:val="28"/>
          <w:szCs w:val="28"/>
        </w:rPr>
        <w:t>。</w:t>
      </w:r>
    </w:p>
    <w:p w14:paraId="3F5C34B2">
      <w:pPr>
        <w:spacing w:line="560" w:lineRule="exact"/>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1</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第一阶段：</w:t>
      </w:r>
      <w:r>
        <w:rPr>
          <w:rFonts w:hint="eastAsia" w:ascii="仿宋_GB2312" w:hAnsi="仿宋" w:eastAsia="仿宋_GB2312"/>
          <w:spacing w:val="2"/>
          <w:sz w:val="28"/>
          <w:szCs w:val="28"/>
          <w:lang w:eastAsia="zh-CN"/>
        </w:rPr>
        <w:t>乙方向法院提交起诉状等</w:t>
      </w:r>
      <w:r>
        <w:rPr>
          <w:rFonts w:hint="eastAsia" w:ascii="仿宋_GB2312" w:hAnsi="仿宋" w:eastAsia="仿宋_GB2312"/>
          <w:spacing w:val="2"/>
          <w:sz w:val="28"/>
          <w:szCs w:val="28"/>
          <w:lang w:val="en-US" w:eastAsia="zh-CN"/>
        </w:rPr>
        <w:t>立案</w:t>
      </w:r>
      <w:r>
        <w:rPr>
          <w:rFonts w:hint="eastAsia" w:ascii="仿宋_GB2312" w:hAnsi="仿宋" w:eastAsia="仿宋_GB2312"/>
          <w:spacing w:val="2"/>
          <w:sz w:val="28"/>
          <w:szCs w:val="28"/>
          <w:lang w:eastAsia="zh-CN"/>
        </w:rPr>
        <w:t>材料</w:t>
      </w:r>
      <w:r>
        <w:rPr>
          <w:rFonts w:hint="eastAsia" w:ascii="仿宋_GB2312" w:hAnsi="仿宋" w:eastAsia="仿宋_GB2312"/>
          <w:spacing w:val="2"/>
          <w:sz w:val="28"/>
          <w:szCs w:val="28"/>
        </w:rPr>
        <w:t>之日</w:t>
      </w:r>
      <w:r>
        <w:rPr>
          <w:rFonts w:hint="eastAsia" w:ascii="仿宋_GB2312" w:hAnsi="仿宋" w:eastAsia="仿宋_GB2312"/>
          <w:spacing w:val="2"/>
          <w:sz w:val="28"/>
          <w:szCs w:val="28"/>
          <w:lang w:val="en-US" w:eastAsia="zh-CN"/>
        </w:rPr>
        <w:t>后</w:t>
      </w:r>
      <w:r>
        <w:rPr>
          <w:rFonts w:hint="eastAsia" w:ascii="仿宋_GB2312" w:hAnsi="仿宋" w:eastAsia="仿宋_GB2312"/>
          <w:spacing w:val="2"/>
          <w:sz w:val="28"/>
          <w:szCs w:val="28"/>
        </w:rPr>
        <w:t>，</w:t>
      </w:r>
      <w:r>
        <w:rPr>
          <w:rFonts w:hint="eastAsia" w:ascii="仿宋_GB2312" w:hAnsi="仿宋" w:eastAsia="仿宋_GB2312"/>
          <w:spacing w:val="2"/>
          <w:sz w:val="28"/>
          <w:szCs w:val="28"/>
          <w:lang w:eastAsia="zh-CN"/>
        </w:rPr>
        <w:t>甲方</w:t>
      </w:r>
      <w:r>
        <w:rPr>
          <w:rFonts w:hint="eastAsia" w:ascii="仿宋_GB2312" w:hAnsi="仿宋" w:eastAsia="仿宋_GB2312"/>
          <w:spacing w:val="2"/>
          <w:sz w:val="28"/>
          <w:szCs w:val="28"/>
          <w:lang w:val="en-US" w:eastAsia="zh-CN"/>
        </w:rPr>
        <w:t>在收到乙方开具的符合要求的发票之日起10日内</w:t>
      </w:r>
      <w:r>
        <w:rPr>
          <w:rFonts w:hint="eastAsia" w:ascii="仿宋_GB2312" w:hAnsi="仿宋" w:eastAsia="仿宋_GB2312"/>
          <w:spacing w:val="2"/>
          <w:sz w:val="28"/>
          <w:szCs w:val="28"/>
          <w:lang w:eastAsia="zh-CN"/>
        </w:rPr>
        <w:t>向乙方支付</w:t>
      </w:r>
      <w:r>
        <w:rPr>
          <w:rFonts w:hint="eastAsia" w:ascii="仿宋_GB2312" w:hAnsi="仿宋" w:eastAsia="仿宋_GB2312"/>
          <w:spacing w:val="2"/>
          <w:sz w:val="28"/>
          <w:szCs w:val="28"/>
          <w:lang w:val="en-US" w:eastAsia="zh-CN"/>
        </w:rPr>
        <w:t>本案件的</w:t>
      </w:r>
      <w:r>
        <w:rPr>
          <w:rFonts w:hint="eastAsia" w:ascii="仿宋_GB2312" w:hAnsi="仿宋" w:eastAsia="仿宋_GB2312"/>
          <w:spacing w:val="2"/>
          <w:sz w:val="28"/>
          <w:szCs w:val="28"/>
        </w:rPr>
        <w:t>第一阶段的服务费</w:t>
      </w:r>
      <w:r>
        <w:rPr>
          <w:rFonts w:hint="eastAsia" w:ascii="仿宋_GB2312" w:hAnsi="仿宋" w:eastAsia="仿宋_GB2312"/>
          <w:spacing w:val="2"/>
          <w:sz w:val="28"/>
          <w:szCs w:val="28"/>
          <w:lang w:eastAsia="zh-CN"/>
        </w:rPr>
        <w:t>固定部分</w:t>
      </w:r>
      <w:r>
        <w:rPr>
          <w:rFonts w:hint="eastAsia" w:ascii="仿宋_GB2312" w:hAnsi="仿宋" w:eastAsia="仿宋_GB2312"/>
          <w:spacing w:val="2"/>
          <w:sz w:val="28"/>
          <w:szCs w:val="28"/>
        </w:rPr>
        <w:t>的</w:t>
      </w:r>
      <w:r>
        <w:rPr>
          <w:rFonts w:hint="eastAsia" w:ascii="仿宋_GB2312" w:hAnsi="仿宋" w:eastAsia="仿宋_GB2312"/>
          <w:spacing w:val="2"/>
          <w:sz w:val="28"/>
          <w:szCs w:val="28"/>
          <w:lang w:val="en-US" w:eastAsia="zh-CN"/>
        </w:rPr>
        <w:t>10</w:t>
      </w:r>
      <w:r>
        <w:rPr>
          <w:rFonts w:hint="eastAsia" w:ascii="仿宋_GB2312" w:hAnsi="仿宋" w:eastAsia="仿宋_GB2312"/>
          <w:spacing w:val="2"/>
          <w:sz w:val="28"/>
          <w:szCs w:val="28"/>
        </w:rPr>
        <w:t>%。</w:t>
      </w:r>
    </w:p>
    <w:p w14:paraId="7E4D08B2">
      <w:pPr>
        <w:spacing w:line="560" w:lineRule="exact"/>
        <w:ind w:right="-149" w:firstLine="568" w:firstLineChars="200"/>
        <w:rPr>
          <w:rFonts w:hint="eastAsia" w:ascii="仿宋_GB2312" w:hAnsi="仿宋" w:eastAsia="仿宋_GB2312"/>
          <w:spacing w:val="2"/>
          <w:sz w:val="28"/>
          <w:szCs w:val="28"/>
          <w:lang w:val="en-US" w:eastAsia="zh-CN"/>
        </w:rPr>
      </w:pP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2</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第</w:t>
      </w:r>
      <w:r>
        <w:rPr>
          <w:rFonts w:hint="eastAsia" w:ascii="仿宋_GB2312" w:hAnsi="仿宋" w:eastAsia="仿宋_GB2312"/>
          <w:spacing w:val="2"/>
          <w:sz w:val="28"/>
          <w:szCs w:val="28"/>
          <w:lang w:val="en-US" w:eastAsia="zh-CN"/>
        </w:rPr>
        <w:t>二</w:t>
      </w:r>
      <w:r>
        <w:rPr>
          <w:rFonts w:hint="eastAsia" w:ascii="仿宋_GB2312" w:hAnsi="仿宋" w:eastAsia="仿宋_GB2312"/>
          <w:spacing w:val="2"/>
          <w:sz w:val="28"/>
          <w:szCs w:val="28"/>
        </w:rPr>
        <w:t>阶段：委托案件经人民法院审查通过并完成正式立案程序，甲方收到人民法院出具的</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受理案件通知书</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后，</w:t>
      </w:r>
      <w:r>
        <w:rPr>
          <w:rFonts w:hint="eastAsia" w:ascii="仿宋_GB2312" w:hAnsi="仿宋" w:eastAsia="仿宋_GB2312"/>
          <w:spacing w:val="2"/>
          <w:sz w:val="28"/>
          <w:szCs w:val="28"/>
          <w:lang w:val="en-US" w:eastAsia="zh-CN"/>
        </w:rPr>
        <w:t>在收到乙方开具的符合要求的发票之日起10日内，</w:t>
      </w:r>
      <w:r>
        <w:rPr>
          <w:rFonts w:hint="eastAsia" w:ascii="仿宋_GB2312" w:hAnsi="仿宋" w:eastAsia="仿宋_GB2312"/>
          <w:spacing w:val="2"/>
          <w:sz w:val="28"/>
          <w:szCs w:val="28"/>
          <w:lang w:eastAsia="zh-CN"/>
        </w:rPr>
        <w:t>向乙方支付</w:t>
      </w:r>
      <w:r>
        <w:rPr>
          <w:rFonts w:hint="eastAsia" w:ascii="仿宋_GB2312" w:hAnsi="仿宋" w:eastAsia="仿宋_GB2312"/>
          <w:spacing w:val="2"/>
          <w:sz w:val="28"/>
          <w:szCs w:val="28"/>
        </w:rPr>
        <w:t>第二阶段的律师服务费</w:t>
      </w:r>
      <w:r>
        <w:rPr>
          <w:rFonts w:hint="eastAsia" w:ascii="仿宋_GB2312" w:hAnsi="仿宋" w:eastAsia="仿宋_GB2312"/>
          <w:spacing w:val="2"/>
          <w:sz w:val="28"/>
          <w:szCs w:val="28"/>
          <w:lang w:eastAsia="zh-CN"/>
        </w:rPr>
        <w:t>固定部分</w:t>
      </w:r>
      <w:r>
        <w:rPr>
          <w:rFonts w:hint="eastAsia" w:ascii="仿宋_GB2312" w:hAnsi="仿宋" w:eastAsia="仿宋_GB2312"/>
          <w:spacing w:val="2"/>
          <w:sz w:val="28"/>
          <w:szCs w:val="28"/>
        </w:rPr>
        <w:t>的</w:t>
      </w:r>
      <w:r>
        <w:rPr>
          <w:rFonts w:hint="eastAsia" w:ascii="仿宋_GB2312" w:hAnsi="仿宋" w:eastAsia="仿宋_GB2312"/>
          <w:spacing w:val="2"/>
          <w:sz w:val="28"/>
          <w:szCs w:val="28"/>
          <w:lang w:val="en-US" w:eastAsia="zh-CN"/>
        </w:rPr>
        <w:t>10</w:t>
      </w:r>
      <w:r>
        <w:rPr>
          <w:rFonts w:hint="eastAsia" w:ascii="仿宋_GB2312" w:hAnsi="仿宋" w:eastAsia="仿宋_GB2312"/>
          <w:spacing w:val="2"/>
          <w:sz w:val="28"/>
          <w:szCs w:val="28"/>
        </w:rPr>
        <w:t>%。</w:t>
      </w:r>
    </w:p>
    <w:p w14:paraId="28CDDDE4">
      <w:pPr>
        <w:spacing w:line="560" w:lineRule="exact"/>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3</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第</w:t>
      </w:r>
      <w:r>
        <w:rPr>
          <w:rFonts w:hint="eastAsia" w:ascii="仿宋_GB2312" w:hAnsi="仿宋" w:eastAsia="仿宋_GB2312"/>
          <w:spacing w:val="2"/>
          <w:sz w:val="28"/>
          <w:szCs w:val="28"/>
          <w:lang w:val="en-US" w:eastAsia="zh-CN"/>
        </w:rPr>
        <w:t>三</w:t>
      </w:r>
      <w:r>
        <w:rPr>
          <w:rFonts w:hint="eastAsia" w:ascii="仿宋_GB2312" w:hAnsi="仿宋" w:eastAsia="仿宋_GB2312"/>
          <w:spacing w:val="2"/>
          <w:sz w:val="28"/>
          <w:szCs w:val="28"/>
        </w:rPr>
        <w:t>阶段：</w:t>
      </w:r>
      <w:r>
        <w:rPr>
          <w:rFonts w:hint="eastAsia" w:ascii="仿宋_GB2312" w:hAnsi="仿宋" w:eastAsia="仿宋_GB2312"/>
          <w:spacing w:val="2"/>
          <w:sz w:val="28"/>
          <w:szCs w:val="28"/>
          <w:lang w:val="en-US" w:eastAsia="zh-CN"/>
        </w:rPr>
        <w:t>一</w:t>
      </w:r>
      <w:r>
        <w:rPr>
          <w:rFonts w:hint="eastAsia" w:ascii="仿宋_GB2312" w:hAnsi="仿宋" w:eastAsia="仿宋_GB2312"/>
          <w:spacing w:val="2"/>
          <w:sz w:val="28"/>
          <w:szCs w:val="28"/>
        </w:rPr>
        <w:t>审程序</w:t>
      </w:r>
      <w:r>
        <w:rPr>
          <w:rFonts w:hint="eastAsia" w:ascii="仿宋_GB2312" w:hAnsi="仿宋" w:eastAsia="仿宋_GB2312"/>
          <w:spacing w:val="2"/>
          <w:sz w:val="28"/>
          <w:szCs w:val="28"/>
          <w:lang w:val="en-US" w:eastAsia="zh-CN"/>
        </w:rPr>
        <w:t>终结</w:t>
      </w:r>
      <w:r>
        <w:rPr>
          <w:rFonts w:hint="eastAsia" w:ascii="仿宋_GB2312" w:hAnsi="仿宋" w:eastAsia="仿宋_GB2312"/>
          <w:spacing w:val="2"/>
          <w:sz w:val="28"/>
          <w:szCs w:val="28"/>
          <w:lang w:eastAsia="zh-CN"/>
        </w:rPr>
        <w:t>（含通过法院调解结案）</w:t>
      </w:r>
      <w:r>
        <w:rPr>
          <w:rFonts w:hint="eastAsia" w:ascii="仿宋_GB2312" w:hAnsi="仿宋" w:eastAsia="仿宋_GB2312"/>
          <w:spacing w:val="2"/>
          <w:sz w:val="28"/>
          <w:szCs w:val="28"/>
        </w:rPr>
        <w:t>，</w:t>
      </w:r>
      <w:r>
        <w:rPr>
          <w:rFonts w:hint="eastAsia" w:ascii="仿宋_GB2312" w:hAnsi="仿宋" w:eastAsia="仿宋_GB2312"/>
          <w:spacing w:val="2"/>
          <w:sz w:val="28"/>
          <w:szCs w:val="28"/>
          <w:lang w:eastAsia="zh-CN"/>
        </w:rPr>
        <w:t>甲方收到生效法律文书（含调解书）后，</w:t>
      </w:r>
      <w:r>
        <w:rPr>
          <w:rFonts w:hint="eastAsia" w:ascii="仿宋_GB2312" w:hAnsi="仿宋" w:eastAsia="仿宋_GB2312"/>
          <w:spacing w:val="2"/>
          <w:sz w:val="28"/>
          <w:szCs w:val="28"/>
          <w:lang w:val="en-US" w:eastAsia="zh-CN"/>
        </w:rPr>
        <w:t>在收到乙方开具的符合要求的发票之日起十日内，</w:t>
      </w:r>
      <w:r>
        <w:rPr>
          <w:rFonts w:hint="eastAsia" w:ascii="仿宋_GB2312" w:hAnsi="仿宋" w:eastAsia="仿宋_GB2312"/>
          <w:spacing w:val="2"/>
          <w:sz w:val="28"/>
          <w:szCs w:val="28"/>
          <w:lang w:eastAsia="zh-CN"/>
        </w:rPr>
        <w:t>向乙方支付</w:t>
      </w:r>
      <w:r>
        <w:rPr>
          <w:rFonts w:hint="eastAsia" w:ascii="仿宋_GB2312" w:hAnsi="仿宋" w:eastAsia="仿宋_GB2312"/>
          <w:spacing w:val="2"/>
          <w:sz w:val="28"/>
          <w:szCs w:val="28"/>
        </w:rPr>
        <w:t>第</w:t>
      </w:r>
      <w:r>
        <w:rPr>
          <w:rFonts w:hint="eastAsia" w:ascii="仿宋_GB2312" w:hAnsi="仿宋" w:eastAsia="仿宋_GB2312"/>
          <w:spacing w:val="2"/>
          <w:sz w:val="28"/>
          <w:szCs w:val="28"/>
          <w:lang w:val="en-US" w:eastAsia="zh-CN"/>
        </w:rPr>
        <w:t>三</w:t>
      </w:r>
      <w:r>
        <w:rPr>
          <w:rFonts w:hint="eastAsia" w:ascii="仿宋_GB2312" w:hAnsi="仿宋" w:eastAsia="仿宋_GB2312"/>
          <w:spacing w:val="2"/>
          <w:sz w:val="28"/>
          <w:szCs w:val="28"/>
        </w:rPr>
        <w:t>阶段的律师服务费</w:t>
      </w:r>
      <w:r>
        <w:rPr>
          <w:rFonts w:hint="eastAsia" w:ascii="仿宋_GB2312" w:hAnsi="仿宋" w:eastAsia="仿宋_GB2312"/>
          <w:spacing w:val="2"/>
          <w:sz w:val="28"/>
          <w:szCs w:val="28"/>
          <w:lang w:eastAsia="zh-CN"/>
        </w:rPr>
        <w:t>固定部分</w:t>
      </w:r>
      <w:r>
        <w:rPr>
          <w:rFonts w:hint="eastAsia" w:ascii="仿宋_GB2312" w:hAnsi="仿宋" w:eastAsia="仿宋_GB2312"/>
          <w:spacing w:val="2"/>
          <w:sz w:val="28"/>
          <w:szCs w:val="28"/>
        </w:rPr>
        <w:t>的</w:t>
      </w:r>
      <w:r>
        <w:rPr>
          <w:rFonts w:hint="eastAsia" w:ascii="仿宋_GB2312" w:hAnsi="仿宋" w:eastAsia="仿宋_GB2312"/>
          <w:spacing w:val="2"/>
          <w:sz w:val="28"/>
          <w:szCs w:val="28"/>
          <w:lang w:val="en-US" w:eastAsia="zh-CN"/>
        </w:rPr>
        <w:t>30</w:t>
      </w:r>
      <w:r>
        <w:rPr>
          <w:rFonts w:hint="eastAsia" w:ascii="仿宋_GB2312" w:hAnsi="仿宋" w:eastAsia="仿宋_GB2312"/>
          <w:spacing w:val="2"/>
          <w:sz w:val="28"/>
          <w:szCs w:val="28"/>
        </w:rPr>
        <w:t>%。</w:t>
      </w:r>
    </w:p>
    <w:p w14:paraId="45DB813F">
      <w:pPr>
        <w:spacing w:line="560" w:lineRule="exact"/>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4</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第</w:t>
      </w:r>
      <w:r>
        <w:rPr>
          <w:rFonts w:hint="eastAsia" w:ascii="仿宋_GB2312" w:hAnsi="仿宋" w:eastAsia="仿宋_GB2312"/>
          <w:spacing w:val="2"/>
          <w:sz w:val="28"/>
          <w:szCs w:val="28"/>
          <w:lang w:val="en-US" w:eastAsia="zh-CN"/>
        </w:rPr>
        <w:t>四</w:t>
      </w:r>
      <w:r>
        <w:rPr>
          <w:rFonts w:hint="eastAsia" w:ascii="仿宋_GB2312" w:hAnsi="仿宋" w:eastAsia="仿宋_GB2312"/>
          <w:spacing w:val="2"/>
          <w:sz w:val="28"/>
          <w:szCs w:val="28"/>
        </w:rPr>
        <w:t>阶段：</w:t>
      </w:r>
      <w:r>
        <w:rPr>
          <w:rFonts w:hint="eastAsia" w:ascii="仿宋_GB2312" w:hAnsi="仿宋" w:eastAsia="仿宋_GB2312"/>
          <w:spacing w:val="2"/>
          <w:sz w:val="28"/>
          <w:szCs w:val="28"/>
          <w:lang w:val="en-US" w:eastAsia="zh-CN"/>
        </w:rPr>
        <w:t>若本案进入二审程序，二</w:t>
      </w:r>
      <w:r>
        <w:rPr>
          <w:rFonts w:hint="eastAsia" w:ascii="仿宋_GB2312" w:hAnsi="仿宋" w:eastAsia="仿宋_GB2312"/>
          <w:spacing w:val="2"/>
          <w:sz w:val="28"/>
          <w:szCs w:val="28"/>
        </w:rPr>
        <w:t>审程序</w:t>
      </w:r>
      <w:r>
        <w:rPr>
          <w:rFonts w:hint="eastAsia" w:ascii="仿宋_GB2312" w:hAnsi="仿宋" w:eastAsia="仿宋_GB2312"/>
          <w:spacing w:val="2"/>
          <w:sz w:val="28"/>
          <w:szCs w:val="28"/>
          <w:lang w:val="en-US" w:eastAsia="zh-CN"/>
        </w:rPr>
        <w:t>终结</w:t>
      </w:r>
      <w:r>
        <w:rPr>
          <w:rFonts w:hint="eastAsia" w:ascii="仿宋_GB2312" w:hAnsi="仿宋" w:eastAsia="仿宋_GB2312"/>
          <w:spacing w:val="2"/>
          <w:sz w:val="28"/>
          <w:szCs w:val="28"/>
          <w:lang w:eastAsia="zh-CN"/>
        </w:rPr>
        <w:t>（含通过法院调解结案）</w:t>
      </w:r>
      <w:r>
        <w:rPr>
          <w:rFonts w:hint="eastAsia" w:ascii="仿宋_GB2312" w:hAnsi="仿宋" w:eastAsia="仿宋_GB2312"/>
          <w:spacing w:val="2"/>
          <w:sz w:val="28"/>
          <w:szCs w:val="28"/>
        </w:rPr>
        <w:t>，</w:t>
      </w:r>
      <w:r>
        <w:rPr>
          <w:rFonts w:hint="eastAsia" w:ascii="仿宋_GB2312" w:hAnsi="仿宋" w:eastAsia="仿宋_GB2312"/>
          <w:spacing w:val="2"/>
          <w:sz w:val="28"/>
          <w:szCs w:val="28"/>
          <w:lang w:eastAsia="zh-CN"/>
        </w:rPr>
        <w:t>甲方收到生效法律文书（含调解书）后，</w:t>
      </w:r>
      <w:r>
        <w:rPr>
          <w:rFonts w:hint="eastAsia" w:ascii="仿宋_GB2312" w:hAnsi="仿宋" w:eastAsia="仿宋_GB2312"/>
          <w:spacing w:val="2"/>
          <w:sz w:val="28"/>
          <w:szCs w:val="28"/>
          <w:lang w:val="en-US" w:eastAsia="zh-CN"/>
        </w:rPr>
        <w:t>在收到乙方开具的符合要求的发票之日起10日内</w:t>
      </w:r>
      <w:r>
        <w:rPr>
          <w:rFonts w:hint="eastAsia" w:ascii="仿宋_GB2312" w:hAnsi="仿宋" w:eastAsia="仿宋_GB2312"/>
          <w:spacing w:val="2"/>
          <w:sz w:val="28"/>
          <w:szCs w:val="28"/>
          <w:lang w:eastAsia="zh-CN"/>
        </w:rPr>
        <w:t>向乙方支付</w:t>
      </w:r>
      <w:r>
        <w:rPr>
          <w:rFonts w:hint="eastAsia" w:ascii="仿宋_GB2312" w:hAnsi="仿宋" w:eastAsia="仿宋_GB2312"/>
          <w:spacing w:val="2"/>
          <w:sz w:val="28"/>
          <w:szCs w:val="28"/>
        </w:rPr>
        <w:t>第</w:t>
      </w:r>
      <w:r>
        <w:rPr>
          <w:rFonts w:hint="eastAsia" w:ascii="仿宋_GB2312" w:hAnsi="仿宋" w:eastAsia="仿宋_GB2312"/>
          <w:spacing w:val="2"/>
          <w:sz w:val="28"/>
          <w:szCs w:val="28"/>
          <w:lang w:val="en-US" w:eastAsia="zh-CN"/>
        </w:rPr>
        <w:t>四</w:t>
      </w:r>
      <w:r>
        <w:rPr>
          <w:rFonts w:hint="eastAsia" w:ascii="仿宋_GB2312" w:hAnsi="仿宋" w:eastAsia="仿宋_GB2312"/>
          <w:spacing w:val="2"/>
          <w:sz w:val="28"/>
          <w:szCs w:val="28"/>
        </w:rPr>
        <w:t>阶段的律师服务费</w:t>
      </w:r>
      <w:r>
        <w:rPr>
          <w:rFonts w:hint="eastAsia" w:ascii="仿宋_GB2312" w:hAnsi="仿宋" w:eastAsia="仿宋_GB2312"/>
          <w:spacing w:val="2"/>
          <w:sz w:val="28"/>
          <w:szCs w:val="28"/>
          <w:lang w:eastAsia="zh-CN"/>
        </w:rPr>
        <w:t>固定部分</w:t>
      </w:r>
      <w:r>
        <w:rPr>
          <w:rFonts w:hint="eastAsia" w:ascii="仿宋_GB2312" w:hAnsi="仿宋" w:eastAsia="仿宋_GB2312"/>
          <w:spacing w:val="2"/>
          <w:sz w:val="28"/>
          <w:szCs w:val="28"/>
        </w:rPr>
        <w:t>的</w:t>
      </w:r>
      <w:r>
        <w:rPr>
          <w:rFonts w:hint="eastAsia" w:ascii="仿宋_GB2312" w:hAnsi="仿宋" w:eastAsia="仿宋_GB2312"/>
          <w:spacing w:val="2"/>
          <w:sz w:val="28"/>
          <w:szCs w:val="28"/>
          <w:lang w:val="en-US" w:eastAsia="zh-CN"/>
        </w:rPr>
        <w:t>30</w:t>
      </w:r>
      <w:r>
        <w:rPr>
          <w:rFonts w:hint="eastAsia" w:ascii="仿宋_GB2312" w:hAnsi="仿宋" w:eastAsia="仿宋_GB2312"/>
          <w:spacing w:val="2"/>
          <w:sz w:val="28"/>
          <w:szCs w:val="28"/>
        </w:rPr>
        <w:t>%。</w:t>
      </w:r>
    </w:p>
    <w:p w14:paraId="0B089B72">
      <w:pPr>
        <w:spacing w:line="560" w:lineRule="exact"/>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lang w:val="en-US" w:eastAsia="zh-CN"/>
        </w:rPr>
        <w:t>（5）第五阶段：若案件存在再审程序的，再审程序终结（含法院调解结案），甲方收到法院生效法律文书（含民事调解书）后，自收到乙方开具合规发票之日起10日内，向乙方支付本案基础代理服务费20%。</w:t>
      </w:r>
    </w:p>
    <w:p w14:paraId="53996A61">
      <w:pPr>
        <w:spacing w:line="560" w:lineRule="exact"/>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6</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若本案未进入二审</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再审</w:t>
      </w:r>
      <w:r>
        <w:rPr>
          <w:rFonts w:hint="eastAsia" w:ascii="仿宋_GB2312" w:hAnsi="仿宋" w:eastAsia="仿宋_GB2312"/>
          <w:spacing w:val="2"/>
          <w:sz w:val="28"/>
          <w:szCs w:val="28"/>
        </w:rPr>
        <w:t>程序，甲方无需支付第四</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第五</w:t>
      </w:r>
      <w:r>
        <w:rPr>
          <w:rFonts w:hint="eastAsia" w:ascii="仿宋_GB2312" w:hAnsi="仿宋" w:eastAsia="仿宋_GB2312"/>
          <w:spacing w:val="2"/>
          <w:sz w:val="28"/>
          <w:szCs w:val="28"/>
        </w:rPr>
        <w:t>阶段对应款项，固定服务费结算至</w:t>
      </w:r>
      <w:r>
        <w:rPr>
          <w:rFonts w:hint="eastAsia" w:ascii="仿宋_GB2312" w:hAnsi="仿宋" w:eastAsia="仿宋_GB2312"/>
          <w:spacing w:val="2"/>
          <w:sz w:val="28"/>
          <w:szCs w:val="28"/>
          <w:lang w:val="en-US" w:eastAsia="zh-CN"/>
        </w:rPr>
        <w:t>取得生效法律文书</w:t>
      </w:r>
      <w:r>
        <w:rPr>
          <w:rFonts w:hint="eastAsia" w:ascii="仿宋_GB2312" w:hAnsi="仿宋" w:eastAsia="仿宋_GB2312"/>
          <w:spacing w:val="2"/>
          <w:sz w:val="28"/>
          <w:szCs w:val="28"/>
        </w:rPr>
        <w:t>阶段即告结清。</w:t>
      </w:r>
    </w:p>
    <w:p w14:paraId="503CF495">
      <w:pPr>
        <w:spacing w:line="560" w:lineRule="exact"/>
        <w:ind w:right="-149" w:firstLine="568" w:firstLineChars="200"/>
        <w:rPr>
          <w:rFonts w:hint="eastAsia" w:ascii="仿宋_GB2312" w:hAnsi="仿宋" w:eastAsia="仿宋_GB2312"/>
          <w:color w:val="FF0000"/>
          <w:spacing w:val="2"/>
          <w:sz w:val="28"/>
          <w:szCs w:val="28"/>
        </w:rPr>
      </w:pP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7</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第</w:t>
      </w:r>
      <w:r>
        <w:rPr>
          <w:rFonts w:hint="eastAsia" w:ascii="仿宋_GB2312" w:hAnsi="仿宋" w:eastAsia="仿宋_GB2312"/>
          <w:spacing w:val="2"/>
          <w:sz w:val="28"/>
          <w:szCs w:val="28"/>
          <w:lang w:val="en-US" w:eastAsia="zh-CN"/>
        </w:rPr>
        <w:t>六</w:t>
      </w:r>
      <w:r>
        <w:rPr>
          <w:rFonts w:hint="eastAsia" w:ascii="仿宋_GB2312" w:hAnsi="仿宋" w:eastAsia="仿宋_GB2312"/>
          <w:spacing w:val="2"/>
          <w:sz w:val="28"/>
          <w:szCs w:val="28"/>
        </w:rPr>
        <w:t>阶段：</w:t>
      </w:r>
      <w:r>
        <w:rPr>
          <w:rFonts w:hint="eastAsia" w:ascii="仿宋_GB2312" w:hAnsi="仿宋" w:eastAsia="仿宋_GB2312"/>
          <w:color w:val="FF0000"/>
          <w:spacing w:val="2"/>
          <w:sz w:val="28"/>
          <w:szCs w:val="28"/>
        </w:rPr>
        <w:t>案件在诉讼审理阶段，经乙方代理工作促成调解、和解并出具调解书/和解协议，约定以物抵债的，不因调解文书出具即视为完成回款；该等以物抵债需经甲方内部审批同意，抵债动产完成实际交付、抵债不动产办理完毕权属转移登记，且相应产权权属登记至甲方（或甲方指定主体）名下之日，方视为回款实现，以文书确认的抵债金额作为风险代理费用计算基数。如因义务人原因导致该以物抵债最终无法履行、抵债落空的，该部分不再计付风险代理费用。</w:t>
      </w:r>
    </w:p>
    <w:p w14:paraId="7308805E">
      <w:pPr>
        <w:spacing w:line="560" w:lineRule="exact"/>
        <w:ind w:right="-149" w:firstLine="568" w:firstLineChars="200"/>
        <w:rPr>
          <w:rFonts w:hint="eastAsia" w:ascii="仿宋_GB2312" w:hAnsi="仿宋" w:eastAsia="仿宋_GB2312"/>
          <w:color w:val="FF0000"/>
          <w:spacing w:val="2"/>
          <w:sz w:val="28"/>
          <w:szCs w:val="28"/>
        </w:rPr>
      </w:pPr>
      <w:r>
        <w:rPr>
          <w:rFonts w:hint="eastAsia" w:ascii="仿宋_GB2312" w:hAnsi="仿宋" w:eastAsia="仿宋_GB2312"/>
          <w:color w:val="FF0000"/>
          <w:spacing w:val="2"/>
          <w:sz w:val="28"/>
          <w:szCs w:val="28"/>
        </w:rPr>
        <w:t>自执行程序启动之日起，至实际回款之日止，第六阶段的律师服务执行风险代理机制，依据各案诉讼标的及实际回款核算确定。另外风险代理费执行回款金额挂钩（执行标的二拍流拍后，甲方经审批同意以物抵债的，则以物抵债视同执行回款，且回款的金额以抵债金额为准）。</w:t>
      </w:r>
    </w:p>
    <w:p w14:paraId="0FC921C1">
      <w:pPr>
        <w:spacing w:line="560" w:lineRule="exact"/>
        <w:ind w:right="-149" w:firstLine="568" w:firstLineChars="200"/>
        <w:rPr>
          <w:rFonts w:hint="eastAsia" w:ascii="仿宋_GB2312" w:hAnsi="仿宋" w:eastAsia="仿宋_GB2312"/>
          <w:color w:val="FF0000"/>
          <w:spacing w:val="2"/>
          <w:sz w:val="28"/>
          <w:szCs w:val="28"/>
        </w:rPr>
      </w:pPr>
      <w:r>
        <w:rPr>
          <w:rFonts w:hint="eastAsia" w:ascii="仿宋_GB2312" w:hAnsi="仿宋" w:eastAsia="仿宋_GB2312"/>
          <w:color w:val="FF0000"/>
          <w:spacing w:val="2"/>
          <w:sz w:val="28"/>
          <w:szCs w:val="28"/>
        </w:rPr>
        <w:t>其中风险代理部分，按下述标准计算，风险代理费用计算基数是按照本案单独计算，不超过封顶金额：单案诉讼标的1万元以上至10万元（含）以下的部分，按实际回款X%的比例支付；单案诉讼标的10万元以上至50万元（含）以下的部分，按实际回款X%的比例支付；单案诉讼标的50万元以上至100万元（含）以下的部分，按实际回款X%的比例支付；单案诉讼标的100万元以上至500万元（含）以下的部分，按实际回款X%的比例支付；单案诉讼标的500万元以上至2000万元（含）以下的部分，按实际回款X%的比例支付；单案诉讼标的2000万元以上至5000万元（含）以下的部分，按实际回款X%的比例支付；单案诉讼标的5000万元以上至1亿元（含）以下的部分，按实际回款X%的比例支付；单案诉讼标的1亿元以上的部分，按实际回款X%的比例支付。</w:t>
      </w:r>
    </w:p>
    <w:p w14:paraId="70F861AA">
      <w:pPr>
        <w:spacing w:line="560" w:lineRule="exact"/>
        <w:ind w:right="-149" w:firstLine="568" w:firstLineChars="200"/>
        <w:rPr>
          <w:rFonts w:hint="eastAsia" w:ascii="仿宋_GB2312" w:hAnsi="仿宋" w:eastAsia="仿宋_GB2312"/>
          <w:color w:val="FF0000"/>
          <w:spacing w:val="2"/>
          <w:sz w:val="28"/>
          <w:szCs w:val="28"/>
          <w:lang w:val="en-US" w:eastAsia="zh-CN"/>
        </w:rPr>
      </w:pPr>
      <w:r>
        <w:rPr>
          <w:rFonts w:hint="eastAsia" w:ascii="仿宋_GB2312" w:hAnsi="仿宋" w:eastAsia="仿宋_GB2312"/>
          <w:color w:val="FF0000"/>
          <w:spacing w:val="2"/>
          <w:sz w:val="28"/>
          <w:szCs w:val="28"/>
        </w:rPr>
        <w:t>关于风险代理部分的费用，甲方在收到相应的执行回款或视同执行回款完成后，自收到乙方开具的符合要求的发票之日起10日内，向乙方逐笔支付。经双方协商一致，也可在累积至人民币XXX万元（或双方书面约定的其他金额）后统一支付。</w:t>
      </w:r>
    </w:p>
    <w:p w14:paraId="03068A39">
      <w:pPr>
        <w:spacing w:line="560" w:lineRule="exact"/>
        <w:ind w:right="-149" w:firstLine="568" w:firstLineChars="200"/>
        <w:rPr>
          <w:rFonts w:hint="eastAsia"/>
          <w:lang w:val="en-US" w:eastAsia="zh-CN"/>
        </w:rPr>
      </w:pPr>
      <w:r>
        <w:rPr>
          <w:rFonts w:hint="eastAsia" w:ascii="仿宋_GB2312" w:hAnsi="仿宋" w:eastAsia="仿宋_GB2312"/>
          <w:spacing w:val="2"/>
          <w:sz w:val="28"/>
          <w:szCs w:val="28"/>
          <w:lang w:val="en-US" w:eastAsia="zh-CN"/>
        </w:rPr>
        <w:t>3.2.3</w:t>
      </w:r>
      <w:r>
        <w:rPr>
          <w:rFonts w:hint="eastAsia" w:ascii="仿宋_GB2312" w:hAnsi="仿宋" w:eastAsia="仿宋_GB2312"/>
          <w:spacing w:val="2"/>
          <w:sz w:val="28"/>
          <w:szCs w:val="28"/>
        </w:rPr>
        <w:t>本合同项下律师代理费采用包干</w:t>
      </w:r>
      <w:r>
        <w:rPr>
          <w:rFonts w:hint="eastAsia" w:ascii="仿宋_GB2312" w:hAnsi="仿宋" w:eastAsia="仿宋_GB2312"/>
          <w:spacing w:val="2"/>
          <w:sz w:val="28"/>
          <w:szCs w:val="28"/>
          <w:lang w:val="en-US" w:eastAsia="zh-CN"/>
        </w:rPr>
        <w:t>价</w:t>
      </w:r>
      <w:r>
        <w:rPr>
          <w:rFonts w:hint="eastAsia" w:ascii="仿宋_GB2312" w:hAnsi="仿宋" w:eastAsia="仿宋_GB2312"/>
          <w:spacing w:val="2"/>
          <w:sz w:val="28"/>
          <w:szCs w:val="28"/>
        </w:rPr>
        <w:t>模式。该包干价，包括但不限于乙方办案人员的差旅费、通讯费、文印费、办公费、团队管理费等所有办案成本，除本条约定的律师代理费及本合同3.</w:t>
      </w:r>
      <w:r>
        <w:rPr>
          <w:rFonts w:hint="eastAsia" w:ascii="仿宋_GB2312" w:hAnsi="仿宋" w:eastAsia="仿宋_GB2312"/>
          <w:spacing w:val="2"/>
          <w:sz w:val="28"/>
          <w:szCs w:val="28"/>
          <w:lang w:val="en-US" w:eastAsia="zh-CN"/>
        </w:rPr>
        <w:t>5</w:t>
      </w:r>
      <w:r>
        <w:rPr>
          <w:rFonts w:hint="eastAsia" w:ascii="仿宋_GB2312" w:hAnsi="仿宋" w:eastAsia="仿宋_GB2312"/>
          <w:spacing w:val="2"/>
          <w:sz w:val="28"/>
          <w:szCs w:val="28"/>
        </w:rPr>
        <w:t>条约定的第三方费用外，甲方无需再向乙方支付任何其他费用。</w:t>
      </w:r>
    </w:p>
    <w:p w14:paraId="3EC6D375">
      <w:pPr>
        <w:spacing w:line="560" w:lineRule="exact"/>
        <w:ind w:right="-149" w:firstLine="568" w:firstLineChars="200"/>
        <w:rPr>
          <w:rFonts w:hint="eastAsia" w:ascii="仿宋_GB2312" w:hAnsi="仿宋" w:eastAsia="仿宋_GB2312"/>
          <w:spacing w:val="2"/>
          <w:sz w:val="28"/>
          <w:szCs w:val="28"/>
          <w:lang w:eastAsia="zh-CN"/>
        </w:rPr>
      </w:pPr>
      <w:r>
        <w:rPr>
          <w:rFonts w:hint="eastAsia" w:ascii="仿宋_GB2312" w:hAnsi="仿宋" w:eastAsia="仿宋_GB2312"/>
          <w:spacing w:val="2"/>
          <w:sz w:val="28"/>
          <w:szCs w:val="28"/>
        </w:rPr>
        <w:t>3.</w:t>
      </w:r>
      <w:r>
        <w:rPr>
          <w:rFonts w:hint="eastAsia" w:ascii="仿宋_GB2312" w:hAnsi="仿宋" w:eastAsia="仿宋_GB2312"/>
          <w:spacing w:val="2"/>
          <w:sz w:val="28"/>
          <w:szCs w:val="28"/>
          <w:lang w:val="en-US" w:eastAsia="zh-CN"/>
        </w:rPr>
        <w:t>2.4</w:t>
      </w:r>
      <w:r>
        <w:rPr>
          <w:rFonts w:hint="eastAsia" w:ascii="仿宋_GB2312" w:hAnsi="仿宋" w:eastAsia="仿宋_GB2312"/>
          <w:spacing w:val="2"/>
          <w:sz w:val="28"/>
          <w:szCs w:val="28"/>
        </w:rPr>
        <w:t>律师代理费以甲乙双方书面确认的结算明细为准，每季度结算一次，经甲乙双方对律师代理费结算明细确认无误，甲方收到乙方提供的足额合法的增值税专用发票（税率为6%）后</w:t>
      </w:r>
      <w:r>
        <w:rPr>
          <w:rFonts w:hint="eastAsia" w:ascii="仿宋_GB2312" w:hAnsi="仿宋" w:eastAsia="仿宋_GB2312"/>
          <w:spacing w:val="2"/>
          <w:sz w:val="28"/>
          <w:szCs w:val="28"/>
          <w:lang w:val="en-US" w:eastAsia="zh-CN"/>
        </w:rPr>
        <w:t>10</w:t>
      </w:r>
      <w:r>
        <w:rPr>
          <w:rFonts w:hint="eastAsia" w:ascii="仿宋_GB2312" w:hAnsi="仿宋" w:eastAsia="仿宋_GB2312"/>
          <w:spacing w:val="2"/>
          <w:sz w:val="28"/>
          <w:szCs w:val="28"/>
        </w:rPr>
        <w:t>个工作日内向乙方付款。</w:t>
      </w:r>
    </w:p>
    <w:p w14:paraId="6EE745F1">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3.</w:t>
      </w:r>
      <w:r>
        <w:rPr>
          <w:rFonts w:hint="eastAsia" w:ascii="仿宋_GB2312" w:hAnsi="仿宋" w:eastAsia="仿宋_GB2312"/>
          <w:spacing w:val="2"/>
          <w:sz w:val="28"/>
          <w:szCs w:val="28"/>
          <w:lang w:val="en-US" w:eastAsia="zh-CN"/>
        </w:rPr>
        <w:t>3</w:t>
      </w:r>
      <w:r>
        <w:rPr>
          <w:rFonts w:hint="eastAsia" w:ascii="仿宋_GB2312" w:hAnsi="仿宋" w:eastAsia="仿宋_GB2312"/>
          <w:spacing w:val="2"/>
          <w:sz w:val="28"/>
          <w:szCs w:val="28"/>
        </w:rPr>
        <w:t>收款账户：</w:t>
      </w:r>
    </w:p>
    <w:p w14:paraId="73CE27FB">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3.3.1甲方指定收款账户（用于接收债务人回款）：</w:t>
      </w:r>
    </w:p>
    <w:p w14:paraId="0E62B502">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开户名：</w:t>
      </w:r>
    </w:p>
    <w:p w14:paraId="18FD0964">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开户行：</w:t>
      </w:r>
    </w:p>
    <w:p w14:paraId="68C033CE">
      <w:pPr>
        <w:spacing w:line="560" w:lineRule="exact"/>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rPr>
        <w:t>账号：</w:t>
      </w:r>
    </w:p>
    <w:p w14:paraId="47D83DD5">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若下属分公司需单独接收对应案件回款，甲方应在《批次起诉指令单》中单独列明对应分公司的收款账户信息。</w:t>
      </w:r>
    </w:p>
    <w:p w14:paraId="53D78ABB">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3.3.2乙方指定收款账户（用于接收律师代理费）：</w:t>
      </w:r>
    </w:p>
    <w:p w14:paraId="45E48E9F">
      <w:pPr>
        <w:spacing w:line="560" w:lineRule="exact"/>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rPr>
        <w:t>开户名：</w:t>
      </w:r>
    </w:p>
    <w:p w14:paraId="483461D8">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开户行：</w:t>
      </w:r>
    </w:p>
    <w:p w14:paraId="7168D06B">
      <w:pPr>
        <w:spacing w:line="560" w:lineRule="exact"/>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rPr>
        <w:t>账号：</w:t>
      </w:r>
    </w:p>
    <w:p w14:paraId="1A3861AD">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任何一方变更收款账户，应提前3个工作日书面通知对方，否则因此产生的付款延迟、款项错付等损失，由账户变更方承担全部责任。</w:t>
      </w:r>
    </w:p>
    <w:p w14:paraId="48F7D413">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3.4发票要求：乙方应向甲方开具符合国家税收法律法规要求的合法有效发票，发票项目为“法律服务费”，发票信息应与本合同约定的乙方主体信息一致。若乙方开具的发票不符合要求，甲方有权拒绝付款，且不承担逾期付款违约责任，乙方应在甲方提出异议后3个工作日内重新开具符合要求的发票。</w:t>
      </w:r>
    </w:p>
    <w:p w14:paraId="577C33D3">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3.5第三方费用：</w:t>
      </w:r>
    </w:p>
    <w:p w14:paraId="1ABEDD8C">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rPr>
        <w:t>3.5.1费用范围：指案件办理过程中产生的、由司法机关、鉴定机构、公证机构等第三方收取的费用，包括但不限于诉讼费、保全费、公告费、鉴定费、评估费、拍卖费等。</w:t>
      </w:r>
    </w:p>
    <w:p w14:paraId="14A4376C">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3.5.2承担方式：该等第三方费用由甲方单独承担，乙方不承担任何第三方费用。</w:t>
      </w:r>
    </w:p>
    <w:p w14:paraId="6F7F61CD">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3.5.3支付流程：乙方应在收到第三方费用缴纳通知后1个自然日内书面通知甲方，甲方应及时支付。若甲方对费用有异议，双方应及时协商，协商期间乙方需按法定时限推进案件，因甲方未按时支付导致的不利后果由甲方自行承担。</w:t>
      </w:r>
    </w:p>
    <w:p w14:paraId="7AFDBDCC">
      <w:pPr>
        <w:spacing w:line="560" w:lineRule="exact"/>
        <w:ind w:firstLine="568" w:firstLineChars="200"/>
        <w:rPr>
          <w:rFonts w:ascii="黑体" w:hAnsi="黑体" w:eastAsia="黑体"/>
          <w:bCs/>
          <w:spacing w:val="2"/>
          <w:sz w:val="28"/>
          <w:szCs w:val="28"/>
          <w:highlight w:val="none"/>
        </w:rPr>
      </w:pPr>
      <w:r>
        <w:rPr>
          <w:rFonts w:hint="eastAsia" w:ascii="黑体" w:hAnsi="黑体" w:eastAsia="黑体"/>
          <w:bCs/>
          <w:spacing w:val="2"/>
          <w:sz w:val="28"/>
          <w:szCs w:val="28"/>
          <w:highlight w:val="none"/>
        </w:rPr>
        <w:t>四、甲方权利和义务</w:t>
      </w:r>
    </w:p>
    <w:p w14:paraId="366C8AE5">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4.1甲方的权利：</w:t>
      </w:r>
    </w:p>
    <w:p w14:paraId="4C3F4E14">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4.1.1有权要求乙方按照本合同约定及甲方指令勤勉尽责地提供</w:t>
      </w:r>
      <w:r>
        <w:rPr>
          <w:rFonts w:hint="eastAsia" w:ascii="仿宋_GB2312" w:hAnsi="仿宋" w:eastAsia="仿宋_GB2312"/>
          <w:spacing w:val="2"/>
          <w:sz w:val="28"/>
          <w:szCs w:val="28"/>
          <w:highlight w:val="none"/>
          <w:lang w:val="en-US" w:eastAsia="zh-CN"/>
        </w:rPr>
        <w:t>全委托</w:t>
      </w:r>
      <w:r>
        <w:rPr>
          <w:rFonts w:hint="eastAsia" w:ascii="仿宋_GB2312" w:hAnsi="仿宋" w:eastAsia="仿宋_GB2312"/>
          <w:spacing w:val="2"/>
          <w:sz w:val="28"/>
          <w:szCs w:val="28"/>
          <w:highlight w:val="none"/>
        </w:rPr>
        <w:t>阶段法律服务，有权全面了解案件进展情况、策略制定及风险状况。</w:t>
      </w:r>
    </w:p>
    <w:p w14:paraId="51747330">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4.1.2有权监督乙方的代理工作，要求乙方定期提交工作进展报告：常规情况下，每30个工作日提交一次书面进展汇总；案件进入关键节点（如立案、保全、庭审、判决、和解、调解等）后，乙方应在24小时内以书面或即时通讯方式（需留存记录）向甲方通报。</w:t>
      </w:r>
    </w:p>
    <w:p w14:paraId="7755F372">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highlight w:val="none"/>
        </w:rPr>
        <w:t>4.1.3有权对乙方提出的诉讼策略、和解方案等进行审核，对不符合甲方利益的方案有权要求乙方调整。</w:t>
      </w:r>
    </w:p>
    <w:p w14:paraId="5C665D67">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4.1.4有权根据实际情况，以书面形式指令乙方暂停、恢复或终止特定案件的代理工作（需明确理由及时间）。</w:t>
      </w:r>
    </w:p>
    <w:p w14:paraId="235D893B">
      <w:pPr>
        <w:spacing w:line="560" w:lineRule="exact"/>
        <w:ind w:right="-149" w:firstLine="568" w:firstLineChars="200"/>
        <w:rPr>
          <w:rFonts w:hint="eastAsia" w:ascii="仿宋_GB2312" w:hAnsi="仿宋" w:eastAsia="仿宋_GB2312"/>
          <w:spacing w:val="2"/>
          <w:sz w:val="28"/>
          <w:szCs w:val="28"/>
        </w:rPr>
      </w:pPr>
      <w:r>
        <w:rPr>
          <w:rFonts w:hint="eastAsia" w:ascii="仿宋_GB2312" w:hAnsi="仿宋" w:eastAsia="仿宋_GB2312"/>
          <w:spacing w:val="2"/>
          <w:sz w:val="28"/>
          <w:szCs w:val="28"/>
        </w:rPr>
        <w:t>4.1.5若乙方存在本合同约定的违约情形，有权依据本合同约定解除合同、要求退还费用并赔偿损失。</w:t>
      </w:r>
    </w:p>
    <w:p w14:paraId="79F6EE44">
      <w:pPr>
        <w:pStyle w:val="2"/>
        <w:ind w:left="0" w:leftChars="0" w:firstLine="560" w:firstLineChars="200"/>
        <w:rPr>
          <w:rFonts w:hint="default" w:eastAsia="仿宋_GB2312"/>
          <w:sz w:val="28"/>
          <w:szCs w:val="28"/>
          <w:highlight w:val="yellow"/>
          <w:lang w:val="en-US" w:eastAsia="zh-CN"/>
        </w:rPr>
      </w:pPr>
      <w:r>
        <w:rPr>
          <w:rFonts w:hint="eastAsia" w:ascii="仿宋_GB2312" w:hAnsi="仿宋_GB2312" w:eastAsia="仿宋_GB2312" w:cs="仿宋_GB2312"/>
          <w:sz w:val="28"/>
          <w:szCs w:val="28"/>
          <w:highlight w:val="none"/>
          <w:lang w:val="en-US" w:eastAsia="zh-CN"/>
        </w:rPr>
        <w:t xml:space="preserve">4.1.6 </w:t>
      </w:r>
      <w:r>
        <w:rPr>
          <w:rFonts w:hint="eastAsia" w:eastAsia="仿宋_GB2312"/>
          <w:sz w:val="28"/>
          <w:szCs w:val="28"/>
          <w:highlight w:val="none"/>
          <w:lang w:val="en-US" w:eastAsia="zh-CN"/>
        </w:rPr>
        <w:t>乙方在接收甲方</w:t>
      </w:r>
      <w:r>
        <w:rPr>
          <w:rFonts w:hint="eastAsia" w:ascii="仿宋_GB2312" w:hAnsi="仿宋" w:eastAsia="仿宋_GB2312"/>
          <w:spacing w:val="2"/>
          <w:sz w:val="28"/>
          <w:szCs w:val="28"/>
          <w:highlight w:val="none"/>
        </w:rPr>
        <w:t>《批次起诉指令单》</w:t>
      </w:r>
      <w:r>
        <w:rPr>
          <w:rFonts w:hint="eastAsia" w:ascii="仿宋_GB2312" w:hAnsi="仿宋" w:eastAsia="仿宋_GB2312"/>
          <w:spacing w:val="2"/>
          <w:sz w:val="28"/>
          <w:szCs w:val="28"/>
          <w:highlight w:val="none"/>
          <w:lang w:val="en-US" w:eastAsia="zh-CN"/>
        </w:rPr>
        <w:t>之日起6个月内，乙方就案件未能完成法院正式立案手续（以法院出具立案受理通知书为准）的案件数量达到50%以上的（含本数），甲方有权单方解除委托代理合同，并不承担任何违约责任。</w:t>
      </w:r>
    </w:p>
    <w:p w14:paraId="2A55C1FD">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4.2甲方的义务：</w:t>
      </w:r>
    </w:p>
    <w:p w14:paraId="320E3667">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4.2.1向乙方提供真实、完整、有效的案件资料及信息，包括但不限于甲方及下属分公司的主体资格证明、应收账款对应的合同、对账单、送货单、债务人主体信息、联系方式、财产线索等，并对所提供资料的真实性、合法性、完整性承担全部责任。若甲方隐瞒关键信息、提供虚假资料导致案件败诉或债权无法实现，由甲方自行承担全部损失，乙方已收代理费不予退还。</w:t>
      </w:r>
    </w:p>
    <w:p w14:paraId="24F30F0F">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4.2.2及时向乙方出具符合法律规定的《授权委托书》及其他必要的授权文件，配合乙方办理案件相关手续（如提供营业执照复印件、法定代表人身份证明等）。若案件所属主体为下属分公司，甲方应协调下属分公司提供必要的配合。</w:t>
      </w:r>
    </w:p>
    <w:p w14:paraId="2343E706">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4.2.3按本合同约定的期限和金额支付律师代理费及第三方费用，不得无故拖延。</w:t>
      </w:r>
    </w:p>
    <w:p w14:paraId="21E01F66">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4.2.4配合乙方开展案件调查、取证等工作，对乙方提出的合理协助要求（如补充资料、协助联系证人等），应在3个工作日内予以回应和配合；若需要下属分公司配合的，甲方应负责协调落实。</w:t>
      </w:r>
    </w:p>
    <w:p w14:paraId="7F8AA11A">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4.2.5若甲方或下属分公司的名称、地址、联系方式等信息发生变更，应在变更后3个工作日内书面通知乙方，否则因此产生的法律文书送达不到、信息沟通不畅等后果，由甲方承担。</w:t>
      </w:r>
    </w:p>
    <w:p w14:paraId="2CE13A81">
      <w:pPr>
        <w:spacing w:line="560" w:lineRule="exact"/>
        <w:ind w:firstLine="568" w:firstLineChars="200"/>
        <w:rPr>
          <w:rFonts w:ascii="黑体" w:hAnsi="黑体" w:eastAsia="黑体"/>
          <w:bCs/>
          <w:spacing w:val="2"/>
          <w:sz w:val="28"/>
          <w:szCs w:val="28"/>
        </w:rPr>
      </w:pPr>
      <w:r>
        <w:rPr>
          <w:rFonts w:hint="eastAsia" w:ascii="黑体" w:hAnsi="黑体" w:eastAsia="黑体"/>
          <w:bCs/>
          <w:spacing w:val="2"/>
          <w:sz w:val="28"/>
          <w:szCs w:val="28"/>
        </w:rPr>
        <w:t>五、乙方权利义务</w:t>
      </w:r>
    </w:p>
    <w:p w14:paraId="04952B9C">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5.1乙方的权利：</w:t>
      </w:r>
    </w:p>
    <w:p w14:paraId="4EE5CB74">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5.1.1有权按本合同约定收取律师代理费。</w:t>
      </w:r>
    </w:p>
    <w:p w14:paraId="5E16E6FA">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rPr>
        <w:t>5.1.2有权要求甲方提</w:t>
      </w:r>
      <w:r>
        <w:rPr>
          <w:rFonts w:hint="eastAsia" w:ascii="仿宋_GB2312" w:hAnsi="仿宋" w:eastAsia="仿宋_GB2312"/>
          <w:spacing w:val="2"/>
          <w:sz w:val="28"/>
          <w:szCs w:val="28"/>
          <w:highlight w:val="none"/>
        </w:rPr>
        <w:t>供必要的资料、文件和协助，若甲方无正当理由拒绝配合导致案件无法推进，乙方有权暂停工作，由此产生的损失由甲方承担。</w:t>
      </w:r>
    </w:p>
    <w:p w14:paraId="7FD47EC2">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highlight w:val="none"/>
        </w:rPr>
        <w:t>5.1.3若甲方未按约定支付代理费或第三方费用，经乙方书面催告后仍未支付的，乙方有权暂停案件代理工作，暂停期间不承担任何违约责任；逾期超过</w:t>
      </w:r>
      <w:r>
        <w:rPr>
          <w:rFonts w:hint="eastAsia" w:ascii="仿宋_GB2312" w:hAnsi="仿宋" w:eastAsia="仿宋_GB2312"/>
          <w:spacing w:val="2"/>
          <w:sz w:val="28"/>
          <w:szCs w:val="28"/>
          <w:highlight w:val="none"/>
          <w:lang w:val="en-US" w:eastAsia="zh-CN"/>
        </w:rPr>
        <w:t>20</w:t>
      </w:r>
      <w:r>
        <w:rPr>
          <w:rFonts w:hint="eastAsia" w:ascii="仿宋_GB2312" w:hAnsi="仿宋" w:eastAsia="仿宋_GB2312"/>
          <w:spacing w:val="2"/>
          <w:sz w:val="28"/>
          <w:szCs w:val="28"/>
          <w:highlight w:val="none"/>
        </w:rPr>
        <w:t>个工作日的，乙方有权单方解除本合同或终止</w:t>
      </w:r>
      <w:r>
        <w:rPr>
          <w:rFonts w:hint="eastAsia" w:ascii="仿宋_GB2312" w:hAnsi="仿宋" w:eastAsia="仿宋_GB2312"/>
          <w:spacing w:val="2"/>
          <w:sz w:val="28"/>
          <w:szCs w:val="28"/>
        </w:rPr>
        <w:t>对应案件的委托。</w:t>
      </w:r>
    </w:p>
    <w:p w14:paraId="79BF98E7">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5.2乙方的义务：</w:t>
      </w:r>
    </w:p>
    <w:p w14:paraId="1B7B82DF">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5.2.1组建专项服务团队：乙方应指定</w:t>
      </w:r>
      <w:r>
        <w:rPr>
          <w:rFonts w:hint="eastAsia" w:ascii="仿宋_GB2312" w:hAnsi="仿宋" w:eastAsia="仿宋_GB2312"/>
          <w:spacing w:val="2"/>
          <w:sz w:val="28"/>
          <w:szCs w:val="28"/>
          <w:lang w:val="en-US" w:eastAsia="zh-CN"/>
        </w:rPr>
        <w:t xml:space="preserve">   </w:t>
      </w:r>
      <w:r>
        <w:rPr>
          <w:rFonts w:hint="eastAsia" w:ascii="仿宋_GB2312" w:hAnsi="仿宋" w:eastAsia="仿宋_GB2312"/>
          <w:spacing w:val="2"/>
          <w:sz w:val="28"/>
          <w:szCs w:val="28"/>
        </w:rPr>
        <w:t>名主办律师（）和</w:t>
      </w:r>
      <w:r>
        <w:rPr>
          <w:rFonts w:hint="eastAsia" w:ascii="仿宋_GB2312" w:hAnsi="仿宋" w:eastAsia="仿宋_GB2312"/>
          <w:spacing w:val="2"/>
          <w:sz w:val="28"/>
          <w:szCs w:val="28"/>
          <w:lang w:val="en-US" w:eastAsia="zh-CN"/>
        </w:rPr>
        <w:t xml:space="preserve">   </w:t>
      </w:r>
      <w:r>
        <w:rPr>
          <w:rFonts w:hint="eastAsia" w:ascii="仿宋_GB2312" w:hAnsi="仿宋" w:eastAsia="仿宋_GB2312"/>
          <w:spacing w:val="2"/>
          <w:sz w:val="28"/>
          <w:szCs w:val="28"/>
        </w:rPr>
        <w:t>名协办人员组成专项服务团队，负责本合同项下的全部代理工作。主办律师应具备</w:t>
      </w:r>
      <w:r>
        <w:rPr>
          <w:rFonts w:hint="eastAsia" w:ascii="仿宋_GB2312" w:hAnsi="仿宋" w:eastAsia="仿宋_GB2312"/>
          <w:spacing w:val="2"/>
          <w:sz w:val="28"/>
          <w:szCs w:val="28"/>
          <w:u w:val="single"/>
        </w:rPr>
        <w:t>5</w:t>
      </w:r>
      <w:r>
        <w:rPr>
          <w:rFonts w:hint="eastAsia" w:ascii="仿宋_GB2312" w:hAnsi="仿宋" w:eastAsia="仿宋_GB2312"/>
          <w:spacing w:val="2"/>
          <w:sz w:val="28"/>
          <w:szCs w:val="28"/>
        </w:rPr>
        <w:t>年以上民商事诉讼或应收账款清收相关法律服务经验，无重大违法违规执业记录。未经甲方书面同意，乙方不得擅自更换主办律师；若因主办律师离职、健康等客观原因确需更换的，乙方应提前5个工作日向甲方提交新主办律师的资质证明材料，新主办律师的资质不得低于原主办律师，且需经甲方书面确认后方可更换。</w:t>
      </w:r>
    </w:p>
    <w:p w14:paraId="782ED59E">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5.2.2勤勉尽责履行代理义务：乙方应严格遵守法律法规及律师执业道德规范，结合每批次案件的实际情况制定合理的清收策略，高效推进一审阶段案件办理，最大限度维护甲方及下属分公司的债权权益。乙方不得怠于履行代理义务，不得擅自放弃或损害甲方及下属分公司的合法权利。</w:t>
      </w:r>
    </w:p>
    <w:p w14:paraId="4A83ADFF">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5.2.3及时报告案件情况：乙方应建立案件进展台账，对每批次案件的立案、庭审、判决、和解、调解、回款等关键节点信息进行详细记录，并按本合同4.1.2条约定向甲方报告。若案件出现重大风险（如诉讼时效即将届满、债务人转移财产、管辖法院异议成立等），乙方应在发现风险后24小时内书面通知甲方，并提交风险应对方案。</w:t>
      </w:r>
    </w:p>
    <w:p w14:paraId="2EE84958">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5.2.4严格遵守保密义务：乙方对在代理过程中知悉的甲方及下属分公司的商业秘密、债权信息、财务数据、案件材料等一切未公开信息，负有永久保密义务，无论本合同是否履行完毕。乙方不得向任何第三方泄露（法律法规要求披露或甲方书面同意披露的除外），不得利用该等信息为自身或第三方谋取利益。</w:t>
      </w:r>
    </w:p>
    <w:p w14:paraId="57611F05">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5.2.5提交结案资料：单个案件达到本合同1.5条约定的“案件终结标准”后10个工作日内，乙方应向甲方提交《单个案件结案报告》，内容包括但不限于案件基本情况（含所属主体）、办理过程、法律文书摘要、回款明细、费用结算情况、案件总结及后续建议等，并附全部相关法律文书复印件（需加盖乙方公章确认与原件一致）。每批次案件全部终结后，乙方应向甲方提交该批次案件的汇总结案报告。</w:t>
      </w:r>
    </w:p>
    <w:p w14:paraId="53140E16">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5.2.6规范管理案件资料：乙方应妥善保管甲方提供的债权凭证、合同等资料，建立专门的资料档案。案件终结后，除乙方需留存的归档资料外，应将全部原件资料返还甲方，并办理资料返还交接手续，由双方签字确认。</w:t>
      </w:r>
    </w:p>
    <w:p w14:paraId="50ABCE55">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5.2.7不得从事损害甲方利益的行为：乙方不得与债务人恶意串通，不得利用代理身份谋取不正当利益，不得擅自将本合同项下的代理业务转委托给第三方。</w:t>
      </w:r>
    </w:p>
    <w:p w14:paraId="4FA321B5">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5.2.8区分案件主体：乙方在代理过程中，应严格区分案件所属主体（甲方或下属分公司），确保法律文书的出具、权利主张等工作均以对应主体名义开展，避免出现主体混淆导致的法律风险。</w:t>
      </w:r>
    </w:p>
    <w:p w14:paraId="03AFF60E">
      <w:pPr>
        <w:spacing w:line="560" w:lineRule="exact"/>
        <w:ind w:firstLine="568" w:firstLineChars="200"/>
        <w:rPr>
          <w:rFonts w:ascii="黑体" w:hAnsi="黑体" w:eastAsia="黑体"/>
          <w:bCs/>
          <w:spacing w:val="2"/>
          <w:sz w:val="28"/>
          <w:szCs w:val="28"/>
        </w:rPr>
      </w:pPr>
      <w:r>
        <w:rPr>
          <w:rFonts w:hint="eastAsia" w:ascii="黑体" w:hAnsi="黑体" w:eastAsia="黑体"/>
          <w:bCs/>
          <w:spacing w:val="2"/>
          <w:sz w:val="28"/>
          <w:szCs w:val="28"/>
        </w:rPr>
        <w:t>六、违约责任</w:t>
      </w:r>
    </w:p>
    <w:p w14:paraId="3944B5BE">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6.1甲方违约责任：</w:t>
      </w:r>
    </w:p>
    <w:p w14:paraId="1DEE64F3">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6.1.1逾期支付代理费：甲方未按本合同3.2.3条约定支付律师代理费的，每逾期一日，应按应付未付金额的0.01%向乙方支付违约金；逾期超过60个工作日的，乙方有权单方解除本合同，并要求甲方支付全部未付代理费及违约金，同时甲方应承担乙方为追索费用产生的律师费、诉讼费等全部损失。</w:t>
      </w:r>
    </w:p>
    <w:p w14:paraId="68839AB9">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6.1.2提供虚假资料或隐瞒信息：因甲方提供的资料虚假、不完整或隐瞒关键信息（如债务已部分清偿、诉讼时效中断证据缺失等），导致案件败诉、债权无法实现或产生其他不利后果的，乙方已收取的代理费不予退还，甲方还应自行承担第三方费用及因此给乙方造成的损失。</w:t>
      </w:r>
    </w:p>
    <w:p w14:paraId="1E254644">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6.1.3未配合乙方工作：甲方无正当理由拒绝配合乙方办理案件相关手续、补充资料，或未协调下属分公司配合工作，导致案件延误或无法推进的，应承担由此产生的全部损</w:t>
      </w:r>
      <w:r>
        <w:rPr>
          <w:rFonts w:hint="eastAsia" w:ascii="仿宋_GB2312" w:hAnsi="仿宋" w:eastAsia="仿宋_GB2312"/>
          <w:spacing w:val="2"/>
          <w:sz w:val="28"/>
          <w:szCs w:val="28"/>
          <w:highlight w:val="none"/>
        </w:rPr>
        <w:t>失，乙方有权暂停工作或终止委托，已收</w:t>
      </w:r>
      <w:r>
        <w:rPr>
          <w:rFonts w:hint="eastAsia" w:ascii="仿宋_GB2312" w:hAnsi="仿宋" w:eastAsia="仿宋_GB2312"/>
          <w:spacing w:val="2"/>
          <w:sz w:val="28"/>
          <w:szCs w:val="28"/>
        </w:rPr>
        <w:t>代理费不予退还。</w:t>
      </w:r>
    </w:p>
    <w:p w14:paraId="5BA5C2A2">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6.2乙方违约责任：</w:t>
      </w:r>
    </w:p>
    <w:p w14:paraId="27461FDD">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6.2.1擅自启动或变更代理范围：乙方违反本合同1.3条约定，在无甲方书面指令的情况下擅自启动案件，或超出附件一及《批次起诉指令单》载明的范围开展代理工作的，应立即停止违约行为，向甲方书面道歉，并退还对应案件的律师代理费；若给甲方造成损失（如债权无法实现、产生额外费用等），应赔偿甲方的全部直接损失和间接损失（间接损失包括但不限于债权本金、利息、违约金等）。</w:t>
      </w:r>
    </w:p>
    <w:p w14:paraId="67EBD7EA">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6.2.2因故意或重大过失导致甲方损失：乙方在代理过程中存在故意（如与债务人串通）或重大过失（如错过诉讼时效、未及时申请保全导致债务人转移财产、丢失关键证据、未按法定程序推进案件等），导致甲方或下属分公司债权无法实现或部分无法实现的，应退还已收取的对应案件的全部代理费，并赔偿甲方因此遭受的损失（赔偿金额以无法实现的债权金额为限）；情节严重的，甲方有权单方解除本合同，并要求乙方承担全部违约责任。</w:t>
      </w:r>
    </w:p>
    <w:p w14:paraId="429705B5">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6.2.3擅自更换主办律师：乙方违反本合同5.2.1条约定，未经甲方同意擅自更换主办律师，或更换后的主办律师资质不符合要求的，应向甲方支付违约金人民币1万元；若因此给案件办理造成不利影响或甲方损失的，乙方还应赔偿甲方损失。</w:t>
      </w:r>
    </w:p>
    <w:p w14:paraId="7D9AC826">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6.2.4违反保密义务：乙方违反本合同5.2.4条约定，泄露甲方或下属分公司商业秘密或案件信息，给甲方造成损失的，应赔偿甲方的全部损失（包括但不限于直接经济损失、名誉损失、维权</w:t>
      </w:r>
      <w:r>
        <w:rPr>
          <w:rFonts w:hint="eastAsia" w:ascii="仿宋_GB2312" w:hAnsi="仿宋" w:eastAsia="仿宋_GB2312"/>
          <w:spacing w:val="2"/>
          <w:sz w:val="28"/>
          <w:szCs w:val="28"/>
          <w:lang w:val="en-US" w:eastAsia="zh-CN"/>
        </w:rPr>
        <w:t>产生的律师费、诉讼费、保全保险等</w:t>
      </w:r>
      <w:r>
        <w:rPr>
          <w:rFonts w:hint="eastAsia" w:ascii="仿宋_GB2312" w:hAnsi="仿宋" w:eastAsia="仿宋_GB2312"/>
          <w:spacing w:val="2"/>
          <w:sz w:val="28"/>
          <w:szCs w:val="28"/>
        </w:rPr>
        <w:t>费用）；情节严重的，甲方有权单方解除本合同。</w:t>
      </w:r>
    </w:p>
    <w:p w14:paraId="2DAD6227">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6.2.5未及时报告案件情况：乙方未按本合同约定及时向甲方报告案件进展或重大风险，导致甲方错过最佳应对时机、产生损失的，应承担对应损失的赔偿责任；若累计出现3次以上未及时报告情形，甲方有权单方解除本合同，并要求乙方退还部分或全部已收代理费。</w:t>
      </w:r>
    </w:p>
    <w:p w14:paraId="0430C01F">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6.2.6怠于履行代理义务：乙方无正当理由怠于推进案件办理（如超过合理期限未完成立案、未按法院要求提交证据等），经甲方书面催告后5个工作日内仍未纠正的，甲方有权单方解除本合同，乙方应退还已收取的对应案件的基础代理费。</w:t>
      </w:r>
    </w:p>
    <w:p w14:paraId="14A75A14">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6.2.7主体混淆导致损失：乙方因工作失误导致案件所属主体混淆，给甲方或下属分公司造成损失的，应承担全部赔偿责任，甲方有权要求乙方退还对应案件的代理费。</w:t>
      </w:r>
    </w:p>
    <w:p w14:paraId="4C0ACD33">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6.3责任叠加：一方的违约行为同时触发本合同多项违约条款的，另一方有权选择适用最有利的条款主张权利，或要求违约方同时承担多项违约责任，但累计赔偿金额不得超过对应案件债权总额的30%（故意违约导致甲方全部债权无法实现的除外）。</w:t>
      </w:r>
    </w:p>
    <w:p w14:paraId="1B6D02A8">
      <w:pPr>
        <w:spacing w:line="560" w:lineRule="exact"/>
        <w:ind w:firstLine="568" w:firstLineChars="200"/>
        <w:rPr>
          <w:rFonts w:ascii="黑体" w:hAnsi="黑体" w:eastAsia="黑体"/>
          <w:bCs/>
          <w:spacing w:val="2"/>
          <w:sz w:val="28"/>
          <w:szCs w:val="28"/>
        </w:rPr>
      </w:pPr>
      <w:r>
        <w:rPr>
          <w:rFonts w:hint="eastAsia" w:ascii="黑体" w:hAnsi="黑体" w:eastAsia="黑体"/>
          <w:bCs/>
          <w:spacing w:val="2"/>
          <w:sz w:val="28"/>
          <w:szCs w:val="28"/>
        </w:rPr>
        <w:t>七、合同的变更、解除与终止</w:t>
      </w:r>
    </w:p>
    <w:p w14:paraId="5F064714">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7.1合同变更：本合同的任何修改、补充，均需双方协商一致后签订书面补充协议，补充协议与本合同具有同等法律效力。补充协议内容与本合同正文约定不一致的，以补充协议为准。</w:t>
      </w:r>
    </w:p>
    <w:p w14:paraId="5CCA16C1">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7.2合同解除：</w:t>
      </w:r>
    </w:p>
    <w:p w14:paraId="60BD348B">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7.2.1协商解除：双方协商一致，可以书面形式解除本合同。</w:t>
      </w:r>
    </w:p>
    <w:p w14:paraId="26F60D12">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7.2.2单方解除：出现下列情形之一的，一方有权单方解除本合同，并书面通知对方：</w:t>
      </w:r>
    </w:p>
    <w:p w14:paraId="1298940B">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（1）甲方逾期支付律师代理费超过60个工作日，经乙方催告后仍未支付的；</w:t>
      </w:r>
    </w:p>
    <w:p w14:paraId="271FD917">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（2）甲方提供虚假资料或隐瞒关键信息，导致案件无法推进或乙方无法履行代理义务的；</w:t>
      </w:r>
    </w:p>
    <w:p w14:paraId="53BB8C55">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（3）乙方存在本合同6.2.2条、6.2.4条约定的严重违约情形，给甲方造成重大损失的；</w:t>
      </w:r>
    </w:p>
    <w:p w14:paraId="466C6615">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（4）乙方未经甲方同意擅自更换主办律师，且未在甲方要求的期限内纠正的；</w:t>
      </w:r>
    </w:p>
    <w:p w14:paraId="09631C93">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（5）乙方在收到甲方《批次起诉指令单》后1年内未就该批次案件的60%正式立案的；</w:t>
      </w:r>
    </w:p>
    <w:p w14:paraId="1391696C">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（6）因不可抗力导致本合同无法继续履行的。</w:t>
      </w:r>
    </w:p>
    <w:p w14:paraId="5BA92D89">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7.2.3解除后果：本合同解除后，双方应停止履行未完成的义务；乙方应在解除通知送达后10个工作日内，向甲方移交已办理案件的全部资料、工作台账及进展情况；甲方应按本合同约定结算已完成工作对应的律师代理费。因一方违约导致合同解除的，违约方还应承担本合同约定的违约责任。</w:t>
      </w:r>
    </w:p>
    <w:p w14:paraId="308AB289">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7.3合同终止：出现下列情形之一的，本合同自动终止：</w:t>
      </w:r>
    </w:p>
    <w:p w14:paraId="74D37A39">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7.3.1附件一《应收账款清收案件明细表》中载明的全部案件均达到本合同1.5条约定的“案件终结标准”，且双方已完成全部费用结算；</w:t>
      </w:r>
    </w:p>
    <w:p w14:paraId="6A05599A">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7.3.2双方协商一致解除本合同，并已履行完毕全部善后事宜；</w:t>
      </w:r>
    </w:p>
    <w:p w14:paraId="4B452D60">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7.3.3因法律法规调整或司法机关生效裁判导致本合同项下委托事项无法实现的。</w:t>
      </w:r>
    </w:p>
    <w:p w14:paraId="16071808">
      <w:pPr>
        <w:spacing w:line="560" w:lineRule="exact"/>
        <w:ind w:firstLine="568" w:firstLineChars="200"/>
        <w:rPr>
          <w:rFonts w:ascii="黑体" w:hAnsi="黑体" w:eastAsia="黑体"/>
          <w:bCs/>
          <w:spacing w:val="2"/>
          <w:sz w:val="28"/>
          <w:szCs w:val="28"/>
        </w:rPr>
      </w:pPr>
      <w:r>
        <w:rPr>
          <w:rFonts w:hint="eastAsia" w:ascii="黑体" w:hAnsi="黑体" w:eastAsia="黑体"/>
          <w:bCs/>
          <w:spacing w:val="2"/>
          <w:sz w:val="28"/>
          <w:szCs w:val="28"/>
        </w:rPr>
        <w:t>八、反商业贿赂条款</w:t>
      </w:r>
    </w:p>
    <w:p w14:paraId="086FC429">
      <w:pPr>
        <w:spacing w:line="560" w:lineRule="exact"/>
        <w:ind w:right="-149" w:firstLine="568" w:firstLineChars="200"/>
        <w:rPr>
          <w:rFonts w:hint="eastAsia" w:ascii="仿宋_GB2312" w:hAnsi="仿宋" w:eastAsia="仿宋_GB2312"/>
          <w:spacing w:val="2"/>
          <w:sz w:val="28"/>
          <w:szCs w:val="28"/>
          <w:lang w:eastAsia="zh-CN"/>
        </w:rPr>
      </w:pPr>
      <w:r>
        <w:rPr>
          <w:rFonts w:hint="eastAsia" w:ascii="仿宋_GB2312" w:hAnsi="仿宋" w:eastAsia="仿宋_GB2312"/>
          <w:spacing w:val="2"/>
          <w:sz w:val="28"/>
          <w:szCs w:val="28"/>
        </w:rPr>
        <w:t>8.1基本定义</w:t>
      </w:r>
    </w:p>
    <w:p w14:paraId="33C44CCE">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8.1.1本条（合同）所指的商业贿赂是指：乙方为获取与甲方（含甲方关联公司及机构，下文中“甲方”均指此范围）的合作及合作的利益，乙方或乙方工作人员给予甲方工作人员或其指定关系人的一切直接或间接的不正当利益。</w:t>
      </w:r>
    </w:p>
    <w:p w14:paraId="25C85A6B">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8.1.2其中不正当利益是指：乙方或乙方工作人员以乙方或个人名义向甲方工作人员或其指定关系人直接或间接赠送礼金、物品、有价证券或采取其他变相手段提供不正当利益，包括但不限于：</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1</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促销费、宣传费、赞助费、科研费、劳务费、咨询费、佣金或报销各种费用、含有金额的会员卡、代币卡（券）、旅游、考察、房屋装修等；</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2</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借款、融资担保、商品赊销、回扣、购物折扣、置业、礼品（如纪念品、节日礼品等）、馈赠、娱乐、招待等；</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3</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提供或介绍就业、就学、参股或参与经营机会等；</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4</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通过分包、转包等形式对甲方工作人员或其指定关系人进行利益输送。</w:t>
      </w:r>
    </w:p>
    <w:p w14:paraId="34E5ACEE">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8.2协助义务与违约责任</w:t>
      </w:r>
    </w:p>
    <w:p w14:paraId="32D0CA2E">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8.2.1乙方理解并同意，甲方任何工作人员、部门不得以任何名义向乙方或乙方工作人员索取或收受商业贿赂；乙方或乙方工作人员不得以任何名义向甲方工作人员或其指定关系人进行商业贿赂。若甲方工作人员要求乙方或乙方工作人员给予任何形式的商业贿赂，乙方必须拒绝，并及时通过电话或邮件形式向深圳第一亚太物业管理有限公司进行投诉举报，监督电话：4007891668；监督邮箱：</w:t>
      </w:r>
      <w:r>
        <w:fldChar w:fldCharType="begin"/>
      </w:r>
      <w:r>
        <w:instrText xml:space="preserve"> HYPERLINK "mailto:ytzbzhglb@csc-sz.com" </w:instrText>
      </w:r>
      <w:r>
        <w:fldChar w:fldCharType="separate"/>
      </w:r>
      <w:r>
        <w:rPr>
          <w:rFonts w:hint="eastAsia" w:ascii="仿宋_GB2312" w:hAnsi="仿宋" w:eastAsia="仿宋_GB2312"/>
          <w:spacing w:val="2"/>
          <w:sz w:val="28"/>
          <w:szCs w:val="28"/>
        </w:rPr>
        <w:t>ytzbzhglb@csc-sz.com</w:t>
      </w:r>
      <w:r>
        <w:rPr>
          <w:rFonts w:hint="eastAsia" w:ascii="仿宋_GB2312" w:hAnsi="仿宋" w:eastAsia="仿宋_GB2312"/>
          <w:spacing w:val="2"/>
          <w:sz w:val="28"/>
          <w:szCs w:val="28"/>
        </w:rPr>
        <w:fldChar w:fldCharType="end"/>
      </w:r>
      <w:r>
        <w:rPr>
          <w:rFonts w:hint="eastAsia" w:ascii="仿宋_GB2312" w:hAnsi="仿宋" w:eastAsia="仿宋_GB2312"/>
          <w:spacing w:val="2"/>
          <w:sz w:val="28"/>
          <w:szCs w:val="28"/>
        </w:rPr>
        <w:t>。</w:t>
      </w:r>
    </w:p>
    <w:p w14:paraId="5B41E092">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8.2.2乙方理解并同意，如违反约定向甲方工作人员或其指定关系人提供商业贿赂的，将构成乙方根本违约，无论是否造成损害结果，甲方有权采取下列一项或多项措施：</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1</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解除双方签订的合同，终止合作；</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2</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冻结应付款项、履约保证金等直至甲方相关案件调查结束，且无需承担任何违约责任；</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3</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rPr>
        <w:t>要求乙方向甲方支付10万元违约金或者支付所涉合同金额的20%作为违约金，以两者中较高者为准。同时，乙方应于甲方发现违约行为之日起5个工作日内支付违约金，如未及时支付，甲方有权从合同款项中直接扣除。</w:t>
      </w:r>
    </w:p>
    <w:p w14:paraId="41C94359">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8.2.3对于乙方，无论是主动还是被动向甲方工作人员或其指定关系人提供商业贿赂的，如果主动向甲方进行投诉举报、提供有效证据或信息、协助甲方追究相关人员责任并挽回经济损失的，甲方将根据实际情形进行考量给予乙方继续合作的机会和/或减免上述违约责任，对于上述情形的处理甲方有完全的判断权和自主权。</w:t>
      </w:r>
    </w:p>
    <w:p w14:paraId="179AD88B">
      <w:pPr>
        <w:spacing w:line="560" w:lineRule="exact"/>
        <w:ind w:firstLine="568" w:firstLineChars="200"/>
        <w:rPr>
          <w:rFonts w:ascii="黑体" w:hAnsi="黑体" w:eastAsia="黑体"/>
          <w:bCs/>
          <w:spacing w:val="2"/>
          <w:sz w:val="28"/>
          <w:szCs w:val="28"/>
        </w:rPr>
      </w:pPr>
      <w:r>
        <w:rPr>
          <w:rFonts w:hint="eastAsia" w:ascii="黑体" w:hAnsi="黑体" w:eastAsia="黑体"/>
          <w:bCs/>
          <w:spacing w:val="2"/>
          <w:sz w:val="28"/>
          <w:szCs w:val="28"/>
        </w:rPr>
        <w:t>九、利益冲突条款</w:t>
      </w:r>
    </w:p>
    <w:p w14:paraId="5273AA1E">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9.1乙方承诺，在接受本合同委托前，已对本合同项下全部代理案件进行利益冲突核查，确认乙方及乙方执业律师、其他工作人员与本合同所涉债务人、担保人等相关主体不存在任何可能影响公正代理的利益关系，包括但不限于委托代理关系、亲属关系、投资关系、雇佣关系或其他足以影响代理公正性的关联关系。</w:t>
      </w:r>
    </w:p>
    <w:p w14:paraId="629B26DC">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9.2若乙方在合同履行过程中发现存在或可能产生利益冲突的，应立即停止相关案件的代理工作，并在发现之日起3个工作日内书面通知甲方，详细说明利益冲突的具体情形、涉及案件及可能产生的影响。乙方不得在未告知甲方并取得甲方书面同意的情况下，继续推进相关案件代理工作。</w:t>
      </w:r>
    </w:p>
    <w:p w14:paraId="5740C6C4">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9.3如因乙方未履行利益冲突核查义务，或发现利益冲突后未及时通知甲方并继续代理，导致甲方或下属分公司利益受损的，乙方应退还已收取的对应案件的全部代理费，并赔偿甲方因此遭受的直接损失和间接损失（包括但不限于无法实现的债权金额、利息、违约金、甲方为维权支出的律师费、诉讼费</w:t>
      </w:r>
      <w:r>
        <w:rPr>
          <w:rFonts w:hint="eastAsia" w:ascii="仿宋_GB2312" w:hAnsi="仿宋" w:eastAsia="仿宋_GB2312"/>
          <w:spacing w:val="2"/>
          <w:sz w:val="28"/>
          <w:szCs w:val="28"/>
          <w:lang w:eastAsia="zh-CN"/>
        </w:rPr>
        <w:t>、</w:t>
      </w:r>
      <w:r>
        <w:rPr>
          <w:rFonts w:hint="eastAsia" w:ascii="仿宋_GB2312" w:hAnsi="仿宋" w:eastAsia="仿宋_GB2312"/>
          <w:spacing w:val="2"/>
          <w:sz w:val="28"/>
          <w:szCs w:val="28"/>
          <w:lang w:val="en-US" w:eastAsia="zh-CN"/>
        </w:rPr>
        <w:t>保全保险费</w:t>
      </w:r>
      <w:r>
        <w:rPr>
          <w:rFonts w:hint="eastAsia" w:ascii="仿宋_GB2312" w:hAnsi="仿宋" w:eastAsia="仿宋_GB2312"/>
          <w:spacing w:val="2"/>
          <w:sz w:val="28"/>
          <w:szCs w:val="28"/>
        </w:rPr>
        <w:t>等）；甲方有权单方解除本合同或终止对应案件的委托。</w:t>
      </w:r>
    </w:p>
    <w:p w14:paraId="745F04A1">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9.4甲方应积极配合乙方的利益冲突核查工作，应乙方要求如实提供案件相关主体的详细信息。若甲方隐瞒相关信息导致乙方产生利益冲突并遭受损失的，甲方应赔偿乙方的实际损失。</w:t>
      </w:r>
    </w:p>
    <w:p w14:paraId="0BA5B9DD">
      <w:pPr>
        <w:spacing w:line="560" w:lineRule="exact"/>
        <w:ind w:firstLine="568" w:firstLineChars="200"/>
        <w:rPr>
          <w:rFonts w:ascii="黑体" w:hAnsi="黑体" w:eastAsia="黑体"/>
          <w:bCs/>
          <w:spacing w:val="2"/>
          <w:sz w:val="28"/>
          <w:szCs w:val="28"/>
        </w:rPr>
      </w:pPr>
      <w:r>
        <w:rPr>
          <w:rFonts w:hint="eastAsia" w:ascii="黑体" w:hAnsi="黑体" w:eastAsia="黑体"/>
          <w:bCs/>
          <w:spacing w:val="2"/>
          <w:sz w:val="28"/>
          <w:szCs w:val="28"/>
        </w:rPr>
        <w:t>十、争议解决</w:t>
      </w:r>
    </w:p>
    <w:p w14:paraId="1F7BE53B">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因本合同引起的或与本合同有关的任何争议（包括但不限于合同效力、履行、违约责任、费用结算等），双方应首先通过友好协商解决；协商不成的，任何一方均有权向甲方住所地有管辖权的人民法院提起诉讼。</w:t>
      </w:r>
    </w:p>
    <w:p w14:paraId="5C78E3FC">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注：本合同所称“甲方住所地”，若甲方为法人或其他组织，指甲方注册登记地；若甲方注册登记地与主要经营地不一致，以主要经营地为准。</w:t>
      </w:r>
    </w:p>
    <w:p w14:paraId="5F548CBF">
      <w:pPr>
        <w:spacing w:line="560" w:lineRule="exact"/>
        <w:ind w:firstLine="568" w:firstLineChars="200"/>
        <w:rPr>
          <w:rFonts w:ascii="黑体" w:hAnsi="黑体" w:eastAsia="黑体"/>
          <w:bCs/>
          <w:spacing w:val="2"/>
          <w:sz w:val="28"/>
          <w:szCs w:val="28"/>
        </w:rPr>
      </w:pPr>
      <w:r>
        <w:rPr>
          <w:rFonts w:hint="eastAsia" w:ascii="黑体" w:hAnsi="黑体" w:eastAsia="黑体"/>
          <w:bCs/>
          <w:spacing w:val="2"/>
          <w:sz w:val="28"/>
          <w:szCs w:val="28"/>
        </w:rPr>
        <w:t>十一、其他</w:t>
      </w:r>
    </w:p>
    <w:p w14:paraId="753A184F">
      <w:pPr>
        <w:spacing w:line="560" w:lineRule="exact"/>
        <w:ind w:right="-149" w:firstLine="568" w:firstLineChars="200"/>
        <w:rPr>
          <w:rFonts w:ascii="仿宋_GB2312" w:hAnsi="仿宋" w:eastAsia="仿宋_GB2312"/>
          <w:spacing w:val="2"/>
          <w:sz w:val="28"/>
          <w:szCs w:val="28"/>
          <w:highlight w:val="none"/>
        </w:rPr>
      </w:pPr>
      <w:r>
        <w:rPr>
          <w:rFonts w:hint="eastAsia" w:ascii="仿宋_GB2312" w:hAnsi="仿宋" w:eastAsia="仿宋_GB2312"/>
          <w:spacing w:val="2"/>
          <w:sz w:val="28"/>
          <w:szCs w:val="28"/>
        </w:rPr>
        <w:t>11.1附件效力：本合同附件是本合同不可分割的组成部分，与本合同正文具</w:t>
      </w:r>
      <w:r>
        <w:rPr>
          <w:rFonts w:hint="eastAsia" w:ascii="仿宋_GB2312" w:hAnsi="仿宋" w:eastAsia="仿宋_GB2312"/>
          <w:spacing w:val="2"/>
          <w:sz w:val="28"/>
          <w:szCs w:val="28"/>
          <w:highlight w:val="none"/>
        </w:rPr>
        <w:t>有同等法律效力。本合同附件包括：附件一《应收账款清收案件明细表》（需双方盖章确认）；附件二《批次起诉指令单（模板）》；附件三：甲方营业执照，乙方律所执业许可证。</w:t>
      </w:r>
    </w:p>
    <w:p w14:paraId="1026F8CC">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highlight w:val="none"/>
        </w:rPr>
        <w:t>11.2通知与送达：双方之间的</w:t>
      </w:r>
      <w:r>
        <w:rPr>
          <w:rFonts w:hint="eastAsia" w:ascii="仿宋_GB2312" w:hAnsi="仿宋" w:eastAsia="仿宋_GB2312"/>
          <w:spacing w:val="2"/>
          <w:sz w:val="28"/>
          <w:szCs w:val="28"/>
        </w:rPr>
        <w:t>任何书面通知、文件往来，均应通过以下方式送达：（1）邮寄送达：寄至本合同首页载明的住所地/通讯地址，以邮寄回执载明的签收日期为送达日期；（2）电子送达：发送至双方确认的电子邮箱（甲方邮箱：，乙方邮箱：），以邮件成功发送后的次日为送达日期；（3）当面送达：双方签字确认的送达回执为送达凭证。任何一方变更送达地址或联系方式，应提前3个工作日书面通知对方，否则因此产生的通知无法送达、延误等后果，由变更方承担。</w:t>
      </w:r>
    </w:p>
    <w:p w14:paraId="37A6D139">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11.3合同份数：本合同壹式拾贰份，甲方持拾份，乙方持贰份，每份具有同等法律效力。本合同自双方均加盖公章之日起生效。</w:t>
      </w:r>
    </w:p>
    <w:p w14:paraId="3D457FD0">
      <w:pPr>
        <w:spacing w:line="560" w:lineRule="exact"/>
        <w:ind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11.4不可抗力：因地震、火灾、战争、政策调整等不可抗力因素导致本合同无法履行或延迟履行的，遭遇不可抗力一方应在不可抗力发生后3个工作日内书面通知对方，并提供相关证明材料；双方应根据不可抗力的影响，协商决定部分履行、延期履行或终止本合同，遭遇不可抗力一方不承担因此产生的违约责任（但不可抗力发生前已存在的违约行为除外）。</w:t>
      </w:r>
    </w:p>
    <w:p w14:paraId="258837F6">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11.5未尽事宜：本合同未尽事宜，双方可另行协商签订补充协议。</w:t>
      </w:r>
    </w:p>
    <w:p w14:paraId="74EF5A1D">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11.6附件</w:t>
      </w:r>
    </w:p>
    <w:p w14:paraId="2FD78FE7">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附件一：应收账款清收案件明细表</w:t>
      </w:r>
    </w:p>
    <w:p w14:paraId="243119D1">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附件二：批次起诉指令单（模板）</w:t>
      </w:r>
    </w:p>
    <w:p w14:paraId="1B0D985E">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附件三：甲方营业执照，乙方律所执业许可证</w:t>
      </w:r>
    </w:p>
    <w:p w14:paraId="37C732E7">
      <w:pPr>
        <w:spacing w:line="560" w:lineRule="exact"/>
        <w:ind w:right="-149" w:firstLine="568" w:firstLineChars="200"/>
        <w:jc w:val="left"/>
        <w:rPr>
          <w:rFonts w:ascii="仿宋_GB2312" w:hAnsi="仿宋" w:eastAsia="仿宋_GB2312"/>
          <w:spacing w:val="2"/>
          <w:sz w:val="28"/>
          <w:szCs w:val="28"/>
        </w:rPr>
      </w:pPr>
      <w:r>
        <w:rPr>
          <w:rFonts w:hint="eastAsia" w:ascii="仿宋_GB2312" w:hAnsi="仿宋" w:eastAsia="仿宋_GB2312"/>
          <w:spacing w:val="2"/>
          <w:sz w:val="28"/>
          <w:szCs w:val="28"/>
        </w:rPr>
        <w:t>（以下无正文，下接签字页）</w:t>
      </w:r>
    </w:p>
    <w:p w14:paraId="10B18FA2">
      <w:pPr>
        <w:spacing w:line="560" w:lineRule="exact"/>
        <w:ind w:right="-149" w:firstLine="568" w:firstLineChars="200"/>
        <w:rPr>
          <w:rFonts w:ascii="仿宋_GB2312" w:hAnsi="仿宋" w:eastAsia="仿宋_GB2312"/>
          <w:spacing w:val="2"/>
          <w:sz w:val="28"/>
          <w:szCs w:val="28"/>
        </w:rPr>
      </w:pPr>
    </w:p>
    <w:p w14:paraId="6EA86BC2">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甲方（盖章）：________</w:t>
      </w:r>
    </w:p>
    <w:p w14:paraId="182EC783">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法定代表人/</w:t>
      </w:r>
      <w:r>
        <w:rPr>
          <w:rFonts w:hint="eastAsia" w:ascii="仿宋_GB2312" w:hAnsi="仿宋" w:eastAsia="仿宋_GB2312"/>
          <w:spacing w:val="2"/>
          <w:sz w:val="28"/>
          <w:szCs w:val="28"/>
          <w:lang w:val="en-US" w:eastAsia="zh-CN"/>
        </w:rPr>
        <w:t>授权代表</w:t>
      </w:r>
      <w:r>
        <w:rPr>
          <w:rFonts w:hint="eastAsia" w:ascii="仿宋_GB2312" w:hAnsi="仿宋" w:eastAsia="仿宋_GB2312"/>
          <w:spacing w:val="2"/>
          <w:sz w:val="28"/>
          <w:szCs w:val="28"/>
        </w:rPr>
        <w:t>人（签字）：________</w:t>
      </w:r>
    </w:p>
    <w:p w14:paraId="4F09AE2A">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委托代理人（签字，若有）：________</w:t>
      </w:r>
    </w:p>
    <w:p w14:paraId="1B20B876">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签订日期：______年____月____日</w:t>
      </w:r>
    </w:p>
    <w:p w14:paraId="4621C4AA">
      <w:pPr>
        <w:spacing w:line="560" w:lineRule="exact"/>
        <w:ind w:right="-149" w:firstLine="568" w:firstLineChars="200"/>
        <w:rPr>
          <w:rFonts w:ascii="仿宋_GB2312" w:hAnsi="仿宋" w:eastAsia="仿宋_GB2312"/>
          <w:spacing w:val="2"/>
          <w:sz w:val="28"/>
          <w:szCs w:val="28"/>
        </w:rPr>
      </w:pPr>
    </w:p>
    <w:p w14:paraId="1C504B5C">
      <w:pPr>
        <w:spacing w:line="560" w:lineRule="exact"/>
        <w:ind w:right="-149" w:firstLine="568" w:firstLineChars="200"/>
        <w:rPr>
          <w:rFonts w:hint="eastAsia" w:ascii="仿宋_GB2312" w:hAnsi="仿宋" w:eastAsia="仿宋_GB2312"/>
          <w:spacing w:val="2"/>
          <w:sz w:val="28"/>
          <w:szCs w:val="28"/>
        </w:rPr>
      </w:pPr>
    </w:p>
    <w:p w14:paraId="58D56261">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乙方（盖章）：</w:t>
      </w:r>
    </w:p>
    <w:p w14:paraId="78960B23">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负责人（签字）：</w:t>
      </w:r>
    </w:p>
    <w:p w14:paraId="3F134046">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主办律师（签字）：</w:t>
      </w:r>
    </w:p>
    <w:p w14:paraId="1841A3CB">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签订日期：______年____月____日</w:t>
      </w:r>
    </w:p>
    <w:p w14:paraId="6CD221B7">
      <w:pPr>
        <w:spacing w:line="560" w:lineRule="exact"/>
        <w:ind w:right="-149" w:firstLine="568" w:firstLineChars="200"/>
        <w:rPr>
          <w:rFonts w:ascii="仿宋_GB2312" w:hAnsi="仿宋" w:eastAsia="仿宋_GB2312"/>
          <w:spacing w:val="2"/>
          <w:sz w:val="28"/>
          <w:szCs w:val="28"/>
        </w:rPr>
      </w:pPr>
    </w:p>
    <w:p w14:paraId="34C5D581">
      <w:pPr>
        <w:spacing w:line="560" w:lineRule="exact"/>
        <w:ind w:right="-149" w:firstLine="568" w:firstLineChars="200"/>
        <w:rPr>
          <w:rFonts w:ascii="仿宋_GB2312" w:hAnsi="仿宋" w:eastAsia="仿宋_GB2312"/>
          <w:spacing w:val="2"/>
          <w:sz w:val="28"/>
          <w:szCs w:val="28"/>
        </w:rPr>
      </w:pPr>
      <w:r>
        <w:rPr>
          <w:rFonts w:hint="eastAsia" w:ascii="仿宋_GB2312" w:hAnsi="仿宋" w:eastAsia="仿宋_GB2312"/>
          <w:spacing w:val="2"/>
          <w:sz w:val="28"/>
          <w:szCs w:val="28"/>
        </w:rPr>
        <w:t>签订地点：________</w:t>
      </w:r>
    </w:p>
    <w:p w14:paraId="07AA7FD7">
      <w:pPr>
        <w:tabs>
          <w:tab w:val="left" w:pos="3800"/>
        </w:tabs>
        <w:spacing w:line="360" w:lineRule="auto"/>
        <w:jc w:val="center"/>
        <w:outlineLvl w:val="0"/>
        <w:rPr>
          <w:rFonts w:hint="eastAsia" w:ascii="宋体" w:hAnsi="宋体" w:cs="黑体"/>
          <w:b/>
          <w:sz w:val="48"/>
          <w:szCs w:val="48"/>
          <w:shd w:val="clear" w:color="060000" w:fill="auto"/>
        </w:rPr>
        <w:sectPr>
          <w:headerReference r:id="rId12" w:type="default"/>
          <w:footerReference r:id="rId13" w:type="default"/>
          <w:pgSz w:w="12240" w:h="15840"/>
          <w:pgMar w:top="1440" w:right="1797" w:bottom="1440" w:left="1797" w:header="720" w:footer="720" w:gutter="0"/>
          <w:cols w:space="720" w:num="1"/>
        </w:sectPr>
      </w:pPr>
    </w:p>
    <w:p w14:paraId="5AB3C58B">
      <w:pPr>
        <w:tabs>
          <w:tab w:val="left" w:pos="3800"/>
        </w:tabs>
        <w:spacing w:line="360" w:lineRule="auto"/>
        <w:jc w:val="center"/>
        <w:outlineLvl w:val="0"/>
        <w:rPr>
          <w:rFonts w:hint="eastAsia" w:ascii="黑体" w:hAnsi="黑体" w:eastAsia="黑体" w:cs="黑体"/>
          <w:sz w:val="48"/>
          <w:szCs w:val="48"/>
          <w:shd w:val="clear" w:color="060000" w:fill="auto"/>
        </w:rPr>
      </w:pPr>
      <w:r>
        <w:rPr>
          <w:rFonts w:hint="eastAsia" w:ascii="黑体" w:hAnsi="黑体" w:eastAsia="黑体" w:cs="黑体"/>
          <w:b/>
          <w:sz w:val="48"/>
          <w:szCs w:val="48"/>
          <w:shd w:val="clear" w:color="060000" w:fill="auto"/>
        </w:rPr>
        <w:t>第四章 需求任务书</w:t>
      </w:r>
      <w:bookmarkEnd w:id="104"/>
      <w:bookmarkEnd w:id="105"/>
      <w:bookmarkEnd w:id="106"/>
    </w:p>
    <w:p w14:paraId="2398E897">
      <w:pPr>
        <w:spacing w:line="56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采购范围</w:t>
      </w:r>
    </w:p>
    <w:p w14:paraId="225D8AE5">
      <w:pPr>
        <w:spacing w:line="56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对第一亚太公司下属深圳、郑州、西安、哈尔滨、南宁、江西、重庆、合肥分公司项目享有华南城及其关联方公司物业费、能耗费、往来款等债权净额委托律所进行诉讼追缴。</w:t>
      </w:r>
    </w:p>
    <w:p w14:paraId="3C887017">
      <w:pPr>
        <w:spacing w:line="540" w:lineRule="exact"/>
        <w:ind w:firstLine="640" w:firstLineChars="200"/>
        <w:rPr>
          <w:rFonts w:ascii="仿宋_GB2312" w:hAnsi="楷体_GB2312" w:eastAsia="仿宋_GB2312" w:cs="楷体_GB2312"/>
          <w:color w:val="000000" w:themeColor="text1"/>
          <w:sz w:val="32"/>
          <w:szCs w:val="32"/>
          <w14:textFill>
            <w14:solidFill>
              <w14:schemeClr w14:val="tx1"/>
            </w14:solidFill>
          </w14:textFill>
        </w:rPr>
      </w:pPr>
      <w:r>
        <w:rPr>
          <w:rFonts w:hint="eastAsia" w:ascii="仿宋_GB2312" w:hAnsi="楷体_GB2312" w:eastAsia="仿宋_GB2312" w:cs="楷体_GB2312"/>
          <w:color w:val="000000" w:themeColor="text1"/>
          <w:sz w:val="32"/>
          <w:szCs w:val="32"/>
          <w14:textFill>
            <w14:solidFill>
              <w14:schemeClr w14:val="tx1"/>
            </w14:solidFill>
          </w14:textFill>
        </w:rPr>
        <w:t>2</w:t>
      </w:r>
      <w:r>
        <w:rPr>
          <w:rFonts w:ascii="仿宋_GB2312" w:hAnsi="楷体_GB2312" w:eastAsia="仿宋_GB2312" w:cs="楷体_GB2312"/>
          <w:color w:val="000000" w:themeColor="text1"/>
          <w:sz w:val="32"/>
          <w:szCs w:val="32"/>
          <w14:textFill>
            <w14:solidFill>
              <w14:schemeClr w14:val="tx1"/>
            </w14:solidFill>
          </w14:textFill>
        </w:rPr>
        <w:t>.采购内容</w:t>
      </w:r>
    </w:p>
    <w:p w14:paraId="2DFE7885">
      <w:pPr>
        <w:spacing w:line="540" w:lineRule="exact"/>
        <w:ind w:firstLine="640" w:firstLineChars="200"/>
        <w:rPr>
          <w:rFonts w:ascii="仿宋_GB2312" w:hAnsi="楷体_GB2312" w:eastAsia="仿宋_GB2312" w:cs="楷体_GB2312"/>
          <w:color w:val="000000" w:themeColor="text1"/>
          <w:sz w:val="32"/>
          <w:szCs w:val="32"/>
          <w14:textFill>
            <w14:solidFill>
              <w14:schemeClr w14:val="tx1"/>
            </w14:solidFill>
          </w14:textFill>
        </w:rPr>
      </w:pPr>
      <w:r>
        <w:rPr>
          <w:rFonts w:ascii="仿宋_GB2312" w:hAnsi="楷体_GB2312" w:eastAsia="仿宋_GB2312" w:cs="楷体_GB2312"/>
          <w:color w:val="000000" w:themeColor="text1"/>
          <w:sz w:val="32"/>
          <w:szCs w:val="32"/>
          <w14:textFill>
            <w14:solidFill>
              <w14:schemeClr w14:val="tx1"/>
            </w14:solidFill>
          </w14:textFill>
        </w:rPr>
        <w:t>通过公开招标选聘</w:t>
      </w:r>
      <w:r>
        <w:rPr>
          <w:rFonts w:hint="eastAsia" w:ascii="仿宋_GB2312" w:hAnsi="楷体_GB2312" w:eastAsia="仿宋_GB2312" w:cs="楷体_GB2312"/>
          <w:color w:val="000000" w:themeColor="text1"/>
          <w:sz w:val="32"/>
          <w:szCs w:val="32"/>
          <w:lang w:val="en-US" w:eastAsia="zh-CN"/>
          <w14:textFill>
            <w14:solidFill>
              <w14:schemeClr w14:val="tx1"/>
            </w14:solidFill>
          </w14:textFill>
        </w:rPr>
        <w:t>2</w:t>
      </w:r>
      <w:r>
        <w:rPr>
          <w:rFonts w:ascii="仿宋_GB2312" w:hAnsi="楷体_GB2312" w:eastAsia="仿宋_GB2312" w:cs="楷体_GB2312"/>
          <w:color w:val="000000" w:themeColor="text1"/>
          <w:sz w:val="32"/>
          <w:szCs w:val="32"/>
          <w14:textFill>
            <w14:solidFill>
              <w14:schemeClr w14:val="tx1"/>
            </w14:solidFill>
          </w14:textFill>
        </w:rPr>
        <w:t>家</w:t>
      </w:r>
      <w:r>
        <w:rPr>
          <w:rFonts w:hint="eastAsia" w:ascii="仿宋_GB2312" w:hAnsi="楷体_GB2312" w:eastAsia="仿宋_GB2312" w:cs="楷体_GB2312"/>
          <w:color w:val="000000" w:themeColor="text1"/>
          <w:sz w:val="32"/>
          <w:szCs w:val="32"/>
          <w:lang w:val="en-US" w:eastAsia="zh-CN"/>
          <w14:textFill>
            <w14:solidFill>
              <w14:schemeClr w14:val="tx1"/>
            </w14:solidFill>
          </w14:textFill>
        </w:rPr>
        <w:t>以上</w:t>
      </w:r>
      <w:r>
        <w:rPr>
          <w:rFonts w:ascii="仿宋_GB2312" w:hAnsi="楷体_GB2312" w:eastAsia="仿宋_GB2312" w:cs="楷体_GB2312"/>
          <w:color w:val="000000" w:themeColor="text1"/>
          <w:sz w:val="32"/>
          <w:szCs w:val="32"/>
          <w14:textFill>
            <w14:solidFill>
              <w14:schemeClr w14:val="tx1"/>
            </w14:solidFill>
          </w14:textFill>
        </w:rPr>
        <w:t>专业的律师事务所，提供</w:t>
      </w:r>
      <w:r>
        <w:rPr>
          <w:rFonts w:hint="eastAsia" w:ascii="仿宋_GB2312" w:hAnsi="楷体_GB2312" w:eastAsia="仿宋_GB2312" w:cs="楷体_GB2312"/>
          <w:color w:val="000000" w:themeColor="text1"/>
          <w:sz w:val="32"/>
          <w:szCs w:val="32"/>
          <w14:textFill>
            <w14:solidFill>
              <w14:schemeClr w14:val="tx1"/>
            </w14:solidFill>
          </w14:textFill>
        </w:rPr>
        <w:t>对</w:t>
      </w:r>
      <w:r>
        <w:rPr>
          <w:rFonts w:ascii="仿宋_GB2312" w:hAnsi="楷体_GB2312" w:eastAsia="仿宋_GB2312" w:cs="楷体_GB2312"/>
          <w:color w:val="000000" w:themeColor="text1"/>
          <w:sz w:val="32"/>
          <w:szCs w:val="32"/>
          <w14:textFill>
            <w14:solidFill>
              <w14:schemeClr w14:val="tx1"/>
            </w14:solidFill>
          </w14:textFill>
        </w:rPr>
        <w:t>华南城及其关联方公司</w:t>
      </w:r>
      <w:r>
        <w:rPr>
          <w:rFonts w:hint="eastAsia" w:ascii="仿宋_GB2312" w:hAnsi="楷体_GB2312" w:eastAsia="仿宋_GB2312" w:cs="楷体_GB2312"/>
          <w:color w:val="000000" w:themeColor="text1"/>
          <w:sz w:val="32"/>
          <w:szCs w:val="32"/>
          <w14:textFill>
            <w14:solidFill>
              <w14:schemeClr w14:val="tx1"/>
            </w14:solidFill>
          </w14:textFill>
        </w:rPr>
        <w:t>欠缴</w:t>
      </w:r>
      <w:r>
        <w:rPr>
          <w:rFonts w:ascii="仿宋_GB2312" w:hAnsi="楷体_GB2312" w:eastAsia="仿宋_GB2312" w:cs="楷体_GB2312"/>
          <w:color w:val="000000" w:themeColor="text1"/>
          <w:sz w:val="32"/>
          <w:szCs w:val="32"/>
          <w14:textFill>
            <w14:solidFill>
              <w14:schemeClr w14:val="tx1"/>
            </w14:solidFill>
          </w14:textFill>
        </w:rPr>
        <w:t>的</w:t>
      </w:r>
      <w:r>
        <w:rPr>
          <w:rFonts w:hint="eastAsia" w:ascii="仿宋_GB2312" w:hAnsi="楷体_GB2312" w:eastAsia="仿宋_GB2312" w:cs="楷体_GB2312"/>
          <w:color w:val="000000" w:themeColor="text1"/>
          <w:sz w:val="32"/>
          <w:szCs w:val="32"/>
          <w14:textFill>
            <w14:solidFill>
              <w14:schemeClr w14:val="tx1"/>
            </w14:solidFill>
          </w14:textFill>
        </w:rPr>
        <w:t>物业费、能耗费（水电/供暖/供冷等）、往来款等费用的诉讼追缴工作，具体需求如下：</w:t>
      </w:r>
    </w:p>
    <w:p w14:paraId="70EECEB6">
      <w:pPr>
        <w:keepNext w:val="0"/>
        <w:keepLines w:val="0"/>
        <w:pageBreakBefore w:val="0"/>
        <w:widowControl/>
        <w:kinsoku/>
        <w:wordWrap/>
        <w:overflowPunct/>
        <w:topLinePunct w:val="0"/>
        <w:bidi w:val="0"/>
        <w:snapToGrid/>
        <w:spacing w:line="540" w:lineRule="exact"/>
        <w:ind w:firstLine="640" w:firstLineChars="200"/>
        <w:jc w:val="left"/>
        <w:rPr>
          <w:rFonts w:hint="default" w:ascii="仿宋_GB2312" w:hAnsi="楷体_GB2312" w:eastAsia="仿宋_GB2312" w:cs="楷体_GB2312"/>
          <w:color w:val="000000" w:themeColor="text1"/>
          <w:sz w:val="32"/>
          <w:szCs w:val="32"/>
          <w:highlight w:val="none"/>
          <w14:textFill>
            <w14:solidFill>
              <w14:schemeClr w14:val="tx1"/>
            </w14:solidFill>
          </w14:textFill>
        </w:rPr>
      </w:pPr>
      <w:r>
        <w:rPr>
          <w:rFonts w:hint="default" w:ascii="仿宋_GB2312" w:hAnsi="楷体_GB2312" w:eastAsia="仿宋_GB2312" w:cs="楷体_GB2312"/>
          <w:color w:val="000000" w:themeColor="text1"/>
          <w:sz w:val="32"/>
          <w:szCs w:val="32"/>
          <w:highlight w:val="none"/>
          <w14:textFill>
            <w14:solidFill>
              <w14:schemeClr w14:val="tx1"/>
            </w14:solidFill>
          </w14:textFill>
        </w:rPr>
        <w:t>（一）代理</w:t>
      </w:r>
      <w:r>
        <w:rPr>
          <w:rFonts w:hint="default" w:ascii="仿宋_GB2312" w:hAnsi="楷体_GB2312" w:eastAsia="仿宋_GB2312" w:cs="楷体_GB2312"/>
          <w:color w:val="000000" w:themeColor="text1"/>
          <w:sz w:val="32"/>
          <w:szCs w:val="32"/>
          <w:highlight w:val="none"/>
          <w:u w:val="none"/>
          <w14:textFill>
            <w14:solidFill>
              <w14:schemeClr w14:val="tx1"/>
            </w14:solidFill>
          </w14:textFill>
        </w:rPr>
        <w:t>案件</w:t>
      </w:r>
      <w:r>
        <w:rPr>
          <w:rFonts w:hint="default" w:ascii="仿宋_GB2312" w:hAnsi="楷体_GB2312" w:eastAsia="仿宋_GB2312" w:cs="楷体_GB2312"/>
          <w:color w:val="000000" w:themeColor="text1"/>
          <w:sz w:val="32"/>
          <w:szCs w:val="32"/>
          <w:highlight w:val="none"/>
          <w14:textFill>
            <w14:solidFill>
              <w14:schemeClr w14:val="tx1"/>
            </w14:solidFill>
          </w14:textFill>
        </w:rPr>
        <w:t>的一审、二审、再审各审级与执行环节。代理权限为一般授权，包括：代为起诉；代为出庭；代为申请管辖权异议、财产保全、证据保全；代为申请回避；代为向法庭提供证据、发表代理意见；代为申请强制执行、抵押物优先受偿；代为申请对方承担违约责任；代为退诉讼费；代为提交、签收诉讼文书和案件材料等。</w:t>
      </w:r>
    </w:p>
    <w:p w14:paraId="73CE77BD">
      <w:pPr>
        <w:keepNext w:val="0"/>
        <w:keepLines w:val="0"/>
        <w:pageBreakBefore w:val="0"/>
        <w:widowControl/>
        <w:kinsoku/>
        <w:wordWrap/>
        <w:overflowPunct/>
        <w:topLinePunct w:val="0"/>
        <w:bidi w:val="0"/>
        <w:snapToGrid/>
        <w:spacing w:line="540" w:lineRule="exact"/>
        <w:ind w:firstLine="640" w:firstLineChars="200"/>
        <w:jc w:val="left"/>
        <w:rPr>
          <w:rFonts w:hint="default" w:ascii="仿宋_GB2312" w:hAnsi="楷体_GB2312" w:eastAsia="仿宋_GB2312" w:cs="楷体_GB2312"/>
          <w:color w:val="000000" w:themeColor="text1"/>
          <w:sz w:val="32"/>
          <w:szCs w:val="32"/>
          <w14:textFill>
            <w14:solidFill>
              <w14:schemeClr w14:val="tx1"/>
            </w14:solidFill>
          </w14:textFill>
        </w:rPr>
      </w:pPr>
      <w:r>
        <w:rPr>
          <w:rFonts w:hint="default" w:ascii="仿宋_GB2312" w:hAnsi="楷体_GB2312" w:eastAsia="仿宋_GB2312" w:cs="楷体_GB2312"/>
          <w:color w:val="000000" w:themeColor="text1"/>
          <w:sz w:val="32"/>
          <w:szCs w:val="32"/>
          <w:highlight w:val="none"/>
          <w14:textFill>
            <w14:solidFill>
              <w14:schemeClr w14:val="tx1"/>
            </w14:solidFill>
          </w14:textFill>
        </w:rPr>
        <w:t>（二）</w:t>
      </w:r>
      <w:r>
        <w:rPr>
          <w:rFonts w:hint="default" w:ascii="仿宋_GB2312" w:hAnsi="楷体_GB2312" w:eastAsia="仿宋_GB2312" w:cs="楷体_GB2312"/>
          <w:color w:val="000000" w:themeColor="text1"/>
          <w:sz w:val="32"/>
          <w:szCs w:val="32"/>
          <w:highlight w:val="none"/>
          <w:lang w:eastAsia="zh-CN"/>
          <w14:textFill>
            <w14:solidFill>
              <w14:schemeClr w14:val="tx1"/>
            </w14:solidFill>
          </w14:textFill>
        </w:rPr>
        <w:t>提供</w:t>
      </w:r>
      <w:r>
        <w:rPr>
          <w:rFonts w:hint="default" w:ascii="仿宋_GB2312" w:hAnsi="楷体_GB2312" w:eastAsia="仿宋_GB2312" w:cs="楷体_GB2312"/>
          <w:color w:val="000000" w:themeColor="text1"/>
          <w:sz w:val="32"/>
          <w:szCs w:val="32"/>
          <w:highlight w:val="none"/>
          <w14:textFill>
            <w14:solidFill>
              <w14:schemeClr w14:val="tx1"/>
            </w14:solidFill>
          </w14:textFill>
        </w:rPr>
        <w:t>其他与上述案件有关的法律咨询</w:t>
      </w:r>
      <w:r>
        <w:rPr>
          <w:rFonts w:hint="default" w:ascii="仿宋_GB2312" w:hAnsi="楷体_GB2312" w:eastAsia="仿宋_GB2312" w:cs="楷体_GB2312"/>
          <w:color w:val="000000" w:themeColor="text1"/>
          <w:sz w:val="32"/>
          <w:szCs w:val="32"/>
          <w:highlight w:val="none"/>
          <w:lang w:eastAsia="zh-CN"/>
          <w14:textFill>
            <w14:solidFill>
              <w14:schemeClr w14:val="tx1"/>
            </w14:solidFill>
          </w14:textFill>
        </w:rPr>
        <w:t>、律师函、法律意见书、被告破产情况下破产债权申报</w:t>
      </w:r>
      <w:r>
        <w:rPr>
          <w:rFonts w:hint="default" w:ascii="仿宋_GB2312" w:hAnsi="楷体_GB2312" w:eastAsia="仿宋_GB2312" w:cs="楷体_GB2312"/>
          <w:color w:val="000000" w:themeColor="text1"/>
          <w:sz w:val="32"/>
          <w:szCs w:val="32"/>
          <w:highlight w:val="none"/>
          <w14:textFill>
            <w14:solidFill>
              <w14:schemeClr w14:val="tx1"/>
            </w14:solidFill>
          </w14:textFill>
        </w:rPr>
        <w:t>等服务。</w:t>
      </w:r>
    </w:p>
    <w:p w14:paraId="0FF7ECCD">
      <w:pPr>
        <w:keepNext w:val="0"/>
        <w:keepLines w:val="0"/>
        <w:pageBreakBefore w:val="0"/>
        <w:widowControl/>
        <w:kinsoku/>
        <w:wordWrap/>
        <w:overflowPunct/>
        <w:topLinePunct w:val="0"/>
        <w:bidi w:val="0"/>
        <w:snapToGrid/>
        <w:spacing w:line="540" w:lineRule="exact"/>
        <w:ind w:firstLine="640" w:firstLineChars="200"/>
        <w:jc w:val="left"/>
        <w:rPr>
          <w:rFonts w:hint="eastAsia" w:ascii="仿宋_GB2312" w:hAnsi="楷体_GB2312" w:eastAsia="仿宋_GB2312" w:cs="楷体_GB2312"/>
          <w:color w:val="000000" w:themeColor="text1"/>
          <w:sz w:val="32"/>
          <w:szCs w:val="32"/>
          <w:highlight w:val="none"/>
          <w:lang w:val="en-US" w:eastAsia="zh-CN"/>
          <w14:textFill>
            <w14:solidFill>
              <w14:schemeClr w14:val="tx1"/>
            </w14:solidFill>
          </w14:textFill>
        </w:rPr>
      </w:pPr>
      <w:r>
        <w:rPr>
          <w:rFonts w:hint="eastAsia" w:ascii="仿宋_GB2312" w:hAnsi="楷体_GB2312" w:eastAsia="仿宋_GB2312" w:cs="楷体_GB2312"/>
          <w:color w:val="000000" w:themeColor="text1"/>
          <w:sz w:val="32"/>
          <w:szCs w:val="32"/>
          <w:highlight w:val="none"/>
          <w:lang w:eastAsia="zh-CN"/>
          <w14:textFill>
            <w14:solidFill>
              <w14:schemeClr w14:val="tx1"/>
            </w14:solidFill>
          </w14:textFill>
        </w:rPr>
        <w:t>（</w:t>
      </w:r>
      <w:r>
        <w:rPr>
          <w:rFonts w:hint="eastAsia" w:ascii="仿宋_GB2312" w:hAnsi="楷体_GB2312" w:eastAsia="仿宋_GB2312" w:cs="楷体_GB2312"/>
          <w:color w:val="000000" w:themeColor="text1"/>
          <w:sz w:val="32"/>
          <w:szCs w:val="32"/>
          <w:highlight w:val="none"/>
          <w:lang w:val="en-US" w:eastAsia="zh-CN"/>
          <w14:textFill>
            <w14:solidFill>
              <w14:schemeClr w14:val="tx1"/>
            </w14:solidFill>
          </w14:textFill>
        </w:rPr>
        <w:t>三</w:t>
      </w:r>
      <w:r>
        <w:rPr>
          <w:rFonts w:hint="eastAsia" w:ascii="仿宋_GB2312" w:hAnsi="楷体_GB2312" w:eastAsia="仿宋_GB2312" w:cs="楷体_GB2312"/>
          <w:color w:val="000000" w:themeColor="text1"/>
          <w:sz w:val="32"/>
          <w:szCs w:val="32"/>
          <w:highlight w:val="none"/>
          <w:lang w:eastAsia="zh-CN"/>
          <w14:textFill>
            <w14:solidFill>
              <w14:schemeClr w14:val="tx1"/>
            </w14:solidFill>
          </w14:textFill>
        </w:rPr>
        <w:t>）</w:t>
      </w:r>
      <w:r>
        <w:rPr>
          <w:rFonts w:hint="eastAsia" w:ascii="仿宋_GB2312" w:hAnsi="楷体_GB2312" w:eastAsia="仿宋_GB2312" w:cs="楷体_GB2312"/>
          <w:color w:val="000000" w:themeColor="text1"/>
          <w:sz w:val="32"/>
          <w:szCs w:val="32"/>
          <w:highlight w:val="none"/>
          <w:lang w:val="en-US" w:eastAsia="zh-CN"/>
          <w14:textFill>
            <w14:solidFill>
              <w14:schemeClr w14:val="tx1"/>
            </w14:solidFill>
          </w14:textFill>
        </w:rPr>
        <w:t>标段划分（标段一（一）代理案件的二审、再审各审级与执行环节。标段一（二）、标段二、标段三代理案件的一审、二审、再审各审级与执行环节。</w:t>
      </w:r>
      <w:r>
        <w:rPr>
          <w:rFonts w:hint="eastAsia" w:ascii="仿宋_GB2312" w:hAnsi="楷体_GB2312" w:eastAsia="仿宋_GB2312" w:cs="楷体_GB2312"/>
          <w:b/>
          <w:bCs/>
          <w:color w:val="000000" w:themeColor="text1"/>
          <w:sz w:val="32"/>
          <w:szCs w:val="32"/>
          <w:highlight w:val="red"/>
          <w:lang w:val="en-US" w:eastAsia="zh-CN"/>
          <w14:textFill>
            <w14:solidFill>
              <w14:schemeClr w14:val="tx1"/>
            </w14:solidFill>
          </w14:textFill>
        </w:rPr>
        <w:t>标绿部分不在本次代理服务范围内</w:t>
      </w:r>
      <w:r>
        <w:rPr>
          <w:rFonts w:hint="eastAsia" w:ascii="仿宋_GB2312" w:hAnsi="楷体_GB2312" w:eastAsia="仿宋_GB2312" w:cs="楷体_GB2312"/>
          <w:color w:val="000000" w:themeColor="text1"/>
          <w:sz w:val="32"/>
          <w:szCs w:val="32"/>
          <w:highlight w:val="none"/>
          <w:lang w:val="en-US" w:eastAsia="zh-CN"/>
          <w14:textFill>
            <w14:solidFill>
              <w14:schemeClr w14:val="tx1"/>
            </w14:solidFill>
          </w14:textFill>
        </w:rPr>
        <w:t>）</w:t>
      </w:r>
    </w:p>
    <w:tbl>
      <w:tblPr>
        <w:tblStyle w:val="36"/>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5"/>
        <w:gridCol w:w="886"/>
        <w:gridCol w:w="4848"/>
        <w:gridCol w:w="2048"/>
      </w:tblGrid>
      <w:tr w14:paraId="4D4D2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379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标段划分</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D05B">
            <w:pPr>
              <w:jc w:val="center"/>
              <w:rPr>
                <w:rFonts w:hint="eastAsia" w:ascii="仿宋_GB2312" w:hAnsi="仿宋_GB2312" w:eastAsia="仿宋_GB2312" w:cs="仿宋_GB2312"/>
                <w:b/>
                <w:bCs/>
                <w:i w:val="0"/>
                <w:iCs w:val="0"/>
                <w:color w:val="000000"/>
                <w:sz w:val="22"/>
                <w:szCs w:val="22"/>
                <w:u w:val="none"/>
              </w:rPr>
            </w:pPr>
          </w:p>
        </w:tc>
        <w:tc>
          <w:tcPr>
            <w:tcW w:w="27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E1B8">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分公司</w:t>
            </w: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30AB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2"/>
                <w:szCs w:val="22"/>
                <w:u w:val="none"/>
              </w:rPr>
            </w:pPr>
            <w:r>
              <w:rPr>
                <w:rFonts w:hint="eastAsia" w:ascii="仿宋_GB2312" w:hAnsi="仿宋_GB2312" w:eastAsia="仿宋_GB2312" w:cs="仿宋_GB2312"/>
                <w:b/>
                <w:bCs/>
                <w:i w:val="0"/>
                <w:iCs w:val="0"/>
                <w:color w:val="000000"/>
                <w:kern w:val="0"/>
                <w:sz w:val="22"/>
                <w:szCs w:val="22"/>
                <w:u w:val="none"/>
                <w:lang w:val="en-US" w:eastAsia="zh-CN" w:bidi="ar"/>
              </w:rPr>
              <w:t>债权金额（单位/万元）</w:t>
            </w:r>
          </w:p>
        </w:tc>
      </w:tr>
      <w:tr w14:paraId="4E80E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0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8D1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标段一</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BE21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标段一（一）</w:t>
            </w: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FA3B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重庆分公司（2022年12月31日及以前）</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958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1875.4万元</w:t>
            </w:r>
          </w:p>
        </w:tc>
      </w:tr>
      <w:tr w14:paraId="473B9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952E0">
            <w:pPr>
              <w:jc w:val="center"/>
              <w:rPr>
                <w:rFonts w:hint="eastAsia" w:ascii="仿宋_GB2312" w:hAnsi="仿宋_GB2312" w:eastAsia="仿宋_GB2312" w:cs="仿宋_GB2312"/>
                <w:i w:val="0"/>
                <w:iCs w:val="0"/>
                <w:color w:val="000000"/>
                <w:sz w:val="24"/>
                <w:szCs w:val="24"/>
                <w:u w:val="none"/>
              </w:rPr>
            </w:pP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17EB0">
            <w:pPr>
              <w:jc w:val="center"/>
              <w:rPr>
                <w:rFonts w:hint="eastAsia" w:ascii="仿宋_GB2312" w:hAnsi="仿宋_GB2312" w:eastAsia="仿宋_GB2312" w:cs="仿宋_GB2312"/>
                <w:i w:val="0"/>
                <w:iCs w:val="0"/>
                <w:color w:val="000000"/>
                <w:sz w:val="24"/>
                <w:szCs w:val="24"/>
                <w:u w:val="none"/>
              </w:rPr>
            </w:pP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30A14">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江西分公司（2022年12月31日及以前）</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A8C2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3258.0万元</w:t>
            </w:r>
          </w:p>
        </w:tc>
      </w:tr>
      <w:tr w14:paraId="66C63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8973D">
            <w:pPr>
              <w:jc w:val="center"/>
              <w:rPr>
                <w:rFonts w:hint="eastAsia" w:ascii="仿宋_GB2312" w:hAnsi="仿宋_GB2312" w:eastAsia="仿宋_GB2312" w:cs="仿宋_GB2312"/>
                <w:i w:val="0"/>
                <w:iCs w:val="0"/>
                <w:color w:val="000000"/>
                <w:sz w:val="24"/>
                <w:szCs w:val="24"/>
                <w:u w:val="none"/>
              </w:rPr>
            </w:pP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3330B">
            <w:pPr>
              <w:jc w:val="center"/>
              <w:rPr>
                <w:rFonts w:hint="eastAsia" w:ascii="仿宋_GB2312" w:hAnsi="仿宋_GB2312" w:eastAsia="仿宋_GB2312" w:cs="仿宋_GB2312"/>
                <w:i w:val="0"/>
                <w:iCs w:val="0"/>
                <w:color w:val="000000"/>
                <w:sz w:val="24"/>
                <w:szCs w:val="24"/>
                <w:u w:val="none"/>
              </w:rPr>
            </w:pP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BB6C9">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合肥分公司（2022年12月31日及以前）</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F00A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1625.9万元</w:t>
            </w:r>
          </w:p>
        </w:tc>
      </w:tr>
      <w:tr w14:paraId="0D60D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34254">
            <w:pPr>
              <w:jc w:val="center"/>
              <w:rPr>
                <w:rFonts w:hint="eastAsia" w:ascii="仿宋_GB2312" w:hAnsi="仿宋_GB2312" w:eastAsia="仿宋_GB2312" w:cs="仿宋_GB2312"/>
                <w:i w:val="0"/>
                <w:iCs w:val="0"/>
                <w:color w:val="000000"/>
                <w:sz w:val="24"/>
                <w:szCs w:val="24"/>
                <w:u w:val="none"/>
              </w:rPr>
            </w:pP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353A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标段一（二）</w:t>
            </w: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E488E">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重庆分公司（2023年1月1日-2026年6月30日）</w:t>
            </w:r>
          </w:p>
        </w:tc>
        <w:tc>
          <w:tcPr>
            <w:tcW w:w="11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0A47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12499.0万元</w:t>
            </w:r>
          </w:p>
        </w:tc>
      </w:tr>
      <w:tr w14:paraId="097C3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3A23">
            <w:pPr>
              <w:jc w:val="center"/>
              <w:rPr>
                <w:rFonts w:hint="eastAsia" w:ascii="仿宋_GB2312" w:hAnsi="仿宋_GB2312" w:eastAsia="仿宋_GB2312" w:cs="仿宋_GB2312"/>
                <w:i w:val="0"/>
                <w:iCs w:val="0"/>
                <w:color w:val="000000"/>
                <w:sz w:val="24"/>
                <w:szCs w:val="24"/>
                <w:u w:val="none"/>
              </w:rPr>
            </w:pP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17A3E">
            <w:pPr>
              <w:jc w:val="center"/>
              <w:rPr>
                <w:rFonts w:hint="eastAsia" w:ascii="仿宋_GB2312" w:hAnsi="仿宋_GB2312" w:eastAsia="仿宋_GB2312" w:cs="仿宋_GB2312"/>
                <w:i w:val="0"/>
                <w:iCs w:val="0"/>
                <w:color w:val="000000"/>
                <w:sz w:val="24"/>
                <w:szCs w:val="24"/>
                <w:u w:val="none"/>
              </w:rPr>
            </w:pP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622BA">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江西分公司（2023年1月1日-2026年6月30日）</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DE9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10947.2万元</w:t>
            </w:r>
          </w:p>
        </w:tc>
      </w:tr>
      <w:tr w14:paraId="78ABA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72BE">
            <w:pPr>
              <w:jc w:val="center"/>
              <w:rPr>
                <w:rFonts w:hint="eastAsia" w:ascii="仿宋_GB2312" w:hAnsi="仿宋_GB2312" w:eastAsia="仿宋_GB2312" w:cs="仿宋_GB2312"/>
                <w:i w:val="0"/>
                <w:iCs w:val="0"/>
                <w:color w:val="000000"/>
                <w:sz w:val="24"/>
                <w:szCs w:val="24"/>
                <w:u w:val="none"/>
              </w:rPr>
            </w:pP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A7F4F">
            <w:pPr>
              <w:jc w:val="center"/>
              <w:rPr>
                <w:rFonts w:hint="eastAsia" w:ascii="仿宋_GB2312" w:hAnsi="仿宋_GB2312" w:eastAsia="仿宋_GB2312" w:cs="仿宋_GB2312"/>
                <w:i w:val="0"/>
                <w:iCs w:val="0"/>
                <w:color w:val="000000"/>
                <w:sz w:val="24"/>
                <w:szCs w:val="24"/>
                <w:u w:val="none"/>
              </w:rPr>
            </w:pP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4BC92">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合肥分公司（2023年1月1日-2026年6月30日）</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DAB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7961.4万元</w:t>
            </w:r>
          </w:p>
        </w:tc>
      </w:tr>
      <w:tr w14:paraId="7587F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84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CA8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小计</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5E2A4">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38166.8万元</w:t>
            </w:r>
          </w:p>
        </w:tc>
      </w:tr>
      <w:tr w14:paraId="67C4F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0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055E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标段二</w:t>
            </w: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F884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郑州分公司（2026年6月30日及以前）</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54B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21636.4万元</w:t>
            </w:r>
          </w:p>
        </w:tc>
      </w:tr>
      <w:tr w14:paraId="2DA37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D114">
            <w:pPr>
              <w:jc w:val="center"/>
              <w:rPr>
                <w:rFonts w:hint="eastAsia" w:ascii="仿宋_GB2312" w:hAnsi="仿宋_GB2312" w:eastAsia="仿宋_GB2312" w:cs="仿宋_GB2312"/>
                <w:i w:val="0"/>
                <w:iCs w:val="0"/>
                <w:color w:val="000000"/>
                <w:sz w:val="24"/>
                <w:szCs w:val="24"/>
                <w:u w:val="none"/>
              </w:rPr>
            </w:pP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73933">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西安分公司（2026年6月30日及以前）</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0D4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15042.5万元</w:t>
            </w:r>
          </w:p>
        </w:tc>
      </w:tr>
      <w:tr w14:paraId="63FE7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5B7DB">
            <w:pPr>
              <w:jc w:val="center"/>
              <w:rPr>
                <w:rFonts w:hint="eastAsia" w:ascii="仿宋_GB2312" w:hAnsi="仿宋_GB2312" w:eastAsia="仿宋_GB2312" w:cs="仿宋_GB2312"/>
                <w:i w:val="0"/>
                <w:iCs w:val="0"/>
                <w:color w:val="000000"/>
                <w:sz w:val="24"/>
                <w:szCs w:val="24"/>
                <w:u w:val="none"/>
              </w:rPr>
            </w:pP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A1D3D">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南宁分公司（2026年6月30日及以前）</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430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23672.1万元</w:t>
            </w:r>
          </w:p>
        </w:tc>
      </w:tr>
      <w:tr w14:paraId="037C3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36CC">
            <w:pPr>
              <w:jc w:val="center"/>
              <w:rPr>
                <w:rFonts w:hint="eastAsia" w:ascii="仿宋_GB2312" w:hAnsi="仿宋_GB2312" w:eastAsia="仿宋_GB2312" w:cs="仿宋_GB2312"/>
                <w:i w:val="0"/>
                <w:iCs w:val="0"/>
                <w:color w:val="000000"/>
                <w:sz w:val="24"/>
                <w:szCs w:val="24"/>
                <w:u w:val="none"/>
              </w:rPr>
            </w:pP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0D9F6">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哈尔滨分公司（2026年6月30日及以前）</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F13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8310.7万元</w:t>
            </w:r>
          </w:p>
        </w:tc>
      </w:tr>
      <w:tr w14:paraId="78BF1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84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FCD5">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小计</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867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68661.7万元</w:t>
            </w:r>
          </w:p>
        </w:tc>
      </w:tr>
      <w:tr w14:paraId="3857F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10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B069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标段三</w:t>
            </w: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69598">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深圳分公司（2026年6月30日及以前）</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740D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30669.3万元</w:t>
            </w:r>
          </w:p>
        </w:tc>
      </w:tr>
      <w:tr w14:paraId="1453B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11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A32D">
            <w:pPr>
              <w:jc w:val="center"/>
              <w:rPr>
                <w:rFonts w:hint="eastAsia" w:ascii="仿宋_GB2312" w:hAnsi="仿宋_GB2312" w:eastAsia="仿宋_GB2312" w:cs="仿宋_GB2312"/>
                <w:i w:val="0"/>
                <w:iCs w:val="0"/>
                <w:color w:val="000000"/>
                <w:sz w:val="24"/>
                <w:szCs w:val="24"/>
                <w:u w:val="none"/>
              </w:rPr>
            </w:pPr>
          </w:p>
        </w:tc>
        <w:tc>
          <w:tcPr>
            <w:tcW w:w="2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CB347">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总部（2026年6月30日及以前）</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EFD1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46174.7万元</w:t>
            </w:r>
          </w:p>
        </w:tc>
      </w:tr>
      <w:tr w14:paraId="3C4C6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84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8A95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小计</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743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76844.0万元</w:t>
            </w:r>
          </w:p>
        </w:tc>
      </w:tr>
      <w:tr w14:paraId="54D37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84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9A6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合计</w:t>
            </w:r>
          </w:p>
        </w:tc>
        <w:tc>
          <w:tcPr>
            <w:tcW w:w="11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E068">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183672.5万元</w:t>
            </w:r>
          </w:p>
        </w:tc>
      </w:tr>
    </w:tbl>
    <w:p w14:paraId="0A4D5095">
      <w:pPr>
        <w:keepNext w:val="0"/>
        <w:keepLines w:val="0"/>
        <w:pageBreakBefore w:val="0"/>
        <w:widowControl/>
        <w:numPr>
          <w:ilvl w:val="0"/>
          <w:numId w:val="8"/>
        </w:numPr>
        <w:kinsoku/>
        <w:wordWrap/>
        <w:overflowPunct/>
        <w:topLinePunct w:val="0"/>
        <w:bidi w:val="0"/>
        <w:snapToGrid/>
        <w:spacing w:line="540" w:lineRule="exact"/>
        <w:ind w:firstLine="640" w:firstLineChars="200"/>
        <w:jc w:val="left"/>
        <w:rPr>
          <w:rFonts w:hint="eastAsia" w:ascii="仿宋_GB2312" w:hAnsi="楷体_GB2312" w:eastAsia="仿宋_GB2312" w:cs="楷体_GB2312"/>
          <w:color w:val="000000" w:themeColor="text1"/>
          <w:sz w:val="32"/>
          <w:szCs w:val="32"/>
          <w:highlight w:val="none"/>
          <w:lang w:val="en-US" w:eastAsia="zh-CN"/>
          <w14:textFill>
            <w14:solidFill>
              <w14:schemeClr w14:val="tx1"/>
            </w14:solidFill>
          </w14:textFill>
        </w:rPr>
      </w:pPr>
      <w:bookmarkStart w:id="107" w:name="_Toc87887982"/>
      <w:bookmarkStart w:id="108" w:name="_Toc14081"/>
      <w:bookmarkStart w:id="109" w:name="_Toc13816"/>
      <w:r>
        <w:rPr>
          <w:rFonts w:hint="eastAsia" w:ascii="仿宋_GB2312" w:hAnsi="楷体_GB2312" w:eastAsia="仿宋_GB2312" w:cs="楷体_GB2312"/>
          <w:color w:val="000000" w:themeColor="text1"/>
          <w:sz w:val="32"/>
          <w:szCs w:val="32"/>
          <w:highlight w:val="none"/>
          <w:lang w:val="en-US" w:eastAsia="zh-CN"/>
          <w14:textFill>
            <w14:solidFill>
              <w14:schemeClr w14:val="tx1"/>
            </w14:solidFill>
          </w14:textFill>
        </w:rPr>
        <w:t>诉讼标的明细</w:t>
      </w:r>
    </w:p>
    <w:p w14:paraId="019A13D9">
      <w:pPr>
        <w:pStyle w:val="2"/>
        <w:numPr>
          <w:numId w:val="0"/>
        </w:numPr>
        <w:adjustRightInd w:val="0"/>
        <w:spacing w:after="120" w:line="312" w:lineRule="atLeast"/>
        <w:jc w:val="both"/>
        <w:textAlignment w:val="baseline"/>
        <w:rPr>
          <w:rFonts w:hint="default"/>
          <w:lang w:val="en-US" w:eastAsia="zh-CN"/>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72"/>
        <w:gridCol w:w="2826"/>
        <w:gridCol w:w="2664"/>
        <w:gridCol w:w="2800"/>
      </w:tblGrid>
      <w:tr w14:paraId="7469C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639"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noWrap/>
            <w:vAlign w:val="center"/>
          </w:tcPr>
          <w:p w14:paraId="11B809B2">
            <w:pPr>
              <w:keepNext w:val="0"/>
              <w:keepLines w:val="0"/>
              <w:widowControl/>
              <w:suppressLineNumbers w:val="0"/>
              <w:jc w:val="center"/>
              <w:textAlignment w:val="center"/>
              <w:rPr>
                <w:rFonts w:ascii="仿宋_GB2312" w:hAnsi="宋体" w:eastAsia="仿宋_GB2312" w:cs="仿宋_GB2312"/>
                <w:b/>
                <w:bCs/>
                <w:i w:val="0"/>
                <w:iCs w:val="0"/>
                <w:color w:val="000000"/>
                <w:sz w:val="32"/>
                <w:szCs w:val="3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标段一（一）重庆、合肥、江西（2022年12月31日及以前）债权明细表</w:t>
            </w:r>
          </w:p>
        </w:tc>
      </w:tr>
      <w:tr w14:paraId="499D9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4F32F5F9">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序号</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080D3FFC">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分公司</w:t>
            </w:r>
          </w:p>
        </w:tc>
        <w:tc>
          <w:tcPr>
            <w:tcW w:w="1503" w:type="pct"/>
            <w:tcBorders>
              <w:top w:val="single" w:color="000000" w:sz="4" w:space="0"/>
              <w:left w:val="single" w:color="000000" w:sz="4" w:space="0"/>
              <w:bottom w:val="single" w:color="000000" w:sz="4" w:space="0"/>
              <w:right w:val="single" w:color="000000" w:sz="4" w:space="0"/>
            </w:tcBorders>
            <w:shd w:val="clear"/>
            <w:noWrap/>
            <w:vAlign w:val="center"/>
          </w:tcPr>
          <w:p w14:paraId="12596D5D">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关联方</w:t>
            </w:r>
          </w:p>
        </w:tc>
        <w:tc>
          <w:tcPr>
            <w:tcW w:w="1579" w:type="pct"/>
            <w:tcBorders>
              <w:top w:val="single" w:color="000000" w:sz="4" w:space="0"/>
              <w:left w:val="single" w:color="000000" w:sz="4" w:space="0"/>
              <w:bottom w:val="single" w:color="000000" w:sz="4" w:space="0"/>
              <w:right w:val="single" w:color="000000" w:sz="4" w:space="0"/>
            </w:tcBorders>
            <w:shd w:val="clear"/>
            <w:vAlign w:val="center"/>
          </w:tcPr>
          <w:p w14:paraId="23C78869">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债权金额（单位/元）</w:t>
            </w:r>
          </w:p>
        </w:tc>
      </w:tr>
      <w:tr w14:paraId="6BB8D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4607479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5B1A28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深圳第一亚太物业管理有限公司重庆分公司</w:t>
            </w:r>
          </w:p>
        </w:tc>
        <w:tc>
          <w:tcPr>
            <w:tcW w:w="1503" w:type="pct"/>
            <w:tcBorders>
              <w:top w:val="single" w:color="000000" w:sz="4" w:space="0"/>
              <w:left w:val="single" w:color="000000" w:sz="4" w:space="0"/>
              <w:bottom w:val="single" w:color="000000" w:sz="4" w:space="0"/>
              <w:right w:val="single" w:color="000000" w:sz="4" w:space="0"/>
            </w:tcBorders>
            <w:shd w:val="clear"/>
            <w:noWrap/>
            <w:vAlign w:val="center"/>
          </w:tcPr>
          <w:p w14:paraId="404791D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重庆华南城有限公司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179801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250,000.00 </w:t>
            </w:r>
          </w:p>
        </w:tc>
      </w:tr>
      <w:tr w14:paraId="10231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692DF1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32769D7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深圳第一亚太物业管理有限公司重庆分公司</w:t>
            </w:r>
          </w:p>
        </w:tc>
        <w:tc>
          <w:tcPr>
            <w:tcW w:w="1503" w:type="pct"/>
            <w:tcBorders>
              <w:top w:val="single" w:color="000000" w:sz="4" w:space="0"/>
              <w:left w:val="single" w:color="000000" w:sz="4" w:space="0"/>
              <w:bottom w:val="single" w:color="000000" w:sz="4" w:space="0"/>
              <w:right w:val="single" w:color="000000" w:sz="4" w:space="0"/>
            </w:tcBorders>
            <w:shd w:val="clear"/>
            <w:noWrap/>
            <w:vAlign w:val="center"/>
          </w:tcPr>
          <w:p w14:paraId="11913B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重庆华南城有限公司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679DC9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108,618.18 </w:t>
            </w:r>
          </w:p>
        </w:tc>
      </w:tr>
      <w:tr w14:paraId="4B962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7E28C9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38D1C9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深圳第一亚太物业管理有限公司重庆分公司</w:t>
            </w:r>
          </w:p>
        </w:tc>
        <w:tc>
          <w:tcPr>
            <w:tcW w:w="1503" w:type="pct"/>
            <w:tcBorders>
              <w:top w:val="single" w:color="000000" w:sz="4" w:space="0"/>
              <w:left w:val="single" w:color="000000" w:sz="4" w:space="0"/>
              <w:bottom w:val="single" w:color="000000" w:sz="4" w:space="0"/>
              <w:right w:val="single" w:color="000000" w:sz="4" w:space="0"/>
            </w:tcBorders>
            <w:shd w:val="clear"/>
            <w:noWrap/>
            <w:vAlign w:val="center"/>
          </w:tcPr>
          <w:p w14:paraId="16BF0D9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重庆华南城有限公司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3DFC16C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1,275,389.02 </w:t>
            </w:r>
          </w:p>
        </w:tc>
      </w:tr>
      <w:tr w14:paraId="0B552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27FF83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1D9F07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深圳第一亚太物业管理有限公司重庆分公司</w:t>
            </w:r>
          </w:p>
        </w:tc>
        <w:tc>
          <w:tcPr>
            <w:tcW w:w="1503" w:type="pct"/>
            <w:tcBorders>
              <w:top w:val="single" w:color="000000" w:sz="4" w:space="0"/>
              <w:left w:val="single" w:color="000000" w:sz="4" w:space="0"/>
              <w:bottom w:val="single" w:color="000000" w:sz="4" w:space="0"/>
              <w:right w:val="single" w:color="000000" w:sz="4" w:space="0"/>
            </w:tcBorders>
            <w:shd w:val="clear"/>
            <w:noWrap/>
            <w:vAlign w:val="center"/>
          </w:tcPr>
          <w:p w14:paraId="4DFA97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深圳华南城投资有限公司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35FBF8D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100,000.00 </w:t>
            </w:r>
          </w:p>
        </w:tc>
      </w:tr>
      <w:tr w14:paraId="4F411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65A9E1C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w:t>
            </w:r>
          </w:p>
        </w:tc>
        <w:tc>
          <w:tcPr>
            <w:tcW w:w="1594" w:type="pct"/>
            <w:tcBorders>
              <w:top w:val="single" w:color="000000" w:sz="4" w:space="0"/>
              <w:left w:val="single" w:color="000000" w:sz="4" w:space="0"/>
              <w:bottom w:val="single" w:color="000000" w:sz="4" w:space="0"/>
              <w:right w:val="single" w:color="000000" w:sz="4" w:space="0"/>
            </w:tcBorders>
            <w:shd w:val="clear"/>
            <w:vAlign w:val="center"/>
          </w:tcPr>
          <w:p w14:paraId="3C3706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w:t>
            </w:r>
            <w:r>
              <w:rPr>
                <w:rFonts w:hint="eastAsia" w:ascii="仿宋_GB2312" w:hAnsi="宋体" w:eastAsia="仿宋_GB2312" w:cs="仿宋_GB2312"/>
                <w:i w:val="0"/>
                <w:iCs w:val="0"/>
                <w:color w:val="000000"/>
                <w:kern w:val="0"/>
                <w:sz w:val="22"/>
                <w:szCs w:val="22"/>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深圳第一亚太物业管理有限公司重庆分公司</w:t>
            </w:r>
          </w:p>
        </w:tc>
        <w:tc>
          <w:tcPr>
            <w:tcW w:w="1503" w:type="pct"/>
            <w:tcBorders>
              <w:top w:val="single" w:color="000000" w:sz="4" w:space="0"/>
              <w:left w:val="single" w:color="000000" w:sz="4" w:space="0"/>
              <w:bottom w:val="single" w:color="000000" w:sz="4" w:space="0"/>
              <w:right w:val="single" w:color="000000" w:sz="4" w:space="0"/>
            </w:tcBorders>
            <w:shd w:val="clear"/>
            <w:vAlign w:val="center"/>
          </w:tcPr>
          <w:p w14:paraId="7D7F182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重庆振中房地产开发有限公司</w:t>
            </w:r>
            <w:r>
              <w:rPr>
                <w:rFonts w:hint="eastAsia" w:ascii="仿宋_GB2312" w:hAnsi="宋体" w:eastAsia="仿宋_GB2312" w:cs="仿宋_GB2312"/>
                <w:i w:val="0"/>
                <w:iCs w:val="0"/>
                <w:color w:val="000000"/>
                <w:kern w:val="0"/>
                <w:sz w:val="22"/>
                <w:szCs w:val="22"/>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2"/>
                <w:szCs w:val="22"/>
                <w:u w:val="none"/>
                <w:bdr w:val="none" w:color="auto" w:sz="0" w:space="0"/>
                <w:lang w:val="en-US" w:eastAsia="zh-CN" w:bidi="ar"/>
              </w:rPr>
              <w:t>重庆华南城有限公司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4589B8D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3,727,339.81 </w:t>
            </w:r>
          </w:p>
        </w:tc>
      </w:tr>
      <w:tr w14:paraId="48D6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15AA262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w:t>
            </w:r>
          </w:p>
        </w:tc>
        <w:tc>
          <w:tcPr>
            <w:tcW w:w="1594" w:type="pct"/>
            <w:tcBorders>
              <w:top w:val="single" w:color="000000" w:sz="4" w:space="0"/>
              <w:left w:val="single" w:color="000000" w:sz="4" w:space="0"/>
              <w:bottom w:val="single" w:color="000000" w:sz="4" w:space="0"/>
              <w:right w:val="single" w:color="000000" w:sz="4" w:space="0"/>
            </w:tcBorders>
            <w:shd w:val="clear"/>
            <w:vAlign w:val="center"/>
          </w:tcPr>
          <w:p w14:paraId="448CE4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w:t>
            </w:r>
            <w:r>
              <w:rPr>
                <w:rFonts w:hint="eastAsia" w:ascii="仿宋_GB2312" w:hAnsi="宋体" w:eastAsia="仿宋_GB2312" w:cs="仿宋_GB2312"/>
                <w:i w:val="0"/>
                <w:iCs w:val="0"/>
                <w:color w:val="000000"/>
                <w:kern w:val="0"/>
                <w:sz w:val="22"/>
                <w:szCs w:val="22"/>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深圳第一亚太物业管理有限公司重庆分公司</w:t>
            </w:r>
          </w:p>
        </w:tc>
        <w:tc>
          <w:tcPr>
            <w:tcW w:w="1503" w:type="pct"/>
            <w:tcBorders>
              <w:top w:val="single" w:color="000000" w:sz="4" w:space="0"/>
              <w:left w:val="single" w:color="000000" w:sz="4" w:space="0"/>
              <w:bottom w:val="single" w:color="000000" w:sz="4" w:space="0"/>
              <w:right w:val="single" w:color="000000" w:sz="4" w:space="0"/>
            </w:tcBorders>
            <w:shd w:val="clear"/>
            <w:noWrap/>
            <w:vAlign w:val="center"/>
          </w:tcPr>
          <w:p w14:paraId="5E888B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重庆鼎华隆房地产开发有限公司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623DA04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952,322.93 </w:t>
            </w:r>
          </w:p>
        </w:tc>
      </w:tr>
      <w:tr w14:paraId="0C671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2DE2E0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73E383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深圳第一亚太物业管理有限公司重庆分公司</w:t>
            </w:r>
          </w:p>
        </w:tc>
        <w:tc>
          <w:tcPr>
            <w:tcW w:w="1503" w:type="pct"/>
            <w:tcBorders>
              <w:top w:val="single" w:color="000000" w:sz="4" w:space="0"/>
              <w:left w:val="single" w:color="000000" w:sz="4" w:space="0"/>
              <w:bottom w:val="single" w:color="000000" w:sz="4" w:space="0"/>
              <w:right w:val="single" w:color="000000" w:sz="4" w:space="0"/>
            </w:tcBorders>
            <w:shd w:val="clear"/>
            <w:vAlign w:val="center"/>
          </w:tcPr>
          <w:p w14:paraId="56D8D97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重庆华盛佳和商业发展有限公司</w:t>
            </w:r>
            <w:r>
              <w:rPr>
                <w:rFonts w:hint="eastAsia" w:ascii="仿宋_GB2312" w:hAnsi="宋体" w:eastAsia="仿宋_GB2312" w:cs="仿宋_GB2312"/>
                <w:i w:val="0"/>
                <w:iCs w:val="0"/>
                <w:color w:val="000000"/>
                <w:kern w:val="0"/>
                <w:sz w:val="22"/>
                <w:szCs w:val="22"/>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深圳华盛商业发展有限公司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4131BA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11,987,049.31 </w:t>
            </w:r>
          </w:p>
        </w:tc>
      </w:tr>
      <w:tr w14:paraId="17539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12915F3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1798A0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深圳第一亚太物业管理有限公司重庆分公司</w:t>
            </w:r>
          </w:p>
        </w:tc>
        <w:tc>
          <w:tcPr>
            <w:tcW w:w="1503" w:type="pct"/>
            <w:tcBorders>
              <w:top w:val="single" w:color="000000" w:sz="4" w:space="0"/>
              <w:left w:val="single" w:color="000000" w:sz="4" w:space="0"/>
              <w:bottom w:val="single" w:color="000000" w:sz="4" w:space="0"/>
              <w:right w:val="single" w:color="000000" w:sz="4" w:space="0"/>
            </w:tcBorders>
            <w:shd w:val="clear"/>
            <w:noWrap/>
            <w:vAlign w:val="center"/>
          </w:tcPr>
          <w:p w14:paraId="0BDC6C9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华南国际工业原料城（深圳）有限公司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5C73D1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352,907.32 </w:t>
            </w:r>
          </w:p>
        </w:tc>
      </w:tr>
      <w:tr w14:paraId="78DA9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6180AF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52E228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深圳第一亚太物业管理有限公司合肥分公司</w:t>
            </w:r>
          </w:p>
        </w:tc>
        <w:tc>
          <w:tcPr>
            <w:tcW w:w="1503" w:type="pct"/>
            <w:tcBorders>
              <w:top w:val="single" w:color="000000" w:sz="4" w:space="0"/>
              <w:left w:val="single" w:color="000000" w:sz="4" w:space="0"/>
              <w:bottom w:val="single" w:color="000000" w:sz="4" w:space="0"/>
              <w:right w:val="single" w:color="000000" w:sz="4" w:space="0"/>
            </w:tcBorders>
            <w:shd w:val="clear"/>
            <w:noWrap/>
            <w:vAlign w:val="center"/>
          </w:tcPr>
          <w:p w14:paraId="44C68A1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合肥华南城有限公司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7269FD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1,554,388.64 </w:t>
            </w:r>
          </w:p>
        </w:tc>
      </w:tr>
      <w:tr w14:paraId="45201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1711819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675485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深圳第一亚太物业管理有限公司合肥分公司</w:t>
            </w:r>
          </w:p>
        </w:tc>
        <w:tc>
          <w:tcPr>
            <w:tcW w:w="1503" w:type="pct"/>
            <w:tcBorders>
              <w:top w:val="single" w:color="000000" w:sz="4" w:space="0"/>
              <w:left w:val="single" w:color="000000" w:sz="4" w:space="0"/>
              <w:bottom w:val="single" w:color="000000" w:sz="4" w:space="0"/>
              <w:right w:val="single" w:color="000000" w:sz="4" w:space="0"/>
            </w:tcBorders>
            <w:shd w:val="clear"/>
            <w:vAlign w:val="center"/>
          </w:tcPr>
          <w:p w14:paraId="5639C0E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合肥华盛商业运营有限公司</w:t>
            </w:r>
            <w:r>
              <w:rPr>
                <w:rFonts w:hint="eastAsia" w:ascii="仿宋_GB2312" w:hAnsi="宋体" w:eastAsia="仿宋_GB2312" w:cs="仿宋_GB2312"/>
                <w:i w:val="0"/>
                <w:iCs w:val="0"/>
                <w:color w:val="000000"/>
                <w:kern w:val="0"/>
                <w:sz w:val="22"/>
                <w:szCs w:val="22"/>
                <w:u w:val="none"/>
                <w:bdr w:val="none" w:color="auto" w:sz="0" w:space="0"/>
                <w:lang w:val="en-US" w:eastAsia="zh-CN" w:bidi="ar"/>
              </w:rPr>
              <w:br w:type="textWrapping"/>
            </w: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深圳华盛商业发展有限公司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132DF7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14,107,183.02 </w:t>
            </w:r>
          </w:p>
        </w:tc>
      </w:tr>
      <w:tr w14:paraId="36E10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13A10B2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305D736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深圳第一亚太物业管理有限公司合肥分公司</w:t>
            </w:r>
          </w:p>
        </w:tc>
        <w:tc>
          <w:tcPr>
            <w:tcW w:w="1503" w:type="pct"/>
            <w:tcBorders>
              <w:top w:val="single" w:color="000000" w:sz="4" w:space="0"/>
              <w:left w:val="single" w:color="000000" w:sz="4" w:space="0"/>
              <w:bottom w:val="single" w:color="000000" w:sz="4" w:space="0"/>
              <w:right w:val="single" w:color="000000" w:sz="4" w:space="0"/>
            </w:tcBorders>
            <w:shd w:val="clear"/>
            <w:noWrap/>
            <w:vAlign w:val="center"/>
          </w:tcPr>
          <w:p w14:paraId="4B4C14B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华南国际工业原料城（深圳）有限公司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24A415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597,158.79 </w:t>
            </w:r>
          </w:p>
        </w:tc>
      </w:tr>
      <w:tr w14:paraId="587AD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4E1A05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46572B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深圳第一亚太物业管理有限公司江西分公司</w:t>
            </w:r>
          </w:p>
        </w:tc>
        <w:tc>
          <w:tcPr>
            <w:tcW w:w="1503" w:type="pct"/>
            <w:tcBorders>
              <w:top w:val="single" w:color="000000" w:sz="4" w:space="0"/>
              <w:left w:val="single" w:color="000000" w:sz="4" w:space="0"/>
              <w:bottom w:val="single" w:color="000000" w:sz="4" w:space="0"/>
              <w:right w:val="single" w:color="000000" w:sz="4" w:space="0"/>
            </w:tcBorders>
            <w:shd w:val="clear"/>
            <w:noWrap/>
            <w:vAlign w:val="center"/>
          </w:tcPr>
          <w:p w14:paraId="7477F1D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南昌华南城有限公司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00D19DB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26,942,579.91 </w:t>
            </w:r>
          </w:p>
        </w:tc>
      </w:tr>
      <w:tr w14:paraId="7FC60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322" w:type="pct"/>
            <w:tcBorders>
              <w:top w:val="single" w:color="000000" w:sz="4" w:space="0"/>
              <w:left w:val="single" w:color="000000" w:sz="4" w:space="0"/>
              <w:bottom w:val="single" w:color="000000" w:sz="4" w:space="0"/>
              <w:right w:val="single" w:color="000000" w:sz="4" w:space="0"/>
            </w:tcBorders>
            <w:shd w:val="clear"/>
            <w:noWrap/>
            <w:vAlign w:val="center"/>
          </w:tcPr>
          <w:p w14:paraId="562278E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w:t>
            </w:r>
          </w:p>
        </w:tc>
        <w:tc>
          <w:tcPr>
            <w:tcW w:w="1594" w:type="pct"/>
            <w:tcBorders>
              <w:top w:val="single" w:color="000000" w:sz="4" w:space="0"/>
              <w:left w:val="single" w:color="000000" w:sz="4" w:space="0"/>
              <w:bottom w:val="single" w:color="000000" w:sz="4" w:space="0"/>
              <w:right w:val="single" w:color="000000" w:sz="4" w:space="0"/>
            </w:tcBorders>
            <w:shd w:val="clear"/>
            <w:noWrap/>
            <w:vAlign w:val="center"/>
          </w:tcPr>
          <w:p w14:paraId="47910B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深圳第一亚太物业管理有限公司江西分公司</w:t>
            </w:r>
          </w:p>
        </w:tc>
        <w:tc>
          <w:tcPr>
            <w:tcW w:w="1503" w:type="pct"/>
            <w:tcBorders>
              <w:top w:val="single" w:color="000000" w:sz="4" w:space="0"/>
              <w:left w:val="single" w:color="000000" w:sz="4" w:space="0"/>
              <w:bottom w:val="single" w:color="000000" w:sz="4" w:space="0"/>
              <w:right w:val="single" w:color="000000" w:sz="4" w:space="0"/>
            </w:tcBorders>
            <w:shd w:val="clear"/>
            <w:noWrap/>
            <w:vAlign w:val="center"/>
          </w:tcPr>
          <w:p w14:paraId="55B705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南昌华盛佳和商业发展有限公司</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1B14E3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5,637,709.80 </w:t>
            </w:r>
          </w:p>
        </w:tc>
      </w:tr>
      <w:tr w14:paraId="41054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3420" w:type="pct"/>
            <w:gridSpan w:val="3"/>
            <w:tcBorders>
              <w:top w:val="single" w:color="000000" w:sz="4" w:space="0"/>
              <w:left w:val="single" w:color="000000" w:sz="4" w:space="0"/>
              <w:bottom w:val="single" w:color="000000" w:sz="4" w:space="0"/>
              <w:right w:val="single" w:color="000000" w:sz="4" w:space="0"/>
            </w:tcBorders>
            <w:shd w:val="clear"/>
            <w:noWrap/>
            <w:vAlign w:val="center"/>
          </w:tcPr>
          <w:p w14:paraId="04BC3E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合计</w:t>
            </w:r>
          </w:p>
        </w:tc>
        <w:tc>
          <w:tcPr>
            <w:tcW w:w="1579" w:type="pct"/>
            <w:tcBorders>
              <w:top w:val="single" w:color="000000" w:sz="4" w:space="0"/>
              <w:left w:val="single" w:color="000000" w:sz="4" w:space="0"/>
              <w:bottom w:val="single" w:color="000000" w:sz="4" w:space="0"/>
              <w:right w:val="single" w:color="000000" w:sz="4" w:space="0"/>
            </w:tcBorders>
            <w:shd w:val="clear"/>
            <w:noWrap/>
            <w:vAlign w:val="center"/>
          </w:tcPr>
          <w:p w14:paraId="542DD6D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67,592,646.73 </w:t>
            </w:r>
          </w:p>
        </w:tc>
      </w:tr>
    </w:tbl>
    <w:p w14:paraId="2710FB2D">
      <w:pPr>
        <w:pStyle w:val="2"/>
        <w:numPr>
          <w:numId w:val="0"/>
        </w:numPr>
        <w:adjustRightInd w:val="0"/>
        <w:spacing w:after="120" w:line="312" w:lineRule="atLeast"/>
        <w:jc w:val="both"/>
        <w:textAlignment w:val="baseline"/>
        <w:rPr>
          <w:rFonts w:hint="default"/>
          <w:lang w:val="en-US" w:eastAsia="zh-CN"/>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56"/>
        <w:gridCol w:w="1031"/>
        <w:gridCol w:w="2680"/>
        <w:gridCol w:w="4495"/>
      </w:tblGrid>
      <w:tr w14:paraId="1E02F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vAlign w:val="center"/>
          </w:tcPr>
          <w:p w14:paraId="781FB0BA">
            <w:pPr>
              <w:keepNext w:val="0"/>
              <w:keepLines w:val="0"/>
              <w:widowControl/>
              <w:suppressLineNumbers w:val="0"/>
              <w:jc w:val="center"/>
              <w:textAlignment w:val="center"/>
              <w:rPr>
                <w:rFonts w:ascii="仿宋_GB2312" w:hAnsi="宋体" w:eastAsia="仿宋_GB2312" w:cs="仿宋_GB2312"/>
                <w:b/>
                <w:bCs/>
                <w:i w:val="0"/>
                <w:iCs w:val="0"/>
                <w:color w:val="000000"/>
                <w:sz w:val="32"/>
                <w:szCs w:val="3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标段一（二）重庆、合肥、江西（2023年1月1日-2026年6月30日）债权明细表 </w:t>
            </w:r>
          </w:p>
        </w:tc>
      </w:tr>
      <w:tr w14:paraId="02D13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33BED8C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序号</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6959123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公司</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59A98867">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关联方名称</w:t>
            </w:r>
          </w:p>
        </w:tc>
        <w:tc>
          <w:tcPr>
            <w:tcW w:w="2578" w:type="pct"/>
            <w:tcBorders>
              <w:top w:val="single" w:color="000000" w:sz="4" w:space="0"/>
              <w:left w:val="single" w:color="000000" w:sz="4" w:space="0"/>
              <w:bottom w:val="single" w:color="000000" w:sz="4" w:space="0"/>
              <w:right w:val="single" w:color="000000" w:sz="4" w:space="0"/>
            </w:tcBorders>
            <w:shd w:val="clear"/>
            <w:vAlign w:val="center"/>
          </w:tcPr>
          <w:p w14:paraId="0E8440F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债权金额（单位/元）</w:t>
            </w:r>
          </w:p>
        </w:tc>
      </w:tr>
      <w:tr w14:paraId="3BD5C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3A0CC621">
            <w:pPr>
              <w:jc w:val="center"/>
              <w:rPr>
                <w:rFonts w:hint="eastAsia" w:ascii="仿宋_GB2312" w:hAnsi="宋体" w:eastAsia="仿宋_GB2312" w:cs="仿宋_GB2312"/>
                <w:i w:val="0"/>
                <w:iCs w:val="0"/>
                <w:color w:val="000000"/>
                <w:sz w:val="22"/>
                <w:szCs w:val="22"/>
                <w:u w:val="none"/>
              </w:rPr>
            </w:pP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0F002634">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重庆</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4CCF1BD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小计</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5FB9E02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124,990,350.96 </w:t>
            </w:r>
          </w:p>
        </w:tc>
      </w:tr>
      <w:tr w14:paraId="37E0C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6ED3DB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1C63652B">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重庆</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093C07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重庆华南城有限公司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38EB3E2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54,257,722.00 </w:t>
            </w:r>
          </w:p>
        </w:tc>
      </w:tr>
      <w:tr w14:paraId="1101B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0B227A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17071A21">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重庆</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1B3D8E8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重庆振中房地产开发有限公司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7E32524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15,894,721.82 </w:t>
            </w:r>
          </w:p>
        </w:tc>
      </w:tr>
      <w:tr w14:paraId="1BF6C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337D41B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67B5E87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重庆</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50B395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重庆鼎华隆房地产开发有限公司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1964ECC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9,279,915.99 </w:t>
            </w:r>
          </w:p>
        </w:tc>
      </w:tr>
      <w:tr w14:paraId="6DC39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2886F64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07C83DFE">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重庆</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18FEBF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华南城商业管理（重庆）有限公司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4A08E02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18,960,955.35 </w:t>
            </w:r>
          </w:p>
        </w:tc>
      </w:tr>
      <w:tr w14:paraId="39434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4EC5BDB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63D6690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重庆</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14B49F2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重庆华盛佳和商业发展有限公司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66765AA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21,540,279.22 </w:t>
            </w:r>
          </w:p>
        </w:tc>
      </w:tr>
      <w:tr w14:paraId="66920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7B04784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02C055B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重庆</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1B7C92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重庆永利通供应链管理有限公司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30996F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190,910.68 </w:t>
            </w:r>
          </w:p>
        </w:tc>
      </w:tr>
      <w:tr w14:paraId="15AF6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26F59A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63A77D3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重庆</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35B81AC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重庆宝力通市场管理有限公司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7574ED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4,865,845.90 </w:t>
            </w:r>
          </w:p>
        </w:tc>
      </w:tr>
      <w:tr w14:paraId="28C38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45F076A5">
            <w:pPr>
              <w:jc w:val="center"/>
              <w:rPr>
                <w:rFonts w:hint="eastAsia" w:ascii="仿宋_GB2312" w:hAnsi="宋体" w:eastAsia="仿宋_GB2312" w:cs="仿宋_GB2312"/>
                <w:i w:val="0"/>
                <w:iCs w:val="0"/>
                <w:color w:val="000000"/>
                <w:sz w:val="22"/>
                <w:szCs w:val="22"/>
                <w:u w:val="none"/>
              </w:rPr>
            </w:pP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642DC1CB">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合肥</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708CA9A3">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小计</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39E49F4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79,613,613.09 </w:t>
            </w:r>
          </w:p>
        </w:tc>
      </w:tr>
      <w:tr w14:paraId="712A3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5D45E0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0B08FBFD">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合肥</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49B73AB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合肥华南城有限公司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36FC38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58,565,808.38 </w:t>
            </w:r>
          </w:p>
        </w:tc>
      </w:tr>
      <w:tr w14:paraId="14F09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259F4A2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5788985E">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合肥</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72A3BCB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合肥华盛商业运营有限公司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5330EF9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19,562,730.24 </w:t>
            </w:r>
          </w:p>
        </w:tc>
      </w:tr>
      <w:tr w14:paraId="60F60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37E1EC4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271A7057">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合肥</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469312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合肥华南城商业管理有限公司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76FD4F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1,485,074.47 </w:t>
            </w:r>
          </w:p>
        </w:tc>
      </w:tr>
      <w:tr w14:paraId="4C18F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6B80509D">
            <w:pPr>
              <w:jc w:val="center"/>
              <w:rPr>
                <w:rFonts w:hint="eastAsia" w:ascii="仿宋_GB2312" w:hAnsi="宋体" w:eastAsia="仿宋_GB2312" w:cs="仿宋_GB2312"/>
                <w:i w:val="0"/>
                <w:iCs w:val="0"/>
                <w:color w:val="000000"/>
                <w:sz w:val="22"/>
                <w:szCs w:val="22"/>
                <w:u w:val="none"/>
              </w:rPr>
            </w:pP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0971FBBD">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江西</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0F511563">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小计</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3C43CA3E">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109,471,687.63 </w:t>
            </w:r>
          </w:p>
        </w:tc>
      </w:tr>
      <w:tr w14:paraId="0BB55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48F74CD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4912D2AB">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江西</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4BFF18B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南昌华南城有限公司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60861F7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98,309,257.61 </w:t>
            </w:r>
          </w:p>
        </w:tc>
      </w:tr>
      <w:tr w14:paraId="3C41B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0D925A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0CF395A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江西</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1A1FBDC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南昌华盛佳和商业发展有限公司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30AE965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10,449,847.06 </w:t>
            </w:r>
          </w:p>
        </w:tc>
      </w:tr>
      <w:tr w14:paraId="553D9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42D306C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0B49551C">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江西</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1374FE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南昌乾龙物流有限公司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5530E0E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449,534.73 </w:t>
            </w:r>
          </w:p>
        </w:tc>
      </w:tr>
      <w:tr w14:paraId="43530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6AD9054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5BC76977">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江西</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77BFB6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南昌乾龙置业有限公司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6D48A1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26,688.91 </w:t>
            </w:r>
          </w:p>
        </w:tc>
      </w:tr>
      <w:tr w14:paraId="5C33A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2F55B00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w:t>
            </w:r>
          </w:p>
        </w:tc>
        <w:tc>
          <w:tcPr>
            <w:tcW w:w="625" w:type="pct"/>
            <w:tcBorders>
              <w:top w:val="single" w:color="000000" w:sz="4" w:space="0"/>
              <w:left w:val="single" w:color="000000" w:sz="4" w:space="0"/>
              <w:bottom w:val="single" w:color="000000" w:sz="4" w:space="0"/>
              <w:right w:val="single" w:color="000000" w:sz="4" w:space="0"/>
            </w:tcBorders>
            <w:shd w:val="clear"/>
            <w:vAlign w:val="center"/>
          </w:tcPr>
          <w:p w14:paraId="1F12BD2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江西</w:t>
            </w:r>
          </w:p>
        </w:tc>
        <w:tc>
          <w:tcPr>
            <w:tcW w:w="1554" w:type="pct"/>
            <w:tcBorders>
              <w:top w:val="single" w:color="000000" w:sz="4" w:space="0"/>
              <w:left w:val="single" w:color="000000" w:sz="4" w:space="0"/>
              <w:bottom w:val="single" w:color="000000" w:sz="4" w:space="0"/>
              <w:right w:val="single" w:color="000000" w:sz="4" w:space="0"/>
            </w:tcBorders>
            <w:shd w:val="clear"/>
            <w:vAlign w:val="center"/>
          </w:tcPr>
          <w:p w14:paraId="5B79EF3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南昌乾龙实业有限公司</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4A796C6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236,359.32 </w:t>
            </w:r>
          </w:p>
        </w:tc>
      </w:tr>
      <w:tr w14:paraId="50C41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41" w:type="pct"/>
            <w:tcBorders>
              <w:top w:val="single" w:color="000000" w:sz="4" w:space="0"/>
              <w:left w:val="single" w:color="000000" w:sz="4" w:space="0"/>
              <w:bottom w:val="single" w:color="000000" w:sz="4" w:space="0"/>
              <w:right w:val="single" w:color="000000" w:sz="4" w:space="0"/>
            </w:tcBorders>
            <w:shd w:val="clear"/>
            <w:noWrap/>
            <w:vAlign w:val="center"/>
          </w:tcPr>
          <w:p w14:paraId="266C5A64">
            <w:pPr>
              <w:jc w:val="center"/>
              <w:rPr>
                <w:rFonts w:hint="eastAsia" w:ascii="仿宋_GB2312" w:hAnsi="宋体" w:eastAsia="仿宋_GB2312" w:cs="仿宋_GB2312"/>
                <w:i w:val="0"/>
                <w:iCs w:val="0"/>
                <w:color w:val="000000"/>
                <w:sz w:val="22"/>
                <w:szCs w:val="22"/>
                <w:u w:val="none"/>
              </w:rPr>
            </w:pPr>
          </w:p>
        </w:tc>
        <w:tc>
          <w:tcPr>
            <w:tcW w:w="2180" w:type="pct"/>
            <w:gridSpan w:val="2"/>
            <w:tcBorders>
              <w:top w:val="single" w:color="000000" w:sz="4" w:space="0"/>
              <w:left w:val="single" w:color="000000" w:sz="4" w:space="0"/>
              <w:bottom w:val="single" w:color="000000" w:sz="4" w:space="0"/>
              <w:right w:val="single" w:color="000000" w:sz="4" w:space="0"/>
            </w:tcBorders>
            <w:shd w:val="clear"/>
            <w:vAlign w:val="center"/>
          </w:tcPr>
          <w:p w14:paraId="05F8D1E9">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总计</w:t>
            </w:r>
          </w:p>
        </w:tc>
        <w:tc>
          <w:tcPr>
            <w:tcW w:w="2578" w:type="pct"/>
            <w:tcBorders>
              <w:top w:val="single" w:color="000000" w:sz="4" w:space="0"/>
              <w:left w:val="single" w:color="000000" w:sz="4" w:space="0"/>
              <w:bottom w:val="single" w:color="000000" w:sz="4" w:space="0"/>
              <w:right w:val="single" w:color="000000" w:sz="4" w:space="0"/>
            </w:tcBorders>
            <w:shd w:val="clear"/>
            <w:noWrap/>
            <w:vAlign w:val="center"/>
          </w:tcPr>
          <w:p w14:paraId="745126A3">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314,075,651.67 </w:t>
            </w:r>
          </w:p>
        </w:tc>
      </w:tr>
    </w:tbl>
    <w:p w14:paraId="232DA5C1">
      <w:pPr>
        <w:pStyle w:val="2"/>
        <w:numPr>
          <w:numId w:val="0"/>
        </w:numPr>
        <w:adjustRightInd w:val="0"/>
        <w:spacing w:after="120" w:line="312" w:lineRule="atLeast"/>
        <w:jc w:val="both"/>
        <w:textAlignment w:val="baseline"/>
        <w:rPr>
          <w:rFonts w:hint="default"/>
          <w:lang w:val="en-US" w:eastAsia="zh-CN"/>
        </w:rPr>
      </w:pPr>
    </w:p>
    <w:p w14:paraId="70C7B218">
      <w:pPr>
        <w:pStyle w:val="2"/>
        <w:numPr>
          <w:numId w:val="0"/>
        </w:numPr>
        <w:adjustRightInd w:val="0"/>
        <w:spacing w:after="120" w:line="312" w:lineRule="atLeast"/>
        <w:jc w:val="both"/>
        <w:textAlignment w:val="baseline"/>
        <w:rPr>
          <w:rFonts w:hint="default"/>
          <w:lang w:val="en-US" w:eastAsia="zh-CN"/>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36"/>
        <w:gridCol w:w="1075"/>
        <w:gridCol w:w="3663"/>
        <w:gridCol w:w="3688"/>
      </w:tblGrid>
      <w:tr w14:paraId="745D6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vAlign w:val="center"/>
          </w:tcPr>
          <w:p w14:paraId="7FB8EBC9">
            <w:pPr>
              <w:keepNext w:val="0"/>
              <w:keepLines w:val="0"/>
              <w:widowControl/>
              <w:suppressLineNumbers w:val="0"/>
              <w:jc w:val="center"/>
              <w:textAlignment w:val="center"/>
              <w:rPr>
                <w:rFonts w:ascii="仿宋_GB2312" w:hAnsi="宋体" w:eastAsia="仿宋_GB2312" w:cs="仿宋_GB2312"/>
                <w:b/>
                <w:bCs/>
                <w:i w:val="0"/>
                <w:iCs w:val="0"/>
                <w:color w:val="000000"/>
                <w:sz w:val="32"/>
                <w:szCs w:val="3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标段二 郑州、西安、哈尔滨、南宁（2026年6月30日及以前）债权明细表 </w:t>
            </w:r>
          </w:p>
        </w:tc>
      </w:tr>
      <w:tr w14:paraId="18902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nil"/>
              <w:left w:val="single" w:color="000000" w:sz="4" w:space="0"/>
              <w:bottom w:val="single" w:color="000000" w:sz="4" w:space="0"/>
              <w:right w:val="single" w:color="000000" w:sz="4" w:space="0"/>
            </w:tcBorders>
            <w:shd w:val="clear"/>
            <w:noWrap/>
            <w:vAlign w:val="center"/>
          </w:tcPr>
          <w:p w14:paraId="6C8E7A9E">
            <w:pPr>
              <w:jc w:val="center"/>
              <w:rPr>
                <w:rFonts w:hint="eastAsia" w:ascii="仿宋_GB2312" w:hAnsi="宋体" w:eastAsia="仿宋_GB2312" w:cs="仿宋_GB2312"/>
                <w:i w:val="0"/>
                <w:iCs w:val="0"/>
                <w:color w:val="000000"/>
                <w:sz w:val="22"/>
                <w:szCs w:val="22"/>
                <w:u w:val="none"/>
              </w:rPr>
            </w:pPr>
          </w:p>
        </w:tc>
        <w:tc>
          <w:tcPr>
            <w:tcW w:w="607" w:type="pct"/>
            <w:tcBorders>
              <w:top w:val="nil"/>
              <w:left w:val="single" w:color="000000" w:sz="4" w:space="0"/>
              <w:bottom w:val="single" w:color="000000" w:sz="4" w:space="0"/>
              <w:right w:val="single" w:color="000000" w:sz="4" w:space="0"/>
            </w:tcBorders>
            <w:shd w:val="clear"/>
            <w:vAlign w:val="center"/>
          </w:tcPr>
          <w:p w14:paraId="30B9DD3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公司</w:t>
            </w:r>
          </w:p>
        </w:tc>
        <w:tc>
          <w:tcPr>
            <w:tcW w:w="2067" w:type="pct"/>
            <w:tcBorders>
              <w:top w:val="nil"/>
              <w:left w:val="single" w:color="000000" w:sz="4" w:space="0"/>
              <w:bottom w:val="single" w:color="000000" w:sz="4" w:space="0"/>
              <w:right w:val="single" w:color="000000" w:sz="4" w:space="0"/>
            </w:tcBorders>
            <w:shd w:val="clear"/>
            <w:vAlign w:val="center"/>
          </w:tcPr>
          <w:p w14:paraId="2DD8025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关联方名称</w:t>
            </w:r>
          </w:p>
        </w:tc>
        <w:tc>
          <w:tcPr>
            <w:tcW w:w="2079" w:type="pct"/>
            <w:tcBorders>
              <w:top w:val="nil"/>
              <w:left w:val="single" w:color="000000" w:sz="4" w:space="0"/>
              <w:bottom w:val="single" w:color="000000" w:sz="4" w:space="0"/>
              <w:right w:val="single" w:color="000000" w:sz="4" w:space="0"/>
            </w:tcBorders>
            <w:shd w:val="clear"/>
            <w:vAlign w:val="center"/>
          </w:tcPr>
          <w:p w14:paraId="367067F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债权金额（单位/元）</w:t>
            </w:r>
          </w:p>
        </w:tc>
      </w:tr>
      <w:tr w14:paraId="42D55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3E2D4012">
            <w:pPr>
              <w:jc w:val="center"/>
              <w:rPr>
                <w:rFonts w:hint="eastAsia" w:ascii="仿宋_GB2312" w:hAnsi="宋体" w:eastAsia="仿宋_GB2312" w:cs="仿宋_GB2312"/>
                <w:i w:val="0"/>
                <w:iCs w:val="0"/>
                <w:color w:val="000000"/>
                <w:sz w:val="22"/>
                <w:szCs w:val="22"/>
                <w:u w:val="none"/>
              </w:rPr>
            </w:pP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150DF973">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西安</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0D6C9F24">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小计</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119F304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150,425,121.13 </w:t>
            </w:r>
          </w:p>
        </w:tc>
      </w:tr>
      <w:tr w14:paraId="7365E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4994CB4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0C05407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西安</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00815C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华南城商业管理（西安）有限公司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7DE2018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16,989,704.89 </w:t>
            </w:r>
          </w:p>
        </w:tc>
      </w:tr>
      <w:tr w14:paraId="236DE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197F78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578119A7">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西安</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223D1D1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华南国际工业原料城（深圳）有限公司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160DD0F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426,836.77 </w:t>
            </w:r>
          </w:p>
        </w:tc>
      </w:tr>
      <w:tr w14:paraId="16D72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3C20BC9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37482B9D">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西安</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213EDA6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深圳华南城投资有限公司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02952A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150,000.00 </w:t>
            </w:r>
          </w:p>
        </w:tc>
      </w:tr>
      <w:tr w14:paraId="67861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55AE59F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4346AAB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西安</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42EE279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西安嘉泰商业运营管理有限公司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608F1D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39,680.00 </w:t>
            </w:r>
          </w:p>
        </w:tc>
      </w:tr>
      <w:tr w14:paraId="650A3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3FE686F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28C5B90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西安</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4F3942A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西安华南城有限公司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628819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120,077,344.71 </w:t>
            </w:r>
          </w:p>
        </w:tc>
      </w:tr>
      <w:tr w14:paraId="05375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731874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5EDFE433">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西安</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7A06998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西安华盛佳和商业发展有限公司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5BA6EF8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12,741,554.76 </w:t>
            </w:r>
          </w:p>
        </w:tc>
      </w:tr>
      <w:tr w14:paraId="0A30D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45F35BF4">
            <w:pPr>
              <w:jc w:val="center"/>
              <w:rPr>
                <w:rFonts w:hint="eastAsia" w:ascii="仿宋_GB2312" w:hAnsi="宋体" w:eastAsia="仿宋_GB2312" w:cs="仿宋_GB2312"/>
                <w:i w:val="0"/>
                <w:iCs w:val="0"/>
                <w:color w:val="000000"/>
                <w:sz w:val="22"/>
                <w:szCs w:val="22"/>
                <w:u w:val="none"/>
              </w:rPr>
            </w:pP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201E4A79">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郑州</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219A072D">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小计</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7FF016C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216,363,738.40 </w:t>
            </w:r>
          </w:p>
        </w:tc>
      </w:tr>
      <w:tr w14:paraId="5533C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618181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7F29BE7C">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郑州</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436801F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华南国际工业原料城（深圳）有限公司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7ED02C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268,541.06 </w:t>
            </w:r>
          </w:p>
        </w:tc>
      </w:tr>
      <w:tr w14:paraId="6633C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5CD2404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38C6AAE6">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郑州</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5E532C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南昌华南城商业管理有限公司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2F76050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740,000.00 </w:t>
            </w:r>
          </w:p>
        </w:tc>
      </w:tr>
      <w:tr w14:paraId="08526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252674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2A9619EE">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郑州</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3717157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深圳华南城投资有限公司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74ABD7A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200,000.00 </w:t>
            </w:r>
          </w:p>
        </w:tc>
      </w:tr>
      <w:tr w14:paraId="5F0DE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7BC8E7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755CAB3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郑州</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509F5F8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深圳华盛商业发展有限公司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49DB44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300,000.00 </w:t>
            </w:r>
          </w:p>
        </w:tc>
      </w:tr>
      <w:tr w14:paraId="4272A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3C009DA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4B741BB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郑州</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29EDB0D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郑州华南城有限公司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53CBE0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187,800,783.61 </w:t>
            </w:r>
          </w:p>
        </w:tc>
      </w:tr>
      <w:tr w14:paraId="5147A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2996F0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2E26086B">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郑州</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70B858D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郑州华盛佳和商业投资有限公司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7E2F413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27,029,509.33 </w:t>
            </w:r>
          </w:p>
        </w:tc>
      </w:tr>
      <w:tr w14:paraId="27F28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797715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74421F4D">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郑州</w:t>
            </w:r>
          </w:p>
        </w:tc>
        <w:tc>
          <w:tcPr>
            <w:tcW w:w="2067" w:type="pct"/>
            <w:tcBorders>
              <w:top w:val="single" w:color="000000" w:sz="4" w:space="0"/>
              <w:left w:val="single" w:color="000000" w:sz="4" w:space="0"/>
              <w:bottom w:val="single" w:color="000000" w:sz="4" w:space="0"/>
              <w:right w:val="single" w:color="000000" w:sz="4" w:space="0"/>
            </w:tcBorders>
            <w:shd w:val="clear"/>
            <w:vAlign w:val="bottom"/>
          </w:tcPr>
          <w:p w14:paraId="388C082B">
            <w:pPr>
              <w:keepNext w:val="0"/>
              <w:keepLines w:val="0"/>
              <w:widowControl/>
              <w:suppressLineNumbers w:val="0"/>
              <w:jc w:val="center"/>
              <w:textAlignment w:val="bottom"/>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深圳市华南城商业集团有限公司</w:t>
            </w:r>
          </w:p>
        </w:tc>
        <w:tc>
          <w:tcPr>
            <w:tcW w:w="2079"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0BACBC4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7,318.00 </w:t>
            </w:r>
          </w:p>
        </w:tc>
      </w:tr>
      <w:tr w14:paraId="3CBA1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7B28AEA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6F6E6381">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郑州</w:t>
            </w:r>
          </w:p>
        </w:tc>
        <w:tc>
          <w:tcPr>
            <w:tcW w:w="2067" w:type="pct"/>
            <w:tcBorders>
              <w:top w:val="single" w:color="000000" w:sz="4" w:space="0"/>
              <w:left w:val="single" w:color="000000" w:sz="4" w:space="0"/>
              <w:bottom w:val="single" w:color="000000" w:sz="4" w:space="0"/>
              <w:right w:val="single" w:color="000000" w:sz="4" w:space="0"/>
            </w:tcBorders>
            <w:shd w:val="clear"/>
            <w:vAlign w:val="bottom"/>
          </w:tcPr>
          <w:p w14:paraId="3E4CD63F">
            <w:pPr>
              <w:keepNext w:val="0"/>
              <w:keepLines w:val="0"/>
              <w:widowControl/>
              <w:suppressLineNumbers w:val="0"/>
              <w:jc w:val="center"/>
              <w:textAlignment w:val="bottom"/>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郑州乾龙置业有限公司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70AC5F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17,586.40 </w:t>
            </w:r>
          </w:p>
        </w:tc>
      </w:tr>
      <w:tr w14:paraId="0BA1F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11446D66">
            <w:pPr>
              <w:jc w:val="center"/>
              <w:rPr>
                <w:rFonts w:hint="eastAsia" w:ascii="仿宋_GB2312" w:hAnsi="宋体" w:eastAsia="仿宋_GB2312" w:cs="仿宋_GB2312"/>
                <w:i w:val="0"/>
                <w:iCs w:val="0"/>
                <w:color w:val="000000"/>
                <w:sz w:val="22"/>
                <w:szCs w:val="22"/>
                <w:u w:val="none"/>
              </w:rPr>
            </w:pP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7C8D802E">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哈尔滨</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5C43230E">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小计</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6D372627">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83,106,623.96 </w:t>
            </w:r>
          </w:p>
        </w:tc>
      </w:tr>
      <w:tr w14:paraId="5093E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40942C9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7252BA3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哈尔滨</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65E6C31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哈尔滨宝力通市场开发管理有限公司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7115778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36,780,534.82 </w:t>
            </w:r>
          </w:p>
        </w:tc>
      </w:tr>
      <w:tr w14:paraId="16D75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4810001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6BD2063C">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哈尔滨</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57EBD61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哈尔滨华南城网科技有限公司</w:t>
            </w:r>
          </w:p>
        </w:tc>
        <w:tc>
          <w:tcPr>
            <w:tcW w:w="2079"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1F1646D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512.00 </w:t>
            </w:r>
          </w:p>
        </w:tc>
      </w:tr>
      <w:tr w14:paraId="2DC6E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67D1A4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44C477C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哈尔滨</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0B14F37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哈尔滨华南城有限公司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7E89AA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44,681,337.33 </w:t>
            </w:r>
          </w:p>
        </w:tc>
      </w:tr>
      <w:tr w14:paraId="6A88A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5133AB1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25A3F7D3">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哈尔滨</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343458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哈尔滨华亿龙皮草城有限公司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7622AA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1,490,412.80 </w:t>
            </w:r>
          </w:p>
        </w:tc>
      </w:tr>
      <w:tr w14:paraId="3CAB3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10F1511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1E57C114">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哈尔滨</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68952F4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华南国际工业原料城（深圳）有限公司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4DAAA4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153,827.01 </w:t>
            </w:r>
          </w:p>
        </w:tc>
      </w:tr>
      <w:tr w14:paraId="507B0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379BA87F">
            <w:pPr>
              <w:jc w:val="center"/>
              <w:rPr>
                <w:rFonts w:hint="eastAsia" w:ascii="仿宋_GB2312" w:hAnsi="宋体" w:eastAsia="仿宋_GB2312" w:cs="仿宋_GB2312"/>
                <w:i w:val="0"/>
                <w:iCs w:val="0"/>
                <w:color w:val="000000"/>
                <w:sz w:val="22"/>
                <w:szCs w:val="22"/>
                <w:u w:val="none"/>
              </w:rPr>
            </w:pP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36C62166">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南宁</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2215243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小计</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1C3D152B">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236,721,102.43 </w:t>
            </w:r>
          </w:p>
        </w:tc>
      </w:tr>
      <w:tr w14:paraId="0B91E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0213791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6A04A9C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南宁</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48CBAB0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广西好百年商业管理有限公司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447FA8C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3,785,182.30 </w:t>
            </w:r>
          </w:p>
        </w:tc>
      </w:tr>
      <w:tr w14:paraId="7F9CD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780B783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21</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0AA5CA0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南宁</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58023F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南宁华南城商业管理有限公司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23EFF3D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2,785,712.85 </w:t>
            </w:r>
          </w:p>
        </w:tc>
      </w:tr>
      <w:tr w14:paraId="0B293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3E65A0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22</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17D0E0EE">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南宁</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0041C25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南宁华南城有限公司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6FDB0D2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200,371,191.19 </w:t>
            </w:r>
          </w:p>
        </w:tc>
      </w:tr>
      <w:tr w14:paraId="60BC0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0DE0D4B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23</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2DA1958C">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南宁</w:t>
            </w:r>
          </w:p>
        </w:tc>
        <w:tc>
          <w:tcPr>
            <w:tcW w:w="2067" w:type="pct"/>
            <w:tcBorders>
              <w:top w:val="single" w:color="000000" w:sz="4" w:space="0"/>
              <w:left w:val="single" w:color="000000" w:sz="4" w:space="0"/>
              <w:bottom w:val="single" w:color="000000" w:sz="4" w:space="0"/>
              <w:right w:val="single" w:color="000000" w:sz="4" w:space="0"/>
            </w:tcBorders>
            <w:shd w:val="clear"/>
            <w:vAlign w:val="bottom"/>
          </w:tcPr>
          <w:p w14:paraId="290F9205">
            <w:pPr>
              <w:keepNext w:val="0"/>
              <w:keepLines w:val="0"/>
              <w:widowControl/>
              <w:suppressLineNumbers w:val="0"/>
              <w:jc w:val="center"/>
              <w:textAlignment w:val="bottom"/>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南宁市华南城小额贷款有限公司</w:t>
            </w:r>
          </w:p>
        </w:tc>
        <w:tc>
          <w:tcPr>
            <w:tcW w:w="2079"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387EB16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2,989.15 </w:t>
            </w:r>
          </w:p>
        </w:tc>
      </w:tr>
      <w:tr w14:paraId="498ED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6EEF2F5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24</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473CE156">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南宁</w:t>
            </w:r>
          </w:p>
        </w:tc>
        <w:tc>
          <w:tcPr>
            <w:tcW w:w="2067" w:type="pct"/>
            <w:tcBorders>
              <w:top w:val="single" w:color="000000" w:sz="4" w:space="0"/>
              <w:left w:val="single" w:color="000000" w:sz="4" w:space="0"/>
              <w:bottom w:val="single" w:color="000000" w:sz="4" w:space="0"/>
              <w:right w:val="single" w:color="000000" w:sz="4" w:space="0"/>
            </w:tcBorders>
            <w:shd w:val="clear"/>
            <w:vAlign w:val="bottom"/>
          </w:tcPr>
          <w:p w14:paraId="758AF37D">
            <w:pPr>
              <w:keepNext w:val="0"/>
              <w:keepLines w:val="0"/>
              <w:widowControl/>
              <w:suppressLineNumbers w:val="0"/>
              <w:jc w:val="center"/>
              <w:textAlignment w:val="bottom"/>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南宁嘉泰商业运营管理有限公司</w:t>
            </w:r>
          </w:p>
        </w:tc>
        <w:tc>
          <w:tcPr>
            <w:tcW w:w="2079"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1555096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6,709.19 </w:t>
            </w:r>
          </w:p>
        </w:tc>
      </w:tr>
      <w:tr w14:paraId="5359E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535625E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25</w:t>
            </w:r>
          </w:p>
        </w:tc>
        <w:tc>
          <w:tcPr>
            <w:tcW w:w="607" w:type="pct"/>
            <w:tcBorders>
              <w:top w:val="single" w:color="000000" w:sz="4" w:space="0"/>
              <w:left w:val="single" w:color="000000" w:sz="4" w:space="0"/>
              <w:bottom w:val="single" w:color="000000" w:sz="4" w:space="0"/>
              <w:right w:val="single" w:color="000000" w:sz="4" w:space="0"/>
            </w:tcBorders>
            <w:shd w:val="clear"/>
            <w:vAlign w:val="center"/>
          </w:tcPr>
          <w:p w14:paraId="35751EF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南宁</w:t>
            </w:r>
          </w:p>
        </w:tc>
        <w:tc>
          <w:tcPr>
            <w:tcW w:w="2067" w:type="pct"/>
            <w:tcBorders>
              <w:top w:val="single" w:color="000000" w:sz="4" w:space="0"/>
              <w:left w:val="single" w:color="000000" w:sz="4" w:space="0"/>
              <w:bottom w:val="single" w:color="000000" w:sz="4" w:space="0"/>
              <w:right w:val="single" w:color="000000" w:sz="4" w:space="0"/>
            </w:tcBorders>
            <w:shd w:val="clear"/>
            <w:vAlign w:val="center"/>
          </w:tcPr>
          <w:p w14:paraId="4BE708F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南宁华盛佳和商业投资有限公司</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3A730F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29,769,317.75 </w:t>
            </w:r>
          </w:p>
        </w:tc>
      </w:tr>
      <w:tr w14:paraId="1088B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45" w:type="pct"/>
            <w:tcBorders>
              <w:top w:val="single" w:color="000000" w:sz="4" w:space="0"/>
              <w:left w:val="single" w:color="000000" w:sz="4" w:space="0"/>
              <w:bottom w:val="single" w:color="000000" w:sz="4" w:space="0"/>
              <w:right w:val="single" w:color="000000" w:sz="4" w:space="0"/>
            </w:tcBorders>
            <w:shd w:val="clear"/>
            <w:noWrap/>
            <w:vAlign w:val="center"/>
          </w:tcPr>
          <w:p w14:paraId="6B139158">
            <w:pPr>
              <w:jc w:val="center"/>
              <w:rPr>
                <w:rFonts w:hint="eastAsia" w:ascii="仿宋_GB2312" w:hAnsi="宋体" w:eastAsia="仿宋_GB2312" w:cs="仿宋_GB2312"/>
                <w:i w:val="0"/>
                <w:iCs w:val="0"/>
                <w:color w:val="000000"/>
                <w:sz w:val="22"/>
                <w:szCs w:val="22"/>
                <w:u w:val="none"/>
              </w:rPr>
            </w:pPr>
          </w:p>
        </w:tc>
        <w:tc>
          <w:tcPr>
            <w:tcW w:w="2674"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341B27C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总计</w:t>
            </w:r>
          </w:p>
        </w:tc>
        <w:tc>
          <w:tcPr>
            <w:tcW w:w="2079" w:type="pct"/>
            <w:tcBorders>
              <w:top w:val="single" w:color="000000" w:sz="4" w:space="0"/>
              <w:left w:val="single" w:color="000000" w:sz="4" w:space="0"/>
              <w:bottom w:val="single" w:color="000000" w:sz="4" w:space="0"/>
              <w:right w:val="single" w:color="000000" w:sz="4" w:space="0"/>
            </w:tcBorders>
            <w:shd w:val="clear"/>
            <w:noWrap/>
            <w:vAlign w:val="center"/>
          </w:tcPr>
          <w:p w14:paraId="05598863">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686,616,585.92 </w:t>
            </w:r>
          </w:p>
        </w:tc>
      </w:tr>
    </w:tbl>
    <w:p w14:paraId="6EDFFD6C">
      <w:pPr>
        <w:pStyle w:val="2"/>
        <w:numPr>
          <w:numId w:val="0"/>
        </w:numPr>
        <w:adjustRightInd w:val="0"/>
        <w:spacing w:after="120" w:line="312" w:lineRule="atLeast"/>
        <w:jc w:val="both"/>
        <w:textAlignment w:val="baseline"/>
        <w:rPr>
          <w:rFonts w:hint="default"/>
          <w:lang w:val="en-US" w:eastAsia="zh-CN"/>
        </w:rPr>
      </w:pPr>
    </w:p>
    <w:p w14:paraId="3F4150B5">
      <w:pPr>
        <w:pStyle w:val="2"/>
        <w:numPr>
          <w:numId w:val="0"/>
        </w:numPr>
        <w:adjustRightInd w:val="0"/>
        <w:spacing w:after="120" w:line="312" w:lineRule="atLeast"/>
        <w:jc w:val="both"/>
        <w:textAlignment w:val="baseline"/>
        <w:rPr>
          <w:rFonts w:hint="default"/>
          <w:lang w:val="en-US" w:eastAsia="zh-CN"/>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36"/>
        <w:gridCol w:w="704"/>
        <w:gridCol w:w="3689"/>
        <w:gridCol w:w="4033"/>
      </w:tblGrid>
      <w:tr w14:paraId="6D950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vAlign w:val="center"/>
          </w:tcPr>
          <w:p w14:paraId="51687B6A">
            <w:pPr>
              <w:keepNext w:val="0"/>
              <w:keepLines w:val="0"/>
              <w:widowControl/>
              <w:suppressLineNumbers w:val="0"/>
              <w:jc w:val="center"/>
              <w:textAlignment w:val="center"/>
              <w:rPr>
                <w:rFonts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标段三 深圳、总部（2026年6月30日及以前）债权明细表 </w:t>
            </w:r>
          </w:p>
        </w:tc>
      </w:tr>
      <w:tr w14:paraId="69152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03AE90C5">
            <w:pPr>
              <w:jc w:val="center"/>
              <w:rPr>
                <w:rFonts w:hint="eastAsia" w:ascii="仿宋_GB2312" w:hAnsi="宋体" w:eastAsia="仿宋_GB2312" w:cs="仿宋_GB2312"/>
                <w:b/>
                <w:bCs/>
                <w:i w:val="0"/>
                <w:iCs w:val="0"/>
                <w:color w:val="000000"/>
                <w:sz w:val="22"/>
                <w:szCs w:val="22"/>
                <w:u w:val="none"/>
              </w:rPr>
            </w:pP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661E220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公司</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18779C0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关联方名称</w:t>
            </w:r>
          </w:p>
        </w:tc>
        <w:tc>
          <w:tcPr>
            <w:tcW w:w="2305" w:type="pct"/>
            <w:tcBorders>
              <w:top w:val="single" w:color="000000" w:sz="4" w:space="0"/>
              <w:left w:val="single" w:color="000000" w:sz="4" w:space="0"/>
              <w:bottom w:val="single" w:color="000000" w:sz="4" w:space="0"/>
              <w:right w:val="single" w:color="000000" w:sz="4" w:space="0"/>
            </w:tcBorders>
            <w:shd w:val="clear"/>
            <w:vAlign w:val="center"/>
          </w:tcPr>
          <w:p w14:paraId="2539B3B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债权金额（单位/元）</w:t>
            </w:r>
          </w:p>
        </w:tc>
      </w:tr>
      <w:tr w14:paraId="1CDDF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7D8634E2">
            <w:pPr>
              <w:jc w:val="center"/>
              <w:rPr>
                <w:rFonts w:hint="eastAsia" w:ascii="仿宋_GB2312" w:hAnsi="宋体" w:eastAsia="仿宋_GB2312" w:cs="仿宋_GB2312"/>
                <w:i w:val="0"/>
                <w:iCs w:val="0"/>
                <w:color w:val="000000"/>
                <w:sz w:val="22"/>
                <w:szCs w:val="22"/>
                <w:u w:val="none"/>
              </w:rPr>
            </w:pP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52644064">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47890917">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小计</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4EAE0F36">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306,692,901.10 </w:t>
            </w:r>
          </w:p>
        </w:tc>
      </w:tr>
      <w:tr w14:paraId="50EA7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10364B76">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5E76A74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4C36E98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华南城商业管理（重庆）有限公司</w:t>
            </w:r>
          </w:p>
        </w:tc>
        <w:tc>
          <w:tcPr>
            <w:tcW w:w="2305"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36858E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2,087.12 </w:t>
            </w:r>
          </w:p>
        </w:tc>
      </w:tr>
      <w:tr w14:paraId="2D1A5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2931881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7D1E0F4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47F6351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华南国际工业原料城（深圳）有限公司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6C12400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220,662,773.21 </w:t>
            </w:r>
          </w:p>
        </w:tc>
      </w:tr>
      <w:tr w14:paraId="1C39D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3E18C50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3</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2186A6C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7941610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深圳华南城商贸物流服务有限公司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28DDA1B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127,928.40 </w:t>
            </w:r>
          </w:p>
        </w:tc>
      </w:tr>
      <w:tr w14:paraId="6FA88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7310FB5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4</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495AFA17">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55AA163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深圳华盛商业发展有限公司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359D608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79,271,706.26 </w:t>
            </w:r>
          </w:p>
        </w:tc>
      </w:tr>
      <w:tr w14:paraId="14089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656E40B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5</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04846D9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1F5F8D3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深圳市华南城广告有限公司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3260E5A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1,422,465.37 </w:t>
            </w:r>
          </w:p>
        </w:tc>
      </w:tr>
      <w:tr w14:paraId="039B5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67D89A3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6</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2E76F2B0">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050ABAF7">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深圳市华南城商业集团有限公司</w:t>
            </w:r>
          </w:p>
        </w:tc>
        <w:tc>
          <w:tcPr>
            <w:tcW w:w="2305"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7CC44603">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7,627.05 </w:t>
            </w:r>
          </w:p>
        </w:tc>
      </w:tr>
      <w:tr w14:paraId="3BAC8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2519996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7</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36016FC4">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bottom"/>
          </w:tcPr>
          <w:p w14:paraId="41DFE361">
            <w:pPr>
              <w:keepNext w:val="0"/>
              <w:keepLines w:val="0"/>
              <w:widowControl/>
              <w:suppressLineNumbers w:val="0"/>
              <w:jc w:val="center"/>
              <w:textAlignment w:val="bottom"/>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深圳市乾龙物流有限公司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2AA089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4,260,583.99 </w:t>
            </w:r>
          </w:p>
        </w:tc>
      </w:tr>
      <w:tr w14:paraId="7E88E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52E13C5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8</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4227643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49E183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深圳市好百年家居连锁股份有限公司龙岗分公司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4BB50D7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922,511.46 </w:t>
            </w:r>
          </w:p>
        </w:tc>
      </w:tr>
      <w:tr w14:paraId="16B79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619251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9</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3D666C7C">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noWrap/>
            <w:vAlign w:val="bottom"/>
          </w:tcPr>
          <w:p w14:paraId="25FA7CF2">
            <w:pPr>
              <w:keepNext w:val="0"/>
              <w:keepLines w:val="0"/>
              <w:widowControl/>
              <w:suppressLineNumbers w:val="0"/>
              <w:jc w:val="center"/>
              <w:textAlignment w:val="bottom"/>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南宁华南城有限公司</w:t>
            </w:r>
          </w:p>
        </w:tc>
        <w:tc>
          <w:tcPr>
            <w:tcW w:w="2305"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1D3106F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107.05 </w:t>
            </w:r>
          </w:p>
        </w:tc>
      </w:tr>
      <w:tr w14:paraId="3402C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7D29D15B">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10</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1414227B">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noWrap/>
            <w:vAlign w:val="bottom"/>
          </w:tcPr>
          <w:p w14:paraId="07645B2E">
            <w:pPr>
              <w:keepNext w:val="0"/>
              <w:keepLines w:val="0"/>
              <w:widowControl/>
              <w:suppressLineNumbers w:val="0"/>
              <w:jc w:val="center"/>
              <w:textAlignment w:val="bottom"/>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郑州华南城有限公司</w:t>
            </w:r>
          </w:p>
        </w:tc>
        <w:tc>
          <w:tcPr>
            <w:tcW w:w="2305"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23D8A724">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5,083.95 </w:t>
            </w:r>
          </w:p>
        </w:tc>
      </w:tr>
      <w:tr w14:paraId="6DA23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6801B0E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11</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129DA0E8">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bottom"/>
          </w:tcPr>
          <w:p w14:paraId="5F3C207B">
            <w:pPr>
              <w:keepNext w:val="0"/>
              <w:keepLines w:val="0"/>
              <w:widowControl/>
              <w:suppressLineNumbers w:val="0"/>
              <w:jc w:val="center"/>
              <w:textAlignment w:val="bottom"/>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深圳市华南城数字科技有限公司</w:t>
            </w:r>
          </w:p>
        </w:tc>
        <w:tc>
          <w:tcPr>
            <w:tcW w:w="2305"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33D2253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9,654.61 </w:t>
            </w:r>
          </w:p>
        </w:tc>
      </w:tr>
      <w:tr w14:paraId="39475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75FDD8D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12</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18B0647F">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bottom"/>
          </w:tcPr>
          <w:p w14:paraId="11D09655">
            <w:pPr>
              <w:keepNext w:val="0"/>
              <w:keepLines w:val="0"/>
              <w:widowControl/>
              <w:suppressLineNumbers w:val="0"/>
              <w:jc w:val="center"/>
              <w:textAlignment w:val="bottom"/>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南昌华南城有限公司</w:t>
            </w:r>
          </w:p>
        </w:tc>
        <w:tc>
          <w:tcPr>
            <w:tcW w:w="2305"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27C9664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48.96 </w:t>
            </w:r>
          </w:p>
        </w:tc>
      </w:tr>
      <w:tr w14:paraId="1FDCB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0EEC8C69">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13</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20828292">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vAlign w:val="bottom"/>
          </w:tcPr>
          <w:p w14:paraId="2C26136A">
            <w:pPr>
              <w:keepNext w:val="0"/>
              <w:keepLines w:val="0"/>
              <w:widowControl/>
              <w:suppressLineNumbers w:val="0"/>
              <w:jc w:val="center"/>
              <w:textAlignment w:val="bottom"/>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南昌华南城商业管理有限公司</w:t>
            </w:r>
          </w:p>
        </w:tc>
        <w:tc>
          <w:tcPr>
            <w:tcW w:w="2305"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6AA8DCC1">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4.51 </w:t>
            </w:r>
          </w:p>
        </w:tc>
      </w:tr>
      <w:tr w14:paraId="2CBED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0924CF4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14</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2F77E835">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深圳</w:t>
            </w:r>
          </w:p>
        </w:tc>
        <w:tc>
          <w:tcPr>
            <w:tcW w:w="2113" w:type="pct"/>
            <w:tcBorders>
              <w:top w:val="single" w:color="000000" w:sz="4" w:space="0"/>
              <w:left w:val="single" w:color="000000" w:sz="4" w:space="0"/>
              <w:bottom w:val="single" w:color="000000" w:sz="4" w:space="0"/>
              <w:right w:val="single" w:color="000000" w:sz="4" w:space="0"/>
            </w:tcBorders>
            <w:shd w:val="clear"/>
            <w:noWrap/>
            <w:vAlign w:val="bottom"/>
          </w:tcPr>
          <w:p w14:paraId="7C98503C">
            <w:pPr>
              <w:keepNext w:val="0"/>
              <w:keepLines w:val="0"/>
              <w:widowControl/>
              <w:suppressLineNumbers w:val="0"/>
              <w:jc w:val="center"/>
              <w:textAlignment w:val="bottom"/>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重庆华南城有限公司</w:t>
            </w:r>
          </w:p>
        </w:tc>
        <w:tc>
          <w:tcPr>
            <w:tcW w:w="2305" w:type="pct"/>
            <w:tcBorders>
              <w:top w:val="single" w:color="000000" w:sz="4" w:space="0"/>
              <w:left w:val="single" w:color="000000" w:sz="4" w:space="0"/>
              <w:bottom w:val="single" w:color="000000" w:sz="4" w:space="0"/>
              <w:right w:val="single" w:color="000000" w:sz="4" w:space="0"/>
            </w:tcBorders>
            <w:shd w:val="clear" w:color="auto" w:fill="00B050"/>
            <w:noWrap/>
            <w:vAlign w:val="center"/>
          </w:tcPr>
          <w:p w14:paraId="753073E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319.16 </w:t>
            </w:r>
          </w:p>
        </w:tc>
      </w:tr>
      <w:tr w14:paraId="388A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69F6888F">
            <w:pPr>
              <w:jc w:val="center"/>
              <w:rPr>
                <w:rFonts w:hint="eastAsia" w:ascii="仿宋_GB2312" w:hAnsi="宋体" w:eastAsia="仿宋_GB2312" w:cs="仿宋_GB2312"/>
                <w:i w:val="0"/>
                <w:iCs w:val="0"/>
                <w:color w:val="000000"/>
                <w:sz w:val="22"/>
                <w:szCs w:val="22"/>
                <w:u w:val="none"/>
              </w:rPr>
            </w:pP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66E5BF87">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总部</w:t>
            </w:r>
          </w:p>
        </w:tc>
        <w:tc>
          <w:tcPr>
            <w:tcW w:w="2113" w:type="pct"/>
            <w:tcBorders>
              <w:top w:val="single" w:color="000000" w:sz="4" w:space="0"/>
              <w:left w:val="single" w:color="000000" w:sz="4" w:space="0"/>
              <w:bottom w:val="single" w:color="000000" w:sz="4" w:space="0"/>
              <w:right w:val="single" w:color="000000" w:sz="4" w:space="0"/>
            </w:tcBorders>
            <w:shd w:val="clear"/>
            <w:noWrap/>
            <w:vAlign w:val="bottom"/>
          </w:tcPr>
          <w:p w14:paraId="6847AF9A">
            <w:pPr>
              <w:jc w:val="center"/>
              <w:rPr>
                <w:rFonts w:hint="eastAsia" w:ascii="仿宋_GB2312" w:hAnsi="宋体" w:eastAsia="仿宋_GB2312" w:cs="仿宋_GB2312"/>
                <w:i w:val="0"/>
                <w:iCs w:val="0"/>
                <w:color w:val="000000"/>
                <w:sz w:val="22"/>
                <w:szCs w:val="22"/>
                <w:u w:val="none"/>
              </w:rPr>
            </w:pP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44BA7C29">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461,747,238.18 </w:t>
            </w:r>
          </w:p>
        </w:tc>
      </w:tr>
      <w:tr w14:paraId="17626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298E8FB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15</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2CC47266">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总部</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0BE277EA">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华南国际工业原料城（深圳）有限公司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3F3DF8B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168,413,738.18 </w:t>
            </w:r>
          </w:p>
        </w:tc>
      </w:tr>
      <w:tr w14:paraId="61102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28B9490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16</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08178CE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总部</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25F9AC1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南昌华南城商业管理有限公司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27B9D98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90,000.00 </w:t>
            </w:r>
          </w:p>
        </w:tc>
      </w:tr>
      <w:tr w14:paraId="44337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6E64D73E">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17</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3C753DB9">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总部</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110F07F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南昌华南城有限公司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10E7075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340,000.00 </w:t>
            </w:r>
          </w:p>
        </w:tc>
      </w:tr>
      <w:tr w14:paraId="55279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17C63F2F">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18</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1FE53AE1">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总部</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4115019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南宁华南城有限公司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37754C5C">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265,000.00 </w:t>
            </w:r>
          </w:p>
        </w:tc>
      </w:tr>
      <w:tr w14:paraId="6C7B4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0A3F450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19</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757ED7DD">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总部</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421AD5C5">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深圳市华南城商业集团有限公司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55F64202">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291,998,500.00 </w:t>
            </w:r>
          </w:p>
        </w:tc>
      </w:tr>
      <w:tr w14:paraId="601AA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511E8760">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20</w:t>
            </w:r>
          </w:p>
        </w:tc>
        <w:tc>
          <w:tcPr>
            <w:tcW w:w="429" w:type="pct"/>
            <w:tcBorders>
              <w:top w:val="single" w:color="000000" w:sz="4" w:space="0"/>
              <w:left w:val="single" w:color="000000" w:sz="4" w:space="0"/>
              <w:bottom w:val="single" w:color="000000" w:sz="4" w:space="0"/>
              <w:right w:val="single" w:color="000000" w:sz="4" w:space="0"/>
            </w:tcBorders>
            <w:shd w:val="clear"/>
            <w:vAlign w:val="center"/>
          </w:tcPr>
          <w:p w14:paraId="3F957ADA">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总部</w:t>
            </w:r>
          </w:p>
        </w:tc>
        <w:tc>
          <w:tcPr>
            <w:tcW w:w="2113" w:type="pct"/>
            <w:tcBorders>
              <w:top w:val="single" w:color="000000" w:sz="4" w:space="0"/>
              <w:left w:val="single" w:color="000000" w:sz="4" w:space="0"/>
              <w:bottom w:val="single" w:color="000000" w:sz="4" w:space="0"/>
              <w:right w:val="single" w:color="000000" w:sz="4" w:space="0"/>
            </w:tcBorders>
            <w:shd w:val="clear"/>
            <w:vAlign w:val="center"/>
          </w:tcPr>
          <w:p w14:paraId="0DACD438">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郑州华南城有限公司</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3DA60ADD">
            <w:pPr>
              <w:keepNext w:val="0"/>
              <w:keepLines w:val="0"/>
              <w:widowControl/>
              <w:suppressLineNumbers w:val="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bdr w:val="none" w:color="auto" w:sz="0" w:space="0"/>
                <w:lang w:val="en-US" w:eastAsia="zh-CN" w:bidi="ar"/>
              </w:rPr>
              <w:t xml:space="preserve"> 640,000.00 </w:t>
            </w:r>
          </w:p>
        </w:tc>
      </w:tr>
      <w:tr w14:paraId="4EA28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1" w:type="pct"/>
            <w:tcBorders>
              <w:top w:val="single" w:color="000000" w:sz="4" w:space="0"/>
              <w:left w:val="single" w:color="000000" w:sz="4" w:space="0"/>
              <w:bottom w:val="single" w:color="000000" w:sz="4" w:space="0"/>
              <w:right w:val="single" w:color="000000" w:sz="4" w:space="0"/>
            </w:tcBorders>
            <w:shd w:val="clear"/>
            <w:noWrap/>
            <w:vAlign w:val="center"/>
          </w:tcPr>
          <w:p w14:paraId="157F5977">
            <w:pPr>
              <w:jc w:val="center"/>
              <w:rPr>
                <w:rFonts w:hint="eastAsia" w:ascii="仿宋_GB2312" w:hAnsi="宋体" w:eastAsia="仿宋_GB2312" w:cs="仿宋_GB2312"/>
                <w:b/>
                <w:bCs/>
                <w:i w:val="0"/>
                <w:iCs w:val="0"/>
                <w:color w:val="000000"/>
                <w:sz w:val="22"/>
                <w:szCs w:val="22"/>
                <w:u w:val="none"/>
              </w:rPr>
            </w:pPr>
          </w:p>
        </w:tc>
        <w:tc>
          <w:tcPr>
            <w:tcW w:w="2542"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1867DDD1">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总计</w:t>
            </w:r>
          </w:p>
        </w:tc>
        <w:tc>
          <w:tcPr>
            <w:tcW w:w="2305" w:type="pct"/>
            <w:tcBorders>
              <w:top w:val="single" w:color="000000" w:sz="4" w:space="0"/>
              <w:left w:val="single" w:color="000000" w:sz="4" w:space="0"/>
              <w:bottom w:val="single" w:color="000000" w:sz="4" w:space="0"/>
              <w:right w:val="single" w:color="000000" w:sz="4" w:space="0"/>
            </w:tcBorders>
            <w:shd w:val="clear"/>
            <w:noWrap/>
            <w:vAlign w:val="center"/>
          </w:tcPr>
          <w:p w14:paraId="69C91B1C">
            <w:pPr>
              <w:keepNext w:val="0"/>
              <w:keepLines w:val="0"/>
              <w:widowControl/>
              <w:suppressLineNumbers w:val="0"/>
              <w:jc w:val="center"/>
              <w:textAlignment w:val="center"/>
              <w:rPr>
                <w:rFonts w:hint="eastAsia" w:ascii="仿宋_GB2312" w:hAnsi="宋体" w:eastAsia="仿宋_GB2312" w:cs="仿宋_GB2312"/>
                <w:b/>
                <w:bCs/>
                <w:i w:val="0"/>
                <w:iCs w:val="0"/>
                <w:color w:val="000000"/>
                <w:sz w:val="22"/>
                <w:szCs w:val="22"/>
                <w:u w:val="none"/>
              </w:rPr>
            </w:pPr>
            <w:r>
              <w:rPr>
                <w:rFonts w:hint="eastAsia" w:ascii="仿宋_GB2312" w:hAnsi="宋体" w:eastAsia="仿宋_GB2312" w:cs="仿宋_GB2312"/>
                <w:b/>
                <w:bCs/>
                <w:i w:val="0"/>
                <w:iCs w:val="0"/>
                <w:color w:val="000000"/>
                <w:kern w:val="0"/>
                <w:sz w:val="22"/>
                <w:szCs w:val="22"/>
                <w:u w:val="none"/>
                <w:bdr w:val="none" w:color="auto" w:sz="0" w:space="0"/>
                <w:lang w:val="en-US" w:eastAsia="zh-CN" w:bidi="ar"/>
              </w:rPr>
              <w:t xml:space="preserve"> 768,440,139.28 </w:t>
            </w:r>
          </w:p>
        </w:tc>
      </w:tr>
    </w:tbl>
    <w:p w14:paraId="7CE9C2E1">
      <w:pPr>
        <w:pStyle w:val="2"/>
        <w:numPr>
          <w:numId w:val="0"/>
        </w:numPr>
        <w:adjustRightInd w:val="0"/>
        <w:spacing w:after="120" w:line="312" w:lineRule="atLeast"/>
        <w:jc w:val="both"/>
        <w:textAlignment w:val="baseline"/>
        <w:rPr>
          <w:rFonts w:hint="default"/>
          <w:lang w:val="en-US" w:eastAsia="zh-CN"/>
        </w:rPr>
        <w:sectPr>
          <w:pgSz w:w="12240" w:h="15840"/>
          <w:pgMar w:top="1440" w:right="1797" w:bottom="1440" w:left="1797" w:header="720" w:footer="720" w:gutter="0"/>
          <w:cols w:space="720" w:num="1"/>
        </w:sectPr>
      </w:pPr>
    </w:p>
    <w:p w14:paraId="45999EEA">
      <w:pPr>
        <w:pStyle w:val="2"/>
      </w:pPr>
    </w:p>
    <w:p w14:paraId="172C649D">
      <w:pPr>
        <w:spacing w:line="360" w:lineRule="auto"/>
        <w:jc w:val="center"/>
        <w:outlineLvl w:val="0"/>
        <w:rPr>
          <w:rFonts w:ascii="宋体" w:hAnsi="宋体" w:cs="黑体"/>
          <w:b/>
          <w:sz w:val="48"/>
          <w:szCs w:val="48"/>
          <w:shd w:val="clear" w:color="060000" w:fill="auto"/>
        </w:rPr>
      </w:pPr>
      <w:r>
        <w:rPr>
          <w:rFonts w:ascii="宋体" w:hAnsi="宋体" w:cs="黑体"/>
          <w:b/>
          <w:sz w:val="48"/>
          <w:szCs w:val="48"/>
          <w:shd w:val="clear" w:color="060000" w:fill="auto"/>
        </w:rPr>
        <w:t>第</w:t>
      </w:r>
      <w:r>
        <w:rPr>
          <w:rFonts w:hint="eastAsia" w:ascii="宋体" w:hAnsi="宋体" w:cs="黑体"/>
          <w:b/>
          <w:sz w:val="48"/>
          <w:szCs w:val="48"/>
          <w:shd w:val="clear" w:color="060000" w:fill="auto"/>
        </w:rPr>
        <w:t>五</w:t>
      </w:r>
      <w:r>
        <w:rPr>
          <w:rFonts w:ascii="宋体" w:hAnsi="宋体" w:cs="黑体"/>
          <w:b/>
          <w:sz w:val="48"/>
          <w:szCs w:val="48"/>
          <w:shd w:val="clear" w:color="060000" w:fill="auto"/>
        </w:rPr>
        <w:t>章</w:t>
      </w:r>
      <w:r>
        <w:rPr>
          <w:rFonts w:hint="eastAsia" w:ascii="宋体" w:hAnsi="宋体" w:cs="黑体"/>
          <w:b/>
          <w:sz w:val="48"/>
          <w:szCs w:val="48"/>
          <w:shd w:val="clear" w:color="060000" w:fill="auto"/>
        </w:rPr>
        <w:t xml:space="preserve"> 投标文件格式</w:t>
      </w:r>
      <w:bookmarkEnd w:id="107"/>
      <w:bookmarkEnd w:id="108"/>
      <w:bookmarkEnd w:id="109"/>
    </w:p>
    <w:p w14:paraId="57C84EFC">
      <w:pPr>
        <w:pStyle w:val="51"/>
        <w:ind w:firstLine="0" w:firstLineChars="0"/>
        <w:rPr>
          <w:rFonts w:ascii="宋体" w:hAnsi="宋体"/>
          <w:b/>
          <w:sz w:val="32"/>
          <w:szCs w:val="32"/>
        </w:rPr>
      </w:pPr>
    </w:p>
    <w:p w14:paraId="780DEB1E">
      <w:pPr>
        <w:pStyle w:val="51"/>
        <w:ind w:firstLine="0" w:firstLineChars="0"/>
        <w:outlineLvl w:val="1"/>
        <w:rPr>
          <w:rFonts w:ascii="仿宋" w:hAnsi="仿宋" w:eastAsia="仿宋"/>
          <w:b/>
          <w:kern w:val="0"/>
          <w:sz w:val="28"/>
          <w:szCs w:val="28"/>
        </w:rPr>
      </w:pPr>
      <w:r>
        <w:rPr>
          <w:rFonts w:ascii="宋体" w:hAnsi="宋体"/>
          <w:b/>
          <w:sz w:val="32"/>
          <w:szCs w:val="32"/>
        </w:rPr>
        <w:br w:type="page"/>
      </w:r>
      <w:bookmarkStart w:id="110" w:name="_Toc31209"/>
      <w:bookmarkStart w:id="111" w:name="_Toc29284"/>
      <w:bookmarkStart w:id="112" w:name="_Toc87887983"/>
      <w:r>
        <w:rPr>
          <w:rFonts w:hint="eastAsia" w:ascii="仿宋" w:hAnsi="仿宋" w:eastAsia="仿宋"/>
          <w:b/>
          <w:kern w:val="0"/>
          <w:sz w:val="28"/>
          <w:szCs w:val="28"/>
        </w:rPr>
        <w:t>一、</w:t>
      </w:r>
      <w:r>
        <w:rPr>
          <w:rFonts w:hint="eastAsia" w:ascii="仿宋" w:hAnsi="仿宋" w:eastAsia="仿宋"/>
          <w:b/>
          <w:bCs/>
          <w:kern w:val="0"/>
          <w:sz w:val="28"/>
          <w:szCs w:val="28"/>
        </w:rPr>
        <w:t>投标文件格式--</w:t>
      </w:r>
      <w:r>
        <w:rPr>
          <w:rFonts w:hint="eastAsia" w:ascii="仿宋" w:hAnsi="仿宋" w:eastAsia="仿宋"/>
          <w:b/>
          <w:kern w:val="0"/>
          <w:sz w:val="28"/>
          <w:szCs w:val="28"/>
        </w:rPr>
        <w:t>资格审查文件</w:t>
      </w:r>
      <w:bookmarkEnd w:id="110"/>
      <w:bookmarkEnd w:id="111"/>
      <w:bookmarkEnd w:id="112"/>
    </w:p>
    <w:p w14:paraId="32F77D19">
      <w:pPr>
        <w:pStyle w:val="18"/>
        <w:jc w:val="center"/>
        <w:rPr>
          <w:rFonts w:ascii="黑体" w:hAnsi="黑体" w:eastAsia="黑体"/>
          <w:bCs/>
          <w:sz w:val="84"/>
          <w:szCs w:val="84"/>
        </w:rPr>
      </w:pPr>
    </w:p>
    <w:p w14:paraId="1E16B1E7">
      <w:pPr>
        <w:pStyle w:val="18"/>
        <w:jc w:val="center"/>
        <w:rPr>
          <w:rFonts w:ascii="黑体" w:hAnsi="黑体" w:eastAsia="黑体"/>
          <w:bCs/>
          <w:sz w:val="72"/>
          <w:szCs w:val="72"/>
        </w:rPr>
      </w:pPr>
      <w:r>
        <w:rPr>
          <w:rFonts w:hint="eastAsia" w:ascii="黑体" w:hAnsi="黑体" w:eastAsia="黑体"/>
          <w:bCs/>
          <w:sz w:val="72"/>
          <w:szCs w:val="72"/>
        </w:rPr>
        <w:t>非依法必须招标项目服务类</w:t>
      </w:r>
    </w:p>
    <w:p w14:paraId="542A1966">
      <w:pPr>
        <w:pStyle w:val="18"/>
        <w:jc w:val="center"/>
        <w:rPr>
          <w:rFonts w:ascii="黑体" w:hAnsi="黑体" w:eastAsia="黑体"/>
          <w:bCs/>
          <w:sz w:val="84"/>
          <w:szCs w:val="84"/>
        </w:rPr>
      </w:pPr>
    </w:p>
    <w:p w14:paraId="43E9424A">
      <w:pPr>
        <w:pStyle w:val="18"/>
        <w:jc w:val="center"/>
        <w:rPr>
          <w:rFonts w:hint="eastAsia" w:ascii="微软雅黑" w:hAnsi="宋体" w:eastAsia="微软雅黑"/>
          <w:bCs/>
          <w:kern w:val="0"/>
          <w:sz w:val="28"/>
          <w:szCs w:val="21"/>
          <w:lang w:val="en-US" w:eastAsia="zh-CN"/>
        </w:rPr>
      </w:pPr>
      <w:r>
        <w:rPr>
          <w:rFonts w:hint="eastAsia" w:ascii="黑体" w:hAnsi="黑体" w:eastAsia="黑体"/>
          <w:bCs/>
          <w:sz w:val="84"/>
          <w:szCs w:val="84"/>
        </w:rPr>
        <w:t>投 标 文 件</w:t>
      </w:r>
    </w:p>
    <w:p w14:paraId="5C86EB5F">
      <w:pPr>
        <w:widowControl w:val="0"/>
        <w:spacing w:line="480" w:lineRule="auto"/>
        <w:ind w:firstLine="840" w:firstLineChars="300"/>
        <w:jc w:val="center"/>
        <w:rPr>
          <w:rFonts w:hint="default" w:ascii="微软雅黑" w:hAnsi="宋体" w:eastAsia="微软雅黑"/>
          <w:bCs/>
          <w:kern w:val="0"/>
          <w:sz w:val="28"/>
          <w:szCs w:val="21"/>
          <w:lang w:val="en-US" w:eastAsia="zh-CN"/>
        </w:rPr>
      </w:pPr>
      <w:r>
        <w:rPr>
          <w:rFonts w:hint="eastAsia" w:ascii="微软雅黑" w:hAnsi="宋体" w:eastAsia="微软雅黑"/>
          <w:bCs/>
          <w:kern w:val="0"/>
          <w:sz w:val="28"/>
          <w:szCs w:val="21"/>
          <w:lang w:val="en-US" w:eastAsia="zh-CN"/>
        </w:rPr>
        <w:t>标段：X</w:t>
      </w:r>
    </w:p>
    <w:p w14:paraId="5095B6CA">
      <w:pPr>
        <w:widowControl w:val="0"/>
        <w:ind w:left="988"/>
        <w:jc w:val="center"/>
        <w:rPr>
          <w:rFonts w:ascii="宋体" w:hAnsi="宋体"/>
          <w:kern w:val="0"/>
          <w:sz w:val="32"/>
          <w:szCs w:val="21"/>
          <w:u w:val="single"/>
        </w:rPr>
      </w:pPr>
    </w:p>
    <w:p w14:paraId="7029E4D3">
      <w:pPr>
        <w:widowControl w:val="0"/>
        <w:ind w:left="988"/>
        <w:jc w:val="center"/>
        <w:rPr>
          <w:rFonts w:ascii="宋体" w:hAnsi="宋体"/>
          <w:kern w:val="0"/>
          <w:sz w:val="32"/>
          <w:szCs w:val="21"/>
          <w:u w:val="single"/>
        </w:rPr>
      </w:pPr>
    </w:p>
    <w:p w14:paraId="345BACD5">
      <w:pPr>
        <w:widowControl w:val="0"/>
        <w:rPr>
          <w:rFonts w:ascii="宋体" w:hAnsi="宋体"/>
          <w:b/>
          <w:bCs/>
          <w:kern w:val="0"/>
          <w:sz w:val="32"/>
          <w:szCs w:val="21"/>
        </w:rPr>
      </w:pPr>
    </w:p>
    <w:p w14:paraId="36D6C061">
      <w:pPr>
        <w:widowControl w:val="0"/>
        <w:rPr>
          <w:rFonts w:ascii="宋体" w:hAnsi="宋体"/>
          <w:b/>
          <w:bCs/>
          <w:kern w:val="0"/>
          <w:sz w:val="32"/>
          <w:szCs w:val="21"/>
        </w:rPr>
      </w:pPr>
    </w:p>
    <w:p w14:paraId="1162F70A">
      <w:pPr>
        <w:widowControl w:val="0"/>
        <w:rPr>
          <w:rFonts w:ascii="宋体" w:hAnsi="宋体"/>
          <w:b/>
          <w:bCs/>
          <w:kern w:val="0"/>
          <w:sz w:val="32"/>
          <w:szCs w:val="21"/>
        </w:rPr>
      </w:pPr>
    </w:p>
    <w:p w14:paraId="4040F1FC">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招标项目名称：</w:t>
      </w:r>
      <w:r>
        <w:rPr>
          <w:rFonts w:hint="eastAsia" w:ascii="微软雅黑" w:hAnsi="宋体" w:eastAsia="微软雅黑"/>
          <w:bCs/>
          <w:kern w:val="0"/>
          <w:sz w:val="28"/>
          <w:szCs w:val="21"/>
          <w:u w:val="single"/>
        </w:rPr>
        <w:t xml:space="preserve">                                                </w:t>
      </w:r>
    </w:p>
    <w:p w14:paraId="23F8A218">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投标文件内容：</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48"/>
          <w:szCs w:val="48"/>
          <w:u w:val="single"/>
        </w:rPr>
        <w:t>资格审查文件</w:t>
      </w:r>
      <w:r>
        <w:rPr>
          <w:rFonts w:hint="eastAsia" w:ascii="微软雅黑" w:hAnsi="宋体" w:eastAsia="微软雅黑"/>
          <w:bCs/>
          <w:kern w:val="0"/>
          <w:sz w:val="28"/>
          <w:szCs w:val="21"/>
          <w:u w:val="single"/>
        </w:rPr>
        <w:t xml:space="preserve">                 </w:t>
      </w:r>
    </w:p>
    <w:p w14:paraId="75A1D030">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投标人（盖章）：</w:t>
      </w:r>
      <w:r>
        <w:rPr>
          <w:rFonts w:hint="eastAsia" w:ascii="微软雅黑" w:hAnsi="宋体" w:eastAsia="微软雅黑"/>
          <w:bCs/>
          <w:kern w:val="0"/>
          <w:sz w:val="28"/>
          <w:szCs w:val="21"/>
          <w:u w:val="single"/>
        </w:rPr>
        <w:t xml:space="preserve">                                         </w:t>
      </w:r>
    </w:p>
    <w:p w14:paraId="1A900E48">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法定代表人或其委托代理人（签字或盖章）：</w:t>
      </w:r>
      <w:r>
        <w:rPr>
          <w:rFonts w:hint="eastAsia" w:ascii="微软雅黑" w:hAnsi="宋体" w:eastAsia="微软雅黑"/>
          <w:bCs/>
          <w:kern w:val="0"/>
          <w:sz w:val="28"/>
          <w:szCs w:val="21"/>
          <w:u w:val="single"/>
        </w:rPr>
        <w:t xml:space="preserve">                 </w:t>
      </w:r>
    </w:p>
    <w:p w14:paraId="0BAB5FF3">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日      期:</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年</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月</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日</w:t>
      </w:r>
      <w:r>
        <w:rPr>
          <w:rFonts w:ascii="黑体" w:hAnsi="黑体" w:eastAsia="黑体"/>
          <w:kern w:val="0"/>
          <w:sz w:val="36"/>
          <w:szCs w:val="36"/>
        </w:rPr>
        <w:br w:type="page"/>
      </w:r>
    </w:p>
    <w:p w14:paraId="260D6851">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资格审查文件目录</w:t>
      </w:r>
    </w:p>
    <w:p w14:paraId="04C0B830">
      <w:pPr>
        <w:adjustRightInd w:val="0"/>
        <w:snapToGrid w:val="0"/>
        <w:spacing w:line="360" w:lineRule="auto"/>
        <w:ind w:firstLine="480" w:firstLineChars="200"/>
        <w:rPr>
          <w:rFonts w:hAnsi="宋体"/>
          <w:kern w:val="0"/>
          <w:sz w:val="24"/>
        </w:rPr>
      </w:pPr>
    </w:p>
    <w:p w14:paraId="077FA744">
      <w:pPr>
        <w:pStyle w:val="23"/>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一、投标人执业许可证；</w:t>
      </w:r>
    </w:p>
    <w:p w14:paraId="61E2B91C">
      <w:pPr>
        <w:pStyle w:val="23"/>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二、投标人资质证书；</w:t>
      </w:r>
    </w:p>
    <w:p w14:paraId="734395EF">
      <w:pPr>
        <w:pStyle w:val="23"/>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三、</w:t>
      </w:r>
      <w:r>
        <w:rPr>
          <w:rFonts w:ascii="仿宋" w:hAnsi="仿宋" w:eastAsia="仿宋"/>
          <w:bCs/>
          <w:kern w:val="0"/>
          <w:sz w:val="28"/>
          <w:szCs w:val="28"/>
        </w:rPr>
        <w:t>投标人拟派出的</w:t>
      </w:r>
      <w:r>
        <w:rPr>
          <w:rFonts w:hint="eastAsia" w:ascii="仿宋" w:hAnsi="仿宋" w:eastAsia="仿宋"/>
          <w:bCs/>
          <w:kern w:val="0"/>
          <w:sz w:val="28"/>
          <w:szCs w:val="28"/>
        </w:rPr>
        <w:t>项目负责人资格证书</w:t>
      </w:r>
      <w:r>
        <w:rPr>
          <w:rFonts w:ascii="仿宋" w:hAnsi="仿宋" w:eastAsia="仿宋"/>
          <w:bCs/>
          <w:kern w:val="0"/>
          <w:sz w:val="28"/>
          <w:szCs w:val="28"/>
        </w:rPr>
        <w:t>；</w:t>
      </w:r>
    </w:p>
    <w:p w14:paraId="6AFDA047">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 xml:space="preserve">四、招标人要求提供的与投标人资格条件审查有关的其他证明材料： </w:t>
      </w:r>
    </w:p>
    <w:p w14:paraId="7CD233C7">
      <w:pPr>
        <w:widowControl w:val="0"/>
        <w:spacing w:line="480" w:lineRule="auto"/>
        <w:ind w:firstLine="1120" w:firstLineChars="4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306E84BF">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4DF1B662">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159D3C7F">
      <w:pPr>
        <w:pStyle w:val="51"/>
        <w:ind w:firstLine="0" w:firstLineChars="0"/>
        <w:outlineLvl w:val="1"/>
        <w:rPr>
          <w:rFonts w:ascii="仿宋" w:hAnsi="仿宋" w:eastAsia="仿宋"/>
          <w:bCs/>
          <w:kern w:val="0"/>
          <w:sz w:val="28"/>
          <w:szCs w:val="28"/>
        </w:rPr>
      </w:pPr>
      <w:r>
        <w:rPr>
          <w:rFonts w:ascii="微软雅黑" w:hAnsi="宋体" w:eastAsia="微软雅黑"/>
          <w:bCs/>
          <w:kern w:val="0"/>
          <w:sz w:val="28"/>
        </w:rPr>
        <w:br w:type="page"/>
      </w:r>
      <w:r>
        <w:rPr>
          <w:rFonts w:hint="eastAsia" w:ascii="仿宋" w:hAnsi="仿宋" w:eastAsia="仿宋"/>
          <w:b/>
          <w:kern w:val="0"/>
          <w:sz w:val="28"/>
          <w:szCs w:val="28"/>
        </w:rPr>
        <w:t xml:space="preserve"> </w:t>
      </w:r>
      <w:bookmarkStart w:id="113" w:name="_Toc80800164"/>
      <w:r>
        <w:rPr>
          <w:rFonts w:hint="eastAsia" w:ascii="仿宋" w:hAnsi="仿宋" w:eastAsia="仿宋"/>
          <w:b/>
          <w:kern w:val="0"/>
          <w:sz w:val="28"/>
          <w:szCs w:val="28"/>
        </w:rPr>
        <w:t>二、</w:t>
      </w:r>
      <w:r>
        <w:rPr>
          <w:rFonts w:hint="eastAsia" w:ascii="仿宋" w:hAnsi="仿宋" w:eastAsia="仿宋"/>
          <w:b/>
          <w:bCs/>
          <w:kern w:val="0"/>
          <w:sz w:val="28"/>
          <w:szCs w:val="28"/>
        </w:rPr>
        <w:t>投标文件格式--</w:t>
      </w:r>
      <w:r>
        <w:rPr>
          <w:rFonts w:hint="eastAsia" w:ascii="仿宋" w:hAnsi="仿宋" w:eastAsia="仿宋"/>
          <w:b/>
          <w:kern w:val="0"/>
          <w:sz w:val="28"/>
          <w:szCs w:val="28"/>
        </w:rPr>
        <w:t>投标函部分</w:t>
      </w:r>
      <w:bookmarkEnd w:id="113"/>
    </w:p>
    <w:p w14:paraId="2AEBE5D0">
      <w:pPr>
        <w:pStyle w:val="18"/>
        <w:jc w:val="center"/>
        <w:rPr>
          <w:rFonts w:ascii="黑体" w:hAnsi="黑体" w:eastAsia="黑体"/>
          <w:bCs/>
          <w:sz w:val="84"/>
          <w:szCs w:val="84"/>
        </w:rPr>
      </w:pPr>
    </w:p>
    <w:p w14:paraId="192AF58A">
      <w:pPr>
        <w:pStyle w:val="18"/>
        <w:jc w:val="center"/>
        <w:rPr>
          <w:rFonts w:ascii="黑体" w:hAnsi="黑体" w:eastAsia="黑体"/>
          <w:bCs/>
          <w:sz w:val="72"/>
          <w:szCs w:val="72"/>
        </w:rPr>
      </w:pPr>
      <w:r>
        <w:rPr>
          <w:rFonts w:hint="eastAsia" w:ascii="黑体" w:hAnsi="黑体" w:eastAsia="黑体"/>
          <w:bCs/>
          <w:sz w:val="72"/>
          <w:szCs w:val="72"/>
        </w:rPr>
        <w:t>非依法必须招标项目服务类</w:t>
      </w:r>
    </w:p>
    <w:p w14:paraId="2B0F1708">
      <w:pPr>
        <w:pStyle w:val="18"/>
        <w:jc w:val="center"/>
        <w:rPr>
          <w:rFonts w:ascii="黑体" w:hAnsi="黑体" w:eastAsia="黑体"/>
          <w:bCs/>
          <w:sz w:val="84"/>
          <w:szCs w:val="84"/>
        </w:rPr>
      </w:pPr>
    </w:p>
    <w:p w14:paraId="12884C64">
      <w:pPr>
        <w:pStyle w:val="18"/>
        <w:jc w:val="center"/>
        <w:rPr>
          <w:rFonts w:ascii="黑体" w:hAnsi="黑体" w:eastAsia="黑体"/>
          <w:bCs/>
          <w:sz w:val="84"/>
          <w:szCs w:val="84"/>
        </w:rPr>
      </w:pPr>
      <w:r>
        <w:rPr>
          <w:rFonts w:hint="eastAsia" w:ascii="黑体" w:hAnsi="黑体" w:eastAsia="黑体"/>
          <w:bCs/>
          <w:sz w:val="84"/>
          <w:szCs w:val="84"/>
        </w:rPr>
        <w:t>投 标 文 件</w:t>
      </w:r>
    </w:p>
    <w:p w14:paraId="72849408">
      <w:pPr>
        <w:widowControl w:val="0"/>
        <w:ind w:left="988"/>
        <w:jc w:val="center"/>
        <w:rPr>
          <w:rFonts w:ascii="宋体" w:hAnsi="宋体"/>
          <w:kern w:val="0"/>
          <w:sz w:val="32"/>
          <w:szCs w:val="21"/>
          <w:u w:val="single"/>
        </w:rPr>
      </w:pPr>
    </w:p>
    <w:p w14:paraId="67A61BD5">
      <w:pPr>
        <w:widowControl w:val="0"/>
        <w:spacing w:line="480" w:lineRule="auto"/>
        <w:ind w:firstLine="840" w:firstLineChars="300"/>
        <w:jc w:val="center"/>
        <w:rPr>
          <w:rFonts w:ascii="宋体" w:hAnsi="宋体"/>
          <w:kern w:val="0"/>
          <w:sz w:val="32"/>
          <w:szCs w:val="21"/>
          <w:u w:val="single"/>
        </w:rPr>
      </w:pPr>
      <w:r>
        <w:rPr>
          <w:rFonts w:hint="eastAsia" w:ascii="微软雅黑" w:hAnsi="宋体" w:eastAsia="微软雅黑"/>
          <w:bCs/>
          <w:kern w:val="0"/>
          <w:sz w:val="28"/>
          <w:szCs w:val="21"/>
          <w:lang w:val="en-US" w:eastAsia="zh-CN"/>
        </w:rPr>
        <w:t>标段：X</w:t>
      </w:r>
    </w:p>
    <w:p w14:paraId="53F9E598">
      <w:pPr>
        <w:widowControl w:val="0"/>
        <w:ind w:left="988"/>
        <w:jc w:val="center"/>
        <w:rPr>
          <w:rFonts w:ascii="宋体" w:hAnsi="宋体"/>
          <w:kern w:val="0"/>
          <w:sz w:val="32"/>
          <w:szCs w:val="21"/>
          <w:u w:val="single"/>
        </w:rPr>
      </w:pPr>
    </w:p>
    <w:p w14:paraId="0B95339F">
      <w:pPr>
        <w:widowControl w:val="0"/>
        <w:rPr>
          <w:rFonts w:ascii="宋体" w:hAnsi="宋体"/>
          <w:b/>
          <w:bCs/>
          <w:kern w:val="0"/>
          <w:sz w:val="32"/>
          <w:szCs w:val="21"/>
        </w:rPr>
      </w:pPr>
    </w:p>
    <w:p w14:paraId="2963524A">
      <w:pPr>
        <w:widowControl w:val="0"/>
        <w:rPr>
          <w:rFonts w:ascii="宋体" w:hAnsi="宋体"/>
          <w:b/>
          <w:bCs/>
          <w:kern w:val="0"/>
          <w:sz w:val="32"/>
          <w:szCs w:val="21"/>
        </w:rPr>
      </w:pPr>
    </w:p>
    <w:p w14:paraId="4493FBFC">
      <w:pPr>
        <w:widowControl w:val="0"/>
        <w:rPr>
          <w:rFonts w:ascii="宋体" w:hAnsi="宋体"/>
          <w:b/>
          <w:bCs/>
          <w:kern w:val="0"/>
          <w:sz w:val="32"/>
          <w:szCs w:val="21"/>
        </w:rPr>
      </w:pPr>
    </w:p>
    <w:p w14:paraId="5CAEFE8E">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招标项目名称：</w:t>
      </w:r>
      <w:r>
        <w:rPr>
          <w:rFonts w:hint="eastAsia" w:ascii="微软雅黑" w:hAnsi="宋体" w:eastAsia="微软雅黑"/>
          <w:bCs/>
          <w:kern w:val="0"/>
          <w:sz w:val="28"/>
          <w:szCs w:val="21"/>
          <w:u w:val="single"/>
        </w:rPr>
        <w:t xml:space="preserve">                                          </w:t>
      </w:r>
    </w:p>
    <w:p w14:paraId="1220E528">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 xml:space="preserve">投标文件内容： </w:t>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48"/>
          <w:szCs w:val="48"/>
          <w:u w:val="single"/>
        </w:rPr>
        <w:t>投标函部分</w:t>
      </w:r>
      <w:r>
        <w:rPr>
          <w:rFonts w:hint="eastAsia" w:ascii="微软雅黑" w:hAnsi="宋体" w:eastAsia="微软雅黑"/>
          <w:bCs/>
          <w:kern w:val="0"/>
          <w:sz w:val="28"/>
          <w:szCs w:val="21"/>
          <w:u w:val="single"/>
        </w:rPr>
        <w:t xml:space="preserve">              </w:t>
      </w:r>
    </w:p>
    <w:p w14:paraId="48E2CA3B">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投标人（盖章）：</w:t>
      </w:r>
      <w:r>
        <w:rPr>
          <w:rFonts w:hint="eastAsia" w:ascii="微软雅黑" w:hAnsi="宋体" w:eastAsia="微软雅黑"/>
          <w:bCs/>
          <w:kern w:val="0"/>
          <w:sz w:val="28"/>
          <w:szCs w:val="21"/>
          <w:u w:val="single"/>
        </w:rPr>
        <w:t xml:space="preserve">                                      </w:t>
      </w:r>
    </w:p>
    <w:p w14:paraId="5F840132">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法定代表人或其委托代理人（签字或盖章）：</w:t>
      </w:r>
      <w:r>
        <w:rPr>
          <w:rFonts w:hint="eastAsia" w:ascii="微软雅黑" w:hAnsi="宋体" w:eastAsia="微软雅黑"/>
          <w:bCs/>
          <w:kern w:val="0"/>
          <w:sz w:val="28"/>
          <w:szCs w:val="21"/>
          <w:u w:val="single"/>
        </w:rPr>
        <w:t xml:space="preserve">            </w:t>
      </w:r>
    </w:p>
    <w:p w14:paraId="2E2EED8C">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日      期:</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年</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月</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日</w:t>
      </w:r>
    </w:p>
    <w:p w14:paraId="7946AC9F">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投标函部分目录</w:t>
      </w:r>
    </w:p>
    <w:p w14:paraId="02006F3E">
      <w:pPr>
        <w:pStyle w:val="18"/>
        <w:jc w:val="center"/>
        <w:rPr>
          <w:rFonts w:ascii="楷体_GB2312"/>
          <w:b/>
          <w:bCs/>
          <w:sz w:val="44"/>
        </w:rPr>
      </w:pPr>
    </w:p>
    <w:p w14:paraId="1C92CCF0">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一、法定代表人资格证明书</w:t>
      </w:r>
    </w:p>
    <w:p w14:paraId="681245C1">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二、投标文件签署授权委托书</w:t>
      </w:r>
    </w:p>
    <w:p w14:paraId="7936EE11">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三、投标函</w:t>
      </w:r>
    </w:p>
    <w:p w14:paraId="4C68E556">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四、投标担保证明</w:t>
      </w:r>
    </w:p>
    <w:p w14:paraId="6812B4A6">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五、廉洁投标承诺书</w:t>
      </w:r>
    </w:p>
    <w:p w14:paraId="6EA530A4">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六、招标文件要求投标人提交的其他资料：</w:t>
      </w:r>
    </w:p>
    <w:p w14:paraId="39AA017E">
      <w:pPr>
        <w:adjustRightInd w:val="0"/>
        <w:snapToGrid w:val="0"/>
        <w:spacing w:line="56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u w:val="single"/>
        </w:rPr>
        <w:t xml:space="preserve">                                             </w:t>
      </w:r>
    </w:p>
    <w:p w14:paraId="79F8A4AE">
      <w:pPr>
        <w:adjustRightInd w:val="0"/>
        <w:snapToGrid w:val="0"/>
        <w:spacing w:line="560" w:lineRule="exact"/>
        <w:ind w:firstLine="560" w:firstLineChars="200"/>
        <w:rPr>
          <w:rFonts w:ascii="仿宋_GB2312" w:hAnsi="宋体" w:eastAsia="仿宋_GB2312"/>
          <w:kern w:val="0"/>
          <w:sz w:val="28"/>
          <w:szCs w:val="28"/>
          <w:u w:val="single"/>
        </w:rPr>
      </w:pPr>
      <w:r>
        <w:rPr>
          <w:rFonts w:hint="eastAsia" w:ascii="仿宋_GB2312" w:hAnsi="宋体" w:eastAsia="仿宋_GB2312"/>
          <w:kern w:val="0"/>
          <w:sz w:val="28"/>
          <w:szCs w:val="28"/>
          <w:u w:val="single"/>
        </w:rPr>
        <w:t xml:space="preserve">                                              </w:t>
      </w:r>
    </w:p>
    <w:p w14:paraId="69C3237A">
      <w:pPr>
        <w:adjustRightInd w:val="0"/>
        <w:snapToGrid w:val="0"/>
        <w:spacing w:line="360" w:lineRule="auto"/>
        <w:jc w:val="center"/>
        <w:rPr>
          <w:rFonts w:ascii="黑体" w:hAnsi="黑体" w:eastAsia="黑体"/>
          <w:kern w:val="0"/>
          <w:sz w:val="36"/>
          <w:szCs w:val="36"/>
        </w:rPr>
      </w:pPr>
      <w:r>
        <w:rPr>
          <w:rFonts w:ascii="宋体" w:hAnsi="宋体"/>
          <w:b/>
          <w:sz w:val="32"/>
          <w:szCs w:val="32"/>
        </w:rPr>
        <w:br w:type="page"/>
      </w:r>
      <w:r>
        <w:rPr>
          <w:rFonts w:hint="eastAsia" w:ascii="黑体" w:hAnsi="黑体" w:eastAsia="黑体"/>
          <w:kern w:val="0"/>
          <w:sz w:val="36"/>
          <w:szCs w:val="36"/>
        </w:rPr>
        <w:t>法定代表人资格证明书</w:t>
      </w:r>
    </w:p>
    <w:p w14:paraId="18DDF20C">
      <w:pPr>
        <w:pStyle w:val="18"/>
        <w:spacing w:line="360" w:lineRule="auto"/>
        <w:ind w:firstLine="480" w:firstLineChars="200"/>
        <w:rPr>
          <w:sz w:val="24"/>
        </w:rPr>
      </w:pPr>
    </w:p>
    <w:p w14:paraId="5ABBE49A">
      <w:pPr>
        <w:pStyle w:val="18"/>
        <w:spacing w:line="360" w:lineRule="auto"/>
        <w:ind w:left="279" w:leftChars="133"/>
        <w:rPr>
          <w:sz w:val="28"/>
        </w:rPr>
      </w:pPr>
    </w:p>
    <w:p w14:paraId="5F8715C5">
      <w:pPr>
        <w:pStyle w:val="18"/>
        <w:spacing w:line="480" w:lineRule="auto"/>
        <w:ind w:left="279" w:leftChars="133"/>
        <w:rPr>
          <w:rFonts w:ascii="仿宋" w:hAnsi="仿宋" w:eastAsia="仿宋"/>
          <w:sz w:val="28"/>
          <w:szCs w:val="28"/>
          <w:u w:val="single"/>
        </w:rPr>
      </w:pPr>
      <w:r>
        <w:rPr>
          <w:rFonts w:hint="eastAsia" w:ascii="仿宋" w:hAnsi="仿宋" w:eastAsia="仿宋"/>
          <w:sz w:val="28"/>
          <w:szCs w:val="28"/>
        </w:rPr>
        <w:t>单位名称：</w:t>
      </w:r>
      <w:r>
        <w:rPr>
          <w:rFonts w:hint="eastAsia" w:ascii="仿宋" w:hAnsi="仿宋" w:eastAsia="仿宋"/>
          <w:sz w:val="28"/>
          <w:szCs w:val="28"/>
          <w:u w:val="single"/>
        </w:rPr>
        <w:t xml:space="preserve">                                                      </w:t>
      </w:r>
    </w:p>
    <w:p w14:paraId="0E63E800">
      <w:pPr>
        <w:pStyle w:val="18"/>
        <w:spacing w:line="480" w:lineRule="auto"/>
        <w:ind w:left="279" w:leftChars="133"/>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xml:space="preserve">                                                      </w:t>
      </w:r>
    </w:p>
    <w:p w14:paraId="3B958766">
      <w:pPr>
        <w:pStyle w:val="18"/>
        <w:spacing w:line="480" w:lineRule="auto"/>
        <w:ind w:left="279" w:leftChars="133"/>
        <w:rPr>
          <w:rFonts w:ascii="仿宋" w:hAnsi="仿宋" w:eastAsia="仿宋"/>
          <w:sz w:val="28"/>
          <w:szCs w:val="28"/>
          <w:u w:val="single"/>
        </w:rPr>
      </w:pPr>
      <w:r>
        <w:rPr>
          <w:rFonts w:hint="eastAsia" w:ascii="仿宋" w:hAnsi="仿宋" w:eastAsia="仿宋"/>
          <w:sz w:val="28"/>
          <w:szCs w:val="28"/>
        </w:rPr>
        <w:t>姓名：</w:t>
      </w:r>
      <w:r>
        <w:rPr>
          <w:rFonts w:hint="eastAsia" w:ascii="仿宋" w:hAnsi="仿宋" w:eastAsia="仿宋"/>
          <w:sz w:val="28"/>
          <w:szCs w:val="28"/>
          <w:u w:val="single"/>
        </w:rPr>
        <w:t xml:space="preserve">            </w:t>
      </w:r>
      <w:r>
        <w:rPr>
          <w:rFonts w:hint="eastAsia" w:ascii="仿宋" w:hAnsi="仿宋" w:eastAsia="仿宋"/>
          <w:sz w:val="28"/>
          <w:szCs w:val="28"/>
        </w:rPr>
        <w:t xml:space="preserve"> 性别：</w:t>
      </w:r>
      <w:r>
        <w:rPr>
          <w:rFonts w:hint="eastAsia" w:ascii="仿宋" w:hAnsi="仿宋" w:eastAsia="仿宋"/>
          <w:sz w:val="28"/>
          <w:szCs w:val="28"/>
          <w:u w:val="single"/>
        </w:rPr>
        <w:t xml:space="preserve">    </w:t>
      </w:r>
      <w:r>
        <w:rPr>
          <w:rFonts w:hint="eastAsia" w:ascii="仿宋" w:hAnsi="仿宋" w:eastAsia="仿宋"/>
          <w:sz w:val="28"/>
          <w:szCs w:val="28"/>
        </w:rPr>
        <w:t xml:space="preserve"> 年龄：</w:t>
      </w:r>
      <w:r>
        <w:rPr>
          <w:rFonts w:hint="eastAsia" w:ascii="仿宋" w:hAnsi="仿宋" w:eastAsia="仿宋"/>
          <w:sz w:val="28"/>
          <w:szCs w:val="28"/>
          <w:u w:val="single"/>
        </w:rPr>
        <w:t xml:space="preserve">      </w:t>
      </w:r>
      <w:r>
        <w:rPr>
          <w:rFonts w:hint="eastAsia" w:ascii="仿宋" w:hAnsi="仿宋" w:eastAsia="仿宋"/>
          <w:sz w:val="28"/>
          <w:szCs w:val="28"/>
        </w:rPr>
        <w:t xml:space="preserve"> 职务：</w:t>
      </w:r>
      <w:r>
        <w:rPr>
          <w:rFonts w:hint="eastAsia" w:ascii="仿宋" w:hAnsi="仿宋" w:eastAsia="仿宋"/>
          <w:sz w:val="28"/>
          <w:szCs w:val="28"/>
          <w:u w:val="single"/>
        </w:rPr>
        <w:t xml:space="preserve">               </w:t>
      </w:r>
    </w:p>
    <w:p w14:paraId="7DAD97E6">
      <w:pPr>
        <w:pStyle w:val="18"/>
        <w:spacing w:line="480" w:lineRule="auto"/>
        <w:ind w:left="279" w:leftChars="133"/>
        <w:rPr>
          <w:rFonts w:ascii="仿宋" w:hAnsi="仿宋" w:eastAsia="仿宋"/>
          <w:sz w:val="28"/>
          <w:szCs w:val="28"/>
        </w:rPr>
      </w:pPr>
      <w:r>
        <w:rPr>
          <w:rFonts w:hint="eastAsia" w:ascii="仿宋" w:hAnsi="仿宋" w:eastAsia="仿宋"/>
          <w:sz w:val="28"/>
          <w:szCs w:val="28"/>
        </w:rPr>
        <w:t>系</w:t>
      </w:r>
      <w:r>
        <w:rPr>
          <w:rFonts w:hint="eastAsia" w:ascii="仿宋" w:hAnsi="仿宋" w:eastAsia="仿宋"/>
          <w:sz w:val="28"/>
          <w:szCs w:val="28"/>
          <w:u w:val="single"/>
        </w:rPr>
        <w:t xml:space="preserve">                                               </w:t>
      </w:r>
      <w:r>
        <w:rPr>
          <w:rFonts w:hint="eastAsia" w:ascii="仿宋" w:hAnsi="仿宋" w:eastAsia="仿宋"/>
          <w:sz w:val="28"/>
          <w:szCs w:val="28"/>
        </w:rPr>
        <w:t>的法定代表人。</w:t>
      </w:r>
    </w:p>
    <w:p w14:paraId="0ABD4A48">
      <w:pPr>
        <w:pStyle w:val="18"/>
        <w:spacing w:line="480" w:lineRule="auto"/>
        <w:ind w:left="359" w:leftChars="171"/>
        <w:rPr>
          <w:rFonts w:ascii="仿宋" w:hAnsi="仿宋" w:eastAsia="仿宋"/>
          <w:sz w:val="28"/>
          <w:szCs w:val="28"/>
        </w:rPr>
      </w:pPr>
      <w:r>
        <w:rPr>
          <w:rFonts w:hint="eastAsia" w:ascii="仿宋" w:hAnsi="仿宋" w:eastAsia="仿宋"/>
          <w:sz w:val="28"/>
          <w:szCs w:val="28"/>
        </w:rPr>
        <w:t>特此证明。</w:t>
      </w:r>
    </w:p>
    <w:p w14:paraId="05815979">
      <w:pPr>
        <w:pStyle w:val="18"/>
        <w:spacing w:line="480" w:lineRule="auto"/>
        <w:ind w:left="359" w:leftChars="171"/>
        <w:rPr>
          <w:rFonts w:ascii="仿宋" w:hAnsi="仿宋" w:eastAsia="仿宋"/>
          <w:sz w:val="28"/>
          <w:szCs w:val="28"/>
        </w:rPr>
      </w:pPr>
    </w:p>
    <w:p w14:paraId="7380909C">
      <w:pPr>
        <w:tabs>
          <w:tab w:val="left" w:pos="7740"/>
        </w:tabs>
        <w:rPr>
          <w:rFonts w:ascii="仿宋" w:hAnsi="仿宋" w:eastAsia="仿宋" w:cs="仿宋_GB2312"/>
          <w:sz w:val="28"/>
          <w:szCs w:val="28"/>
        </w:rPr>
      </w:pPr>
    </w:p>
    <w:tbl>
      <w:tblPr>
        <w:tblStyle w:val="36"/>
        <w:tblW w:w="8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3"/>
      </w:tblGrid>
      <w:tr w14:paraId="6CAD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8763" w:type="dxa"/>
            <w:vAlign w:val="center"/>
          </w:tcPr>
          <w:p w14:paraId="098555FF">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粘贴法定代表人身份证复印件</w:t>
            </w:r>
          </w:p>
        </w:tc>
      </w:tr>
    </w:tbl>
    <w:p w14:paraId="3B5A63A5">
      <w:pPr>
        <w:tabs>
          <w:tab w:val="left" w:pos="7740"/>
        </w:tabs>
        <w:rPr>
          <w:rFonts w:ascii="仿宋" w:hAnsi="仿宋" w:eastAsia="仿宋" w:cs="仿宋_GB2312"/>
          <w:sz w:val="28"/>
          <w:szCs w:val="28"/>
        </w:rPr>
      </w:pPr>
    </w:p>
    <w:p w14:paraId="23C68E0F">
      <w:pPr>
        <w:pStyle w:val="18"/>
        <w:spacing w:line="480" w:lineRule="auto"/>
        <w:ind w:left="133" w:firstLine="720"/>
        <w:rPr>
          <w:rFonts w:ascii="仿宋" w:hAnsi="仿宋" w:eastAsia="仿宋"/>
          <w:sz w:val="28"/>
          <w:szCs w:val="28"/>
        </w:rPr>
      </w:pPr>
    </w:p>
    <w:p w14:paraId="66DB5F71">
      <w:pPr>
        <w:pStyle w:val="18"/>
        <w:spacing w:line="480" w:lineRule="auto"/>
        <w:ind w:left="133" w:firstLine="1470" w:firstLineChars="525"/>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4F8067B5">
      <w:pPr>
        <w:pStyle w:val="18"/>
        <w:spacing w:line="480" w:lineRule="auto"/>
        <w:ind w:left="133" w:firstLine="1470" w:firstLineChars="525"/>
        <w:rPr>
          <w:rFonts w:ascii="仿宋" w:hAnsi="仿宋" w:eastAsia="仿宋"/>
          <w:sz w:val="28"/>
          <w:szCs w:val="28"/>
          <w:u w:val="single"/>
        </w:rPr>
      </w:pPr>
    </w:p>
    <w:p w14:paraId="137C42F6">
      <w:pPr>
        <w:pStyle w:val="18"/>
        <w:spacing w:line="480" w:lineRule="auto"/>
        <w:ind w:left="133" w:firstLine="1470" w:firstLineChars="525"/>
        <w:rPr>
          <w:rFonts w:ascii="仿宋" w:hAnsi="仿宋" w:eastAsia="仿宋"/>
          <w:sz w:val="28"/>
          <w:szCs w:val="28"/>
        </w:rPr>
      </w:pPr>
      <w:r>
        <w:rPr>
          <w:rFonts w:hint="eastAsia" w:ascii="仿宋" w:hAnsi="仿宋" w:eastAsia="仿宋"/>
          <w:sz w:val="28"/>
          <w:szCs w:val="28"/>
        </w:rPr>
        <w:t>日         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0F118A09">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投标文件签署授权委托书</w:t>
      </w:r>
    </w:p>
    <w:p w14:paraId="0E407897">
      <w:pPr>
        <w:pStyle w:val="18"/>
        <w:spacing w:after="120" w:afterLines="50" w:line="440" w:lineRule="exact"/>
        <w:jc w:val="center"/>
        <w:rPr>
          <w:rFonts w:ascii="华文细黑" w:hAnsi="宋体" w:eastAsia="华文细黑"/>
          <w:sz w:val="44"/>
        </w:rPr>
      </w:pPr>
    </w:p>
    <w:p w14:paraId="0EB24C66">
      <w:pPr>
        <w:pStyle w:val="18"/>
        <w:spacing w:line="560" w:lineRule="exact"/>
        <w:ind w:left="178" w:leftChars="85" w:firstLine="560" w:firstLineChars="200"/>
        <w:jc w:val="left"/>
        <w:rPr>
          <w:rFonts w:ascii="仿宋" w:hAnsi="仿宋" w:eastAsia="仿宋"/>
          <w:sz w:val="28"/>
          <w:szCs w:val="28"/>
        </w:rPr>
      </w:pPr>
      <w:r>
        <w:rPr>
          <w:rFonts w:hint="eastAsia" w:ascii="仿宋" w:hAnsi="仿宋" w:eastAsia="仿宋"/>
          <w:sz w:val="28"/>
          <w:szCs w:val="28"/>
        </w:rPr>
        <w:t>本授权委托书声明：我</w:t>
      </w:r>
      <w:r>
        <w:rPr>
          <w:rFonts w:hint="eastAsia" w:ascii="仿宋" w:hAnsi="仿宋" w:eastAsia="仿宋"/>
          <w:sz w:val="28"/>
          <w:szCs w:val="28"/>
          <w:u w:val="single"/>
        </w:rPr>
        <w:t xml:space="preserve">       </w:t>
      </w:r>
      <w:r>
        <w:rPr>
          <w:rFonts w:hint="eastAsia" w:ascii="仿宋" w:hAnsi="仿宋" w:eastAsia="仿宋"/>
          <w:sz w:val="28"/>
          <w:szCs w:val="28"/>
        </w:rPr>
        <w:t>(姓名)系</w:t>
      </w:r>
      <w:r>
        <w:rPr>
          <w:rFonts w:hint="eastAsia" w:ascii="仿宋" w:hAnsi="仿宋" w:eastAsia="仿宋"/>
          <w:sz w:val="28"/>
          <w:szCs w:val="28"/>
          <w:u w:val="single"/>
        </w:rPr>
        <w:t xml:space="preserve">          </w:t>
      </w:r>
      <w:r>
        <w:rPr>
          <w:rFonts w:hint="eastAsia" w:ascii="仿宋" w:hAnsi="仿宋" w:eastAsia="仿宋"/>
          <w:sz w:val="28"/>
          <w:szCs w:val="28"/>
        </w:rPr>
        <w:t>(投标人名称)的法定代表人，现授权委托</w:t>
      </w:r>
      <w:r>
        <w:rPr>
          <w:rFonts w:hint="eastAsia" w:ascii="仿宋" w:hAnsi="仿宋" w:eastAsia="仿宋"/>
          <w:sz w:val="28"/>
          <w:szCs w:val="28"/>
          <w:u w:val="single"/>
        </w:rPr>
        <w:t xml:space="preserve">             </w:t>
      </w:r>
      <w:r>
        <w:rPr>
          <w:rFonts w:hint="eastAsia" w:ascii="仿宋" w:hAnsi="仿宋" w:eastAsia="仿宋"/>
          <w:sz w:val="28"/>
          <w:szCs w:val="28"/>
        </w:rPr>
        <w:t>(单位名称)的</w:t>
      </w:r>
      <w:r>
        <w:rPr>
          <w:rFonts w:hint="eastAsia" w:ascii="仿宋" w:hAnsi="仿宋" w:eastAsia="仿宋"/>
          <w:sz w:val="28"/>
          <w:szCs w:val="28"/>
          <w:u w:val="single"/>
        </w:rPr>
        <w:t xml:space="preserve">             </w:t>
      </w:r>
      <w:r>
        <w:rPr>
          <w:rFonts w:hint="eastAsia" w:ascii="仿宋" w:hAnsi="仿宋" w:eastAsia="仿宋"/>
          <w:sz w:val="28"/>
          <w:szCs w:val="28"/>
        </w:rPr>
        <w:t>(姓名)为我公司签署</w:t>
      </w:r>
      <w:r>
        <w:rPr>
          <w:rFonts w:hint="eastAsia" w:ascii="仿宋" w:hAnsi="仿宋" w:eastAsia="仿宋"/>
          <w:sz w:val="28"/>
          <w:szCs w:val="28"/>
          <w:u w:val="single"/>
        </w:rPr>
        <w:t xml:space="preserve">                </w:t>
      </w:r>
      <w:r>
        <w:rPr>
          <w:rFonts w:hint="eastAsia" w:ascii="仿宋" w:hAnsi="仿宋" w:eastAsia="仿宋"/>
          <w:sz w:val="28"/>
          <w:szCs w:val="28"/>
        </w:rPr>
        <w:t>投标文件的法定代表人的授权委托代理人，我承认代理人全权代表我所签署的</w:t>
      </w:r>
      <w:r>
        <w:rPr>
          <w:rFonts w:hint="eastAsia" w:ascii="仿宋" w:hAnsi="仿宋" w:eastAsia="仿宋"/>
          <w:sz w:val="28"/>
          <w:szCs w:val="28"/>
          <w:u w:val="single"/>
        </w:rPr>
        <w:t xml:space="preserve">                  </w:t>
      </w:r>
      <w:r>
        <w:rPr>
          <w:rFonts w:hint="eastAsia" w:ascii="仿宋" w:hAnsi="仿宋" w:eastAsia="仿宋"/>
          <w:sz w:val="28"/>
          <w:szCs w:val="28"/>
        </w:rPr>
        <w:t>投标文件的内容。</w:t>
      </w:r>
    </w:p>
    <w:p w14:paraId="5D1615C8">
      <w:pPr>
        <w:pStyle w:val="18"/>
        <w:spacing w:line="560" w:lineRule="exact"/>
        <w:ind w:left="178" w:leftChars="85" w:firstLine="560" w:firstLineChars="200"/>
        <w:rPr>
          <w:rFonts w:ascii="仿宋" w:hAnsi="仿宋" w:eastAsia="仿宋"/>
          <w:sz w:val="28"/>
          <w:szCs w:val="28"/>
        </w:rPr>
      </w:pPr>
      <w:r>
        <w:rPr>
          <w:rFonts w:hint="eastAsia" w:ascii="仿宋" w:hAnsi="仿宋" w:eastAsia="仿宋"/>
          <w:sz w:val="28"/>
          <w:szCs w:val="28"/>
        </w:rPr>
        <w:t>代理人无转委托权，特此委托。</w:t>
      </w:r>
    </w:p>
    <w:p w14:paraId="7B02BCE4">
      <w:pPr>
        <w:pStyle w:val="18"/>
        <w:spacing w:line="560" w:lineRule="exact"/>
        <w:ind w:left="85" w:firstLine="720"/>
        <w:rPr>
          <w:rFonts w:ascii="仿宋" w:hAnsi="仿宋" w:eastAsia="仿宋"/>
          <w:sz w:val="28"/>
          <w:szCs w:val="28"/>
        </w:rPr>
      </w:pPr>
    </w:p>
    <w:tbl>
      <w:tblPr>
        <w:tblStyle w:val="36"/>
        <w:tblW w:w="0" w:type="auto"/>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5"/>
      </w:tblGrid>
      <w:tr w14:paraId="710E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25" w:hRule="atLeast"/>
        </w:trPr>
        <w:tc>
          <w:tcPr>
            <w:tcW w:w="8628" w:type="dxa"/>
            <w:vAlign w:val="center"/>
          </w:tcPr>
          <w:p w14:paraId="51FC4CA5">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粘贴委托代理人身份证复印件</w:t>
            </w:r>
          </w:p>
        </w:tc>
      </w:tr>
    </w:tbl>
    <w:p w14:paraId="344A8F5E">
      <w:pPr>
        <w:tabs>
          <w:tab w:val="left" w:pos="7740"/>
        </w:tabs>
        <w:spacing w:line="560" w:lineRule="exact"/>
        <w:ind w:firstLine="560" w:firstLineChars="200"/>
        <w:rPr>
          <w:rFonts w:ascii="仿宋" w:hAnsi="仿宋" w:eastAsia="仿宋" w:cs="仿宋_GB2312"/>
          <w:sz w:val="28"/>
          <w:szCs w:val="28"/>
        </w:rPr>
      </w:pPr>
    </w:p>
    <w:p w14:paraId="54E1A768">
      <w:pPr>
        <w:pStyle w:val="18"/>
        <w:spacing w:line="560" w:lineRule="exact"/>
        <w:ind w:left="85" w:firstLine="560" w:firstLineChars="200"/>
        <w:rPr>
          <w:rFonts w:ascii="仿宋" w:hAnsi="仿宋" w:eastAsia="仿宋"/>
          <w:sz w:val="28"/>
          <w:szCs w:val="28"/>
        </w:rPr>
      </w:pPr>
    </w:p>
    <w:p w14:paraId="5141AC05">
      <w:pPr>
        <w:pStyle w:val="18"/>
        <w:spacing w:line="560" w:lineRule="exact"/>
        <w:ind w:left="85" w:firstLine="560" w:firstLineChars="200"/>
        <w:rPr>
          <w:rFonts w:ascii="仿宋" w:hAnsi="仿宋" w:eastAsia="仿宋"/>
          <w:sz w:val="28"/>
          <w:szCs w:val="28"/>
        </w:rPr>
      </w:pPr>
    </w:p>
    <w:p w14:paraId="0F534668">
      <w:pPr>
        <w:pStyle w:val="18"/>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代理人：</w:t>
      </w:r>
      <w:r>
        <w:rPr>
          <w:rFonts w:hint="eastAsia" w:ascii="仿宋" w:hAnsi="仿宋" w:eastAsia="仿宋"/>
          <w:sz w:val="28"/>
          <w:szCs w:val="28"/>
          <w:u w:val="single"/>
        </w:rPr>
        <w:t xml:space="preserve">             </w:t>
      </w:r>
      <w:r>
        <w:rPr>
          <w:rFonts w:hint="eastAsia" w:ascii="仿宋" w:hAnsi="仿宋" w:eastAsia="仿宋"/>
          <w:sz w:val="28"/>
          <w:szCs w:val="28"/>
        </w:rPr>
        <w:t>性别：</w:t>
      </w:r>
      <w:r>
        <w:rPr>
          <w:rFonts w:hint="eastAsia" w:ascii="仿宋" w:hAnsi="仿宋" w:eastAsia="仿宋"/>
          <w:sz w:val="28"/>
          <w:szCs w:val="28"/>
          <w:u w:val="single"/>
        </w:rPr>
        <w:t xml:space="preserve">          </w:t>
      </w:r>
      <w:r>
        <w:rPr>
          <w:rFonts w:hint="eastAsia" w:ascii="仿宋" w:hAnsi="仿宋" w:eastAsia="仿宋"/>
          <w:sz w:val="28"/>
          <w:szCs w:val="28"/>
        </w:rPr>
        <w:t>年龄：</w:t>
      </w:r>
      <w:r>
        <w:rPr>
          <w:rFonts w:hint="eastAsia" w:ascii="仿宋" w:hAnsi="仿宋" w:eastAsia="仿宋"/>
          <w:sz w:val="28"/>
          <w:szCs w:val="28"/>
          <w:u w:val="single"/>
        </w:rPr>
        <w:t xml:space="preserve">             </w:t>
      </w:r>
    </w:p>
    <w:p w14:paraId="5F919D68">
      <w:pPr>
        <w:pStyle w:val="18"/>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职务：</w:t>
      </w:r>
      <w:r>
        <w:rPr>
          <w:rFonts w:hint="eastAsia" w:ascii="仿宋" w:hAnsi="仿宋" w:eastAsia="仿宋"/>
          <w:sz w:val="28"/>
          <w:szCs w:val="28"/>
          <w:u w:val="single"/>
        </w:rPr>
        <w:t xml:space="preserve">               </w:t>
      </w:r>
    </w:p>
    <w:p w14:paraId="0668ED24">
      <w:pPr>
        <w:pStyle w:val="18"/>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145AEE9A">
      <w:pPr>
        <w:pStyle w:val="18"/>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法定代表人(签字或盖章)：</w:t>
      </w:r>
      <w:r>
        <w:rPr>
          <w:rFonts w:hint="eastAsia" w:ascii="仿宋" w:hAnsi="仿宋" w:eastAsia="仿宋"/>
          <w:sz w:val="28"/>
          <w:szCs w:val="28"/>
          <w:u w:val="single"/>
        </w:rPr>
        <w:t xml:space="preserve">                                 </w:t>
      </w:r>
    </w:p>
    <w:p w14:paraId="7F60E3C2">
      <w:pPr>
        <w:pStyle w:val="18"/>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授权委托有效日期：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日至</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7D0191A8">
      <w:pPr>
        <w:pStyle w:val="18"/>
        <w:spacing w:line="560" w:lineRule="exact"/>
        <w:ind w:firstLine="480" w:firstLineChars="200"/>
        <w:rPr>
          <w:sz w:val="24"/>
        </w:rPr>
      </w:pPr>
      <w:r>
        <w:rPr>
          <w:sz w:val="24"/>
        </w:rPr>
        <w:br w:type="page"/>
      </w:r>
    </w:p>
    <w:p w14:paraId="360403A3">
      <w:pPr>
        <w:adjustRightInd w:val="0"/>
        <w:snapToGrid w:val="0"/>
        <w:spacing w:line="560" w:lineRule="exact"/>
        <w:jc w:val="center"/>
        <w:rPr>
          <w:rFonts w:ascii="黑体" w:hAnsi="黑体" w:eastAsia="黑体"/>
          <w:kern w:val="0"/>
          <w:sz w:val="36"/>
          <w:szCs w:val="36"/>
        </w:rPr>
      </w:pPr>
      <w:r>
        <w:rPr>
          <w:rFonts w:hint="eastAsia" w:ascii="黑体" w:hAnsi="黑体" w:eastAsia="黑体"/>
          <w:kern w:val="0"/>
          <w:sz w:val="36"/>
          <w:szCs w:val="36"/>
        </w:rPr>
        <w:t>投  标  函</w:t>
      </w:r>
    </w:p>
    <w:p w14:paraId="477F4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sz w:val="28"/>
          <w:szCs w:val="28"/>
          <w:u w:val="single"/>
        </w:rPr>
        <w:t xml:space="preserve">                       </w:t>
      </w:r>
    </w:p>
    <w:p w14:paraId="13990CC4">
      <w:pPr>
        <w:spacing w:line="560" w:lineRule="exact"/>
        <w:ind w:firstLine="560" w:firstLineChars="200"/>
        <w:rPr>
          <w:rFonts w:ascii="仿宋" w:hAnsi="仿宋" w:eastAsia="仿宋"/>
          <w:sz w:val="28"/>
          <w:szCs w:val="28"/>
        </w:rPr>
      </w:pPr>
      <w:r>
        <w:rPr>
          <w:rFonts w:hint="eastAsia" w:ascii="仿宋" w:hAnsi="仿宋" w:eastAsia="仿宋"/>
          <w:sz w:val="28"/>
          <w:szCs w:val="28"/>
        </w:rPr>
        <w:t>1.根据已收到贵方的</w:t>
      </w:r>
      <w:r>
        <w:rPr>
          <w:rFonts w:hint="eastAsia" w:ascii="仿宋" w:hAnsi="仿宋" w:eastAsia="仿宋" w:cs="宋体"/>
          <w:kern w:val="0"/>
          <w:sz w:val="28"/>
          <w:szCs w:val="28"/>
          <w:u w:val="single"/>
        </w:rPr>
        <w:t xml:space="preserve">                    </w:t>
      </w:r>
      <w:r>
        <w:rPr>
          <w:rFonts w:hint="eastAsia" w:ascii="仿宋" w:hAnsi="仿宋" w:eastAsia="仿宋"/>
          <w:sz w:val="28"/>
          <w:szCs w:val="28"/>
        </w:rPr>
        <w:t>的招标文件，并已详细审核了全部招标文件及有关附件。</w:t>
      </w:r>
    </w:p>
    <w:p w14:paraId="31655CB7">
      <w:pPr>
        <w:spacing w:line="560" w:lineRule="exact"/>
        <w:ind w:firstLine="560" w:firstLineChars="200"/>
        <w:rPr>
          <w:rFonts w:ascii="仿宋" w:hAnsi="仿宋" w:eastAsia="仿宋"/>
          <w:sz w:val="28"/>
          <w:szCs w:val="28"/>
        </w:rPr>
      </w:pPr>
      <w:r>
        <w:rPr>
          <w:rFonts w:hint="eastAsia" w:ascii="仿宋" w:hAnsi="仿宋" w:eastAsia="仿宋"/>
          <w:sz w:val="28"/>
          <w:szCs w:val="28"/>
        </w:rPr>
        <w:t>2.遵照《中华人民共和国招标投标法》等有关规定，经研究上述招标文件的投标须知、合同条款、需求标准、需求清单及其他有关文件后，我方承诺：愿以</w:t>
      </w:r>
    </w:p>
    <w:p w14:paraId="5A26D117">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币种：</w:t>
      </w:r>
      <w:r>
        <w:rPr>
          <w:rFonts w:hint="eastAsia" w:ascii="仿宋" w:hAnsi="仿宋" w:eastAsia="仿宋"/>
          <w:sz w:val="28"/>
          <w:szCs w:val="28"/>
          <w:u w:val="single"/>
        </w:rPr>
        <w:t xml:space="preserve">            </w:t>
      </w:r>
    </w:p>
    <w:p w14:paraId="7BC5CF2B">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r>
        <w:rPr>
          <w:rFonts w:hint="eastAsia" w:ascii="仿宋" w:hAnsi="仿宋" w:eastAsia="仿宋"/>
          <w:sz w:val="28"/>
          <w:szCs w:val="28"/>
        </w:rPr>
        <w:t>元</w:t>
      </w:r>
    </w:p>
    <w:p w14:paraId="1E562FC1">
      <w:pPr>
        <w:spacing w:line="560" w:lineRule="exact"/>
        <w:ind w:firstLine="560" w:firstLineChars="200"/>
        <w:rPr>
          <w:rFonts w:ascii="仿宋" w:hAnsi="仿宋" w:eastAsia="仿宋"/>
          <w:sz w:val="28"/>
          <w:szCs w:val="28"/>
        </w:rPr>
      </w:pPr>
      <w:r>
        <w:rPr>
          <w:rFonts w:hint="eastAsia" w:ascii="仿宋" w:hAnsi="仿宋" w:eastAsia="仿宋"/>
          <w:sz w:val="28"/>
          <w:szCs w:val="28"/>
        </w:rPr>
        <w:t>(小写)</w:t>
      </w:r>
      <w:r>
        <w:rPr>
          <w:rFonts w:hint="eastAsia" w:ascii="仿宋" w:hAnsi="仿宋" w:eastAsia="仿宋"/>
          <w:sz w:val="28"/>
          <w:szCs w:val="28"/>
          <w:u w:val="single"/>
        </w:rPr>
        <w:t xml:space="preserve">                                         </w:t>
      </w:r>
      <w:r>
        <w:rPr>
          <w:rFonts w:hint="eastAsia" w:ascii="仿宋" w:hAnsi="仿宋" w:eastAsia="仿宋"/>
          <w:sz w:val="28"/>
          <w:szCs w:val="28"/>
        </w:rPr>
        <w:t>元</w:t>
      </w:r>
    </w:p>
    <w:p w14:paraId="1D683FC6">
      <w:pPr>
        <w:spacing w:line="560" w:lineRule="exact"/>
        <w:ind w:firstLine="560" w:firstLineChars="200"/>
        <w:rPr>
          <w:rFonts w:ascii="仿宋" w:hAnsi="仿宋" w:eastAsia="仿宋"/>
          <w:sz w:val="28"/>
          <w:szCs w:val="28"/>
        </w:rPr>
      </w:pPr>
      <w:r>
        <w:rPr>
          <w:rFonts w:hint="eastAsia" w:ascii="仿宋" w:hAnsi="仿宋" w:eastAsia="仿宋"/>
          <w:sz w:val="28"/>
          <w:szCs w:val="28"/>
        </w:rPr>
        <w:t>的投标报价并按上述合同条款、需求标准、需求清单等的要求完成上述招标项目内容并提交合格的成果文件。</w:t>
      </w:r>
    </w:p>
    <w:p w14:paraId="36221A40">
      <w:pPr>
        <w:spacing w:line="560" w:lineRule="exact"/>
        <w:ind w:firstLine="560" w:firstLineChars="200"/>
        <w:rPr>
          <w:rFonts w:ascii="仿宋" w:hAnsi="仿宋" w:eastAsia="仿宋"/>
          <w:sz w:val="28"/>
          <w:szCs w:val="28"/>
        </w:rPr>
      </w:pPr>
      <w:r>
        <w:rPr>
          <w:rFonts w:hint="eastAsia" w:ascii="仿宋" w:hAnsi="仿宋" w:eastAsia="仿宋"/>
          <w:sz w:val="28"/>
          <w:szCs w:val="28"/>
        </w:rPr>
        <w:t>3.我方同意所递交的投标文件在投标须知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14:paraId="134752B8">
      <w:pPr>
        <w:spacing w:line="560" w:lineRule="exact"/>
        <w:ind w:firstLine="560" w:firstLineChars="200"/>
        <w:rPr>
          <w:rFonts w:ascii="仿宋" w:hAnsi="仿宋" w:eastAsia="仿宋"/>
          <w:sz w:val="28"/>
          <w:szCs w:val="28"/>
        </w:rPr>
      </w:pPr>
      <w:r>
        <w:rPr>
          <w:rFonts w:hint="eastAsia" w:ascii="仿宋" w:hAnsi="仿宋" w:eastAsia="仿宋"/>
          <w:sz w:val="28"/>
          <w:szCs w:val="28"/>
        </w:rPr>
        <w:t>4.如果我方中标，我方保证按招标文件规定的服务周期，在</w:t>
      </w:r>
      <w:r>
        <w:rPr>
          <w:rFonts w:hint="eastAsia" w:ascii="仿宋" w:hAnsi="仿宋" w:eastAsia="仿宋"/>
          <w:sz w:val="28"/>
          <w:szCs w:val="28"/>
          <w:u w:val="single"/>
        </w:rPr>
        <w:t xml:space="preserve">     </w:t>
      </w:r>
      <w:r>
        <w:rPr>
          <w:rFonts w:hint="eastAsia" w:ascii="仿宋" w:hAnsi="仿宋" w:eastAsia="仿宋"/>
          <w:sz w:val="28"/>
          <w:szCs w:val="28"/>
        </w:rPr>
        <w:t>日历天内完成招标项目内容并提交符合招标文件要求的成果文件。</w:t>
      </w:r>
    </w:p>
    <w:p w14:paraId="0485742F">
      <w:pPr>
        <w:spacing w:line="560" w:lineRule="exact"/>
        <w:ind w:firstLine="560" w:firstLineChars="200"/>
        <w:rPr>
          <w:rFonts w:ascii="仿宋" w:hAnsi="仿宋" w:eastAsia="仿宋"/>
          <w:sz w:val="28"/>
          <w:szCs w:val="28"/>
        </w:rPr>
      </w:pPr>
      <w:r>
        <w:rPr>
          <w:rFonts w:hint="eastAsia" w:ascii="仿宋" w:hAnsi="仿宋" w:eastAsia="仿宋"/>
          <w:sz w:val="28"/>
          <w:szCs w:val="28"/>
        </w:rPr>
        <w:t>5.除非另外达成协议并生效，贵方的中标通知书和本投标文件将成为约束双方的合同文件的组成部分。</w:t>
      </w:r>
    </w:p>
    <w:p w14:paraId="55B54C7F">
      <w:pPr>
        <w:spacing w:line="560" w:lineRule="exact"/>
        <w:ind w:firstLine="560" w:firstLineChars="200"/>
        <w:rPr>
          <w:rFonts w:ascii="仿宋" w:hAnsi="仿宋" w:eastAsia="仿宋"/>
          <w:sz w:val="28"/>
          <w:szCs w:val="28"/>
        </w:rPr>
      </w:pPr>
      <w:r>
        <w:rPr>
          <w:rFonts w:hint="eastAsia" w:ascii="仿宋" w:hAnsi="仿宋" w:eastAsia="仿宋"/>
          <w:sz w:val="28"/>
          <w:szCs w:val="28"/>
        </w:rPr>
        <w:t>6.我方的投标担保与本投标函同时递交。</w:t>
      </w:r>
    </w:p>
    <w:p w14:paraId="79474D28">
      <w:pPr>
        <w:spacing w:line="560" w:lineRule="exact"/>
        <w:ind w:firstLine="560" w:firstLineChars="200"/>
        <w:rPr>
          <w:rFonts w:ascii="仿宋" w:hAnsi="仿宋" w:eastAsia="仿宋"/>
          <w:sz w:val="28"/>
          <w:szCs w:val="28"/>
        </w:rPr>
      </w:pPr>
      <w:r>
        <w:rPr>
          <w:rFonts w:hint="eastAsia" w:ascii="仿宋" w:hAnsi="仿宋" w:eastAsia="仿宋"/>
          <w:sz w:val="28"/>
          <w:szCs w:val="28"/>
        </w:rPr>
        <w:t>投标担保采用：□投标保函或现金□支票□转账方式</w:t>
      </w:r>
    </w:p>
    <w:p w14:paraId="58A1807F">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投标担保的币种：</w:t>
      </w:r>
      <w:r>
        <w:rPr>
          <w:rFonts w:hint="eastAsia" w:ascii="仿宋" w:hAnsi="仿宋" w:eastAsia="仿宋"/>
          <w:sz w:val="28"/>
          <w:szCs w:val="28"/>
          <w:u w:val="single"/>
        </w:rPr>
        <w:t xml:space="preserve">                </w:t>
      </w:r>
    </w:p>
    <w:p w14:paraId="6FD96735">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p>
    <w:p w14:paraId="46E5503E">
      <w:pPr>
        <w:spacing w:line="560" w:lineRule="exact"/>
        <w:ind w:firstLine="560" w:firstLineChars="200"/>
        <w:rPr>
          <w:rFonts w:ascii="仿宋" w:hAnsi="仿宋" w:eastAsia="仿宋"/>
          <w:sz w:val="28"/>
          <w:szCs w:val="28"/>
        </w:rPr>
      </w:pPr>
      <w:r>
        <w:rPr>
          <w:rFonts w:hint="eastAsia" w:ascii="仿宋" w:hAnsi="仿宋" w:eastAsia="仿宋"/>
          <w:sz w:val="28"/>
          <w:szCs w:val="28"/>
        </w:rPr>
        <w:t xml:space="preserve">(小写) </w:t>
      </w:r>
      <w:r>
        <w:rPr>
          <w:rFonts w:hint="eastAsia" w:ascii="仿宋" w:hAnsi="仿宋" w:eastAsia="仿宋"/>
          <w:sz w:val="28"/>
          <w:szCs w:val="28"/>
          <w:u w:val="single"/>
        </w:rPr>
        <w:t xml:space="preserve">                                   </w:t>
      </w:r>
    </w:p>
    <w:p w14:paraId="6329CD4C">
      <w:pPr>
        <w:spacing w:line="560" w:lineRule="exact"/>
        <w:ind w:firstLine="560" w:firstLineChars="200"/>
        <w:rPr>
          <w:rFonts w:ascii="仿宋" w:hAnsi="仿宋" w:eastAsia="仿宋"/>
          <w:sz w:val="28"/>
          <w:szCs w:val="28"/>
        </w:rPr>
      </w:pPr>
      <w:r>
        <w:rPr>
          <w:rFonts w:hint="eastAsia" w:ascii="仿宋" w:hAnsi="仿宋" w:eastAsia="仿宋"/>
          <w:sz w:val="28"/>
          <w:szCs w:val="28"/>
        </w:rPr>
        <w:t>7、如果我方中标，我方将实行项目经理负责制，并按投标文件配备项目管理班子。如未经招标人同意更换项目班子成员，招标人有权取消我公司的中标资格或单方面终止合同，由此造成的违约责任由我公司承担。</w:t>
      </w:r>
    </w:p>
    <w:p w14:paraId="148A6A5A">
      <w:pPr>
        <w:spacing w:line="560" w:lineRule="exact"/>
        <w:ind w:firstLine="560" w:firstLineChars="200"/>
        <w:rPr>
          <w:rFonts w:ascii="仿宋" w:hAnsi="仿宋" w:eastAsia="仿宋"/>
          <w:sz w:val="28"/>
          <w:szCs w:val="28"/>
        </w:rPr>
      </w:pPr>
    </w:p>
    <w:p w14:paraId="09EC2212">
      <w:pPr>
        <w:spacing w:line="560" w:lineRule="exact"/>
        <w:ind w:firstLine="560" w:firstLineChars="200"/>
        <w:rPr>
          <w:rFonts w:ascii="仿宋" w:hAnsi="仿宋" w:eastAsia="仿宋"/>
          <w:sz w:val="28"/>
          <w:szCs w:val="28"/>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5645E753">
      <w:pPr>
        <w:spacing w:line="560" w:lineRule="exact"/>
        <w:ind w:firstLine="560" w:firstLineChars="200"/>
        <w:rPr>
          <w:rFonts w:ascii="仿宋" w:hAnsi="仿宋" w:eastAsia="仿宋"/>
          <w:sz w:val="28"/>
          <w:szCs w:val="28"/>
        </w:rPr>
      </w:pPr>
      <w:r>
        <w:rPr>
          <w:rFonts w:hint="eastAsia" w:ascii="仿宋" w:hAnsi="仿宋" w:eastAsia="仿宋"/>
          <w:sz w:val="28"/>
          <w:szCs w:val="28"/>
        </w:rPr>
        <w:t>单位地址：</w:t>
      </w:r>
      <w:r>
        <w:rPr>
          <w:rFonts w:hint="eastAsia" w:ascii="仿宋" w:hAnsi="仿宋" w:eastAsia="仿宋"/>
          <w:sz w:val="28"/>
          <w:szCs w:val="28"/>
          <w:u w:val="single"/>
        </w:rPr>
        <w:t xml:space="preserve">                                                           </w:t>
      </w:r>
    </w:p>
    <w:p w14:paraId="249C1CA1">
      <w:pPr>
        <w:spacing w:line="560" w:lineRule="exact"/>
        <w:ind w:firstLine="560" w:firstLineChars="200"/>
        <w:rPr>
          <w:rFonts w:ascii="仿宋" w:hAnsi="仿宋" w:eastAsia="仿宋"/>
          <w:sz w:val="28"/>
          <w:szCs w:val="28"/>
        </w:rPr>
      </w:pPr>
      <w:r>
        <w:rPr>
          <w:rFonts w:hint="eastAsia" w:ascii="仿宋" w:hAnsi="仿宋" w:eastAsia="仿宋"/>
          <w:sz w:val="28"/>
          <w:szCs w:val="28"/>
        </w:rPr>
        <w:t>法定代表人或其授权委托人(签字或盖章)：</w:t>
      </w:r>
      <w:r>
        <w:rPr>
          <w:rFonts w:hint="eastAsia" w:ascii="仿宋" w:hAnsi="仿宋" w:eastAsia="仿宋"/>
          <w:sz w:val="28"/>
          <w:szCs w:val="28"/>
          <w:u w:val="single"/>
        </w:rPr>
        <w:t xml:space="preserve">                              </w:t>
      </w:r>
    </w:p>
    <w:p w14:paraId="163ACA4A">
      <w:pPr>
        <w:spacing w:line="560" w:lineRule="exact"/>
        <w:ind w:firstLine="560" w:firstLineChars="200"/>
        <w:rPr>
          <w:rFonts w:ascii="仿宋" w:hAnsi="仿宋" w:eastAsia="仿宋"/>
          <w:sz w:val="28"/>
          <w:szCs w:val="28"/>
        </w:rPr>
      </w:pPr>
      <w:r>
        <w:rPr>
          <w:rFonts w:hint="eastAsia" w:ascii="仿宋" w:hAnsi="仿宋" w:eastAsia="仿宋"/>
          <w:sz w:val="28"/>
          <w:szCs w:val="28"/>
        </w:rPr>
        <w:t>邮政编码：</w:t>
      </w:r>
      <w:r>
        <w:rPr>
          <w:rFonts w:hint="eastAsia" w:ascii="仿宋" w:hAnsi="仿宋" w:eastAsia="仿宋"/>
          <w:sz w:val="28"/>
          <w:szCs w:val="28"/>
          <w:u w:val="single"/>
        </w:rPr>
        <w:t xml:space="preserve">                  </w:t>
      </w:r>
      <w:r>
        <w:rPr>
          <w:rFonts w:hint="eastAsia" w:ascii="仿宋" w:hAnsi="仿宋" w:eastAsia="仿宋"/>
          <w:sz w:val="28"/>
          <w:szCs w:val="28"/>
        </w:rPr>
        <w:t>电话：</w:t>
      </w:r>
      <w:r>
        <w:rPr>
          <w:rFonts w:hint="eastAsia" w:ascii="仿宋" w:hAnsi="仿宋" w:eastAsia="仿宋"/>
          <w:sz w:val="28"/>
          <w:szCs w:val="28"/>
          <w:u w:val="single"/>
        </w:rPr>
        <w:t xml:space="preserve">              </w:t>
      </w:r>
      <w:r>
        <w:rPr>
          <w:rFonts w:hint="eastAsia" w:ascii="仿宋" w:hAnsi="仿宋" w:eastAsia="仿宋"/>
          <w:sz w:val="28"/>
          <w:szCs w:val="28"/>
        </w:rPr>
        <w:t xml:space="preserve"> 传真：</w:t>
      </w:r>
      <w:r>
        <w:rPr>
          <w:rFonts w:hint="eastAsia" w:ascii="仿宋" w:hAnsi="仿宋" w:eastAsia="仿宋"/>
          <w:sz w:val="28"/>
          <w:szCs w:val="28"/>
          <w:u w:val="single"/>
        </w:rPr>
        <w:t xml:space="preserve">              </w:t>
      </w:r>
    </w:p>
    <w:p w14:paraId="3ABFA9A7">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开户银行名称：</w:t>
      </w:r>
      <w:r>
        <w:rPr>
          <w:rFonts w:hint="eastAsia" w:ascii="仿宋" w:hAnsi="仿宋" w:eastAsia="仿宋"/>
          <w:sz w:val="28"/>
          <w:szCs w:val="28"/>
          <w:u w:val="single"/>
        </w:rPr>
        <w:t xml:space="preserve">                                                       </w:t>
      </w:r>
    </w:p>
    <w:p w14:paraId="33093865">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开户银行帐号：</w:t>
      </w:r>
      <w:r>
        <w:rPr>
          <w:rFonts w:hint="eastAsia" w:ascii="仿宋" w:hAnsi="仿宋" w:eastAsia="仿宋"/>
          <w:sz w:val="28"/>
          <w:szCs w:val="28"/>
          <w:u w:val="single"/>
        </w:rPr>
        <w:t xml:space="preserve">                                                       </w:t>
      </w:r>
    </w:p>
    <w:p w14:paraId="13783182">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开户银行地址：</w:t>
      </w:r>
      <w:r>
        <w:rPr>
          <w:rFonts w:hint="eastAsia" w:ascii="仿宋" w:hAnsi="仿宋" w:eastAsia="仿宋"/>
          <w:sz w:val="28"/>
          <w:szCs w:val="28"/>
          <w:u w:val="single"/>
        </w:rPr>
        <w:t xml:space="preserve">                                                       </w:t>
      </w:r>
    </w:p>
    <w:p w14:paraId="1D3978F7">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开户银行电话：</w:t>
      </w:r>
      <w:r>
        <w:rPr>
          <w:rFonts w:hint="eastAsia" w:ascii="仿宋" w:hAnsi="仿宋" w:eastAsia="仿宋"/>
          <w:sz w:val="28"/>
          <w:szCs w:val="28"/>
          <w:u w:val="single"/>
        </w:rPr>
        <w:t xml:space="preserve">                                                       </w:t>
      </w:r>
    </w:p>
    <w:p w14:paraId="6E86E46E">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p>
    <w:p w14:paraId="69B5C7C2">
      <w:pPr>
        <w:spacing w:line="560" w:lineRule="exact"/>
        <w:ind w:firstLine="560" w:firstLineChars="200"/>
        <w:rPr>
          <w:rFonts w:ascii="仿宋" w:hAnsi="仿宋" w:eastAsia="仿宋"/>
          <w:sz w:val="28"/>
          <w:szCs w:val="28"/>
        </w:rPr>
      </w:pPr>
      <w:r>
        <w:rPr>
          <w:rFonts w:ascii="仿宋_GB2312" w:hAnsi="宋体" w:eastAsia="仿宋_GB2312"/>
          <w:sz w:val="28"/>
          <w:szCs w:val="28"/>
          <w:u w:val="single"/>
        </w:rPr>
        <w:br w:type="page"/>
      </w:r>
      <w:r>
        <w:rPr>
          <w:rFonts w:hint="eastAsia" w:ascii="仿宋" w:hAnsi="仿宋" w:eastAsia="仿宋"/>
          <w:sz w:val="28"/>
          <w:szCs w:val="28"/>
        </w:rPr>
        <w:t>投标保函或投标保证金缴纳凭证</w:t>
      </w:r>
    </w:p>
    <w:p w14:paraId="607D7D45">
      <w:pPr>
        <w:adjustRightInd w:val="0"/>
        <w:snapToGrid w:val="0"/>
        <w:spacing w:line="560" w:lineRule="exact"/>
        <w:jc w:val="center"/>
        <w:rPr>
          <w:rFonts w:ascii="仿宋" w:hAnsi="仿宋" w:eastAsia="仿宋"/>
          <w:sz w:val="28"/>
          <w:szCs w:val="28"/>
          <w:u w:val="single"/>
        </w:rPr>
      </w:pPr>
    </w:p>
    <w:p w14:paraId="6165ABAE">
      <w:pPr>
        <w:adjustRightInd w:val="0"/>
        <w:snapToGrid w:val="0"/>
        <w:spacing w:line="560" w:lineRule="exact"/>
        <w:jc w:val="center"/>
        <w:rPr>
          <w:rFonts w:ascii="仿宋" w:hAnsi="仿宋" w:eastAsia="仿宋"/>
          <w:sz w:val="28"/>
          <w:szCs w:val="28"/>
          <w:u w:val="single"/>
        </w:rPr>
      </w:pPr>
    </w:p>
    <w:p w14:paraId="6AEC6FC5">
      <w:pPr>
        <w:adjustRightInd w:val="0"/>
        <w:snapToGrid w:val="0"/>
        <w:spacing w:line="560" w:lineRule="exact"/>
        <w:jc w:val="center"/>
        <w:rPr>
          <w:rFonts w:ascii="仿宋" w:hAnsi="仿宋" w:eastAsia="仿宋"/>
          <w:sz w:val="28"/>
          <w:szCs w:val="28"/>
          <w:u w:val="single"/>
        </w:rPr>
      </w:pPr>
    </w:p>
    <w:tbl>
      <w:tblPr>
        <w:tblStyle w:val="36"/>
        <w:tblW w:w="95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9"/>
      </w:tblGrid>
      <w:tr w14:paraId="62C4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trPr>
        <w:tc>
          <w:tcPr>
            <w:tcW w:w="9569" w:type="dxa"/>
          </w:tcPr>
          <w:p w14:paraId="461670AB">
            <w:pPr>
              <w:spacing w:line="560" w:lineRule="exact"/>
              <w:ind w:firstLine="560" w:firstLineChars="200"/>
              <w:jc w:val="center"/>
              <w:rPr>
                <w:rFonts w:ascii="仿宋" w:hAnsi="仿宋" w:eastAsia="仿宋"/>
                <w:sz w:val="28"/>
                <w:szCs w:val="28"/>
              </w:rPr>
            </w:pPr>
            <w:r>
              <w:rPr>
                <w:rFonts w:hint="eastAsia" w:ascii="仿宋" w:hAnsi="仿宋" w:eastAsia="仿宋"/>
                <w:sz w:val="28"/>
                <w:szCs w:val="28"/>
              </w:rPr>
              <w:t>（粘贴转帐或汇款的银行凭证复印件）</w:t>
            </w:r>
          </w:p>
          <w:p w14:paraId="25667335">
            <w:pPr>
              <w:adjustRightInd w:val="0"/>
              <w:snapToGrid w:val="0"/>
              <w:spacing w:line="560" w:lineRule="exact"/>
              <w:jc w:val="center"/>
              <w:rPr>
                <w:rFonts w:ascii="仿宋" w:hAnsi="仿宋" w:eastAsia="仿宋"/>
                <w:sz w:val="28"/>
                <w:szCs w:val="28"/>
                <w:u w:val="single"/>
              </w:rPr>
            </w:pPr>
          </w:p>
        </w:tc>
      </w:tr>
    </w:tbl>
    <w:p w14:paraId="10B6DC70">
      <w:pPr>
        <w:adjustRightInd w:val="0"/>
        <w:snapToGrid w:val="0"/>
        <w:spacing w:line="560" w:lineRule="exact"/>
        <w:jc w:val="center"/>
        <w:rPr>
          <w:rFonts w:ascii="黑体" w:hAnsi="黑体" w:eastAsia="黑体"/>
          <w:kern w:val="0"/>
          <w:sz w:val="36"/>
          <w:szCs w:val="36"/>
        </w:rPr>
      </w:pPr>
      <w:r>
        <w:rPr>
          <w:rFonts w:ascii="仿宋_GB2312" w:hAnsi="宋体" w:eastAsia="仿宋_GB2312"/>
          <w:sz w:val="28"/>
          <w:szCs w:val="28"/>
          <w:u w:val="single"/>
        </w:rPr>
        <w:br w:type="page"/>
      </w:r>
      <w:r>
        <w:rPr>
          <w:rFonts w:hint="eastAsia" w:ascii="黑体" w:hAnsi="黑体" w:eastAsia="黑体"/>
          <w:kern w:val="0"/>
          <w:sz w:val="36"/>
          <w:szCs w:val="36"/>
        </w:rPr>
        <w:t>廉洁投标承诺书</w:t>
      </w:r>
    </w:p>
    <w:p w14:paraId="6A52A8BA">
      <w:pPr>
        <w:pStyle w:val="51"/>
        <w:ind w:firstLine="562"/>
        <w:rPr>
          <w:rFonts w:ascii="宋体" w:hAnsi="宋体"/>
          <w:b/>
          <w:kern w:val="0"/>
          <w:sz w:val="28"/>
          <w:szCs w:val="28"/>
        </w:rPr>
      </w:pPr>
    </w:p>
    <w:p w14:paraId="7DEB6153">
      <w:pPr>
        <w:pStyle w:val="5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致</w:t>
      </w:r>
      <w:r>
        <w:rPr>
          <w:rFonts w:hint="eastAsia" w:ascii="仿宋" w:hAnsi="仿宋" w:eastAsia="仿宋"/>
          <w:kern w:val="0"/>
          <w:sz w:val="28"/>
          <w:szCs w:val="28"/>
          <w:u w:val="single"/>
        </w:rPr>
        <w:t xml:space="preserve">（招标人名称）   </w:t>
      </w:r>
      <w:r>
        <w:rPr>
          <w:rFonts w:hint="eastAsia" w:ascii="仿宋" w:hAnsi="仿宋" w:eastAsia="仿宋"/>
          <w:kern w:val="0"/>
          <w:sz w:val="28"/>
          <w:szCs w:val="28"/>
        </w:rPr>
        <w:t>：</w:t>
      </w:r>
    </w:p>
    <w:p w14:paraId="020C5900">
      <w:pPr>
        <w:pStyle w:val="5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为积极配合贵单位进行的</w:t>
      </w:r>
      <w:r>
        <w:rPr>
          <w:rFonts w:hint="eastAsia" w:ascii="仿宋" w:hAnsi="仿宋" w:eastAsia="仿宋"/>
          <w:kern w:val="0"/>
          <w:sz w:val="28"/>
          <w:szCs w:val="28"/>
          <w:u w:val="single"/>
        </w:rPr>
        <w:t xml:space="preserve">                   </w:t>
      </w:r>
      <w:r>
        <w:rPr>
          <w:rFonts w:hint="eastAsia" w:ascii="仿宋" w:hAnsi="仿宋" w:eastAsia="仿宋"/>
          <w:kern w:val="0"/>
          <w:sz w:val="28"/>
          <w:szCs w:val="28"/>
        </w:rPr>
        <w:t>招标/采购工作，有效遏制不公平竞争和违规违纪问题的发生，确保招标/采购工作的公平、公正、公开，根据《中华人民共和国招标投标法》等有关法律、法规，以及政府及相关主管部门的有关条例、规定、办法等，本单位特此承诺：</w:t>
      </w:r>
    </w:p>
    <w:p w14:paraId="0A03F8A8">
      <w:pPr>
        <w:pStyle w:val="51"/>
        <w:spacing w:line="560" w:lineRule="exact"/>
        <w:ind w:firstLine="560"/>
        <w:rPr>
          <w:rFonts w:ascii="仿宋" w:hAnsi="仿宋" w:eastAsia="仿宋"/>
          <w:kern w:val="0"/>
          <w:sz w:val="28"/>
          <w:szCs w:val="28"/>
        </w:rPr>
      </w:pPr>
      <w:r>
        <w:rPr>
          <w:rFonts w:hint="eastAsia" w:ascii="仿宋" w:hAnsi="仿宋" w:eastAsia="仿宋"/>
          <w:kern w:val="0"/>
          <w:sz w:val="28"/>
          <w:szCs w:val="28"/>
        </w:rPr>
        <w:t>一、自觉遵守招标投标相关法律法规。</w:t>
      </w:r>
    </w:p>
    <w:p w14:paraId="44A41F45">
      <w:pPr>
        <w:pStyle w:val="51"/>
        <w:spacing w:line="560" w:lineRule="exact"/>
        <w:ind w:firstLine="560"/>
        <w:rPr>
          <w:rFonts w:ascii="仿宋" w:hAnsi="仿宋" w:eastAsia="仿宋"/>
          <w:kern w:val="0"/>
          <w:sz w:val="28"/>
          <w:szCs w:val="28"/>
        </w:rPr>
      </w:pPr>
      <w:r>
        <w:rPr>
          <w:rFonts w:hint="eastAsia" w:ascii="仿宋" w:hAnsi="仿宋" w:eastAsia="仿宋"/>
          <w:kern w:val="0"/>
          <w:sz w:val="28"/>
          <w:szCs w:val="28"/>
        </w:rPr>
        <w:t>二、主动遵照执行深圳第一亚太物业管理有限公司的招投标及采购规定，积极配合深圳第一亚太物业管理有限公司在招标及采购领域中的廉洁风险防控。</w:t>
      </w:r>
    </w:p>
    <w:p w14:paraId="5131272F">
      <w:pPr>
        <w:pStyle w:val="51"/>
        <w:spacing w:line="560" w:lineRule="exact"/>
        <w:ind w:firstLine="560"/>
        <w:rPr>
          <w:rFonts w:ascii="仿宋" w:hAnsi="仿宋" w:eastAsia="仿宋"/>
          <w:kern w:val="0"/>
          <w:sz w:val="28"/>
          <w:szCs w:val="28"/>
        </w:rPr>
      </w:pPr>
      <w:r>
        <w:rPr>
          <w:rFonts w:hint="eastAsia" w:ascii="仿宋" w:hAnsi="仿宋" w:eastAsia="仿宋"/>
          <w:kern w:val="0"/>
          <w:sz w:val="28"/>
          <w:szCs w:val="28"/>
        </w:rPr>
        <w:t>三、不采用不正当竞争手段妨碍、排挤其它投标单位或串通投标。</w:t>
      </w:r>
    </w:p>
    <w:p w14:paraId="1FF287E9">
      <w:pPr>
        <w:pStyle w:val="51"/>
        <w:spacing w:line="560" w:lineRule="exact"/>
        <w:ind w:firstLine="560"/>
        <w:rPr>
          <w:rFonts w:ascii="仿宋" w:hAnsi="仿宋" w:eastAsia="仿宋"/>
          <w:kern w:val="0"/>
          <w:sz w:val="28"/>
          <w:szCs w:val="28"/>
        </w:rPr>
      </w:pPr>
      <w:r>
        <w:rPr>
          <w:rFonts w:hint="eastAsia" w:ascii="仿宋" w:hAnsi="仿宋" w:eastAsia="仿宋"/>
          <w:kern w:val="0"/>
          <w:sz w:val="28"/>
          <w:szCs w:val="28"/>
        </w:rPr>
        <w:t>四、按照招标文件规定的方式进行投标，不隐瞒本单位投标资质的真实情况。</w:t>
      </w:r>
    </w:p>
    <w:p w14:paraId="2C551EFC">
      <w:pPr>
        <w:pStyle w:val="51"/>
        <w:spacing w:line="560" w:lineRule="exact"/>
        <w:ind w:firstLine="560"/>
        <w:rPr>
          <w:rFonts w:ascii="仿宋" w:hAnsi="仿宋" w:eastAsia="仿宋"/>
          <w:kern w:val="0"/>
          <w:sz w:val="28"/>
          <w:szCs w:val="28"/>
        </w:rPr>
      </w:pPr>
      <w:r>
        <w:rPr>
          <w:rFonts w:hint="eastAsia" w:ascii="仿宋" w:hAnsi="仿宋" w:eastAsia="仿宋"/>
          <w:kern w:val="0"/>
          <w:sz w:val="28"/>
          <w:szCs w:val="28"/>
        </w:rPr>
        <w:t>五、在投标活动中不行贿，不给予或暗示给予招标工作人员任何不正当利益，不进行可能影响招投标公平、公正的任何活动。</w:t>
      </w:r>
    </w:p>
    <w:p w14:paraId="1658ED7F">
      <w:pPr>
        <w:pStyle w:val="51"/>
        <w:spacing w:line="560" w:lineRule="exact"/>
        <w:ind w:firstLine="560"/>
        <w:rPr>
          <w:rFonts w:ascii="仿宋" w:hAnsi="仿宋" w:eastAsia="仿宋"/>
          <w:kern w:val="0"/>
          <w:sz w:val="28"/>
          <w:szCs w:val="28"/>
        </w:rPr>
      </w:pPr>
      <w:r>
        <w:rPr>
          <w:rFonts w:hint="eastAsia" w:ascii="仿宋" w:hAnsi="仿宋" w:eastAsia="仿宋"/>
          <w:kern w:val="0"/>
          <w:sz w:val="28"/>
          <w:szCs w:val="28"/>
        </w:rPr>
        <w:t>六、在投标活动中自觉抵制来自招标工作人员的索贿行为。</w:t>
      </w:r>
    </w:p>
    <w:p w14:paraId="2D1C8806">
      <w:pPr>
        <w:pStyle w:val="51"/>
        <w:spacing w:line="560" w:lineRule="exact"/>
        <w:ind w:firstLine="560"/>
        <w:rPr>
          <w:rFonts w:ascii="仿宋" w:hAnsi="仿宋" w:eastAsia="仿宋"/>
          <w:kern w:val="0"/>
          <w:sz w:val="28"/>
          <w:szCs w:val="28"/>
        </w:rPr>
      </w:pPr>
      <w:r>
        <w:rPr>
          <w:rFonts w:hint="eastAsia" w:ascii="仿宋" w:hAnsi="仿宋" w:eastAsia="仿宋"/>
          <w:kern w:val="0"/>
          <w:sz w:val="28"/>
          <w:szCs w:val="28"/>
        </w:rPr>
        <w:t>七、本单位若有违反承诺内容的行为，自愿接受相应处罚。</w:t>
      </w:r>
    </w:p>
    <w:p w14:paraId="789E8C00">
      <w:pPr>
        <w:pStyle w:val="51"/>
        <w:spacing w:line="560" w:lineRule="exact"/>
        <w:ind w:firstLine="560"/>
        <w:rPr>
          <w:rFonts w:ascii="仿宋" w:hAnsi="仿宋" w:eastAsia="仿宋"/>
          <w:kern w:val="0"/>
          <w:sz w:val="28"/>
          <w:szCs w:val="28"/>
        </w:rPr>
      </w:pPr>
    </w:p>
    <w:p w14:paraId="0BAEDA7D">
      <w:pPr>
        <w:pStyle w:val="51"/>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投标单位：       （盖章）       </w:t>
      </w:r>
    </w:p>
    <w:p w14:paraId="3E8271AD">
      <w:pPr>
        <w:pStyle w:val="51"/>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法定代表人：     （签字）        </w:t>
      </w:r>
    </w:p>
    <w:p w14:paraId="1617B681">
      <w:pPr>
        <w:pStyle w:val="51"/>
        <w:ind w:firstLine="0" w:firstLineChars="0"/>
        <w:outlineLvl w:val="1"/>
        <w:rPr>
          <w:rFonts w:ascii="仿宋_GB2312" w:hAnsi="宋体" w:eastAsia="仿宋_GB2312"/>
          <w:b/>
          <w:kern w:val="0"/>
          <w:sz w:val="28"/>
          <w:szCs w:val="28"/>
        </w:rPr>
      </w:pPr>
      <w:r>
        <w:rPr>
          <w:rFonts w:hint="eastAsia" w:ascii="仿宋" w:hAnsi="仿宋" w:eastAsia="仿宋"/>
          <w:kern w:val="0"/>
          <w:sz w:val="28"/>
          <w:szCs w:val="28"/>
        </w:rPr>
        <w:t xml:space="preserve">授权委托人：     </w:t>
      </w:r>
      <w:r>
        <w:rPr>
          <w:rFonts w:ascii="仿宋_GB2312" w:hAnsi="宋体" w:eastAsia="仿宋_GB2312"/>
          <w:kern w:val="0"/>
          <w:sz w:val="28"/>
          <w:szCs w:val="28"/>
        </w:rPr>
        <w:br w:type="page"/>
      </w:r>
      <w:bookmarkStart w:id="114" w:name="_Toc16221"/>
      <w:bookmarkStart w:id="115" w:name="_Toc87887985"/>
      <w:bookmarkStart w:id="116" w:name="_Toc15212"/>
      <w:bookmarkStart w:id="117" w:name="_Toc3873"/>
      <w:r>
        <w:rPr>
          <w:rFonts w:hint="eastAsia" w:ascii="仿宋_GB2312" w:hAnsi="宋体" w:eastAsia="仿宋_GB2312"/>
          <w:b/>
          <w:kern w:val="0"/>
          <w:sz w:val="28"/>
          <w:szCs w:val="28"/>
        </w:rPr>
        <w:t>三、投标文件格式--资信标部分</w:t>
      </w:r>
      <w:bookmarkEnd w:id="114"/>
    </w:p>
    <w:p w14:paraId="1FCD0958">
      <w:pPr>
        <w:pStyle w:val="18"/>
        <w:jc w:val="center"/>
        <w:rPr>
          <w:rFonts w:hAnsi="宋体"/>
          <w:b/>
          <w:bCs/>
          <w:sz w:val="72"/>
        </w:rPr>
      </w:pPr>
    </w:p>
    <w:p w14:paraId="69F8A47F">
      <w:pPr>
        <w:pStyle w:val="18"/>
        <w:jc w:val="center"/>
        <w:rPr>
          <w:rFonts w:ascii="黑体" w:hAnsi="黑体" w:eastAsia="黑体"/>
          <w:bCs/>
          <w:sz w:val="72"/>
          <w:szCs w:val="72"/>
        </w:rPr>
      </w:pPr>
      <w:r>
        <w:rPr>
          <w:rFonts w:hint="eastAsia" w:ascii="黑体" w:hAnsi="黑体" w:eastAsia="黑体"/>
          <w:bCs/>
          <w:sz w:val="72"/>
          <w:szCs w:val="72"/>
        </w:rPr>
        <w:t>非依法必须招标项目服务类</w:t>
      </w:r>
    </w:p>
    <w:p w14:paraId="79C34127">
      <w:pPr>
        <w:pStyle w:val="18"/>
        <w:jc w:val="center"/>
        <w:rPr>
          <w:rFonts w:ascii="黑体" w:hAnsi="黑体" w:eastAsia="黑体"/>
          <w:bCs/>
          <w:sz w:val="84"/>
          <w:szCs w:val="84"/>
        </w:rPr>
      </w:pPr>
    </w:p>
    <w:p w14:paraId="772B8FDC">
      <w:pPr>
        <w:pStyle w:val="18"/>
        <w:jc w:val="center"/>
        <w:rPr>
          <w:rFonts w:ascii="黑体" w:hAnsi="黑体" w:eastAsia="黑体"/>
          <w:bCs/>
          <w:sz w:val="84"/>
          <w:szCs w:val="84"/>
        </w:rPr>
      </w:pPr>
      <w:r>
        <w:rPr>
          <w:rFonts w:hint="eastAsia" w:ascii="黑体" w:hAnsi="黑体" w:eastAsia="黑体"/>
          <w:bCs/>
          <w:sz w:val="84"/>
          <w:szCs w:val="84"/>
        </w:rPr>
        <w:t>投 标 文 件</w:t>
      </w:r>
    </w:p>
    <w:p w14:paraId="5B451A34">
      <w:pPr>
        <w:widowControl w:val="0"/>
        <w:spacing w:line="480" w:lineRule="auto"/>
        <w:ind w:firstLine="840" w:firstLineChars="300"/>
        <w:jc w:val="center"/>
        <w:rPr>
          <w:rFonts w:hint="default" w:ascii="微软雅黑" w:hAnsi="宋体" w:eastAsia="微软雅黑"/>
          <w:bCs/>
          <w:kern w:val="0"/>
          <w:sz w:val="28"/>
          <w:szCs w:val="21"/>
          <w:lang w:val="en-US" w:eastAsia="zh-CN"/>
        </w:rPr>
      </w:pPr>
      <w:r>
        <w:rPr>
          <w:rFonts w:hint="eastAsia" w:ascii="微软雅黑" w:hAnsi="宋体" w:eastAsia="微软雅黑"/>
          <w:bCs/>
          <w:kern w:val="0"/>
          <w:sz w:val="28"/>
          <w:szCs w:val="21"/>
          <w:lang w:val="en-US" w:eastAsia="zh-CN"/>
        </w:rPr>
        <w:t>标段：X</w:t>
      </w:r>
    </w:p>
    <w:p w14:paraId="658C903C">
      <w:pPr>
        <w:widowControl w:val="0"/>
        <w:ind w:left="988"/>
        <w:jc w:val="center"/>
        <w:rPr>
          <w:rFonts w:ascii="宋体" w:hAnsi="宋体"/>
          <w:kern w:val="0"/>
          <w:sz w:val="32"/>
          <w:szCs w:val="21"/>
          <w:u w:val="single"/>
        </w:rPr>
      </w:pPr>
    </w:p>
    <w:p w14:paraId="52AAD195">
      <w:pPr>
        <w:widowControl w:val="0"/>
        <w:ind w:left="988"/>
        <w:jc w:val="center"/>
        <w:rPr>
          <w:rFonts w:ascii="宋体" w:hAnsi="宋体"/>
          <w:kern w:val="0"/>
          <w:sz w:val="32"/>
          <w:szCs w:val="21"/>
          <w:u w:val="single"/>
        </w:rPr>
      </w:pPr>
    </w:p>
    <w:p w14:paraId="0A6DC762">
      <w:pPr>
        <w:widowControl w:val="0"/>
        <w:ind w:left="988"/>
        <w:jc w:val="center"/>
        <w:rPr>
          <w:rFonts w:ascii="宋体" w:hAnsi="宋体"/>
          <w:kern w:val="0"/>
          <w:sz w:val="32"/>
          <w:szCs w:val="21"/>
          <w:u w:val="single"/>
        </w:rPr>
      </w:pPr>
    </w:p>
    <w:p w14:paraId="368C2920">
      <w:pPr>
        <w:widowControl w:val="0"/>
        <w:rPr>
          <w:rFonts w:ascii="宋体" w:hAnsi="宋体"/>
          <w:b/>
          <w:bCs/>
          <w:kern w:val="0"/>
          <w:sz w:val="32"/>
          <w:szCs w:val="21"/>
        </w:rPr>
      </w:pPr>
    </w:p>
    <w:p w14:paraId="12639B23">
      <w:pPr>
        <w:widowControl w:val="0"/>
        <w:rPr>
          <w:rFonts w:ascii="宋体" w:hAnsi="宋体"/>
          <w:b/>
          <w:bCs/>
          <w:kern w:val="0"/>
          <w:sz w:val="32"/>
          <w:szCs w:val="21"/>
        </w:rPr>
      </w:pPr>
    </w:p>
    <w:p w14:paraId="51EF8B76">
      <w:pPr>
        <w:widowControl w:val="0"/>
        <w:rPr>
          <w:rFonts w:ascii="宋体" w:hAnsi="宋体"/>
          <w:b/>
          <w:bCs/>
          <w:kern w:val="0"/>
          <w:sz w:val="32"/>
          <w:szCs w:val="21"/>
        </w:rPr>
      </w:pPr>
    </w:p>
    <w:p w14:paraId="6C3F9532">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5B93CBF0">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 xml:space="preserve">投标文件内容：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资信标部分</w:t>
      </w:r>
      <w:r>
        <w:rPr>
          <w:rFonts w:hint="eastAsia" w:ascii="方正小标宋简体" w:hAnsi="宋体" w:eastAsia="方正小标宋简体"/>
          <w:bCs/>
          <w:kern w:val="0"/>
          <w:sz w:val="28"/>
          <w:szCs w:val="21"/>
          <w:u w:val="single"/>
        </w:rPr>
        <w:t xml:space="preserve">              </w:t>
      </w:r>
    </w:p>
    <w:p w14:paraId="0D7CC228">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投标单位（盖章）：</w:t>
      </w:r>
      <w:r>
        <w:rPr>
          <w:rFonts w:hint="eastAsia" w:ascii="方正小标宋简体" w:hAnsi="宋体" w:eastAsia="方正小标宋简体"/>
          <w:bCs/>
          <w:kern w:val="0"/>
          <w:sz w:val="28"/>
          <w:szCs w:val="21"/>
          <w:u w:val="single"/>
        </w:rPr>
        <w:t xml:space="preserve">                                   </w:t>
      </w:r>
    </w:p>
    <w:p w14:paraId="415FA5A9">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1C33FD22">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44CFE61C">
      <w:pPr>
        <w:widowControl w:val="0"/>
        <w:spacing w:line="480" w:lineRule="auto"/>
        <w:ind w:firstLine="843" w:firstLineChars="300"/>
        <w:rPr>
          <w:rFonts w:ascii="宋体" w:hAnsi="宋体"/>
          <w:b/>
          <w:bCs/>
          <w:kern w:val="0"/>
          <w:sz w:val="28"/>
          <w:szCs w:val="21"/>
        </w:rPr>
      </w:pPr>
    </w:p>
    <w:p w14:paraId="1F4E36B2">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资信标投标文件目录</w:t>
      </w:r>
    </w:p>
    <w:p w14:paraId="437F9D4B">
      <w:pPr>
        <w:pStyle w:val="51"/>
        <w:spacing w:line="560" w:lineRule="exact"/>
        <w:ind w:firstLine="560"/>
        <w:jc w:val="left"/>
        <w:rPr>
          <w:rFonts w:hint="eastAsia" w:ascii="仿宋" w:hAnsi="仿宋" w:eastAsia="仿宋"/>
          <w:bCs/>
          <w:kern w:val="0"/>
          <w:sz w:val="28"/>
          <w:szCs w:val="28"/>
        </w:rPr>
      </w:pPr>
      <w:r>
        <w:rPr>
          <w:rFonts w:hint="eastAsia" w:ascii="仿宋" w:hAnsi="仿宋" w:eastAsia="仿宋"/>
          <w:bCs/>
          <w:kern w:val="0"/>
          <w:sz w:val="28"/>
          <w:szCs w:val="28"/>
        </w:rPr>
        <w:t>1、主体资格与信用状况；</w:t>
      </w:r>
    </w:p>
    <w:p w14:paraId="289312D7">
      <w:pPr>
        <w:pStyle w:val="51"/>
        <w:spacing w:line="560" w:lineRule="exact"/>
        <w:ind w:firstLine="560"/>
        <w:jc w:val="left"/>
        <w:rPr>
          <w:rFonts w:hint="eastAsia" w:ascii="仿宋" w:hAnsi="仿宋" w:eastAsia="仿宋"/>
          <w:bCs/>
          <w:kern w:val="0"/>
          <w:sz w:val="28"/>
          <w:szCs w:val="28"/>
        </w:rPr>
      </w:pPr>
      <w:r>
        <w:rPr>
          <w:rFonts w:hint="eastAsia" w:ascii="仿宋" w:hAnsi="仿宋" w:eastAsia="仿宋"/>
          <w:bCs/>
          <w:kern w:val="0"/>
          <w:sz w:val="28"/>
          <w:szCs w:val="28"/>
        </w:rPr>
        <w:t>2、项目业绩；</w:t>
      </w:r>
    </w:p>
    <w:p w14:paraId="56A44387">
      <w:pPr>
        <w:pStyle w:val="51"/>
        <w:spacing w:line="560" w:lineRule="exact"/>
        <w:ind w:firstLine="560"/>
        <w:jc w:val="left"/>
        <w:rPr>
          <w:rFonts w:hint="eastAsia" w:ascii="仿宋" w:hAnsi="仿宋" w:eastAsia="仿宋"/>
          <w:bCs/>
          <w:kern w:val="0"/>
          <w:sz w:val="28"/>
          <w:szCs w:val="28"/>
        </w:rPr>
      </w:pPr>
      <w:r>
        <w:rPr>
          <w:rFonts w:hint="eastAsia" w:ascii="仿宋" w:hAnsi="仿宋" w:eastAsia="仿宋"/>
          <w:bCs/>
          <w:kern w:val="0"/>
          <w:sz w:val="28"/>
          <w:szCs w:val="28"/>
        </w:rPr>
        <w:t>3、属地司法实践经验；</w:t>
      </w:r>
    </w:p>
    <w:p w14:paraId="7DD2BF43">
      <w:pPr>
        <w:pStyle w:val="51"/>
        <w:spacing w:line="560" w:lineRule="exact"/>
        <w:ind w:firstLine="560"/>
        <w:jc w:val="left"/>
        <w:rPr>
          <w:rFonts w:hint="eastAsia" w:ascii="仿宋" w:hAnsi="仿宋" w:eastAsia="仿宋"/>
          <w:bCs/>
          <w:kern w:val="0"/>
          <w:sz w:val="28"/>
          <w:szCs w:val="28"/>
        </w:rPr>
      </w:pPr>
      <w:r>
        <w:rPr>
          <w:rFonts w:hint="eastAsia" w:ascii="仿宋" w:hAnsi="仿宋" w:eastAsia="仿宋"/>
          <w:bCs/>
          <w:kern w:val="0"/>
          <w:sz w:val="28"/>
          <w:szCs w:val="28"/>
        </w:rPr>
        <w:t>4、律所综合实力；</w:t>
      </w:r>
    </w:p>
    <w:p w14:paraId="7C3E7762">
      <w:pPr>
        <w:pStyle w:val="51"/>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lang w:val="en-US" w:eastAsia="zh-CN"/>
        </w:rPr>
        <w:t>5</w:t>
      </w:r>
      <w:r>
        <w:rPr>
          <w:rFonts w:hint="eastAsia" w:ascii="仿宋" w:hAnsi="仿宋" w:eastAsia="仿宋"/>
          <w:kern w:val="0"/>
          <w:sz w:val="28"/>
          <w:szCs w:val="28"/>
        </w:rPr>
        <w:t>、</w:t>
      </w:r>
      <w:r>
        <w:rPr>
          <w:rFonts w:hint="eastAsia" w:ascii="仿宋" w:hAnsi="仿宋" w:eastAsia="仿宋"/>
          <w:bCs/>
          <w:kern w:val="0"/>
          <w:sz w:val="28"/>
          <w:szCs w:val="28"/>
        </w:rPr>
        <w:t>招标人要求提供的与投标人资信评审有关的其他材料：</w:t>
      </w:r>
    </w:p>
    <w:p w14:paraId="421CD3A9">
      <w:pPr>
        <w:pStyle w:val="51"/>
        <w:spacing w:line="560" w:lineRule="exact"/>
        <w:ind w:firstLine="560"/>
        <w:jc w:val="left"/>
        <w:rPr>
          <w:rFonts w:ascii="仿宋" w:hAnsi="仿宋" w:eastAsia="仿宋"/>
          <w:bCs/>
          <w:kern w:val="0"/>
          <w:sz w:val="28"/>
          <w:szCs w:val="28"/>
          <w:u w:val="single"/>
        </w:rPr>
      </w:pPr>
      <w:r>
        <w:rPr>
          <w:rFonts w:hint="eastAsia" w:ascii="仿宋" w:hAnsi="仿宋" w:eastAsia="仿宋"/>
          <w:bCs/>
          <w:kern w:val="0"/>
          <w:sz w:val="28"/>
          <w:szCs w:val="28"/>
          <w:u w:val="single"/>
        </w:rPr>
        <w:t xml:space="preserve">                                                      </w:t>
      </w:r>
    </w:p>
    <w:p w14:paraId="3D3AE602">
      <w:pPr>
        <w:pStyle w:val="51"/>
        <w:spacing w:line="560" w:lineRule="exact"/>
        <w:ind w:firstLine="560"/>
        <w:jc w:val="center"/>
        <w:rPr>
          <w:rFonts w:ascii="仿宋" w:hAnsi="仿宋" w:eastAsia="仿宋"/>
          <w:kern w:val="0"/>
          <w:sz w:val="28"/>
          <w:szCs w:val="28"/>
        </w:rPr>
      </w:pPr>
      <w:r>
        <w:rPr>
          <w:rFonts w:hint="eastAsia" w:ascii="仿宋" w:hAnsi="仿宋" w:eastAsia="仿宋"/>
          <w:sz w:val="28"/>
        </w:rPr>
        <w:t>（无格式要求，投标人自拟）</w:t>
      </w:r>
    </w:p>
    <w:p w14:paraId="34589153">
      <w:pPr>
        <w:pStyle w:val="51"/>
        <w:ind w:firstLine="0" w:firstLineChars="0"/>
        <w:outlineLvl w:val="1"/>
        <w:rPr>
          <w:rFonts w:ascii="仿宋" w:hAnsi="仿宋" w:eastAsia="仿宋"/>
          <w:b/>
          <w:kern w:val="0"/>
          <w:sz w:val="28"/>
          <w:szCs w:val="28"/>
        </w:rPr>
      </w:pPr>
      <w:r>
        <w:rPr>
          <w:rFonts w:ascii="仿宋_GB2312" w:hAnsi="宋体" w:eastAsia="仿宋_GB2312"/>
          <w:kern w:val="0"/>
          <w:sz w:val="28"/>
          <w:szCs w:val="28"/>
        </w:rPr>
        <w:br w:type="page"/>
      </w:r>
      <w:bookmarkStart w:id="118" w:name="_Toc3971"/>
      <w:r>
        <w:rPr>
          <w:rFonts w:hint="eastAsia" w:ascii="仿宋" w:hAnsi="仿宋" w:eastAsia="仿宋"/>
          <w:b/>
          <w:kern w:val="0"/>
          <w:sz w:val="28"/>
          <w:szCs w:val="28"/>
        </w:rPr>
        <w:t>四、投标文件格式--技术标部分</w:t>
      </w:r>
      <w:bookmarkEnd w:id="118"/>
    </w:p>
    <w:p w14:paraId="61CD88D7">
      <w:pPr>
        <w:pStyle w:val="18"/>
        <w:jc w:val="center"/>
        <w:rPr>
          <w:rFonts w:ascii="黑体" w:hAnsi="黑体" w:eastAsia="黑体"/>
          <w:bCs/>
          <w:sz w:val="84"/>
          <w:szCs w:val="84"/>
        </w:rPr>
      </w:pPr>
    </w:p>
    <w:p w14:paraId="7DDEEB65">
      <w:pPr>
        <w:pStyle w:val="18"/>
        <w:jc w:val="center"/>
        <w:rPr>
          <w:rFonts w:ascii="黑体" w:hAnsi="黑体" w:eastAsia="黑体"/>
          <w:bCs/>
          <w:sz w:val="72"/>
          <w:szCs w:val="72"/>
        </w:rPr>
      </w:pPr>
      <w:r>
        <w:rPr>
          <w:rFonts w:hint="eastAsia" w:ascii="黑体" w:hAnsi="黑体" w:eastAsia="黑体"/>
          <w:bCs/>
          <w:sz w:val="72"/>
          <w:szCs w:val="72"/>
        </w:rPr>
        <w:t>非依法必须招标项目服务类</w:t>
      </w:r>
    </w:p>
    <w:p w14:paraId="79690DD1">
      <w:pPr>
        <w:pStyle w:val="18"/>
        <w:jc w:val="center"/>
        <w:rPr>
          <w:rFonts w:ascii="黑体" w:hAnsi="黑体" w:eastAsia="黑体"/>
          <w:bCs/>
          <w:sz w:val="84"/>
          <w:szCs w:val="84"/>
        </w:rPr>
      </w:pPr>
    </w:p>
    <w:p w14:paraId="0BF71F73">
      <w:pPr>
        <w:pStyle w:val="18"/>
        <w:jc w:val="center"/>
        <w:rPr>
          <w:rFonts w:ascii="黑体" w:hAnsi="黑体" w:eastAsia="黑体"/>
          <w:bCs/>
          <w:sz w:val="84"/>
          <w:szCs w:val="84"/>
        </w:rPr>
      </w:pPr>
      <w:r>
        <w:rPr>
          <w:rFonts w:hint="eastAsia" w:ascii="黑体" w:hAnsi="黑体" w:eastAsia="黑体"/>
          <w:bCs/>
          <w:sz w:val="84"/>
          <w:szCs w:val="84"/>
        </w:rPr>
        <w:t>投 标 文 件</w:t>
      </w:r>
    </w:p>
    <w:p w14:paraId="0C67363A">
      <w:pPr>
        <w:widowControl w:val="0"/>
        <w:ind w:left="988"/>
        <w:jc w:val="center"/>
        <w:rPr>
          <w:rFonts w:ascii="宋体" w:hAnsi="宋体"/>
          <w:kern w:val="0"/>
          <w:sz w:val="32"/>
          <w:szCs w:val="21"/>
          <w:u w:val="single"/>
        </w:rPr>
      </w:pPr>
    </w:p>
    <w:p w14:paraId="4BF8A6A6">
      <w:pPr>
        <w:widowControl w:val="0"/>
        <w:spacing w:line="480" w:lineRule="auto"/>
        <w:ind w:firstLine="840" w:firstLineChars="300"/>
        <w:jc w:val="center"/>
        <w:rPr>
          <w:rFonts w:hint="default" w:ascii="微软雅黑" w:hAnsi="宋体" w:eastAsia="微软雅黑"/>
          <w:bCs/>
          <w:kern w:val="0"/>
          <w:sz w:val="28"/>
          <w:szCs w:val="21"/>
          <w:lang w:val="en-US" w:eastAsia="zh-CN"/>
        </w:rPr>
      </w:pPr>
      <w:r>
        <w:rPr>
          <w:rFonts w:hint="eastAsia" w:ascii="微软雅黑" w:hAnsi="宋体" w:eastAsia="微软雅黑"/>
          <w:bCs/>
          <w:kern w:val="0"/>
          <w:sz w:val="28"/>
          <w:szCs w:val="21"/>
          <w:lang w:val="en-US" w:eastAsia="zh-CN"/>
        </w:rPr>
        <w:t>标段：X</w:t>
      </w:r>
    </w:p>
    <w:p w14:paraId="404464AD">
      <w:pPr>
        <w:widowControl w:val="0"/>
        <w:ind w:left="988"/>
        <w:jc w:val="center"/>
        <w:rPr>
          <w:rFonts w:ascii="宋体" w:hAnsi="宋体"/>
          <w:kern w:val="0"/>
          <w:sz w:val="32"/>
          <w:szCs w:val="21"/>
          <w:u w:val="single"/>
        </w:rPr>
      </w:pPr>
    </w:p>
    <w:p w14:paraId="7D4829DF">
      <w:pPr>
        <w:widowControl w:val="0"/>
        <w:rPr>
          <w:rFonts w:ascii="宋体" w:hAnsi="宋体"/>
          <w:b/>
          <w:bCs/>
          <w:kern w:val="0"/>
          <w:sz w:val="32"/>
          <w:szCs w:val="21"/>
        </w:rPr>
      </w:pPr>
    </w:p>
    <w:p w14:paraId="3E0514A4">
      <w:pPr>
        <w:widowControl w:val="0"/>
        <w:rPr>
          <w:rFonts w:ascii="宋体" w:hAnsi="宋体"/>
          <w:b/>
          <w:bCs/>
          <w:kern w:val="0"/>
          <w:sz w:val="32"/>
          <w:szCs w:val="21"/>
        </w:rPr>
      </w:pPr>
    </w:p>
    <w:p w14:paraId="1EBCE76A">
      <w:pPr>
        <w:widowControl w:val="0"/>
        <w:rPr>
          <w:rFonts w:ascii="宋体" w:hAnsi="宋体"/>
          <w:b/>
          <w:bCs/>
          <w:kern w:val="0"/>
          <w:sz w:val="32"/>
          <w:szCs w:val="21"/>
        </w:rPr>
      </w:pPr>
    </w:p>
    <w:p w14:paraId="1E3FB183">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招标项目名称：</w:t>
      </w:r>
      <w:r>
        <w:rPr>
          <w:rFonts w:hint="eastAsia" w:ascii="方正小标宋简体" w:hAnsi="宋体" w:eastAsia="方正小标宋简体"/>
          <w:bCs/>
          <w:kern w:val="0"/>
          <w:sz w:val="28"/>
          <w:szCs w:val="21"/>
          <w:u w:val="single"/>
        </w:rPr>
        <w:t xml:space="preserve">                                          </w:t>
      </w:r>
    </w:p>
    <w:p w14:paraId="4A7D98BE">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 xml:space="preserve">投标文件内容： </w:t>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softHyphen/>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48"/>
          <w:szCs w:val="48"/>
          <w:u w:val="single"/>
        </w:rPr>
        <w:t>技术标部分</w:t>
      </w:r>
      <w:r>
        <w:rPr>
          <w:rFonts w:hint="eastAsia" w:ascii="方正小标宋简体" w:hAnsi="宋体" w:eastAsia="方正小标宋简体"/>
          <w:bCs/>
          <w:kern w:val="0"/>
          <w:sz w:val="28"/>
          <w:szCs w:val="21"/>
          <w:u w:val="single"/>
        </w:rPr>
        <w:t xml:space="preserve">              </w:t>
      </w:r>
    </w:p>
    <w:p w14:paraId="066C6BCD">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投标单位（盖章）：</w:t>
      </w:r>
      <w:r>
        <w:rPr>
          <w:rFonts w:hint="eastAsia" w:ascii="方正小标宋简体" w:hAnsi="宋体" w:eastAsia="方正小标宋简体"/>
          <w:bCs/>
          <w:kern w:val="0"/>
          <w:sz w:val="28"/>
          <w:szCs w:val="21"/>
          <w:u w:val="single"/>
        </w:rPr>
        <w:t xml:space="preserve">                                   </w:t>
      </w:r>
    </w:p>
    <w:p w14:paraId="3A66AF4E">
      <w:pPr>
        <w:widowControl w:val="0"/>
        <w:spacing w:line="480" w:lineRule="auto"/>
        <w:ind w:firstLine="840" w:firstLineChars="300"/>
        <w:rPr>
          <w:rFonts w:ascii="方正小标宋简体" w:hAnsi="宋体" w:eastAsia="方正小标宋简体"/>
          <w:bCs/>
          <w:kern w:val="0"/>
          <w:sz w:val="28"/>
          <w:szCs w:val="21"/>
          <w:u w:val="single"/>
        </w:rPr>
      </w:pPr>
      <w:r>
        <w:rPr>
          <w:rFonts w:hint="eastAsia" w:ascii="方正小标宋简体" w:hAnsi="宋体" w:eastAsia="方正小标宋简体"/>
          <w:bCs/>
          <w:kern w:val="0"/>
          <w:sz w:val="28"/>
          <w:szCs w:val="21"/>
        </w:rPr>
        <w:t>法定代表人或其委托代理人（签字或盖章）：</w:t>
      </w:r>
      <w:r>
        <w:rPr>
          <w:rFonts w:hint="eastAsia" w:ascii="方正小标宋简体" w:hAnsi="宋体" w:eastAsia="方正小标宋简体"/>
          <w:bCs/>
          <w:kern w:val="0"/>
          <w:sz w:val="28"/>
          <w:szCs w:val="21"/>
          <w:u w:val="single"/>
        </w:rPr>
        <w:t xml:space="preserve">            </w:t>
      </w:r>
    </w:p>
    <w:p w14:paraId="735DF037">
      <w:pPr>
        <w:widowControl w:val="0"/>
        <w:spacing w:line="480" w:lineRule="auto"/>
        <w:ind w:firstLine="840" w:firstLineChars="300"/>
        <w:rPr>
          <w:rFonts w:ascii="方正小标宋简体" w:hAnsi="宋体" w:eastAsia="方正小标宋简体"/>
          <w:bCs/>
          <w:kern w:val="0"/>
          <w:sz w:val="28"/>
          <w:szCs w:val="21"/>
        </w:rPr>
      </w:pPr>
      <w:r>
        <w:rPr>
          <w:rFonts w:hint="eastAsia" w:ascii="方正小标宋简体" w:hAnsi="宋体" w:eastAsia="方正小标宋简体"/>
          <w:bCs/>
          <w:kern w:val="0"/>
          <w:sz w:val="28"/>
          <w:szCs w:val="21"/>
        </w:rPr>
        <w:t>日      期:</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年</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月</w:t>
      </w:r>
      <w:r>
        <w:rPr>
          <w:rFonts w:hint="eastAsia" w:ascii="方正小标宋简体" w:hAnsi="宋体" w:eastAsia="方正小标宋简体"/>
          <w:bCs/>
          <w:kern w:val="0"/>
          <w:sz w:val="28"/>
          <w:szCs w:val="21"/>
          <w:u w:val="single"/>
        </w:rPr>
        <w:t xml:space="preserve">          </w:t>
      </w:r>
      <w:r>
        <w:rPr>
          <w:rFonts w:hint="eastAsia" w:ascii="方正小标宋简体" w:hAnsi="宋体" w:eastAsia="方正小标宋简体"/>
          <w:bCs/>
          <w:kern w:val="0"/>
          <w:sz w:val="28"/>
          <w:szCs w:val="21"/>
        </w:rPr>
        <w:t>日</w:t>
      </w:r>
    </w:p>
    <w:p w14:paraId="008C53FC">
      <w:pPr>
        <w:pStyle w:val="15"/>
        <w:spacing w:line="276" w:lineRule="auto"/>
        <w:ind w:firstLine="0" w:firstLineChars="0"/>
        <w:contextualSpacing/>
        <w:rPr>
          <w:rFonts w:ascii="宋体" w:hAnsi="宋体"/>
          <w:b/>
        </w:rPr>
        <w:sectPr>
          <w:pgSz w:w="12240" w:h="15840"/>
          <w:pgMar w:top="1440" w:right="1797" w:bottom="1440" w:left="1797" w:header="720" w:footer="720" w:gutter="0"/>
          <w:cols w:space="720" w:num="1"/>
        </w:sectPr>
      </w:pPr>
    </w:p>
    <w:p w14:paraId="07F94CA9">
      <w:pPr>
        <w:pStyle w:val="18"/>
        <w:spacing w:line="360" w:lineRule="auto"/>
        <w:ind w:firstLine="660"/>
        <w:jc w:val="center"/>
        <w:rPr>
          <w:rFonts w:ascii="华文细黑" w:hAnsi="宋体" w:eastAsia="华文细黑"/>
          <w:sz w:val="44"/>
        </w:rPr>
      </w:pPr>
      <w:r>
        <w:rPr>
          <w:rFonts w:hint="eastAsia" w:ascii="华文细黑" w:hAnsi="宋体" w:eastAsia="华文细黑"/>
          <w:sz w:val="44"/>
        </w:rPr>
        <w:t>技术标部分目录</w:t>
      </w:r>
    </w:p>
    <w:p w14:paraId="4DFB59A9">
      <w:pPr>
        <w:pStyle w:val="18"/>
        <w:spacing w:line="520" w:lineRule="exact"/>
        <w:rPr>
          <w:b/>
          <w:bCs/>
          <w:sz w:val="28"/>
        </w:rPr>
      </w:pPr>
    </w:p>
    <w:p w14:paraId="3D2847ED">
      <w:pPr>
        <w:pStyle w:val="51"/>
        <w:ind w:firstLine="0" w:firstLineChars="0"/>
        <w:outlineLvl w:val="1"/>
        <w:rPr>
          <w:rFonts w:hint="eastAsia" w:ascii="仿宋" w:hAnsi="仿宋" w:eastAsia="仿宋"/>
          <w:bCs/>
          <w:kern w:val="0"/>
          <w:sz w:val="28"/>
          <w:szCs w:val="28"/>
        </w:rPr>
      </w:pPr>
      <w:r>
        <w:rPr>
          <w:rFonts w:hint="eastAsia" w:ascii="仿宋" w:hAnsi="仿宋" w:eastAsia="仿宋"/>
          <w:bCs/>
          <w:kern w:val="0"/>
          <w:sz w:val="28"/>
          <w:szCs w:val="28"/>
        </w:rPr>
        <w:t>1、项目服务团队配置与专业适配性；</w:t>
      </w:r>
    </w:p>
    <w:p w14:paraId="054657B2">
      <w:pPr>
        <w:pStyle w:val="51"/>
        <w:ind w:firstLine="0" w:firstLineChars="0"/>
        <w:outlineLvl w:val="1"/>
        <w:rPr>
          <w:rFonts w:hint="eastAsia" w:ascii="仿宋" w:hAnsi="仿宋" w:eastAsia="仿宋"/>
          <w:bCs/>
          <w:kern w:val="0"/>
          <w:sz w:val="28"/>
          <w:szCs w:val="28"/>
        </w:rPr>
      </w:pPr>
    </w:p>
    <w:p w14:paraId="29218F2C">
      <w:pPr>
        <w:pStyle w:val="51"/>
        <w:ind w:firstLine="0" w:firstLineChars="0"/>
        <w:outlineLvl w:val="1"/>
        <w:rPr>
          <w:rFonts w:hint="eastAsia" w:ascii="仿宋" w:hAnsi="仿宋" w:eastAsia="仿宋"/>
          <w:bCs/>
          <w:kern w:val="0"/>
          <w:sz w:val="28"/>
          <w:szCs w:val="28"/>
        </w:rPr>
      </w:pPr>
      <w:r>
        <w:rPr>
          <w:rFonts w:hint="eastAsia" w:ascii="仿宋" w:hAnsi="仿宋" w:eastAsia="仿宋"/>
          <w:bCs/>
          <w:kern w:val="0"/>
          <w:sz w:val="28"/>
          <w:szCs w:val="28"/>
        </w:rPr>
        <w:t>2、属地服务支撑与司法环境适配能力；</w:t>
      </w:r>
    </w:p>
    <w:p w14:paraId="218C6166">
      <w:pPr>
        <w:pStyle w:val="51"/>
        <w:ind w:firstLine="0" w:firstLineChars="0"/>
        <w:outlineLvl w:val="1"/>
        <w:rPr>
          <w:rFonts w:hint="eastAsia" w:ascii="仿宋" w:hAnsi="仿宋" w:eastAsia="仿宋"/>
          <w:bCs/>
          <w:kern w:val="0"/>
          <w:sz w:val="28"/>
          <w:szCs w:val="28"/>
        </w:rPr>
      </w:pPr>
    </w:p>
    <w:p w14:paraId="050ABCD9">
      <w:pPr>
        <w:pStyle w:val="51"/>
        <w:ind w:firstLine="0" w:firstLineChars="0"/>
        <w:outlineLvl w:val="1"/>
        <w:rPr>
          <w:rFonts w:hint="eastAsia" w:ascii="仿宋" w:hAnsi="仿宋" w:eastAsia="仿宋"/>
          <w:bCs/>
          <w:kern w:val="0"/>
          <w:sz w:val="28"/>
          <w:szCs w:val="28"/>
        </w:rPr>
      </w:pPr>
      <w:r>
        <w:rPr>
          <w:rFonts w:hint="eastAsia" w:ascii="仿宋" w:hAnsi="仿宋" w:eastAsia="仿宋"/>
          <w:bCs/>
          <w:kern w:val="0"/>
          <w:sz w:val="28"/>
          <w:szCs w:val="28"/>
        </w:rPr>
        <w:t>3、批量案件诉讼服务整体方案；</w:t>
      </w:r>
    </w:p>
    <w:p w14:paraId="5F818B54">
      <w:pPr>
        <w:pStyle w:val="51"/>
        <w:ind w:firstLine="0" w:firstLineChars="0"/>
        <w:outlineLvl w:val="1"/>
        <w:rPr>
          <w:rFonts w:hint="eastAsia" w:ascii="仿宋" w:hAnsi="仿宋" w:eastAsia="仿宋"/>
          <w:bCs/>
          <w:kern w:val="0"/>
          <w:sz w:val="28"/>
          <w:szCs w:val="28"/>
        </w:rPr>
      </w:pPr>
    </w:p>
    <w:p w14:paraId="7029ED07">
      <w:pPr>
        <w:pStyle w:val="51"/>
        <w:ind w:firstLine="0" w:firstLineChars="0"/>
        <w:outlineLvl w:val="1"/>
        <w:rPr>
          <w:rFonts w:hint="eastAsia" w:ascii="仿宋" w:hAnsi="仿宋" w:eastAsia="仿宋"/>
          <w:bCs/>
          <w:kern w:val="0"/>
          <w:sz w:val="28"/>
          <w:szCs w:val="28"/>
          <w:lang w:eastAsia="zh-CN"/>
        </w:rPr>
      </w:pPr>
      <w:r>
        <w:rPr>
          <w:rFonts w:hint="eastAsia" w:ascii="仿宋" w:hAnsi="仿宋" w:eastAsia="仿宋"/>
          <w:bCs/>
          <w:kern w:val="0"/>
          <w:sz w:val="28"/>
          <w:szCs w:val="28"/>
        </w:rPr>
        <w:t>4、服务质量管控与响应机制</w:t>
      </w:r>
      <w:r>
        <w:rPr>
          <w:rFonts w:hint="eastAsia" w:ascii="仿宋" w:hAnsi="仿宋" w:eastAsia="仿宋"/>
          <w:bCs/>
          <w:kern w:val="0"/>
          <w:sz w:val="28"/>
          <w:szCs w:val="28"/>
          <w:lang w:eastAsia="zh-CN"/>
        </w:rPr>
        <w:t>；</w:t>
      </w:r>
    </w:p>
    <w:p w14:paraId="724973AB">
      <w:pPr>
        <w:pStyle w:val="51"/>
        <w:ind w:firstLine="0" w:firstLineChars="0"/>
        <w:outlineLvl w:val="1"/>
        <w:rPr>
          <w:rFonts w:hint="eastAsia" w:ascii="仿宋" w:hAnsi="仿宋" w:eastAsia="仿宋"/>
          <w:kern w:val="0"/>
          <w:sz w:val="28"/>
          <w:szCs w:val="28"/>
          <w:lang w:val="en-US" w:eastAsia="zh-CN"/>
        </w:rPr>
      </w:pPr>
    </w:p>
    <w:p w14:paraId="5F8E1D88">
      <w:pPr>
        <w:pStyle w:val="51"/>
        <w:ind w:firstLine="0" w:firstLineChars="0"/>
        <w:outlineLvl w:val="1"/>
        <w:rPr>
          <w:rFonts w:ascii="仿宋" w:hAnsi="仿宋" w:eastAsia="仿宋"/>
          <w:bCs/>
          <w:kern w:val="0"/>
          <w:sz w:val="28"/>
          <w:szCs w:val="28"/>
        </w:rPr>
      </w:pPr>
      <w:r>
        <w:rPr>
          <w:rFonts w:hint="eastAsia" w:ascii="仿宋" w:hAnsi="仿宋" w:eastAsia="仿宋"/>
          <w:kern w:val="0"/>
          <w:sz w:val="28"/>
          <w:szCs w:val="28"/>
          <w:lang w:val="en-US" w:eastAsia="zh-CN"/>
        </w:rPr>
        <w:t>5、</w:t>
      </w:r>
      <w:r>
        <w:rPr>
          <w:rFonts w:hint="eastAsia" w:ascii="仿宋" w:hAnsi="仿宋" w:eastAsia="仿宋"/>
          <w:bCs/>
          <w:kern w:val="0"/>
          <w:sz w:val="28"/>
          <w:szCs w:val="28"/>
        </w:rPr>
        <w:t>招标人要求提供的与投标人资信评审有关的其他材料；</w:t>
      </w:r>
    </w:p>
    <w:p w14:paraId="65DDB9E2">
      <w:pPr>
        <w:pStyle w:val="51"/>
        <w:ind w:firstLine="0" w:firstLineChars="0"/>
        <w:outlineLvl w:val="1"/>
        <w:rPr>
          <w:rFonts w:ascii="仿宋" w:hAnsi="仿宋" w:eastAsia="仿宋"/>
          <w:bCs/>
          <w:kern w:val="0"/>
          <w:sz w:val="28"/>
          <w:szCs w:val="28"/>
        </w:rPr>
      </w:pPr>
    </w:p>
    <w:p w14:paraId="1B5098E0">
      <w:pPr>
        <w:pStyle w:val="51"/>
        <w:spacing w:line="560" w:lineRule="exact"/>
        <w:ind w:firstLine="560"/>
        <w:jc w:val="left"/>
        <w:rPr>
          <w:rFonts w:ascii="仿宋" w:hAnsi="仿宋" w:eastAsia="仿宋"/>
          <w:bCs/>
          <w:kern w:val="0"/>
          <w:sz w:val="28"/>
          <w:szCs w:val="28"/>
          <w:u w:val="single"/>
        </w:rPr>
      </w:pPr>
      <w:r>
        <w:rPr>
          <w:rFonts w:hint="eastAsia" w:ascii="仿宋" w:hAnsi="仿宋" w:eastAsia="仿宋"/>
          <w:bCs/>
          <w:kern w:val="0"/>
          <w:sz w:val="28"/>
          <w:szCs w:val="28"/>
          <w:u w:val="single"/>
        </w:rPr>
        <w:t xml:space="preserve">                                                      </w:t>
      </w:r>
    </w:p>
    <w:p w14:paraId="76D7D496">
      <w:pPr>
        <w:pStyle w:val="51"/>
        <w:spacing w:line="560" w:lineRule="exact"/>
        <w:ind w:firstLine="560"/>
        <w:jc w:val="center"/>
        <w:rPr>
          <w:rFonts w:ascii="仿宋" w:hAnsi="仿宋" w:eastAsia="仿宋"/>
          <w:kern w:val="0"/>
          <w:sz w:val="28"/>
          <w:szCs w:val="28"/>
        </w:rPr>
      </w:pPr>
      <w:r>
        <w:rPr>
          <w:rFonts w:hint="eastAsia" w:ascii="仿宋" w:hAnsi="仿宋" w:eastAsia="仿宋"/>
          <w:sz w:val="28"/>
        </w:rPr>
        <w:t>（无格式要求，投标人自拟）</w:t>
      </w:r>
    </w:p>
    <w:p w14:paraId="2864604B">
      <w:pPr>
        <w:pStyle w:val="51"/>
        <w:ind w:firstLine="0" w:firstLineChars="0"/>
        <w:outlineLvl w:val="1"/>
        <w:rPr>
          <w:rFonts w:ascii="仿宋" w:hAnsi="仿宋" w:eastAsia="仿宋"/>
          <w:bCs/>
          <w:kern w:val="0"/>
          <w:sz w:val="28"/>
          <w:szCs w:val="28"/>
        </w:rPr>
      </w:pPr>
    </w:p>
    <w:p w14:paraId="11A4D9FD">
      <w:pPr>
        <w:pStyle w:val="51"/>
        <w:ind w:firstLine="0" w:firstLineChars="0"/>
        <w:outlineLvl w:val="1"/>
        <w:rPr>
          <w:rFonts w:ascii="仿宋" w:hAnsi="仿宋" w:eastAsia="仿宋"/>
          <w:bCs/>
          <w:kern w:val="0"/>
          <w:sz w:val="28"/>
          <w:szCs w:val="28"/>
        </w:rPr>
        <w:sectPr>
          <w:pgSz w:w="12240" w:h="15840"/>
          <w:pgMar w:top="1440" w:right="1797" w:bottom="1440" w:left="1797" w:header="720" w:footer="720" w:gutter="0"/>
          <w:cols w:space="720" w:num="1"/>
        </w:sectPr>
      </w:pPr>
    </w:p>
    <w:p w14:paraId="5829469C">
      <w:pPr>
        <w:pStyle w:val="51"/>
        <w:ind w:firstLine="0" w:firstLineChars="0"/>
        <w:outlineLvl w:val="1"/>
        <w:rPr>
          <w:rFonts w:ascii="仿宋" w:hAnsi="仿宋" w:eastAsia="仿宋"/>
          <w:b/>
          <w:kern w:val="0"/>
          <w:sz w:val="28"/>
          <w:szCs w:val="28"/>
        </w:rPr>
      </w:pPr>
      <w:r>
        <w:rPr>
          <w:rFonts w:hint="eastAsia" w:ascii="仿宋" w:hAnsi="仿宋" w:eastAsia="仿宋"/>
          <w:b/>
          <w:kern w:val="0"/>
          <w:sz w:val="28"/>
          <w:szCs w:val="28"/>
        </w:rPr>
        <w:t>五、</w:t>
      </w:r>
      <w:bookmarkEnd w:id="115"/>
      <w:bookmarkStart w:id="119" w:name="_Toc87887986"/>
      <w:r>
        <w:rPr>
          <w:rFonts w:hint="eastAsia" w:ascii="仿宋" w:hAnsi="仿宋" w:eastAsia="仿宋"/>
          <w:b/>
          <w:kern w:val="0"/>
          <w:sz w:val="28"/>
          <w:szCs w:val="28"/>
        </w:rPr>
        <w:t>投标文件格式</w:t>
      </w:r>
      <w:r>
        <w:rPr>
          <w:rFonts w:ascii="仿宋" w:hAnsi="仿宋" w:eastAsia="仿宋"/>
          <w:b/>
          <w:kern w:val="0"/>
          <w:sz w:val="28"/>
          <w:szCs w:val="28"/>
        </w:rPr>
        <w:t>—</w:t>
      </w:r>
      <w:r>
        <w:rPr>
          <w:rFonts w:hint="eastAsia" w:ascii="仿宋" w:hAnsi="仿宋" w:eastAsia="仿宋"/>
          <w:b/>
          <w:kern w:val="0"/>
          <w:sz w:val="28"/>
          <w:szCs w:val="28"/>
        </w:rPr>
        <w:t>商务标部分</w:t>
      </w:r>
      <w:bookmarkEnd w:id="116"/>
      <w:bookmarkEnd w:id="117"/>
      <w:bookmarkEnd w:id="119"/>
    </w:p>
    <w:p w14:paraId="46B60945">
      <w:pPr>
        <w:pStyle w:val="18"/>
        <w:jc w:val="center"/>
        <w:rPr>
          <w:rFonts w:ascii="黑体" w:hAnsi="黑体" w:eastAsia="黑体"/>
          <w:bCs/>
          <w:sz w:val="84"/>
          <w:szCs w:val="84"/>
        </w:rPr>
      </w:pPr>
    </w:p>
    <w:p w14:paraId="1B016D22">
      <w:pPr>
        <w:pStyle w:val="18"/>
        <w:jc w:val="center"/>
        <w:rPr>
          <w:rFonts w:ascii="黑体" w:hAnsi="黑体" w:eastAsia="黑体"/>
          <w:bCs/>
          <w:sz w:val="72"/>
          <w:szCs w:val="72"/>
        </w:rPr>
      </w:pPr>
      <w:r>
        <w:rPr>
          <w:rFonts w:hint="eastAsia" w:ascii="黑体" w:hAnsi="黑体" w:eastAsia="黑体"/>
          <w:bCs/>
          <w:sz w:val="72"/>
          <w:szCs w:val="72"/>
        </w:rPr>
        <w:t>非依法必须招标项目服务类</w:t>
      </w:r>
    </w:p>
    <w:p w14:paraId="3E05F5A6">
      <w:pPr>
        <w:pStyle w:val="18"/>
        <w:jc w:val="center"/>
        <w:rPr>
          <w:rFonts w:ascii="黑体" w:hAnsi="黑体" w:eastAsia="黑体"/>
          <w:bCs/>
          <w:sz w:val="84"/>
          <w:szCs w:val="84"/>
        </w:rPr>
      </w:pPr>
    </w:p>
    <w:p w14:paraId="43AF6FD0">
      <w:pPr>
        <w:pStyle w:val="18"/>
        <w:jc w:val="center"/>
        <w:rPr>
          <w:rFonts w:ascii="黑体" w:hAnsi="黑体" w:eastAsia="黑体"/>
          <w:bCs/>
          <w:sz w:val="84"/>
          <w:szCs w:val="84"/>
        </w:rPr>
      </w:pPr>
      <w:r>
        <w:rPr>
          <w:rFonts w:hint="eastAsia" w:ascii="黑体" w:hAnsi="黑体" w:eastAsia="黑体"/>
          <w:bCs/>
          <w:sz w:val="84"/>
          <w:szCs w:val="84"/>
        </w:rPr>
        <w:t>投 标 文 件</w:t>
      </w:r>
    </w:p>
    <w:p w14:paraId="598210F2">
      <w:pPr>
        <w:widowControl w:val="0"/>
        <w:spacing w:line="480" w:lineRule="auto"/>
        <w:ind w:firstLine="840" w:firstLineChars="300"/>
        <w:jc w:val="center"/>
        <w:rPr>
          <w:rFonts w:hint="default" w:ascii="微软雅黑" w:hAnsi="宋体" w:eastAsia="微软雅黑"/>
          <w:bCs/>
          <w:kern w:val="0"/>
          <w:sz w:val="28"/>
          <w:szCs w:val="21"/>
          <w:lang w:val="en-US" w:eastAsia="zh-CN"/>
        </w:rPr>
      </w:pPr>
      <w:r>
        <w:rPr>
          <w:rFonts w:hint="eastAsia" w:ascii="微软雅黑" w:hAnsi="宋体" w:eastAsia="微软雅黑"/>
          <w:bCs/>
          <w:kern w:val="0"/>
          <w:sz w:val="28"/>
          <w:szCs w:val="21"/>
          <w:lang w:val="en-US" w:eastAsia="zh-CN"/>
        </w:rPr>
        <w:t>标段：X</w:t>
      </w:r>
    </w:p>
    <w:p w14:paraId="1D2890DF">
      <w:pPr>
        <w:widowControl w:val="0"/>
        <w:ind w:left="988"/>
        <w:jc w:val="center"/>
        <w:rPr>
          <w:rFonts w:ascii="宋体" w:hAnsi="宋体"/>
          <w:kern w:val="0"/>
          <w:sz w:val="32"/>
          <w:szCs w:val="21"/>
          <w:u w:val="single"/>
        </w:rPr>
      </w:pPr>
    </w:p>
    <w:p w14:paraId="00B8A233">
      <w:pPr>
        <w:widowControl w:val="0"/>
        <w:rPr>
          <w:rFonts w:ascii="宋体" w:hAnsi="宋体"/>
          <w:b/>
          <w:bCs/>
          <w:kern w:val="0"/>
          <w:sz w:val="32"/>
          <w:szCs w:val="21"/>
        </w:rPr>
      </w:pPr>
    </w:p>
    <w:p w14:paraId="1BB071D0">
      <w:pPr>
        <w:widowControl w:val="0"/>
        <w:rPr>
          <w:rFonts w:ascii="宋体" w:hAnsi="宋体"/>
          <w:b/>
          <w:bCs/>
          <w:kern w:val="0"/>
          <w:sz w:val="32"/>
          <w:szCs w:val="21"/>
        </w:rPr>
      </w:pPr>
    </w:p>
    <w:p w14:paraId="67EDE3A1">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招标项目名称：</w:t>
      </w:r>
      <w:r>
        <w:rPr>
          <w:rFonts w:hint="eastAsia" w:ascii="微软雅黑" w:hAnsi="宋体" w:eastAsia="微软雅黑"/>
          <w:bCs/>
          <w:kern w:val="0"/>
          <w:sz w:val="28"/>
          <w:szCs w:val="21"/>
          <w:u w:val="single"/>
        </w:rPr>
        <w:t xml:space="preserve">                                          </w:t>
      </w:r>
    </w:p>
    <w:p w14:paraId="303C9F9E">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 xml:space="preserve">投标文件内容： </w:t>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softHyphen/>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48"/>
          <w:szCs w:val="48"/>
          <w:u w:val="single"/>
        </w:rPr>
        <w:t>商务标部分</w:t>
      </w:r>
      <w:r>
        <w:rPr>
          <w:rFonts w:hint="eastAsia" w:ascii="微软雅黑" w:hAnsi="宋体" w:eastAsia="微软雅黑"/>
          <w:bCs/>
          <w:kern w:val="0"/>
          <w:sz w:val="28"/>
          <w:szCs w:val="21"/>
          <w:u w:val="single"/>
        </w:rPr>
        <w:t xml:space="preserve">              </w:t>
      </w:r>
    </w:p>
    <w:p w14:paraId="6A7FD0C6">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投标单位（盖章）：</w:t>
      </w:r>
      <w:r>
        <w:rPr>
          <w:rFonts w:hint="eastAsia" w:ascii="微软雅黑" w:hAnsi="宋体" w:eastAsia="微软雅黑"/>
          <w:bCs/>
          <w:kern w:val="0"/>
          <w:sz w:val="28"/>
          <w:szCs w:val="21"/>
          <w:u w:val="single"/>
        </w:rPr>
        <w:t xml:space="preserve">                                   </w:t>
      </w:r>
    </w:p>
    <w:p w14:paraId="1290DA1B">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法定代表人或其委托代理人（签字或盖章）：</w:t>
      </w:r>
      <w:r>
        <w:rPr>
          <w:rFonts w:hint="eastAsia" w:ascii="微软雅黑" w:hAnsi="宋体" w:eastAsia="微软雅黑"/>
          <w:bCs/>
          <w:kern w:val="0"/>
          <w:sz w:val="28"/>
          <w:szCs w:val="21"/>
          <w:u w:val="single"/>
        </w:rPr>
        <w:t xml:space="preserve">            </w:t>
      </w:r>
    </w:p>
    <w:p w14:paraId="2EF6FCCF">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日      期:</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年</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月</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日</w:t>
      </w:r>
    </w:p>
    <w:p w14:paraId="4656C4E1">
      <w:pPr>
        <w:pStyle w:val="15"/>
        <w:spacing w:line="276" w:lineRule="auto"/>
        <w:ind w:firstLine="0" w:firstLineChars="0"/>
        <w:contextualSpacing/>
        <w:rPr>
          <w:rFonts w:ascii="宋体" w:hAnsi="宋体"/>
          <w:b/>
        </w:rPr>
        <w:sectPr>
          <w:pgSz w:w="12240" w:h="15840"/>
          <w:pgMar w:top="1440" w:right="1797" w:bottom="1440" w:left="1797" w:header="720" w:footer="720" w:gutter="0"/>
          <w:cols w:space="720" w:num="1"/>
        </w:sectPr>
      </w:pPr>
    </w:p>
    <w:p w14:paraId="23148233">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商务标投标文件目录</w:t>
      </w:r>
    </w:p>
    <w:p w14:paraId="07C4FECF">
      <w:pPr>
        <w:pStyle w:val="5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1.投标总价</w:t>
      </w:r>
    </w:p>
    <w:p w14:paraId="68EB3012">
      <w:pPr>
        <w:pStyle w:val="51"/>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2.投标分项报价表</w:t>
      </w:r>
    </w:p>
    <w:p w14:paraId="29AF357D">
      <w:pPr>
        <w:pStyle w:val="51"/>
        <w:spacing w:line="360" w:lineRule="auto"/>
        <w:ind w:firstLine="560"/>
        <w:jc w:val="left"/>
        <w:rPr>
          <w:rFonts w:ascii="宋体" w:hAnsi="宋体" w:cs="黑体"/>
          <w:sz w:val="28"/>
          <w:szCs w:val="28"/>
          <w:shd w:val="clear" w:color="050000" w:fill="auto"/>
        </w:rPr>
      </w:pPr>
    </w:p>
    <w:p w14:paraId="45DBD40E">
      <w:pPr>
        <w:pStyle w:val="51"/>
        <w:spacing w:line="360" w:lineRule="auto"/>
        <w:ind w:firstLine="560"/>
        <w:jc w:val="left"/>
        <w:rPr>
          <w:rFonts w:ascii="宋体" w:hAnsi="宋体" w:cs="黑体"/>
          <w:sz w:val="28"/>
          <w:szCs w:val="28"/>
          <w:shd w:val="clear" w:color="050000" w:fill="auto"/>
        </w:rPr>
      </w:pPr>
    </w:p>
    <w:p w14:paraId="50A34B51">
      <w:pPr>
        <w:pStyle w:val="51"/>
        <w:spacing w:line="360" w:lineRule="auto"/>
        <w:ind w:firstLine="560"/>
        <w:jc w:val="left"/>
        <w:rPr>
          <w:rFonts w:ascii="宋体" w:hAnsi="宋体" w:cs="黑体"/>
          <w:sz w:val="28"/>
          <w:szCs w:val="28"/>
          <w:shd w:val="clear" w:color="050000" w:fill="auto"/>
        </w:rPr>
      </w:pPr>
    </w:p>
    <w:p w14:paraId="4C57C4FA">
      <w:pPr>
        <w:pStyle w:val="51"/>
        <w:spacing w:line="360" w:lineRule="auto"/>
        <w:ind w:firstLine="560"/>
        <w:jc w:val="left"/>
        <w:rPr>
          <w:rFonts w:ascii="宋体" w:hAnsi="宋体" w:cs="黑体"/>
          <w:sz w:val="28"/>
          <w:szCs w:val="28"/>
          <w:shd w:val="clear" w:color="050000" w:fill="auto"/>
        </w:rPr>
      </w:pPr>
    </w:p>
    <w:p w14:paraId="551FC653">
      <w:pPr>
        <w:pStyle w:val="51"/>
        <w:spacing w:line="360" w:lineRule="auto"/>
        <w:ind w:firstLine="560"/>
        <w:jc w:val="left"/>
        <w:rPr>
          <w:rFonts w:ascii="宋体" w:hAnsi="宋体" w:cs="黑体"/>
          <w:sz w:val="28"/>
          <w:szCs w:val="28"/>
          <w:shd w:val="clear" w:color="050000" w:fill="auto"/>
        </w:rPr>
      </w:pPr>
    </w:p>
    <w:p w14:paraId="0CD59FB4">
      <w:pPr>
        <w:pStyle w:val="51"/>
        <w:spacing w:line="360" w:lineRule="auto"/>
        <w:ind w:firstLine="560"/>
        <w:jc w:val="left"/>
        <w:rPr>
          <w:rFonts w:ascii="宋体" w:hAnsi="宋体" w:cs="黑体"/>
          <w:sz w:val="28"/>
          <w:szCs w:val="28"/>
          <w:shd w:val="clear" w:color="050000" w:fill="auto"/>
        </w:rPr>
      </w:pPr>
    </w:p>
    <w:p w14:paraId="4E9B09ED">
      <w:pPr>
        <w:pStyle w:val="51"/>
        <w:spacing w:line="360" w:lineRule="auto"/>
        <w:ind w:firstLine="560"/>
        <w:jc w:val="left"/>
        <w:rPr>
          <w:rFonts w:ascii="宋体" w:hAnsi="宋体" w:cs="黑体"/>
          <w:sz w:val="28"/>
          <w:szCs w:val="28"/>
          <w:shd w:val="clear" w:color="050000" w:fill="auto"/>
        </w:rPr>
      </w:pPr>
    </w:p>
    <w:p w14:paraId="3FB6296F">
      <w:pPr>
        <w:pStyle w:val="51"/>
        <w:spacing w:line="360" w:lineRule="auto"/>
        <w:ind w:firstLine="560"/>
        <w:jc w:val="left"/>
        <w:rPr>
          <w:rFonts w:ascii="宋体" w:hAnsi="宋体" w:cs="黑体"/>
          <w:sz w:val="28"/>
          <w:szCs w:val="28"/>
          <w:shd w:val="clear" w:color="050000" w:fill="auto"/>
        </w:rPr>
      </w:pPr>
    </w:p>
    <w:p w14:paraId="59B1142D">
      <w:pPr>
        <w:jc w:val="left"/>
        <w:rPr>
          <w:rFonts w:ascii="宋体" w:hAnsi="宋体" w:cs="黑体"/>
          <w:sz w:val="28"/>
          <w:szCs w:val="28"/>
          <w:shd w:val="clear" w:color="050000" w:fill="auto"/>
        </w:rPr>
      </w:pPr>
      <w:r>
        <w:rPr>
          <w:rFonts w:ascii="宋体" w:hAnsi="宋体" w:cs="黑体"/>
          <w:sz w:val="28"/>
          <w:szCs w:val="28"/>
          <w:shd w:val="clear" w:color="050000" w:fill="auto"/>
        </w:rPr>
        <w:br w:type="page"/>
      </w:r>
    </w:p>
    <w:p w14:paraId="7ADCC829">
      <w:pPr>
        <w:pStyle w:val="51"/>
        <w:spacing w:line="360" w:lineRule="auto"/>
        <w:ind w:firstLine="560"/>
        <w:jc w:val="left"/>
        <w:rPr>
          <w:rFonts w:ascii="宋体" w:hAnsi="宋体" w:cs="黑体"/>
          <w:sz w:val="28"/>
          <w:szCs w:val="28"/>
          <w:shd w:val="clear" w:color="050000" w:fill="auto"/>
        </w:rPr>
      </w:pPr>
    </w:p>
    <w:p w14:paraId="4EA14C33">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 标 总 价</w:t>
      </w:r>
    </w:p>
    <w:p w14:paraId="150E05AF">
      <w:pPr>
        <w:pStyle w:val="18"/>
        <w:spacing w:line="360" w:lineRule="auto"/>
        <w:jc w:val="center"/>
        <w:rPr>
          <w:rFonts w:ascii="华文细黑" w:hAnsi="宋体" w:eastAsia="华文细黑"/>
          <w:sz w:val="44"/>
        </w:rPr>
      </w:pPr>
    </w:p>
    <w:p w14:paraId="455EAD8A">
      <w:pPr>
        <w:pStyle w:val="18"/>
        <w:spacing w:after="120" w:afterLines="50" w:line="400" w:lineRule="exact"/>
        <w:ind w:firstLine="560" w:firstLineChars="200"/>
        <w:rPr>
          <w:rFonts w:hAnsi="宋体"/>
          <w:sz w:val="28"/>
        </w:rPr>
      </w:pPr>
    </w:p>
    <w:p w14:paraId="3E2D1408">
      <w:pPr>
        <w:pStyle w:val="18"/>
        <w:spacing w:line="400" w:lineRule="exact"/>
        <w:ind w:firstLine="560" w:firstLineChars="200"/>
        <w:rPr>
          <w:rFonts w:ascii="仿宋" w:hAnsi="仿宋" w:eastAsia="仿宋"/>
          <w:sz w:val="28"/>
        </w:rPr>
      </w:pPr>
      <w:r>
        <w:rPr>
          <w:rFonts w:hint="eastAsia" w:ascii="仿宋" w:hAnsi="仿宋" w:eastAsia="仿宋"/>
          <w:sz w:val="28"/>
        </w:rPr>
        <w:t>招标人：</w:t>
      </w:r>
      <w:r>
        <w:rPr>
          <w:rFonts w:hint="eastAsia" w:ascii="仿宋" w:hAnsi="仿宋" w:eastAsia="仿宋"/>
          <w:sz w:val="28"/>
          <w:u w:val="single"/>
        </w:rPr>
        <w:t xml:space="preserve">                                         </w:t>
      </w:r>
    </w:p>
    <w:p w14:paraId="7DFF5289">
      <w:pPr>
        <w:pStyle w:val="18"/>
        <w:spacing w:line="400" w:lineRule="exact"/>
        <w:ind w:firstLine="1960" w:firstLineChars="700"/>
        <w:rPr>
          <w:rFonts w:ascii="仿宋" w:hAnsi="仿宋" w:eastAsia="仿宋"/>
          <w:sz w:val="28"/>
        </w:rPr>
      </w:pPr>
    </w:p>
    <w:p w14:paraId="270F6136">
      <w:pPr>
        <w:pStyle w:val="18"/>
        <w:spacing w:line="400" w:lineRule="exact"/>
        <w:ind w:firstLine="560" w:firstLineChars="200"/>
        <w:rPr>
          <w:rFonts w:ascii="仿宋" w:hAnsi="仿宋" w:eastAsia="仿宋"/>
          <w:sz w:val="28"/>
        </w:rPr>
      </w:pPr>
      <w:r>
        <w:rPr>
          <w:rFonts w:hint="eastAsia" w:ascii="仿宋" w:hAnsi="仿宋" w:eastAsia="仿宋"/>
          <w:sz w:val="28"/>
        </w:rPr>
        <w:t>招标项目名称：</w:t>
      </w:r>
      <w:r>
        <w:rPr>
          <w:rFonts w:hint="eastAsia" w:ascii="仿宋" w:hAnsi="仿宋" w:eastAsia="仿宋"/>
          <w:sz w:val="28"/>
          <w:u w:val="single"/>
        </w:rPr>
        <w:t xml:space="preserve">                                       </w:t>
      </w:r>
    </w:p>
    <w:p w14:paraId="78C3C8BB">
      <w:pPr>
        <w:pStyle w:val="18"/>
        <w:spacing w:line="400" w:lineRule="exact"/>
        <w:ind w:firstLine="200"/>
        <w:rPr>
          <w:rFonts w:ascii="仿宋" w:hAnsi="仿宋" w:eastAsia="仿宋"/>
          <w:sz w:val="28"/>
        </w:rPr>
      </w:pPr>
    </w:p>
    <w:p w14:paraId="39FE3F9B">
      <w:pPr>
        <w:pStyle w:val="18"/>
        <w:spacing w:line="400" w:lineRule="exact"/>
        <w:ind w:firstLine="560" w:firstLineChars="200"/>
        <w:rPr>
          <w:rFonts w:ascii="仿宋" w:hAnsi="仿宋" w:eastAsia="仿宋"/>
          <w:sz w:val="28"/>
          <w:u w:val="single"/>
        </w:rPr>
      </w:pPr>
      <w:r>
        <w:rPr>
          <w:rFonts w:hint="eastAsia" w:ascii="仿宋" w:hAnsi="仿宋" w:eastAsia="仿宋"/>
          <w:sz w:val="28"/>
        </w:rPr>
        <w:t>投标含税暂定总价(大写)：</w:t>
      </w:r>
      <w:r>
        <w:rPr>
          <w:rFonts w:hint="eastAsia" w:ascii="仿宋" w:hAnsi="仿宋" w:eastAsia="仿宋"/>
          <w:sz w:val="28"/>
          <w:u w:val="single"/>
        </w:rPr>
        <w:t xml:space="preserve">                                </w:t>
      </w:r>
    </w:p>
    <w:p w14:paraId="10136AFC">
      <w:pPr>
        <w:pStyle w:val="18"/>
        <w:spacing w:line="400" w:lineRule="exact"/>
        <w:ind w:firstLine="1680" w:firstLineChars="600"/>
        <w:rPr>
          <w:rFonts w:ascii="仿宋" w:hAnsi="仿宋" w:eastAsia="仿宋"/>
          <w:sz w:val="28"/>
        </w:rPr>
      </w:pPr>
    </w:p>
    <w:p w14:paraId="0CF88267">
      <w:pPr>
        <w:pStyle w:val="18"/>
        <w:spacing w:line="480" w:lineRule="auto"/>
        <w:ind w:firstLine="1680" w:firstLineChars="600"/>
        <w:rPr>
          <w:rFonts w:ascii="仿宋" w:hAnsi="仿宋" w:eastAsia="仿宋"/>
          <w:sz w:val="28"/>
          <w:u w:val="single"/>
        </w:rPr>
      </w:pPr>
      <w:r>
        <w:rPr>
          <w:rFonts w:hint="eastAsia" w:ascii="仿宋" w:hAnsi="仿宋" w:eastAsia="仿宋"/>
          <w:sz w:val="28"/>
        </w:rPr>
        <w:t>(小写)：</w:t>
      </w:r>
      <w:r>
        <w:rPr>
          <w:rFonts w:hint="eastAsia" w:ascii="仿宋" w:hAnsi="仿宋" w:eastAsia="仿宋"/>
          <w:sz w:val="28"/>
          <w:u w:val="single"/>
        </w:rPr>
        <w:t xml:space="preserve">                                </w:t>
      </w:r>
    </w:p>
    <w:p w14:paraId="6D0ADDD2">
      <w:pPr>
        <w:pStyle w:val="18"/>
        <w:spacing w:line="480" w:lineRule="auto"/>
        <w:ind w:firstLine="560" w:firstLineChars="200"/>
        <w:rPr>
          <w:rFonts w:ascii="仿宋" w:hAnsi="仿宋" w:eastAsia="仿宋"/>
          <w:sz w:val="28"/>
        </w:rPr>
      </w:pPr>
    </w:p>
    <w:p w14:paraId="0E696F59">
      <w:pPr>
        <w:pStyle w:val="18"/>
        <w:spacing w:line="400" w:lineRule="exact"/>
        <w:ind w:firstLine="560" w:firstLineChars="200"/>
        <w:rPr>
          <w:rFonts w:ascii="仿宋" w:hAnsi="仿宋" w:eastAsia="仿宋"/>
          <w:sz w:val="28"/>
        </w:rPr>
      </w:pPr>
    </w:p>
    <w:p w14:paraId="197F6A24">
      <w:pPr>
        <w:pStyle w:val="18"/>
        <w:spacing w:line="400" w:lineRule="exact"/>
        <w:ind w:firstLine="560" w:firstLineChars="200"/>
        <w:rPr>
          <w:rFonts w:ascii="仿宋" w:hAnsi="仿宋" w:eastAsia="仿宋"/>
          <w:sz w:val="28"/>
        </w:rPr>
      </w:pPr>
    </w:p>
    <w:p w14:paraId="5BE5AD68">
      <w:pPr>
        <w:pStyle w:val="18"/>
        <w:spacing w:line="400" w:lineRule="exact"/>
        <w:ind w:firstLine="560" w:firstLineChars="200"/>
        <w:rPr>
          <w:rFonts w:ascii="仿宋" w:hAnsi="仿宋" w:eastAsia="仿宋"/>
          <w:sz w:val="28"/>
        </w:rPr>
      </w:pPr>
    </w:p>
    <w:p w14:paraId="31656C6B">
      <w:pPr>
        <w:pStyle w:val="18"/>
        <w:spacing w:line="400" w:lineRule="exact"/>
        <w:ind w:firstLine="280" w:firstLineChars="100"/>
        <w:rPr>
          <w:rFonts w:ascii="仿宋" w:hAnsi="仿宋" w:eastAsia="仿宋"/>
          <w:sz w:val="28"/>
        </w:rPr>
      </w:pPr>
      <w:r>
        <w:rPr>
          <w:rFonts w:hint="eastAsia" w:ascii="仿宋" w:hAnsi="仿宋" w:eastAsia="仿宋"/>
          <w:sz w:val="28"/>
        </w:rPr>
        <w:t>投  标  人(盖章)：</w:t>
      </w:r>
      <w:r>
        <w:rPr>
          <w:rFonts w:hint="eastAsia" w:ascii="仿宋" w:hAnsi="仿宋" w:eastAsia="仿宋"/>
          <w:sz w:val="28"/>
          <w:u w:val="single"/>
        </w:rPr>
        <w:t xml:space="preserve">                                </w:t>
      </w:r>
    </w:p>
    <w:p w14:paraId="701B223B">
      <w:pPr>
        <w:pStyle w:val="18"/>
        <w:spacing w:line="400" w:lineRule="exact"/>
        <w:ind w:firstLine="280" w:firstLineChars="100"/>
        <w:rPr>
          <w:rFonts w:ascii="仿宋" w:hAnsi="仿宋" w:eastAsia="仿宋"/>
          <w:sz w:val="28"/>
        </w:rPr>
      </w:pPr>
    </w:p>
    <w:p w14:paraId="4B3DF75D">
      <w:pPr>
        <w:pStyle w:val="18"/>
        <w:spacing w:line="400" w:lineRule="exact"/>
        <w:ind w:firstLine="280" w:firstLineChars="100"/>
        <w:rPr>
          <w:rFonts w:ascii="仿宋" w:hAnsi="仿宋" w:eastAsia="仿宋"/>
          <w:sz w:val="28"/>
        </w:rPr>
      </w:pPr>
      <w:r>
        <w:rPr>
          <w:rFonts w:hint="eastAsia" w:ascii="仿宋" w:hAnsi="仿宋" w:eastAsia="仿宋"/>
          <w:sz w:val="28"/>
        </w:rPr>
        <w:t>法定代表人或委托代理人(签字或盖章)：</w:t>
      </w:r>
      <w:r>
        <w:rPr>
          <w:rFonts w:hint="eastAsia" w:ascii="仿宋" w:hAnsi="仿宋" w:eastAsia="仿宋"/>
          <w:sz w:val="28"/>
          <w:u w:val="single"/>
        </w:rPr>
        <w:t xml:space="preserve">              </w:t>
      </w:r>
    </w:p>
    <w:p w14:paraId="07492A7B">
      <w:pPr>
        <w:pStyle w:val="18"/>
        <w:spacing w:line="400" w:lineRule="exact"/>
        <w:ind w:firstLine="1960" w:firstLineChars="700"/>
        <w:rPr>
          <w:rFonts w:ascii="仿宋" w:hAnsi="仿宋" w:eastAsia="仿宋"/>
          <w:sz w:val="28"/>
        </w:rPr>
        <w:sectPr>
          <w:headerReference r:id="rId14" w:type="default"/>
          <w:pgSz w:w="12240" w:h="15840"/>
          <w:pgMar w:top="1440" w:right="1797" w:bottom="1440" w:left="1797" w:header="720" w:footer="720" w:gutter="0"/>
          <w:cols w:space="720" w:num="1"/>
        </w:sectPr>
      </w:pPr>
    </w:p>
    <w:p w14:paraId="66F46ECB">
      <w:pPr>
        <w:jc w:val="center"/>
        <w:rPr>
          <w:rFonts w:ascii="黑体" w:hAnsi="黑体" w:eastAsia="黑体"/>
          <w:kern w:val="0"/>
          <w:sz w:val="36"/>
          <w:szCs w:val="36"/>
        </w:rPr>
      </w:pPr>
      <w:r>
        <w:rPr>
          <w:rFonts w:hint="eastAsia" w:ascii="黑体" w:hAnsi="黑体" w:eastAsia="黑体"/>
          <w:kern w:val="0"/>
          <w:sz w:val="36"/>
          <w:szCs w:val="36"/>
        </w:rPr>
        <w:t>投标分项报价表</w:t>
      </w:r>
    </w:p>
    <w:p w14:paraId="3668FFC7">
      <w:pPr>
        <w:pStyle w:val="18"/>
        <w:spacing w:after="120" w:afterLines="50" w:line="520" w:lineRule="exact"/>
        <w:rPr>
          <w:rFonts w:hint="eastAsia" w:ascii="仿宋_GB2312" w:hAnsi="宋体" w:eastAsia="仿宋_GB2312"/>
          <w:sz w:val="28"/>
          <w:szCs w:val="28"/>
        </w:rPr>
      </w:pPr>
      <w:r>
        <w:rPr>
          <w:rFonts w:hint="eastAsia" w:ascii="仿宋_GB2312" w:hAnsi="宋体" w:eastAsia="仿宋_GB2312"/>
          <w:sz w:val="28"/>
          <w:szCs w:val="28"/>
        </w:rPr>
        <w:t>招标项目名称：</w:t>
      </w:r>
      <w:r>
        <w:rPr>
          <w:rFonts w:hint="eastAsia" w:ascii="仿宋_GB2312" w:hAnsi="宋体" w:eastAsia="仿宋_GB2312"/>
          <w:sz w:val="28"/>
          <w:szCs w:val="28"/>
          <w:u w:val="single"/>
        </w:rPr>
        <w:t xml:space="preserve">  </w:t>
      </w:r>
      <w:r>
        <w:rPr>
          <w:rFonts w:hint="eastAsia" w:ascii="仿宋_GB2312" w:hAnsi="宋体" w:eastAsia="仿宋_GB2312"/>
          <w:sz w:val="28"/>
          <w:szCs w:val="28"/>
          <w:u w:val="single"/>
          <w:lang w:val="en-US" w:eastAsia="zh-CN"/>
        </w:rPr>
        <w:t>第一亚太公司关于华南城及其附属公司欠费事项的诉讼代理服务</w:t>
      </w:r>
      <w:r>
        <w:rPr>
          <w:rFonts w:hint="eastAsia" w:ascii="仿宋_GB2312" w:hAnsi="宋体" w:eastAsia="仿宋_GB2312"/>
          <w:sz w:val="28"/>
          <w:szCs w:val="28"/>
          <w:u w:val="single"/>
        </w:rPr>
        <w:t xml:space="preserve"> </w:t>
      </w:r>
      <w:r>
        <w:rPr>
          <w:rFonts w:hint="eastAsia" w:ascii="仿宋_GB2312" w:hAnsi="宋体" w:eastAsia="仿宋_GB2312"/>
          <w:sz w:val="28"/>
          <w:szCs w:val="28"/>
        </w:rPr>
        <w:t xml:space="preserve">  </w:t>
      </w:r>
      <w:bookmarkStart w:id="120" w:name="_Toc87887987"/>
    </w:p>
    <w:tbl>
      <w:tblPr>
        <w:tblStyle w:val="36"/>
        <w:tblW w:w="4998" w:type="pct"/>
        <w:tblInd w:w="0" w:type="dxa"/>
        <w:tblLayout w:type="fixed"/>
        <w:tblCellMar>
          <w:top w:w="0" w:type="dxa"/>
          <w:left w:w="108" w:type="dxa"/>
          <w:bottom w:w="0" w:type="dxa"/>
          <w:right w:w="108" w:type="dxa"/>
        </w:tblCellMar>
      </w:tblPr>
      <w:tblGrid>
        <w:gridCol w:w="777"/>
        <w:gridCol w:w="3000"/>
        <w:gridCol w:w="1759"/>
        <w:gridCol w:w="1355"/>
        <w:gridCol w:w="1365"/>
        <w:gridCol w:w="1569"/>
        <w:gridCol w:w="1596"/>
        <w:gridCol w:w="1750"/>
      </w:tblGrid>
      <w:tr w14:paraId="3E042AEE">
        <w:tblPrEx>
          <w:tblCellMar>
            <w:top w:w="0" w:type="dxa"/>
            <w:left w:w="108" w:type="dxa"/>
            <w:bottom w:w="0" w:type="dxa"/>
            <w:right w:w="108" w:type="dxa"/>
          </w:tblCellMar>
        </w:tblPrEx>
        <w:trPr>
          <w:trHeight w:val="703"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A6CCF">
            <w:pPr>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序号</w:t>
            </w: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8128">
            <w:pPr>
              <w:jc w:val="center"/>
              <w:textAlignment w:val="center"/>
              <w:rPr>
                <w:rFonts w:hint="default" w:ascii="仿宋" w:hAnsi="仿宋" w:eastAsia="仿宋" w:cs="仿宋"/>
                <w:b/>
                <w:bCs/>
                <w:color w:val="000000"/>
                <w:sz w:val="28"/>
                <w:szCs w:val="28"/>
                <w:lang w:val="en-US" w:eastAsia="zh-CN"/>
              </w:rPr>
            </w:pPr>
            <w:r>
              <w:rPr>
                <w:rFonts w:hint="eastAsia" w:ascii="仿宋" w:hAnsi="仿宋" w:eastAsia="仿宋" w:cs="仿宋"/>
                <w:b/>
                <w:bCs/>
                <w:color w:val="000000"/>
                <w:kern w:val="0"/>
                <w:sz w:val="28"/>
                <w:szCs w:val="28"/>
                <w:lang w:bidi="ar"/>
              </w:rPr>
              <w:t>起诉标的额</w:t>
            </w:r>
            <w:r>
              <w:rPr>
                <w:rFonts w:hint="eastAsia" w:ascii="仿宋" w:hAnsi="仿宋" w:eastAsia="仿宋" w:cs="仿宋"/>
                <w:b/>
                <w:bCs/>
                <w:color w:val="000000"/>
                <w:kern w:val="0"/>
                <w:sz w:val="28"/>
                <w:szCs w:val="28"/>
                <w:lang w:val="en-US" w:eastAsia="zh-CN" w:bidi="ar"/>
              </w:rPr>
              <w:t>档位</w:t>
            </w:r>
          </w:p>
        </w:tc>
        <w:tc>
          <w:tcPr>
            <w:tcW w:w="66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A897959">
            <w:pPr>
              <w:jc w:val="center"/>
              <w:textAlignment w:val="center"/>
              <w:rPr>
                <w:rFonts w:hint="default"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诉讼标的</w:t>
            </w:r>
          </w:p>
        </w:tc>
        <w:tc>
          <w:tcPr>
            <w:tcW w:w="51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B07346A">
            <w:pPr>
              <w:jc w:val="center"/>
              <w:textAlignment w:val="center"/>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案件</w:t>
            </w:r>
            <w:r>
              <w:rPr>
                <w:rFonts w:hint="eastAsia" w:ascii="仿宋" w:hAnsi="仿宋" w:eastAsia="仿宋" w:cs="仿宋"/>
                <w:b/>
                <w:bCs/>
                <w:color w:val="000000"/>
                <w:kern w:val="0"/>
                <w:sz w:val="28"/>
                <w:szCs w:val="28"/>
                <w:lang w:bidi="ar"/>
              </w:rPr>
              <w:t>数量</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BF29">
            <w:pPr>
              <w:jc w:val="center"/>
              <w:textAlignment w:val="center"/>
              <w:rPr>
                <w:rFonts w:hint="default"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标段</w:t>
            </w:r>
          </w:p>
        </w:tc>
        <w:tc>
          <w:tcPr>
            <w:tcW w:w="595" w:type="pct"/>
            <w:tcBorders>
              <w:top w:val="single" w:color="000000" w:sz="4" w:space="0"/>
              <w:left w:val="single" w:color="000000" w:sz="4" w:space="0"/>
              <w:right w:val="single" w:color="auto" w:sz="4" w:space="0"/>
            </w:tcBorders>
            <w:shd w:val="clear" w:color="auto" w:fill="auto"/>
            <w:vAlign w:val="center"/>
          </w:tcPr>
          <w:p w14:paraId="75857828">
            <w:pPr>
              <w:jc w:val="center"/>
              <w:textAlignment w:val="center"/>
              <w:rPr>
                <w:rFonts w:hint="default" w:ascii="仿宋" w:hAnsi="仿宋" w:eastAsia="仿宋" w:cs="仿宋"/>
                <w:b/>
                <w:bCs/>
                <w:color w:val="000000"/>
                <w:kern w:val="2"/>
                <w:sz w:val="28"/>
                <w:szCs w:val="28"/>
                <w:lang w:val="en-US" w:eastAsia="zh-CN" w:bidi="ar-SA"/>
              </w:rPr>
            </w:pPr>
            <w:r>
              <w:rPr>
                <w:rFonts w:hint="eastAsia" w:ascii="仿宋" w:hAnsi="仿宋" w:eastAsia="仿宋" w:cs="仿宋"/>
                <w:b/>
                <w:bCs/>
                <w:color w:val="000000"/>
                <w:sz w:val="28"/>
                <w:szCs w:val="28"/>
                <w:lang w:val="en-US" w:eastAsia="zh-CN"/>
              </w:rPr>
              <w:t>基础代理费（元）</w:t>
            </w:r>
          </w:p>
        </w:tc>
        <w:tc>
          <w:tcPr>
            <w:tcW w:w="605" w:type="pct"/>
            <w:tcBorders>
              <w:top w:val="single" w:color="000000" w:sz="4" w:space="0"/>
              <w:left w:val="single" w:color="auto" w:sz="4" w:space="0"/>
              <w:right w:val="single" w:color="auto" w:sz="4" w:space="0"/>
            </w:tcBorders>
            <w:shd w:val="clear" w:color="auto" w:fill="auto"/>
            <w:vAlign w:val="center"/>
          </w:tcPr>
          <w:p w14:paraId="61124A96">
            <w:pPr>
              <w:jc w:val="center"/>
              <w:textAlignment w:val="center"/>
              <w:rPr>
                <w:rFonts w:hint="eastAsia" w:ascii="仿宋" w:hAnsi="仿宋" w:eastAsia="仿宋" w:cs="仿宋"/>
                <w:b/>
                <w:bCs/>
                <w:color w:val="000000"/>
                <w:kern w:val="2"/>
                <w:sz w:val="28"/>
                <w:szCs w:val="28"/>
                <w:lang w:val="en-US" w:eastAsia="zh-CN" w:bidi="ar-SA"/>
              </w:rPr>
            </w:pPr>
            <w:r>
              <w:rPr>
                <w:rFonts w:hint="eastAsia" w:ascii="仿宋" w:hAnsi="仿宋" w:eastAsia="仿宋" w:cs="仿宋"/>
                <w:b/>
                <w:bCs/>
                <w:color w:val="000000"/>
                <w:sz w:val="28"/>
                <w:szCs w:val="28"/>
                <w:lang w:val="en-US" w:eastAsia="zh-CN"/>
              </w:rPr>
              <w:t>风险代理费%</w:t>
            </w:r>
          </w:p>
        </w:tc>
        <w:tc>
          <w:tcPr>
            <w:tcW w:w="664" w:type="pct"/>
            <w:tcBorders>
              <w:top w:val="single" w:color="000000" w:sz="4" w:space="0"/>
              <w:left w:val="single" w:color="auto" w:sz="4" w:space="0"/>
              <w:right w:val="single" w:color="000000" w:sz="4" w:space="0"/>
            </w:tcBorders>
            <w:shd w:val="clear" w:color="auto" w:fill="auto"/>
            <w:vAlign w:val="center"/>
          </w:tcPr>
          <w:p w14:paraId="78269C8D">
            <w:pPr>
              <w:jc w:val="center"/>
              <w:textAlignment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暂定总价（元）</w:t>
            </w:r>
          </w:p>
        </w:tc>
      </w:tr>
      <w:tr w14:paraId="70139EAD">
        <w:tblPrEx>
          <w:tblCellMar>
            <w:top w:w="0" w:type="dxa"/>
            <w:left w:w="108" w:type="dxa"/>
            <w:bottom w:w="0" w:type="dxa"/>
            <w:right w:w="108" w:type="dxa"/>
          </w:tblCellMar>
        </w:tblPrEx>
        <w:trPr>
          <w:trHeight w:val="420"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A043">
            <w:pPr>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1</w:t>
            </w: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F380">
            <w:pPr>
              <w:keepNext w:val="0"/>
              <w:keepLines w:val="0"/>
              <w:widowControl/>
              <w:suppressLineNumbers w:val="0"/>
              <w:jc w:val="left"/>
              <w:textAlignment w:val="center"/>
              <w:rPr>
                <w:rFonts w:ascii="仿宋" w:hAnsi="仿宋" w:eastAsia="仿宋" w:cs="仿宋"/>
                <w:b/>
                <w:bCs/>
                <w:color w:val="000000"/>
                <w:sz w:val="28"/>
                <w:szCs w:val="28"/>
              </w:rPr>
            </w:pPr>
            <w:r>
              <w:rPr>
                <w:rFonts w:hint="eastAsia" w:ascii="仿宋" w:hAnsi="仿宋" w:eastAsia="仿宋" w:cs="仿宋"/>
                <w:b/>
                <w:bCs/>
                <w:i w:val="0"/>
                <w:iCs w:val="0"/>
                <w:color w:val="000000"/>
                <w:kern w:val="0"/>
                <w:sz w:val="28"/>
                <w:szCs w:val="28"/>
                <w:u w:val="none"/>
                <w:lang w:val="en-US" w:eastAsia="zh-CN" w:bidi="ar"/>
              </w:rPr>
              <w:t>标的额＜1万元</w:t>
            </w:r>
          </w:p>
        </w:tc>
        <w:tc>
          <w:tcPr>
            <w:tcW w:w="66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98DA1FA">
            <w:pPr>
              <w:jc w:val="center"/>
              <w:textAlignment w:val="center"/>
              <w:rPr>
                <w:rFonts w:ascii="仿宋" w:hAnsi="仿宋" w:eastAsia="仿宋" w:cs="仿宋"/>
                <w:b/>
                <w:bCs/>
                <w:color w:val="000000"/>
                <w:kern w:val="0"/>
                <w:sz w:val="28"/>
                <w:szCs w:val="28"/>
                <w:lang w:bidi="ar"/>
              </w:rPr>
            </w:pPr>
          </w:p>
        </w:tc>
        <w:tc>
          <w:tcPr>
            <w:tcW w:w="51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013C98A">
            <w:pPr>
              <w:jc w:val="center"/>
              <w:textAlignment w:val="center"/>
              <w:rPr>
                <w:rFonts w:hint="eastAsia" w:ascii="仿宋" w:hAnsi="仿宋" w:eastAsia="仿宋" w:cs="仿宋"/>
                <w:b/>
                <w:bCs/>
                <w:color w:val="000000"/>
                <w:kern w:val="0"/>
                <w:sz w:val="28"/>
                <w:szCs w:val="28"/>
                <w:lang w:val="en-US" w:eastAsia="zh-CN" w:bidi="ar"/>
              </w:rPr>
            </w:pPr>
          </w:p>
        </w:tc>
        <w:tc>
          <w:tcPr>
            <w:tcW w:w="518" w:type="pct"/>
            <w:vMerge w:val="restart"/>
            <w:tcBorders>
              <w:top w:val="single" w:color="000000" w:sz="4" w:space="0"/>
              <w:left w:val="single" w:color="000000" w:sz="4" w:space="0"/>
              <w:right w:val="single" w:color="000000" w:sz="4" w:space="0"/>
            </w:tcBorders>
            <w:shd w:val="clear" w:color="auto" w:fill="auto"/>
            <w:noWrap/>
            <w:vAlign w:val="center"/>
          </w:tcPr>
          <w:p w14:paraId="41273D96">
            <w:pPr>
              <w:jc w:val="center"/>
              <w:rPr>
                <w:rFonts w:hint="default" w:ascii="仿宋" w:hAnsi="仿宋" w:eastAsia="仿宋" w:cs="仿宋"/>
                <w:b/>
                <w:bCs/>
                <w:color w:val="000000"/>
                <w:sz w:val="28"/>
                <w:szCs w:val="28"/>
                <w:lang w:val="en-US" w:eastAsia="zh-CN"/>
              </w:rPr>
            </w:pPr>
          </w:p>
        </w:tc>
        <w:tc>
          <w:tcPr>
            <w:tcW w:w="59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49E8F5C">
            <w:pPr>
              <w:jc w:val="center"/>
              <w:rPr>
                <w:rFonts w:ascii="宋体" w:hAnsi="宋体" w:cs="宋体"/>
                <w:b/>
                <w:bCs/>
                <w:color w:val="000000"/>
                <w:sz w:val="22"/>
                <w:szCs w:val="22"/>
              </w:rPr>
            </w:pPr>
          </w:p>
        </w:tc>
        <w:tc>
          <w:tcPr>
            <w:tcW w:w="605"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42B64579">
            <w:pPr>
              <w:jc w:val="center"/>
              <w:rPr>
                <w:rFonts w:ascii="宋体" w:hAnsi="宋体" w:cs="宋体"/>
                <w:b/>
                <w:bCs/>
                <w:color w:val="000000"/>
                <w:sz w:val="22"/>
                <w:szCs w:val="22"/>
              </w:rPr>
            </w:pPr>
          </w:p>
        </w:tc>
        <w:tc>
          <w:tcPr>
            <w:tcW w:w="66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27A33F2">
            <w:pPr>
              <w:jc w:val="center"/>
              <w:rPr>
                <w:rFonts w:ascii="宋体" w:hAnsi="宋体" w:cs="宋体"/>
                <w:b/>
                <w:bCs/>
                <w:color w:val="000000"/>
                <w:sz w:val="22"/>
                <w:szCs w:val="22"/>
              </w:rPr>
            </w:pPr>
          </w:p>
        </w:tc>
      </w:tr>
      <w:tr w14:paraId="4763072B">
        <w:tblPrEx>
          <w:tblCellMar>
            <w:top w:w="0" w:type="dxa"/>
            <w:left w:w="108" w:type="dxa"/>
            <w:bottom w:w="0" w:type="dxa"/>
            <w:right w:w="108" w:type="dxa"/>
          </w:tblCellMar>
        </w:tblPrEx>
        <w:trPr>
          <w:trHeight w:val="35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F47F">
            <w:pPr>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2</w:t>
            </w: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1911">
            <w:pPr>
              <w:keepNext w:val="0"/>
              <w:keepLines w:val="0"/>
              <w:widowControl/>
              <w:suppressLineNumbers w:val="0"/>
              <w:jc w:val="left"/>
              <w:textAlignment w:val="center"/>
              <w:rPr>
                <w:rFonts w:ascii="仿宋" w:hAnsi="仿宋" w:eastAsia="仿宋" w:cs="仿宋"/>
                <w:b/>
                <w:bCs/>
                <w:color w:val="000000"/>
                <w:sz w:val="28"/>
                <w:szCs w:val="28"/>
              </w:rPr>
            </w:pPr>
            <w:r>
              <w:rPr>
                <w:rFonts w:hint="eastAsia" w:ascii="仿宋" w:hAnsi="仿宋" w:eastAsia="仿宋" w:cs="仿宋"/>
                <w:b/>
                <w:bCs/>
                <w:i w:val="0"/>
                <w:iCs w:val="0"/>
                <w:color w:val="000000"/>
                <w:kern w:val="0"/>
                <w:sz w:val="28"/>
                <w:szCs w:val="28"/>
                <w:u w:val="none"/>
                <w:lang w:val="en-US" w:eastAsia="zh-CN" w:bidi="ar"/>
              </w:rPr>
              <w:t>1万元≤10万元</w:t>
            </w:r>
          </w:p>
        </w:tc>
        <w:tc>
          <w:tcPr>
            <w:tcW w:w="66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25CE4E2">
            <w:pPr>
              <w:keepNext w:val="0"/>
              <w:keepLines w:val="0"/>
              <w:widowControl/>
              <w:suppressLineNumbers w:val="0"/>
              <w:jc w:val="center"/>
              <w:textAlignment w:val="center"/>
              <w:rPr>
                <w:rFonts w:ascii="仿宋" w:hAnsi="仿宋" w:eastAsia="仿宋" w:cs="仿宋"/>
                <w:b/>
                <w:bCs/>
                <w:color w:val="000000"/>
                <w:kern w:val="0"/>
                <w:sz w:val="28"/>
                <w:szCs w:val="28"/>
                <w:lang w:bidi="ar"/>
              </w:rPr>
            </w:pPr>
          </w:p>
        </w:tc>
        <w:tc>
          <w:tcPr>
            <w:tcW w:w="51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343E2F1">
            <w:pPr>
              <w:jc w:val="center"/>
              <w:textAlignment w:val="center"/>
              <w:rPr>
                <w:rFonts w:hint="eastAsia" w:ascii="仿宋" w:hAnsi="仿宋" w:eastAsia="仿宋" w:cs="仿宋"/>
                <w:b/>
                <w:bCs/>
                <w:color w:val="000000"/>
                <w:kern w:val="0"/>
                <w:sz w:val="28"/>
                <w:szCs w:val="28"/>
                <w:lang w:val="en-US" w:eastAsia="zh-CN" w:bidi="ar"/>
              </w:rPr>
            </w:pPr>
          </w:p>
        </w:tc>
        <w:tc>
          <w:tcPr>
            <w:tcW w:w="518" w:type="pct"/>
            <w:vMerge w:val="continue"/>
            <w:tcBorders>
              <w:left w:val="single" w:color="000000" w:sz="4" w:space="0"/>
              <w:right w:val="single" w:color="000000" w:sz="4" w:space="0"/>
            </w:tcBorders>
            <w:shd w:val="clear" w:color="auto" w:fill="auto"/>
            <w:noWrap/>
            <w:vAlign w:val="center"/>
          </w:tcPr>
          <w:p w14:paraId="3C27CB8C">
            <w:pPr>
              <w:jc w:val="center"/>
              <w:rPr>
                <w:rFonts w:ascii="仿宋" w:hAnsi="仿宋" w:eastAsia="仿宋" w:cs="仿宋"/>
                <w:b/>
                <w:bCs/>
                <w:color w:val="000000"/>
                <w:sz w:val="28"/>
                <w:szCs w:val="28"/>
              </w:rPr>
            </w:pPr>
          </w:p>
        </w:tc>
        <w:tc>
          <w:tcPr>
            <w:tcW w:w="59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30C5120">
            <w:pPr>
              <w:jc w:val="center"/>
              <w:rPr>
                <w:rFonts w:ascii="宋体" w:hAnsi="宋体" w:cs="宋体"/>
                <w:b/>
                <w:bCs/>
                <w:color w:val="000000"/>
                <w:sz w:val="22"/>
                <w:szCs w:val="22"/>
              </w:rPr>
            </w:pPr>
          </w:p>
        </w:tc>
        <w:tc>
          <w:tcPr>
            <w:tcW w:w="605"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0307DEAA">
            <w:pPr>
              <w:jc w:val="center"/>
              <w:rPr>
                <w:rFonts w:ascii="宋体" w:hAnsi="宋体" w:cs="宋体"/>
                <w:b/>
                <w:bCs/>
                <w:color w:val="000000"/>
                <w:sz w:val="22"/>
                <w:szCs w:val="22"/>
              </w:rPr>
            </w:pPr>
          </w:p>
        </w:tc>
        <w:tc>
          <w:tcPr>
            <w:tcW w:w="66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5074D959">
            <w:pPr>
              <w:jc w:val="center"/>
              <w:rPr>
                <w:rFonts w:ascii="宋体" w:hAnsi="宋体" w:cs="宋体"/>
                <w:b/>
                <w:bCs/>
                <w:color w:val="000000"/>
                <w:sz w:val="22"/>
                <w:szCs w:val="22"/>
              </w:rPr>
            </w:pPr>
          </w:p>
        </w:tc>
      </w:tr>
      <w:tr w14:paraId="18FD5A29">
        <w:tblPrEx>
          <w:tblCellMar>
            <w:top w:w="0" w:type="dxa"/>
            <w:left w:w="108" w:type="dxa"/>
            <w:bottom w:w="0" w:type="dxa"/>
            <w:right w:w="108" w:type="dxa"/>
          </w:tblCellMar>
        </w:tblPrEx>
        <w:trPr>
          <w:trHeight w:val="35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B052">
            <w:pPr>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3</w:t>
            </w: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AEAD9">
            <w:pPr>
              <w:keepNext w:val="0"/>
              <w:keepLines w:val="0"/>
              <w:widowControl/>
              <w:suppressLineNumbers w:val="0"/>
              <w:jc w:val="left"/>
              <w:textAlignment w:val="center"/>
              <w:rPr>
                <w:rFonts w:ascii="仿宋" w:hAnsi="仿宋" w:eastAsia="仿宋" w:cs="仿宋"/>
                <w:b/>
                <w:bCs/>
                <w:color w:val="000000"/>
                <w:sz w:val="28"/>
                <w:szCs w:val="28"/>
              </w:rPr>
            </w:pPr>
            <w:r>
              <w:rPr>
                <w:rFonts w:hint="eastAsia" w:ascii="仿宋" w:hAnsi="仿宋" w:eastAsia="仿宋" w:cs="仿宋"/>
                <w:b/>
                <w:bCs/>
                <w:i w:val="0"/>
                <w:iCs w:val="0"/>
                <w:color w:val="000000"/>
                <w:kern w:val="0"/>
                <w:sz w:val="28"/>
                <w:szCs w:val="28"/>
                <w:u w:val="none"/>
                <w:lang w:val="en-US" w:eastAsia="zh-CN" w:bidi="ar"/>
              </w:rPr>
              <w:t>10万元≤标的额＜50万元</w:t>
            </w:r>
          </w:p>
        </w:tc>
        <w:tc>
          <w:tcPr>
            <w:tcW w:w="66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0D805F3A">
            <w:pPr>
              <w:keepNext w:val="0"/>
              <w:keepLines w:val="0"/>
              <w:widowControl/>
              <w:suppressLineNumbers w:val="0"/>
              <w:jc w:val="center"/>
              <w:textAlignment w:val="center"/>
              <w:rPr>
                <w:rFonts w:ascii="仿宋" w:hAnsi="仿宋" w:eastAsia="仿宋" w:cs="仿宋"/>
                <w:b/>
                <w:bCs/>
                <w:color w:val="000000"/>
                <w:kern w:val="0"/>
                <w:sz w:val="28"/>
                <w:szCs w:val="28"/>
                <w:lang w:bidi="ar"/>
              </w:rPr>
            </w:pPr>
          </w:p>
        </w:tc>
        <w:tc>
          <w:tcPr>
            <w:tcW w:w="51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FE7375F">
            <w:pPr>
              <w:keepNext w:val="0"/>
              <w:keepLines w:val="0"/>
              <w:widowControl/>
              <w:suppressLineNumbers w:val="0"/>
              <w:jc w:val="center"/>
              <w:textAlignment w:val="center"/>
              <w:rPr>
                <w:rFonts w:ascii="仿宋" w:hAnsi="仿宋" w:eastAsia="仿宋" w:cs="仿宋"/>
                <w:b/>
                <w:bCs/>
                <w:color w:val="000000"/>
                <w:kern w:val="0"/>
                <w:sz w:val="28"/>
                <w:szCs w:val="28"/>
                <w:lang w:bidi="ar"/>
              </w:rPr>
            </w:pPr>
          </w:p>
        </w:tc>
        <w:tc>
          <w:tcPr>
            <w:tcW w:w="518" w:type="pct"/>
            <w:vMerge w:val="continue"/>
            <w:tcBorders>
              <w:left w:val="single" w:color="000000" w:sz="4" w:space="0"/>
              <w:right w:val="single" w:color="000000" w:sz="4" w:space="0"/>
            </w:tcBorders>
            <w:shd w:val="clear" w:color="auto" w:fill="auto"/>
            <w:noWrap/>
            <w:vAlign w:val="center"/>
          </w:tcPr>
          <w:p w14:paraId="7AA92E52">
            <w:pPr>
              <w:jc w:val="center"/>
              <w:rPr>
                <w:rFonts w:ascii="仿宋" w:hAnsi="仿宋" w:eastAsia="仿宋" w:cs="仿宋"/>
                <w:b/>
                <w:bCs/>
                <w:color w:val="000000"/>
                <w:sz w:val="28"/>
                <w:szCs w:val="28"/>
              </w:rPr>
            </w:pPr>
          </w:p>
        </w:tc>
        <w:tc>
          <w:tcPr>
            <w:tcW w:w="59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388CA5E">
            <w:pPr>
              <w:jc w:val="center"/>
              <w:rPr>
                <w:rFonts w:ascii="宋体" w:hAnsi="宋体" w:cs="宋体"/>
                <w:b/>
                <w:bCs/>
                <w:color w:val="000000"/>
                <w:sz w:val="22"/>
                <w:szCs w:val="22"/>
              </w:rPr>
            </w:pPr>
          </w:p>
        </w:tc>
        <w:tc>
          <w:tcPr>
            <w:tcW w:w="605"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1E4DCB57">
            <w:pPr>
              <w:jc w:val="center"/>
              <w:rPr>
                <w:rFonts w:ascii="宋体" w:hAnsi="宋体" w:cs="宋体"/>
                <w:b/>
                <w:bCs/>
                <w:color w:val="000000"/>
                <w:sz w:val="22"/>
                <w:szCs w:val="22"/>
              </w:rPr>
            </w:pPr>
          </w:p>
        </w:tc>
        <w:tc>
          <w:tcPr>
            <w:tcW w:w="66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125FB6A">
            <w:pPr>
              <w:jc w:val="center"/>
              <w:rPr>
                <w:rFonts w:ascii="宋体" w:hAnsi="宋体" w:cs="宋体"/>
                <w:b/>
                <w:bCs/>
                <w:color w:val="000000"/>
                <w:sz w:val="22"/>
                <w:szCs w:val="22"/>
              </w:rPr>
            </w:pPr>
          </w:p>
        </w:tc>
      </w:tr>
      <w:tr w14:paraId="40C62DC9">
        <w:tblPrEx>
          <w:tblCellMar>
            <w:top w:w="0" w:type="dxa"/>
            <w:left w:w="108" w:type="dxa"/>
            <w:bottom w:w="0" w:type="dxa"/>
            <w:right w:w="108" w:type="dxa"/>
          </w:tblCellMar>
        </w:tblPrEx>
        <w:trPr>
          <w:trHeight w:val="35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C89F">
            <w:pPr>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4</w:t>
            </w: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A0A7E">
            <w:pPr>
              <w:keepNext w:val="0"/>
              <w:keepLines w:val="0"/>
              <w:widowControl/>
              <w:suppressLineNumbers w:val="0"/>
              <w:jc w:val="left"/>
              <w:textAlignment w:val="center"/>
              <w:rPr>
                <w:rFonts w:ascii="仿宋" w:hAnsi="仿宋" w:eastAsia="仿宋" w:cs="仿宋"/>
                <w:b/>
                <w:bCs/>
                <w:color w:val="000000"/>
                <w:sz w:val="28"/>
                <w:szCs w:val="28"/>
              </w:rPr>
            </w:pPr>
            <w:r>
              <w:rPr>
                <w:rFonts w:hint="eastAsia" w:ascii="仿宋" w:hAnsi="仿宋" w:eastAsia="仿宋" w:cs="仿宋"/>
                <w:b/>
                <w:bCs/>
                <w:i w:val="0"/>
                <w:iCs w:val="0"/>
                <w:color w:val="000000"/>
                <w:kern w:val="0"/>
                <w:sz w:val="28"/>
                <w:szCs w:val="28"/>
                <w:u w:val="none"/>
                <w:lang w:val="en-US" w:eastAsia="zh-CN" w:bidi="ar"/>
              </w:rPr>
              <w:t>50万元≤标的额＜100万元</w:t>
            </w:r>
          </w:p>
        </w:tc>
        <w:tc>
          <w:tcPr>
            <w:tcW w:w="66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72FD4BCE">
            <w:pPr>
              <w:keepNext w:val="0"/>
              <w:keepLines w:val="0"/>
              <w:widowControl/>
              <w:suppressLineNumbers w:val="0"/>
              <w:jc w:val="center"/>
              <w:textAlignment w:val="center"/>
              <w:rPr>
                <w:rFonts w:ascii="仿宋" w:hAnsi="仿宋" w:eastAsia="仿宋" w:cs="仿宋"/>
                <w:b/>
                <w:bCs/>
                <w:color w:val="000000"/>
                <w:kern w:val="0"/>
                <w:sz w:val="28"/>
                <w:szCs w:val="28"/>
                <w:lang w:bidi="ar"/>
              </w:rPr>
            </w:pPr>
          </w:p>
        </w:tc>
        <w:tc>
          <w:tcPr>
            <w:tcW w:w="51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6C8F14A">
            <w:pPr>
              <w:keepNext w:val="0"/>
              <w:keepLines w:val="0"/>
              <w:widowControl/>
              <w:suppressLineNumbers w:val="0"/>
              <w:jc w:val="center"/>
              <w:textAlignment w:val="center"/>
              <w:rPr>
                <w:rFonts w:ascii="仿宋" w:hAnsi="仿宋" w:eastAsia="仿宋" w:cs="仿宋"/>
                <w:b/>
                <w:bCs/>
                <w:color w:val="000000"/>
                <w:kern w:val="0"/>
                <w:sz w:val="28"/>
                <w:szCs w:val="28"/>
                <w:lang w:bidi="ar"/>
              </w:rPr>
            </w:pPr>
          </w:p>
        </w:tc>
        <w:tc>
          <w:tcPr>
            <w:tcW w:w="518" w:type="pct"/>
            <w:vMerge w:val="continue"/>
            <w:tcBorders>
              <w:left w:val="single" w:color="000000" w:sz="4" w:space="0"/>
              <w:right w:val="single" w:color="000000" w:sz="4" w:space="0"/>
            </w:tcBorders>
            <w:shd w:val="clear" w:color="auto" w:fill="auto"/>
            <w:noWrap/>
            <w:vAlign w:val="center"/>
          </w:tcPr>
          <w:p w14:paraId="2C460279">
            <w:pPr>
              <w:jc w:val="center"/>
              <w:rPr>
                <w:rFonts w:ascii="仿宋" w:hAnsi="仿宋" w:eastAsia="仿宋" w:cs="仿宋"/>
                <w:b/>
                <w:bCs/>
                <w:color w:val="000000"/>
                <w:sz w:val="28"/>
                <w:szCs w:val="28"/>
              </w:rPr>
            </w:pPr>
          </w:p>
        </w:tc>
        <w:tc>
          <w:tcPr>
            <w:tcW w:w="59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7085ECBC">
            <w:pPr>
              <w:jc w:val="center"/>
              <w:rPr>
                <w:rFonts w:ascii="宋体" w:hAnsi="宋体" w:cs="宋体"/>
                <w:b/>
                <w:bCs/>
                <w:color w:val="000000"/>
                <w:sz w:val="22"/>
                <w:szCs w:val="22"/>
              </w:rPr>
            </w:pPr>
          </w:p>
        </w:tc>
        <w:tc>
          <w:tcPr>
            <w:tcW w:w="605"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7360E86A">
            <w:pPr>
              <w:jc w:val="center"/>
              <w:rPr>
                <w:rFonts w:ascii="宋体" w:hAnsi="宋体" w:cs="宋体"/>
                <w:b/>
                <w:bCs/>
                <w:color w:val="000000"/>
                <w:sz w:val="22"/>
                <w:szCs w:val="22"/>
              </w:rPr>
            </w:pPr>
          </w:p>
        </w:tc>
        <w:tc>
          <w:tcPr>
            <w:tcW w:w="66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9684B01">
            <w:pPr>
              <w:jc w:val="center"/>
              <w:rPr>
                <w:rFonts w:ascii="宋体" w:hAnsi="宋体" w:cs="宋体"/>
                <w:b/>
                <w:bCs/>
                <w:color w:val="000000"/>
                <w:sz w:val="22"/>
                <w:szCs w:val="22"/>
              </w:rPr>
            </w:pPr>
          </w:p>
        </w:tc>
      </w:tr>
      <w:tr w14:paraId="1AD7006B">
        <w:tblPrEx>
          <w:tblCellMar>
            <w:top w:w="0" w:type="dxa"/>
            <w:left w:w="108" w:type="dxa"/>
            <w:bottom w:w="0" w:type="dxa"/>
            <w:right w:w="108" w:type="dxa"/>
          </w:tblCellMar>
        </w:tblPrEx>
        <w:trPr>
          <w:trHeight w:val="35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F7BF">
            <w:pPr>
              <w:jc w:val="center"/>
              <w:textAlignment w:val="center"/>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5</w:t>
            </w: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5B105">
            <w:pPr>
              <w:keepNext w:val="0"/>
              <w:keepLines w:val="0"/>
              <w:widowControl/>
              <w:suppressLineNumbers w:val="0"/>
              <w:jc w:val="left"/>
              <w:textAlignment w:val="center"/>
              <w:rPr>
                <w:rFonts w:hint="eastAsia" w:ascii="仿宋" w:hAnsi="仿宋" w:eastAsia="仿宋" w:cs="仿宋"/>
                <w:b/>
                <w:bCs/>
                <w:color w:val="000000"/>
                <w:kern w:val="0"/>
                <w:sz w:val="28"/>
                <w:szCs w:val="28"/>
                <w:lang w:bidi="ar"/>
              </w:rPr>
            </w:pPr>
            <w:r>
              <w:rPr>
                <w:rFonts w:hint="eastAsia" w:ascii="仿宋" w:hAnsi="仿宋" w:eastAsia="仿宋" w:cs="仿宋"/>
                <w:b/>
                <w:bCs/>
                <w:i w:val="0"/>
                <w:iCs w:val="0"/>
                <w:color w:val="000000"/>
                <w:kern w:val="0"/>
                <w:sz w:val="28"/>
                <w:szCs w:val="28"/>
                <w:u w:val="none"/>
                <w:lang w:val="en-US" w:eastAsia="zh-CN" w:bidi="ar"/>
              </w:rPr>
              <w:t>100万元≤标的额＜500万元</w:t>
            </w:r>
          </w:p>
        </w:tc>
        <w:tc>
          <w:tcPr>
            <w:tcW w:w="66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610094C4">
            <w:pPr>
              <w:keepNext w:val="0"/>
              <w:keepLines w:val="0"/>
              <w:widowControl/>
              <w:suppressLineNumbers w:val="0"/>
              <w:jc w:val="center"/>
              <w:textAlignment w:val="center"/>
              <w:rPr>
                <w:rFonts w:hint="eastAsia" w:ascii="仿宋" w:hAnsi="仿宋" w:eastAsia="仿宋" w:cs="仿宋"/>
                <w:b/>
                <w:bCs/>
                <w:color w:val="000000"/>
                <w:kern w:val="0"/>
                <w:sz w:val="28"/>
                <w:szCs w:val="28"/>
                <w:lang w:bidi="ar"/>
              </w:rPr>
            </w:pPr>
          </w:p>
        </w:tc>
        <w:tc>
          <w:tcPr>
            <w:tcW w:w="51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6D3E3B9">
            <w:pPr>
              <w:keepNext w:val="0"/>
              <w:keepLines w:val="0"/>
              <w:widowControl/>
              <w:suppressLineNumbers w:val="0"/>
              <w:jc w:val="center"/>
              <w:textAlignment w:val="center"/>
              <w:rPr>
                <w:rFonts w:hint="eastAsia" w:ascii="仿宋" w:hAnsi="仿宋" w:eastAsia="仿宋" w:cs="仿宋"/>
                <w:b/>
                <w:bCs/>
                <w:color w:val="000000"/>
                <w:kern w:val="0"/>
                <w:sz w:val="28"/>
                <w:szCs w:val="28"/>
                <w:lang w:bidi="ar"/>
              </w:rPr>
            </w:pPr>
          </w:p>
        </w:tc>
        <w:tc>
          <w:tcPr>
            <w:tcW w:w="518" w:type="pct"/>
            <w:vMerge w:val="continue"/>
            <w:tcBorders>
              <w:left w:val="single" w:color="000000" w:sz="4" w:space="0"/>
              <w:right w:val="single" w:color="000000" w:sz="4" w:space="0"/>
            </w:tcBorders>
            <w:shd w:val="clear" w:color="auto" w:fill="auto"/>
            <w:noWrap/>
            <w:vAlign w:val="center"/>
          </w:tcPr>
          <w:p w14:paraId="087F64B4">
            <w:pPr>
              <w:jc w:val="center"/>
              <w:rPr>
                <w:rFonts w:ascii="仿宋" w:hAnsi="仿宋" w:eastAsia="仿宋" w:cs="仿宋"/>
                <w:b/>
                <w:bCs/>
                <w:color w:val="000000"/>
                <w:sz w:val="28"/>
                <w:szCs w:val="28"/>
              </w:rPr>
            </w:pPr>
          </w:p>
        </w:tc>
        <w:tc>
          <w:tcPr>
            <w:tcW w:w="59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7A2D6101">
            <w:pPr>
              <w:jc w:val="center"/>
              <w:rPr>
                <w:rFonts w:ascii="宋体" w:hAnsi="宋体" w:cs="宋体"/>
                <w:b/>
                <w:bCs/>
                <w:color w:val="000000"/>
                <w:sz w:val="22"/>
                <w:szCs w:val="22"/>
              </w:rPr>
            </w:pPr>
          </w:p>
        </w:tc>
        <w:tc>
          <w:tcPr>
            <w:tcW w:w="605"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1FDFFB82">
            <w:pPr>
              <w:jc w:val="center"/>
              <w:rPr>
                <w:rFonts w:ascii="宋体" w:hAnsi="宋体" w:cs="宋体"/>
                <w:b/>
                <w:bCs/>
                <w:color w:val="000000"/>
                <w:sz w:val="22"/>
                <w:szCs w:val="22"/>
              </w:rPr>
            </w:pPr>
          </w:p>
        </w:tc>
        <w:tc>
          <w:tcPr>
            <w:tcW w:w="66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A8D2C92">
            <w:pPr>
              <w:jc w:val="center"/>
              <w:rPr>
                <w:rFonts w:ascii="宋体" w:hAnsi="宋体" w:cs="宋体"/>
                <w:b/>
                <w:bCs/>
                <w:color w:val="000000"/>
                <w:sz w:val="22"/>
                <w:szCs w:val="22"/>
              </w:rPr>
            </w:pPr>
          </w:p>
        </w:tc>
      </w:tr>
      <w:tr w14:paraId="233E860C">
        <w:tblPrEx>
          <w:tblCellMar>
            <w:top w:w="0" w:type="dxa"/>
            <w:left w:w="108" w:type="dxa"/>
            <w:bottom w:w="0" w:type="dxa"/>
            <w:right w:w="108" w:type="dxa"/>
          </w:tblCellMar>
        </w:tblPrEx>
        <w:trPr>
          <w:trHeight w:val="35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C945">
            <w:pPr>
              <w:jc w:val="center"/>
              <w:textAlignment w:val="center"/>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6</w:t>
            </w: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88D45">
            <w:pPr>
              <w:keepNext w:val="0"/>
              <w:keepLines w:val="0"/>
              <w:widowControl/>
              <w:suppressLineNumbers w:val="0"/>
              <w:jc w:val="left"/>
              <w:textAlignment w:val="center"/>
              <w:rPr>
                <w:rFonts w:hint="eastAsia" w:ascii="仿宋" w:hAnsi="仿宋" w:eastAsia="仿宋" w:cs="仿宋"/>
                <w:b/>
                <w:bCs/>
                <w:color w:val="000000"/>
                <w:kern w:val="0"/>
                <w:sz w:val="28"/>
                <w:szCs w:val="28"/>
                <w:lang w:bidi="ar"/>
              </w:rPr>
            </w:pPr>
            <w:r>
              <w:rPr>
                <w:rFonts w:hint="eastAsia" w:ascii="仿宋" w:hAnsi="仿宋" w:eastAsia="仿宋" w:cs="仿宋"/>
                <w:b/>
                <w:bCs/>
                <w:i w:val="0"/>
                <w:iCs w:val="0"/>
                <w:color w:val="000000"/>
                <w:kern w:val="0"/>
                <w:sz w:val="28"/>
                <w:szCs w:val="28"/>
                <w:u w:val="none"/>
                <w:lang w:val="en-US" w:eastAsia="zh-CN" w:bidi="ar"/>
              </w:rPr>
              <w:t>500万元≤标的额＜2000万元</w:t>
            </w:r>
          </w:p>
        </w:tc>
        <w:tc>
          <w:tcPr>
            <w:tcW w:w="66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3FB47B9">
            <w:pPr>
              <w:keepNext w:val="0"/>
              <w:keepLines w:val="0"/>
              <w:widowControl/>
              <w:suppressLineNumbers w:val="0"/>
              <w:jc w:val="center"/>
              <w:textAlignment w:val="center"/>
              <w:rPr>
                <w:rFonts w:hint="eastAsia" w:ascii="仿宋" w:hAnsi="仿宋" w:eastAsia="仿宋" w:cs="仿宋"/>
                <w:b/>
                <w:bCs/>
                <w:color w:val="000000"/>
                <w:kern w:val="0"/>
                <w:sz w:val="28"/>
                <w:szCs w:val="28"/>
                <w:lang w:bidi="ar"/>
              </w:rPr>
            </w:pPr>
          </w:p>
        </w:tc>
        <w:tc>
          <w:tcPr>
            <w:tcW w:w="51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C63BC28">
            <w:pPr>
              <w:keepNext w:val="0"/>
              <w:keepLines w:val="0"/>
              <w:widowControl/>
              <w:suppressLineNumbers w:val="0"/>
              <w:jc w:val="center"/>
              <w:textAlignment w:val="center"/>
              <w:rPr>
                <w:rFonts w:hint="eastAsia" w:ascii="仿宋" w:hAnsi="仿宋" w:eastAsia="仿宋" w:cs="仿宋"/>
                <w:b/>
                <w:bCs/>
                <w:color w:val="000000"/>
                <w:kern w:val="0"/>
                <w:sz w:val="28"/>
                <w:szCs w:val="28"/>
                <w:lang w:bidi="ar"/>
              </w:rPr>
            </w:pPr>
          </w:p>
        </w:tc>
        <w:tc>
          <w:tcPr>
            <w:tcW w:w="518" w:type="pct"/>
            <w:vMerge w:val="continue"/>
            <w:tcBorders>
              <w:left w:val="single" w:color="000000" w:sz="4" w:space="0"/>
              <w:right w:val="single" w:color="000000" w:sz="4" w:space="0"/>
            </w:tcBorders>
            <w:shd w:val="clear" w:color="auto" w:fill="auto"/>
            <w:noWrap/>
            <w:vAlign w:val="center"/>
          </w:tcPr>
          <w:p w14:paraId="16F968B0">
            <w:pPr>
              <w:jc w:val="center"/>
              <w:rPr>
                <w:rFonts w:ascii="仿宋" w:hAnsi="仿宋" w:eastAsia="仿宋" w:cs="仿宋"/>
                <w:b/>
                <w:bCs/>
                <w:color w:val="000000"/>
                <w:sz w:val="28"/>
                <w:szCs w:val="28"/>
              </w:rPr>
            </w:pPr>
          </w:p>
        </w:tc>
        <w:tc>
          <w:tcPr>
            <w:tcW w:w="59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7A50C76B">
            <w:pPr>
              <w:jc w:val="center"/>
              <w:rPr>
                <w:rFonts w:ascii="宋体" w:hAnsi="宋体" w:cs="宋体"/>
                <w:b/>
                <w:bCs/>
                <w:color w:val="000000"/>
                <w:sz w:val="22"/>
                <w:szCs w:val="22"/>
              </w:rPr>
            </w:pPr>
          </w:p>
        </w:tc>
        <w:tc>
          <w:tcPr>
            <w:tcW w:w="605"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6437B34F">
            <w:pPr>
              <w:jc w:val="center"/>
              <w:rPr>
                <w:rFonts w:ascii="宋体" w:hAnsi="宋体" w:cs="宋体"/>
                <w:b/>
                <w:bCs/>
                <w:color w:val="000000"/>
                <w:sz w:val="22"/>
                <w:szCs w:val="22"/>
              </w:rPr>
            </w:pPr>
          </w:p>
        </w:tc>
        <w:tc>
          <w:tcPr>
            <w:tcW w:w="66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37547C7">
            <w:pPr>
              <w:jc w:val="center"/>
              <w:rPr>
                <w:rFonts w:ascii="宋体" w:hAnsi="宋体" w:cs="宋体"/>
                <w:b/>
                <w:bCs/>
                <w:color w:val="000000"/>
                <w:sz w:val="22"/>
                <w:szCs w:val="22"/>
              </w:rPr>
            </w:pPr>
          </w:p>
        </w:tc>
      </w:tr>
      <w:tr w14:paraId="3057197F">
        <w:tblPrEx>
          <w:tblCellMar>
            <w:top w:w="0" w:type="dxa"/>
            <w:left w:w="108" w:type="dxa"/>
            <w:bottom w:w="0" w:type="dxa"/>
            <w:right w:w="108" w:type="dxa"/>
          </w:tblCellMar>
        </w:tblPrEx>
        <w:trPr>
          <w:trHeight w:val="35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444C1">
            <w:pPr>
              <w:jc w:val="center"/>
              <w:textAlignment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kern w:val="0"/>
                <w:sz w:val="28"/>
                <w:szCs w:val="28"/>
                <w:lang w:val="en-US" w:eastAsia="zh-CN" w:bidi="ar"/>
              </w:rPr>
              <w:t>7</w:t>
            </w: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D9C29">
            <w:pPr>
              <w:keepNext w:val="0"/>
              <w:keepLines w:val="0"/>
              <w:widowControl/>
              <w:suppressLineNumbers w:val="0"/>
              <w:jc w:val="left"/>
              <w:textAlignment w:val="center"/>
              <w:rPr>
                <w:rFonts w:ascii="仿宋" w:hAnsi="仿宋" w:eastAsia="仿宋" w:cs="仿宋"/>
                <w:b/>
                <w:bCs/>
                <w:color w:val="000000"/>
                <w:sz w:val="28"/>
                <w:szCs w:val="28"/>
              </w:rPr>
            </w:pPr>
            <w:r>
              <w:rPr>
                <w:rFonts w:hint="eastAsia" w:ascii="仿宋" w:hAnsi="仿宋" w:eastAsia="仿宋" w:cs="仿宋"/>
                <w:b/>
                <w:bCs/>
                <w:i w:val="0"/>
                <w:iCs w:val="0"/>
                <w:color w:val="000000"/>
                <w:kern w:val="0"/>
                <w:sz w:val="28"/>
                <w:szCs w:val="28"/>
                <w:u w:val="none"/>
                <w:lang w:val="en-US" w:eastAsia="zh-CN" w:bidi="ar"/>
              </w:rPr>
              <w:t>2000万元≤标的额＜5000万元</w:t>
            </w:r>
          </w:p>
        </w:tc>
        <w:tc>
          <w:tcPr>
            <w:tcW w:w="66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639A0538">
            <w:pPr>
              <w:keepNext w:val="0"/>
              <w:keepLines w:val="0"/>
              <w:widowControl/>
              <w:suppressLineNumbers w:val="0"/>
              <w:jc w:val="center"/>
              <w:textAlignment w:val="center"/>
              <w:rPr>
                <w:rFonts w:ascii="仿宋" w:hAnsi="仿宋" w:eastAsia="仿宋" w:cs="仿宋"/>
                <w:b/>
                <w:bCs/>
                <w:color w:val="000000"/>
                <w:kern w:val="0"/>
                <w:sz w:val="28"/>
                <w:szCs w:val="28"/>
                <w:lang w:bidi="ar"/>
              </w:rPr>
            </w:pPr>
          </w:p>
        </w:tc>
        <w:tc>
          <w:tcPr>
            <w:tcW w:w="51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1B8B5EA">
            <w:pPr>
              <w:keepNext w:val="0"/>
              <w:keepLines w:val="0"/>
              <w:widowControl/>
              <w:suppressLineNumbers w:val="0"/>
              <w:jc w:val="center"/>
              <w:textAlignment w:val="center"/>
              <w:rPr>
                <w:rFonts w:ascii="仿宋" w:hAnsi="仿宋" w:eastAsia="仿宋" w:cs="仿宋"/>
                <w:b/>
                <w:bCs/>
                <w:color w:val="000000"/>
                <w:kern w:val="0"/>
                <w:sz w:val="28"/>
                <w:szCs w:val="28"/>
                <w:lang w:bidi="ar"/>
              </w:rPr>
            </w:pPr>
          </w:p>
        </w:tc>
        <w:tc>
          <w:tcPr>
            <w:tcW w:w="518" w:type="pct"/>
            <w:vMerge w:val="continue"/>
            <w:tcBorders>
              <w:left w:val="single" w:color="000000" w:sz="4" w:space="0"/>
              <w:right w:val="single" w:color="000000" w:sz="4" w:space="0"/>
            </w:tcBorders>
            <w:shd w:val="clear" w:color="auto" w:fill="auto"/>
            <w:noWrap/>
            <w:vAlign w:val="center"/>
          </w:tcPr>
          <w:p w14:paraId="3931A4B3">
            <w:pPr>
              <w:jc w:val="center"/>
              <w:rPr>
                <w:rFonts w:ascii="仿宋" w:hAnsi="仿宋" w:eastAsia="仿宋" w:cs="仿宋"/>
                <w:b/>
                <w:bCs/>
                <w:color w:val="000000"/>
                <w:sz w:val="28"/>
                <w:szCs w:val="28"/>
              </w:rPr>
            </w:pPr>
          </w:p>
        </w:tc>
        <w:tc>
          <w:tcPr>
            <w:tcW w:w="59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8E29306">
            <w:pPr>
              <w:jc w:val="center"/>
              <w:rPr>
                <w:rFonts w:ascii="宋体" w:hAnsi="宋体" w:cs="宋体"/>
                <w:b/>
                <w:bCs/>
                <w:color w:val="000000"/>
                <w:sz w:val="22"/>
                <w:szCs w:val="22"/>
              </w:rPr>
            </w:pPr>
          </w:p>
        </w:tc>
        <w:tc>
          <w:tcPr>
            <w:tcW w:w="605"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434C10D4">
            <w:pPr>
              <w:jc w:val="center"/>
              <w:rPr>
                <w:rFonts w:ascii="宋体" w:hAnsi="宋体" w:cs="宋体"/>
                <w:b/>
                <w:bCs/>
                <w:color w:val="000000"/>
                <w:sz w:val="22"/>
                <w:szCs w:val="22"/>
              </w:rPr>
            </w:pPr>
          </w:p>
        </w:tc>
        <w:tc>
          <w:tcPr>
            <w:tcW w:w="66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A1037B9">
            <w:pPr>
              <w:jc w:val="center"/>
              <w:rPr>
                <w:rFonts w:ascii="宋体" w:hAnsi="宋体" w:cs="宋体"/>
                <w:b/>
                <w:bCs/>
                <w:color w:val="000000"/>
                <w:sz w:val="22"/>
                <w:szCs w:val="22"/>
              </w:rPr>
            </w:pPr>
          </w:p>
        </w:tc>
      </w:tr>
      <w:tr w14:paraId="590A4669">
        <w:tblPrEx>
          <w:tblCellMar>
            <w:top w:w="0" w:type="dxa"/>
            <w:left w:w="108" w:type="dxa"/>
            <w:bottom w:w="0" w:type="dxa"/>
            <w:right w:w="108" w:type="dxa"/>
          </w:tblCellMar>
        </w:tblPrEx>
        <w:trPr>
          <w:trHeight w:val="35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2416">
            <w:pPr>
              <w:jc w:val="center"/>
              <w:textAlignment w:val="center"/>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8</w:t>
            </w: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C9C6A">
            <w:pPr>
              <w:keepNext w:val="0"/>
              <w:keepLines w:val="0"/>
              <w:widowControl/>
              <w:suppressLineNumbers w:val="0"/>
              <w:jc w:val="left"/>
              <w:textAlignment w:val="center"/>
              <w:rPr>
                <w:rFonts w:hint="eastAsia" w:ascii="仿宋" w:hAnsi="仿宋" w:eastAsia="仿宋" w:cs="仿宋"/>
                <w:b/>
                <w:bCs/>
                <w:color w:val="000000"/>
                <w:kern w:val="0"/>
                <w:sz w:val="28"/>
                <w:szCs w:val="28"/>
                <w:lang w:bidi="ar"/>
              </w:rPr>
            </w:pPr>
            <w:r>
              <w:rPr>
                <w:rFonts w:hint="eastAsia" w:ascii="仿宋" w:hAnsi="仿宋" w:eastAsia="仿宋" w:cs="仿宋"/>
                <w:b/>
                <w:bCs/>
                <w:i w:val="0"/>
                <w:iCs w:val="0"/>
                <w:color w:val="000000"/>
                <w:kern w:val="0"/>
                <w:sz w:val="28"/>
                <w:szCs w:val="28"/>
                <w:u w:val="none"/>
                <w:lang w:val="en-US" w:eastAsia="zh-CN" w:bidi="ar"/>
              </w:rPr>
              <w:t>5000万元≤标的额＜10000万元</w:t>
            </w:r>
          </w:p>
        </w:tc>
        <w:tc>
          <w:tcPr>
            <w:tcW w:w="66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C4BF795">
            <w:pPr>
              <w:jc w:val="center"/>
              <w:textAlignment w:val="center"/>
              <w:rPr>
                <w:rFonts w:hint="eastAsia" w:ascii="仿宋" w:hAnsi="仿宋" w:eastAsia="仿宋" w:cs="仿宋"/>
                <w:b/>
                <w:bCs/>
                <w:color w:val="000000"/>
                <w:kern w:val="0"/>
                <w:sz w:val="28"/>
                <w:szCs w:val="28"/>
                <w:lang w:val="en-US" w:eastAsia="zh-CN" w:bidi="ar"/>
              </w:rPr>
            </w:pPr>
          </w:p>
        </w:tc>
        <w:tc>
          <w:tcPr>
            <w:tcW w:w="51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3869228">
            <w:pPr>
              <w:jc w:val="center"/>
              <w:textAlignment w:val="center"/>
              <w:rPr>
                <w:rFonts w:hint="eastAsia" w:ascii="仿宋" w:hAnsi="仿宋" w:eastAsia="仿宋" w:cs="仿宋"/>
                <w:b/>
                <w:bCs/>
                <w:color w:val="000000"/>
                <w:kern w:val="0"/>
                <w:sz w:val="28"/>
                <w:szCs w:val="28"/>
                <w:lang w:val="en-US" w:eastAsia="zh-CN" w:bidi="ar"/>
              </w:rPr>
            </w:pPr>
          </w:p>
        </w:tc>
        <w:tc>
          <w:tcPr>
            <w:tcW w:w="518" w:type="pct"/>
            <w:vMerge w:val="continue"/>
            <w:tcBorders>
              <w:left w:val="single" w:color="000000" w:sz="4" w:space="0"/>
              <w:right w:val="single" w:color="000000" w:sz="4" w:space="0"/>
            </w:tcBorders>
            <w:shd w:val="clear" w:color="auto" w:fill="auto"/>
            <w:noWrap/>
            <w:vAlign w:val="center"/>
          </w:tcPr>
          <w:p w14:paraId="45F0916F">
            <w:pPr>
              <w:jc w:val="center"/>
              <w:rPr>
                <w:rFonts w:ascii="仿宋" w:hAnsi="仿宋" w:eastAsia="仿宋" w:cs="仿宋"/>
                <w:b/>
                <w:bCs/>
                <w:color w:val="000000"/>
                <w:sz w:val="28"/>
                <w:szCs w:val="28"/>
              </w:rPr>
            </w:pPr>
          </w:p>
        </w:tc>
        <w:tc>
          <w:tcPr>
            <w:tcW w:w="59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5B4D47F">
            <w:pPr>
              <w:jc w:val="center"/>
              <w:rPr>
                <w:rFonts w:ascii="宋体" w:hAnsi="宋体" w:cs="宋体"/>
                <w:b/>
                <w:bCs/>
                <w:color w:val="000000"/>
                <w:sz w:val="22"/>
                <w:szCs w:val="22"/>
              </w:rPr>
            </w:pPr>
          </w:p>
        </w:tc>
        <w:tc>
          <w:tcPr>
            <w:tcW w:w="605"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06C6077C">
            <w:pPr>
              <w:jc w:val="center"/>
              <w:rPr>
                <w:rFonts w:ascii="宋体" w:hAnsi="宋体" w:cs="宋体"/>
                <w:b/>
                <w:bCs/>
                <w:color w:val="000000"/>
                <w:sz w:val="22"/>
                <w:szCs w:val="22"/>
              </w:rPr>
            </w:pPr>
          </w:p>
        </w:tc>
        <w:tc>
          <w:tcPr>
            <w:tcW w:w="66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18CAE5A">
            <w:pPr>
              <w:jc w:val="center"/>
              <w:rPr>
                <w:rFonts w:ascii="宋体" w:hAnsi="宋体" w:cs="宋体"/>
                <w:b/>
                <w:bCs/>
                <w:color w:val="000000"/>
                <w:sz w:val="22"/>
                <w:szCs w:val="22"/>
              </w:rPr>
            </w:pPr>
          </w:p>
        </w:tc>
      </w:tr>
      <w:tr w14:paraId="1225E4A6">
        <w:tblPrEx>
          <w:tblCellMar>
            <w:top w:w="0" w:type="dxa"/>
            <w:left w:w="108" w:type="dxa"/>
            <w:bottom w:w="0" w:type="dxa"/>
            <w:right w:w="108" w:type="dxa"/>
          </w:tblCellMar>
        </w:tblPrEx>
        <w:trPr>
          <w:trHeight w:val="35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223D">
            <w:pPr>
              <w:jc w:val="center"/>
              <w:textAlignment w:val="center"/>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9</w:t>
            </w: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6552F">
            <w:pPr>
              <w:jc w:val="both"/>
              <w:textAlignment w:val="center"/>
              <w:rPr>
                <w:rFonts w:hint="eastAsia" w:ascii="仿宋" w:hAnsi="仿宋" w:eastAsia="仿宋" w:cs="仿宋"/>
                <w:b/>
                <w:bCs/>
                <w:color w:val="000000"/>
                <w:kern w:val="0"/>
                <w:sz w:val="28"/>
                <w:szCs w:val="28"/>
                <w:lang w:bidi="ar"/>
              </w:rPr>
            </w:pPr>
            <w:r>
              <w:rPr>
                <w:rFonts w:hint="eastAsia" w:ascii="仿宋" w:hAnsi="仿宋" w:eastAsia="仿宋" w:cs="仿宋"/>
                <w:b/>
                <w:bCs/>
                <w:i w:val="0"/>
                <w:iCs w:val="0"/>
                <w:color w:val="000000"/>
                <w:kern w:val="0"/>
                <w:sz w:val="28"/>
                <w:szCs w:val="28"/>
                <w:u w:val="none"/>
                <w:lang w:val="en-US" w:eastAsia="zh-CN" w:bidi="ar"/>
              </w:rPr>
              <w:t>10000万元≤标的额</w:t>
            </w:r>
          </w:p>
        </w:tc>
        <w:tc>
          <w:tcPr>
            <w:tcW w:w="66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449F4DB">
            <w:pPr>
              <w:jc w:val="center"/>
              <w:textAlignment w:val="center"/>
              <w:rPr>
                <w:rFonts w:hint="eastAsia" w:ascii="仿宋" w:hAnsi="仿宋" w:eastAsia="仿宋" w:cs="仿宋"/>
                <w:b/>
                <w:bCs/>
                <w:color w:val="000000"/>
                <w:kern w:val="0"/>
                <w:sz w:val="28"/>
                <w:szCs w:val="28"/>
                <w:lang w:val="en-US" w:eastAsia="zh-CN" w:bidi="ar"/>
              </w:rPr>
            </w:pPr>
          </w:p>
        </w:tc>
        <w:tc>
          <w:tcPr>
            <w:tcW w:w="51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EF8451F">
            <w:pPr>
              <w:jc w:val="center"/>
              <w:textAlignment w:val="center"/>
              <w:rPr>
                <w:rFonts w:hint="eastAsia" w:ascii="仿宋" w:hAnsi="仿宋" w:eastAsia="仿宋" w:cs="仿宋"/>
                <w:b/>
                <w:bCs/>
                <w:color w:val="000000"/>
                <w:kern w:val="0"/>
                <w:sz w:val="28"/>
                <w:szCs w:val="28"/>
                <w:lang w:val="en-US" w:eastAsia="zh-CN" w:bidi="ar"/>
              </w:rPr>
            </w:pPr>
          </w:p>
        </w:tc>
        <w:tc>
          <w:tcPr>
            <w:tcW w:w="518" w:type="pct"/>
            <w:vMerge w:val="continue"/>
            <w:tcBorders>
              <w:left w:val="single" w:color="000000" w:sz="4" w:space="0"/>
              <w:bottom w:val="single" w:color="000000" w:sz="4" w:space="0"/>
              <w:right w:val="single" w:color="000000" w:sz="4" w:space="0"/>
            </w:tcBorders>
            <w:shd w:val="clear" w:color="auto" w:fill="auto"/>
            <w:noWrap/>
            <w:vAlign w:val="center"/>
          </w:tcPr>
          <w:p w14:paraId="0A62FE18">
            <w:pPr>
              <w:jc w:val="center"/>
              <w:rPr>
                <w:rFonts w:ascii="仿宋" w:hAnsi="仿宋" w:eastAsia="仿宋" w:cs="仿宋"/>
                <w:b/>
                <w:bCs/>
                <w:color w:val="000000"/>
                <w:sz w:val="28"/>
                <w:szCs w:val="28"/>
              </w:rPr>
            </w:pPr>
          </w:p>
        </w:tc>
        <w:tc>
          <w:tcPr>
            <w:tcW w:w="59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35E2F3B">
            <w:pPr>
              <w:jc w:val="center"/>
              <w:rPr>
                <w:rFonts w:ascii="仿宋" w:hAnsi="仿宋" w:eastAsia="仿宋" w:cs="仿宋"/>
                <w:b/>
                <w:bCs/>
                <w:color w:val="000000"/>
                <w:sz w:val="28"/>
                <w:szCs w:val="28"/>
              </w:rPr>
            </w:pPr>
          </w:p>
        </w:tc>
        <w:tc>
          <w:tcPr>
            <w:tcW w:w="605"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3279A68A">
            <w:pPr>
              <w:jc w:val="center"/>
              <w:rPr>
                <w:rFonts w:ascii="仿宋" w:hAnsi="仿宋" w:eastAsia="仿宋" w:cs="仿宋"/>
                <w:b/>
                <w:bCs/>
                <w:color w:val="000000"/>
                <w:sz w:val="28"/>
                <w:szCs w:val="28"/>
              </w:rPr>
            </w:pPr>
          </w:p>
        </w:tc>
        <w:tc>
          <w:tcPr>
            <w:tcW w:w="66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B561C23">
            <w:pPr>
              <w:jc w:val="center"/>
              <w:rPr>
                <w:rFonts w:ascii="仿宋" w:hAnsi="仿宋" w:eastAsia="仿宋" w:cs="仿宋"/>
                <w:b/>
                <w:bCs/>
                <w:color w:val="000000"/>
                <w:sz w:val="28"/>
                <w:szCs w:val="28"/>
              </w:rPr>
            </w:pPr>
          </w:p>
        </w:tc>
      </w:tr>
      <w:tr w14:paraId="36D620C6">
        <w:tblPrEx>
          <w:tblCellMar>
            <w:top w:w="0" w:type="dxa"/>
            <w:left w:w="108" w:type="dxa"/>
            <w:bottom w:w="0" w:type="dxa"/>
            <w:right w:w="108" w:type="dxa"/>
          </w:tblCellMar>
        </w:tblPrEx>
        <w:trPr>
          <w:trHeight w:val="352"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0790">
            <w:pPr>
              <w:jc w:val="center"/>
              <w:textAlignment w:val="center"/>
              <w:rPr>
                <w:rFonts w:hint="default" w:ascii="仿宋" w:hAnsi="仿宋" w:eastAsia="仿宋" w:cs="仿宋"/>
                <w:b/>
                <w:bCs/>
                <w:color w:val="000000"/>
                <w:sz w:val="28"/>
                <w:szCs w:val="28"/>
                <w:lang w:val="en-US" w:eastAsia="zh-CN"/>
              </w:rPr>
            </w:pPr>
          </w:p>
        </w:tc>
        <w:tc>
          <w:tcPr>
            <w:tcW w:w="11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8A04F">
            <w:pPr>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合计</w:t>
            </w:r>
          </w:p>
        </w:tc>
        <w:tc>
          <w:tcPr>
            <w:tcW w:w="118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F65D">
            <w:pPr>
              <w:jc w:val="center"/>
              <w:textAlignment w:val="center"/>
              <w:rPr>
                <w:rFonts w:ascii="仿宋" w:hAnsi="仿宋" w:eastAsia="仿宋" w:cs="仿宋"/>
                <w:b/>
                <w:bCs/>
                <w:color w:val="000000"/>
                <w:kern w:val="0"/>
                <w:sz w:val="28"/>
                <w:szCs w:val="28"/>
                <w:lang w:bidi="ar"/>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2A8F3">
            <w:pPr>
              <w:jc w:val="center"/>
              <w:rPr>
                <w:rFonts w:ascii="仿宋" w:hAnsi="仿宋" w:eastAsia="仿宋" w:cs="仿宋"/>
                <w:b/>
                <w:bCs/>
                <w:color w:val="000000"/>
                <w:sz w:val="28"/>
                <w:szCs w:val="28"/>
              </w:rPr>
            </w:pPr>
          </w:p>
        </w:tc>
        <w:tc>
          <w:tcPr>
            <w:tcW w:w="595"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4208DAE9">
            <w:pPr>
              <w:jc w:val="center"/>
              <w:rPr>
                <w:rFonts w:ascii="仿宋" w:hAnsi="仿宋" w:eastAsia="仿宋" w:cs="仿宋"/>
                <w:b/>
                <w:bCs/>
                <w:color w:val="000000"/>
                <w:sz w:val="28"/>
                <w:szCs w:val="28"/>
              </w:rPr>
            </w:pPr>
          </w:p>
        </w:tc>
        <w:tc>
          <w:tcPr>
            <w:tcW w:w="605"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39A04C19">
            <w:pPr>
              <w:jc w:val="center"/>
              <w:rPr>
                <w:rFonts w:ascii="仿宋" w:hAnsi="仿宋" w:eastAsia="仿宋" w:cs="仿宋"/>
                <w:b/>
                <w:bCs/>
                <w:color w:val="000000"/>
                <w:sz w:val="28"/>
                <w:szCs w:val="28"/>
              </w:rPr>
            </w:pPr>
          </w:p>
        </w:tc>
        <w:tc>
          <w:tcPr>
            <w:tcW w:w="66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786F3A2">
            <w:pPr>
              <w:jc w:val="center"/>
              <w:rPr>
                <w:rFonts w:ascii="仿宋" w:hAnsi="仿宋" w:eastAsia="仿宋" w:cs="仿宋"/>
                <w:b/>
                <w:bCs/>
                <w:color w:val="000000"/>
                <w:sz w:val="28"/>
                <w:szCs w:val="28"/>
              </w:rPr>
            </w:pPr>
          </w:p>
        </w:tc>
      </w:tr>
      <w:tr w14:paraId="43DCC4AE">
        <w:tblPrEx>
          <w:tblCellMar>
            <w:top w:w="0" w:type="dxa"/>
            <w:left w:w="108" w:type="dxa"/>
            <w:bottom w:w="0" w:type="dxa"/>
            <w:right w:w="108" w:type="dxa"/>
          </w:tblCellMar>
        </w:tblPrEx>
        <w:trPr>
          <w:trHeight w:val="438"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3FB83">
            <w:pPr>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质量及服务要求</w:t>
            </w:r>
          </w:p>
        </w:tc>
        <w:tc>
          <w:tcPr>
            <w:tcW w:w="4705"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624B871">
            <w:pPr>
              <w:numPr>
                <w:ilvl w:val="0"/>
                <w:numId w:val="9"/>
              </w:numPr>
              <w:jc w:val="left"/>
              <w:textAlignment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服务范围含深圳第一亚太物业管理有限公司下属分公司关联方物业费等债权回收。                                                                                    （2）配备足够人员进行相关诉讼事务处理。                                                               （3）积极推动债权实现。</w:t>
            </w:r>
          </w:p>
          <w:p w14:paraId="339054C1">
            <w:pPr>
              <w:numPr>
                <w:ilvl w:val="0"/>
                <w:numId w:val="10"/>
              </w:numPr>
              <w:jc w:val="left"/>
              <w:textAlignment w:val="center"/>
              <w:rPr>
                <w:rFonts w:ascii="仿宋" w:hAnsi="仿宋" w:eastAsia="仿宋" w:cs="仿宋"/>
                <w:b/>
                <w:bCs/>
                <w:color w:val="000000"/>
                <w:kern w:val="0"/>
                <w:sz w:val="28"/>
                <w:szCs w:val="28"/>
                <w:lang w:bidi="ar"/>
              </w:rPr>
            </w:pPr>
            <w:r>
              <w:rPr>
                <w:rFonts w:hint="eastAsia" w:ascii="仿宋" w:hAnsi="仿宋" w:eastAsia="仿宋" w:cs="仿宋"/>
                <w:b/>
                <w:bCs/>
                <w:color w:val="000000"/>
                <w:sz w:val="28"/>
                <w:szCs w:val="28"/>
                <w:lang w:val="en-US" w:eastAsia="zh-CN"/>
              </w:rPr>
              <w:t>诉讼标的、</w:t>
            </w:r>
            <w:r>
              <w:rPr>
                <w:rFonts w:hint="eastAsia" w:ascii="仿宋" w:hAnsi="仿宋" w:eastAsia="仿宋" w:cs="仿宋"/>
                <w:b/>
                <w:bCs/>
                <w:color w:val="000000"/>
                <w:kern w:val="0"/>
                <w:sz w:val="28"/>
                <w:szCs w:val="28"/>
                <w:lang w:val="en-US" w:eastAsia="zh-CN" w:bidi="ar"/>
              </w:rPr>
              <w:t>案件</w:t>
            </w:r>
            <w:r>
              <w:rPr>
                <w:rFonts w:hint="eastAsia" w:ascii="仿宋" w:hAnsi="仿宋" w:eastAsia="仿宋" w:cs="仿宋"/>
                <w:b/>
                <w:bCs/>
                <w:color w:val="000000"/>
                <w:kern w:val="0"/>
                <w:sz w:val="28"/>
                <w:szCs w:val="28"/>
                <w:lang w:bidi="ar"/>
              </w:rPr>
              <w:t>数量明细详见本招标文件《第四章 任务需求书》</w:t>
            </w:r>
          </w:p>
          <w:p w14:paraId="004C2AB3">
            <w:pPr>
              <w:numPr>
                <w:ilvl w:val="0"/>
                <w:numId w:val="10"/>
              </w:numPr>
              <w:jc w:val="left"/>
              <w:textAlignment w:val="center"/>
              <w:rPr>
                <w:rFonts w:ascii="仿宋" w:hAnsi="仿宋" w:eastAsia="仿宋" w:cs="仿宋"/>
                <w:b/>
                <w:bCs/>
                <w:color w:val="000000"/>
                <w:kern w:val="0"/>
                <w:sz w:val="28"/>
                <w:szCs w:val="28"/>
                <w:lang w:bidi="ar"/>
              </w:rPr>
            </w:pPr>
            <w:r>
              <w:rPr>
                <w:rFonts w:ascii="仿宋" w:hAnsi="仿宋" w:eastAsia="仿宋" w:cs="仿宋"/>
                <w:b/>
                <w:bCs/>
                <w:color w:val="000000"/>
                <w:kern w:val="0"/>
                <w:sz w:val="28"/>
                <w:szCs w:val="28"/>
                <w:lang w:bidi="ar"/>
              </w:rPr>
              <w:t>案件数量暂时按照一个诉讼主体为一个诉计算，实际按照一个法律关系为一个诉计提律师代理费</w:t>
            </w:r>
          </w:p>
        </w:tc>
      </w:tr>
      <w:tr w14:paraId="714E7C1A">
        <w:tblPrEx>
          <w:tblCellMar>
            <w:top w:w="0" w:type="dxa"/>
            <w:left w:w="108" w:type="dxa"/>
            <w:bottom w:w="0" w:type="dxa"/>
            <w:right w:w="108" w:type="dxa"/>
          </w:tblCellMar>
        </w:tblPrEx>
        <w:trPr>
          <w:trHeight w:val="129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56D7768">
            <w:pPr>
              <w:jc w:val="center"/>
              <w:textAlignment w:val="center"/>
              <w:rPr>
                <w:rFonts w:ascii="仿宋" w:hAnsi="仿宋" w:eastAsia="仿宋" w:cs="仿宋"/>
                <w:b/>
                <w:bCs/>
                <w:color w:val="000000"/>
                <w:kern w:val="0"/>
                <w:sz w:val="28"/>
                <w:szCs w:val="28"/>
                <w:lang w:bidi="ar"/>
              </w:rPr>
            </w:pPr>
            <w:r>
              <w:rPr>
                <w:rFonts w:hint="eastAsia" w:ascii="宋体" w:hAnsi="宋体" w:cs="宋体"/>
                <w:b/>
                <w:bCs/>
                <w:color w:val="000000"/>
                <w:kern w:val="0"/>
                <w:sz w:val="22"/>
                <w:szCs w:val="22"/>
                <w:lang w:bidi="ar"/>
              </w:rPr>
              <w:t xml:space="preserve">                                                                  </w:t>
            </w:r>
            <w:r>
              <w:rPr>
                <w:rFonts w:hint="eastAsia" w:ascii="仿宋" w:hAnsi="仿宋" w:eastAsia="仿宋" w:cs="仿宋"/>
                <w:b/>
                <w:bCs/>
                <w:color w:val="000000"/>
                <w:kern w:val="0"/>
                <w:sz w:val="28"/>
                <w:szCs w:val="28"/>
                <w:lang w:bidi="ar"/>
              </w:rPr>
              <w:t>投  标  人(盖章)：</w:t>
            </w:r>
            <w:r>
              <w:rPr>
                <w:rFonts w:hint="eastAsia" w:ascii="宋体" w:hAnsi="宋体" w:cs="宋体"/>
                <w:b/>
                <w:bCs/>
                <w:color w:val="000000"/>
                <w:kern w:val="0"/>
                <w:sz w:val="22"/>
                <w:szCs w:val="22"/>
                <w:lang w:bidi="ar"/>
              </w:rPr>
              <w:t xml:space="preserve">                                </w:t>
            </w:r>
            <w:r>
              <w:rPr>
                <w:rFonts w:hint="eastAsia" w:ascii="宋体" w:hAnsi="宋体" w:cs="宋体"/>
                <w:b/>
                <w:bCs/>
                <w:color w:val="000000"/>
                <w:kern w:val="0"/>
                <w:sz w:val="22"/>
                <w:szCs w:val="22"/>
                <w:lang w:bidi="ar"/>
              </w:rPr>
              <w:br w:type="textWrapping"/>
            </w:r>
            <w:r>
              <w:rPr>
                <w:rFonts w:hint="eastAsia" w:ascii="宋体" w:hAnsi="宋体" w:cs="宋体"/>
                <w:b/>
                <w:bCs/>
                <w:color w:val="000000"/>
                <w:kern w:val="0"/>
                <w:sz w:val="22"/>
                <w:szCs w:val="22"/>
                <w:lang w:bidi="ar"/>
              </w:rPr>
              <w:br w:type="textWrapping"/>
            </w:r>
            <w:r>
              <w:rPr>
                <w:rFonts w:hint="eastAsia" w:ascii="宋体" w:hAnsi="宋体" w:cs="宋体"/>
                <w:b/>
                <w:bCs/>
                <w:color w:val="000000"/>
                <w:kern w:val="0"/>
                <w:sz w:val="22"/>
                <w:szCs w:val="22"/>
                <w:lang w:bidi="ar"/>
              </w:rPr>
              <w:t xml:space="preserve">                                          </w:t>
            </w:r>
            <w:r>
              <w:rPr>
                <w:rFonts w:hint="eastAsia" w:ascii="仿宋" w:hAnsi="仿宋" w:eastAsia="仿宋" w:cs="仿宋"/>
                <w:b/>
                <w:bCs/>
                <w:color w:val="000000"/>
                <w:kern w:val="0"/>
                <w:sz w:val="28"/>
                <w:szCs w:val="28"/>
                <w:lang w:bidi="ar"/>
              </w:rPr>
              <w:t xml:space="preserve">法定代表人或委托代理人(签字或盖章)：              </w:t>
            </w:r>
            <w:r>
              <w:rPr>
                <w:rFonts w:hint="eastAsia" w:ascii="仿宋" w:hAnsi="仿宋" w:eastAsia="仿宋" w:cs="仿宋"/>
                <w:b/>
                <w:bCs/>
                <w:color w:val="000000"/>
                <w:kern w:val="0"/>
                <w:sz w:val="28"/>
                <w:szCs w:val="28"/>
                <w:lang w:bidi="ar"/>
              </w:rPr>
              <w:br w:type="textWrapping"/>
            </w:r>
          </w:p>
          <w:p w14:paraId="4B1F17BF">
            <w:pPr>
              <w:jc w:val="right"/>
              <w:textAlignment w:val="center"/>
              <w:rPr>
                <w:rFonts w:ascii="宋体" w:hAnsi="宋体" w:cs="宋体"/>
                <w:b/>
                <w:bCs/>
                <w:color w:val="000000"/>
                <w:sz w:val="22"/>
                <w:szCs w:val="22"/>
              </w:rPr>
            </w:pPr>
            <w:r>
              <w:rPr>
                <w:rFonts w:hint="eastAsia" w:ascii="仿宋" w:hAnsi="仿宋" w:eastAsia="仿宋" w:cs="仿宋"/>
                <w:b/>
                <w:bCs/>
                <w:color w:val="000000"/>
                <w:kern w:val="0"/>
                <w:sz w:val="28"/>
                <w:szCs w:val="28"/>
                <w:lang w:bidi="ar"/>
              </w:rPr>
              <w:t>年   月  日</w:t>
            </w:r>
          </w:p>
        </w:tc>
      </w:tr>
    </w:tbl>
    <w:p w14:paraId="30677DED">
      <w:pPr>
        <w:pStyle w:val="18"/>
        <w:spacing w:after="120" w:afterLines="50" w:line="520" w:lineRule="exact"/>
        <w:rPr>
          <w:rFonts w:ascii="仿宋_GB2312" w:hAnsi="宋体" w:eastAsia="仿宋_GB2312"/>
          <w:sz w:val="28"/>
          <w:szCs w:val="28"/>
        </w:rPr>
      </w:pPr>
    </w:p>
    <w:p w14:paraId="0BA91E09">
      <w:pPr>
        <w:pStyle w:val="18"/>
        <w:spacing w:after="120" w:afterLines="50" w:line="520" w:lineRule="exact"/>
        <w:rPr>
          <w:rFonts w:ascii="仿宋_GB2312" w:hAnsi="宋体" w:eastAsia="仿宋_GB2312"/>
          <w:sz w:val="28"/>
          <w:szCs w:val="28"/>
        </w:rPr>
        <w:sectPr>
          <w:pgSz w:w="15840" w:h="12240" w:orient="landscape"/>
          <w:pgMar w:top="1797" w:right="1440" w:bottom="1797" w:left="1440" w:header="720" w:footer="720" w:gutter="0"/>
          <w:cols w:space="720" w:num="1"/>
        </w:sectPr>
      </w:pPr>
    </w:p>
    <w:p w14:paraId="2F751A49">
      <w:pPr>
        <w:pStyle w:val="51"/>
        <w:ind w:firstLine="0" w:firstLineChars="0"/>
        <w:jc w:val="center"/>
        <w:outlineLvl w:val="0"/>
        <w:rPr>
          <w:rFonts w:ascii="宋体" w:hAnsi="宋体"/>
          <w:b/>
          <w:bCs/>
          <w:kern w:val="0"/>
          <w:sz w:val="48"/>
          <w:szCs w:val="48"/>
        </w:rPr>
      </w:pPr>
    </w:p>
    <w:p w14:paraId="2C86468D">
      <w:pPr>
        <w:pStyle w:val="51"/>
        <w:ind w:firstLine="0" w:firstLineChars="0"/>
        <w:jc w:val="center"/>
        <w:outlineLvl w:val="0"/>
        <w:rPr>
          <w:rFonts w:ascii="宋体" w:hAnsi="宋体"/>
          <w:b/>
          <w:bCs/>
          <w:kern w:val="0"/>
          <w:sz w:val="48"/>
          <w:szCs w:val="48"/>
        </w:rPr>
      </w:pPr>
      <w:bookmarkStart w:id="121" w:name="_Toc14096"/>
      <w:bookmarkStart w:id="122" w:name="_Toc17237"/>
      <w:r>
        <w:rPr>
          <w:rFonts w:hint="eastAsia" w:ascii="宋体" w:hAnsi="宋体"/>
          <w:b/>
          <w:bCs/>
          <w:kern w:val="0"/>
          <w:sz w:val="48"/>
          <w:szCs w:val="48"/>
        </w:rPr>
        <w:t>第六章 中标通知书</w:t>
      </w:r>
      <w:bookmarkEnd w:id="120"/>
      <w:bookmarkEnd w:id="121"/>
      <w:bookmarkEnd w:id="122"/>
    </w:p>
    <w:p w14:paraId="0915106A">
      <w:pPr>
        <w:pStyle w:val="51"/>
        <w:ind w:firstLine="0" w:firstLineChars="0"/>
        <w:jc w:val="center"/>
        <w:rPr>
          <w:rFonts w:ascii="仿宋" w:hAnsi="仿宋" w:eastAsia="仿宋"/>
          <w:b/>
          <w:bCs/>
          <w:kern w:val="0"/>
          <w:sz w:val="36"/>
          <w:szCs w:val="36"/>
        </w:rPr>
      </w:pPr>
    </w:p>
    <w:p w14:paraId="061871D3">
      <w:pPr>
        <w:spacing w:line="360" w:lineRule="auto"/>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cs="仿宋_GB2312"/>
          <w:sz w:val="28"/>
          <w:szCs w:val="28"/>
          <w:u w:val="single"/>
        </w:rPr>
        <w:t xml:space="preserve">                </w:t>
      </w:r>
      <w:r>
        <w:rPr>
          <w:rFonts w:hint="eastAsia" w:ascii="仿宋" w:hAnsi="仿宋" w:eastAsia="仿宋"/>
          <w:sz w:val="28"/>
          <w:szCs w:val="28"/>
        </w:rPr>
        <w:t>：</w:t>
      </w:r>
    </w:p>
    <w:p w14:paraId="0F862ECF">
      <w:pPr>
        <w:spacing w:line="360" w:lineRule="auto"/>
        <w:ind w:firstLine="560" w:firstLineChars="200"/>
        <w:jc w:val="left"/>
        <w:rPr>
          <w:rFonts w:ascii="仿宋" w:hAnsi="仿宋" w:eastAsia="仿宋"/>
          <w:sz w:val="28"/>
          <w:szCs w:val="28"/>
        </w:rPr>
      </w:pPr>
      <w:r>
        <w:rPr>
          <w:rFonts w:hint="eastAsia" w:ascii="仿宋" w:hAnsi="仿宋" w:eastAsia="仿宋" w:cs="仿宋_GB2312"/>
          <w:sz w:val="28"/>
          <w:szCs w:val="28"/>
        </w:rPr>
        <w:t>我司</w:t>
      </w:r>
      <w:r>
        <w:rPr>
          <w:rFonts w:hint="eastAsia" w:ascii="仿宋" w:hAnsi="仿宋" w:eastAsia="仿宋" w:cs="仿宋_GB2312"/>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已于</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日进行招标，经评定，现正式通知贵司，我司已选定贵司为</w:t>
      </w:r>
      <w:r>
        <w:rPr>
          <w:rFonts w:hint="eastAsia" w:ascii="仿宋" w:hAnsi="仿宋" w:eastAsia="仿宋" w:cs="仿宋_GB2312"/>
          <w:sz w:val="28"/>
          <w:szCs w:val="28"/>
          <w:u w:val="single"/>
        </w:rPr>
        <w:t xml:space="preserve">                 </w:t>
      </w:r>
      <w:r>
        <w:rPr>
          <w:rFonts w:hint="eastAsia" w:ascii="仿宋" w:hAnsi="仿宋" w:eastAsia="仿宋"/>
          <w:sz w:val="28"/>
          <w:szCs w:val="28"/>
        </w:rPr>
        <w:t>中标单位，并接纳贵公司的投标文件：</w:t>
      </w:r>
    </w:p>
    <w:p w14:paraId="6CEB75B4">
      <w:pPr>
        <w:spacing w:line="360" w:lineRule="auto"/>
        <w:ind w:left="705"/>
        <w:jc w:val="left"/>
        <w:rPr>
          <w:rFonts w:ascii="仿宋" w:hAnsi="仿宋" w:eastAsia="仿宋"/>
          <w:sz w:val="28"/>
          <w:szCs w:val="28"/>
        </w:rPr>
      </w:pPr>
      <w:r>
        <w:rPr>
          <w:rFonts w:hint="eastAsia" w:ascii="仿宋" w:hAnsi="仿宋" w:eastAsia="仿宋" w:cs="宋体"/>
          <w:kern w:val="0"/>
          <w:sz w:val="28"/>
          <w:szCs w:val="32"/>
        </w:rPr>
        <w:t>1、</w:t>
      </w:r>
      <w:r>
        <w:rPr>
          <w:rFonts w:hint="eastAsia" w:ascii="仿宋" w:hAnsi="仿宋" w:eastAsia="仿宋"/>
          <w:sz w:val="28"/>
          <w:szCs w:val="28"/>
        </w:rPr>
        <w:t>中标价格：</w:t>
      </w:r>
      <w:r>
        <w:rPr>
          <w:rFonts w:hint="eastAsia" w:ascii="仿宋" w:hAnsi="仿宋" w:eastAsia="仿宋"/>
          <w:sz w:val="28"/>
          <w:szCs w:val="28"/>
          <w:u w:val="single"/>
        </w:rPr>
        <w:t xml:space="preserve">￥      元  </w:t>
      </w:r>
      <w:r>
        <w:rPr>
          <w:rFonts w:hint="eastAsia" w:ascii="仿宋" w:hAnsi="仿宋" w:eastAsia="仿宋"/>
          <w:sz w:val="28"/>
          <w:szCs w:val="28"/>
        </w:rPr>
        <w:t>人民币（大写）：</w:t>
      </w:r>
      <w:r>
        <w:rPr>
          <w:rFonts w:hint="eastAsia" w:ascii="仿宋" w:hAnsi="仿宋" w:eastAsia="仿宋"/>
          <w:sz w:val="28"/>
          <w:szCs w:val="28"/>
          <w:u w:val="single"/>
        </w:rPr>
        <w:t xml:space="preserve">       </w:t>
      </w:r>
      <w:r>
        <w:rPr>
          <w:rFonts w:hint="eastAsia" w:ascii="仿宋" w:hAnsi="仿宋" w:eastAsia="仿宋" w:cs="宋体"/>
          <w:kern w:val="0"/>
          <w:sz w:val="28"/>
          <w:szCs w:val="32"/>
        </w:rPr>
        <w:t>；</w:t>
      </w:r>
    </w:p>
    <w:p w14:paraId="03A327B1">
      <w:pPr>
        <w:spacing w:line="360" w:lineRule="auto"/>
        <w:ind w:firstLine="700" w:firstLineChars="250"/>
        <w:jc w:val="left"/>
        <w:rPr>
          <w:rFonts w:ascii="仿宋" w:hAnsi="仿宋" w:eastAsia="仿宋"/>
          <w:sz w:val="28"/>
          <w:szCs w:val="28"/>
        </w:rPr>
      </w:pPr>
      <w:r>
        <w:rPr>
          <w:rFonts w:hint="eastAsia" w:ascii="仿宋" w:hAnsi="仿宋" w:eastAsia="仿宋"/>
          <w:sz w:val="28"/>
          <w:szCs w:val="28"/>
        </w:rPr>
        <w:t>2、中标服务周期：</w:t>
      </w:r>
      <w:r>
        <w:rPr>
          <w:rFonts w:hint="eastAsia" w:ascii="仿宋" w:hAnsi="仿宋" w:eastAsia="仿宋"/>
          <w:sz w:val="28"/>
          <w:szCs w:val="28"/>
          <w:u w:val="single"/>
        </w:rPr>
        <w:t xml:space="preserve">      </w:t>
      </w:r>
      <w:r>
        <w:rPr>
          <w:rFonts w:hint="eastAsia" w:ascii="仿宋" w:hAnsi="仿宋" w:eastAsia="仿宋"/>
          <w:sz w:val="28"/>
          <w:szCs w:val="28"/>
        </w:rPr>
        <w:t>天</w:t>
      </w:r>
    </w:p>
    <w:p w14:paraId="1B027FA1">
      <w:pPr>
        <w:spacing w:line="360" w:lineRule="auto"/>
        <w:ind w:firstLine="700" w:firstLineChars="250"/>
        <w:jc w:val="left"/>
        <w:rPr>
          <w:rFonts w:ascii="仿宋" w:hAnsi="仿宋" w:eastAsia="仿宋"/>
          <w:sz w:val="28"/>
          <w:szCs w:val="28"/>
          <w:u w:val="single"/>
        </w:rPr>
      </w:pPr>
      <w:r>
        <w:rPr>
          <w:rFonts w:hint="eastAsia" w:ascii="仿宋" w:hAnsi="仿宋" w:eastAsia="仿宋"/>
          <w:sz w:val="28"/>
          <w:szCs w:val="28"/>
        </w:rPr>
        <w:t>3、项目负责人：</w:t>
      </w:r>
      <w:r>
        <w:rPr>
          <w:rFonts w:hint="eastAsia" w:ascii="仿宋" w:hAnsi="仿宋" w:eastAsia="仿宋"/>
          <w:sz w:val="28"/>
          <w:szCs w:val="28"/>
          <w:u w:val="single"/>
        </w:rPr>
        <w:t xml:space="preserve">        </w:t>
      </w:r>
    </w:p>
    <w:p w14:paraId="56567015">
      <w:pPr>
        <w:spacing w:line="360" w:lineRule="auto"/>
        <w:ind w:firstLine="700" w:firstLineChars="250"/>
        <w:jc w:val="left"/>
        <w:rPr>
          <w:rFonts w:ascii="仿宋" w:hAnsi="仿宋" w:eastAsia="仿宋"/>
          <w:sz w:val="28"/>
          <w:szCs w:val="28"/>
        </w:rPr>
      </w:pPr>
      <w:r>
        <w:rPr>
          <w:rFonts w:hint="eastAsia" w:ascii="仿宋" w:hAnsi="仿宋" w:eastAsia="仿宋"/>
          <w:sz w:val="28"/>
          <w:szCs w:val="28"/>
        </w:rPr>
        <w:t>4、贵公司须在接到本通知后</w:t>
      </w:r>
      <w:r>
        <w:rPr>
          <w:rFonts w:hint="eastAsia" w:ascii="仿宋" w:hAnsi="仿宋" w:eastAsia="仿宋"/>
          <w:sz w:val="28"/>
          <w:szCs w:val="28"/>
          <w:u w:val="single"/>
        </w:rPr>
        <w:t xml:space="preserve">   </w:t>
      </w:r>
      <w:r>
        <w:rPr>
          <w:rFonts w:hint="eastAsia" w:ascii="仿宋" w:hAnsi="仿宋" w:eastAsia="仿宋"/>
          <w:sz w:val="28"/>
          <w:szCs w:val="28"/>
        </w:rPr>
        <w:t>日内与我司商议并签订合同。</w:t>
      </w:r>
    </w:p>
    <w:p w14:paraId="4E6D073B">
      <w:pPr>
        <w:spacing w:line="360" w:lineRule="auto"/>
        <w:ind w:firstLine="1120" w:firstLineChars="400"/>
        <w:jc w:val="left"/>
        <w:rPr>
          <w:rFonts w:ascii="仿宋" w:hAnsi="仿宋" w:eastAsia="仿宋"/>
          <w:sz w:val="28"/>
          <w:szCs w:val="28"/>
        </w:rPr>
      </w:pPr>
      <w:r>
        <w:rPr>
          <w:rFonts w:hint="eastAsia" w:ascii="仿宋" w:hAnsi="仿宋" w:eastAsia="仿宋"/>
          <w:sz w:val="28"/>
          <w:szCs w:val="28"/>
        </w:rPr>
        <w:t>谨此函告</w:t>
      </w:r>
    </w:p>
    <w:p w14:paraId="24313F57">
      <w:pPr>
        <w:spacing w:line="360" w:lineRule="auto"/>
        <w:rPr>
          <w:rFonts w:ascii="仿宋" w:hAnsi="仿宋" w:eastAsia="仿宋"/>
          <w:sz w:val="28"/>
          <w:szCs w:val="28"/>
        </w:rPr>
      </w:pPr>
    </w:p>
    <w:p w14:paraId="08D8E717">
      <w:pPr>
        <w:spacing w:line="360" w:lineRule="auto"/>
        <w:rPr>
          <w:rFonts w:ascii="仿宋" w:hAnsi="仿宋" w:eastAsia="仿宋"/>
          <w:sz w:val="28"/>
          <w:szCs w:val="28"/>
        </w:rPr>
      </w:pPr>
    </w:p>
    <w:p w14:paraId="393178B6">
      <w:pPr>
        <w:wordWrap w:val="0"/>
        <w:spacing w:line="360" w:lineRule="auto"/>
        <w:ind w:right="140"/>
        <w:jc w:val="right"/>
        <w:rPr>
          <w:rFonts w:ascii="仿宋" w:hAnsi="仿宋" w:eastAsia="仿宋"/>
          <w:sz w:val="28"/>
          <w:szCs w:val="28"/>
        </w:rPr>
      </w:pPr>
      <w:r>
        <w:rPr>
          <w:rFonts w:hint="eastAsia" w:ascii="仿宋" w:hAnsi="仿宋" w:eastAsia="仿宋"/>
          <w:sz w:val="28"/>
          <w:szCs w:val="28"/>
        </w:rPr>
        <w:t xml:space="preserve">（招标人）   </w:t>
      </w:r>
    </w:p>
    <w:p w14:paraId="097704F8">
      <w:pPr>
        <w:widowControl w:val="0"/>
        <w:spacing w:line="560" w:lineRule="exact"/>
        <w:ind w:firstLine="435"/>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bookmarkEnd w:id="0"/>
    <w:bookmarkEnd w:id="1"/>
    <w:p w14:paraId="7DE9D409">
      <w:pPr>
        <w:widowControl w:val="0"/>
        <w:spacing w:line="560" w:lineRule="exact"/>
        <w:rPr>
          <w:rFonts w:ascii="仿宋" w:hAnsi="仿宋" w:eastAsia="仿宋"/>
          <w:sz w:val="28"/>
          <w:szCs w:val="28"/>
        </w:rPr>
      </w:pPr>
    </w:p>
    <w:sectPr>
      <w:pgSz w:w="12240" w:h="15840"/>
      <w:pgMar w:top="1440" w:right="1797" w:bottom="1440" w:left="1797" w:header="720" w:footer="720" w:gutter="0"/>
      <w:cols w:space="720" w:num="1"/>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EFBD0D-B399-4852-BB2B-62C975C736F0}"/>
  </w:font>
  <w:font w:name="Courier New">
    <w:panose1 w:val="02070309020205020404"/>
    <w:charset w:val="01"/>
    <w:family w:val="modern"/>
    <w:pitch w:val="default"/>
    <w:sig w:usb0="E0002EFF" w:usb1="C0007843" w:usb2="00000009" w:usb3="00000000" w:csb0="400001FF" w:csb1="FFFF0000"/>
    <w:embedRegular r:id="rId2" w:fontKey="{FB00F09E-D050-4A43-A1E4-53B04B0D7C0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B3AE98C3-E71D-4967-B713-5097EC498ABA}"/>
  </w:font>
  <w:font w:name="Cambria">
    <w:panose1 w:val="02040503050406030204"/>
    <w:charset w:val="00"/>
    <w:family w:val="roman"/>
    <w:pitch w:val="default"/>
    <w:sig w:usb0="E00006FF" w:usb1="420024FF" w:usb2="02000000" w:usb3="00000000" w:csb0="2000019F" w:csb1="00000000"/>
    <w:embedRegular r:id="rId4" w:fontKey="{2C397E8D-95D7-464D-95A9-A3FD639EE50E}"/>
  </w:font>
  <w:font w:name="Verdana">
    <w:panose1 w:val="020B0604030504040204"/>
    <w:charset w:val="00"/>
    <w:family w:val="swiss"/>
    <w:pitch w:val="default"/>
    <w:sig w:usb0="A00006FF" w:usb1="4000205B" w:usb2="00000010" w:usb3="00000000" w:csb0="2000019F" w:csb1="00000000"/>
    <w:embedRegular r:id="rId5" w:fontKey="{2F8EF2FD-C9C0-46F7-B3D2-542A015EAAC3}"/>
  </w:font>
  <w:font w:name="仿宋_GB2312">
    <w:panose1 w:val="02010609030101010101"/>
    <w:charset w:val="86"/>
    <w:family w:val="swiss"/>
    <w:pitch w:val="default"/>
    <w:sig w:usb0="00000001" w:usb1="080E0000" w:usb2="00000000" w:usb3="00000000" w:csb0="00040000" w:csb1="00000000"/>
    <w:embedRegular r:id="rId6" w:fontKey="{C16FC533-780B-497D-9E38-FEF30D7ACBED}"/>
  </w:font>
  <w:font w:name="仿宋">
    <w:panose1 w:val="02010609060101010101"/>
    <w:charset w:val="86"/>
    <w:family w:val="modern"/>
    <w:pitch w:val="default"/>
    <w:sig w:usb0="800002BF" w:usb1="38CF7CFA" w:usb2="00000016" w:usb3="00000000" w:csb0="00040001" w:csb1="00000000"/>
    <w:embedRegular r:id="rId7" w:fontKey="{3314EDC1-5BCE-4D66-9E2F-BE645FAA5AB1}"/>
  </w:font>
  <w:font w:name="微软雅黑">
    <w:panose1 w:val="020B0503020204020204"/>
    <w:charset w:val="86"/>
    <w:family w:val="swiss"/>
    <w:pitch w:val="default"/>
    <w:sig w:usb0="80000287" w:usb1="2ACF3C50" w:usb2="00000016" w:usb3="00000000" w:csb0="0004001F" w:csb1="00000000"/>
    <w:embedRegular r:id="rId8" w:fontKey="{8128E3A3-2865-4738-97D2-5B76C82E7BB0}"/>
  </w:font>
  <w:font w:name="方正仿宋_GB2312">
    <w:panose1 w:val="02000000000000000000"/>
    <w:charset w:val="86"/>
    <w:family w:val="auto"/>
    <w:pitch w:val="default"/>
    <w:sig w:usb0="A00002BF" w:usb1="184F6CFA" w:usb2="00000012" w:usb3="00000000" w:csb0="00040001" w:csb1="00000000"/>
    <w:embedRegular r:id="rId9" w:fontKey="{514F2BB0-D30A-4C22-955C-42DEDFC46B6C}"/>
  </w:font>
  <w:font w:name="创艺简标宋">
    <w:panose1 w:val="00000000000000000000"/>
    <w:charset w:val="86"/>
    <w:family w:val="auto"/>
    <w:pitch w:val="default"/>
    <w:sig w:usb0="00000000" w:usb1="00000000" w:usb2="00000000" w:usb3="00000000" w:csb0="00000000" w:csb1="00000000"/>
    <w:embedRegular r:id="rId10" w:fontKey="{A4D91742-ED35-446E-A5F9-BD08BDCCF25F}"/>
  </w:font>
  <w:font w:name="Segoe UI Symbol">
    <w:panose1 w:val="020B0502040204020203"/>
    <w:charset w:val="00"/>
    <w:family w:val="swiss"/>
    <w:pitch w:val="default"/>
    <w:sig w:usb0="800001E3" w:usb1="1200FFEF" w:usb2="00040000" w:usb3="04000000" w:csb0="00000001" w:csb1="40000000"/>
    <w:embedRegular r:id="rId11" w:fontKey="{7548FD89-FBD3-4067-B9B8-06958AAB4E71}"/>
  </w:font>
  <w:font w:name="华文细黑">
    <w:panose1 w:val="02010600040101010101"/>
    <w:charset w:val="86"/>
    <w:family w:val="auto"/>
    <w:pitch w:val="default"/>
    <w:sig w:usb0="00000287" w:usb1="080F0000" w:usb2="00000000" w:usb3="00000000" w:csb0="0004009F" w:csb1="DFD70000"/>
    <w:embedRegular r:id="rId12" w:fontKey="{1C5B28BD-1BA4-4886-8ABA-4F4EE3C96981}"/>
  </w:font>
  <w:font w:name="方正小标宋简体">
    <w:panose1 w:val="03000509000000000000"/>
    <w:charset w:val="86"/>
    <w:family w:val="script"/>
    <w:pitch w:val="default"/>
    <w:sig w:usb0="00000001" w:usb1="080E0000" w:usb2="00000000" w:usb3="00000000" w:csb0="00040000" w:csb1="00000000"/>
    <w:embedRegular r:id="rId13" w:fontKey="{75FF1BBB-CEBF-47DE-AE24-B8008CE085A1}"/>
  </w:font>
  <w:font w:name="楷体">
    <w:panose1 w:val="02010609060101010101"/>
    <w:charset w:val="86"/>
    <w:family w:val="modern"/>
    <w:pitch w:val="default"/>
    <w:sig w:usb0="800002BF" w:usb1="38CF7CFA" w:usb2="00000016" w:usb3="00000000" w:csb0="00040001" w:csb1="00000000"/>
    <w:embedRegular r:id="rId14" w:fontKey="{051BFEA4-C630-40F2-9878-CF0B666033BB}"/>
  </w:font>
  <w:font w:name="楷体_GB2312">
    <w:panose1 w:val="02010609030101010101"/>
    <w:charset w:val="86"/>
    <w:family w:val="swiss"/>
    <w:pitch w:val="default"/>
    <w:sig w:usb0="00000001" w:usb1="080E0000" w:usb2="00000000" w:usb3="00000000" w:csb0="00040000" w:csb1="00000000"/>
    <w:embedRegular r:id="rId15" w:fontKey="{45E57AB3-B00A-45B3-8E73-BCEE83B9579D}"/>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EBBD8">
    <w:pPr>
      <w:pStyle w:val="2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A2C9C7">
                          <w:pPr>
                            <w:pStyle w:val="2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4A2C9C7">
                    <w:pPr>
                      <w:pStyle w:val="2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96</w:t>
                    </w:r>
                    <w:r>
                      <w:fldChar w:fldCharType="end"/>
                    </w:r>
                    <w:r>
                      <w:t xml:space="preserve"> 页</w:t>
                    </w:r>
                  </w:p>
                </w:txbxContent>
              </v:textbox>
            </v:shape>
          </w:pict>
        </mc:Fallback>
      </mc:AlternateContent>
    </w:r>
  </w:p>
  <w:p w14:paraId="3C631457">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2E27A">
    <w:pPr>
      <w:pStyle w:val="2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0DA4A">
                          <w:pPr>
                            <w:pStyle w:val="23"/>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96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1F0DA4A">
                    <w:pPr>
                      <w:pStyle w:val="23"/>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96</w:t>
                    </w:r>
                    <w:r>
                      <w:fldChar w:fldCharType="end"/>
                    </w:r>
                    <w:r>
                      <w:t xml:space="preserve"> 页</w:t>
                    </w:r>
                  </w:p>
                </w:txbxContent>
              </v:textbox>
            </v:shape>
          </w:pict>
        </mc:Fallback>
      </mc:AlternateContent>
    </w:r>
  </w:p>
  <w:p w14:paraId="3A2419F4">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915D2">
    <w:pPr>
      <w:pStyle w:val="23"/>
      <w:jc w:val="center"/>
    </w:pPr>
    <w:r>
      <w:fldChar w:fldCharType="begin"/>
    </w:r>
    <w:r>
      <w:instrText xml:space="preserve"> PAGE   \* MERGEFORMAT </w:instrText>
    </w:r>
    <w:r>
      <w:fldChar w:fldCharType="separate"/>
    </w:r>
    <w:r>
      <w:rPr>
        <w:lang w:val="zh-CN"/>
      </w:rPr>
      <w:t>22</w:t>
    </w:r>
    <w:r>
      <w:rPr>
        <w:lang w:val="zh-CN"/>
      </w:rPr>
      <w:fldChar w:fldCharType="end"/>
    </w:r>
  </w:p>
  <w:p w14:paraId="73E087D4">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844725"/>
    </w:sdtPr>
    <w:sdtContent>
      <w:p w14:paraId="67FE0C65">
        <w:pPr>
          <w:pStyle w:val="23"/>
          <w:jc w:val="center"/>
        </w:pPr>
        <w:r>
          <w:fldChar w:fldCharType="begin"/>
        </w:r>
        <w:r>
          <w:instrText xml:space="preserve"> PAGE   \* MERGEFORMAT </w:instrText>
        </w:r>
        <w:r>
          <w:fldChar w:fldCharType="separate"/>
        </w:r>
        <w:r>
          <w:rPr>
            <w:lang w:val="zh-CN"/>
          </w:rPr>
          <w:t>66</w:t>
        </w:r>
        <w:r>
          <w:rPr>
            <w:lang w:val="zh-CN"/>
          </w:rPr>
          <w:fldChar w:fldCharType="end"/>
        </w:r>
      </w:p>
    </w:sdtContent>
  </w:sdt>
  <w:p w14:paraId="47F0D361">
    <w:pPr>
      <w:pStyle w:val="2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00A73">
    <w:pPr>
      <w:pStyle w:val="2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AF8E0D">
                          <w:pPr>
                            <w:pStyle w:val="23"/>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8AF8E0D">
                    <w:pPr>
                      <w:pStyle w:val="23"/>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18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C874F">
    <w:pPr>
      <w:pStyle w:val="24"/>
      <w:pBdr>
        <w:bottom w:val="none" w:color="auto" w:sz="0" w:space="0"/>
      </w:pBdr>
      <w:jc w:val="right"/>
      <w:rPr>
        <w:rFonts w:ascii="仿宋_GB2312" w:hAnsi="仿宋_GB2312" w:eastAsia="仿宋_GB2312" w:cs="仿宋_GB2312"/>
        <w:sz w:val="21"/>
        <w:szCs w:val="21"/>
      </w:rPr>
    </w:pPr>
    <w: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3014345"/>
          <wp:effectExtent l="605155" t="0" r="571500" b="0"/>
          <wp:wrapNone/>
          <wp:docPr id="7" name="WordPictureWatermark33227" descr="亚太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33227" descr="亚太logo"/>
                  <pic:cNvPicPr>
                    <a:picLocks noChangeAspect="1"/>
                  </pic:cNvPicPr>
                </pic:nvPicPr>
                <pic:blipFill>
                  <a:blip r:embed="rId1">
                    <a:lum bright="69998" contrast="-70001"/>
                  </a:blip>
                  <a:stretch>
                    <a:fillRect/>
                  </a:stretch>
                </pic:blipFill>
                <pic:spPr>
                  <a:xfrm rot="-2700000">
                    <a:off x="0" y="0"/>
                    <a:ext cx="5274310" cy="3014345"/>
                  </a:xfrm>
                  <a:prstGeom prst="rect">
                    <a:avLst/>
                  </a:prstGeom>
                  <a:noFill/>
                  <a:ln>
                    <a:noFill/>
                  </a:ln>
                </pic:spPr>
              </pic:pic>
            </a:graphicData>
          </a:graphic>
        </wp:anchor>
      </w:drawing>
    </w:r>
    <w:r>
      <w:rPr>
        <w:rFonts w:hint="eastAsia" w:ascii="仿宋_GB2312" w:hAnsi="仿宋_GB2312" w:eastAsia="仿宋_GB2312" w:cs="仿宋_GB2312"/>
        <w:sz w:val="21"/>
        <w:szCs w:val="21"/>
      </w:rPr>
      <w:t>深圳第一亚太物业管理有限公司物业费、能耗费等</w:t>
    </w:r>
    <w:r>
      <w:rPr>
        <w:rFonts w:hint="eastAsia" w:ascii="Calibri" w:hAnsi="Calibri" w:eastAsia="仿宋_GB2312" w:cs="Calibri"/>
        <w:sz w:val="21"/>
        <w:szCs w:val="21"/>
      </w:rPr>
      <w:t>费用</w:t>
    </w:r>
    <w:r>
      <w:rPr>
        <w:rFonts w:hint="eastAsia" w:ascii="仿宋_GB2312" w:hAnsi="仿宋_GB2312" w:eastAsia="仿宋_GB2312" w:cs="仿宋_GB2312"/>
        <w:sz w:val="21"/>
        <w:szCs w:val="21"/>
      </w:rPr>
      <w:t>追缴诉讼服务招标文件</w:t>
    </w:r>
  </w:p>
  <w:p w14:paraId="2F217EE2">
    <w:pPr>
      <w:pStyle w:val="24"/>
      <w:pBdr>
        <w:bottom w:val="none" w:color="auto" w:sz="0" w:space="0"/>
      </w:pBdr>
      <w:jc w:val="right"/>
    </w:pPr>
    <w: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3014345"/>
          <wp:effectExtent l="605155" t="0" r="571500" b="0"/>
          <wp:wrapNone/>
          <wp:docPr id="1" name="WordPictureWatermark33227" descr="亚太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3227" descr="亚太logo"/>
                  <pic:cNvPicPr>
                    <a:picLocks noChangeAspect="1"/>
                  </pic:cNvPicPr>
                </pic:nvPicPr>
                <pic:blipFill>
                  <a:blip r:embed="rId1">
                    <a:lum bright="69998" contrast="-70001"/>
                  </a:blip>
                  <a:stretch>
                    <a:fillRect/>
                  </a:stretch>
                </pic:blipFill>
                <pic:spPr>
                  <a:xfrm rot="-2700000">
                    <a:off x="0" y="0"/>
                    <a:ext cx="5274310" cy="301434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AB70E">
    <w:pPr>
      <w:pStyle w:val="24"/>
      <w:pBdr>
        <w:bottom w:val="none" w:color="auto" w:sz="0" w:space="0"/>
      </w:pBdr>
      <w:jc w:val="right"/>
      <w:rPr>
        <w:rFonts w:ascii="仿宋_GB2312" w:hAnsi="仿宋_GB2312" w:eastAsia="仿宋_GB2312" w:cs="仿宋_GB2312"/>
        <w:sz w:val="21"/>
        <w:szCs w:val="21"/>
      </w:rPr>
    </w:pPr>
    <w: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3014345"/>
          <wp:effectExtent l="605155" t="0" r="571500" b="0"/>
          <wp:wrapNone/>
          <wp:docPr id="2" name="WordPictureWatermark33227" descr="亚太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3227" descr="亚太logo"/>
                  <pic:cNvPicPr>
                    <a:picLocks noChangeAspect="1"/>
                  </pic:cNvPicPr>
                </pic:nvPicPr>
                <pic:blipFill>
                  <a:blip r:embed="rId1">
                    <a:lum bright="69998" contrast="-70001"/>
                  </a:blip>
                  <a:stretch>
                    <a:fillRect/>
                  </a:stretch>
                </pic:blipFill>
                <pic:spPr>
                  <a:xfrm rot="-2700000">
                    <a:off x="0" y="0"/>
                    <a:ext cx="5274310" cy="3014345"/>
                  </a:xfrm>
                  <a:prstGeom prst="rect">
                    <a:avLst/>
                  </a:prstGeom>
                  <a:noFill/>
                  <a:ln>
                    <a:noFill/>
                  </a:ln>
                </pic:spPr>
              </pic:pic>
            </a:graphicData>
          </a:graphic>
        </wp:anchor>
      </w:drawing>
    </w:r>
    <w:r>
      <w:rPr>
        <w:rFonts w:hint="eastAsia" w:ascii="仿宋_GB2312" w:hAnsi="仿宋_GB2312" w:eastAsia="仿宋_GB2312" w:cs="仿宋_GB2312"/>
        <w:sz w:val="21"/>
        <w:szCs w:val="21"/>
      </w:rPr>
      <w:t>深圳第一亚太物业管理有限公司</w:t>
    </w:r>
    <w:bookmarkStart w:id="123" w:name="OLE_LINK14"/>
    <w:bookmarkStart w:id="124" w:name="OLE_LINK7"/>
    <w:r>
      <w:rPr>
        <w:rFonts w:hint="eastAsia" w:ascii="仿宋_GB2312" w:hAnsi="仿宋_GB2312" w:eastAsia="仿宋_GB2312" w:cs="仿宋_GB2312"/>
        <w:sz w:val="21"/>
        <w:szCs w:val="21"/>
      </w:rPr>
      <w:t>物业费、能耗费等</w:t>
    </w:r>
    <w:r>
      <w:rPr>
        <w:rFonts w:hint="eastAsia" w:ascii="Calibri" w:hAnsi="Calibri" w:eastAsia="仿宋_GB2312" w:cs="Calibri"/>
        <w:sz w:val="21"/>
        <w:szCs w:val="21"/>
      </w:rPr>
      <w:t>费用</w:t>
    </w:r>
    <w:r>
      <w:rPr>
        <w:rFonts w:hint="eastAsia" w:ascii="仿宋_GB2312" w:hAnsi="仿宋_GB2312" w:eastAsia="仿宋_GB2312" w:cs="仿宋_GB2312"/>
        <w:sz w:val="21"/>
        <w:szCs w:val="21"/>
      </w:rPr>
      <w:t>追缴诉讼服务</w:t>
    </w:r>
    <w:bookmarkEnd w:id="123"/>
    <w:bookmarkEnd w:id="124"/>
    <w:r>
      <w:rPr>
        <w:rFonts w:hint="eastAsia" w:ascii="仿宋_GB2312" w:hAnsi="仿宋_GB2312" w:eastAsia="仿宋_GB2312" w:cs="仿宋_GB2312"/>
        <w:sz w:val="21"/>
        <w:szCs w:val="21"/>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9C13B">
    <w:pPr>
      <w:pStyle w:val="24"/>
      <w:pBdr>
        <w:bottom w:val="none" w:color="auto" w:sz="0" w:space="0"/>
      </w:pBdr>
    </w:pPr>
    <w: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3014345"/>
          <wp:effectExtent l="605155" t="0" r="571500" b="0"/>
          <wp:wrapNone/>
          <wp:docPr id="11" name="WordPictureWatermark33227" descr="亚太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33227" descr="亚太logo"/>
                  <pic:cNvPicPr>
                    <a:picLocks noChangeAspect="1"/>
                  </pic:cNvPicPr>
                </pic:nvPicPr>
                <pic:blipFill>
                  <a:blip r:embed="rId1">
                    <a:lum bright="69998" contrast="-70001"/>
                  </a:blip>
                  <a:stretch>
                    <a:fillRect/>
                  </a:stretch>
                </pic:blipFill>
                <pic:spPr>
                  <a:xfrm rot="-2700000">
                    <a:off x="0" y="0"/>
                    <a:ext cx="5274310" cy="3014345"/>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A3D22">
    <w:pPr>
      <w:pStyle w:val="2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C19E0">
    <w:pPr>
      <w:pStyle w:val="24"/>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D2A1E">
    <w:pPr>
      <w:pStyle w:val="24"/>
    </w:pP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1772920"/>
          <wp:effectExtent l="1452880" t="0" r="1593850" b="0"/>
          <wp:wrapNone/>
          <wp:docPr id="8" name="WordPictureWatermark30358" descr="第一亚太logo1--小边 - 压缩画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30358" descr="第一亚太logo1--小边 - 压缩画质"/>
                  <pic:cNvPicPr>
                    <a:picLocks noChangeAspect="1"/>
                  </pic:cNvPicPr>
                </pic:nvPicPr>
                <pic:blipFill>
                  <a:blip r:embed="rId1">
                    <a:lum bright="69998" contrast="-70001"/>
                  </a:blip>
                  <a:stretch>
                    <a:fillRect/>
                  </a:stretch>
                </pic:blipFill>
                <pic:spPr>
                  <a:xfrm rot="-2700000">
                    <a:off x="0" y="0"/>
                    <a:ext cx="5274310" cy="1772920"/>
                  </a:xfrm>
                  <a:prstGeom prst="rect">
                    <a:avLst/>
                  </a:prstGeom>
                  <a:noFill/>
                  <a:ln>
                    <a:noFill/>
                  </a:ln>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6315F">
    <w:pPr>
      <w:pStyle w:val="24"/>
      <w:pBdr>
        <w:bottom w:val="none" w:color="auto" w:sz="0" w:space="0"/>
      </w:pBdr>
    </w:pPr>
    <w: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5274310" cy="3014345"/>
          <wp:effectExtent l="605155" t="0" r="571500" b="0"/>
          <wp:wrapNone/>
          <wp:docPr id="6" name="WordPictureWatermark33227" descr="亚太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33227" descr="亚太logo"/>
                  <pic:cNvPicPr>
                    <a:picLocks noChangeAspect="1"/>
                  </pic:cNvPicPr>
                </pic:nvPicPr>
                <pic:blipFill>
                  <a:blip r:embed="rId1">
                    <a:lum bright="69998" contrast="-70001"/>
                  </a:blip>
                  <a:stretch>
                    <a:fillRect/>
                  </a:stretch>
                </pic:blipFill>
                <pic:spPr>
                  <a:xfrm rot="-2700000">
                    <a:off x="0" y="0"/>
                    <a:ext cx="5274310" cy="30143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D8CFF5"/>
    <w:multiLevelType w:val="singleLevel"/>
    <w:tmpl w:val="A0D8CFF5"/>
    <w:lvl w:ilvl="0" w:tentative="0">
      <w:start w:val="1"/>
      <w:numFmt w:val="chineseCounting"/>
      <w:suff w:val="nothing"/>
      <w:lvlText w:val="（%1）"/>
      <w:lvlJc w:val="left"/>
      <w:rPr>
        <w:rFonts w:hint="eastAsia"/>
      </w:rPr>
    </w:lvl>
  </w:abstractNum>
  <w:abstractNum w:abstractNumId="1">
    <w:nsid w:val="A4557F3F"/>
    <w:multiLevelType w:val="singleLevel"/>
    <w:tmpl w:val="A4557F3F"/>
    <w:lvl w:ilvl="0" w:tentative="0">
      <w:start w:val="1"/>
      <w:numFmt w:val="chineseCounting"/>
      <w:lvlText w:val="(%1)"/>
      <w:lvlJc w:val="left"/>
      <w:pPr>
        <w:tabs>
          <w:tab w:val="left" w:pos="312"/>
        </w:tabs>
      </w:pPr>
      <w:rPr>
        <w:rFonts w:hint="eastAsia"/>
      </w:rPr>
    </w:lvl>
  </w:abstractNum>
  <w:abstractNum w:abstractNumId="2">
    <w:nsid w:val="E9AA1CCC"/>
    <w:multiLevelType w:val="singleLevel"/>
    <w:tmpl w:val="E9AA1CCC"/>
    <w:lvl w:ilvl="0" w:tentative="0">
      <w:start w:val="1"/>
      <w:numFmt w:val="decimal"/>
      <w:suff w:val="space"/>
      <w:lvlText w:val="%1."/>
      <w:lvlJc w:val="left"/>
    </w:lvl>
  </w:abstractNum>
  <w:abstractNum w:abstractNumId="3">
    <w:nsid w:val="ECC4527A"/>
    <w:multiLevelType w:val="singleLevel"/>
    <w:tmpl w:val="ECC4527A"/>
    <w:lvl w:ilvl="0" w:tentative="0">
      <w:start w:val="1"/>
      <w:numFmt w:val="decimal"/>
      <w:suff w:val="nothing"/>
      <w:lvlText w:val="（%1）"/>
      <w:lvlJc w:val="left"/>
    </w:lvl>
  </w:abstractNum>
  <w:abstractNum w:abstractNumId="4">
    <w:nsid w:val="066F17F0"/>
    <w:multiLevelType w:val="singleLevel"/>
    <w:tmpl w:val="066F17F0"/>
    <w:lvl w:ilvl="0" w:tentative="0">
      <w:start w:val="1"/>
      <w:numFmt w:val="decimal"/>
      <w:suff w:val="space"/>
      <w:lvlText w:val="%1."/>
      <w:lvlJc w:val="left"/>
    </w:lvl>
  </w:abstractNum>
  <w:abstractNum w:abstractNumId="5">
    <w:nsid w:val="2F5A1EA0"/>
    <w:multiLevelType w:val="singleLevel"/>
    <w:tmpl w:val="2F5A1EA0"/>
    <w:lvl w:ilvl="0" w:tentative="0">
      <w:start w:val="4"/>
      <w:numFmt w:val="decimal"/>
      <w:suff w:val="nothing"/>
      <w:lvlText w:val="（%1）"/>
      <w:lvlJc w:val="left"/>
    </w:lvl>
  </w:abstractNum>
  <w:abstractNum w:abstractNumId="6">
    <w:nsid w:val="324D3B49"/>
    <w:multiLevelType w:val="singleLevel"/>
    <w:tmpl w:val="324D3B49"/>
    <w:lvl w:ilvl="0" w:tentative="0">
      <w:start w:val="1"/>
      <w:numFmt w:val="decimal"/>
      <w:lvlText w:val="%1."/>
      <w:lvlJc w:val="left"/>
      <w:pPr>
        <w:tabs>
          <w:tab w:val="left" w:pos="312"/>
        </w:tabs>
      </w:pPr>
    </w:lvl>
  </w:abstractNum>
  <w:abstractNum w:abstractNumId="7">
    <w:nsid w:val="517D409A"/>
    <w:multiLevelType w:val="singleLevel"/>
    <w:tmpl w:val="517D409A"/>
    <w:lvl w:ilvl="0" w:tentative="0">
      <w:start w:val="1"/>
      <w:numFmt w:val="decimal"/>
      <w:lvlText w:val="%1."/>
      <w:lvlJc w:val="left"/>
      <w:pPr>
        <w:tabs>
          <w:tab w:val="left" w:pos="312"/>
        </w:tabs>
      </w:pPr>
    </w:lvl>
  </w:abstractNum>
  <w:abstractNum w:abstractNumId="8">
    <w:nsid w:val="53759B48"/>
    <w:multiLevelType w:val="singleLevel"/>
    <w:tmpl w:val="53759B48"/>
    <w:lvl w:ilvl="0" w:tentative="0">
      <w:start w:val="1"/>
      <w:numFmt w:val="chineseCounting"/>
      <w:suff w:val="nothing"/>
      <w:lvlText w:val="%1、"/>
      <w:lvlJc w:val="left"/>
      <w:rPr>
        <w:rFonts w:hint="eastAsia"/>
      </w:rPr>
    </w:lvl>
  </w:abstractNum>
  <w:abstractNum w:abstractNumId="9">
    <w:nsid w:val="5DBA5EE3"/>
    <w:multiLevelType w:val="singleLevel"/>
    <w:tmpl w:val="5DBA5EE3"/>
    <w:lvl w:ilvl="0" w:tentative="0">
      <w:start w:val="4"/>
      <w:numFmt w:val="chineseCounting"/>
      <w:suff w:val="nothing"/>
      <w:lvlText w:val="（%1）"/>
      <w:lvlJc w:val="left"/>
      <w:rPr>
        <w:rFonts w:hint="eastAsia"/>
      </w:rPr>
    </w:lvl>
  </w:abstractNum>
  <w:num w:numId="1">
    <w:abstractNumId w:val="0"/>
  </w:num>
  <w:num w:numId="2">
    <w:abstractNumId w:val="1"/>
  </w:num>
  <w:num w:numId="3">
    <w:abstractNumId w:val="8"/>
  </w:num>
  <w:num w:numId="4">
    <w:abstractNumId w:val="2"/>
  </w:num>
  <w:num w:numId="5">
    <w:abstractNumId w:val="7"/>
  </w:num>
  <w:num w:numId="6">
    <w:abstractNumId w:val="6"/>
  </w:num>
  <w:num w:numId="7">
    <w:abstractNumId w:val="4"/>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HorizontalSpacing w:val="105"/>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JkMjhkMGYxYzA1OGY3N2EzZmJmODFlY2U5NmVlYTUifQ=="/>
  </w:docVars>
  <w:rsids>
    <w:rsidRoot w:val="002E44B7"/>
    <w:rsid w:val="00002492"/>
    <w:rsid w:val="000061B0"/>
    <w:rsid w:val="000106D5"/>
    <w:rsid w:val="000107F9"/>
    <w:rsid w:val="0001185C"/>
    <w:rsid w:val="000118AA"/>
    <w:rsid w:val="00011DCC"/>
    <w:rsid w:val="00013467"/>
    <w:rsid w:val="000147CF"/>
    <w:rsid w:val="00015EFD"/>
    <w:rsid w:val="0001650E"/>
    <w:rsid w:val="0001772D"/>
    <w:rsid w:val="00017E55"/>
    <w:rsid w:val="00017E83"/>
    <w:rsid w:val="00020EB0"/>
    <w:rsid w:val="000254CF"/>
    <w:rsid w:val="00026FC2"/>
    <w:rsid w:val="00027325"/>
    <w:rsid w:val="000274D5"/>
    <w:rsid w:val="00027F85"/>
    <w:rsid w:val="00031EA1"/>
    <w:rsid w:val="000329B3"/>
    <w:rsid w:val="0003500C"/>
    <w:rsid w:val="0003526A"/>
    <w:rsid w:val="00035742"/>
    <w:rsid w:val="000358EC"/>
    <w:rsid w:val="00036997"/>
    <w:rsid w:val="00036E9D"/>
    <w:rsid w:val="00040DA2"/>
    <w:rsid w:val="00043BDA"/>
    <w:rsid w:val="00043F72"/>
    <w:rsid w:val="00044967"/>
    <w:rsid w:val="00045233"/>
    <w:rsid w:val="00045894"/>
    <w:rsid w:val="00046218"/>
    <w:rsid w:val="00047E7C"/>
    <w:rsid w:val="00052801"/>
    <w:rsid w:val="0006072F"/>
    <w:rsid w:val="00061161"/>
    <w:rsid w:val="00061687"/>
    <w:rsid w:val="000628E1"/>
    <w:rsid w:val="00062E57"/>
    <w:rsid w:val="000635D3"/>
    <w:rsid w:val="00064201"/>
    <w:rsid w:val="000645DE"/>
    <w:rsid w:val="00065CCF"/>
    <w:rsid w:val="00066C32"/>
    <w:rsid w:val="00070612"/>
    <w:rsid w:val="0007480F"/>
    <w:rsid w:val="000765AC"/>
    <w:rsid w:val="000766D8"/>
    <w:rsid w:val="00077474"/>
    <w:rsid w:val="00081050"/>
    <w:rsid w:val="00081DB0"/>
    <w:rsid w:val="0009163A"/>
    <w:rsid w:val="00091693"/>
    <w:rsid w:val="00091D90"/>
    <w:rsid w:val="00093B49"/>
    <w:rsid w:val="000944AD"/>
    <w:rsid w:val="000957E5"/>
    <w:rsid w:val="00096641"/>
    <w:rsid w:val="00096A78"/>
    <w:rsid w:val="000A3383"/>
    <w:rsid w:val="000A4808"/>
    <w:rsid w:val="000A568E"/>
    <w:rsid w:val="000A6155"/>
    <w:rsid w:val="000B2056"/>
    <w:rsid w:val="000B22D2"/>
    <w:rsid w:val="000B536B"/>
    <w:rsid w:val="000B5524"/>
    <w:rsid w:val="000B7F30"/>
    <w:rsid w:val="000B7F92"/>
    <w:rsid w:val="000C1DCA"/>
    <w:rsid w:val="000C2F4D"/>
    <w:rsid w:val="000C3554"/>
    <w:rsid w:val="000C38BA"/>
    <w:rsid w:val="000C6037"/>
    <w:rsid w:val="000D2928"/>
    <w:rsid w:val="000D33C6"/>
    <w:rsid w:val="000D3446"/>
    <w:rsid w:val="000D4F89"/>
    <w:rsid w:val="000D5533"/>
    <w:rsid w:val="000D64EF"/>
    <w:rsid w:val="000D79D5"/>
    <w:rsid w:val="000D7F64"/>
    <w:rsid w:val="000E2B3A"/>
    <w:rsid w:val="000E30D5"/>
    <w:rsid w:val="000E3CB9"/>
    <w:rsid w:val="000E7D39"/>
    <w:rsid w:val="000F06A4"/>
    <w:rsid w:val="000F07CF"/>
    <w:rsid w:val="000F1105"/>
    <w:rsid w:val="000F21D4"/>
    <w:rsid w:val="000F2DA6"/>
    <w:rsid w:val="000F2EA8"/>
    <w:rsid w:val="000F4033"/>
    <w:rsid w:val="000F489A"/>
    <w:rsid w:val="000F7C92"/>
    <w:rsid w:val="00100C2C"/>
    <w:rsid w:val="00101629"/>
    <w:rsid w:val="00102265"/>
    <w:rsid w:val="00102F68"/>
    <w:rsid w:val="00104D1D"/>
    <w:rsid w:val="001065D2"/>
    <w:rsid w:val="00107270"/>
    <w:rsid w:val="00107397"/>
    <w:rsid w:val="00110217"/>
    <w:rsid w:val="001104DE"/>
    <w:rsid w:val="00112244"/>
    <w:rsid w:val="00114E8E"/>
    <w:rsid w:val="00114F60"/>
    <w:rsid w:val="001158BA"/>
    <w:rsid w:val="001160EC"/>
    <w:rsid w:val="001166BE"/>
    <w:rsid w:val="00116B0A"/>
    <w:rsid w:val="00120BD8"/>
    <w:rsid w:val="0012455E"/>
    <w:rsid w:val="00124583"/>
    <w:rsid w:val="001245E6"/>
    <w:rsid w:val="00125A70"/>
    <w:rsid w:val="00127007"/>
    <w:rsid w:val="0013231B"/>
    <w:rsid w:val="00133279"/>
    <w:rsid w:val="001339A5"/>
    <w:rsid w:val="00134698"/>
    <w:rsid w:val="0013518D"/>
    <w:rsid w:val="0014050A"/>
    <w:rsid w:val="00142348"/>
    <w:rsid w:val="001444D8"/>
    <w:rsid w:val="001451D1"/>
    <w:rsid w:val="00145CDD"/>
    <w:rsid w:val="00146A3D"/>
    <w:rsid w:val="00150554"/>
    <w:rsid w:val="00150779"/>
    <w:rsid w:val="001508B2"/>
    <w:rsid w:val="0015106F"/>
    <w:rsid w:val="001516CC"/>
    <w:rsid w:val="00152E41"/>
    <w:rsid w:val="00152FEB"/>
    <w:rsid w:val="00154856"/>
    <w:rsid w:val="00154F28"/>
    <w:rsid w:val="00155A90"/>
    <w:rsid w:val="00155DDD"/>
    <w:rsid w:val="00156655"/>
    <w:rsid w:val="001577E7"/>
    <w:rsid w:val="00157F3B"/>
    <w:rsid w:val="00160800"/>
    <w:rsid w:val="0016189C"/>
    <w:rsid w:val="001630B6"/>
    <w:rsid w:val="001633E4"/>
    <w:rsid w:val="001635A5"/>
    <w:rsid w:val="001657D9"/>
    <w:rsid w:val="0016587B"/>
    <w:rsid w:val="0016622C"/>
    <w:rsid w:val="00166647"/>
    <w:rsid w:val="00166824"/>
    <w:rsid w:val="00166887"/>
    <w:rsid w:val="00167785"/>
    <w:rsid w:val="0017030B"/>
    <w:rsid w:val="00171909"/>
    <w:rsid w:val="001719E7"/>
    <w:rsid w:val="00174B16"/>
    <w:rsid w:val="00176D91"/>
    <w:rsid w:val="00177E39"/>
    <w:rsid w:val="00180C6B"/>
    <w:rsid w:val="00181087"/>
    <w:rsid w:val="00181FD9"/>
    <w:rsid w:val="00184695"/>
    <w:rsid w:val="00184981"/>
    <w:rsid w:val="00185DD2"/>
    <w:rsid w:val="00186618"/>
    <w:rsid w:val="00186A69"/>
    <w:rsid w:val="00192B21"/>
    <w:rsid w:val="0019424C"/>
    <w:rsid w:val="0019431D"/>
    <w:rsid w:val="00196A8B"/>
    <w:rsid w:val="001A0DA0"/>
    <w:rsid w:val="001A47C4"/>
    <w:rsid w:val="001A5D2B"/>
    <w:rsid w:val="001A626F"/>
    <w:rsid w:val="001B25CB"/>
    <w:rsid w:val="001B26EA"/>
    <w:rsid w:val="001B2A1B"/>
    <w:rsid w:val="001B3624"/>
    <w:rsid w:val="001B3A13"/>
    <w:rsid w:val="001B4910"/>
    <w:rsid w:val="001B4BD9"/>
    <w:rsid w:val="001B5963"/>
    <w:rsid w:val="001C006F"/>
    <w:rsid w:val="001C07CA"/>
    <w:rsid w:val="001C30E2"/>
    <w:rsid w:val="001C3489"/>
    <w:rsid w:val="001C4F55"/>
    <w:rsid w:val="001C59E1"/>
    <w:rsid w:val="001C5AAF"/>
    <w:rsid w:val="001C60F4"/>
    <w:rsid w:val="001C7861"/>
    <w:rsid w:val="001D1583"/>
    <w:rsid w:val="001D3433"/>
    <w:rsid w:val="001D5C0A"/>
    <w:rsid w:val="001D5E48"/>
    <w:rsid w:val="001D64E9"/>
    <w:rsid w:val="001D6B7F"/>
    <w:rsid w:val="001E1774"/>
    <w:rsid w:val="001E38D8"/>
    <w:rsid w:val="001E4DA5"/>
    <w:rsid w:val="001E6629"/>
    <w:rsid w:val="001E67DC"/>
    <w:rsid w:val="001E786D"/>
    <w:rsid w:val="001E7DB4"/>
    <w:rsid w:val="001E7F8E"/>
    <w:rsid w:val="001F1C11"/>
    <w:rsid w:val="001F485A"/>
    <w:rsid w:val="001F5965"/>
    <w:rsid w:val="001F7CF7"/>
    <w:rsid w:val="002016BE"/>
    <w:rsid w:val="00202736"/>
    <w:rsid w:val="00203D46"/>
    <w:rsid w:val="0020402F"/>
    <w:rsid w:val="00207ADE"/>
    <w:rsid w:val="00207EFC"/>
    <w:rsid w:val="00211CD2"/>
    <w:rsid w:val="002125C7"/>
    <w:rsid w:val="00214191"/>
    <w:rsid w:val="00214702"/>
    <w:rsid w:val="00214709"/>
    <w:rsid w:val="00214AC0"/>
    <w:rsid w:val="00215A21"/>
    <w:rsid w:val="00216281"/>
    <w:rsid w:val="00216B9A"/>
    <w:rsid w:val="00216BA4"/>
    <w:rsid w:val="00216F2D"/>
    <w:rsid w:val="00216F6F"/>
    <w:rsid w:val="0022161D"/>
    <w:rsid w:val="0022231B"/>
    <w:rsid w:val="00222AC7"/>
    <w:rsid w:val="00225987"/>
    <w:rsid w:val="00225D35"/>
    <w:rsid w:val="00226550"/>
    <w:rsid w:val="00227D13"/>
    <w:rsid w:val="0023014D"/>
    <w:rsid w:val="002301F7"/>
    <w:rsid w:val="00232AF4"/>
    <w:rsid w:val="002337DE"/>
    <w:rsid w:val="00234E6D"/>
    <w:rsid w:val="00235A7F"/>
    <w:rsid w:val="0023728C"/>
    <w:rsid w:val="002411E8"/>
    <w:rsid w:val="00242224"/>
    <w:rsid w:val="00243FB6"/>
    <w:rsid w:val="0024427D"/>
    <w:rsid w:val="00244B93"/>
    <w:rsid w:val="00245A7B"/>
    <w:rsid w:val="002475E5"/>
    <w:rsid w:val="00247A9C"/>
    <w:rsid w:val="00250BBA"/>
    <w:rsid w:val="00251B98"/>
    <w:rsid w:val="0025391A"/>
    <w:rsid w:val="00254C27"/>
    <w:rsid w:val="00254C64"/>
    <w:rsid w:val="002558CA"/>
    <w:rsid w:val="00255C4C"/>
    <w:rsid w:val="002622AE"/>
    <w:rsid w:val="002632B2"/>
    <w:rsid w:val="0026404B"/>
    <w:rsid w:val="0026422A"/>
    <w:rsid w:val="002669C6"/>
    <w:rsid w:val="00266E44"/>
    <w:rsid w:val="00270137"/>
    <w:rsid w:val="00270B3F"/>
    <w:rsid w:val="00270DF2"/>
    <w:rsid w:val="002724F9"/>
    <w:rsid w:val="0027375E"/>
    <w:rsid w:val="002737C5"/>
    <w:rsid w:val="00273C13"/>
    <w:rsid w:val="00273D8D"/>
    <w:rsid w:val="00274C9E"/>
    <w:rsid w:val="002753FB"/>
    <w:rsid w:val="00275DA7"/>
    <w:rsid w:val="00276D29"/>
    <w:rsid w:val="002826C7"/>
    <w:rsid w:val="002828D5"/>
    <w:rsid w:val="0028349A"/>
    <w:rsid w:val="00284704"/>
    <w:rsid w:val="0028544F"/>
    <w:rsid w:val="002857A1"/>
    <w:rsid w:val="00285FD4"/>
    <w:rsid w:val="002868F9"/>
    <w:rsid w:val="00287B93"/>
    <w:rsid w:val="00291DCE"/>
    <w:rsid w:val="00295012"/>
    <w:rsid w:val="00295A72"/>
    <w:rsid w:val="00295B49"/>
    <w:rsid w:val="00296850"/>
    <w:rsid w:val="00297BD8"/>
    <w:rsid w:val="002A0207"/>
    <w:rsid w:val="002A09CD"/>
    <w:rsid w:val="002A0DCF"/>
    <w:rsid w:val="002A2EF0"/>
    <w:rsid w:val="002A32E2"/>
    <w:rsid w:val="002A4AC7"/>
    <w:rsid w:val="002A70DD"/>
    <w:rsid w:val="002A75BA"/>
    <w:rsid w:val="002A766F"/>
    <w:rsid w:val="002A7936"/>
    <w:rsid w:val="002A7D2B"/>
    <w:rsid w:val="002B1B44"/>
    <w:rsid w:val="002B1DFB"/>
    <w:rsid w:val="002B5710"/>
    <w:rsid w:val="002B772A"/>
    <w:rsid w:val="002C00EA"/>
    <w:rsid w:val="002C4CA2"/>
    <w:rsid w:val="002C6D9D"/>
    <w:rsid w:val="002D056A"/>
    <w:rsid w:val="002D2BAC"/>
    <w:rsid w:val="002D41AB"/>
    <w:rsid w:val="002D43AB"/>
    <w:rsid w:val="002D4F77"/>
    <w:rsid w:val="002D5868"/>
    <w:rsid w:val="002D7AB5"/>
    <w:rsid w:val="002D7DB8"/>
    <w:rsid w:val="002E1C51"/>
    <w:rsid w:val="002E44B7"/>
    <w:rsid w:val="002E5C82"/>
    <w:rsid w:val="002E6A72"/>
    <w:rsid w:val="002F0364"/>
    <w:rsid w:val="002F06B4"/>
    <w:rsid w:val="002F18F9"/>
    <w:rsid w:val="002F1A0A"/>
    <w:rsid w:val="002F25AE"/>
    <w:rsid w:val="002F2682"/>
    <w:rsid w:val="002F2CDF"/>
    <w:rsid w:val="002F3382"/>
    <w:rsid w:val="002F3A73"/>
    <w:rsid w:val="002F4044"/>
    <w:rsid w:val="002F4B1F"/>
    <w:rsid w:val="002F4EEC"/>
    <w:rsid w:val="002F565A"/>
    <w:rsid w:val="00302187"/>
    <w:rsid w:val="00305226"/>
    <w:rsid w:val="003063C8"/>
    <w:rsid w:val="00307068"/>
    <w:rsid w:val="00307911"/>
    <w:rsid w:val="00307DC0"/>
    <w:rsid w:val="0031071E"/>
    <w:rsid w:val="00310FF5"/>
    <w:rsid w:val="0031113A"/>
    <w:rsid w:val="00311AFC"/>
    <w:rsid w:val="003123B3"/>
    <w:rsid w:val="00313932"/>
    <w:rsid w:val="00313B7F"/>
    <w:rsid w:val="0031404F"/>
    <w:rsid w:val="00314247"/>
    <w:rsid w:val="003154CE"/>
    <w:rsid w:val="003174DF"/>
    <w:rsid w:val="003175E5"/>
    <w:rsid w:val="00317CC6"/>
    <w:rsid w:val="003201CE"/>
    <w:rsid w:val="00320612"/>
    <w:rsid w:val="003229D4"/>
    <w:rsid w:val="00323459"/>
    <w:rsid w:val="00323B35"/>
    <w:rsid w:val="00323EAE"/>
    <w:rsid w:val="003251DF"/>
    <w:rsid w:val="00325443"/>
    <w:rsid w:val="00330548"/>
    <w:rsid w:val="003316F0"/>
    <w:rsid w:val="003326AC"/>
    <w:rsid w:val="00332DD0"/>
    <w:rsid w:val="00334A8A"/>
    <w:rsid w:val="00335A36"/>
    <w:rsid w:val="00336019"/>
    <w:rsid w:val="003416E8"/>
    <w:rsid w:val="00343B9C"/>
    <w:rsid w:val="0034410A"/>
    <w:rsid w:val="003453A2"/>
    <w:rsid w:val="0035427F"/>
    <w:rsid w:val="00355E6B"/>
    <w:rsid w:val="003562F4"/>
    <w:rsid w:val="003577E1"/>
    <w:rsid w:val="00361787"/>
    <w:rsid w:val="00361840"/>
    <w:rsid w:val="0036212A"/>
    <w:rsid w:val="00363FA8"/>
    <w:rsid w:val="00366824"/>
    <w:rsid w:val="00367346"/>
    <w:rsid w:val="00367F4F"/>
    <w:rsid w:val="003702E2"/>
    <w:rsid w:val="0037150B"/>
    <w:rsid w:val="00371840"/>
    <w:rsid w:val="00371865"/>
    <w:rsid w:val="0037227D"/>
    <w:rsid w:val="00372C43"/>
    <w:rsid w:val="00373117"/>
    <w:rsid w:val="003731FD"/>
    <w:rsid w:val="00373E08"/>
    <w:rsid w:val="00375E9E"/>
    <w:rsid w:val="00376F1E"/>
    <w:rsid w:val="00380493"/>
    <w:rsid w:val="003811C0"/>
    <w:rsid w:val="00381960"/>
    <w:rsid w:val="00382815"/>
    <w:rsid w:val="00382959"/>
    <w:rsid w:val="00382DA5"/>
    <w:rsid w:val="003847DE"/>
    <w:rsid w:val="003851AC"/>
    <w:rsid w:val="00385461"/>
    <w:rsid w:val="00390CD9"/>
    <w:rsid w:val="003920D1"/>
    <w:rsid w:val="00394823"/>
    <w:rsid w:val="003A1877"/>
    <w:rsid w:val="003A1B86"/>
    <w:rsid w:val="003A2A8A"/>
    <w:rsid w:val="003A39E5"/>
    <w:rsid w:val="003A7A0F"/>
    <w:rsid w:val="003B53CF"/>
    <w:rsid w:val="003B5A89"/>
    <w:rsid w:val="003B66A0"/>
    <w:rsid w:val="003B6C84"/>
    <w:rsid w:val="003B71F6"/>
    <w:rsid w:val="003C2650"/>
    <w:rsid w:val="003C2A23"/>
    <w:rsid w:val="003C5995"/>
    <w:rsid w:val="003C629B"/>
    <w:rsid w:val="003C6865"/>
    <w:rsid w:val="003C6EDD"/>
    <w:rsid w:val="003D0B83"/>
    <w:rsid w:val="003D4DFA"/>
    <w:rsid w:val="003D73FC"/>
    <w:rsid w:val="003D7AF6"/>
    <w:rsid w:val="003D7B49"/>
    <w:rsid w:val="003D7F59"/>
    <w:rsid w:val="003D7F99"/>
    <w:rsid w:val="003E033A"/>
    <w:rsid w:val="003E04D5"/>
    <w:rsid w:val="003E3B7D"/>
    <w:rsid w:val="003E3C16"/>
    <w:rsid w:val="003E3FD3"/>
    <w:rsid w:val="003E4884"/>
    <w:rsid w:val="003E4A35"/>
    <w:rsid w:val="003E5015"/>
    <w:rsid w:val="003F06A9"/>
    <w:rsid w:val="003F0BB0"/>
    <w:rsid w:val="003F2093"/>
    <w:rsid w:val="003F539A"/>
    <w:rsid w:val="003F744B"/>
    <w:rsid w:val="003F7B86"/>
    <w:rsid w:val="0040029C"/>
    <w:rsid w:val="00402718"/>
    <w:rsid w:val="00402DB8"/>
    <w:rsid w:val="00403BFE"/>
    <w:rsid w:val="00404048"/>
    <w:rsid w:val="004041C4"/>
    <w:rsid w:val="004046B7"/>
    <w:rsid w:val="00404F70"/>
    <w:rsid w:val="004053A7"/>
    <w:rsid w:val="00407387"/>
    <w:rsid w:val="00414A7F"/>
    <w:rsid w:val="00416824"/>
    <w:rsid w:val="00417A27"/>
    <w:rsid w:val="004214B0"/>
    <w:rsid w:val="004225DA"/>
    <w:rsid w:val="00422907"/>
    <w:rsid w:val="004242FA"/>
    <w:rsid w:val="00425226"/>
    <w:rsid w:val="0042537F"/>
    <w:rsid w:val="00425A90"/>
    <w:rsid w:val="00426374"/>
    <w:rsid w:val="00426B28"/>
    <w:rsid w:val="00426FA0"/>
    <w:rsid w:val="00431E96"/>
    <w:rsid w:val="00432632"/>
    <w:rsid w:val="004329A9"/>
    <w:rsid w:val="00434A47"/>
    <w:rsid w:val="00436971"/>
    <w:rsid w:val="00436A33"/>
    <w:rsid w:val="004402A2"/>
    <w:rsid w:val="00443753"/>
    <w:rsid w:val="00443CFE"/>
    <w:rsid w:val="00445107"/>
    <w:rsid w:val="00446BEB"/>
    <w:rsid w:val="00447F11"/>
    <w:rsid w:val="004505E8"/>
    <w:rsid w:val="00450804"/>
    <w:rsid w:val="00451158"/>
    <w:rsid w:val="00451C02"/>
    <w:rsid w:val="0045249C"/>
    <w:rsid w:val="00452817"/>
    <w:rsid w:val="00453268"/>
    <w:rsid w:val="00453718"/>
    <w:rsid w:val="004541D7"/>
    <w:rsid w:val="00456F12"/>
    <w:rsid w:val="004604D8"/>
    <w:rsid w:val="00460997"/>
    <w:rsid w:val="004610D9"/>
    <w:rsid w:val="00463CDD"/>
    <w:rsid w:val="00470325"/>
    <w:rsid w:val="00470D8E"/>
    <w:rsid w:val="00475F45"/>
    <w:rsid w:val="00476A7B"/>
    <w:rsid w:val="0047791E"/>
    <w:rsid w:val="00480186"/>
    <w:rsid w:val="00480398"/>
    <w:rsid w:val="004806FD"/>
    <w:rsid w:val="00481434"/>
    <w:rsid w:val="00482BAC"/>
    <w:rsid w:val="00482E02"/>
    <w:rsid w:val="00483428"/>
    <w:rsid w:val="00483933"/>
    <w:rsid w:val="004839EC"/>
    <w:rsid w:val="00486F5B"/>
    <w:rsid w:val="004873AE"/>
    <w:rsid w:val="00487C46"/>
    <w:rsid w:val="00494025"/>
    <w:rsid w:val="0049413D"/>
    <w:rsid w:val="00494E8D"/>
    <w:rsid w:val="00494F8E"/>
    <w:rsid w:val="00496B10"/>
    <w:rsid w:val="0049750E"/>
    <w:rsid w:val="004A29B4"/>
    <w:rsid w:val="004A478E"/>
    <w:rsid w:val="004A4AE2"/>
    <w:rsid w:val="004A5B16"/>
    <w:rsid w:val="004A7882"/>
    <w:rsid w:val="004A7C0D"/>
    <w:rsid w:val="004B043E"/>
    <w:rsid w:val="004B3284"/>
    <w:rsid w:val="004C0DC5"/>
    <w:rsid w:val="004C0F42"/>
    <w:rsid w:val="004C290A"/>
    <w:rsid w:val="004C39F9"/>
    <w:rsid w:val="004C52D6"/>
    <w:rsid w:val="004C6C1B"/>
    <w:rsid w:val="004C77BD"/>
    <w:rsid w:val="004D09F0"/>
    <w:rsid w:val="004D1DF9"/>
    <w:rsid w:val="004D4F9F"/>
    <w:rsid w:val="004D5732"/>
    <w:rsid w:val="004D5877"/>
    <w:rsid w:val="004D6907"/>
    <w:rsid w:val="004E0C9D"/>
    <w:rsid w:val="004E2C19"/>
    <w:rsid w:val="004E3E72"/>
    <w:rsid w:val="004E67CC"/>
    <w:rsid w:val="004E747D"/>
    <w:rsid w:val="004F0341"/>
    <w:rsid w:val="004F1271"/>
    <w:rsid w:val="004F259A"/>
    <w:rsid w:val="004F306F"/>
    <w:rsid w:val="004F349D"/>
    <w:rsid w:val="004F56C5"/>
    <w:rsid w:val="004F581E"/>
    <w:rsid w:val="004F655D"/>
    <w:rsid w:val="004F73E2"/>
    <w:rsid w:val="004F7CA1"/>
    <w:rsid w:val="00501E79"/>
    <w:rsid w:val="0050219A"/>
    <w:rsid w:val="0050225C"/>
    <w:rsid w:val="00502E5F"/>
    <w:rsid w:val="00507444"/>
    <w:rsid w:val="00507EAA"/>
    <w:rsid w:val="0051090C"/>
    <w:rsid w:val="005120F4"/>
    <w:rsid w:val="00513085"/>
    <w:rsid w:val="005142EB"/>
    <w:rsid w:val="005148B0"/>
    <w:rsid w:val="005158B4"/>
    <w:rsid w:val="0051646E"/>
    <w:rsid w:val="00522324"/>
    <w:rsid w:val="005232B6"/>
    <w:rsid w:val="005250C2"/>
    <w:rsid w:val="00525691"/>
    <w:rsid w:val="005261BE"/>
    <w:rsid w:val="005269B2"/>
    <w:rsid w:val="00530182"/>
    <w:rsid w:val="00532B5A"/>
    <w:rsid w:val="00532D5E"/>
    <w:rsid w:val="005330D9"/>
    <w:rsid w:val="00534AFE"/>
    <w:rsid w:val="00534BBE"/>
    <w:rsid w:val="00535C63"/>
    <w:rsid w:val="005368AD"/>
    <w:rsid w:val="00537345"/>
    <w:rsid w:val="005379EC"/>
    <w:rsid w:val="0054006A"/>
    <w:rsid w:val="00540449"/>
    <w:rsid w:val="00540C95"/>
    <w:rsid w:val="00540E46"/>
    <w:rsid w:val="00544AA8"/>
    <w:rsid w:val="005467D7"/>
    <w:rsid w:val="005469EF"/>
    <w:rsid w:val="005502D4"/>
    <w:rsid w:val="00551F26"/>
    <w:rsid w:val="00552DB1"/>
    <w:rsid w:val="00553BA7"/>
    <w:rsid w:val="00553E98"/>
    <w:rsid w:val="005543E4"/>
    <w:rsid w:val="00554C5B"/>
    <w:rsid w:val="00555399"/>
    <w:rsid w:val="0055610D"/>
    <w:rsid w:val="00556FF2"/>
    <w:rsid w:val="0055747A"/>
    <w:rsid w:val="005577FF"/>
    <w:rsid w:val="005606EF"/>
    <w:rsid w:val="00562FE3"/>
    <w:rsid w:val="00563672"/>
    <w:rsid w:val="005648C7"/>
    <w:rsid w:val="005669BE"/>
    <w:rsid w:val="00567C71"/>
    <w:rsid w:val="005707B0"/>
    <w:rsid w:val="005716D9"/>
    <w:rsid w:val="005720E4"/>
    <w:rsid w:val="00572EC3"/>
    <w:rsid w:val="00573C53"/>
    <w:rsid w:val="005744BE"/>
    <w:rsid w:val="005750B0"/>
    <w:rsid w:val="00575165"/>
    <w:rsid w:val="00576C1A"/>
    <w:rsid w:val="00577106"/>
    <w:rsid w:val="00577A03"/>
    <w:rsid w:val="005802B9"/>
    <w:rsid w:val="00581650"/>
    <w:rsid w:val="00581EC8"/>
    <w:rsid w:val="00582563"/>
    <w:rsid w:val="00582D08"/>
    <w:rsid w:val="00583560"/>
    <w:rsid w:val="00585244"/>
    <w:rsid w:val="0058771C"/>
    <w:rsid w:val="00587F4A"/>
    <w:rsid w:val="005907ED"/>
    <w:rsid w:val="00590EA7"/>
    <w:rsid w:val="005914EB"/>
    <w:rsid w:val="00591DB6"/>
    <w:rsid w:val="00593781"/>
    <w:rsid w:val="00593A38"/>
    <w:rsid w:val="00594621"/>
    <w:rsid w:val="0059530F"/>
    <w:rsid w:val="00596869"/>
    <w:rsid w:val="005A0EE5"/>
    <w:rsid w:val="005A12C3"/>
    <w:rsid w:val="005A2022"/>
    <w:rsid w:val="005A5CFA"/>
    <w:rsid w:val="005A6B60"/>
    <w:rsid w:val="005A6E27"/>
    <w:rsid w:val="005B12CD"/>
    <w:rsid w:val="005B167C"/>
    <w:rsid w:val="005B359D"/>
    <w:rsid w:val="005B3FAF"/>
    <w:rsid w:val="005B414C"/>
    <w:rsid w:val="005B48D4"/>
    <w:rsid w:val="005B4BCD"/>
    <w:rsid w:val="005B5AEC"/>
    <w:rsid w:val="005B61BF"/>
    <w:rsid w:val="005B6411"/>
    <w:rsid w:val="005C0B61"/>
    <w:rsid w:val="005C0F0D"/>
    <w:rsid w:val="005C125F"/>
    <w:rsid w:val="005C21B2"/>
    <w:rsid w:val="005C3479"/>
    <w:rsid w:val="005C3A0B"/>
    <w:rsid w:val="005C560E"/>
    <w:rsid w:val="005C6393"/>
    <w:rsid w:val="005D1F32"/>
    <w:rsid w:val="005D1F89"/>
    <w:rsid w:val="005D562E"/>
    <w:rsid w:val="005D58CE"/>
    <w:rsid w:val="005D65AA"/>
    <w:rsid w:val="005D6E28"/>
    <w:rsid w:val="005D74B6"/>
    <w:rsid w:val="005D7DFE"/>
    <w:rsid w:val="005E0E03"/>
    <w:rsid w:val="005E6826"/>
    <w:rsid w:val="005E71D8"/>
    <w:rsid w:val="005E7987"/>
    <w:rsid w:val="005F26A3"/>
    <w:rsid w:val="005F2A88"/>
    <w:rsid w:val="005F304A"/>
    <w:rsid w:val="005F30FC"/>
    <w:rsid w:val="005F448C"/>
    <w:rsid w:val="005F4E8E"/>
    <w:rsid w:val="005F5755"/>
    <w:rsid w:val="005F5846"/>
    <w:rsid w:val="006008C1"/>
    <w:rsid w:val="00600AC8"/>
    <w:rsid w:val="006020D6"/>
    <w:rsid w:val="00602D17"/>
    <w:rsid w:val="0060522F"/>
    <w:rsid w:val="00607FD1"/>
    <w:rsid w:val="00610495"/>
    <w:rsid w:val="006115C1"/>
    <w:rsid w:val="00612767"/>
    <w:rsid w:val="006129AD"/>
    <w:rsid w:val="00613B17"/>
    <w:rsid w:val="00615BA9"/>
    <w:rsid w:val="00615D37"/>
    <w:rsid w:val="00616691"/>
    <w:rsid w:val="00617735"/>
    <w:rsid w:val="00617C7D"/>
    <w:rsid w:val="00620444"/>
    <w:rsid w:val="00622576"/>
    <w:rsid w:val="0062643B"/>
    <w:rsid w:val="006270A8"/>
    <w:rsid w:val="006275AF"/>
    <w:rsid w:val="00630781"/>
    <w:rsid w:val="00630DB0"/>
    <w:rsid w:val="00631C12"/>
    <w:rsid w:val="00632E8F"/>
    <w:rsid w:val="00632F4D"/>
    <w:rsid w:val="00633C1F"/>
    <w:rsid w:val="00633E4B"/>
    <w:rsid w:val="00634F99"/>
    <w:rsid w:val="00637385"/>
    <w:rsid w:val="00637A15"/>
    <w:rsid w:val="00640511"/>
    <w:rsid w:val="00640B09"/>
    <w:rsid w:val="00641195"/>
    <w:rsid w:val="0064180C"/>
    <w:rsid w:val="0064579C"/>
    <w:rsid w:val="00645FEF"/>
    <w:rsid w:val="0064656C"/>
    <w:rsid w:val="0064767F"/>
    <w:rsid w:val="00650D4C"/>
    <w:rsid w:val="00652D06"/>
    <w:rsid w:val="0065381D"/>
    <w:rsid w:val="00654157"/>
    <w:rsid w:val="00661766"/>
    <w:rsid w:val="006625E1"/>
    <w:rsid w:val="00663C41"/>
    <w:rsid w:val="006645DC"/>
    <w:rsid w:val="00664EC1"/>
    <w:rsid w:val="006664E8"/>
    <w:rsid w:val="00666906"/>
    <w:rsid w:val="0066692D"/>
    <w:rsid w:val="0066770F"/>
    <w:rsid w:val="00670739"/>
    <w:rsid w:val="006707F0"/>
    <w:rsid w:val="00671F4E"/>
    <w:rsid w:val="0067275D"/>
    <w:rsid w:val="00673856"/>
    <w:rsid w:val="006762BB"/>
    <w:rsid w:val="0068026D"/>
    <w:rsid w:val="00680CB5"/>
    <w:rsid w:val="00681353"/>
    <w:rsid w:val="00682907"/>
    <w:rsid w:val="0068577D"/>
    <w:rsid w:val="0068652D"/>
    <w:rsid w:val="00686831"/>
    <w:rsid w:val="006909AA"/>
    <w:rsid w:val="00693819"/>
    <w:rsid w:val="00693989"/>
    <w:rsid w:val="00695B41"/>
    <w:rsid w:val="006967FB"/>
    <w:rsid w:val="006972D6"/>
    <w:rsid w:val="00697B23"/>
    <w:rsid w:val="006A065C"/>
    <w:rsid w:val="006A1297"/>
    <w:rsid w:val="006A2548"/>
    <w:rsid w:val="006A2B7B"/>
    <w:rsid w:val="006A33FA"/>
    <w:rsid w:val="006A4EE1"/>
    <w:rsid w:val="006A6DE7"/>
    <w:rsid w:val="006B0274"/>
    <w:rsid w:val="006B2294"/>
    <w:rsid w:val="006B24B4"/>
    <w:rsid w:val="006B284F"/>
    <w:rsid w:val="006B6F29"/>
    <w:rsid w:val="006B7B32"/>
    <w:rsid w:val="006C0D2C"/>
    <w:rsid w:val="006C2494"/>
    <w:rsid w:val="006C29F1"/>
    <w:rsid w:val="006C3D46"/>
    <w:rsid w:val="006C4BE8"/>
    <w:rsid w:val="006C53CD"/>
    <w:rsid w:val="006D04A5"/>
    <w:rsid w:val="006D08E4"/>
    <w:rsid w:val="006D26EF"/>
    <w:rsid w:val="006D3F5B"/>
    <w:rsid w:val="006D6AC7"/>
    <w:rsid w:val="006E0045"/>
    <w:rsid w:val="006E00CA"/>
    <w:rsid w:val="006E0702"/>
    <w:rsid w:val="006E5130"/>
    <w:rsid w:val="006E5D23"/>
    <w:rsid w:val="006E71AD"/>
    <w:rsid w:val="006E75FF"/>
    <w:rsid w:val="006E76BF"/>
    <w:rsid w:val="006F0288"/>
    <w:rsid w:val="006F14C7"/>
    <w:rsid w:val="006F31E0"/>
    <w:rsid w:val="006F50DC"/>
    <w:rsid w:val="006F52DD"/>
    <w:rsid w:val="00700BCC"/>
    <w:rsid w:val="00702243"/>
    <w:rsid w:val="0070406C"/>
    <w:rsid w:val="00705428"/>
    <w:rsid w:val="00705539"/>
    <w:rsid w:val="00705FBC"/>
    <w:rsid w:val="00706798"/>
    <w:rsid w:val="00706ABC"/>
    <w:rsid w:val="0070705F"/>
    <w:rsid w:val="00710117"/>
    <w:rsid w:val="007109C1"/>
    <w:rsid w:val="00710B2D"/>
    <w:rsid w:val="007112E5"/>
    <w:rsid w:val="00711EEE"/>
    <w:rsid w:val="0071218B"/>
    <w:rsid w:val="00713179"/>
    <w:rsid w:val="007174BE"/>
    <w:rsid w:val="00721726"/>
    <w:rsid w:val="007224AF"/>
    <w:rsid w:val="00722B1A"/>
    <w:rsid w:val="007247E4"/>
    <w:rsid w:val="007253BC"/>
    <w:rsid w:val="00725BAA"/>
    <w:rsid w:val="00727CA7"/>
    <w:rsid w:val="00730E3D"/>
    <w:rsid w:val="00730FBF"/>
    <w:rsid w:val="00737571"/>
    <w:rsid w:val="007408A4"/>
    <w:rsid w:val="00741AD7"/>
    <w:rsid w:val="00741F0F"/>
    <w:rsid w:val="00743A85"/>
    <w:rsid w:val="0074465C"/>
    <w:rsid w:val="00744EF6"/>
    <w:rsid w:val="007451CF"/>
    <w:rsid w:val="00745585"/>
    <w:rsid w:val="0074649C"/>
    <w:rsid w:val="00746AF6"/>
    <w:rsid w:val="00747609"/>
    <w:rsid w:val="00747A56"/>
    <w:rsid w:val="00750242"/>
    <w:rsid w:val="00750882"/>
    <w:rsid w:val="0075227C"/>
    <w:rsid w:val="007536E1"/>
    <w:rsid w:val="00754923"/>
    <w:rsid w:val="00754AA5"/>
    <w:rsid w:val="00754E88"/>
    <w:rsid w:val="007576AD"/>
    <w:rsid w:val="0076076E"/>
    <w:rsid w:val="00760FF3"/>
    <w:rsid w:val="00761B1D"/>
    <w:rsid w:val="007620FF"/>
    <w:rsid w:val="00764365"/>
    <w:rsid w:val="00764E15"/>
    <w:rsid w:val="007678D1"/>
    <w:rsid w:val="0077043B"/>
    <w:rsid w:val="00772186"/>
    <w:rsid w:val="007735CE"/>
    <w:rsid w:val="00774EDB"/>
    <w:rsid w:val="00776F5C"/>
    <w:rsid w:val="00777710"/>
    <w:rsid w:val="00777D77"/>
    <w:rsid w:val="007818E4"/>
    <w:rsid w:val="00782ECC"/>
    <w:rsid w:val="00783B4D"/>
    <w:rsid w:val="007843D0"/>
    <w:rsid w:val="00784B14"/>
    <w:rsid w:val="00785578"/>
    <w:rsid w:val="00787872"/>
    <w:rsid w:val="00790C63"/>
    <w:rsid w:val="007912D5"/>
    <w:rsid w:val="00791FF2"/>
    <w:rsid w:val="00792A04"/>
    <w:rsid w:val="00792B2C"/>
    <w:rsid w:val="00793AF3"/>
    <w:rsid w:val="007955D8"/>
    <w:rsid w:val="0079750F"/>
    <w:rsid w:val="00797C72"/>
    <w:rsid w:val="007A3731"/>
    <w:rsid w:val="007A6FED"/>
    <w:rsid w:val="007A72CE"/>
    <w:rsid w:val="007A73B6"/>
    <w:rsid w:val="007B1615"/>
    <w:rsid w:val="007B19A3"/>
    <w:rsid w:val="007B201A"/>
    <w:rsid w:val="007B295D"/>
    <w:rsid w:val="007B38F9"/>
    <w:rsid w:val="007B3CDA"/>
    <w:rsid w:val="007B4701"/>
    <w:rsid w:val="007B4840"/>
    <w:rsid w:val="007B5244"/>
    <w:rsid w:val="007C0307"/>
    <w:rsid w:val="007C11AE"/>
    <w:rsid w:val="007C1E50"/>
    <w:rsid w:val="007C2C3A"/>
    <w:rsid w:val="007C3255"/>
    <w:rsid w:val="007C32A2"/>
    <w:rsid w:val="007C354C"/>
    <w:rsid w:val="007C43D1"/>
    <w:rsid w:val="007C4FCC"/>
    <w:rsid w:val="007C5F19"/>
    <w:rsid w:val="007D1377"/>
    <w:rsid w:val="007D14A8"/>
    <w:rsid w:val="007D2E5E"/>
    <w:rsid w:val="007D412F"/>
    <w:rsid w:val="007D490D"/>
    <w:rsid w:val="007D67E4"/>
    <w:rsid w:val="007E0071"/>
    <w:rsid w:val="007E36F7"/>
    <w:rsid w:val="007E578D"/>
    <w:rsid w:val="007E69B7"/>
    <w:rsid w:val="007F0412"/>
    <w:rsid w:val="007F102E"/>
    <w:rsid w:val="007F236F"/>
    <w:rsid w:val="007F4146"/>
    <w:rsid w:val="007F51C1"/>
    <w:rsid w:val="007F617A"/>
    <w:rsid w:val="007F6603"/>
    <w:rsid w:val="007F6888"/>
    <w:rsid w:val="007F6A51"/>
    <w:rsid w:val="007F7639"/>
    <w:rsid w:val="00800F8F"/>
    <w:rsid w:val="00803691"/>
    <w:rsid w:val="00804AEF"/>
    <w:rsid w:val="00805FE6"/>
    <w:rsid w:val="008069A1"/>
    <w:rsid w:val="00812403"/>
    <w:rsid w:val="008126DF"/>
    <w:rsid w:val="008132B3"/>
    <w:rsid w:val="00813D29"/>
    <w:rsid w:val="0081489F"/>
    <w:rsid w:val="0081527D"/>
    <w:rsid w:val="008156AF"/>
    <w:rsid w:val="00816ED3"/>
    <w:rsid w:val="00817DD2"/>
    <w:rsid w:val="0082016C"/>
    <w:rsid w:val="0082071B"/>
    <w:rsid w:val="00820F37"/>
    <w:rsid w:val="0082206D"/>
    <w:rsid w:val="00822327"/>
    <w:rsid w:val="00822A93"/>
    <w:rsid w:val="00823903"/>
    <w:rsid w:val="008259EE"/>
    <w:rsid w:val="00826517"/>
    <w:rsid w:val="00827556"/>
    <w:rsid w:val="00827F37"/>
    <w:rsid w:val="00830C5A"/>
    <w:rsid w:val="00833E0B"/>
    <w:rsid w:val="00834E73"/>
    <w:rsid w:val="008357E5"/>
    <w:rsid w:val="008403F9"/>
    <w:rsid w:val="00840B25"/>
    <w:rsid w:val="00841740"/>
    <w:rsid w:val="00844BBF"/>
    <w:rsid w:val="00850929"/>
    <w:rsid w:val="00851432"/>
    <w:rsid w:val="008515A5"/>
    <w:rsid w:val="00853498"/>
    <w:rsid w:val="00853E8D"/>
    <w:rsid w:val="00856BE0"/>
    <w:rsid w:val="0085797D"/>
    <w:rsid w:val="00860015"/>
    <w:rsid w:val="00861415"/>
    <w:rsid w:val="00861DC0"/>
    <w:rsid w:val="008623E5"/>
    <w:rsid w:val="00863481"/>
    <w:rsid w:val="00863D97"/>
    <w:rsid w:val="008644B5"/>
    <w:rsid w:val="0086554C"/>
    <w:rsid w:val="00872DBC"/>
    <w:rsid w:val="008759E5"/>
    <w:rsid w:val="00876C03"/>
    <w:rsid w:val="00877D3D"/>
    <w:rsid w:val="0088036D"/>
    <w:rsid w:val="00884E36"/>
    <w:rsid w:val="0088685D"/>
    <w:rsid w:val="00886B69"/>
    <w:rsid w:val="0088795A"/>
    <w:rsid w:val="00887AD3"/>
    <w:rsid w:val="00890CEF"/>
    <w:rsid w:val="008913D5"/>
    <w:rsid w:val="00892B15"/>
    <w:rsid w:val="00897ACA"/>
    <w:rsid w:val="008A0564"/>
    <w:rsid w:val="008A0FA4"/>
    <w:rsid w:val="008A1BFD"/>
    <w:rsid w:val="008A2467"/>
    <w:rsid w:val="008A3C47"/>
    <w:rsid w:val="008A41DC"/>
    <w:rsid w:val="008A4358"/>
    <w:rsid w:val="008A6AF0"/>
    <w:rsid w:val="008A6B17"/>
    <w:rsid w:val="008B08D5"/>
    <w:rsid w:val="008B4801"/>
    <w:rsid w:val="008B52CC"/>
    <w:rsid w:val="008B67DB"/>
    <w:rsid w:val="008C1672"/>
    <w:rsid w:val="008C174B"/>
    <w:rsid w:val="008C1985"/>
    <w:rsid w:val="008C2C0A"/>
    <w:rsid w:val="008C6974"/>
    <w:rsid w:val="008D085C"/>
    <w:rsid w:val="008D17BA"/>
    <w:rsid w:val="008D25C4"/>
    <w:rsid w:val="008D3F57"/>
    <w:rsid w:val="008D43C2"/>
    <w:rsid w:val="008D446D"/>
    <w:rsid w:val="008D578E"/>
    <w:rsid w:val="008D5E77"/>
    <w:rsid w:val="008D77B1"/>
    <w:rsid w:val="008E0F3E"/>
    <w:rsid w:val="008E1751"/>
    <w:rsid w:val="008E189D"/>
    <w:rsid w:val="008E23D1"/>
    <w:rsid w:val="008E362E"/>
    <w:rsid w:val="008E4FE7"/>
    <w:rsid w:val="008E5151"/>
    <w:rsid w:val="008F04F0"/>
    <w:rsid w:val="008F09D7"/>
    <w:rsid w:val="008F206C"/>
    <w:rsid w:val="008F3A64"/>
    <w:rsid w:val="008F3D9C"/>
    <w:rsid w:val="008F5C7A"/>
    <w:rsid w:val="008F6B23"/>
    <w:rsid w:val="0090242D"/>
    <w:rsid w:val="009028AD"/>
    <w:rsid w:val="009030B1"/>
    <w:rsid w:val="00903303"/>
    <w:rsid w:val="0090646F"/>
    <w:rsid w:val="00906B6F"/>
    <w:rsid w:val="00910499"/>
    <w:rsid w:val="00911132"/>
    <w:rsid w:val="0091438B"/>
    <w:rsid w:val="00914579"/>
    <w:rsid w:val="00921A53"/>
    <w:rsid w:val="00922922"/>
    <w:rsid w:val="00925537"/>
    <w:rsid w:val="00925646"/>
    <w:rsid w:val="00925996"/>
    <w:rsid w:val="00926491"/>
    <w:rsid w:val="00926DEB"/>
    <w:rsid w:val="00930720"/>
    <w:rsid w:val="00931087"/>
    <w:rsid w:val="00931ACD"/>
    <w:rsid w:val="0093449C"/>
    <w:rsid w:val="009344A2"/>
    <w:rsid w:val="00935624"/>
    <w:rsid w:val="00937748"/>
    <w:rsid w:val="00937B97"/>
    <w:rsid w:val="00940AAF"/>
    <w:rsid w:val="00943EEE"/>
    <w:rsid w:val="00944531"/>
    <w:rsid w:val="0094646F"/>
    <w:rsid w:val="00951D4D"/>
    <w:rsid w:val="00953477"/>
    <w:rsid w:val="00955A71"/>
    <w:rsid w:val="00956587"/>
    <w:rsid w:val="009622A7"/>
    <w:rsid w:val="00962F23"/>
    <w:rsid w:val="00964525"/>
    <w:rsid w:val="0096506D"/>
    <w:rsid w:val="009654F8"/>
    <w:rsid w:val="0096560B"/>
    <w:rsid w:val="00965A1A"/>
    <w:rsid w:val="00966166"/>
    <w:rsid w:val="009661FB"/>
    <w:rsid w:val="00966420"/>
    <w:rsid w:val="00966E8B"/>
    <w:rsid w:val="00967CC0"/>
    <w:rsid w:val="00967E10"/>
    <w:rsid w:val="00971150"/>
    <w:rsid w:val="009713F1"/>
    <w:rsid w:val="00972540"/>
    <w:rsid w:val="009729B2"/>
    <w:rsid w:val="00974137"/>
    <w:rsid w:val="0097418A"/>
    <w:rsid w:val="00974CF5"/>
    <w:rsid w:val="00981789"/>
    <w:rsid w:val="00981E01"/>
    <w:rsid w:val="00984906"/>
    <w:rsid w:val="00987728"/>
    <w:rsid w:val="00987DBA"/>
    <w:rsid w:val="009905EF"/>
    <w:rsid w:val="00992D1D"/>
    <w:rsid w:val="00994F80"/>
    <w:rsid w:val="00995475"/>
    <w:rsid w:val="00996709"/>
    <w:rsid w:val="00996C25"/>
    <w:rsid w:val="00997FBC"/>
    <w:rsid w:val="009A0C42"/>
    <w:rsid w:val="009A27CA"/>
    <w:rsid w:val="009A2892"/>
    <w:rsid w:val="009A2D44"/>
    <w:rsid w:val="009A2EC9"/>
    <w:rsid w:val="009A4B67"/>
    <w:rsid w:val="009A56CF"/>
    <w:rsid w:val="009A6BF5"/>
    <w:rsid w:val="009B2C7E"/>
    <w:rsid w:val="009B4867"/>
    <w:rsid w:val="009B5E41"/>
    <w:rsid w:val="009B7490"/>
    <w:rsid w:val="009C07EC"/>
    <w:rsid w:val="009C2157"/>
    <w:rsid w:val="009C33A9"/>
    <w:rsid w:val="009C3806"/>
    <w:rsid w:val="009C3F97"/>
    <w:rsid w:val="009C4CC1"/>
    <w:rsid w:val="009C5468"/>
    <w:rsid w:val="009C6358"/>
    <w:rsid w:val="009C742B"/>
    <w:rsid w:val="009D3847"/>
    <w:rsid w:val="009D39E9"/>
    <w:rsid w:val="009D39F8"/>
    <w:rsid w:val="009D3AAC"/>
    <w:rsid w:val="009D3DF2"/>
    <w:rsid w:val="009D3E11"/>
    <w:rsid w:val="009D5107"/>
    <w:rsid w:val="009D55C8"/>
    <w:rsid w:val="009D773E"/>
    <w:rsid w:val="009E15EC"/>
    <w:rsid w:val="009E1888"/>
    <w:rsid w:val="009E2060"/>
    <w:rsid w:val="009E3547"/>
    <w:rsid w:val="009E57A1"/>
    <w:rsid w:val="009E7CBA"/>
    <w:rsid w:val="009F0B9E"/>
    <w:rsid w:val="009F1240"/>
    <w:rsid w:val="009F4C72"/>
    <w:rsid w:val="009F5E46"/>
    <w:rsid w:val="009F62BC"/>
    <w:rsid w:val="00A0159E"/>
    <w:rsid w:val="00A0267D"/>
    <w:rsid w:val="00A0350F"/>
    <w:rsid w:val="00A03F60"/>
    <w:rsid w:val="00A068B5"/>
    <w:rsid w:val="00A06F7F"/>
    <w:rsid w:val="00A07A5F"/>
    <w:rsid w:val="00A07AB0"/>
    <w:rsid w:val="00A10B8D"/>
    <w:rsid w:val="00A11D22"/>
    <w:rsid w:val="00A136B5"/>
    <w:rsid w:val="00A13FE6"/>
    <w:rsid w:val="00A16B63"/>
    <w:rsid w:val="00A17094"/>
    <w:rsid w:val="00A1766B"/>
    <w:rsid w:val="00A20931"/>
    <w:rsid w:val="00A21686"/>
    <w:rsid w:val="00A223EE"/>
    <w:rsid w:val="00A240A6"/>
    <w:rsid w:val="00A24421"/>
    <w:rsid w:val="00A24D9F"/>
    <w:rsid w:val="00A25246"/>
    <w:rsid w:val="00A27535"/>
    <w:rsid w:val="00A31195"/>
    <w:rsid w:val="00A31A7B"/>
    <w:rsid w:val="00A31E02"/>
    <w:rsid w:val="00A32B9E"/>
    <w:rsid w:val="00A34100"/>
    <w:rsid w:val="00A34AA2"/>
    <w:rsid w:val="00A34B83"/>
    <w:rsid w:val="00A36099"/>
    <w:rsid w:val="00A3637F"/>
    <w:rsid w:val="00A37F4C"/>
    <w:rsid w:val="00A42074"/>
    <w:rsid w:val="00A420C7"/>
    <w:rsid w:val="00A42B85"/>
    <w:rsid w:val="00A45B5E"/>
    <w:rsid w:val="00A45E78"/>
    <w:rsid w:val="00A506E4"/>
    <w:rsid w:val="00A549DF"/>
    <w:rsid w:val="00A556B9"/>
    <w:rsid w:val="00A5591E"/>
    <w:rsid w:val="00A55B7B"/>
    <w:rsid w:val="00A55E4F"/>
    <w:rsid w:val="00A56DF2"/>
    <w:rsid w:val="00A570C3"/>
    <w:rsid w:val="00A61890"/>
    <w:rsid w:val="00A6267B"/>
    <w:rsid w:val="00A62926"/>
    <w:rsid w:val="00A62A4A"/>
    <w:rsid w:val="00A62E3F"/>
    <w:rsid w:val="00A62F3C"/>
    <w:rsid w:val="00A65C05"/>
    <w:rsid w:val="00A6724E"/>
    <w:rsid w:val="00A67312"/>
    <w:rsid w:val="00A716A4"/>
    <w:rsid w:val="00A717C8"/>
    <w:rsid w:val="00A71876"/>
    <w:rsid w:val="00A72650"/>
    <w:rsid w:val="00A726A8"/>
    <w:rsid w:val="00A7355A"/>
    <w:rsid w:val="00A741E8"/>
    <w:rsid w:val="00A7636D"/>
    <w:rsid w:val="00A77236"/>
    <w:rsid w:val="00A80A96"/>
    <w:rsid w:val="00A82946"/>
    <w:rsid w:val="00A83EED"/>
    <w:rsid w:val="00A86E30"/>
    <w:rsid w:val="00A877A4"/>
    <w:rsid w:val="00A92BF7"/>
    <w:rsid w:val="00A93794"/>
    <w:rsid w:val="00A9385B"/>
    <w:rsid w:val="00A9394E"/>
    <w:rsid w:val="00A94BFC"/>
    <w:rsid w:val="00A9605A"/>
    <w:rsid w:val="00A97A65"/>
    <w:rsid w:val="00AA4B87"/>
    <w:rsid w:val="00AA5318"/>
    <w:rsid w:val="00AA5DB3"/>
    <w:rsid w:val="00AA6680"/>
    <w:rsid w:val="00AA6C5F"/>
    <w:rsid w:val="00AA7008"/>
    <w:rsid w:val="00AB01F7"/>
    <w:rsid w:val="00AB0CD5"/>
    <w:rsid w:val="00AB0F0A"/>
    <w:rsid w:val="00AB195C"/>
    <w:rsid w:val="00AB2641"/>
    <w:rsid w:val="00AB4F47"/>
    <w:rsid w:val="00AB6256"/>
    <w:rsid w:val="00AB6720"/>
    <w:rsid w:val="00AB7642"/>
    <w:rsid w:val="00AC1F2E"/>
    <w:rsid w:val="00AC3B26"/>
    <w:rsid w:val="00AC6F90"/>
    <w:rsid w:val="00AD02C5"/>
    <w:rsid w:val="00AD10AA"/>
    <w:rsid w:val="00AD1395"/>
    <w:rsid w:val="00AD27E8"/>
    <w:rsid w:val="00AD28E7"/>
    <w:rsid w:val="00AD39BB"/>
    <w:rsid w:val="00AD3D3A"/>
    <w:rsid w:val="00AD4356"/>
    <w:rsid w:val="00AD537D"/>
    <w:rsid w:val="00AD54FC"/>
    <w:rsid w:val="00AD5E08"/>
    <w:rsid w:val="00AD602D"/>
    <w:rsid w:val="00AD6068"/>
    <w:rsid w:val="00AE13DE"/>
    <w:rsid w:val="00AE4D0F"/>
    <w:rsid w:val="00AE5088"/>
    <w:rsid w:val="00AE5B55"/>
    <w:rsid w:val="00AE5DD0"/>
    <w:rsid w:val="00AE5E27"/>
    <w:rsid w:val="00AE5F74"/>
    <w:rsid w:val="00AF1594"/>
    <w:rsid w:val="00AF3562"/>
    <w:rsid w:val="00AF5FBB"/>
    <w:rsid w:val="00AF6E1F"/>
    <w:rsid w:val="00B0033A"/>
    <w:rsid w:val="00B00DF3"/>
    <w:rsid w:val="00B012E3"/>
    <w:rsid w:val="00B0273F"/>
    <w:rsid w:val="00B02919"/>
    <w:rsid w:val="00B03C6D"/>
    <w:rsid w:val="00B0548E"/>
    <w:rsid w:val="00B0593B"/>
    <w:rsid w:val="00B05DDC"/>
    <w:rsid w:val="00B10A6F"/>
    <w:rsid w:val="00B13842"/>
    <w:rsid w:val="00B142FE"/>
    <w:rsid w:val="00B16243"/>
    <w:rsid w:val="00B20285"/>
    <w:rsid w:val="00B21FD2"/>
    <w:rsid w:val="00B25DB1"/>
    <w:rsid w:val="00B26451"/>
    <w:rsid w:val="00B26663"/>
    <w:rsid w:val="00B27E76"/>
    <w:rsid w:val="00B3061B"/>
    <w:rsid w:val="00B321BC"/>
    <w:rsid w:val="00B32A59"/>
    <w:rsid w:val="00B33BC6"/>
    <w:rsid w:val="00B369BE"/>
    <w:rsid w:val="00B37EBF"/>
    <w:rsid w:val="00B4028D"/>
    <w:rsid w:val="00B4033D"/>
    <w:rsid w:val="00B40986"/>
    <w:rsid w:val="00B415B5"/>
    <w:rsid w:val="00B43993"/>
    <w:rsid w:val="00B45D43"/>
    <w:rsid w:val="00B479FF"/>
    <w:rsid w:val="00B47E10"/>
    <w:rsid w:val="00B50555"/>
    <w:rsid w:val="00B55201"/>
    <w:rsid w:val="00B5626E"/>
    <w:rsid w:val="00B570B2"/>
    <w:rsid w:val="00B664BE"/>
    <w:rsid w:val="00B67233"/>
    <w:rsid w:val="00B67AE4"/>
    <w:rsid w:val="00B70665"/>
    <w:rsid w:val="00B73239"/>
    <w:rsid w:val="00B740B3"/>
    <w:rsid w:val="00B755BC"/>
    <w:rsid w:val="00B7748F"/>
    <w:rsid w:val="00B8090C"/>
    <w:rsid w:val="00B820F1"/>
    <w:rsid w:val="00B82526"/>
    <w:rsid w:val="00B8252C"/>
    <w:rsid w:val="00B827C4"/>
    <w:rsid w:val="00B83A8F"/>
    <w:rsid w:val="00B848BE"/>
    <w:rsid w:val="00B9124B"/>
    <w:rsid w:val="00B915EE"/>
    <w:rsid w:val="00B9173A"/>
    <w:rsid w:val="00B92D9D"/>
    <w:rsid w:val="00B939C1"/>
    <w:rsid w:val="00B94517"/>
    <w:rsid w:val="00B964CA"/>
    <w:rsid w:val="00BA17D1"/>
    <w:rsid w:val="00BA3334"/>
    <w:rsid w:val="00BA5B51"/>
    <w:rsid w:val="00BA6396"/>
    <w:rsid w:val="00BB1094"/>
    <w:rsid w:val="00BB1554"/>
    <w:rsid w:val="00BB284B"/>
    <w:rsid w:val="00BB2CA3"/>
    <w:rsid w:val="00BB4897"/>
    <w:rsid w:val="00BB51AE"/>
    <w:rsid w:val="00BB55AA"/>
    <w:rsid w:val="00BB5DF3"/>
    <w:rsid w:val="00BB7559"/>
    <w:rsid w:val="00BC0C39"/>
    <w:rsid w:val="00BC16B1"/>
    <w:rsid w:val="00BC4428"/>
    <w:rsid w:val="00BC48DD"/>
    <w:rsid w:val="00BC48EB"/>
    <w:rsid w:val="00BC4F8F"/>
    <w:rsid w:val="00BC5942"/>
    <w:rsid w:val="00BC7CF9"/>
    <w:rsid w:val="00BD0C4A"/>
    <w:rsid w:val="00BD14DE"/>
    <w:rsid w:val="00BD15BC"/>
    <w:rsid w:val="00BD189F"/>
    <w:rsid w:val="00BD26C3"/>
    <w:rsid w:val="00BD43F1"/>
    <w:rsid w:val="00BD45DE"/>
    <w:rsid w:val="00BD564C"/>
    <w:rsid w:val="00BE163E"/>
    <w:rsid w:val="00BE1D33"/>
    <w:rsid w:val="00BE1D46"/>
    <w:rsid w:val="00BE2E19"/>
    <w:rsid w:val="00BE33CE"/>
    <w:rsid w:val="00BE5227"/>
    <w:rsid w:val="00BE5295"/>
    <w:rsid w:val="00BE6317"/>
    <w:rsid w:val="00BF2979"/>
    <w:rsid w:val="00BF2A20"/>
    <w:rsid w:val="00BF3407"/>
    <w:rsid w:val="00BF3A2C"/>
    <w:rsid w:val="00BF47E1"/>
    <w:rsid w:val="00BF4D8F"/>
    <w:rsid w:val="00BF4F3B"/>
    <w:rsid w:val="00BF51C5"/>
    <w:rsid w:val="00BF5885"/>
    <w:rsid w:val="00BF5BB1"/>
    <w:rsid w:val="00BF7ECC"/>
    <w:rsid w:val="00C017A7"/>
    <w:rsid w:val="00C02034"/>
    <w:rsid w:val="00C02548"/>
    <w:rsid w:val="00C071DC"/>
    <w:rsid w:val="00C076DF"/>
    <w:rsid w:val="00C118AE"/>
    <w:rsid w:val="00C11ADF"/>
    <w:rsid w:val="00C125EE"/>
    <w:rsid w:val="00C13412"/>
    <w:rsid w:val="00C146BE"/>
    <w:rsid w:val="00C14A34"/>
    <w:rsid w:val="00C15814"/>
    <w:rsid w:val="00C15AB1"/>
    <w:rsid w:val="00C20231"/>
    <w:rsid w:val="00C25E5B"/>
    <w:rsid w:val="00C26ADF"/>
    <w:rsid w:val="00C27732"/>
    <w:rsid w:val="00C27853"/>
    <w:rsid w:val="00C27D2E"/>
    <w:rsid w:val="00C302DE"/>
    <w:rsid w:val="00C30C62"/>
    <w:rsid w:val="00C31D5E"/>
    <w:rsid w:val="00C33098"/>
    <w:rsid w:val="00C3399B"/>
    <w:rsid w:val="00C36464"/>
    <w:rsid w:val="00C37FE8"/>
    <w:rsid w:val="00C43FC0"/>
    <w:rsid w:val="00C45A5A"/>
    <w:rsid w:val="00C467E6"/>
    <w:rsid w:val="00C46BF2"/>
    <w:rsid w:val="00C50189"/>
    <w:rsid w:val="00C50B16"/>
    <w:rsid w:val="00C510DB"/>
    <w:rsid w:val="00C51EF2"/>
    <w:rsid w:val="00C55746"/>
    <w:rsid w:val="00C566E7"/>
    <w:rsid w:val="00C56C8F"/>
    <w:rsid w:val="00C600B7"/>
    <w:rsid w:val="00C6016A"/>
    <w:rsid w:val="00C6145C"/>
    <w:rsid w:val="00C614BC"/>
    <w:rsid w:val="00C61FCB"/>
    <w:rsid w:val="00C62B4A"/>
    <w:rsid w:val="00C6374F"/>
    <w:rsid w:val="00C6406D"/>
    <w:rsid w:val="00C6422E"/>
    <w:rsid w:val="00C7083D"/>
    <w:rsid w:val="00C70B77"/>
    <w:rsid w:val="00C71955"/>
    <w:rsid w:val="00C71BB6"/>
    <w:rsid w:val="00C7320A"/>
    <w:rsid w:val="00C736EE"/>
    <w:rsid w:val="00C73BA6"/>
    <w:rsid w:val="00C73D0A"/>
    <w:rsid w:val="00C74E64"/>
    <w:rsid w:val="00C77EA7"/>
    <w:rsid w:val="00C77F5C"/>
    <w:rsid w:val="00C81DB9"/>
    <w:rsid w:val="00C835AA"/>
    <w:rsid w:val="00C8369B"/>
    <w:rsid w:val="00C850AA"/>
    <w:rsid w:val="00C864F4"/>
    <w:rsid w:val="00C90338"/>
    <w:rsid w:val="00C905D9"/>
    <w:rsid w:val="00C90B8A"/>
    <w:rsid w:val="00C90D76"/>
    <w:rsid w:val="00C91183"/>
    <w:rsid w:val="00C91387"/>
    <w:rsid w:val="00C9290A"/>
    <w:rsid w:val="00C92BDD"/>
    <w:rsid w:val="00C92D14"/>
    <w:rsid w:val="00C93480"/>
    <w:rsid w:val="00C945CD"/>
    <w:rsid w:val="00C94CC9"/>
    <w:rsid w:val="00C96462"/>
    <w:rsid w:val="00CA02E9"/>
    <w:rsid w:val="00CA1D66"/>
    <w:rsid w:val="00CA2A28"/>
    <w:rsid w:val="00CA5259"/>
    <w:rsid w:val="00CA5592"/>
    <w:rsid w:val="00CA5F15"/>
    <w:rsid w:val="00CA738A"/>
    <w:rsid w:val="00CA7898"/>
    <w:rsid w:val="00CB290B"/>
    <w:rsid w:val="00CB42D6"/>
    <w:rsid w:val="00CB5B8B"/>
    <w:rsid w:val="00CB689B"/>
    <w:rsid w:val="00CB7E17"/>
    <w:rsid w:val="00CC050A"/>
    <w:rsid w:val="00CC1422"/>
    <w:rsid w:val="00CC14C8"/>
    <w:rsid w:val="00CC15A8"/>
    <w:rsid w:val="00CC21E3"/>
    <w:rsid w:val="00CC32E0"/>
    <w:rsid w:val="00CC3AA7"/>
    <w:rsid w:val="00CC6EF2"/>
    <w:rsid w:val="00CD03B2"/>
    <w:rsid w:val="00CD05A3"/>
    <w:rsid w:val="00CD264F"/>
    <w:rsid w:val="00CD36E3"/>
    <w:rsid w:val="00CD4FD1"/>
    <w:rsid w:val="00CD5F71"/>
    <w:rsid w:val="00CD665E"/>
    <w:rsid w:val="00CD71D5"/>
    <w:rsid w:val="00CD7942"/>
    <w:rsid w:val="00CE0D79"/>
    <w:rsid w:val="00CE1105"/>
    <w:rsid w:val="00CE2475"/>
    <w:rsid w:val="00CE2B66"/>
    <w:rsid w:val="00CE2DDA"/>
    <w:rsid w:val="00CE3DAE"/>
    <w:rsid w:val="00CE4DD3"/>
    <w:rsid w:val="00CE76AB"/>
    <w:rsid w:val="00CF2849"/>
    <w:rsid w:val="00CF32D4"/>
    <w:rsid w:val="00CF454F"/>
    <w:rsid w:val="00CF55DD"/>
    <w:rsid w:val="00CF577E"/>
    <w:rsid w:val="00CF63C3"/>
    <w:rsid w:val="00CF6C2A"/>
    <w:rsid w:val="00CF727C"/>
    <w:rsid w:val="00D00B2E"/>
    <w:rsid w:val="00D0297D"/>
    <w:rsid w:val="00D03D98"/>
    <w:rsid w:val="00D05BB5"/>
    <w:rsid w:val="00D05BBF"/>
    <w:rsid w:val="00D0618C"/>
    <w:rsid w:val="00D06700"/>
    <w:rsid w:val="00D07BC3"/>
    <w:rsid w:val="00D104DF"/>
    <w:rsid w:val="00D10A20"/>
    <w:rsid w:val="00D12776"/>
    <w:rsid w:val="00D1406E"/>
    <w:rsid w:val="00D14617"/>
    <w:rsid w:val="00D150C3"/>
    <w:rsid w:val="00D154C1"/>
    <w:rsid w:val="00D16390"/>
    <w:rsid w:val="00D16F37"/>
    <w:rsid w:val="00D21384"/>
    <w:rsid w:val="00D2226D"/>
    <w:rsid w:val="00D229D1"/>
    <w:rsid w:val="00D23E3C"/>
    <w:rsid w:val="00D25D43"/>
    <w:rsid w:val="00D26EFD"/>
    <w:rsid w:val="00D270C9"/>
    <w:rsid w:val="00D27AC1"/>
    <w:rsid w:val="00D310F3"/>
    <w:rsid w:val="00D32078"/>
    <w:rsid w:val="00D328DD"/>
    <w:rsid w:val="00D32A00"/>
    <w:rsid w:val="00D33332"/>
    <w:rsid w:val="00D33B10"/>
    <w:rsid w:val="00D340E2"/>
    <w:rsid w:val="00D34FF7"/>
    <w:rsid w:val="00D35C05"/>
    <w:rsid w:val="00D37179"/>
    <w:rsid w:val="00D37BDB"/>
    <w:rsid w:val="00D41AEB"/>
    <w:rsid w:val="00D41BDE"/>
    <w:rsid w:val="00D42DA2"/>
    <w:rsid w:val="00D4358B"/>
    <w:rsid w:val="00D45493"/>
    <w:rsid w:val="00D45F8A"/>
    <w:rsid w:val="00D47D24"/>
    <w:rsid w:val="00D511F9"/>
    <w:rsid w:val="00D53141"/>
    <w:rsid w:val="00D536FD"/>
    <w:rsid w:val="00D5388A"/>
    <w:rsid w:val="00D54494"/>
    <w:rsid w:val="00D55B6C"/>
    <w:rsid w:val="00D561DD"/>
    <w:rsid w:val="00D56767"/>
    <w:rsid w:val="00D57424"/>
    <w:rsid w:val="00D57755"/>
    <w:rsid w:val="00D634B0"/>
    <w:rsid w:val="00D64090"/>
    <w:rsid w:val="00D64236"/>
    <w:rsid w:val="00D65CBC"/>
    <w:rsid w:val="00D66BFE"/>
    <w:rsid w:val="00D7382F"/>
    <w:rsid w:val="00D742D9"/>
    <w:rsid w:val="00D74B07"/>
    <w:rsid w:val="00D7593E"/>
    <w:rsid w:val="00D762B6"/>
    <w:rsid w:val="00D763AE"/>
    <w:rsid w:val="00D77B19"/>
    <w:rsid w:val="00D77BB4"/>
    <w:rsid w:val="00D77FE1"/>
    <w:rsid w:val="00D8158F"/>
    <w:rsid w:val="00D824EC"/>
    <w:rsid w:val="00D83450"/>
    <w:rsid w:val="00D8381C"/>
    <w:rsid w:val="00D850C2"/>
    <w:rsid w:val="00D851AB"/>
    <w:rsid w:val="00D8545A"/>
    <w:rsid w:val="00D85680"/>
    <w:rsid w:val="00D85842"/>
    <w:rsid w:val="00D86633"/>
    <w:rsid w:val="00D86BBA"/>
    <w:rsid w:val="00D870CF"/>
    <w:rsid w:val="00D8740A"/>
    <w:rsid w:val="00D87A89"/>
    <w:rsid w:val="00D92899"/>
    <w:rsid w:val="00D9295D"/>
    <w:rsid w:val="00D92E14"/>
    <w:rsid w:val="00D93722"/>
    <w:rsid w:val="00D96B93"/>
    <w:rsid w:val="00D972E3"/>
    <w:rsid w:val="00DA09B0"/>
    <w:rsid w:val="00DA0B25"/>
    <w:rsid w:val="00DA1158"/>
    <w:rsid w:val="00DA22B1"/>
    <w:rsid w:val="00DA336B"/>
    <w:rsid w:val="00DA494A"/>
    <w:rsid w:val="00DB075C"/>
    <w:rsid w:val="00DB0A73"/>
    <w:rsid w:val="00DB0E2A"/>
    <w:rsid w:val="00DB44B1"/>
    <w:rsid w:val="00DB56B7"/>
    <w:rsid w:val="00DB56D2"/>
    <w:rsid w:val="00DB67AE"/>
    <w:rsid w:val="00DB6E09"/>
    <w:rsid w:val="00DB76F1"/>
    <w:rsid w:val="00DC2C5E"/>
    <w:rsid w:val="00DC2EE0"/>
    <w:rsid w:val="00DC553C"/>
    <w:rsid w:val="00DC6063"/>
    <w:rsid w:val="00DC724D"/>
    <w:rsid w:val="00DC7D3C"/>
    <w:rsid w:val="00DD0213"/>
    <w:rsid w:val="00DD0425"/>
    <w:rsid w:val="00DD204A"/>
    <w:rsid w:val="00DD2C7F"/>
    <w:rsid w:val="00DD30CE"/>
    <w:rsid w:val="00DD43C6"/>
    <w:rsid w:val="00DD4ADE"/>
    <w:rsid w:val="00DD70E3"/>
    <w:rsid w:val="00DE140D"/>
    <w:rsid w:val="00DF098F"/>
    <w:rsid w:val="00DF0DDB"/>
    <w:rsid w:val="00DF1324"/>
    <w:rsid w:val="00DF228D"/>
    <w:rsid w:val="00DF4761"/>
    <w:rsid w:val="00DF524B"/>
    <w:rsid w:val="00DF5800"/>
    <w:rsid w:val="00DF5A11"/>
    <w:rsid w:val="00DF5C3B"/>
    <w:rsid w:val="00DF729A"/>
    <w:rsid w:val="00E00BFB"/>
    <w:rsid w:val="00E0280F"/>
    <w:rsid w:val="00E03205"/>
    <w:rsid w:val="00E04E3E"/>
    <w:rsid w:val="00E05529"/>
    <w:rsid w:val="00E05B14"/>
    <w:rsid w:val="00E06AC9"/>
    <w:rsid w:val="00E1007E"/>
    <w:rsid w:val="00E11659"/>
    <w:rsid w:val="00E11E5B"/>
    <w:rsid w:val="00E127CA"/>
    <w:rsid w:val="00E1492B"/>
    <w:rsid w:val="00E154F6"/>
    <w:rsid w:val="00E1551F"/>
    <w:rsid w:val="00E167D9"/>
    <w:rsid w:val="00E16C5B"/>
    <w:rsid w:val="00E20C29"/>
    <w:rsid w:val="00E23543"/>
    <w:rsid w:val="00E23D18"/>
    <w:rsid w:val="00E2570A"/>
    <w:rsid w:val="00E2775B"/>
    <w:rsid w:val="00E30726"/>
    <w:rsid w:val="00E311D7"/>
    <w:rsid w:val="00E3230A"/>
    <w:rsid w:val="00E3478D"/>
    <w:rsid w:val="00E361BB"/>
    <w:rsid w:val="00E40201"/>
    <w:rsid w:val="00E436A9"/>
    <w:rsid w:val="00E45096"/>
    <w:rsid w:val="00E506B2"/>
    <w:rsid w:val="00E523F5"/>
    <w:rsid w:val="00E6038C"/>
    <w:rsid w:val="00E6222A"/>
    <w:rsid w:val="00E6599E"/>
    <w:rsid w:val="00E70AD2"/>
    <w:rsid w:val="00E70BBB"/>
    <w:rsid w:val="00E71360"/>
    <w:rsid w:val="00E71609"/>
    <w:rsid w:val="00E71F93"/>
    <w:rsid w:val="00E71FB7"/>
    <w:rsid w:val="00E72E18"/>
    <w:rsid w:val="00E7576F"/>
    <w:rsid w:val="00E75E46"/>
    <w:rsid w:val="00E771CE"/>
    <w:rsid w:val="00E774D3"/>
    <w:rsid w:val="00E822E5"/>
    <w:rsid w:val="00E838F4"/>
    <w:rsid w:val="00E839CB"/>
    <w:rsid w:val="00E83E08"/>
    <w:rsid w:val="00E86F70"/>
    <w:rsid w:val="00E8765B"/>
    <w:rsid w:val="00E87F48"/>
    <w:rsid w:val="00E917E0"/>
    <w:rsid w:val="00E921C6"/>
    <w:rsid w:val="00E92404"/>
    <w:rsid w:val="00E94190"/>
    <w:rsid w:val="00E951C0"/>
    <w:rsid w:val="00E95FCD"/>
    <w:rsid w:val="00E96350"/>
    <w:rsid w:val="00EA49B0"/>
    <w:rsid w:val="00EA5DF0"/>
    <w:rsid w:val="00EB1CC8"/>
    <w:rsid w:val="00EB3DAB"/>
    <w:rsid w:val="00EB532E"/>
    <w:rsid w:val="00EC12B6"/>
    <w:rsid w:val="00EC40BF"/>
    <w:rsid w:val="00EC49BF"/>
    <w:rsid w:val="00EC5B8E"/>
    <w:rsid w:val="00EC6311"/>
    <w:rsid w:val="00EC792E"/>
    <w:rsid w:val="00EC7CBF"/>
    <w:rsid w:val="00ED28DB"/>
    <w:rsid w:val="00ED3186"/>
    <w:rsid w:val="00ED3541"/>
    <w:rsid w:val="00ED40E7"/>
    <w:rsid w:val="00ED57FD"/>
    <w:rsid w:val="00ED67CF"/>
    <w:rsid w:val="00EE14E2"/>
    <w:rsid w:val="00EE3473"/>
    <w:rsid w:val="00EE35B2"/>
    <w:rsid w:val="00EE3A76"/>
    <w:rsid w:val="00EE653C"/>
    <w:rsid w:val="00EE7C1F"/>
    <w:rsid w:val="00EF18E0"/>
    <w:rsid w:val="00EF2785"/>
    <w:rsid w:val="00EF3BF2"/>
    <w:rsid w:val="00EF69BE"/>
    <w:rsid w:val="00EF6B47"/>
    <w:rsid w:val="00EF7231"/>
    <w:rsid w:val="00F0166E"/>
    <w:rsid w:val="00F027B7"/>
    <w:rsid w:val="00F0405E"/>
    <w:rsid w:val="00F04A1A"/>
    <w:rsid w:val="00F06285"/>
    <w:rsid w:val="00F06BA9"/>
    <w:rsid w:val="00F06DFD"/>
    <w:rsid w:val="00F07119"/>
    <w:rsid w:val="00F075FE"/>
    <w:rsid w:val="00F1000F"/>
    <w:rsid w:val="00F13646"/>
    <w:rsid w:val="00F15384"/>
    <w:rsid w:val="00F15430"/>
    <w:rsid w:val="00F159F6"/>
    <w:rsid w:val="00F179C4"/>
    <w:rsid w:val="00F17A15"/>
    <w:rsid w:val="00F212CD"/>
    <w:rsid w:val="00F21610"/>
    <w:rsid w:val="00F21894"/>
    <w:rsid w:val="00F22353"/>
    <w:rsid w:val="00F264B5"/>
    <w:rsid w:val="00F3051D"/>
    <w:rsid w:val="00F31907"/>
    <w:rsid w:val="00F32FB4"/>
    <w:rsid w:val="00F33736"/>
    <w:rsid w:val="00F33E58"/>
    <w:rsid w:val="00F34435"/>
    <w:rsid w:val="00F3478B"/>
    <w:rsid w:val="00F36779"/>
    <w:rsid w:val="00F371FA"/>
    <w:rsid w:val="00F42D2D"/>
    <w:rsid w:val="00F438BC"/>
    <w:rsid w:val="00F46843"/>
    <w:rsid w:val="00F46856"/>
    <w:rsid w:val="00F55899"/>
    <w:rsid w:val="00F55D9D"/>
    <w:rsid w:val="00F57B48"/>
    <w:rsid w:val="00F57E46"/>
    <w:rsid w:val="00F57FF7"/>
    <w:rsid w:val="00F60A92"/>
    <w:rsid w:val="00F62F62"/>
    <w:rsid w:val="00F65173"/>
    <w:rsid w:val="00F65B36"/>
    <w:rsid w:val="00F67D59"/>
    <w:rsid w:val="00F719AA"/>
    <w:rsid w:val="00F72B91"/>
    <w:rsid w:val="00F741FC"/>
    <w:rsid w:val="00F746AD"/>
    <w:rsid w:val="00F746F8"/>
    <w:rsid w:val="00F7603C"/>
    <w:rsid w:val="00F77EFA"/>
    <w:rsid w:val="00F802C1"/>
    <w:rsid w:val="00F8160D"/>
    <w:rsid w:val="00F82676"/>
    <w:rsid w:val="00F833B9"/>
    <w:rsid w:val="00F8495F"/>
    <w:rsid w:val="00F87176"/>
    <w:rsid w:val="00F9219E"/>
    <w:rsid w:val="00F93B35"/>
    <w:rsid w:val="00F94F7D"/>
    <w:rsid w:val="00F96A13"/>
    <w:rsid w:val="00F96DEB"/>
    <w:rsid w:val="00F970BE"/>
    <w:rsid w:val="00F973A0"/>
    <w:rsid w:val="00F976D7"/>
    <w:rsid w:val="00FA010A"/>
    <w:rsid w:val="00FA0FCF"/>
    <w:rsid w:val="00FA182A"/>
    <w:rsid w:val="00FA23B0"/>
    <w:rsid w:val="00FA290D"/>
    <w:rsid w:val="00FA393E"/>
    <w:rsid w:val="00FA39E4"/>
    <w:rsid w:val="00FA3D0F"/>
    <w:rsid w:val="00FA4905"/>
    <w:rsid w:val="00FA7007"/>
    <w:rsid w:val="00FA77F5"/>
    <w:rsid w:val="00FB02FD"/>
    <w:rsid w:val="00FB22FC"/>
    <w:rsid w:val="00FB2F4C"/>
    <w:rsid w:val="00FB327A"/>
    <w:rsid w:val="00FB37E2"/>
    <w:rsid w:val="00FB5989"/>
    <w:rsid w:val="00FB728F"/>
    <w:rsid w:val="00FC14D4"/>
    <w:rsid w:val="00FC36B9"/>
    <w:rsid w:val="00FC383E"/>
    <w:rsid w:val="00FC3CC7"/>
    <w:rsid w:val="00FC3F92"/>
    <w:rsid w:val="00FC7FFB"/>
    <w:rsid w:val="00FD02BF"/>
    <w:rsid w:val="00FD0A97"/>
    <w:rsid w:val="00FD0B5D"/>
    <w:rsid w:val="00FD5C35"/>
    <w:rsid w:val="00FD699A"/>
    <w:rsid w:val="00FE2CF9"/>
    <w:rsid w:val="00FE2D4A"/>
    <w:rsid w:val="00FE43CF"/>
    <w:rsid w:val="00FE624B"/>
    <w:rsid w:val="00FF793A"/>
    <w:rsid w:val="02C47E45"/>
    <w:rsid w:val="04C64541"/>
    <w:rsid w:val="04EC55EC"/>
    <w:rsid w:val="052A53FB"/>
    <w:rsid w:val="0A23066B"/>
    <w:rsid w:val="0A7B2255"/>
    <w:rsid w:val="0C71559F"/>
    <w:rsid w:val="0C9F0C2A"/>
    <w:rsid w:val="0D683481"/>
    <w:rsid w:val="105477D0"/>
    <w:rsid w:val="15CE592F"/>
    <w:rsid w:val="17976BD3"/>
    <w:rsid w:val="1AD03EF7"/>
    <w:rsid w:val="1CDA72AF"/>
    <w:rsid w:val="1F6B2440"/>
    <w:rsid w:val="21501178"/>
    <w:rsid w:val="21F7445F"/>
    <w:rsid w:val="228B0719"/>
    <w:rsid w:val="22D5693C"/>
    <w:rsid w:val="22DD1BCD"/>
    <w:rsid w:val="23084AA5"/>
    <w:rsid w:val="255772E7"/>
    <w:rsid w:val="25921E3B"/>
    <w:rsid w:val="275B58E5"/>
    <w:rsid w:val="27895B59"/>
    <w:rsid w:val="28C839D2"/>
    <w:rsid w:val="29CB06AB"/>
    <w:rsid w:val="2A5B1EF1"/>
    <w:rsid w:val="2D081072"/>
    <w:rsid w:val="2DEF3B06"/>
    <w:rsid w:val="2F4B5DEA"/>
    <w:rsid w:val="31281975"/>
    <w:rsid w:val="337A0A4C"/>
    <w:rsid w:val="346C2A8B"/>
    <w:rsid w:val="39CE564E"/>
    <w:rsid w:val="3BFC5478"/>
    <w:rsid w:val="3C1A6757"/>
    <w:rsid w:val="40414DCB"/>
    <w:rsid w:val="434A043B"/>
    <w:rsid w:val="44C6554F"/>
    <w:rsid w:val="46636807"/>
    <w:rsid w:val="487344FA"/>
    <w:rsid w:val="493245E4"/>
    <w:rsid w:val="4B5736F5"/>
    <w:rsid w:val="4D2A444B"/>
    <w:rsid w:val="504041CF"/>
    <w:rsid w:val="52204789"/>
    <w:rsid w:val="540D34EB"/>
    <w:rsid w:val="5418291F"/>
    <w:rsid w:val="58AE2DC2"/>
    <w:rsid w:val="599975CF"/>
    <w:rsid w:val="5AA02487"/>
    <w:rsid w:val="5B4142B1"/>
    <w:rsid w:val="5BDC19F5"/>
    <w:rsid w:val="5C58551F"/>
    <w:rsid w:val="5E2107F4"/>
    <w:rsid w:val="5EAB5E7A"/>
    <w:rsid w:val="5FE13A7D"/>
    <w:rsid w:val="6001348B"/>
    <w:rsid w:val="601E371A"/>
    <w:rsid w:val="601F55AE"/>
    <w:rsid w:val="607E588E"/>
    <w:rsid w:val="60E2185B"/>
    <w:rsid w:val="634F4293"/>
    <w:rsid w:val="63C17E4E"/>
    <w:rsid w:val="64637915"/>
    <w:rsid w:val="64BC09D4"/>
    <w:rsid w:val="67650AF0"/>
    <w:rsid w:val="6AE724A6"/>
    <w:rsid w:val="6B413622"/>
    <w:rsid w:val="6DA5528C"/>
    <w:rsid w:val="6EC07060"/>
    <w:rsid w:val="6FB70357"/>
    <w:rsid w:val="70807521"/>
    <w:rsid w:val="71632544"/>
    <w:rsid w:val="739B4217"/>
    <w:rsid w:val="74CE23CA"/>
    <w:rsid w:val="74EC14D1"/>
    <w:rsid w:val="75BB002C"/>
    <w:rsid w:val="784F3752"/>
    <w:rsid w:val="78F9777F"/>
    <w:rsid w:val="79BD574A"/>
    <w:rsid w:val="7A537953"/>
    <w:rsid w:val="7C0C6C04"/>
    <w:rsid w:val="7DD24CD9"/>
    <w:rsid w:val="7E1F77F3"/>
    <w:rsid w:val="7E207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qFormat="1" w:unhideWhenUsed="0"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paragraph" w:styleId="4">
    <w:name w:val="heading 1"/>
    <w:basedOn w:val="1"/>
    <w:next w:val="1"/>
    <w:link w:val="53"/>
    <w:qFormat/>
    <w:uiPriority w:val="0"/>
    <w:pPr>
      <w:keepNext/>
      <w:keepLines/>
      <w:widowControl w:val="0"/>
      <w:spacing w:before="340" w:after="330" w:line="576" w:lineRule="auto"/>
      <w:outlineLvl w:val="0"/>
    </w:pPr>
    <w:rPr>
      <w:b/>
      <w:bCs/>
      <w:kern w:val="44"/>
      <w:sz w:val="44"/>
      <w:szCs w:val="44"/>
    </w:rPr>
  </w:style>
  <w:style w:type="paragraph" w:styleId="5">
    <w:name w:val="heading 2"/>
    <w:basedOn w:val="1"/>
    <w:next w:val="1"/>
    <w:link w:val="54"/>
    <w:qFormat/>
    <w:uiPriority w:val="0"/>
    <w:pPr>
      <w:keepNext/>
      <w:keepLines/>
      <w:adjustRightInd w:val="0"/>
      <w:spacing w:before="260" w:after="260" w:line="416" w:lineRule="atLeast"/>
      <w:textAlignment w:val="baseline"/>
      <w:outlineLvl w:val="1"/>
    </w:pPr>
    <w:rPr>
      <w:rFonts w:ascii="Arial" w:hAnsi="Arial" w:eastAsia="黑体"/>
      <w:b/>
      <w:kern w:val="0"/>
      <w:sz w:val="32"/>
    </w:rPr>
  </w:style>
  <w:style w:type="paragraph" w:styleId="6">
    <w:name w:val="heading 3"/>
    <w:basedOn w:val="1"/>
    <w:next w:val="1"/>
    <w:link w:val="63"/>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64"/>
    <w:unhideWhenUsed/>
    <w:qFormat/>
    <w:uiPriority w:val="0"/>
    <w:pPr>
      <w:keepNext/>
      <w:keepLines/>
      <w:spacing w:before="280" w:after="290" w:line="376" w:lineRule="auto"/>
      <w:outlineLvl w:val="3"/>
    </w:pPr>
    <w:rPr>
      <w:rFonts w:ascii="Cambria" w:hAnsi="Cambria"/>
      <w:b/>
      <w:bCs/>
      <w:sz w:val="28"/>
      <w:szCs w:val="28"/>
    </w:rPr>
  </w:style>
  <w:style w:type="paragraph" w:styleId="8">
    <w:name w:val="heading 5"/>
    <w:basedOn w:val="1"/>
    <w:next w:val="1"/>
    <w:link w:val="73"/>
    <w:unhideWhenUsed/>
    <w:qFormat/>
    <w:uiPriority w:val="0"/>
    <w:pPr>
      <w:keepNext/>
      <w:keepLines/>
      <w:spacing w:before="280" w:after="290" w:line="376" w:lineRule="auto"/>
      <w:outlineLvl w:val="4"/>
    </w:pPr>
    <w:rPr>
      <w:b/>
      <w:bCs/>
      <w:sz w:val="28"/>
      <w:szCs w:val="28"/>
    </w:rPr>
  </w:style>
  <w:style w:type="paragraph" w:styleId="9">
    <w:name w:val="heading 6"/>
    <w:basedOn w:val="1"/>
    <w:next w:val="1"/>
    <w:link w:val="74"/>
    <w:unhideWhenUsed/>
    <w:qFormat/>
    <w:uiPriority w:val="0"/>
    <w:pPr>
      <w:keepNext/>
      <w:keepLines/>
      <w:spacing w:before="240" w:after="64" w:line="320" w:lineRule="auto"/>
      <w:outlineLvl w:val="5"/>
    </w:pPr>
    <w:rPr>
      <w:rFonts w:ascii="Cambria" w:hAnsi="Cambria"/>
      <w:b/>
      <w:bCs/>
      <w:sz w:val="24"/>
      <w:szCs w:val="24"/>
    </w:rPr>
  </w:style>
  <w:style w:type="paragraph" w:styleId="10">
    <w:name w:val="heading 9"/>
    <w:basedOn w:val="1"/>
    <w:next w:val="1"/>
    <w:link w:val="65"/>
    <w:semiHidden/>
    <w:unhideWhenUsed/>
    <w:qFormat/>
    <w:uiPriority w:val="0"/>
    <w:pPr>
      <w:keepNext/>
      <w:keepLines/>
      <w:spacing w:before="240" w:after="64" w:line="320" w:lineRule="auto"/>
      <w:outlineLvl w:val="8"/>
    </w:pPr>
    <w:rPr>
      <w:rFonts w:ascii="Cambria" w:hAnsi="Cambria"/>
      <w:szCs w:val="21"/>
    </w:rPr>
  </w:style>
  <w:style w:type="character" w:default="1" w:styleId="39">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 21"/>
    <w:basedOn w:val="3"/>
    <w:qFormat/>
    <w:uiPriority w:val="0"/>
    <w:pPr>
      <w:adjustRightInd w:val="0"/>
      <w:spacing w:line="312" w:lineRule="atLeast"/>
      <w:textAlignment w:val="baseline"/>
    </w:pPr>
  </w:style>
  <w:style w:type="paragraph" w:customStyle="1" w:styleId="3">
    <w:name w:val="正文文本缩进1"/>
    <w:basedOn w:val="1"/>
    <w:qFormat/>
    <w:uiPriority w:val="0"/>
    <w:pPr>
      <w:spacing w:after="120"/>
      <w:ind w:left="420" w:leftChars="200"/>
    </w:pPr>
  </w:style>
  <w:style w:type="paragraph" w:styleId="11">
    <w:name w:val="toc 7"/>
    <w:basedOn w:val="1"/>
    <w:next w:val="1"/>
    <w:autoRedefine/>
    <w:unhideWhenUsed/>
    <w:qFormat/>
    <w:uiPriority w:val="39"/>
    <w:pPr>
      <w:ind w:left="1260"/>
      <w:jc w:val="left"/>
    </w:pPr>
    <w:rPr>
      <w:rFonts w:ascii="Calibri" w:hAnsi="Calibri" w:cs="Calibri"/>
      <w:sz w:val="18"/>
      <w:szCs w:val="18"/>
    </w:rPr>
  </w:style>
  <w:style w:type="paragraph" w:styleId="12">
    <w:name w:val="Document Map"/>
    <w:basedOn w:val="1"/>
    <w:link w:val="59"/>
    <w:unhideWhenUsed/>
    <w:qFormat/>
    <w:uiPriority w:val="0"/>
    <w:rPr>
      <w:rFonts w:ascii="宋体"/>
      <w:sz w:val="18"/>
      <w:szCs w:val="18"/>
    </w:rPr>
  </w:style>
  <w:style w:type="paragraph" w:styleId="13">
    <w:name w:val="annotation text"/>
    <w:basedOn w:val="1"/>
    <w:link w:val="56"/>
    <w:unhideWhenUsed/>
    <w:qFormat/>
    <w:uiPriority w:val="0"/>
    <w:pPr>
      <w:jc w:val="left"/>
    </w:pPr>
  </w:style>
  <w:style w:type="paragraph" w:styleId="14">
    <w:name w:val="Body Text"/>
    <w:basedOn w:val="1"/>
    <w:link w:val="72"/>
    <w:semiHidden/>
    <w:unhideWhenUsed/>
    <w:qFormat/>
    <w:uiPriority w:val="0"/>
    <w:pPr>
      <w:spacing w:after="120"/>
    </w:pPr>
  </w:style>
  <w:style w:type="paragraph" w:styleId="15">
    <w:name w:val="Body Text Indent"/>
    <w:basedOn w:val="1"/>
    <w:link w:val="60"/>
    <w:unhideWhenUsed/>
    <w:qFormat/>
    <w:uiPriority w:val="0"/>
    <w:pPr>
      <w:spacing w:line="360" w:lineRule="auto"/>
      <w:ind w:firstLine="360" w:firstLineChars="150"/>
    </w:pPr>
    <w:rPr>
      <w:sz w:val="24"/>
      <w:szCs w:val="24"/>
    </w:rPr>
  </w:style>
  <w:style w:type="paragraph" w:styleId="16">
    <w:name w:val="toc 5"/>
    <w:basedOn w:val="1"/>
    <w:next w:val="1"/>
    <w:autoRedefine/>
    <w:unhideWhenUsed/>
    <w:qFormat/>
    <w:uiPriority w:val="39"/>
    <w:pPr>
      <w:ind w:left="840"/>
      <w:jc w:val="left"/>
    </w:pPr>
    <w:rPr>
      <w:rFonts w:ascii="Calibri" w:hAnsi="Calibri" w:cs="Calibri"/>
      <w:sz w:val="18"/>
      <w:szCs w:val="18"/>
    </w:rPr>
  </w:style>
  <w:style w:type="paragraph" w:styleId="17">
    <w:name w:val="toc 3"/>
    <w:basedOn w:val="1"/>
    <w:next w:val="1"/>
    <w:autoRedefine/>
    <w:unhideWhenUsed/>
    <w:qFormat/>
    <w:uiPriority w:val="39"/>
    <w:pPr>
      <w:ind w:left="420"/>
      <w:jc w:val="left"/>
    </w:pPr>
    <w:rPr>
      <w:rFonts w:ascii="Calibri" w:hAnsi="Calibri" w:cs="Calibri"/>
      <w:i/>
      <w:iCs/>
      <w:sz w:val="20"/>
    </w:rPr>
  </w:style>
  <w:style w:type="paragraph" w:styleId="18">
    <w:name w:val="Plain Text"/>
    <w:basedOn w:val="1"/>
    <w:link w:val="50"/>
    <w:unhideWhenUsed/>
    <w:qFormat/>
    <w:uiPriority w:val="0"/>
    <w:pPr>
      <w:widowControl w:val="0"/>
    </w:pPr>
    <w:rPr>
      <w:rFonts w:ascii="宋体" w:hAnsi="Courier New"/>
      <w:kern w:val="0"/>
      <w:sz w:val="20"/>
      <w:szCs w:val="21"/>
    </w:rPr>
  </w:style>
  <w:style w:type="paragraph" w:styleId="19">
    <w:name w:val="toc 8"/>
    <w:basedOn w:val="1"/>
    <w:next w:val="1"/>
    <w:autoRedefine/>
    <w:unhideWhenUsed/>
    <w:qFormat/>
    <w:uiPriority w:val="39"/>
    <w:pPr>
      <w:ind w:left="1470"/>
      <w:jc w:val="left"/>
    </w:pPr>
    <w:rPr>
      <w:rFonts w:ascii="Calibri" w:hAnsi="Calibri" w:cs="Calibri"/>
      <w:sz w:val="18"/>
      <w:szCs w:val="18"/>
    </w:rPr>
  </w:style>
  <w:style w:type="paragraph" w:styleId="20">
    <w:name w:val="Date"/>
    <w:basedOn w:val="1"/>
    <w:next w:val="1"/>
    <w:link w:val="68"/>
    <w:qFormat/>
    <w:uiPriority w:val="0"/>
    <w:pPr>
      <w:ind w:left="100" w:leftChars="2500"/>
    </w:pPr>
  </w:style>
  <w:style w:type="paragraph" w:styleId="21">
    <w:name w:val="Body Text Indent 2"/>
    <w:basedOn w:val="1"/>
    <w:link w:val="71"/>
    <w:semiHidden/>
    <w:unhideWhenUsed/>
    <w:qFormat/>
    <w:uiPriority w:val="0"/>
    <w:pPr>
      <w:spacing w:after="120" w:line="480" w:lineRule="auto"/>
      <w:ind w:left="420" w:leftChars="200"/>
    </w:pPr>
  </w:style>
  <w:style w:type="paragraph" w:styleId="22">
    <w:name w:val="Balloon Text"/>
    <w:basedOn w:val="1"/>
    <w:link w:val="52"/>
    <w:unhideWhenUsed/>
    <w:qFormat/>
    <w:uiPriority w:val="99"/>
    <w:rPr>
      <w:sz w:val="18"/>
      <w:szCs w:val="18"/>
    </w:rPr>
  </w:style>
  <w:style w:type="paragraph" w:styleId="23">
    <w:name w:val="footer"/>
    <w:basedOn w:val="1"/>
    <w:link w:val="47"/>
    <w:unhideWhenUsed/>
    <w:qFormat/>
    <w:uiPriority w:val="99"/>
    <w:pPr>
      <w:tabs>
        <w:tab w:val="center" w:pos="4153"/>
        <w:tab w:val="right" w:pos="8306"/>
      </w:tabs>
      <w:snapToGrid w:val="0"/>
      <w:jc w:val="left"/>
    </w:pPr>
    <w:rPr>
      <w:sz w:val="18"/>
      <w:szCs w:val="18"/>
    </w:rPr>
  </w:style>
  <w:style w:type="paragraph" w:styleId="24">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autoRedefine/>
    <w:unhideWhenUsed/>
    <w:qFormat/>
    <w:uiPriority w:val="39"/>
    <w:pPr>
      <w:spacing w:before="120" w:after="120"/>
      <w:jc w:val="left"/>
    </w:pPr>
    <w:rPr>
      <w:rFonts w:ascii="Calibri" w:hAnsi="Calibri" w:cs="Calibri"/>
      <w:b/>
      <w:bCs/>
      <w:caps/>
      <w:sz w:val="20"/>
    </w:rPr>
  </w:style>
  <w:style w:type="paragraph" w:styleId="26">
    <w:name w:val="toc 4"/>
    <w:basedOn w:val="1"/>
    <w:next w:val="1"/>
    <w:autoRedefine/>
    <w:unhideWhenUsed/>
    <w:qFormat/>
    <w:uiPriority w:val="39"/>
    <w:pPr>
      <w:ind w:left="630"/>
      <w:jc w:val="left"/>
    </w:pPr>
    <w:rPr>
      <w:rFonts w:ascii="Calibri" w:hAnsi="Calibri" w:cs="Calibri"/>
      <w:sz w:val="18"/>
      <w:szCs w:val="18"/>
    </w:rPr>
  </w:style>
  <w:style w:type="paragraph" w:styleId="27">
    <w:name w:val="toc 6"/>
    <w:basedOn w:val="1"/>
    <w:next w:val="1"/>
    <w:autoRedefine/>
    <w:unhideWhenUsed/>
    <w:qFormat/>
    <w:uiPriority w:val="39"/>
    <w:pPr>
      <w:ind w:left="1050"/>
      <w:jc w:val="left"/>
    </w:pPr>
    <w:rPr>
      <w:rFonts w:ascii="Calibri" w:hAnsi="Calibri" w:cs="Calibri"/>
      <w:sz w:val="18"/>
      <w:szCs w:val="18"/>
    </w:rPr>
  </w:style>
  <w:style w:type="paragraph" w:styleId="28">
    <w:name w:val="Body Text Indent 3"/>
    <w:basedOn w:val="1"/>
    <w:link w:val="62"/>
    <w:qFormat/>
    <w:uiPriority w:val="0"/>
    <w:pPr>
      <w:widowControl w:val="0"/>
      <w:spacing w:line="400" w:lineRule="exact"/>
      <w:ind w:firstLine="630"/>
    </w:pPr>
    <w:rPr>
      <w:rFonts w:ascii="宋体" w:hAnsi="宋体"/>
      <w:szCs w:val="24"/>
    </w:rPr>
  </w:style>
  <w:style w:type="paragraph" w:styleId="29">
    <w:name w:val="toc 2"/>
    <w:basedOn w:val="1"/>
    <w:next w:val="1"/>
    <w:autoRedefine/>
    <w:unhideWhenUsed/>
    <w:qFormat/>
    <w:uiPriority w:val="39"/>
    <w:pPr>
      <w:ind w:left="210"/>
      <w:jc w:val="left"/>
    </w:pPr>
    <w:rPr>
      <w:rFonts w:ascii="Calibri" w:hAnsi="Calibri" w:cs="Calibri"/>
      <w:smallCaps/>
      <w:sz w:val="20"/>
    </w:rPr>
  </w:style>
  <w:style w:type="paragraph" w:styleId="30">
    <w:name w:val="toc 9"/>
    <w:basedOn w:val="1"/>
    <w:next w:val="1"/>
    <w:autoRedefine/>
    <w:unhideWhenUsed/>
    <w:qFormat/>
    <w:uiPriority w:val="39"/>
    <w:pPr>
      <w:ind w:left="1680"/>
      <w:jc w:val="left"/>
    </w:pPr>
    <w:rPr>
      <w:rFonts w:ascii="Calibri" w:hAnsi="Calibri" w:cs="Calibri"/>
      <w:sz w:val="18"/>
      <w:szCs w:val="18"/>
    </w:rPr>
  </w:style>
  <w:style w:type="paragraph" w:styleId="31">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2">
    <w:name w:val="Normal (Web)"/>
    <w:basedOn w:val="1"/>
    <w:unhideWhenUsed/>
    <w:qFormat/>
    <w:uiPriority w:val="0"/>
    <w:pPr>
      <w:spacing w:before="100" w:beforeAutospacing="1" w:after="100" w:afterAutospacing="1"/>
      <w:jc w:val="left"/>
    </w:pPr>
    <w:rPr>
      <w:rFonts w:ascii="宋体" w:hAnsi="宋体" w:cs="宋体"/>
      <w:kern w:val="0"/>
      <w:sz w:val="24"/>
      <w:szCs w:val="24"/>
    </w:rPr>
  </w:style>
  <w:style w:type="paragraph" w:styleId="33">
    <w:name w:val="index 1"/>
    <w:basedOn w:val="1"/>
    <w:next w:val="1"/>
    <w:autoRedefine/>
    <w:semiHidden/>
    <w:qFormat/>
    <w:uiPriority w:val="0"/>
    <w:pPr>
      <w:widowControl w:val="0"/>
      <w:spacing w:line="360" w:lineRule="auto"/>
    </w:pPr>
    <w:rPr>
      <w:rFonts w:ascii="宋体"/>
      <w:b/>
      <w:color w:val="0000FF"/>
      <w:sz w:val="24"/>
      <w:szCs w:val="24"/>
    </w:rPr>
  </w:style>
  <w:style w:type="paragraph" w:styleId="34">
    <w:name w:val="annotation subject"/>
    <w:basedOn w:val="13"/>
    <w:next w:val="13"/>
    <w:link w:val="57"/>
    <w:unhideWhenUsed/>
    <w:qFormat/>
    <w:uiPriority w:val="0"/>
    <w:rPr>
      <w:b/>
      <w:bCs/>
    </w:rPr>
  </w:style>
  <w:style w:type="paragraph" w:styleId="35">
    <w:name w:val="Body Text First Indent 2"/>
    <w:basedOn w:val="15"/>
    <w:link w:val="67"/>
    <w:qFormat/>
    <w:uiPriority w:val="0"/>
    <w:pPr>
      <w:widowControl w:val="0"/>
      <w:ind w:firstLine="420" w:firstLineChars="200"/>
    </w:pPr>
    <w:rPr>
      <w:rFonts w:ascii="宋体"/>
      <w:szCs w:val="20"/>
    </w:rPr>
  </w:style>
  <w:style w:type="table" w:styleId="37">
    <w:name w:val="Table Grid"/>
    <w:basedOn w:val="36"/>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8">
    <w:name w:val="Light Shading Accent 4"/>
    <w:basedOn w:val="36"/>
    <w:qFormat/>
    <w:uiPriority w:val="60"/>
    <w:rPr>
      <w:color w:val="5F497A"/>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40">
    <w:name w:val="Strong"/>
    <w:basedOn w:val="39"/>
    <w:qFormat/>
    <w:uiPriority w:val="0"/>
    <w:rPr>
      <w:b/>
      <w:bCs/>
    </w:rPr>
  </w:style>
  <w:style w:type="character" w:styleId="41">
    <w:name w:val="Emphasis"/>
    <w:basedOn w:val="39"/>
    <w:qFormat/>
    <w:uiPriority w:val="0"/>
    <w:rPr>
      <w:i/>
      <w:iCs/>
    </w:rPr>
  </w:style>
  <w:style w:type="character" w:styleId="42">
    <w:name w:val="Hyperlink"/>
    <w:unhideWhenUsed/>
    <w:qFormat/>
    <w:uiPriority w:val="99"/>
    <w:rPr>
      <w:color w:val="0000FF"/>
      <w:u w:val="single"/>
    </w:rPr>
  </w:style>
  <w:style w:type="character" w:styleId="43">
    <w:name w:val="annotation reference"/>
    <w:unhideWhenUsed/>
    <w:qFormat/>
    <w:uiPriority w:val="0"/>
    <w:rPr>
      <w:sz w:val="21"/>
      <w:szCs w:val="21"/>
    </w:rPr>
  </w:style>
  <w:style w:type="character" w:styleId="44">
    <w:name w:val="HTML Sample"/>
    <w:semiHidden/>
    <w:qFormat/>
    <w:uiPriority w:val="0"/>
    <w:rPr>
      <w:rFonts w:ascii="Courier New" w:hAnsi="Courier New" w:cs="Courier New"/>
    </w:rPr>
  </w:style>
  <w:style w:type="paragraph" w:customStyle="1" w:styleId="45">
    <w:name w:val="xl53"/>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rPr>
  </w:style>
  <w:style w:type="character" w:customStyle="1" w:styleId="46">
    <w:name w:val="页眉 Char"/>
    <w:link w:val="24"/>
    <w:qFormat/>
    <w:uiPriority w:val="99"/>
    <w:rPr>
      <w:kern w:val="2"/>
      <w:sz w:val="18"/>
      <w:szCs w:val="18"/>
    </w:rPr>
  </w:style>
  <w:style w:type="character" w:customStyle="1" w:styleId="47">
    <w:name w:val="页脚 Char"/>
    <w:link w:val="23"/>
    <w:qFormat/>
    <w:uiPriority w:val="99"/>
    <w:rPr>
      <w:kern w:val="2"/>
      <w:sz w:val="18"/>
      <w:szCs w:val="18"/>
    </w:rPr>
  </w:style>
  <w:style w:type="paragraph" w:customStyle="1" w:styleId="48">
    <w:name w:val="List Paragraph1"/>
    <w:basedOn w:val="1"/>
    <w:qFormat/>
    <w:uiPriority w:val="99"/>
    <w:pPr>
      <w:ind w:firstLine="420" w:firstLineChars="200"/>
    </w:pPr>
  </w:style>
  <w:style w:type="paragraph" w:customStyle="1" w:styleId="49">
    <w:name w:val="p0"/>
    <w:basedOn w:val="1"/>
    <w:qFormat/>
    <w:uiPriority w:val="0"/>
    <w:rPr>
      <w:rFonts w:ascii="Calibri" w:hAnsi="Calibri" w:cs="宋体"/>
      <w:kern w:val="0"/>
      <w:szCs w:val="21"/>
    </w:rPr>
  </w:style>
  <w:style w:type="character" w:customStyle="1" w:styleId="50">
    <w:name w:val="纯文本 Char"/>
    <w:link w:val="18"/>
    <w:qFormat/>
    <w:locked/>
    <w:uiPriority w:val="0"/>
    <w:rPr>
      <w:rFonts w:ascii="宋体" w:hAnsi="Courier New"/>
      <w:szCs w:val="21"/>
      <w:lang w:bidi="ar-SA"/>
    </w:rPr>
  </w:style>
  <w:style w:type="paragraph" w:styleId="51">
    <w:name w:val="List Paragraph"/>
    <w:basedOn w:val="1"/>
    <w:qFormat/>
    <w:uiPriority w:val="34"/>
    <w:pPr>
      <w:widowControl w:val="0"/>
      <w:ind w:firstLine="420" w:firstLineChars="200"/>
    </w:pPr>
    <w:rPr>
      <w:szCs w:val="24"/>
    </w:rPr>
  </w:style>
  <w:style w:type="character" w:customStyle="1" w:styleId="52">
    <w:name w:val="批注框文本 Char"/>
    <w:link w:val="22"/>
    <w:semiHidden/>
    <w:qFormat/>
    <w:uiPriority w:val="99"/>
    <w:rPr>
      <w:kern w:val="2"/>
      <w:sz w:val="18"/>
      <w:szCs w:val="18"/>
    </w:rPr>
  </w:style>
  <w:style w:type="character" w:customStyle="1" w:styleId="53">
    <w:name w:val="标题 1 Char"/>
    <w:link w:val="4"/>
    <w:qFormat/>
    <w:uiPriority w:val="0"/>
    <w:rPr>
      <w:b/>
      <w:bCs/>
      <w:kern w:val="44"/>
      <w:sz w:val="44"/>
      <w:szCs w:val="44"/>
    </w:rPr>
  </w:style>
  <w:style w:type="character" w:customStyle="1" w:styleId="54">
    <w:name w:val="标题 2 Char"/>
    <w:link w:val="5"/>
    <w:qFormat/>
    <w:uiPriority w:val="0"/>
    <w:rPr>
      <w:rFonts w:ascii="Arial" w:hAnsi="Arial" w:eastAsia="黑体"/>
      <w:b/>
      <w:sz w:val="32"/>
    </w:rPr>
  </w:style>
  <w:style w:type="paragraph" w:customStyle="1" w:styleId="55">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56">
    <w:name w:val="批注文字 Char"/>
    <w:link w:val="13"/>
    <w:qFormat/>
    <w:uiPriority w:val="0"/>
    <w:rPr>
      <w:kern w:val="2"/>
      <w:sz w:val="21"/>
    </w:rPr>
  </w:style>
  <w:style w:type="character" w:customStyle="1" w:styleId="57">
    <w:name w:val="批注主题 Char"/>
    <w:link w:val="34"/>
    <w:qFormat/>
    <w:uiPriority w:val="0"/>
    <w:rPr>
      <w:b/>
      <w:bCs/>
      <w:kern w:val="2"/>
      <w:sz w:val="21"/>
    </w:rPr>
  </w:style>
  <w:style w:type="paragraph" w:customStyle="1" w:styleId="58">
    <w:name w:val="修订1"/>
    <w:hidden/>
    <w:semiHidden/>
    <w:qFormat/>
    <w:uiPriority w:val="99"/>
    <w:rPr>
      <w:rFonts w:ascii="Times New Roman" w:hAnsi="Times New Roman" w:eastAsia="宋体" w:cs="Times New Roman"/>
      <w:kern w:val="2"/>
      <w:sz w:val="21"/>
      <w:lang w:val="en-US" w:eastAsia="zh-CN" w:bidi="ar-SA"/>
    </w:rPr>
  </w:style>
  <w:style w:type="character" w:customStyle="1" w:styleId="59">
    <w:name w:val="文档结构图 Char"/>
    <w:link w:val="12"/>
    <w:qFormat/>
    <w:uiPriority w:val="0"/>
    <w:rPr>
      <w:rFonts w:ascii="宋体"/>
      <w:kern w:val="2"/>
      <w:sz w:val="18"/>
      <w:szCs w:val="18"/>
    </w:rPr>
  </w:style>
  <w:style w:type="character" w:customStyle="1" w:styleId="60">
    <w:name w:val="正文文本缩进 Char"/>
    <w:link w:val="15"/>
    <w:qFormat/>
    <w:uiPriority w:val="0"/>
    <w:rPr>
      <w:kern w:val="2"/>
      <w:sz w:val="24"/>
      <w:szCs w:val="24"/>
    </w:rPr>
  </w:style>
  <w:style w:type="paragraph" w:customStyle="1" w:styleId="61">
    <w:name w:val="列出段落1"/>
    <w:basedOn w:val="1"/>
    <w:qFormat/>
    <w:uiPriority w:val="34"/>
    <w:pPr>
      <w:widowControl w:val="0"/>
      <w:ind w:firstLine="420" w:firstLineChars="200"/>
    </w:pPr>
    <w:rPr>
      <w:rFonts w:ascii="Calibri" w:hAnsi="Calibri"/>
      <w:szCs w:val="22"/>
    </w:rPr>
  </w:style>
  <w:style w:type="character" w:customStyle="1" w:styleId="62">
    <w:name w:val="正文文本缩进 3 Char"/>
    <w:basedOn w:val="39"/>
    <w:link w:val="28"/>
    <w:qFormat/>
    <w:uiPriority w:val="0"/>
    <w:rPr>
      <w:rFonts w:ascii="宋体" w:hAnsi="宋体"/>
      <w:kern w:val="2"/>
      <w:sz w:val="21"/>
      <w:szCs w:val="24"/>
    </w:rPr>
  </w:style>
  <w:style w:type="character" w:customStyle="1" w:styleId="63">
    <w:name w:val="标题 3 Char"/>
    <w:basedOn w:val="39"/>
    <w:link w:val="6"/>
    <w:qFormat/>
    <w:uiPriority w:val="0"/>
    <w:rPr>
      <w:b/>
      <w:bCs/>
      <w:kern w:val="2"/>
      <w:sz w:val="32"/>
      <w:szCs w:val="32"/>
    </w:rPr>
  </w:style>
  <w:style w:type="character" w:customStyle="1" w:styleId="64">
    <w:name w:val="标题 4 Char"/>
    <w:basedOn w:val="39"/>
    <w:link w:val="7"/>
    <w:qFormat/>
    <w:uiPriority w:val="0"/>
    <w:rPr>
      <w:rFonts w:ascii="Cambria" w:hAnsi="Cambria" w:eastAsia="宋体" w:cs="Times New Roman"/>
      <w:b/>
      <w:bCs/>
      <w:kern w:val="2"/>
      <w:sz w:val="28"/>
      <w:szCs w:val="28"/>
    </w:rPr>
  </w:style>
  <w:style w:type="character" w:customStyle="1" w:styleId="65">
    <w:name w:val="标题 9 Char"/>
    <w:basedOn w:val="39"/>
    <w:link w:val="10"/>
    <w:semiHidden/>
    <w:qFormat/>
    <w:uiPriority w:val="0"/>
    <w:rPr>
      <w:rFonts w:ascii="Cambria" w:hAnsi="Cambria" w:eastAsia="宋体" w:cs="Times New Roman"/>
      <w:kern w:val="2"/>
      <w:sz w:val="21"/>
      <w:szCs w:val="21"/>
    </w:rPr>
  </w:style>
  <w:style w:type="character" w:customStyle="1" w:styleId="66">
    <w:name w:val="标题 9 字符"/>
    <w:qFormat/>
    <w:uiPriority w:val="0"/>
    <w:rPr>
      <w:rFonts w:ascii="Arial" w:hAnsi="Arial" w:eastAsia="黑体" w:cs="Times New Roman"/>
      <w:kern w:val="0"/>
      <w:szCs w:val="21"/>
    </w:rPr>
  </w:style>
  <w:style w:type="character" w:customStyle="1" w:styleId="67">
    <w:name w:val="正文首行缩进 2 Char"/>
    <w:basedOn w:val="60"/>
    <w:link w:val="35"/>
    <w:qFormat/>
    <w:uiPriority w:val="0"/>
    <w:rPr>
      <w:rFonts w:ascii="宋体"/>
      <w:kern w:val="2"/>
      <w:sz w:val="24"/>
      <w:szCs w:val="24"/>
    </w:rPr>
  </w:style>
  <w:style w:type="character" w:customStyle="1" w:styleId="68">
    <w:name w:val="日期 Char"/>
    <w:basedOn w:val="39"/>
    <w:link w:val="20"/>
    <w:qFormat/>
    <w:uiPriority w:val="0"/>
    <w:rPr>
      <w:kern w:val="2"/>
      <w:sz w:val="21"/>
    </w:rPr>
  </w:style>
  <w:style w:type="paragraph" w:customStyle="1" w:styleId="69">
    <w:name w:val="Char1 Char Char Char"/>
    <w:basedOn w:val="1"/>
    <w:qFormat/>
    <w:uiPriority w:val="0"/>
    <w:pPr>
      <w:widowControl w:val="0"/>
      <w:spacing w:line="360" w:lineRule="auto"/>
      <w:ind w:left="230" w:leftChars="230"/>
    </w:pPr>
    <w:rPr>
      <w:rFonts w:ascii="Arial" w:hAnsi="Arial" w:cs="Arial"/>
      <w:sz w:val="20"/>
    </w:rPr>
  </w:style>
  <w:style w:type="paragraph" w:customStyle="1" w:styleId="70">
    <w:name w:val="Char"/>
    <w:basedOn w:val="1"/>
    <w:autoRedefine/>
    <w:qFormat/>
    <w:uiPriority w:val="0"/>
    <w:pPr>
      <w:spacing w:after="160" w:line="240" w:lineRule="exact"/>
      <w:jc w:val="left"/>
    </w:pPr>
    <w:rPr>
      <w:rFonts w:ascii="Verdana" w:hAnsi="Verdana" w:eastAsia="仿宋_GB2312"/>
      <w:spacing w:val="-4"/>
      <w:kern w:val="0"/>
      <w:sz w:val="24"/>
      <w:lang w:eastAsia="en-US"/>
    </w:rPr>
  </w:style>
  <w:style w:type="character" w:customStyle="1" w:styleId="71">
    <w:name w:val="正文文本缩进 2 Char"/>
    <w:basedOn w:val="39"/>
    <w:link w:val="21"/>
    <w:semiHidden/>
    <w:qFormat/>
    <w:uiPriority w:val="0"/>
    <w:rPr>
      <w:kern w:val="2"/>
      <w:sz w:val="21"/>
    </w:rPr>
  </w:style>
  <w:style w:type="character" w:customStyle="1" w:styleId="72">
    <w:name w:val="正文文本 Char"/>
    <w:basedOn w:val="39"/>
    <w:link w:val="14"/>
    <w:semiHidden/>
    <w:qFormat/>
    <w:uiPriority w:val="0"/>
    <w:rPr>
      <w:kern w:val="2"/>
      <w:sz w:val="21"/>
    </w:rPr>
  </w:style>
  <w:style w:type="character" w:customStyle="1" w:styleId="73">
    <w:name w:val="标题 5 Char"/>
    <w:basedOn w:val="39"/>
    <w:link w:val="8"/>
    <w:qFormat/>
    <w:uiPriority w:val="0"/>
    <w:rPr>
      <w:b/>
      <w:bCs/>
      <w:kern w:val="2"/>
      <w:sz w:val="28"/>
      <w:szCs w:val="28"/>
    </w:rPr>
  </w:style>
  <w:style w:type="character" w:customStyle="1" w:styleId="74">
    <w:name w:val="标题 6 Char"/>
    <w:basedOn w:val="39"/>
    <w:link w:val="9"/>
    <w:qFormat/>
    <w:uiPriority w:val="0"/>
    <w:rPr>
      <w:rFonts w:ascii="Cambria" w:hAnsi="Cambria" w:eastAsia="宋体" w:cs="Times New Roman"/>
      <w:b/>
      <w:bCs/>
      <w:kern w:val="2"/>
      <w:sz w:val="24"/>
      <w:szCs w:val="24"/>
    </w:rPr>
  </w:style>
  <w:style w:type="character" w:customStyle="1" w:styleId="75">
    <w:name w:val="font21"/>
    <w:basedOn w:val="39"/>
    <w:qFormat/>
    <w:uiPriority w:val="0"/>
    <w:rPr>
      <w:rFonts w:ascii="宋体" w:hAnsi="宋体" w:eastAsia="宋体" w:cs="宋体"/>
      <w:b/>
      <w:bCs/>
      <w:color w:val="000000"/>
      <w:sz w:val="28"/>
      <w:szCs w:val="28"/>
      <w:u w:val="none"/>
    </w:rPr>
  </w:style>
  <w:style w:type="character" w:customStyle="1" w:styleId="76">
    <w:name w:val="font11"/>
    <w:basedOn w:val="39"/>
    <w:qFormat/>
    <w:uiPriority w:val="0"/>
    <w:rPr>
      <w:rFonts w:hint="eastAsia" w:ascii="仿宋" w:hAnsi="仿宋" w:eastAsia="仿宋" w:cs="仿宋"/>
      <w:b/>
      <w:bCs/>
      <w:color w:val="000000"/>
      <w:sz w:val="28"/>
      <w:szCs w:val="28"/>
      <w:u w:val="non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microsoft.com/office/2006/relationships/keyMapCustomizations" Target="customizations.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wmf"/><Relationship Id="rId18" Type="http://schemas.openxmlformats.org/officeDocument/2006/relationships/oleObject" Target="embeddings/oleObject2.bin"/><Relationship Id="rId17" Type="http://schemas.openxmlformats.org/officeDocument/2006/relationships/image" Target="media/image3.w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102</Pages>
  <Words>5950</Words>
  <Characters>6346</Characters>
  <Lines>306</Lines>
  <Paragraphs>86</Paragraphs>
  <TotalTime>18</TotalTime>
  <ScaleCrop>false</ScaleCrop>
  <LinksUpToDate>false</LinksUpToDate>
  <CharactersWithSpaces>7238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2026-01-04T06:16:00Z</dcterms:created>
  <dc:creator>Administrator</dc:creator>
  <cp:lastModifiedBy>李家乐</cp:lastModifiedBy>
  <cp:lastPrinted>2026-01-04T10:14:00Z</cp:lastPrinted>
  <dcterms:modified xsi:type="dcterms:W3CDTF">2026-09-05T09:54:15Z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6F3F0A03954C45A597498CD15ECBFE28_13</vt:lpwstr>
  </property>
  <property fmtid="{D5CDD505-2E9C-101B-9397-08002B2CF9AE}" pid="4" name="KSOTemplateDocerSaveRecord">
    <vt:lpwstr>eyJoZGlkIjoiOTJkMjhkMGYxYzA1OGY3N2EzZmJmODFlY2U5NmVlYTUiLCJ1c2VySWQiOiI0NjA0OTI0MDYifQ==</vt:lpwstr>
  </property>
</Properties>
</file>