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5BA903">
      <w:pPr>
        <w:spacing w:line="276" w:lineRule="auto"/>
        <w:jc w:val="both"/>
        <w:rPr>
          <w:rFonts w:hint="eastAsia" w:ascii="宋体" w:hAnsi="宋体" w:eastAsia="宋体" w:cs="Calibri"/>
          <w:b/>
          <w:color w:val="auto"/>
          <w:sz w:val="44"/>
          <w:highlight w:val="none"/>
          <w:shd w:val="clear" w:color="060000" w:fill="auto"/>
          <w:lang w:val="en-US" w:eastAsia="zh-CN"/>
        </w:rPr>
      </w:pPr>
    </w:p>
    <w:p w14:paraId="334C07D8">
      <w:pPr>
        <w:spacing w:line="276" w:lineRule="auto"/>
        <w:jc w:val="center"/>
        <w:rPr>
          <w:rFonts w:ascii="宋体" w:hAnsi="宋体" w:cs="Calibri"/>
          <w:b/>
          <w:color w:val="auto"/>
          <w:sz w:val="44"/>
          <w:highlight w:val="none"/>
          <w:shd w:val="clear" w:color="060000" w:fill="auto"/>
        </w:rPr>
      </w:pPr>
    </w:p>
    <w:p w14:paraId="6E37BDB4">
      <w:pPr>
        <w:spacing w:line="276" w:lineRule="auto"/>
        <w:jc w:val="center"/>
        <w:rPr>
          <w:rFonts w:ascii="黑体" w:hAnsi="黑体" w:eastAsia="黑体" w:cs="黑体"/>
          <w:color w:val="auto"/>
          <w:sz w:val="52"/>
          <w:szCs w:val="52"/>
          <w:highlight w:val="none"/>
          <w:shd w:val="clear" w:color="060000" w:fill="auto"/>
        </w:rPr>
      </w:pPr>
      <w:r>
        <w:rPr>
          <w:rFonts w:hint="eastAsia" w:ascii="黑体" w:hAnsi="黑体" w:eastAsia="黑体" w:cs="黑体"/>
          <w:color w:val="auto"/>
          <w:sz w:val="52"/>
          <w:szCs w:val="52"/>
          <w:highlight w:val="none"/>
          <w:shd w:val="clear" w:color="060000" w:fill="auto"/>
        </w:rPr>
        <w:t>深圳第一亚太物业管理有限公司</w:t>
      </w:r>
    </w:p>
    <w:p w14:paraId="3B534803">
      <w:pPr>
        <w:spacing w:line="276" w:lineRule="auto"/>
        <w:jc w:val="center"/>
        <w:rPr>
          <w:rFonts w:ascii="黑体" w:hAnsi="黑体" w:eastAsia="黑体" w:cs="黑体"/>
          <w:b/>
          <w:color w:val="auto"/>
          <w:sz w:val="48"/>
          <w:highlight w:val="none"/>
          <w:shd w:val="clear" w:color="060000" w:fill="auto"/>
        </w:rPr>
      </w:pPr>
    </w:p>
    <w:p w14:paraId="00BDBC21">
      <w:pPr>
        <w:spacing w:line="276" w:lineRule="auto"/>
        <w:jc w:val="center"/>
        <w:rPr>
          <w:rFonts w:ascii="黑体" w:hAnsi="黑体" w:eastAsia="黑体" w:cs="黑体"/>
          <w:b/>
          <w:color w:val="auto"/>
          <w:sz w:val="48"/>
          <w:highlight w:val="none"/>
          <w:shd w:val="clear" w:color="060000" w:fill="auto"/>
        </w:rPr>
      </w:pPr>
    </w:p>
    <w:p w14:paraId="6C597B98">
      <w:pPr>
        <w:spacing w:line="276" w:lineRule="auto"/>
        <w:jc w:val="center"/>
        <w:rPr>
          <w:rFonts w:ascii="黑体" w:hAnsi="黑体" w:eastAsia="黑体" w:cs="黑体"/>
          <w:color w:val="auto"/>
          <w:sz w:val="72"/>
          <w:szCs w:val="72"/>
          <w:highlight w:val="none"/>
          <w:shd w:val="clear" w:color="060000" w:fill="auto"/>
        </w:rPr>
      </w:pPr>
      <w:r>
        <w:rPr>
          <w:rFonts w:hint="eastAsia" w:ascii="黑体" w:hAnsi="黑体" w:eastAsia="黑体" w:cs="黑体"/>
          <w:color w:val="auto"/>
          <w:sz w:val="72"/>
          <w:szCs w:val="72"/>
          <w:highlight w:val="none"/>
          <w:shd w:val="clear" w:color="060000" w:fill="auto"/>
        </w:rPr>
        <w:t>非依法必须招标项目</w:t>
      </w:r>
    </w:p>
    <w:p w14:paraId="73E34FFF">
      <w:pPr>
        <w:spacing w:line="276" w:lineRule="auto"/>
        <w:jc w:val="center"/>
        <w:rPr>
          <w:rFonts w:ascii="黑体" w:hAnsi="黑体" w:eastAsia="黑体" w:cs="黑体"/>
          <w:color w:val="auto"/>
          <w:sz w:val="72"/>
          <w:szCs w:val="72"/>
          <w:highlight w:val="none"/>
          <w:shd w:val="clear" w:color="060000" w:fill="auto"/>
        </w:rPr>
      </w:pPr>
      <w:r>
        <w:rPr>
          <w:rFonts w:hint="eastAsia" w:ascii="黑体" w:hAnsi="黑体" w:eastAsia="黑体" w:cs="黑体"/>
          <w:color w:val="auto"/>
          <w:sz w:val="72"/>
          <w:szCs w:val="72"/>
          <w:highlight w:val="none"/>
          <w:shd w:val="clear" w:color="060000" w:fill="auto"/>
        </w:rPr>
        <w:t>服务类招标文件</w:t>
      </w:r>
    </w:p>
    <w:p w14:paraId="0F10E734">
      <w:pPr>
        <w:widowControl w:val="0"/>
        <w:spacing w:line="240" w:lineRule="auto"/>
        <w:ind w:left="988"/>
        <w:jc w:val="center"/>
        <w:rPr>
          <w:rFonts w:ascii="宋体" w:hAnsi="宋体" w:cs="黑体"/>
          <w:b/>
          <w:color w:val="auto"/>
          <w:sz w:val="72"/>
          <w:highlight w:val="none"/>
          <w:shd w:val="clear" w:color="060000" w:fill="auto"/>
        </w:rPr>
      </w:pPr>
      <w:r>
        <w:rPr>
          <w:rFonts w:hint="eastAsia" w:ascii="仿宋" w:hAnsi="仿宋" w:eastAsia="仿宋" w:cs="Times New Roman"/>
          <w:b/>
          <w:bCs w:val="0"/>
          <w:color w:val="auto"/>
          <w:kern w:val="2"/>
          <w:sz w:val="36"/>
          <w:szCs w:val="36"/>
          <w:highlight w:val="none"/>
          <w:shd w:val="clear"/>
          <w:lang w:val="en-US" w:eastAsia="zh-CN"/>
        </w:rPr>
        <w:t>（第二次）</w:t>
      </w:r>
    </w:p>
    <w:p w14:paraId="0B08B6AC">
      <w:pPr>
        <w:spacing w:line="276" w:lineRule="auto"/>
        <w:jc w:val="center"/>
        <w:rPr>
          <w:rFonts w:ascii="宋体" w:hAnsi="宋体" w:cs="黑体"/>
          <w:b/>
          <w:color w:val="auto"/>
          <w:sz w:val="72"/>
          <w:highlight w:val="none"/>
          <w:shd w:val="clear" w:color="060000" w:fill="auto"/>
        </w:rPr>
      </w:pPr>
    </w:p>
    <w:p w14:paraId="2224D8FF">
      <w:pPr>
        <w:spacing w:line="276" w:lineRule="auto"/>
        <w:ind w:firstLine="0"/>
        <w:jc w:val="both"/>
        <w:rPr>
          <w:rFonts w:ascii="宋体" w:hAnsi="宋体" w:cs="黑体"/>
          <w:b/>
          <w:color w:val="auto"/>
          <w:sz w:val="44"/>
          <w:highlight w:val="none"/>
          <w:shd w:val="clear" w:color="060000" w:fill="auto"/>
        </w:rPr>
      </w:pPr>
    </w:p>
    <w:p w14:paraId="20F813BA">
      <w:pPr>
        <w:spacing w:line="276" w:lineRule="auto"/>
        <w:ind w:left="-30076"/>
        <w:rPr>
          <w:rFonts w:ascii="宋体" w:hAnsi="宋体" w:cs="Calibri"/>
          <w:b/>
          <w:color w:val="auto"/>
          <w:sz w:val="44"/>
          <w:highlight w:val="none"/>
          <w:shd w:val="clear" w:color="060000" w:fill="auto"/>
        </w:rPr>
      </w:pPr>
    </w:p>
    <w:p w14:paraId="4DE46EE9">
      <w:pPr>
        <w:spacing w:line="360" w:lineRule="auto"/>
        <w:ind w:firstLine="320" w:firstLineChars="100"/>
        <w:rPr>
          <w:rFonts w:hint="default" w:ascii="仿宋" w:hAnsi="仿宋" w:eastAsia="仿宋" w:cs="宋体"/>
          <w:bCs/>
          <w:color w:val="auto"/>
          <w:sz w:val="32"/>
          <w:szCs w:val="32"/>
          <w:highlight w:val="none"/>
          <w:u w:val="single"/>
          <w:lang w:val="en-US"/>
        </w:rPr>
      </w:pPr>
      <w:r>
        <w:rPr>
          <w:rFonts w:hint="eastAsia" w:ascii="黑体" w:hAnsi="黑体" w:eastAsia="黑体" w:cs="黑体"/>
          <w:color w:val="auto"/>
          <w:sz w:val="32"/>
          <w:szCs w:val="32"/>
          <w:highlight w:val="none"/>
          <w:shd w:val="clear" w:color="050000" w:fill="auto"/>
        </w:rPr>
        <w:t>招标项目名称：</w:t>
      </w:r>
      <w:r>
        <w:rPr>
          <w:rFonts w:hint="eastAsia" w:ascii="仿宋" w:hAnsi="仿宋" w:eastAsia="仿宋" w:cs="宋体"/>
          <w:b w:val="0"/>
          <w:bCs/>
          <w:color w:val="auto"/>
          <w:kern w:val="2"/>
          <w:sz w:val="32"/>
          <w:szCs w:val="32"/>
          <w:highlight w:val="none"/>
          <w:u w:val="single"/>
          <w:shd w:val="clear"/>
          <w:lang w:val="en-US" w:eastAsia="zh-CN"/>
        </w:rPr>
        <w:t>第一亚太重庆分公司物业费欠费追缴诉讼服务（第二次）</w:t>
      </w:r>
    </w:p>
    <w:p w14:paraId="62D2B02F">
      <w:pPr>
        <w:spacing w:line="360" w:lineRule="auto"/>
        <w:ind w:firstLine="320" w:firstLineChars="100"/>
        <w:rPr>
          <w:rFonts w:ascii="仿宋" w:hAnsi="仿宋" w:eastAsia="仿宋" w:cs="仿宋"/>
          <w:color w:val="auto"/>
          <w:sz w:val="32"/>
          <w:szCs w:val="32"/>
          <w:highlight w:val="none"/>
          <w:u w:val="single"/>
        </w:rPr>
      </w:pPr>
      <w:r>
        <w:rPr>
          <w:rFonts w:hint="eastAsia" w:ascii="黑体" w:hAnsi="黑体" w:eastAsia="黑体" w:cs="黑体"/>
          <w:color w:val="auto"/>
          <w:sz w:val="32"/>
          <w:szCs w:val="32"/>
          <w:highlight w:val="none"/>
          <w:shd w:val="clear" w:color="050000" w:fill="auto"/>
        </w:rPr>
        <w:t xml:space="preserve">项 目 地 </w:t>
      </w:r>
      <w:r>
        <w:rPr>
          <w:rFonts w:hint="eastAsia" w:ascii="黑体" w:hAnsi="黑体" w:eastAsia="黑体" w:cs="黑体"/>
          <w:color w:val="auto"/>
          <w:sz w:val="32"/>
          <w:szCs w:val="32"/>
          <w:highlight w:val="none"/>
          <w:shd w:val="clear" w:color="050000" w:fill="auto"/>
          <w:lang w:val="en-US" w:eastAsia="zh-CN"/>
        </w:rPr>
        <w:t xml:space="preserve"> </w:t>
      </w:r>
      <w:r>
        <w:rPr>
          <w:rFonts w:hint="eastAsia" w:ascii="黑体" w:hAnsi="黑体" w:eastAsia="黑体" w:cs="黑体"/>
          <w:color w:val="auto"/>
          <w:sz w:val="32"/>
          <w:szCs w:val="32"/>
          <w:highlight w:val="none"/>
          <w:shd w:val="clear" w:color="050000" w:fill="auto"/>
        </w:rPr>
        <w:t>点：</w:t>
      </w:r>
      <w:r>
        <w:rPr>
          <w:rFonts w:hint="eastAsia" w:ascii="仿宋" w:hAnsi="仿宋" w:eastAsia="仿宋" w:cs="宋体"/>
          <w:bCs/>
          <w:color w:val="auto"/>
          <w:sz w:val="32"/>
          <w:szCs w:val="32"/>
          <w:highlight w:val="none"/>
          <w:u w:val="single"/>
          <w:lang w:val="en-US" w:eastAsia="zh-CN"/>
        </w:rPr>
        <w:t>重庆华南城巴南华府项目</w:t>
      </w:r>
    </w:p>
    <w:p w14:paraId="73C56A36">
      <w:pPr>
        <w:spacing w:line="360" w:lineRule="auto"/>
        <w:ind w:firstLine="320" w:firstLineChars="100"/>
        <w:rPr>
          <w:rFonts w:ascii="黑体" w:hAnsi="黑体" w:eastAsia="黑体" w:cs="黑体"/>
          <w:color w:val="auto"/>
          <w:sz w:val="32"/>
          <w:highlight w:val="none"/>
          <w:u w:val="single"/>
          <w:shd w:val="clear" w:color="060000" w:fill="auto"/>
        </w:rPr>
      </w:pPr>
      <w:r>
        <w:rPr>
          <w:rFonts w:hint="eastAsia" w:ascii="黑体" w:hAnsi="黑体" w:eastAsia="黑体" w:cs="黑体"/>
          <w:color w:val="auto"/>
          <w:sz w:val="32"/>
          <w:highlight w:val="none"/>
          <w:shd w:val="clear" w:color="050000" w:fill="auto"/>
        </w:rPr>
        <w:t xml:space="preserve">招   标  </w:t>
      </w:r>
      <w:r>
        <w:rPr>
          <w:rFonts w:hint="eastAsia" w:ascii="黑体" w:hAnsi="黑体" w:eastAsia="黑体" w:cs="黑体"/>
          <w:color w:val="auto"/>
          <w:sz w:val="32"/>
          <w:highlight w:val="none"/>
          <w:shd w:val="clear" w:color="050000" w:fill="auto"/>
          <w:lang w:val="en-US" w:eastAsia="zh-CN"/>
        </w:rPr>
        <w:t xml:space="preserve"> </w:t>
      </w:r>
      <w:r>
        <w:rPr>
          <w:rFonts w:hint="eastAsia" w:ascii="黑体" w:hAnsi="黑体" w:eastAsia="黑体" w:cs="黑体"/>
          <w:color w:val="auto"/>
          <w:sz w:val="32"/>
          <w:highlight w:val="none"/>
          <w:shd w:val="clear" w:color="050000" w:fill="auto"/>
        </w:rPr>
        <w:t>人：</w:t>
      </w:r>
      <w:r>
        <w:rPr>
          <w:rFonts w:hint="eastAsia" w:ascii="仿宋" w:hAnsi="仿宋" w:eastAsia="仿宋" w:cs="仿宋"/>
          <w:color w:val="auto"/>
          <w:sz w:val="32"/>
          <w:szCs w:val="32"/>
          <w:highlight w:val="none"/>
          <w:u w:val="single"/>
        </w:rPr>
        <w:t>深圳第一亚太物业管理有限公司重庆分公司</w:t>
      </w:r>
    </w:p>
    <w:p w14:paraId="589A55EC">
      <w:pPr>
        <w:spacing w:line="360" w:lineRule="auto"/>
        <w:jc w:val="center"/>
        <w:rPr>
          <w:rFonts w:ascii="黑体" w:hAnsi="黑体" w:eastAsia="黑体" w:cs="黑体"/>
          <w:color w:val="auto"/>
          <w:sz w:val="32"/>
          <w:highlight w:val="none"/>
          <w:shd w:val="clear" w:color="050000" w:fill="auto"/>
        </w:rPr>
      </w:pPr>
    </w:p>
    <w:p w14:paraId="58B7A4F8">
      <w:pPr>
        <w:spacing w:line="276" w:lineRule="auto"/>
        <w:jc w:val="center"/>
        <w:rPr>
          <w:rFonts w:ascii="宋体" w:hAnsi="宋体" w:cs="黑体"/>
          <w:color w:val="auto"/>
          <w:sz w:val="32"/>
          <w:highlight w:val="none"/>
          <w:shd w:val="clear" w:color="050000" w:fill="auto"/>
        </w:rPr>
      </w:pPr>
    </w:p>
    <w:p w14:paraId="4F61F7F3">
      <w:pPr>
        <w:pStyle w:val="64"/>
        <w:spacing w:line="360" w:lineRule="auto"/>
        <w:jc w:val="center"/>
        <w:outlineLvl w:val="0"/>
        <w:rPr>
          <w:rFonts w:ascii="微软雅黑" w:hAnsi="宋体" w:eastAsia="微软雅黑"/>
          <w:color w:val="auto"/>
          <w:sz w:val="44"/>
          <w:szCs w:val="44"/>
          <w:highlight w:val="none"/>
        </w:rPr>
      </w:pPr>
      <w:bookmarkStart w:id="0" w:name="_Toc29660"/>
      <w:r>
        <w:rPr>
          <w:rFonts w:hint="eastAsia" w:ascii="微软雅黑" w:hAnsi="宋体" w:eastAsia="微软雅黑"/>
          <w:color w:val="auto"/>
          <w:sz w:val="44"/>
          <w:szCs w:val="44"/>
          <w:highlight w:val="none"/>
          <w:lang w:val="zh-CN"/>
        </w:rPr>
        <w:t>目 录</w:t>
      </w:r>
      <w:bookmarkEnd w:id="0"/>
    </w:p>
    <w:p w14:paraId="08697B62">
      <w:pPr>
        <w:pStyle w:val="24"/>
        <w:tabs>
          <w:tab w:val="right" w:leader="hyphen" w:pos="9071"/>
        </w:tabs>
        <w:rPr>
          <w:rFonts w:hint="eastAsia" w:ascii="仿宋" w:hAnsi="仿宋" w:eastAsia="仿宋" w:cs="仿宋"/>
          <w:sz w:val="28"/>
          <w:szCs w:val="28"/>
        </w:rPr>
      </w:pPr>
      <w:r>
        <w:rPr>
          <w:rStyle w:val="40"/>
          <w:rFonts w:hint="eastAsia" w:ascii="仿宋" w:hAnsi="仿宋" w:eastAsia="仿宋" w:cs="仿宋"/>
          <w:b w:val="0"/>
          <w:caps w:val="0"/>
          <w:color w:val="auto"/>
          <w:kern w:val="0"/>
          <w:sz w:val="28"/>
          <w:szCs w:val="28"/>
          <w:highlight w:val="none"/>
        </w:rPr>
        <w:fldChar w:fldCharType="begin"/>
      </w:r>
      <w:r>
        <w:rPr>
          <w:rStyle w:val="40"/>
          <w:rFonts w:hint="eastAsia" w:ascii="仿宋" w:hAnsi="仿宋" w:eastAsia="仿宋" w:cs="仿宋"/>
          <w:b w:val="0"/>
          <w:caps w:val="0"/>
          <w:color w:val="auto"/>
          <w:kern w:val="0"/>
          <w:sz w:val="28"/>
          <w:szCs w:val="28"/>
          <w:highlight w:val="none"/>
        </w:rPr>
        <w:instrText xml:space="preserve"> TOC \o "1-4" \h \z \u </w:instrText>
      </w:r>
      <w:r>
        <w:rPr>
          <w:rStyle w:val="40"/>
          <w:rFonts w:hint="eastAsia" w:ascii="仿宋" w:hAnsi="仿宋" w:eastAsia="仿宋" w:cs="仿宋"/>
          <w:b w:val="0"/>
          <w:caps w:val="0"/>
          <w:color w:val="auto"/>
          <w:kern w:val="0"/>
          <w:sz w:val="28"/>
          <w:szCs w:val="28"/>
          <w:highlight w:val="none"/>
        </w:rPr>
        <w:fldChar w:fldCharType="separate"/>
      </w: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_Toc29660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sz w:val="28"/>
          <w:szCs w:val="28"/>
          <w:highlight w:val="none"/>
          <w:lang w:val="zh-CN"/>
        </w:rPr>
        <w:t>目 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_Toc29660 \h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4748582C">
      <w:pPr>
        <w:pStyle w:val="24"/>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_Toc26336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sz w:val="28"/>
          <w:szCs w:val="28"/>
          <w:highlight w:val="none"/>
          <w:shd w:val="clear" w:color="060000" w:fill="auto"/>
        </w:rPr>
        <w:t>第一章  致投标人</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_Toc26336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534B5277">
      <w:pPr>
        <w:pStyle w:val="24"/>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_Toc22022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sz w:val="28"/>
          <w:szCs w:val="28"/>
          <w:highlight w:val="none"/>
          <w:shd w:val="clear" w:color="060000" w:fill="auto"/>
        </w:rPr>
        <w:t>第二章 投标须知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_Toc22022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16373EBC">
      <w:pPr>
        <w:pStyle w:val="28"/>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_Toc20015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sz w:val="28"/>
          <w:szCs w:val="28"/>
          <w:highlight w:val="none"/>
        </w:rPr>
        <w:t>一、投标须知前附件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_Toc20015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65EBF58D">
      <w:pPr>
        <w:pStyle w:val="16"/>
        <w:tabs>
          <w:tab w:val="right" w:leader="hyphen" w:pos="9071"/>
        </w:tabs>
        <w:rPr>
          <w:rFonts w:hint="eastAsia" w:ascii="仿宋" w:hAnsi="仿宋" w:eastAsia="仿宋" w:cs="仿宋"/>
          <w:i w:val="0"/>
          <w:iCs w:val="0"/>
          <w:sz w:val="28"/>
          <w:szCs w:val="28"/>
        </w:rPr>
      </w:pPr>
      <w:r>
        <w:rPr>
          <w:rFonts w:hint="eastAsia" w:ascii="仿宋" w:hAnsi="仿宋" w:eastAsia="仿宋" w:cs="仿宋"/>
          <w:i w:val="0"/>
          <w:iCs w:val="0"/>
          <w:caps/>
          <w:color w:val="auto"/>
          <w:kern w:val="0"/>
          <w:sz w:val="28"/>
          <w:szCs w:val="28"/>
          <w:highlight w:val="none"/>
        </w:rPr>
        <w:fldChar w:fldCharType="begin"/>
      </w:r>
      <w:r>
        <w:rPr>
          <w:rFonts w:hint="eastAsia" w:ascii="仿宋" w:hAnsi="仿宋" w:eastAsia="仿宋" w:cs="仿宋"/>
          <w:i w:val="0"/>
          <w:iCs w:val="0"/>
          <w:caps/>
          <w:kern w:val="0"/>
          <w:sz w:val="28"/>
          <w:szCs w:val="28"/>
          <w:highlight w:val="none"/>
        </w:rPr>
        <w:instrText xml:space="preserve"> HYPERLINK \l _Toc31318 </w:instrText>
      </w:r>
      <w:r>
        <w:rPr>
          <w:rFonts w:hint="eastAsia" w:ascii="仿宋" w:hAnsi="仿宋" w:eastAsia="仿宋" w:cs="仿宋"/>
          <w:i w:val="0"/>
          <w:iCs w:val="0"/>
          <w:caps/>
          <w:kern w:val="0"/>
          <w:sz w:val="28"/>
          <w:szCs w:val="28"/>
          <w:highlight w:val="none"/>
        </w:rPr>
        <w:fldChar w:fldCharType="separate"/>
      </w:r>
      <w:r>
        <w:rPr>
          <w:rFonts w:hint="eastAsia" w:ascii="仿宋" w:hAnsi="仿宋" w:eastAsia="仿宋" w:cs="仿宋"/>
          <w:i w:val="0"/>
          <w:iCs w:val="0"/>
          <w:sz w:val="28"/>
          <w:szCs w:val="28"/>
          <w:highlight w:val="none"/>
        </w:rPr>
        <w:t>（一）投标须知前附表1</w:t>
      </w:r>
      <w:r>
        <w:rPr>
          <w:rFonts w:hint="eastAsia" w:ascii="仿宋" w:hAnsi="仿宋" w:eastAsia="仿宋" w:cs="仿宋"/>
          <w:i w:val="0"/>
          <w:iCs w:val="0"/>
          <w:sz w:val="28"/>
          <w:szCs w:val="28"/>
        </w:rPr>
        <w:tab/>
      </w:r>
      <w:r>
        <w:rPr>
          <w:rFonts w:hint="eastAsia" w:ascii="仿宋" w:hAnsi="仿宋" w:eastAsia="仿宋" w:cs="仿宋"/>
          <w:i w:val="0"/>
          <w:iCs w:val="0"/>
          <w:sz w:val="28"/>
          <w:szCs w:val="28"/>
        </w:rPr>
        <w:fldChar w:fldCharType="begin"/>
      </w:r>
      <w:r>
        <w:rPr>
          <w:rFonts w:hint="eastAsia" w:ascii="仿宋" w:hAnsi="仿宋" w:eastAsia="仿宋" w:cs="仿宋"/>
          <w:i w:val="0"/>
          <w:iCs w:val="0"/>
          <w:sz w:val="28"/>
          <w:szCs w:val="28"/>
        </w:rPr>
        <w:instrText xml:space="preserve"> PAGEREF _Toc31318 \h </w:instrText>
      </w:r>
      <w:r>
        <w:rPr>
          <w:rFonts w:hint="eastAsia" w:ascii="仿宋" w:hAnsi="仿宋" w:eastAsia="仿宋" w:cs="仿宋"/>
          <w:i w:val="0"/>
          <w:iCs w:val="0"/>
          <w:sz w:val="28"/>
          <w:szCs w:val="28"/>
        </w:rPr>
        <w:fldChar w:fldCharType="separate"/>
      </w:r>
      <w:r>
        <w:rPr>
          <w:rFonts w:hint="eastAsia" w:ascii="仿宋" w:hAnsi="仿宋" w:eastAsia="仿宋" w:cs="仿宋"/>
          <w:i w:val="0"/>
          <w:iCs w:val="0"/>
          <w:sz w:val="28"/>
          <w:szCs w:val="28"/>
        </w:rPr>
        <w:t>5</w:t>
      </w:r>
      <w:r>
        <w:rPr>
          <w:rFonts w:hint="eastAsia" w:ascii="仿宋" w:hAnsi="仿宋" w:eastAsia="仿宋" w:cs="仿宋"/>
          <w:i w:val="0"/>
          <w:iCs w:val="0"/>
          <w:sz w:val="28"/>
          <w:szCs w:val="28"/>
        </w:rPr>
        <w:fldChar w:fldCharType="end"/>
      </w:r>
      <w:r>
        <w:rPr>
          <w:rFonts w:hint="eastAsia" w:ascii="仿宋" w:hAnsi="仿宋" w:eastAsia="仿宋" w:cs="仿宋"/>
          <w:i w:val="0"/>
          <w:iCs w:val="0"/>
          <w:caps/>
          <w:color w:val="auto"/>
          <w:kern w:val="0"/>
          <w:sz w:val="28"/>
          <w:szCs w:val="28"/>
          <w:highlight w:val="none"/>
        </w:rPr>
        <w:fldChar w:fldCharType="end"/>
      </w:r>
    </w:p>
    <w:p w14:paraId="28116769">
      <w:pPr>
        <w:pStyle w:val="16"/>
        <w:tabs>
          <w:tab w:val="right" w:leader="hyphen" w:pos="9071"/>
        </w:tabs>
        <w:rPr>
          <w:rFonts w:hint="eastAsia" w:ascii="仿宋" w:hAnsi="仿宋" w:eastAsia="仿宋" w:cs="仿宋"/>
          <w:i w:val="0"/>
          <w:iCs w:val="0"/>
          <w:sz w:val="28"/>
          <w:szCs w:val="28"/>
        </w:rPr>
      </w:pPr>
      <w:r>
        <w:rPr>
          <w:rFonts w:hint="eastAsia" w:ascii="仿宋" w:hAnsi="仿宋" w:eastAsia="仿宋" w:cs="仿宋"/>
          <w:i w:val="0"/>
          <w:iCs w:val="0"/>
          <w:caps/>
          <w:color w:val="auto"/>
          <w:kern w:val="0"/>
          <w:sz w:val="28"/>
          <w:szCs w:val="28"/>
          <w:highlight w:val="none"/>
        </w:rPr>
        <w:fldChar w:fldCharType="begin"/>
      </w:r>
      <w:r>
        <w:rPr>
          <w:rFonts w:hint="eastAsia" w:ascii="仿宋" w:hAnsi="仿宋" w:eastAsia="仿宋" w:cs="仿宋"/>
          <w:i w:val="0"/>
          <w:iCs w:val="0"/>
          <w:caps/>
          <w:kern w:val="0"/>
          <w:sz w:val="28"/>
          <w:szCs w:val="28"/>
          <w:highlight w:val="none"/>
        </w:rPr>
        <w:instrText xml:space="preserve"> HYPERLINK \l _Toc18353 </w:instrText>
      </w:r>
      <w:r>
        <w:rPr>
          <w:rFonts w:hint="eastAsia" w:ascii="仿宋" w:hAnsi="仿宋" w:eastAsia="仿宋" w:cs="仿宋"/>
          <w:i w:val="0"/>
          <w:iCs w:val="0"/>
          <w:caps/>
          <w:kern w:val="0"/>
          <w:sz w:val="28"/>
          <w:szCs w:val="28"/>
          <w:highlight w:val="none"/>
        </w:rPr>
        <w:fldChar w:fldCharType="separate"/>
      </w:r>
      <w:r>
        <w:rPr>
          <w:rFonts w:hint="eastAsia" w:ascii="仿宋" w:hAnsi="仿宋" w:eastAsia="仿宋" w:cs="仿宋"/>
          <w:i w:val="0"/>
          <w:iCs w:val="0"/>
          <w:sz w:val="28"/>
          <w:szCs w:val="28"/>
          <w:highlight w:val="none"/>
        </w:rPr>
        <w:t>（二）投标须知前附表2</w:t>
      </w:r>
      <w:r>
        <w:rPr>
          <w:rFonts w:hint="eastAsia" w:ascii="仿宋" w:hAnsi="仿宋" w:eastAsia="仿宋" w:cs="仿宋"/>
          <w:i w:val="0"/>
          <w:iCs w:val="0"/>
          <w:sz w:val="28"/>
          <w:szCs w:val="28"/>
        </w:rPr>
        <w:tab/>
      </w:r>
      <w:r>
        <w:rPr>
          <w:rFonts w:hint="eastAsia" w:ascii="仿宋" w:hAnsi="仿宋" w:eastAsia="仿宋" w:cs="仿宋"/>
          <w:i w:val="0"/>
          <w:iCs w:val="0"/>
          <w:sz w:val="28"/>
          <w:szCs w:val="28"/>
        </w:rPr>
        <w:fldChar w:fldCharType="begin"/>
      </w:r>
      <w:r>
        <w:rPr>
          <w:rFonts w:hint="eastAsia" w:ascii="仿宋" w:hAnsi="仿宋" w:eastAsia="仿宋" w:cs="仿宋"/>
          <w:i w:val="0"/>
          <w:iCs w:val="0"/>
          <w:sz w:val="28"/>
          <w:szCs w:val="28"/>
        </w:rPr>
        <w:instrText xml:space="preserve"> PAGEREF _Toc18353 \h </w:instrText>
      </w:r>
      <w:r>
        <w:rPr>
          <w:rFonts w:hint="eastAsia" w:ascii="仿宋" w:hAnsi="仿宋" w:eastAsia="仿宋" w:cs="仿宋"/>
          <w:i w:val="0"/>
          <w:iCs w:val="0"/>
          <w:sz w:val="28"/>
          <w:szCs w:val="28"/>
        </w:rPr>
        <w:fldChar w:fldCharType="separate"/>
      </w:r>
      <w:r>
        <w:rPr>
          <w:rFonts w:hint="eastAsia" w:ascii="仿宋" w:hAnsi="仿宋" w:eastAsia="仿宋" w:cs="仿宋"/>
          <w:i w:val="0"/>
          <w:iCs w:val="0"/>
          <w:sz w:val="28"/>
          <w:szCs w:val="28"/>
        </w:rPr>
        <w:t>9</w:t>
      </w:r>
      <w:r>
        <w:rPr>
          <w:rFonts w:hint="eastAsia" w:ascii="仿宋" w:hAnsi="仿宋" w:eastAsia="仿宋" w:cs="仿宋"/>
          <w:i w:val="0"/>
          <w:iCs w:val="0"/>
          <w:sz w:val="28"/>
          <w:szCs w:val="28"/>
        </w:rPr>
        <w:fldChar w:fldCharType="end"/>
      </w:r>
      <w:r>
        <w:rPr>
          <w:rFonts w:hint="eastAsia" w:ascii="仿宋" w:hAnsi="仿宋" w:eastAsia="仿宋" w:cs="仿宋"/>
          <w:i w:val="0"/>
          <w:iCs w:val="0"/>
          <w:caps/>
          <w:color w:val="auto"/>
          <w:kern w:val="0"/>
          <w:sz w:val="28"/>
          <w:szCs w:val="28"/>
          <w:highlight w:val="none"/>
        </w:rPr>
        <w:fldChar w:fldCharType="end"/>
      </w:r>
    </w:p>
    <w:p w14:paraId="319C3003">
      <w:pPr>
        <w:pStyle w:val="16"/>
        <w:tabs>
          <w:tab w:val="right" w:leader="hyphen" w:pos="9071"/>
        </w:tabs>
        <w:rPr>
          <w:rFonts w:hint="eastAsia" w:ascii="仿宋" w:hAnsi="仿宋" w:eastAsia="仿宋" w:cs="仿宋"/>
          <w:sz w:val="28"/>
          <w:szCs w:val="28"/>
        </w:rPr>
      </w:pPr>
      <w:r>
        <w:rPr>
          <w:rFonts w:hint="eastAsia" w:ascii="仿宋" w:hAnsi="仿宋" w:eastAsia="仿宋" w:cs="仿宋"/>
          <w:i w:val="0"/>
          <w:iCs w:val="0"/>
          <w:caps/>
          <w:color w:val="auto"/>
          <w:kern w:val="0"/>
          <w:sz w:val="28"/>
          <w:szCs w:val="28"/>
          <w:highlight w:val="none"/>
        </w:rPr>
        <w:fldChar w:fldCharType="begin"/>
      </w:r>
      <w:r>
        <w:rPr>
          <w:rFonts w:hint="eastAsia" w:ascii="仿宋" w:hAnsi="仿宋" w:eastAsia="仿宋" w:cs="仿宋"/>
          <w:i w:val="0"/>
          <w:iCs w:val="0"/>
          <w:caps/>
          <w:kern w:val="0"/>
          <w:sz w:val="28"/>
          <w:szCs w:val="28"/>
          <w:highlight w:val="none"/>
        </w:rPr>
        <w:instrText xml:space="preserve"> HYPERLINK \l _Toc31521 </w:instrText>
      </w:r>
      <w:r>
        <w:rPr>
          <w:rFonts w:hint="eastAsia" w:ascii="仿宋" w:hAnsi="仿宋" w:eastAsia="仿宋" w:cs="仿宋"/>
          <w:i w:val="0"/>
          <w:iCs w:val="0"/>
          <w:caps/>
          <w:kern w:val="0"/>
          <w:sz w:val="28"/>
          <w:szCs w:val="28"/>
          <w:highlight w:val="none"/>
        </w:rPr>
        <w:fldChar w:fldCharType="separate"/>
      </w:r>
      <w:r>
        <w:rPr>
          <w:rFonts w:hint="eastAsia" w:ascii="仿宋" w:hAnsi="仿宋" w:eastAsia="仿宋" w:cs="仿宋"/>
          <w:i w:val="0"/>
          <w:iCs w:val="0"/>
          <w:sz w:val="28"/>
          <w:szCs w:val="28"/>
          <w:highlight w:val="none"/>
        </w:rPr>
        <w:t>（三）投标须知前附件</w:t>
      </w:r>
      <w:r>
        <w:rPr>
          <w:rFonts w:hint="eastAsia" w:ascii="仿宋" w:hAnsi="仿宋" w:eastAsia="仿宋" w:cs="仿宋"/>
          <w:i w:val="0"/>
          <w:iCs w:val="0"/>
          <w:sz w:val="28"/>
          <w:szCs w:val="28"/>
        </w:rPr>
        <w:tab/>
      </w:r>
      <w:r>
        <w:rPr>
          <w:rFonts w:hint="eastAsia" w:ascii="仿宋" w:hAnsi="仿宋" w:eastAsia="仿宋" w:cs="仿宋"/>
          <w:i w:val="0"/>
          <w:iCs w:val="0"/>
          <w:sz w:val="28"/>
          <w:szCs w:val="28"/>
        </w:rPr>
        <w:fldChar w:fldCharType="begin"/>
      </w:r>
      <w:r>
        <w:rPr>
          <w:rFonts w:hint="eastAsia" w:ascii="仿宋" w:hAnsi="仿宋" w:eastAsia="仿宋" w:cs="仿宋"/>
          <w:i w:val="0"/>
          <w:iCs w:val="0"/>
          <w:sz w:val="28"/>
          <w:szCs w:val="28"/>
        </w:rPr>
        <w:instrText xml:space="preserve"> PAGEREF _Toc31521 \h </w:instrText>
      </w:r>
      <w:r>
        <w:rPr>
          <w:rFonts w:hint="eastAsia" w:ascii="仿宋" w:hAnsi="仿宋" w:eastAsia="仿宋" w:cs="仿宋"/>
          <w:i w:val="0"/>
          <w:iCs w:val="0"/>
          <w:sz w:val="28"/>
          <w:szCs w:val="28"/>
        </w:rPr>
        <w:fldChar w:fldCharType="separate"/>
      </w:r>
      <w:r>
        <w:rPr>
          <w:rFonts w:hint="eastAsia" w:ascii="仿宋" w:hAnsi="仿宋" w:eastAsia="仿宋" w:cs="仿宋"/>
          <w:i w:val="0"/>
          <w:iCs w:val="0"/>
          <w:sz w:val="28"/>
          <w:szCs w:val="28"/>
        </w:rPr>
        <w:t>10</w:t>
      </w:r>
      <w:r>
        <w:rPr>
          <w:rFonts w:hint="eastAsia" w:ascii="仿宋" w:hAnsi="仿宋" w:eastAsia="仿宋" w:cs="仿宋"/>
          <w:i w:val="0"/>
          <w:iCs w:val="0"/>
          <w:sz w:val="28"/>
          <w:szCs w:val="28"/>
        </w:rPr>
        <w:fldChar w:fldCharType="end"/>
      </w:r>
      <w:r>
        <w:rPr>
          <w:rFonts w:hint="eastAsia" w:ascii="仿宋" w:hAnsi="仿宋" w:eastAsia="仿宋" w:cs="仿宋"/>
          <w:i w:val="0"/>
          <w:iCs w:val="0"/>
          <w:caps/>
          <w:color w:val="auto"/>
          <w:kern w:val="0"/>
          <w:sz w:val="28"/>
          <w:szCs w:val="28"/>
          <w:highlight w:val="none"/>
        </w:rPr>
        <w:fldChar w:fldCharType="end"/>
      </w:r>
    </w:p>
    <w:p w14:paraId="671005DC">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_Toc7035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附件一：招标公告</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_Toc7035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6ACAEBE8">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_Toc8924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附件二：投标文件否决性条款摘要</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_Toc8924 \h </w:instrText>
      </w:r>
      <w:r>
        <w:rPr>
          <w:rFonts w:hint="eastAsia" w:ascii="仿宋" w:hAnsi="仿宋" w:eastAsia="仿宋" w:cs="仿宋"/>
          <w:sz w:val="28"/>
          <w:szCs w:val="28"/>
        </w:rPr>
        <w:fldChar w:fldCharType="separate"/>
      </w:r>
      <w:r>
        <w:rPr>
          <w:rFonts w:hint="eastAsia" w:ascii="仿宋" w:hAnsi="仿宋" w:eastAsia="仿宋" w:cs="仿宋"/>
          <w:sz w:val="28"/>
          <w:szCs w:val="28"/>
        </w:rPr>
        <w:t>12</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5AC0CEDE">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_Toc18974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附件三：评标程序和评标方法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_Toc18974 \h </w:instrText>
      </w:r>
      <w:r>
        <w:rPr>
          <w:rFonts w:hint="eastAsia" w:ascii="仿宋" w:hAnsi="仿宋" w:eastAsia="仿宋" w:cs="仿宋"/>
          <w:sz w:val="28"/>
          <w:szCs w:val="28"/>
        </w:rPr>
        <w:fldChar w:fldCharType="separate"/>
      </w:r>
      <w:r>
        <w:rPr>
          <w:rFonts w:hint="eastAsia" w:ascii="仿宋" w:hAnsi="仿宋" w:eastAsia="仿宋" w:cs="仿宋"/>
          <w:sz w:val="28"/>
          <w:szCs w:val="28"/>
        </w:rPr>
        <w:t>14</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38F6CC75">
      <w:pPr>
        <w:pStyle w:val="28"/>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_Toc30741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bCs/>
          <w:kern w:val="0"/>
          <w:sz w:val="28"/>
          <w:szCs w:val="28"/>
          <w:highlight w:val="none"/>
        </w:rPr>
        <w:t>二、投标须知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_Toc30741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749BED3E">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_Toc12074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（一）总则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_Toc12074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2378C4BA">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_Toc626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（二）招标文件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_Toc626 \h </w:instrText>
      </w:r>
      <w:r>
        <w:rPr>
          <w:rFonts w:hint="eastAsia" w:ascii="仿宋" w:hAnsi="仿宋" w:eastAsia="仿宋" w:cs="仿宋"/>
          <w:sz w:val="28"/>
          <w:szCs w:val="28"/>
        </w:rPr>
        <w:fldChar w:fldCharType="separate"/>
      </w:r>
      <w:r>
        <w:rPr>
          <w:rFonts w:hint="eastAsia" w:ascii="仿宋" w:hAnsi="仿宋" w:eastAsia="仿宋" w:cs="仿宋"/>
          <w:sz w:val="28"/>
          <w:szCs w:val="28"/>
        </w:rPr>
        <w:t>26</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6C1DEFFE">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_Toc11443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（三）投标文件的编制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_Toc11443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42F254A4">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_Toc22676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（四）投标文件的提交</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_Toc22676 \h </w:instrText>
      </w:r>
      <w:r>
        <w:rPr>
          <w:rFonts w:hint="eastAsia" w:ascii="仿宋" w:hAnsi="仿宋" w:eastAsia="仿宋" w:cs="仿宋"/>
          <w:sz w:val="28"/>
          <w:szCs w:val="28"/>
        </w:rPr>
        <w:fldChar w:fldCharType="separate"/>
      </w:r>
      <w:r>
        <w:rPr>
          <w:rFonts w:hint="eastAsia" w:ascii="仿宋" w:hAnsi="仿宋" w:eastAsia="仿宋" w:cs="仿宋"/>
          <w:sz w:val="28"/>
          <w:szCs w:val="28"/>
        </w:rPr>
        <w:t>34</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4AD84167">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_Toc20531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（五）资格后审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_Toc20531 \h </w:instrText>
      </w:r>
      <w:r>
        <w:rPr>
          <w:rFonts w:hint="eastAsia" w:ascii="仿宋" w:hAnsi="仿宋" w:eastAsia="仿宋" w:cs="仿宋"/>
          <w:sz w:val="28"/>
          <w:szCs w:val="28"/>
        </w:rPr>
        <w:fldChar w:fldCharType="separate"/>
      </w:r>
      <w:r>
        <w:rPr>
          <w:rFonts w:hint="eastAsia" w:ascii="仿宋" w:hAnsi="仿宋" w:eastAsia="仿宋" w:cs="仿宋"/>
          <w:sz w:val="28"/>
          <w:szCs w:val="28"/>
        </w:rPr>
        <w:t>35</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7A377786">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_Toc17924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（六）开标</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_Toc17924 \h </w:instrText>
      </w:r>
      <w:r>
        <w:rPr>
          <w:rFonts w:hint="eastAsia" w:ascii="仿宋" w:hAnsi="仿宋" w:eastAsia="仿宋" w:cs="仿宋"/>
          <w:sz w:val="28"/>
          <w:szCs w:val="28"/>
        </w:rPr>
        <w:fldChar w:fldCharType="separate"/>
      </w:r>
      <w:r>
        <w:rPr>
          <w:rFonts w:hint="eastAsia" w:ascii="仿宋" w:hAnsi="仿宋" w:eastAsia="仿宋" w:cs="仿宋"/>
          <w:sz w:val="28"/>
          <w:szCs w:val="28"/>
        </w:rPr>
        <w:t>36</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4F393A76">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_Toc9015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（七）评标</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_Toc9015 \h </w:instrText>
      </w:r>
      <w:r>
        <w:rPr>
          <w:rFonts w:hint="eastAsia" w:ascii="仿宋" w:hAnsi="仿宋" w:eastAsia="仿宋" w:cs="仿宋"/>
          <w:sz w:val="28"/>
          <w:szCs w:val="28"/>
        </w:rPr>
        <w:fldChar w:fldCharType="separate"/>
      </w:r>
      <w:r>
        <w:rPr>
          <w:rFonts w:hint="eastAsia" w:ascii="仿宋" w:hAnsi="仿宋" w:eastAsia="仿宋" w:cs="仿宋"/>
          <w:sz w:val="28"/>
          <w:szCs w:val="28"/>
        </w:rPr>
        <w:t>37</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1CDB1A3D">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_Toc4504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（八）定标</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_Toc4504 \h </w:instrText>
      </w:r>
      <w:r>
        <w:rPr>
          <w:rFonts w:hint="eastAsia" w:ascii="仿宋" w:hAnsi="仿宋" w:eastAsia="仿宋" w:cs="仿宋"/>
          <w:sz w:val="28"/>
          <w:szCs w:val="28"/>
        </w:rPr>
        <w:fldChar w:fldCharType="separate"/>
      </w:r>
      <w:r>
        <w:rPr>
          <w:rFonts w:hint="eastAsia" w:ascii="仿宋" w:hAnsi="仿宋" w:eastAsia="仿宋" w:cs="仿宋"/>
          <w:sz w:val="28"/>
          <w:szCs w:val="28"/>
        </w:rPr>
        <w:t>42</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438337CF">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_Toc11963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（九）中标通知书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43</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581712DB">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_Toc28656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（十）合同授予</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_Toc28656 \h </w:instrText>
      </w:r>
      <w:r>
        <w:rPr>
          <w:rFonts w:hint="eastAsia" w:ascii="仿宋" w:hAnsi="仿宋" w:eastAsia="仿宋" w:cs="仿宋"/>
          <w:sz w:val="28"/>
          <w:szCs w:val="28"/>
        </w:rPr>
        <w:fldChar w:fldCharType="separate"/>
      </w:r>
      <w:r>
        <w:rPr>
          <w:rFonts w:hint="eastAsia" w:ascii="仿宋" w:hAnsi="仿宋" w:eastAsia="仿宋" w:cs="仿宋"/>
          <w:sz w:val="28"/>
          <w:szCs w:val="28"/>
        </w:rPr>
        <w:t>44</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36355C6B">
      <w:pPr>
        <w:pStyle w:val="25"/>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_Toc11812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（十一）其他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_Toc11812 \h </w:instrText>
      </w:r>
      <w:r>
        <w:rPr>
          <w:rFonts w:hint="eastAsia" w:ascii="仿宋" w:hAnsi="仿宋" w:eastAsia="仿宋" w:cs="仿宋"/>
          <w:sz w:val="28"/>
          <w:szCs w:val="28"/>
        </w:rPr>
        <w:fldChar w:fldCharType="separate"/>
      </w:r>
      <w:r>
        <w:rPr>
          <w:rFonts w:hint="eastAsia" w:ascii="仿宋" w:hAnsi="仿宋" w:eastAsia="仿宋" w:cs="仿宋"/>
          <w:sz w:val="28"/>
          <w:szCs w:val="28"/>
        </w:rPr>
        <w:t>44</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7E013168">
      <w:pPr>
        <w:pStyle w:val="24"/>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_Toc19201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sz w:val="28"/>
          <w:szCs w:val="28"/>
          <w:shd w:val="clear" w:fill="auto"/>
        </w:rPr>
        <w:t xml:space="preserve">第三章 </w:t>
      </w:r>
      <w:r>
        <w:rPr>
          <w:rFonts w:hint="eastAsia" w:ascii="仿宋" w:hAnsi="仿宋" w:eastAsia="仿宋" w:cs="仿宋"/>
          <w:sz w:val="28"/>
          <w:szCs w:val="28"/>
          <w:highlight w:val="none"/>
          <w:shd w:val="clear" w:color="060000" w:fill="auto"/>
        </w:rPr>
        <w:t>合同文本及条款</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_Toc19201 \h </w:instrText>
      </w:r>
      <w:r>
        <w:rPr>
          <w:rFonts w:hint="eastAsia" w:ascii="仿宋" w:hAnsi="仿宋" w:eastAsia="仿宋" w:cs="仿宋"/>
          <w:sz w:val="28"/>
          <w:szCs w:val="28"/>
        </w:rPr>
        <w:fldChar w:fldCharType="separate"/>
      </w:r>
      <w:r>
        <w:rPr>
          <w:rFonts w:hint="eastAsia" w:ascii="仿宋" w:hAnsi="仿宋" w:eastAsia="仿宋" w:cs="仿宋"/>
          <w:sz w:val="28"/>
          <w:szCs w:val="28"/>
        </w:rPr>
        <w:t>46</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2CC07D3F">
      <w:pPr>
        <w:pStyle w:val="24"/>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_Toc5934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sz w:val="28"/>
          <w:szCs w:val="28"/>
          <w:shd w:val="clear" w:fill="auto"/>
        </w:rPr>
        <w:t xml:space="preserve">第四章 </w:t>
      </w:r>
      <w:r>
        <w:rPr>
          <w:rFonts w:hint="eastAsia" w:ascii="仿宋" w:hAnsi="仿宋" w:eastAsia="仿宋" w:cs="仿宋"/>
          <w:sz w:val="28"/>
          <w:szCs w:val="28"/>
          <w:highlight w:val="none"/>
          <w:shd w:val="clear" w:color="060000" w:fill="auto"/>
        </w:rPr>
        <w:t>需求任务书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_Toc5934 \h </w:instrText>
      </w:r>
      <w:r>
        <w:rPr>
          <w:rFonts w:hint="eastAsia" w:ascii="仿宋" w:hAnsi="仿宋" w:eastAsia="仿宋" w:cs="仿宋"/>
          <w:sz w:val="28"/>
          <w:szCs w:val="28"/>
        </w:rPr>
        <w:fldChar w:fldCharType="separate"/>
      </w:r>
      <w:r>
        <w:rPr>
          <w:rFonts w:hint="eastAsia" w:ascii="仿宋" w:hAnsi="仿宋" w:eastAsia="仿宋" w:cs="仿宋"/>
          <w:sz w:val="28"/>
          <w:szCs w:val="28"/>
        </w:rPr>
        <w:t>56</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58515721">
      <w:pPr>
        <w:pStyle w:val="24"/>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_Toc3781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sz w:val="28"/>
          <w:szCs w:val="28"/>
          <w:highlight w:val="none"/>
          <w:shd w:val="clear" w:color="060000" w:fill="auto"/>
        </w:rPr>
        <w:t>第五章 投标文件格式</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_Toc3781 \h </w:instrText>
      </w:r>
      <w:r>
        <w:rPr>
          <w:rFonts w:hint="eastAsia" w:ascii="仿宋" w:hAnsi="仿宋" w:eastAsia="仿宋" w:cs="仿宋"/>
          <w:sz w:val="28"/>
          <w:szCs w:val="28"/>
        </w:rPr>
        <w:fldChar w:fldCharType="separate"/>
      </w:r>
      <w:r>
        <w:rPr>
          <w:rFonts w:hint="eastAsia" w:ascii="仿宋" w:hAnsi="仿宋" w:eastAsia="仿宋" w:cs="仿宋"/>
          <w:sz w:val="28"/>
          <w:szCs w:val="28"/>
        </w:rPr>
        <w:t>57</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5409D89C">
      <w:pPr>
        <w:pStyle w:val="28"/>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_Toc27776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rPr>
        <w:t>一、</w:t>
      </w:r>
      <w:r>
        <w:rPr>
          <w:rFonts w:hint="eastAsia" w:ascii="仿宋" w:hAnsi="仿宋" w:eastAsia="仿宋" w:cs="仿宋"/>
          <w:bCs/>
          <w:kern w:val="0"/>
          <w:sz w:val="28"/>
          <w:szCs w:val="28"/>
          <w:highlight w:val="none"/>
        </w:rPr>
        <w:t>投标文件格式--</w:t>
      </w:r>
      <w:r>
        <w:rPr>
          <w:rFonts w:hint="eastAsia" w:ascii="仿宋" w:hAnsi="仿宋" w:eastAsia="仿宋" w:cs="仿宋"/>
          <w:kern w:val="0"/>
          <w:sz w:val="28"/>
          <w:szCs w:val="28"/>
          <w:highlight w:val="none"/>
        </w:rPr>
        <w:t>资格审查文件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_Toc27776 \h </w:instrText>
      </w:r>
      <w:r>
        <w:rPr>
          <w:rFonts w:hint="eastAsia" w:ascii="仿宋" w:hAnsi="仿宋" w:eastAsia="仿宋" w:cs="仿宋"/>
          <w:sz w:val="28"/>
          <w:szCs w:val="28"/>
        </w:rPr>
        <w:fldChar w:fldCharType="separate"/>
      </w:r>
      <w:r>
        <w:rPr>
          <w:rFonts w:hint="eastAsia" w:ascii="仿宋" w:hAnsi="仿宋" w:eastAsia="仿宋" w:cs="仿宋"/>
          <w:sz w:val="28"/>
          <w:szCs w:val="28"/>
        </w:rPr>
        <w:t>58</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03B5F44F">
      <w:pPr>
        <w:pStyle w:val="28"/>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_Toc23439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二、</w:t>
      </w:r>
      <w:r>
        <w:rPr>
          <w:rFonts w:hint="eastAsia" w:ascii="仿宋" w:hAnsi="仿宋" w:eastAsia="仿宋" w:cs="仿宋"/>
          <w:bCs/>
          <w:kern w:val="0"/>
          <w:sz w:val="28"/>
          <w:szCs w:val="28"/>
          <w:highlight w:val="none"/>
        </w:rPr>
        <w:t>投标文件格式--</w:t>
      </w:r>
      <w:r>
        <w:rPr>
          <w:rFonts w:hint="eastAsia" w:ascii="仿宋" w:hAnsi="仿宋" w:eastAsia="仿宋" w:cs="仿宋"/>
          <w:kern w:val="0"/>
          <w:sz w:val="28"/>
          <w:szCs w:val="28"/>
          <w:highlight w:val="none"/>
        </w:rPr>
        <w:t>投标函部分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_Toc23439 \h </w:instrText>
      </w:r>
      <w:r>
        <w:rPr>
          <w:rFonts w:hint="eastAsia" w:ascii="仿宋" w:hAnsi="仿宋" w:eastAsia="仿宋" w:cs="仿宋"/>
          <w:sz w:val="28"/>
          <w:szCs w:val="28"/>
        </w:rPr>
        <w:fldChar w:fldCharType="separate"/>
      </w:r>
      <w:r>
        <w:rPr>
          <w:rFonts w:hint="eastAsia" w:ascii="仿宋" w:hAnsi="仿宋" w:eastAsia="仿宋" w:cs="仿宋"/>
          <w:sz w:val="28"/>
          <w:szCs w:val="28"/>
        </w:rPr>
        <w:t>60</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6368A087">
      <w:pPr>
        <w:pStyle w:val="28"/>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_Toc20810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三、投标文件格式--资信标部分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_Toc20810 \h </w:instrText>
      </w:r>
      <w:r>
        <w:rPr>
          <w:rFonts w:hint="eastAsia" w:ascii="仿宋" w:hAnsi="仿宋" w:eastAsia="仿宋" w:cs="仿宋"/>
          <w:sz w:val="28"/>
          <w:szCs w:val="28"/>
        </w:rPr>
        <w:fldChar w:fldCharType="separate"/>
      </w:r>
      <w:r>
        <w:rPr>
          <w:rFonts w:hint="eastAsia" w:ascii="仿宋" w:hAnsi="仿宋" w:eastAsia="仿宋" w:cs="仿宋"/>
          <w:sz w:val="28"/>
          <w:szCs w:val="28"/>
        </w:rPr>
        <w:t>68</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0B7436BB">
      <w:pPr>
        <w:pStyle w:val="28"/>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_Toc28947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四、投标文件格式--技术标部分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_Toc28947 \h </w:instrText>
      </w:r>
      <w:r>
        <w:rPr>
          <w:rFonts w:hint="eastAsia" w:ascii="仿宋" w:hAnsi="仿宋" w:eastAsia="仿宋" w:cs="仿宋"/>
          <w:sz w:val="28"/>
          <w:szCs w:val="28"/>
        </w:rPr>
        <w:fldChar w:fldCharType="separate"/>
      </w:r>
      <w:r>
        <w:rPr>
          <w:rFonts w:hint="eastAsia" w:ascii="仿宋" w:hAnsi="仿宋" w:eastAsia="仿宋" w:cs="仿宋"/>
          <w:sz w:val="28"/>
          <w:szCs w:val="28"/>
        </w:rPr>
        <w:t>70</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305EDB88">
      <w:pPr>
        <w:pStyle w:val="28"/>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_Toc29109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kern w:val="0"/>
          <w:sz w:val="28"/>
          <w:szCs w:val="28"/>
          <w:highlight w:val="none"/>
        </w:rPr>
        <w:t>五、投标文件格式—商务标部分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_Toc29109 \h </w:instrText>
      </w:r>
      <w:r>
        <w:rPr>
          <w:rFonts w:hint="eastAsia" w:ascii="仿宋" w:hAnsi="仿宋" w:eastAsia="仿宋" w:cs="仿宋"/>
          <w:sz w:val="28"/>
          <w:szCs w:val="28"/>
        </w:rPr>
        <w:fldChar w:fldCharType="separate"/>
      </w:r>
      <w:r>
        <w:rPr>
          <w:rFonts w:hint="eastAsia" w:ascii="仿宋" w:hAnsi="仿宋" w:eastAsia="仿宋" w:cs="仿宋"/>
          <w:sz w:val="28"/>
          <w:szCs w:val="28"/>
        </w:rPr>
        <w:t>72</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1285F7E8">
      <w:pPr>
        <w:pStyle w:val="24"/>
        <w:tabs>
          <w:tab w:val="right" w:leader="hyphen" w:pos="9071"/>
        </w:tabs>
        <w:rPr>
          <w:rFonts w:hint="eastAsia" w:ascii="仿宋" w:hAnsi="仿宋" w:eastAsia="仿宋" w:cs="仿宋"/>
          <w:sz w:val="28"/>
          <w:szCs w:val="28"/>
        </w:rPr>
      </w:pPr>
      <w:r>
        <w:rPr>
          <w:rFonts w:hint="eastAsia" w:ascii="仿宋" w:hAnsi="仿宋" w:eastAsia="仿宋" w:cs="仿宋"/>
          <w:caps/>
          <w:color w:val="auto"/>
          <w:kern w:val="0"/>
          <w:sz w:val="28"/>
          <w:szCs w:val="28"/>
          <w:highlight w:val="none"/>
        </w:rPr>
        <w:fldChar w:fldCharType="begin"/>
      </w:r>
      <w:r>
        <w:rPr>
          <w:rFonts w:hint="eastAsia" w:ascii="仿宋" w:hAnsi="仿宋" w:eastAsia="仿宋" w:cs="仿宋"/>
          <w:caps/>
          <w:kern w:val="0"/>
          <w:sz w:val="28"/>
          <w:szCs w:val="28"/>
          <w:highlight w:val="none"/>
        </w:rPr>
        <w:instrText xml:space="preserve"> HYPERLINK \l _Toc26380 </w:instrText>
      </w:r>
      <w:r>
        <w:rPr>
          <w:rFonts w:hint="eastAsia" w:ascii="仿宋" w:hAnsi="仿宋" w:eastAsia="仿宋" w:cs="仿宋"/>
          <w:caps/>
          <w:kern w:val="0"/>
          <w:sz w:val="28"/>
          <w:szCs w:val="28"/>
          <w:highlight w:val="none"/>
        </w:rPr>
        <w:fldChar w:fldCharType="separate"/>
      </w:r>
      <w:r>
        <w:rPr>
          <w:rFonts w:hint="eastAsia" w:ascii="仿宋" w:hAnsi="仿宋" w:eastAsia="仿宋" w:cs="仿宋"/>
          <w:bCs/>
          <w:kern w:val="0"/>
          <w:sz w:val="28"/>
          <w:szCs w:val="28"/>
          <w:highlight w:val="none"/>
        </w:rPr>
        <w:t>第六章 中标通知书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_Toc26380 \h </w:instrText>
      </w:r>
      <w:r>
        <w:rPr>
          <w:rFonts w:hint="eastAsia" w:ascii="仿宋" w:hAnsi="仿宋" w:eastAsia="仿宋" w:cs="仿宋"/>
          <w:sz w:val="28"/>
          <w:szCs w:val="28"/>
        </w:rPr>
        <w:fldChar w:fldCharType="separate"/>
      </w:r>
      <w:r>
        <w:rPr>
          <w:rFonts w:hint="eastAsia" w:ascii="仿宋" w:hAnsi="仿宋" w:eastAsia="仿宋" w:cs="仿宋"/>
          <w:sz w:val="28"/>
          <w:szCs w:val="28"/>
        </w:rPr>
        <w:t>76</w:t>
      </w:r>
      <w:r>
        <w:rPr>
          <w:rFonts w:hint="eastAsia" w:ascii="仿宋" w:hAnsi="仿宋" w:eastAsia="仿宋" w:cs="仿宋"/>
          <w:sz w:val="28"/>
          <w:szCs w:val="28"/>
        </w:rPr>
        <w:fldChar w:fldCharType="end"/>
      </w:r>
      <w:r>
        <w:rPr>
          <w:rFonts w:hint="eastAsia" w:ascii="仿宋" w:hAnsi="仿宋" w:eastAsia="仿宋" w:cs="仿宋"/>
          <w:caps/>
          <w:color w:val="auto"/>
          <w:kern w:val="0"/>
          <w:sz w:val="28"/>
          <w:szCs w:val="28"/>
          <w:highlight w:val="none"/>
        </w:rPr>
        <w:fldChar w:fldCharType="end"/>
      </w:r>
    </w:p>
    <w:p w14:paraId="702544FF">
      <w:pPr>
        <w:spacing w:line="360" w:lineRule="auto"/>
        <w:jc w:val="left"/>
        <w:outlineLvl w:val="0"/>
        <w:rPr>
          <w:rStyle w:val="40"/>
          <w:rFonts w:ascii="创艺简标宋" w:hAnsi="黑体" w:eastAsia="创艺简标宋" w:cs="Calibri"/>
          <w:caps/>
          <w:color w:val="auto"/>
          <w:kern w:val="0"/>
          <w:sz w:val="28"/>
          <w:szCs w:val="28"/>
          <w:highlight w:val="none"/>
          <w:u w:val="none"/>
        </w:rPr>
      </w:pPr>
      <w:r>
        <w:rPr>
          <w:rStyle w:val="40"/>
          <w:rFonts w:hint="eastAsia" w:ascii="仿宋" w:hAnsi="仿宋" w:eastAsia="仿宋" w:cs="仿宋"/>
          <w:caps/>
          <w:color w:val="auto"/>
          <w:kern w:val="0"/>
          <w:sz w:val="28"/>
          <w:szCs w:val="28"/>
          <w:highlight w:val="none"/>
        </w:rPr>
        <w:fldChar w:fldCharType="end"/>
      </w:r>
    </w:p>
    <w:p w14:paraId="06895694">
      <w:pPr>
        <w:keepNext/>
        <w:keepLines/>
        <w:spacing w:line="560" w:lineRule="exact"/>
        <w:jc w:val="center"/>
        <w:outlineLvl w:val="0"/>
        <w:rPr>
          <w:rFonts w:ascii="黑体" w:hAnsi="黑体" w:eastAsia="黑体" w:cs="黑体"/>
          <w:color w:val="auto"/>
          <w:sz w:val="44"/>
          <w:szCs w:val="44"/>
          <w:highlight w:val="none"/>
          <w:shd w:val="clear" w:color="050000" w:fill="auto"/>
        </w:rPr>
      </w:pPr>
      <w:bookmarkStart w:id="1" w:name="_Toc26336"/>
      <w:bookmarkStart w:id="2" w:name="_Toc80800138"/>
      <w:r>
        <w:rPr>
          <w:rFonts w:hint="eastAsia" w:ascii="黑体" w:hAnsi="黑体" w:eastAsia="黑体" w:cs="黑体"/>
          <w:color w:val="auto"/>
          <w:sz w:val="44"/>
          <w:szCs w:val="44"/>
          <w:highlight w:val="none"/>
          <w:shd w:val="clear" w:color="060000" w:fill="auto"/>
        </w:rPr>
        <w:t>第一章</w:t>
      </w:r>
      <w:r>
        <w:rPr>
          <w:rFonts w:hint="eastAsia" w:ascii="黑体" w:hAnsi="黑体" w:eastAsia="黑体" w:cs="宋体"/>
          <w:color w:val="auto"/>
          <w:sz w:val="44"/>
          <w:szCs w:val="44"/>
          <w:highlight w:val="none"/>
          <w:shd w:val="clear" w:color="060000" w:fill="auto"/>
        </w:rPr>
        <w:t xml:space="preserve">  </w:t>
      </w:r>
      <w:r>
        <w:rPr>
          <w:rFonts w:hint="eastAsia" w:ascii="黑体" w:hAnsi="黑体" w:eastAsia="黑体" w:cs="黑体"/>
          <w:color w:val="auto"/>
          <w:sz w:val="44"/>
          <w:szCs w:val="44"/>
          <w:highlight w:val="none"/>
          <w:shd w:val="clear" w:color="060000" w:fill="auto"/>
        </w:rPr>
        <w:t>致投标人</w:t>
      </w:r>
      <w:bookmarkEnd w:id="1"/>
      <w:bookmarkEnd w:id="2"/>
    </w:p>
    <w:p w14:paraId="1501A762">
      <w:pPr>
        <w:widowControl w:val="0"/>
        <w:spacing w:line="560" w:lineRule="exact"/>
        <w:ind w:firstLine="560" w:firstLineChars="200"/>
        <w:rPr>
          <w:rFonts w:ascii="仿宋_GB2312" w:hAnsi="宋体" w:eastAsia="仿宋_GB2312"/>
          <w:color w:val="auto"/>
          <w:sz w:val="28"/>
          <w:szCs w:val="28"/>
          <w:highlight w:val="none"/>
        </w:rPr>
      </w:pPr>
    </w:p>
    <w:p w14:paraId="439DCC4A">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本招标文件是依据招标投标有关法律、法规、规章和规范性文件，根据本次招标项目的特点和需要编制而成。招标文件的编制遵循了公开、公平、公正和诚实信用的原则。招标文件所包含的内容已清楚地反映了本次招标的规模、性质以及资信、商务和技术要求等。我们要求投标人必须完全响应本招标文件的实质性内容。</w:t>
      </w:r>
    </w:p>
    <w:p w14:paraId="0ECC5568">
      <w:pPr>
        <w:widowControl w:val="0"/>
        <w:spacing w:line="560" w:lineRule="exact"/>
        <w:ind w:firstLine="560" w:firstLineChars="200"/>
        <w:rPr>
          <w:rFonts w:ascii="仿宋" w:hAnsi="仿宋" w:eastAsia="仿宋"/>
          <w:color w:val="auto"/>
          <w:sz w:val="28"/>
          <w:szCs w:val="28"/>
          <w:highlight w:val="none"/>
        </w:rPr>
      </w:pPr>
      <w:bookmarkStart w:id="3" w:name="_Toc130830412"/>
      <w:bookmarkStart w:id="4" w:name="_Toc130835683"/>
      <w:bookmarkStart w:id="5" w:name="_Toc203358554"/>
      <w:bookmarkStart w:id="6" w:name="_Toc269970459"/>
      <w:bookmarkStart w:id="7" w:name="_Toc130835209"/>
      <w:bookmarkStart w:id="8" w:name="_Toc203810203"/>
      <w:r>
        <w:rPr>
          <w:rFonts w:hint="eastAsia" w:ascii="仿宋" w:hAnsi="仿宋" w:eastAsia="仿宋"/>
          <w:color w:val="auto"/>
          <w:sz w:val="28"/>
          <w:szCs w:val="28"/>
          <w:highlight w:val="none"/>
        </w:rPr>
        <w:t>二、投标人获取招标文件后，应仔细阅读招标文件及附件的全部内容，招标文件与附件具有同等效力。</w:t>
      </w:r>
    </w:p>
    <w:p w14:paraId="509BF46E">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三、投标人在投标截止时间前，应及时收悉有关本次招标项目招标文件的答疑、补遗内容。招标文件、答疑、补遗内容不一致时，以最后发出的为准。</w:t>
      </w:r>
    </w:p>
    <w:p w14:paraId="3D673032">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四、投标人应在遵循招标文件的各项规定和要求的前提下，编制投标文件。编制投标文件时，应注意：</w:t>
      </w:r>
    </w:p>
    <w:p w14:paraId="71AD4CA0">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1．投标文件必须满足招标文件中的实质性要求和条件。投标文件的所有否决性条款已在“投标须知前附件一”中汇总明示，若出现其中任何一个情形的，其投标将会被否决。</w:t>
      </w:r>
    </w:p>
    <w:p w14:paraId="62FAB031">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2．投标人对招标文件有不同意见或不明之处，应通过书面形式，向招标人质疑，求得彻底澄清。若招标人不接受投标人提出的意见，投标人必须按招标文件办理，而不应在投标文件中加进额外的条件。</w:t>
      </w:r>
    </w:p>
    <w:p w14:paraId="157A1B06">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五、投标人在提交投标文件时，应注意：</w:t>
      </w:r>
    </w:p>
    <w:p w14:paraId="05E592CA">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1．投标人应严格按照招标文件的要求进行投标文件的密封和标记。</w:t>
      </w:r>
    </w:p>
    <w:p w14:paraId="23F79ABA">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2．投标人应当在招标文件要求提交投标文件的截止时间前，将投标文件送达指定地址。</w:t>
      </w:r>
    </w:p>
    <w:p w14:paraId="024CCA6F">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六、其他应该注意的：</w:t>
      </w:r>
    </w:p>
    <w:p w14:paraId="2A0E4B0F">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1、投标人提交投标文件，参加开标会和抽签的必须是投标人的法定代表人或其授权委托代理人，并持身份证明文件。非上述人员不得参加上述投标活动，否则由此产生的不利后果由投标人自行承担。</w:t>
      </w:r>
    </w:p>
    <w:p w14:paraId="53F551F1">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2、投标人须对投标资料的真实性负责。招标人有权将投标文件的部分或全部内容向外公示，若公示期间收到有关弄虚作假投诉的，招标人将提请有关行政管理部门查处。</w:t>
      </w:r>
    </w:p>
    <w:p w14:paraId="2FB93464">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4、若投标人资质证书被暂扣或吊销，但仍参与投标的，招标人将取消其投标或中标资格、没收其投标保证金，并提请有关行政管理部门对其进行行政处罚。</w:t>
      </w:r>
    </w:p>
    <w:bookmarkEnd w:id="3"/>
    <w:bookmarkEnd w:id="4"/>
    <w:bookmarkEnd w:id="5"/>
    <w:bookmarkEnd w:id="6"/>
    <w:bookmarkEnd w:id="7"/>
    <w:bookmarkEnd w:id="8"/>
    <w:p w14:paraId="660F382D">
      <w:pPr>
        <w:widowControl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七、本招标文件的解释权归招标人，即</w:t>
      </w:r>
      <w:bookmarkStart w:id="9" w:name="_Toc130830430"/>
      <w:bookmarkStart w:id="10" w:name="_Toc203810222"/>
      <w:bookmarkStart w:id="11" w:name="_Toc130835701"/>
      <w:bookmarkStart w:id="12" w:name="_Toc130835227"/>
      <w:bookmarkStart w:id="13" w:name="_Toc203358573"/>
      <w:bookmarkStart w:id="14" w:name="_Toc269970479"/>
      <w:r>
        <w:rPr>
          <w:rFonts w:hint="eastAsia" w:ascii="仿宋" w:hAnsi="仿宋" w:eastAsia="仿宋"/>
          <w:color w:val="auto"/>
          <w:sz w:val="28"/>
          <w:szCs w:val="28"/>
          <w:highlight w:val="none"/>
        </w:rPr>
        <w:t>深圳第一亚太物业管理有限公司。</w:t>
      </w:r>
    </w:p>
    <w:bookmarkEnd w:id="9"/>
    <w:bookmarkEnd w:id="10"/>
    <w:bookmarkEnd w:id="11"/>
    <w:bookmarkEnd w:id="12"/>
    <w:bookmarkEnd w:id="13"/>
    <w:bookmarkEnd w:id="14"/>
    <w:p w14:paraId="5AF182A7">
      <w:pPr>
        <w:widowControl w:val="0"/>
        <w:spacing w:line="560" w:lineRule="exact"/>
        <w:ind w:firstLine="560" w:firstLineChars="200"/>
        <w:rPr>
          <w:rFonts w:ascii="仿宋" w:hAnsi="仿宋" w:eastAsia="仿宋"/>
          <w:color w:val="auto"/>
          <w:sz w:val="28"/>
          <w:szCs w:val="28"/>
          <w:highlight w:val="none"/>
        </w:rPr>
      </w:pPr>
    </w:p>
    <w:p w14:paraId="53AA65D0">
      <w:pPr>
        <w:widowControl w:val="0"/>
        <w:spacing w:line="560" w:lineRule="exact"/>
        <w:ind w:firstLine="560" w:firstLineChars="200"/>
        <w:jc w:val="right"/>
        <w:rPr>
          <w:rFonts w:ascii="仿宋" w:hAnsi="仿宋" w:eastAsia="仿宋"/>
          <w:color w:val="auto"/>
          <w:sz w:val="28"/>
          <w:szCs w:val="28"/>
          <w:highlight w:val="none"/>
        </w:rPr>
      </w:pPr>
      <w:r>
        <w:rPr>
          <w:rFonts w:hint="eastAsia" w:ascii="仿宋" w:hAnsi="仿宋" w:eastAsia="仿宋"/>
          <w:color w:val="auto"/>
          <w:sz w:val="28"/>
          <w:szCs w:val="28"/>
          <w:highlight w:val="none"/>
        </w:rPr>
        <w:t>深圳第一亚太物业管理有限公司重庆分公司</w:t>
      </w:r>
    </w:p>
    <w:p w14:paraId="7B266460">
      <w:pPr>
        <w:widowControl w:val="0"/>
        <w:spacing w:line="560" w:lineRule="exact"/>
        <w:ind w:firstLine="560" w:firstLineChars="200"/>
        <w:jc w:val="right"/>
        <w:rPr>
          <w:rFonts w:ascii="仿宋" w:hAnsi="仿宋" w:eastAsia="仿宋"/>
          <w:color w:val="auto"/>
          <w:sz w:val="28"/>
          <w:szCs w:val="28"/>
          <w:highlight w:val="none"/>
        </w:rPr>
        <w:sectPr>
          <w:headerReference r:id="rId4" w:type="first"/>
          <w:headerReference r:id="rId3" w:type="default"/>
          <w:footerReference r:id="rId5" w:type="default"/>
          <w:pgSz w:w="11907" w:h="16840"/>
          <w:pgMar w:top="1418" w:right="1418" w:bottom="1418" w:left="1418" w:header="851" w:footer="680" w:gutter="0"/>
          <w:cols w:space="720" w:num="1"/>
          <w:titlePg/>
          <w:docGrid w:linePitch="286" w:charSpace="0"/>
        </w:sectPr>
      </w:pPr>
      <w:r>
        <w:rPr>
          <w:rFonts w:hint="eastAsia" w:ascii="仿宋" w:hAnsi="仿宋" w:eastAsia="仿宋"/>
          <w:color w:val="auto"/>
          <w:sz w:val="28"/>
          <w:szCs w:val="28"/>
          <w:highlight w:val="none"/>
        </w:rPr>
        <w:t>二〇二六年</w:t>
      </w:r>
      <w:r>
        <w:rPr>
          <w:rFonts w:hint="eastAsia" w:ascii="仿宋" w:hAnsi="仿宋" w:eastAsia="仿宋"/>
          <w:color w:val="auto"/>
          <w:sz w:val="28"/>
          <w:szCs w:val="28"/>
          <w:highlight w:val="none"/>
          <w:lang w:val="en-US" w:eastAsia="zh-CN"/>
        </w:rPr>
        <w:t>四</w:t>
      </w:r>
      <w:r>
        <w:rPr>
          <w:rFonts w:hint="eastAsia" w:ascii="仿宋" w:hAnsi="仿宋" w:eastAsia="仿宋"/>
          <w:color w:val="auto"/>
          <w:sz w:val="28"/>
          <w:szCs w:val="28"/>
          <w:highlight w:val="none"/>
        </w:rPr>
        <w:t xml:space="preserve">月   </w:t>
      </w:r>
    </w:p>
    <w:p w14:paraId="079CAF9C">
      <w:pPr>
        <w:rPr>
          <w:color w:val="auto"/>
          <w:highlight w:val="none"/>
          <w:shd w:val="clear" w:color="060000" w:fill="auto"/>
        </w:rPr>
      </w:pPr>
    </w:p>
    <w:p w14:paraId="068AAFBD">
      <w:pPr>
        <w:pStyle w:val="2"/>
        <w:spacing w:before="0" w:after="0" w:line="560" w:lineRule="exact"/>
        <w:jc w:val="center"/>
        <w:rPr>
          <w:rFonts w:ascii="黑体" w:hAnsi="黑体" w:eastAsia="黑体"/>
          <w:color w:val="auto"/>
          <w:sz w:val="48"/>
          <w:szCs w:val="48"/>
          <w:highlight w:val="none"/>
          <w:shd w:val="clear" w:color="060000" w:fill="auto"/>
        </w:rPr>
      </w:pPr>
      <w:bookmarkStart w:id="15" w:name="_Toc22022"/>
      <w:bookmarkStart w:id="16" w:name="_Toc80800139"/>
      <w:r>
        <w:rPr>
          <w:rFonts w:hint="eastAsia" w:ascii="黑体" w:hAnsi="黑体" w:eastAsia="黑体"/>
          <w:color w:val="auto"/>
          <w:sz w:val="48"/>
          <w:szCs w:val="48"/>
          <w:highlight w:val="none"/>
          <w:shd w:val="clear" w:color="060000" w:fill="auto"/>
        </w:rPr>
        <w:t>第二章 投标须知</w:t>
      </w:r>
      <w:bookmarkEnd w:id="15"/>
      <w:bookmarkEnd w:id="16"/>
    </w:p>
    <w:p w14:paraId="710F899A">
      <w:pPr>
        <w:rPr>
          <w:rFonts w:ascii="黑体" w:hAnsi="黑体" w:eastAsia="黑体"/>
          <w:color w:val="auto"/>
          <w:sz w:val="44"/>
          <w:szCs w:val="44"/>
          <w:highlight w:val="none"/>
        </w:rPr>
      </w:pPr>
    </w:p>
    <w:p w14:paraId="08018F1A">
      <w:pPr>
        <w:pStyle w:val="3"/>
        <w:spacing w:before="0" w:after="0" w:line="560" w:lineRule="exact"/>
        <w:jc w:val="center"/>
        <w:rPr>
          <w:rFonts w:ascii="黑体" w:hAnsi="黑体"/>
          <w:b w:val="0"/>
          <w:color w:val="auto"/>
          <w:sz w:val="44"/>
          <w:szCs w:val="44"/>
          <w:highlight w:val="none"/>
        </w:rPr>
      </w:pPr>
      <w:bookmarkStart w:id="17" w:name="_Toc80800140"/>
      <w:bookmarkStart w:id="18" w:name="_Toc20015"/>
      <w:r>
        <w:rPr>
          <w:rFonts w:hint="eastAsia" w:ascii="黑体" w:hAnsi="黑体"/>
          <w:b w:val="0"/>
          <w:color w:val="auto"/>
          <w:sz w:val="44"/>
          <w:szCs w:val="44"/>
          <w:highlight w:val="none"/>
        </w:rPr>
        <w:t>一、投标须知前附件</w:t>
      </w:r>
      <w:bookmarkEnd w:id="17"/>
      <w:bookmarkEnd w:id="18"/>
    </w:p>
    <w:p w14:paraId="4D5CDDE8">
      <w:pPr>
        <w:rPr>
          <w:color w:val="auto"/>
          <w:highlight w:val="none"/>
        </w:rPr>
      </w:pPr>
    </w:p>
    <w:p w14:paraId="50DCE6C8">
      <w:pPr>
        <w:pStyle w:val="4"/>
        <w:spacing w:before="0" w:after="0" w:line="560" w:lineRule="exact"/>
        <w:jc w:val="center"/>
        <w:rPr>
          <w:rFonts w:ascii="黑体" w:hAnsi="黑体" w:eastAsia="黑体"/>
          <w:b w:val="0"/>
          <w:color w:val="auto"/>
          <w:sz w:val="36"/>
          <w:szCs w:val="36"/>
          <w:highlight w:val="none"/>
        </w:rPr>
      </w:pPr>
      <w:bookmarkStart w:id="19" w:name="_Toc31318"/>
      <w:bookmarkStart w:id="20" w:name="_Toc80800141"/>
      <w:r>
        <w:rPr>
          <w:rFonts w:hint="eastAsia" w:ascii="黑体" w:hAnsi="黑体" w:eastAsia="黑体"/>
          <w:b w:val="0"/>
          <w:color w:val="auto"/>
          <w:sz w:val="36"/>
          <w:szCs w:val="36"/>
          <w:highlight w:val="none"/>
        </w:rPr>
        <w:t>（一）投标须知前附表1</w:t>
      </w:r>
      <w:bookmarkEnd w:id="19"/>
      <w:bookmarkEnd w:id="20"/>
    </w:p>
    <w:p w14:paraId="5B33F4EA">
      <w:pPr>
        <w:rPr>
          <w:color w:val="auto"/>
          <w:highlight w:val="none"/>
          <w:shd w:val="clear" w:color="060000" w:fill="auto"/>
        </w:rPr>
      </w:pPr>
    </w:p>
    <w:tbl>
      <w:tblPr>
        <w:tblStyle w:val="34"/>
        <w:tblW w:w="9131" w:type="dxa"/>
        <w:jc w:val="center"/>
        <w:tblLayout w:type="fixed"/>
        <w:tblCellMar>
          <w:top w:w="0" w:type="dxa"/>
          <w:left w:w="108" w:type="dxa"/>
          <w:bottom w:w="0" w:type="dxa"/>
          <w:right w:w="108" w:type="dxa"/>
        </w:tblCellMar>
      </w:tblPr>
      <w:tblGrid>
        <w:gridCol w:w="901"/>
        <w:gridCol w:w="1984"/>
        <w:gridCol w:w="6246"/>
      </w:tblGrid>
      <w:tr w14:paraId="23D1C413">
        <w:tblPrEx>
          <w:tblCellMar>
            <w:top w:w="0" w:type="dxa"/>
            <w:left w:w="108" w:type="dxa"/>
            <w:bottom w:w="0" w:type="dxa"/>
            <w:right w:w="108" w:type="dxa"/>
          </w:tblCellMar>
        </w:tblPrEx>
        <w:trPr>
          <w:trHeight w:val="598" w:hRule="atLeast"/>
          <w:jc w:val="center"/>
        </w:trPr>
        <w:tc>
          <w:tcPr>
            <w:tcW w:w="901" w:type="dxa"/>
            <w:tcBorders>
              <w:top w:val="single" w:color="000000" w:sz="4" w:space="0"/>
              <w:left w:val="single" w:color="000000" w:sz="4" w:space="0"/>
              <w:bottom w:val="single" w:color="000000" w:sz="4" w:space="0"/>
              <w:right w:val="single" w:color="000000" w:sz="6" w:space="0"/>
            </w:tcBorders>
            <w:tcMar>
              <w:left w:w="108" w:type="dxa"/>
              <w:right w:w="108" w:type="dxa"/>
            </w:tcMar>
            <w:vAlign w:val="center"/>
          </w:tcPr>
          <w:p w14:paraId="2D8622A4">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序号</w:t>
            </w:r>
          </w:p>
        </w:tc>
        <w:tc>
          <w:tcPr>
            <w:tcW w:w="1984" w:type="dxa"/>
            <w:tcBorders>
              <w:top w:val="single" w:color="000000" w:sz="4" w:space="0"/>
              <w:left w:val="single" w:color="000000" w:sz="6" w:space="0"/>
              <w:bottom w:val="single" w:color="000000" w:sz="4" w:space="0"/>
              <w:right w:val="single" w:color="000000" w:sz="6" w:space="0"/>
            </w:tcBorders>
            <w:tcMar>
              <w:left w:w="108" w:type="dxa"/>
              <w:right w:w="108" w:type="dxa"/>
            </w:tcMar>
            <w:vAlign w:val="center"/>
          </w:tcPr>
          <w:p w14:paraId="3D762D48">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内 容</w:t>
            </w:r>
          </w:p>
        </w:tc>
        <w:tc>
          <w:tcPr>
            <w:tcW w:w="6246" w:type="dxa"/>
            <w:tcBorders>
              <w:top w:val="single" w:color="000000" w:sz="4" w:space="0"/>
              <w:left w:val="single" w:color="000000" w:sz="6" w:space="0"/>
              <w:bottom w:val="single" w:color="000000" w:sz="4" w:space="0"/>
              <w:right w:val="single" w:color="000000" w:sz="4" w:space="0"/>
            </w:tcBorders>
            <w:tcMar>
              <w:left w:w="108" w:type="dxa"/>
              <w:right w:w="108" w:type="dxa"/>
            </w:tcMar>
            <w:vAlign w:val="center"/>
          </w:tcPr>
          <w:p w14:paraId="2D045D42">
            <w:pPr>
              <w:widowControl w:val="0"/>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规   定</w:t>
            </w:r>
          </w:p>
        </w:tc>
      </w:tr>
      <w:tr w14:paraId="0D0D8879">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908AC4">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F461A7">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 标 人</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6194AAA">
            <w:pPr>
              <w:tabs>
                <w:tab w:val="left" w:pos="51"/>
              </w:tabs>
              <w:snapToGrid w:val="0"/>
              <w:spacing w:line="276" w:lineRule="auto"/>
              <w:jc w:val="left"/>
              <w:rPr>
                <w:rFonts w:ascii="仿宋" w:hAnsi="仿宋"/>
                <w:color w:val="auto"/>
                <w:sz w:val="28"/>
                <w:szCs w:val="28"/>
                <w:highlight w:val="none"/>
              </w:rPr>
            </w:pPr>
            <w:r>
              <w:rPr>
                <w:rFonts w:hint="eastAsia" w:ascii="仿宋" w:hAnsi="仿宋" w:eastAsia="仿宋"/>
                <w:color w:val="auto"/>
                <w:sz w:val="28"/>
                <w:szCs w:val="28"/>
                <w:highlight w:val="none"/>
              </w:rPr>
              <w:t>深圳第一亚太物业管理有限公司重庆分公司</w:t>
            </w:r>
          </w:p>
        </w:tc>
      </w:tr>
      <w:tr w14:paraId="195F422A">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5BC55">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CA5226">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招标项目名称</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545A47">
            <w:pPr>
              <w:pStyle w:val="69"/>
              <w:spacing w:line="400" w:lineRule="exact"/>
              <w:ind w:firstLine="0" w:firstLineChars="0"/>
              <w:jc w:val="left"/>
              <w:rPr>
                <w:rFonts w:ascii="仿宋" w:hAnsi="仿宋" w:eastAsia="仿宋"/>
                <w:color w:val="auto"/>
                <w:sz w:val="28"/>
                <w:szCs w:val="28"/>
                <w:highlight w:val="none"/>
              </w:rPr>
            </w:pPr>
            <w:r>
              <w:rPr>
                <w:rFonts w:hint="eastAsia" w:ascii="仿宋" w:hAnsi="仿宋" w:eastAsia="仿宋" w:cs="Times New Roman"/>
                <w:b w:val="0"/>
                <w:bCs w:val="0"/>
                <w:color w:val="auto"/>
                <w:kern w:val="2"/>
                <w:sz w:val="28"/>
                <w:szCs w:val="28"/>
                <w:highlight w:val="none"/>
                <w:u w:val="none"/>
                <w:shd w:val="clear"/>
                <w:lang w:val="en-US" w:eastAsia="zh-CN"/>
              </w:rPr>
              <w:t>第一亚太重庆分公司物业费欠费追缴诉讼服务（第二次）</w:t>
            </w:r>
          </w:p>
        </w:tc>
      </w:tr>
      <w:tr w14:paraId="54C316FF">
        <w:tblPrEx>
          <w:tblCellMar>
            <w:top w:w="0" w:type="dxa"/>
            <w:left w:w="108" w:type="dxa"/>
            <w:bottom w:w="0" w:type="dxa"/>
            <w:right w:w="108" w:type="dxa"/>
          </w:tblCellMar>
        </w:tblPrEx>
        <w:trPr>
          <w:trHeight w:val="56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75DCB46">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3</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DC3374">
            <w:pPr>
              <w:pStyle w:val="69"/>
              <w:spacing w:line="400" w:lineRule="exact"/>
              <w:ind w:left="0" w:firstLine="0" w:firstLineChars="0"/>
              <w:jc w:val="center"/>
              <w:rPr>
                <w:rFonts w:hint="eastAsia" w:ascii="仿宋" w:hAnsi="仿宋" w:eastAsia="仿宋" w:cs="宋体"/>
                <w:bCs/>
                <w:color w:val="auto"/>
                <w:sz w:val="32"/>
                <w:szCs w:val="32"/>
                <w:highlight w:val="none"/>
                <w:u w:val="single"/>
              </w:rPr>
            </w:pPr>
            <w:r>
              <w:rPr>
                <w:rFonts w:hint="eastAsia" w:ascii="仿宋" w:hAnsi="仿宋" w:eastAsia="仿宋"/>
                <w:color w:val="auto"/>
                <w:sz w:val="28"/>
                <w:szCs w:val="28"/>
                <w:highlight w:val="none"/>
              </w:rPr>
              <w:t>项目地点</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D25304">
            <w:pPr>
              <w:pStyle w:val="69"/>
              <w:widowControl/>
              <w:autoSpaceDE/>
              <w:autoSpaceDN/>
              <w:adjustRightInd/>
              <w:snapToGrid/>
              <w:spacing w:line="400" w:lineRule="exact"/>
              <w:ind w:firstLine="0" w:firstLineChars="0"/>
              <w:jc w:val="left"/>
              <w:rPr>
                <w:rFonts w:hint="eastAsia" w:ascii="仿宋" w:hAnsi="仿宋" w:eastAsia="仿宋" w:cs="宋体"/>
                <w:bCs/>
                <w:color w:val="auto"/>
                <w:sz w:val="32"/>
                <w:szCs w:val="32"/>
                <w:highlight w:val="none"/>
                <w:u w:val="single"/>
                <w:lang w:val="en-US" w:eastAsia="zh-CN"/>
              </w:rPr>
            </w:pPr>
            <w:r>
              <w:rPr>
                <w:rFonts w:hint="eastAsia" w:ascii="仿宋" w:hAnsi="仿宋" w:eastAsia="仿宋"/>
                <w:color w:val="auto"/>
                <w:sz w:val="28"/>
                <w:szCs w:val="28"/>
                <w:highlight w:val="none"/>
                <w:lang w:val="en-US" w:eastAsia="zh-CN"/>
              </w:rPr>
              <w:t>重庆华南城巴南华府项目</w:t>
            </w:r>
          </w:p>
        </w:tc>
      </w:tr>
      <w:tr w14:paraId="2E00567F">
        <w:tblPrEx>
          <w:tblCellMar>
            <w:top w:w="0" w:type="dxa"/>
            <w:left w:w="108" w:type="dxa"/>
            <w:bottom w:w="0" w:type="dxa"/>
            <w:right w:w="108" w:type="dxa"/>
          </w:tblCellMar>
        </w:tblPrEx>
        <w:trPr>
          <w:trHeight w:val="65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B481F1">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3F517">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资金来源</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5E6137">
            <w:pPr>
              <w:pStyle w:val="69"/>
              <w:spacing w:line="400" w:lineRule="exact"/>
              <w:ind w:left="357" w:hanging="357" w:firstLineChars="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□国有资金</w:t>
            </w:r>
            <w:r>
              <w:rPr>
                <w:rFonts w:hint="eastAsia" w:ascii="仿宋" w:hAnsi="仿宋" w:eastAsia="仿宋"/>
                <w:color w:val="auto"/>
                <w:sz w:val="28"/>
                <w:szCs w:val="28"/>
                <w:highlight w:val="none"/>
                <w:u w:val="single"/>
              </w:rPr>
              <w:t xml:space="preserve"> / </w:t>
            </w:r>
            <w:r>
              <w:rPr>
                <w:rFonts w:hint="eastAsia" w:ascii="仿宋" w:hAnsi="仿宋" w:eastAsia="仿宋"/>
                <w:color w:val="auto"/>
                <w:sz w:val="28"/>
                <w:szCs w:val="28"/>
                <w:highlight w:val="none"/>
              </w:rPr>
              <w:t>%☑其他资金</w:t>
            </w:r>
            <w:r>
              <w:rPr>
                <w:rFonts w:hint="eastAsia" w:ascii="仿宋" w:hAnsi="仿宋" w:eastAsia="仿宋"/>
                <w:color w:val="auto"/>
                <w:sz w:val="28"/>
                <w:szCs w:val="28"/>
                <w:highlight w:val="none"/>
                <w:u w:val="single"/>
              </w:rPr>
              <w:t xml:space="preserve">  企业自筹  </w:t>
            </w:r>
          </w:p>
        </w:tc>
      </w:tr>
      <w:tr w14:paraId="199D83AB">
        <w:tblPrEx>
          <w:tblCellMar>
            <w:top w:w="0" w:type="dxa"/>
            <w:left w:w="108" w:type="dxa"/>
            <w:bottom w:w="0" w:type="dxa"/>
            <w:right w:w="108" w:type="dxa"/>
          </w:tblCellMar>
        </w:tblPrEx>
        <w:trPr>
          <w:trHeight w:val="63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3E6EC0">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3E5E32">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招标范围</w:t>
            </w:r>
          </w:p>
          <w:p w14:paraId="543A6D51">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及内容</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C5ED9A1">
            <w:pPr>
              <w:tabs>
                <w:tab w:val="left" w:pos="51"/>
              </w:tabs>
              <w:autoSpaceDE/>
              <w:autoSpaceDN/>
              <w:snapToGrid w:val="0"/>
              <w:spacing w:line="276" w:lineRule="auto"/>
              <w:jc w:val="left"/>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标段一：重庆华南城巴南华府伴遖山、景云、望舒（一）项目的物业费催收服务</w:t>
            </w:r>
          </w:p>
          <w:p w14:paraId="77040685">
            <w:pPr>
              <w:autoSpaceDE w:val="0"/>
              <w:autoSpaceDN w:val="0"/>
              <w:spacing w:line="440" w:lineRule="exact"/>
              <w:rPr>
                <w:color w:val="auto"/>
                <w:highlight w:val="none"/>
              </w:rPr>
            </w:pPr>
            <w:r>
              <w:rPr>
                <w:rFonts w:hint="eastAsia" w:ascii="仿宋" w:hAnsi="仿宋" w:eastAsia="仿宋" w:cs="Times New Roman"/>
                <w:color w:val="auto"/>
                <w:sz w:val="28"/>
                <w:szCs w:val="28"/>
                <w:highlight w:val="none"/>
                <w:lang w:val="en-US" w:eastAsia="zh-CN"/>
              </w:rPr>
              <w:t>标段二：重庆华南城巴南华府望舒（二）、明昱阁、云邸项目的物业费催收服务</w:t>
            </w:r>
          </w:p>
        </w:tc>
      </w:tr>
      <w:tr w14:paraId="34C40370">
        <w:tblPrEx>
          <w:tblCellMar>
            <w:top w:w="0" w:type="dxa"/>
            <w:left w:w="108" w:type="dxa"/>
            <w:bottom w:w="0" w:type="dxa"/>
            <w:right w:w="108" w:type="dxa"/>
          </w:tblCellMar>
        </w:tblPrEx>
        <w:trPr>
          <w:trHeight w:val="144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EC460F">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B55EFA">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招标方式</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9101A5">
            <w:pPr>
              <w:autoSpaceDE w:val="0"/>
              <w:autoSpaceDN w:val="0"/>
              <w:adjustRightInd w:val="0"/>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☑公开招标</w:t>
            </w:r>
          </w:p>
          <w:p w14:paraId="41031948">
            <w:pPr>
              <w:autoSpaceDE w:val="0"/>
              <w:autoSpaceDN w:val="0"/>
              <w:adjustRightInd w:val="0"/>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□邀请招标</w:t>
            </w:r>
          </w:p>
        </w:tc>
      </w:tr>
      <w:tr w14:paraId="1F01B56C">
        <w:tblPrEx>
          <w:tblCellMar>
            <w:top w:w="0" w:type="dxa"/>
            <w:left w:w="108" w:type="dxa"/>
            <w:bottom w:w="0" w:type="dxa"/>
            <w:right w:w="108" w:type="dxa"/>
          </w:tblCellMar>
        </w:tblPrEx>
        <w:trPr>
          <w:trHeight w:val="11440"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B574DE">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421BD2">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投标人</w:t>
            </w:r>
          </w:p>
          <w:p w14:paraId="18979760">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资格要求</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085BE0">
            <w:pPr>
              <w:autoSpaceDE w:val="0"/>
              <w:autoSpaceDN w:val="0"/>
              <w:spacing w:line="56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（一）企业资格要求： </w:t>
            </w:r>
          </w:p>
          <w:p w14:paraId="16FE2100">
            <w:pPr>
              <w:autoSpaceDE w:val="0"/>
              <w:autoSpaceDN w:val="0"/>
              <w:adjustRightInd/>
              <w:snapToGrid/>
              <w:spacing w:after="0" w:line="560" w:lineRule="exact"/>
              <w:ind w:firstLine="0" w:firstLineChars="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投标单位</w:t>
            </w:r>
            <w:r>
              <w:rPr>
                <w:rFonts w:hint="eastAsia" w:ascii="仿宋" w:hAnsi="仿宋" w:eastAsia="仿宋" w:cs="Times New Roman"/>
                <w:i w:val="0"/>
                <w:iCs w:val="0"/>
                <w:caps w:val="0"/>
                <w:color w:val="auto"/>
                <w:spacing w:val="0"/>
                <w:sz w:val="28"/>
                <w:szCs w:val="28"/>
                <w:highlight w:val="none"/>
                <w:shd w:val="clear"/>
              </w:rPr>
              <w:t>应为在中华人民共和国境内（不含香港、澳门、台湾地区）合法注册的律师事务所，</w:t>
            </w:r>
            <w:r>
              <w:rPr>
                <w:rFonts w:hint="eastAsia" w:ascii="仿宋" w:hAnsi="仿宋" w:eastAsia="仿宋" w:cs="Times New Roman"/>
                <w:color w:val="auto"/>
                <w:sz w:val="28"/>
                <w:szCs w:val="28"/>
                <w:highlight w:val="none"/>
              </w:rPr>
              <w:t>在</w:t>
            </w:r>
            <w:r>
              <w:rPr>
                <w:rFonts w:hint="eastAsia" w:ascii="仿宋" w:hAnsi="仿宋" w:eastAsia="仿宋" w:cs="Times New Roman"/>
                <w:color w:val="auto"/>
                <w:sz w:val="28"/>
                <w:szCs w:val="28"/>
                <w:highlight w:val="none"/>
                <w:lang w:val="en-US" w:eastAsia="zh-CN"/>
              </w:rPr>
              <w:t>司法</w:t>
            </w:r>
            <w:r>
              <w:rPr>
                <w:rFonts w:hint="eastAsia" w:ascii="仿宋" w:hAnsi="仿宋" w:eastAsia="仿宋" w:cs="Times New Roman"/>
                <w:color w:val="auto"/>
                <w:sz w:val="28"/>
                <w:szCs w:val="28"/>
                <w:highlight w:val="none"/>
              </w:rPr>
              <w:t>部门登记成立</w:t>
            </w:r>
            <w:r>
              <w:rPr>
                <w:rFonts w:hint="eastAsia" w:ascii="仿宋" w:hAnsi="仿宋" w:eastAsia="仿宋" w:cs="Times New Roman"/>
                <w:color w:val="auto"/>
                <w:sz w:val="28"/>
                <w:szCs w:val="28"/>
                <w:highlight w:val="none"/>
                <w:lang w:val="en-US" w:eastAsia="zh-CN"/>
              </w:rPr>
              <w:t>3</w:t>
            </w:r>
            <w:r>
              <w:rPr>
                <w:rFonts w:hint="eastAsia" w:ascii="仿宋" w:hAnsi="仿宋" w:eastAsia="仿宋" w:cs="Times New Roman"/>
                <w:color w:val="auto"/>
                <w:sz w:val="28"/>
                <w:szCs w:val="28"/>
                <w:highlight w:val="none"/>
              </w:rPr>
              <w:t>年(含)以上</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rPr>
              <w:t>(投标单位须提供合法有效的律师事务所执业许可证复印件并加盖公章</w:t>
            </w:r>
            <w:r>
              <w:rPr>
                <w:rFonts w:hint="eastAsia" w:ascii="仿宋" w:hAnsi="仿宋" w:eastAsia="仿宋" w:cs="Times New Roman"/>
                <w:color w:val="auto"/>
                <w:sz w:val="28"/>
                <w:szCs w:val="28"/>
                <w:highlight w:val="none"/>
                <w:lang w:eastAsia="zh-CN"/>
              </w:rPr>
              <w:t>）；</w:t>
            </w:r>
          </w:p>
          <w:p w14:paraId="031DE53C">
            <w:pPr>
              <w:autoSpaceDE w:val="0"/>
              <w:autoSpaceDN w:val="0"/>
              <w:adjustRightInd/>
              <w:snapToGrid/>
              <w:spacing w:after="0" w:line="560" w:lineRule="exact"/>
              <w:ind w:firstLine="0" w:firstLineChars="0"/>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2、投标单位执业律师数应达20人及以上（</w:t>
            </w:r>
            <w:r>
              <w:rPr>
                <w:rFonts w:hint="eastAsia" w:ascii="仿宋" w:hAnsi="仿宋" w:eastAsia="仿宋" w:cs="Times New Roman"/>
                <w:color w:val="auto"/>
                <w:sz w:val="28"/>
                <w:szCs w:val="28"/>
                <w:highlight w:val="none"/>
              </w:rPr>
              <w:t>投标单位须</w:t>
            </w:r>
            <w:r>
              <w:rPr>
                <w:rFonts w:hint="eastAsia" w:ascii="仿宋" w:hAnsi="仿宋" w:eastAsia="仿宋" w:cs="Times New Roman"/>
                <w:color w:val="auto"/>
                <w:sz w:val="28"/>
                <w:szCs w:val="28"/>
                <w:highlight w:val="none"/>
                <w:lang w:val="en-US" w:eastAsia="zh-CN"/>
              </w:rPr>
              <w:t>需提供执业律师的律师执业证复印件并加盖公章);</w:t>
            </w:r>
          </w:p>
          <w:p w14:paraId="55A543EC">
            <w:pPr>
              <w:autoSpaceDE w:val="0"/>
              <w:autoSpaceDN w:val="0"/>
              <w:spacing w:after="0" w:line="560" w:lineRule="exact"/>
              <w:ind w:firstLine="0" w:firstLineChars="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val="en-US" w:eastAsia="zh-CN"/>
              </w:rPr>
              <w:t>3</w:t>
            </w: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rPr>
              <w:t>投标单位在近三年内无违反招投标法律、行政法规的行为</w:t>
            </w:r>
            <w:r>
              <w:rPr>
                <w:rFonts w:hint="eastAsia" w:ascii="仿宋" w:hAnsi="仿宋" w:eastAsia="仿宋" w:cs="Times New Roman"/>
                <w:color w:val="auto"/>
                <w:sz w:val="28"/>
                <w:szCs w:val="28"/>
                <w:highlight w:val="none"/>
                <w:lang w:eastAsia="zh-CN"/>
              </w:rPr>
              <w:t>。</w:t>
            </w:r>
          </w:p>
          <w:p w14:paraId="398B4B43">
            <w:pPr>
              <w:autoSpaceDE w:val="0"/>
              <w:autoSpaceDN w:val="0"/>
              <w:spacing w:after="0" w:line="560" w:lineRule="exact"/>
              <w:ind w:firstLine="0" w:firstLineChars="0"/>
              <w:rPr>
                <w:rFonts w:hint="eastAsia" w:ascii="仿宋_GB2312" w:hAnsi="仿宋_GB2312" w:eastAsia="仿宋_GB2312" w:cs="仿宋_GB2312"/>
                <w:kern w:val="0"/>
                <w:sz w:val="32"/>
                <w:szCs w:val="32"/>
                <w:highlight w:val="none"/>
                <w:lang w:val="en-US" w:eastAsia="zh-CN" w:bidi="ar-SA"/>
              </w:rPr>
            </w:pPr>
            <w:r>
              <w:rPr>
                <w:rFonts w:hint="eastAsia" w:ascii="仿宋" w:hAnsi="仿宋" w:eastAsia="仿宋" w:cs="Times New Roman"/>
                <w:color w:val="auto"/>
                <w:kern w:val="2"/>
                <w:sz w:val="28"/>
                <w:szCs w:val="28"/>
                <w:highlight w:val="none"/>
                <w:lang w:val="en-US" w:eastAsia="zh-CN" w:bidi="ar-SA"/>
              </w:rPr>
              <w:t>4、未列入“信用中国”网站（creditcity.creditchina.gov.cn）失信被执行人、重大税收违法案件当事人名单。</w:t>
            </w:r>
          </w:p>
          <w:p w14:paraId="41E949B9">
            <w:pPr>
              <w:autoSpaceDE w:val="0"/>
              <w:autoSpaceDN w:val="0"/>
              <w:spacing w:line="56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（二）是否接受联合体投标：否。</w:t>
            </w:r>
          </w:p>
          <w:p w14:paraId="5633D788">
            <w:pPr>
              <w:autoSpaceDE w:val="0"/>
              <w:autoSpaceDN w:val="0"/>
              <w:spacing w:line="56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（三）业绩要求：</w:t>
            </w:r>
            <w:r>
              <w:rPr>
                <w:rFonts w:hint="eastAsia" w:ascii="仿宋" w:hAnsi="仿宋" w:eastAsia="仿宋" w:cs="Times New Roman"/>
                <w:color w:val="auto"/>
                <w:kern w:val="2"/>
                <w:sz w:val="28"/>
                <w:szCs w:val="28"/>
                <w:highlight w:val="none"/>
                <w:lang w:val="en-US" w:eastAsia="zh-CN"/>
              </w:rPr>
              <w:t>具备物业费欠费追缴诉讼经验，需提供近两年内行政区域归属巴南区的物业费欠费追缴立案金额在25万元以上或立案户数不低于10户的成功业绩合同</w:t>
            </w:r>
            <w:r>
              <w:rPr>
                <w:rFonts w:hint="eastAsia" w:ascii="仿宋" w:hAnsi="仿宋" w:eastAsia="仿宋" w:cs="Times New Roman"/>
                <w:color w:val="auto"/>
                <w:kern w:val="2"/>
                <w:sz w:val="28"/>
                <w:szCs w:val="28"/>
                <w:highlight w:val="none"/>
                <w:lang w:val="en-US" w:eastAsia="zh-CN" w:bidi="ar-SA"/>
              </w:rPr>
              <w:t>不少于3份</w:t>
            </w:r>
            <w:r>
              <w:rPr>
                <w:rFonts w:hint="eastAsia" w:ascii="仿宋" w:hAnsi="仿宋" w:eastAsia="仿宋" w:cs="Times New Roman"/>
                <w:color w:val="auto"/>
                <w:kern w:val="2"/>
                <w:sz w:val="24"/>
                <w:szCs w:val="24"/>
                <w:highlight w:val="none"/>
                <w:lang w:val="en-US" w:eastAsia="zh-CN" w:bidi="ar-SA"/>
              </w:rPr>
              <w:t>。</w:t>
            </w:r>
            <w:r>
              <w:rPr>
                <w:rFonts w:hint="eastAsia" w:ascii="仿宋" w:hAnsi="仿宋" w:eastAsia="仿宋" w:cs="Times New Roman"/>
                <w:color w:val="auto"/>
                <w:kern w:val="2"/>
                <w:sz w:val="28"/>
                <w:szCs w:val="28"/>
                <w:highlight w:val="none"/>
              </w:rPr>
              <w:t>（</w:t>
            </w:r>
            <w:r>
              <w:rPr>
                <w:rFonts w:hint="eastAsia" w:ascii="仿宋" w:hAnsi="仿宋" w:eastAsia="仿宋" w:cs="Times New Roman"/>
                <w:color w:val="auto"/>
                <w:kern w:val="2"/>
                <w:sz w:val="28"/>
                <w:szCs w:val="28"/>
                <w:highlight w:val="none"/>
                <w:lang w:val="en-US" w:eastAsia="zh-CN"/>
              </w:rPr>
              <w:t>投标单位</w:t>
            </w:r>
            <w:r>
              <w:rPr>
                <w:rFonts w:hint="eastAsia" w:ascii="仿宋" w:hAnsi="仿宋" w:eastAsia="仿宋" w:cs="Times New Roman"/>
                <w:color w:val="auto"/>
                <w:kern w:val="2"/>
                <w:sz w:val="28"/>
                <w:szCs w:val="28"/>
                <w:highlight w:val="none"/>
              </w:rPr>
              <w:t>须提供合同复印件关键页</w:t>
            </w:r>
            <w:r>
              <w:rPr>
                <w:rFonts w:hint="eastAsia" w:ascii="仿宋" w:hAnsi="仿宋" w:eastAsia="仿宋" w:cs="Times New Roman"/>
                <w:color w:val="auto"/>
                <w:kern w:val="2"/>
                <w:sz w:val="28"/>
                <w:szCs w:val="28"/>
                <w:highlight w:val="none"/>
                <w:lang w:val="en-US" w:eastAsia="zh-CN"/>
              </w:rPr>
              <w:t>及相关立案金额及立案户数的证明材料并</w:t>
            </w:r>
            <w:r>
              <w:rPr>
                <w:rFonts w:hint="eastAsia" w:ascii="仿宋" w:hAnsi="仿宋" w:eastAsia="仿宋" w:cs="Times New Roman"/>
                <w:color w:val="auto"/>
                <w:kern w:val="2"/>
                <w:sz w:val="28"/>
                <w:szCs w:val="28"/>
                <w:highlight w:val="none"/>
              </w:rPr>
              <w:t>加盖公章）</w:t>
            </w:r>
            <w:r>
              <w:rPr>
                <w:rFonts w:hint="eastAsia" w:ascii="仿宋" w:hAnsi="仿宋" w:eastAsia="仿宋" w:cs="Times New Roman"/>
                <w:color w:val="auto"/>
                <w:kern w:val="2"/>
                <w:sz w:val="28"/>
                <w:szCs w:val="28"/>
                <w:highlight w:val="none"/>
                <w:lang w:eastAsia="zh-CN"/>
              </w:rPr>
              <w:t>。</w:t>
            </w:r>
          </w:p>
        </w:tc>
      </w:tr>
      <w:tr w14:paraId="121B8C95">
        <w:tblPrEx>
          <w:tblCellMar>
            <w:top w:w="0" w:type="dxa"/>
            <w:left w:w="108" w:type="dxa"/>
            <w:bottom w:w="0" w:type="dxa"/>
            <w:right w:w="108" w:type="dxa"/>
          </w:tblCellMar>
        </w:tblPrEx>
        <w:trPr>
          <w:trHeight w:val="11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298199">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C066E5">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投标人</w:t>
            </w:r>
            <w:r>
              <w:rPr>
                <w:rFonts w:hint="eastAsia" w:ascii="仿宋" w:hAnsi="仿宋" w:eastAsia="仿宋"/>
                <w:color w:val="auto"/>
                <w:sz w:val="28"/>
                <w:szCs w:val="28"/>
                <w:highlight w:val="none"/>
                <w:lang w:val="en-US" w:eastAsia="zh-CN"/>
              </w:rPr>
              <w:t>主办律师</w:t>
            </w:r>
            <w:r>
              <w:rPr>
                <w:rFonts w:hint="eastAsia" w:ascii="仿宋" w:hAnsi="仿宋" w:eastAsia="仿宋"/>
                <w:color w:val="auto"/>
                <w:sz w:val="28"/>
                <w:szCs w:val="28"/>
                <w:highlight w:val="none"/>
              </w:rPr>
              <w:t>资格要求</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48559E">
            <w:pPr>
              <w:autoSpaceDE w:val="0"/>
              <w:autoSpaceDN w:val="0"/>
              <w:spacing w:line="560" w:lineRule="exact"/>
              <w:rPr>
                <w:rFonts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须</w:t>
            </w:r>
            <w:r>
              <w:rPr>
                <w:rFonts w:hint="eastAsia" w:ascii="仿宋" w:hAnsi="仿宋" w:eastAsia="仿宋"/>
                <w:color w:val="auto"/>
                <w:sz w:val="28"/>
                <w:szCs w:val="28"/>
                <w:highlight w:val="none"/>
              </w:rPr>
              <w:t>持《</w:t>
            </w:r>
            <w:r>
              <w:rPr>
                <w:rFonts w:hint="eastAsia" w:ascii="仿宋" w:hAnsi="仿宋" w:eastAsia="仿宋" w:cs="Times New Roman"/>
                <w:color w:val="auto"/>
                <w:sz w:val="28"/>
                <w:szCs w:val="28"/>
                <w:highlight w:val="none"/>
                <w:lang w:val="en-US" w:eastAsia="zh-CN"/>
              </w:rPr>
              <w:t>律师执业证</w:t>
            </w:r>
            <w:r>
              <w:rPr>
                <w:rFonts w:hint="eastAsia" w:ascii="仿宋" w:hAnsi="仿宋" w:eastAsia="仿宋"/>
                <w:color w:val="auto"/>
                <w:sz w:val="28"/>
                <w:szCs w:val="28"/>
                <w:highlight w:val="none"/>
              </w:rPr>
              <w:t>》，</w:t>
            </w:r>
            <w:r>
              <w:rPr>
                <w:rFonts w:hint="eastAsia" w:ascii="仿宋" w:hAnsi="仿宋" w:eastAsia="仿宋" w:cs="Times New Roman"/>
                <w:color w:val="auto"/>
                <w:kern w:val="2"/>
                <w:sz w:val="28"/>
                <w:szCs w:val="28"/>
                <w:highlight w:val="none"/>
                <w:lang w:val="en-US" w:eastAsia="zh-CN" w:bidi="ar-SA"/>
              </w:rPr>
              <w:t>具有8年以上执业经验</w:t>
            </w:r>
            <w:r>
              <w:rPr>
                <w:rFonts w:hint="eastAsia" w:ascii="仿宋" w:hAnsi="仿宋" w:eastAsia="仿宋"/>
                <w:color w:val="auto"/>
                <w:sz w:val="28"/>
                <w:szCs w:val="28"/>
                <w:highlight w:val="none"/>
              </w:rPr>
              <w:t>。</w:t>
            </w:r>
          </w:p>
        </w:tc>
      </w:tr>
      <w:tr w14:paraId="4A185B90">
        <w:tblPrEx>
          <w:tblCellMar>
            <w:top w:w="0" w:type="dxa"/>
            <w:left w:w="108" w:type="dxa"/>
            <w:bottom w:w="0" w:type="dxa"/>
            <w:right w:w="108" w:type="dxa"/>
          </w:tblCellMar>
        </w:tblPrEx>
        <w:trPr>
          <w:trHeight w:val="166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60EF41">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0E282BC">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资格审查</w:t>
            </w:r>
          </w:p>
          <w:p w14:paraId="07B5769C">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方式</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D80989">
            <w:pPr>
              <w:pStyle w:val="69"/>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rPr>
              <w:t>□资格预审</w:t>
            </w:r>
          </w:p>
          <w:p w14:paraId="2F4B0790">
            <w:pPr>
              <w:pStyle w:val="69"/>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rPr>
              <w:t>☑资格后审</w:t>
            </w:r>
          </w:p>
          <w:p w14:paraId="51966BF3">
            <w:pPr>
              <w:topLinePunct/>
              <w:adjustRightInd w:val="0"/>
              <w:snapToGrid w:val="0"/>
              <w:spacing w:line="520" w:lineRule="exac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□投标报名</w:t>
            </w:r>
          </w:p>
          <w:p w14:paraId="4C50678A">
            <w:pPr>
              <w:pStyle w:val="69"/>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olor w:val="auto"/>
                <w:sz w:val="28"/>
                <w:szCs w:val="28"/>
                <w:highlight w:val="none"/>
              </w:rPr>
              <w:t>□投标邀请</w:t>
            </w:r>
          </w:p>
        </w:tc>
      </w:tr>
      <w:tr w14:paraId="3A9B6BF8">
        <w:tblPrEx>
          <w:tblCellMar>
            <w:top w:w="0" w:type="dxa"/>
            <w:left w:w="108" w:type="dxa"/>
            <w:bottom w:w="0" w:type="dxa"/>
            <w:right w:w="108" w:type="dxa"/>
          </w:tblCellMar>
        </w:tblPrEx>
        <w:trPr>
          <w:trHeight w:val="89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DD8361">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E36DA6">
            <w:pPr>
              <w:pStyle w:val="69"/>
              <w:spacing w:line="400" w:lineRule="exact"/>
              <w:ind w:left="0" w:firstLine="0" w:firstLineChars="0"/>
              <w:jc w:val="center"/>
              <w:rPr>
                <w:rFonts w:ascii="仿宋" w:hAnsi="仿宋" w:eastAsia="仿宋"/>
                <w:color w:val="auto"/>
                <w:sz w:val="28"/>
                <w:szCs w:val="28"/>
                <w:highlight w:val="none"/>
              </w:rPr>
            </w:pPr>
            <w:r>
              <w:rPr>
                <w:rFonts w:hint="eastAsia" w:ascii="仿宋" w:hAnsi="仿宋" w:eastAsia="仿宋" w:cs="Times New Roman"/>
                <w:color w:val="auto"/>
                <w:sz w:val="28"/>
                <w:szCs w:val="28"/>
                <w:highlight w:val="none"/>
              </w:rPr>
              <w:t>是否接受联合体投标</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3692E7">
            <w:pPr>
              <w:pStyle w:val="69"/>
              <w:spacing w:line="400" w:lineRule="exact"/>
              <w:ind w:left="357" w:hanging="357" w:firstLineChars="0"/>
              <w:jc w:val="left"/>
              <w:rPr>
                <w:rFonts w:ascii="仿宋" w:hAnsi="仿宋" w:eastAsia="仿宋"/>
                <w:color w:val="auto"/>
                <w:sz w:val="28"/>
                <w:szCs w:val="28"/>
                <w:highlight w:val="none"/>
              </w:rPr>
            </w:pPr>
            <w:r>
              <w:rPr>
                <w:rFonts w:hint="eastAsia" w:ascii="仿宋" w:hAnsi="仿宋" w:eastAsia="仿宋" w:cs="宋体"/>
                <w:color w:val="auto"/>
                <w:sz w:val="28"/>
                <w:szCs w:val="28"/>
                <w:highlight w:val="none"/>
              </w:rPr>
              <w:t>☑不接受   □接受</w:t>
            </w:r>
          </w:p>
        </w:tc>
      </w:tr>
      <w:tr w14:paraId="60D146EE">
        <w:tblPrEx>
          <w:tblCellMar>
            <w:top w:w="0" w:type="dxa"/>
            <w:left w:w="108" w:type="dxa"/>
            <w:bottom w:w="0" w:type="dxa"/>
            <w:right w:w="108" w:type="dxa"/>
          </w:tblCellMar>
        </w:tblPrEx>
        <w:trPr>
          <w:trHeight w:val="13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DBFBD">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BC8EB2">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投标报价</w:t>
            </w:r>
          </w:p>
          <w:p w14:paraId="46075799">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要求</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1F39DA">
            <w:pPr>
              <w:pStyle w:val="69"/>
              <w:numPr>
                <w:ilvl w:val="255"/>
                <w:numId w:val="0"/>
              </w:num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标段一</w:t>
            </w:r>
            <w:r>
              <w:rPr>
                <w:rFonts w:hint="eastAsia" w:ascii="仿宋" w:hAnsi="仿宋" w:eastAsia="仿宋" w:cs="Times New Roman"/>
                <w:color w:val="auto"/>
                <w:sz w:val="28"/>
                <w:szCs w:val="28"/>
                <w:highlight w:val="none"/>
                <w:lang w:val="en-US" w:eastAsia="zh-CN"/>
              </w:rPr>
              <w:t>全风险代理费计收比例非诉</w:t>
            </w:r>
            <w:r>
              <w:rPr>
                <w:rFonts w:hint="eastAsia" w:ascii="仿宋" w:hAnsi="仿宋" w:eastAsia="仿宋" w:cs="Times New Roman"/>
                <w:color w:val="auto"/>
                <w:sz w:val="28"/>
                <w:szCs w:val="28"/>
                <w:highlight w:val="none"/>
              </w:rPr>
              <w:t>上限为</w:t>
            </w:r>
            <w:r>
              <w:rPr>
                <w:rFonts w:hint="eastAsia" w:ascii="仿宋" w:hAnsi="仿宋" w:eastAsia="仿宋" w:cs="Times New Roman"/>
                <w:color w:val="auto"/>
                <w:sz w:val="28"/>
                <w:szCs w:val="28"/>
                <w:highlight w:val="none"/>
                <w:lang w:val="en-US" w:eastAsia="zh-CN"/>
              </w:rPr>
              <w:t>10%、诉讼12%，代理费上限价为35.68万元，</w:t>
            </w:r>
            <w:r>
              <w:rPr>
                <w:rFonts w:hint="eastAsia" w:ascii="仿宋" w:hAnsi="仿宋" w:eastAsia="仿宋"/>
                <w:color w:val="auto"/>
                <w:sz w:val="28"/>
                <w:szCs w:val="28"/>
                <w:highlight w:val="none"/>
              </w:rPr>
              <w:t>超过上限价的投标文件将被否决；</w:t>
            </w:r>
          </w:p>
          <w:p w14:paraId="7624C795">
            <w:pPr>
              <w:pStyle w:val="69"/>
              <w:numPr>
                <w:ilvl w:val="255"/>
                <w:numId w:val="0"/>
              </w:numPr>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标段</w:t>
            </w:r>
            <w:r>
              <w:rPr>
                <w:rFonts w:hint="eastAsia" w:ascii="仿宋" w:hAnsi="仿宋" w:eastAsia="仿宋"/>
                <w:color w:val="auto"/>
                <w:sz w:val="28"/>
                <w:szCs w:val="28"/>
                <w:highlight w:val="none"/>
                <w:lang w:val="en-US" w:eastAsia="zh-CN"/>
              </w:rPr>
              <w:t>二</w:t>
            </w:r>
            <w:r>
              <w:rPr>
                <w:rFonts w:hint="eastAsia" w:ascii="仿宋" w:hAnsi="仿宋" w:eastAsia="仿宋" w:cs="Times New Roman"/>
                <w:color w:val="auto"/>
                <w:sz w:val="28"/>
                <w:szCs w:val="28"/>
                <w:highlight w:val="none"/>
                <w:lang w:val="en-US" w:eastAsia="zh-CN"/>
              </w:rPr>
              <w:t>全风险代理费计收比例非诉</w:t>
            </w:r>
            <w:r>
              <w:rPr>
                <w:rFonts w:hint="eastAsia" w:ascii="仿宋" w:hAnsi="仿宋" w:eastAsia="仿宋" w:cs="Times New Roman"/>
                <w:color w:val="auto"/>
                <w:sz w:val="28"/>
                <w:szCs w:val="28"/>
                <w:highlight w:val="none"/>
              </w:rPr>
              <w:t>上限为</w:t>
            </w:r>
            <w:r>
              <w:rPr>
                <w:rFonts w:hint="eastAsia" w:ascii="仿宋" w:hAnsi="仿宋" w:eastAsia="仿宋" w:cs="Times New Roman"/>
                <w:color w:val="auto"/>
                <w:sz w:val="28"/>
                <w:szCs w:val="28"/>
                <w:highlight w:val="none"/>
                <w:lang w:val="en-US" w:eastAsia="zh-CN"/>
              </w:rPr>
              <w:t>10%、诉讼12%，代理费上限价为36.10万元，</w:t>
            </w:r>
            <w:r>
              <w:rPr>
                <w:rFonts w:hint="eastAsia" w:ascii="仿宋" w:hAnsi="仿宋" w:eastAsia="仿宋"/>
                <w:color w:val="auto"/>
                <w:sz w:val="28"/>
                <w:szCs w:val="28"/>
                <w:highlight w:val="none"/>
              </w:rPr>
              <w:t>超过上限价的投标文件将被否决；</w:t>
            </w:r>
          </w:p>
        </w:tc>
      </w:tr>
      <w:tr w14:paraId="7E1E00E6">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0A024D">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12</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007D78">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投标货币</w:t>
            </w:r>
          </w:p>
        </w:tc>
        <w:tc>
          <w:tcPr>
            <w:tcW w:w="6246"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5D2685">
            <w:pPr>
              <w:pStyle w:val="69"/>
              <w:spacing w:line="400" w:lineRule="exact"/>
              <w:ind w:left="700" w:hanging="700" w:hangingChars="250"/>
              <w:rPr>
                <w:rFonts w:ascii="仿宋" w:hAnsi="仿宋" w:eastAsia="仿宋"/>
                <w:color w:val="auto"/>
                <w:sz w:val="28"/>
                <w:szCs w:val="28"/>
                <w:highlight w:val="none"/>
              </w:rPr>
            </w:pPr>
            <w:r>
              <w:rPr>
                <w:rFonts w:hint="eastAsia" w:ascii="仿宋" w:hAnsi="仿宋" w:eastAsia="仿宋"/>
                <w:color w:val="auto"/>
                <w:sz w:val="28"/>
                <w:szCs w:val="28"/>
                <w:highlight w:val="none"/>
              </w:rPr>
              <w:t>☑人民币</w:t>
            </w:r>
          </w:p>
          <w:p w14:paraId="6A99401E">
            <w:pPr>
              <w:pStyle w:val="69"/>
              <w:spacing w:line="400" w:lineRule="exact"/>
              <w:ind w:left="700" w:hanging="700" w:hangingChars="250"/>
              <w:rPr>
                <w:rFonts w:ascii="仿宋" w:hAnsi="仿宋" w:eastAsia="仿宋"/>
                <w:color w:val="auto"/>
                <w:sz w:val="28"/>
                <w:szCs w:val="28"/>
                <w:highlight w:val="none"/>
              </w:rPr>
            </w:pPr>
            <w:r>
              <w:rPr>
                <w:rFonts w:hint="eastAsia" w:ascii="仿宋" w:hAnsi="仿宋" w:eastAsia="仿宋"/>
                <w:color w:val="auto"/>
                <w:sz w:val="28"/>
                <w:szCs w:val="28"/>
                <w:highlight w:val="none"/>
              </w:rPr>
              <w:t>□其他</w:t>
            </w:r>
          </w:p>
        </w:tc>
      </w:tr>
      <w:tr w14:paraId="3DEC30FF">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61EEE">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13</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E57EFF">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服务周期要求</w:t>
            </w:r>
          </w:p>
        </w:tc>
        <w:tc>
          <w:tcPr>
            <w:tcW w:w="6246"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9CFED4">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2026年</w:t>
            </w: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日至2027年</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30</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bidi="ar"/>
              </w:rPr>
              <w:t>履约评价优秀可续约，续约不超过两次且总续约时间不超过24个月。</w:t>
            </w:r>
          </w:p>
        </w:tc>
      </w:tr>
      <w:tr w14:paraId="2F241B35">
        <w:tblPrEx>
          <w:tblCellMar>
            <w:top w:w="0" w:type="dxa"/>
            <w:left w:w="108" w:type="dxa"/>
            <w:bottom w:w="0" w:type="dxa"/>
            <w:right w:w="108" w:type="dxa"/>
          </w:tblCellMar>
        </w:tblPrEx>
        <w:trPr>
          <w:trHeight w:val="6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F66731">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91F0AE">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投标担保金额及方式</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1B5630">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投标担保金额：每个标段人民币</w:t>
            </w:r>
            <w:r>
              <w:rPr>
                <w:rFonts w:hint="eastAsia" w:ascii="仿宋" w:hAnsi="仿宋" w:eastAsia="仿宋"/>
                <w:color w:val="auto"/>
                <w:sz w:val="28"/>
                <w:szCs w:val="28"/>
                <w:highlight w:val="none"/>
                <w:u w:val="single"/>
              </w:rPr>
              <w:t>贰仟元</w:t>
            </w:r>
            <w:r>
              <w:rPr>
                <w:rFonts w:hint="eastAsia" w:ascii="仿宋" w:hAnsi="仿宋" w:eastAsia="仿宋"/>
                <w:color w:val="auto"/>
                <w:sz w:val="28"/>
                <w:szCs w:val="28"/>
                <w:highlight w:val="none"/>
              </w:rPr>
              <w:t>整</w:t>
            </w:r>
          </w:p>
          <w:p w14:paraId="48E0C0D5">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投标担保形式：</w:t>
            </w:r>
          </w:p>
          <w:p w14:paraId="44954F35">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□投标保函</w:t>
            </w:r>
          </w:p>
          <w:p w14:paraId="096A98B2">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☑现金（银行转账）</w:t>
            </w:r>
          </w:p>
          <w:p w14:paraId="37390A70">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招标人名称：</w:t>
            </w:r>
            <w:r>
              <w:rPr>
                <w:rFonts w:hint="eastAsia" w:ascii="仿宋" w:hAnsi="仿宋" w:eastAsia="仿宋" w:cs="仿宋"/>
                <w:bCs/>
                <w:color w:val="auto"/>
                <w:sz w:val="28"/>
                <w:szCs w:val="28"/>
                <w:highlight w:val="none"/>
                <w:u w:val="single"/>
              </w:rPr>
              <w:t>深圳第一亚太物业管理有限公司重庆分公司</w:t>
            </w:r>
          </w:p>
          <w:p w14:paraId="1A735AEC">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地址：</w:t>
            </w:r>
            <w:r>
              <w:rPr>
                <w:rFonts w:hint="eastAsia" w:ascii="仿宋" w:hAnsi="仿宋" w:eastAsia="仿宋"/>
                <w:color w:val="auto"/>
                <w:sz w:val="28"/>
                <w:szCs w:val="28"/>
                <w:highlight w:val="none"/>
                <w:u w:val="single"/>
              </w:rPr>
              <w:t>重庆市巴南区南彭公路物流基地东路大道8号</w:t>
            </w:r>
          </w:p>
          <w:p w14:paraId="140546C5">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开户银行：</w:t>
            </w:r>
            <w:r>
              <w:rPr>
                <w:rFonts w:hint="eastAsia" w:ascii="仿宋" w:hAnsi="仿宋" w:eastAsia="仿宋"/>
                <w:color w:val="auto"/>
                <w:sz w:val="28"/>
                <w:szCs w:val="28"/>
                <w:highlight w:val="none"/>
                <w:u w:val="single"/>
              </w:rPr>
              <w:t>中国建设银行股份有限公司重庆巴南融汇半岛支行</w:t>
            </w:r>
            <w:r>
              <w:rPr>
                <w:rFonts w:hint="eastAsia" w:ascii="仿宋" w:hAnsi="仿宋" w:eastAsia="仿宋"/>
                <w:color w:val="auto"/>
                <w:sz w:val="28"/>
                <w:szCs w:val="28"/>
                <w:highlight w:val="none"/>
              </w:rPr>
              <w:t xml:space="preserve"> </w:t>
            </w:r>
          </w:p>
          <w:p w14:paraId="099B31A9">
            <w:pPr>
              <w:pStyle w:val="17"/>
              <w:adjustRightInd w:val="0"/>
              <w:snapToGrid w:val="0"/>
              <w:rPr>
                <w:rFonts w:ascii="仿宋" w:hAnsi="仿宋" w:eastAsia="仿宋" w:cs="宋体"/>
                <w:bCs/>
                <w:color w:val="auto"/>
                <w:sz w:val="28"/>
                <w:szCs w:val="28"/>
                <w:highlight w:val="none"/>
                <w:u w:val="single"/>
              </w:rPr>
            </w:pPr>
            <w:r>
              <w:rPr>
                <w:rFonts w:hint="eastAsia" w:ascii="仿宋" w:hAnsi="仿宋" w:eastAsia="仿宋"/>
                <w:color w:val="auto"/>
                <w:sz w:val="28"/>
                <w:szCs w:val="28"/>
                <w:highlight w:val="none"/>
              </w:rPr>
              <w:t>账号：</w:t>
            </w:r>
            <w:r>
              <w:rPr>
                <w:rFonts w:hint="eastAsia" w:ascii="仿宋" w:hAnsi="仿宋" w:eastAsia="仿宋"/>
                <w:color w:val="auto"/>
                <w:sz w:val="28"/>
                <w:szCs w:val="28"/>
                <w:highlight w:val="none"/>
                <w:u w:val="single"/>
              </w:rPr>
              <w:t>5000 1116 8000 5250 0555</w:t>
            </w:r>
          </w:p>
          <w:p w14:paraId="1B6E7B65">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需备注“</w:t>
            </w:r>
            <w:r>
              <w:rPr>
                <w:rFonts w:hint="eastAsia" w:ascii="仿宋" w:hAnsi="仿宋" w:eastAsia="仿宋" w:cs="Times New Roman"/>
                <w:b w:val="0"/>
                <w:bCs w:val="0"/>
                <w:color w:val="auto"/>
                <w:kern w:val="2"/>
                <w:sz w:val="28"/>
                <w:szCs w:val="28"/>
                <w:highlight w:val="none"/>
                <w:u w:val="single"/>
                <w:shd w:val="clear" w:color="auto" w:fill="auto"/>
                <w:lang w:val="en-US" w:eastAsia="zh-CN"/>
              </w:rPr>
              <w:t>第一亚太重庆分公司物业费欠费追缴诉讼服务（第二次）</w:t>
            </w:r>
            <w:r>
              <w:rPr>
                <w:rFonts w:hint="eastAsia" w:ascii="仿宋" w:hAnsi="仿宋" w:eastAsia="仿宋"/>
                <w:color w:val="auto"/>
                <w:sz w:val="28"/>
                <w:szCs w:val="28"/>
                <w:highlight w:val="none"/>
                <w:u w:val="single"/>
              </w:rPr>
              <w:t xml:space="preserve">标段一/标段二 </w:t>
            </w:r>
            <w:r>
              <w:rPr>
                <w:rFonts w:hint="eastAsia" w:ascii="仿宋" w:hAnsi="仿宋" w:eastAsia="仿宋"/>
                <w:color w:val="auto"/>
                <w:sz w:val="28"/>
                <w:szCs w:val="28"/>
                <w:highlight w:val="none"/>
              </w:rPr>
              <w:t>投标保证金”或“</w:t>
            </w:r>
            <w:r>
              <w:rPr>
                <w:rFonts w:hint="eastAsia" w:ascii="仿宋" w:hAnsi="仿宋" w:eastAsia="仿宋" w:cs="Times New Roman"/>
                <w:b w:val="0"/>
                <w:bCs w:val="0"/>
                <w:color w:val="auto"/>
                <w:kern w:val="2"/>
                <w:sz w:val="28"/>
                <w:szCs w:val="28"/>
                <w:highlight w:val="none"/>
                <w:u w:val="single"/>
                <w:shd w:val="clear"/>
                <w:lang w:val="en-US" w:eastAsia="zh-CN"/>
              </w:rPr>
              <w:t>第一亚太重庆分公司物业费欠费追缴诉讼服务</w:t>
            </w:r>
            <w:r>
              <w:rPr>
                <w:rFonts w:hint="eastAsia" w:ascii="仿宋" w:hAnsi="仿宋" w:eastAsia="仿宋" w:cs="Times New Roman"/>
                <w:b w:val="0"/>
                <w:bCs w:val="0"/>
                <w:color w:val="auto"/>
                <w:kern w:val="2"/>
                <w:sz w:val="28"/>
                <w:szCs w:val="28"/>
                <w:highlight w:val="none"/>
                <w:u w:val="single"/>
                <w:shd w:val="clear" w:color="auto" w:fill="auto"/>
                <w:lang w:val="en-US" w:eastAsia="zh-CN"/>
              </w:rPr>
              <w:t>（第二次）</w:t>
            </w:r>
            <w:r>
              <w:rPr>
                <w:rFonts w:hint="eastAsia" w:ascii="仿宋" w:hAnsi="仿宋" w:eastAsia="仿宋"/>
                <w:color w:val="auto"/>
                <w:sz w:val="28"/>
                <w:szCs w:val="28"/>
                <w:highlight w:val="none"/>
                <w:u w:val="single"/>
              </w:rPr>
              <w:t xml:space="preserve">标段一、标段二 </w:t>
            </w:r>
            <w:r>
              <w:rPr>
                <w:rFonts w:hint="eastAsia" w:ascii="仿宋" w:hAnsi="仿宋" w:eastAsia="仿宋"/>
                <w:color w:val="auto"/>
                <w:sz w:val="28"/>
                <w:szCs w:val="28"/>
                <w:highlight w:val="none"/>
              </w:rPr>
              <w:t>投标保证金”。</w:t>
            </w:r>
          </w:p>
        </w:tc>
      </w:tr>
      <w:tr w14:paraId="2BA8895B">
        <w:tblPrEx>
          <w:tblCellMar>
            <w:top w:w="0" w:type="dxa"/>
            <w:left w:w="108" w:type="dxa"/>
            <w:bottom w:w="0" w:type="dxa"/>
            <w:right w:w="108" w:type="dxa"/>
          </w:tblCellMar>
        </w:tblPrEx>
        <w:trPr>
          <w:trHeight w:val="2633"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544A02D">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052863">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投标文件组成及份数</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B2D8AE">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☑资格审查文件：正本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rPr>
              <w:t>份</w:t>
            </w:r>
          </w:p>
          <w:p w14:paraId="6B36ED38">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☑投标函部分：正本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rPr>
              <w:t>份</w:t>
            </w:r>
          </w:p>
          <w:p w14:paraId="318AEFB9">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☑技术标部分：正本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4  </w:t>
            </w:r>
            <w:r>
              <w:rPr>
                <w:rFonts w:hint="eastAsia" w:ascii="仿宋" w:hAnsi="仿宋" w:eastAsia="仿宋"/>
                <w:color w:val="auto"/>
                <w:sz w:val="28"/>
                <w:szCs w:val="28"/>
                <w:highlight w:val="none"/>
              </w:rPr>
              <w:t>份</w:t>
            </w:r>
          </w:p>
          <w:p w14:paraId="29F9C13B">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☑商务标部分：正本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rPr>
              <w:t>份</w:t>
            </w:r>
          </w:p>
          <w:p w14:paraId="494973B5">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☑资信标部分：正本</w:t>
            </w:r>
            <w:r>
              <w:rPr>
                <w:rFonts w:hint="eastAsia" w:ascii="仿宋" w:hAnsi="仿宋" w:eastAsia="仿宋"/>
                <w:color w:val="auto"/>
                <w:sz w:val="28"/>
                <w:szCs w:val="28"/>
                <w:highlight w:val="none"/>
                <w:u w:val="single"/>
              </w:rPr>
              <w:t xml:space="preserve">  1  </w:t>
            </w:r>
            <w:r>
              <w:rPr>
                <w:rFonts w:hint="eastAsia" w:ascii="仿宋" w:hAnsi="仿宋" w:eastAsia="仿宋"/>
                <w:color w:val="auto"/>
                <w:sz w:val="28"/>
                <w:szCs w:val="28"/>
                <w:highlight w:val="none"/>
              </w:rPr>
              <w:t>份；副本</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1</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份</w:t>
            </w:r>
          </w:p>
          <w:p w14:paraId="4B8A825B">
            <w:pPr>
              <w:spacing w:line="4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（一）电子文档U盘：壹份（word/PDF/PPT格式）</w:t>
            </w:r>
          </w:p>
          <w:p w14:paraId="55AE858B">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注：如电子文件与纸质文件不符，以纸质文件为准。</w:t>
            </w:r>
          </w:p>
          <w:p w14:paraId="14240C4E">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（二）投标单位若同时参与两个标段投标，则应分别就标段一、标段二单独编制投标文件。</w:t>
            </w:r>
          </w:p>
        </w:tc>
      </w:tr>
      <w:tr w14:paraId="550FE38C">
        <w:tblPrEx>
          <w:tblCellMar>
            <w:top w:w="0" w:type="dxa"/>
            <w:left w:w="108" w:type="dxa"/>
            <w:bottom w:w="0" w:type="dxa"/>
            <w:right w:w="108" w:type="dxa"/>
          </w:tblCellMar>
        </w:tblPrEx>
        <w:trPr>
          <w:trHeight w:val="1090"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062DB17">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4E8F84">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评标方法及标准</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953F797">
            <w:pPr>
              <w:pStyle w:val="17"/>
              <w:rPr>
                <w:rFonts w:ascii="仿宋" w:hAnsi="仿宋" w:eastAsia="仿宋"/>
                <w:color w:val="auto"/>
                <w:sz w:val="28"/>
                <w:szCs w:val="28"/>
                <w:highlight w:val="none"/>
              </w:rPr>
            </w:pPr>
            <w:r>
              <w:rPr>
                <w:rFonts w:hint="eastAsia" w:ascii="仿宋" w:hAnsi="仿宋" w:eastAsia="仿宋"/>
                <w:color w:val="auto"/>
                <w:sz w:val="28"/>
                <w:szCs w:val="28"/>
                <w:highlight w:val="none"/>
              </w:rPr>
              <w:t>☑综合评</w:t>
            </w:r>
            <w:r>
              <w:rPr>
                <w:rFonts w:hint="eastAsia" w:ascii="仿宋" w:hAnsi="仿宋" w:eastAsia="仿宋"/>
                <w:color w:val="auto"/>
                <w:sz w:val="28"/>
                <w:szCs w:val="28"/>
                <w:highlight w:val="none"/>
                <w:lang w:val="en-US" w:eastAsia="zh-CN"/>
              </w:rPr>
              <w:t>分</w:t>
            </w:r>
            <w:r>
              <w:rPr>
                <w:rFonts w:hint="eastAsia" w:ascii="仿宋" w:hAnsi="仿宋" w:eastAsia="仿宋"/>
                <w:color w:val="auto"/>
                <w:sz w:val="28"/>
                <w:szCs w:val="28"/>
                <w:highlight w:val="none"/>
              </w:rPr>
              <w:t>法（商务部分30%，资信部分</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0%，技术部分</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0%）</w:t>
            </w:r>
          </w:p>
        </w:tc>
      </w:tr>
      <w:tr w14:paraId="409A724C">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40AE3D">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E26B3B8">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s="宋体"/>
                <w:color w:val="auto"/>
                <w:kern w:val="0"/>
                <w:sz w:val="28"/>
                <w:szCs w:val="28"/>
                <w:highlight w:val="none"/>
              </w:rPr>
              <w:t>评标委员会的人员组成</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F04BC2">
            <w:pPr>
              <w:pStyle w:val="17"/>
              <w:spacing w:line="400" w:lineRule="exact"/>
              <w:rPr>
                <w:rFonts w:ascii="仿宋" w:hAnsi="仿宋" w:eastAsia="仿宋"/>
                <w:color w:val="auto"/>
                <w:sz w:val="28"/>
                <w:szCs w:val="28"/>
                <w:highlight w:val="none"/>
              </w:rPr>
            </w:pPr>
            <w:r>
              <w:rPr>
                <w:rFonts w:hint="eastAsia" w:ascii="仿宋" w:hAnsi="仿宋" w:eastAsia="仿宋" w:cs="宋体"/>
                <w:color w:val="auto"/>
                <w:sz w:val="28"/>
                <w:szCs w:val="28"/>
                <w:highlight w:val="none"/>
              </w:rPr>
              <w:t>由招标人依法组建</w:t>
            </w:r>
          </w:p>
        </w:tc>
      </w:tr>
      <w:tr w14:paraId="252856EE">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1EBC477">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AE13B7">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中标人的确定方式</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5B6B928">
            <w:pPr>
              <w:autoSpaceDE w:val="0"/>
              <w:autoSpaceDN w:val="0"/>
              <w:adjustRightInd w:val="0"/>
              <w:snapToGrid w:val="0"/>
              <w:spacing w:line="440" w:lineRule="exact"/>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（一）</w:t>
            </w:r>
            <w:r>
              <w:rPr>
                <w:rFonts w:ascii="仿宋" w:hAnsi="仿宋" w:eastAsia="仿宋"/>
                <w:color w:val="auto"/>
                <w:sz w:val="28"/>
                <w:szCs w:val="28"/>
                <w:highlight w:val="none"/>
              </w:rPr>
              <w:t>招标</w:t>
            </w:r>
            <w:r>
              <w:rPr>
                <w:rFonts w:hint="eastAsia" w:ascii="仿宋" w:hAnsi="仿宋" w:eastAsia="仿宋"/>
                <w:color w:val="auto"/>
                <w:sz w:val="28"/>
                <w:szCs w:val="28"/>
                <w:highlight w:val="none"/>
              </w:rPr>
              <w:t>人</w:t>
            </w:r>
            <w:r>
              <w:rPr>
                <w:rFonts w:ascii="仿宋" w:hAnsi="仿宋" w:eastAsia="仿宋"/>
                <w:color w:val="auto"/>
                <w:sz w:val="28"/>
                <w:szCs w:val="28"/>
                <w:highlight w:val="none"/>
              </w:rPr>
              <w:t>授权开标小组或评标委员会直接确定中标人</w:t>
            </w:r>
            <w:r>
              <w:rPr>
                <w:rFonts w:hint="eastAsia" w:ascii="仿宋" w:hAnsi="仿宋" w:eastAsia="仿宋"/>
                <w:color w:val="auto"/>
                <w:sz w:val="28"/>
                <w:szCs w:val="28"/>
                <w:highlight w:val="none"/>
              </w:rPr>
              <w:t>。</w:t>
            </w:r>
          </w:p>
          <w:p w14:paraId="78EE2FB8">
            <w:pPr>
              <w:pStyle w:val="17"/>
              <w:spacing w:line="440" w:lineRule="exact"/>
              <w:rPr>
                <w:rFonts w:ascii="仿宋" w:hAnsi="仿宋" w:eastAsia="仿宋"/>
                <w:color w:val="auto"/>
                <w:sz w:val="28"/>
                <w:szCs w:val="28"/>
                <w:highlight w:val="none"/>
              </w:rPr>
            </w:pPr>
            <w:r>
              <w:rPr>
                <w:rFonts w:hint="eastAsia" w:ascii="仿宋" w:hAnsi="仿宋" w:eastAsia="仿宋" w:cs="宋体"/>
                <w:color w:val="auto"/>
                <w:sz w:val="28"/>
                <w:szCs w:val="28"/>
                <w:highlight w:val="none"/>
              </w:rPr>
              <w:t>（二）</w:t>
            </w:r>
            <w:r>
              <w:rPr>
                <w:rFonts w:ascii="仿宋" w:hAnsi="仿宋" w:eastAsia="仿宋"/>
                <w:color w:val="auto"/>
                <w:kern w:val="2"/>
                <w:sz w:val="28"/>
                <w:szCs w:val="28"/>
                <w:highlight w:val="none"/>
              </w:rPr>
              <w:t>同一投标单位可以同时参与多个标段的投标,但最多只能获得其中一个标段的中标资格。</w:t>
            </w:r>
          </w:p>
        </w:tc>
      </w:tr>
      <w:tr w14:paraId="57E2480D">
        <w:tblPrEx>
          <w:tblCellMar>
            <w:top w:w="0" w:type="dxa"/>
            <w:left w:w="108" w:type="dxa"/>
            <w:bottom w:w="0" w:type="dxa"/>
            <w:right w:w="108" w:type="dxa"/>
          </w:tblCellMar>
        </w:tblPrEx>
        <w:trPr>
          <w:trHeight w:val="140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8EE26">
            <w:pPr>
              <w:pStyle w:val="69"/>
              <w:spacing w:line="400" w:lineRule="exact"/>
              <w:ind w:left="357" w:hanging="357"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19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281872">
            <w:pPr>
              <w:pStyle w:val="69"/>
              <w:spacing w:line="400" w:lineRule="exact"/>
              <w:ind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履约担保</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903BE5">
            <w:pPr>
              <w:autoSpaceDE w:val="0"/>
              <w:autoSpaceDN w:val="0"/>
              <w:spacing w:line="560" w:lineRule="exac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w:t>
            </w:r>
          </w:p>
        </w:tc>
      </w:tr>
    </w:tbl>
    <w:p w14:paraId="146477D8">
      <w:pPr>
        <w:rPr>
          <w:color w:val="auto"/>
          <w:sz w:val="28"/>
          <w:szCs w:val="28"/>
          <w:highlight w:val="none"/>
        </w:rPr>
      </w:pPr>
      <w:bookmarkStart w:id="21" w:name="_Toc387313497"/>
      <w:bookmarkStart w:id="22" w:name="_Toc387313377"/>
      <w:bookmarkStart w:id="23" w:name="_Toc405384929"/>
    </w:p>
    <w:p w14:paraId="5ABD47F8">
      <w:pPr>
        <w:rPr>
          <w:color w:val="auto"/>
          <w:sz w:val="28"/>
          <w:szCs w:val="28"/>
          <w:highlight w:val="none"/>
        </w:rPr>
      </w:pPr>
    </w:p>
    <w:p w14:paraId="30BCF553">
      <w:pPr>
        <w:rPr>
          <w:color w:val="auto"/>
          <w:sz w:val="28"/>
          <w:szCs w:val="28"/>
          <w:highlight w:val="none"/>
        </w:rPr>
      </w:pPr>
    </w:p>
    <w:p w14:paraId="72546DC9">
      <w:pPr>
        <w:rPr>
          <w:color w:val="auto"/>
          <w:sz w:val="28"/>
          <w:szCs w:val="28"/>
          <w:highlight w:val="none"/>
        </w:rPr>
      </w:pPr>
    </w:p>
    <w:p w14:paraId="2395C6E2">
      <w:pPr>
        <w:rPr>
          <w:color w:val="auto"/>
          <w:sz w:val="28"/>
          <w:szCs w:val="28"/>
          <w:highlight w:val="none"/>
        </w:rPr>
      </w:pPr>
    </w:p>
    <w:p w14:paraId="7671C914">
      <w:pPr>
        <w:spacing w:line="360" w:lineRule="auto"/>
        <w:ind w:firstLine="480" w:firstLineChars="200"/>
        <w:rPr>
          <w:rFonts w:ascii="宋体" w:hAnsi="宋体" w:cs="宋体"/>
          <w:color w:val="auto"/>
          <w:sz w:val="24"/>
          <w:highlight w:val="none"/>
        </w:rPr>
      </w:pPr>
    </w:p>
    <w:p w14:paraId="3B219AB8">
      <w:pPr>
        <w:pStyle w:val="69"/>
        <w:spacing w:line="360" w:lineRule="auto"/>
        <w:ind w:firstLine="562"/>
        <w:rPr>
          <w:rFonts w:ascii="宋体" w:hAnsi="宋体"/>
          <w:b/>
          <w:bCs/>
          <w:color w:val="auto"/>
          <w:kern w:val="0"/>
          <w:sz w:val="28"/>
          <w:szCs w:val="28"/>
          <w:highlight w:val="none"/>
        </w:rPr>
      </w:pPr>
      <w:r>
        <w:rPr>
          <w:rFonts w:ascii="宋体" w:hAnsi="宋体"/>
          <w:b/>
          <w:bCs/>
          <w:color w:val="auto"/>
          <w:kern w:val="0"/>
          <w:sz w:val="28"/>
          <w:szCs w:val="28"/>
          <w:highlight w:val="none"/>
        </w:rPr>
        <w:br w:type="page"/>
      </w:r>
    </w:p>
    <w:p w14:paraId="19AB5F27">
      <w:pPr>
        <w:pStyle w:val="4"/>
        <w:spacing w:before="0" w:after="0" w:line="560" w:lineRule="exact"/>
        <w:jc w:val="center"/>
        <w:rPr>
          <w:rFonts w:ascii="黑体" w:hAnsi="黑体" w:eastAsia="黑体"/>
          <w:b w:val="0"/>
          <w:color w:val="auto"/>
          <w:sz w:val="36"/>
          <w:szCs w:val="36"/>
          <w:highlight w:val="none"/>
        </w:rPr>
      </w:pPr>
      <w:bookmarkStart w:id="24" w:name="_Toc18353"/>
      <w:bookmarkStart w:id="25" w:name="_Toc80800142"/>
      <w:r>
        <w:rPr>
          <w:rFonts w:hint="eastAsia" w:ascii="黑体" w:hAnsi="黑体" w:eastAsia="黑体"/>
          <w:b w:val="0"/>
          <w:color w:val="auto"/>
          <w:sz w:val="36"/>
          <w:szCs w:val="36"/>
          <w:highlight w:val="none"/>
        </w:rPr>
        <w:t>（二）投标须知前附表2</w:t>
      </w:r>
      <w:bookmarkEnd w:id="24"/>
      <w:bookmarkEnd w:id="25"/>
    </w:p>
    <w:p w14:paraId="10398A51">
      <w:pPr>
        <w:rPr>
          <w:color w:val="auto"/>
          <w:highlight w:val="none"/>
        </w:rPr>
      </w:pPr>
    </w:p>
    <w:tbl>
      <w:tblPr>
        <w:tblStyle w:val="34"/>
        <w:tblW w:w="48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2051"/>
        <w:gridCol w:w="5567"/>
      </w:tblGrid>
      <w:tr w14:paraId="44772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7D6D26B8">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序号</w:t>
            </w:r>
          </w:p>
        </w:tc>
        <w:tc>
          <w:tcPr>
            <w:tcW w:w="1203" w:type="pct"/>
            <w:vAlign w:val="center"/>
          </w:tcPr>
          <w:p w14:paraId="2AE9B3F2">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内容</w:t>
            </w:r>
          </w:p>
        </w:tc>
        <w:tc>
          <w:tcPr>
            <w:tcW w:w="3266" w:type="pct"/>
            <w:vAlign w:val="center"/>
          </w:tcPr>
          <w:p w14:paraId="7358834F">
            <w:pPr>
              <w:adjustRightInd w:val="0"/>
              <w:snapToGrid w:val="0"/>
              <w:spacing w:line="400" w:lineRule="exact"/>
              <w:jc w:val="center"/>
              <w:rPr>
                <w:rFonts w:ascii="仿宋" w:hAnsi="仿宋" w:eastAsia="仿宋" w:cs="Courier New"/>
                <w:b/>
                <w:color w:val="auto"/>
                <w:kern w:val="0"/>
                <w:sz w:val="28"/>
                <w:szCs w:val="28"/>
                <w:highlight w:val="none"/>
              </w:rPr>
            </w:pPr>
            <w:r>
              <w:rPr>
                <w:rFonts w:hint="eastAsia" w:ascii="仿宋" w:hAnsi="仿宋" w:eastAsia="仿宋" w:cs="Courier New"/>
                <w:b/>
                <w:color w:val="auto"/>
                <w:kern w:val="0"/>
                <w:sz w:val="28"/>
                <w:szCs w:val="28"/>
                <w:highlight w:val="none"/>
              </w:rPr>
              <w:t>规定</w:t>
            </w:r>
          </w:p>
        </w:tc>
      </w:tr>
      <w:tr w14:paraId="377A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529" w:type="pct"/>
            <w:vAlign w:val="center"/>
          </w:tcPr>
          <w:p w14:paraId="74848E6E">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1</w:t>
            </w:r>
          </w:p>
        </w:tc>
        <w:tc>
          <w:tcPr>
            <w:tcW w:w="1203" w:type="pct"/>
            <w:vAlign w:val="center"/>
          </w:tcPr>
          <w:p w14:paraId="496374B7">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招标文件的获取</w:t>
            </w:r>
          </w:p>
        </w:tc>
        <w:tc>
          <w:tcPr>
            <w:tcW w:w="3266" w:type="pct"/>
            <w:vAlign w:val="center"/>
          </w:tcPr>
          <w:p w14:paraId="11959FAF">
            <w:pPr>
              <w:snapToGrid w:val="0"/>
              <w:spacing w:line="276" w:lineRule="auto"/>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时间：</w:t>
            </w:r>
            <w:r>
              <w:rPr>
                <w:rFonts w:hint="eastAsia" w:ascii="仿宋" w:hAnsi="仿宋" w:eastAsia="仿宋"/>
                <w:color w:val="auto"/>
                <w:sz w:val="28"/>
                <w:szCs w:val="28"/>
                <w:highlight w:val="none"/>
                <w:u w:val="single"/>
              </w:rPr>
              <w:t>2026年</w:t>
            </w:r>
            <w:r>
              <w:rPr>
                <w:rFonts w:hint="eastAsia" w:ascii="仿宋" w:hAnsi="仿宋" w:eastAsia="仿宋"/>
                <w:color w:val="auto"/>
                <w:sz w:val="28"/>
                <w:szCs w:val="28"/>
                <w:highlight w:val="none"/>
                <w:u w:val="single"/>
                <w:lang w:val="en-US" w:eastAsia="zh-CN"/>
              </w:rPr>
              <w:t>4</w:t>
            </w:r>
            <w:r>
              <w:rPr>
                <w:rFonts w:hint="eastAsia" w:ascii="仿宋" w:hAnsi="仿宋" w:eastAsia="仿宋"/>
                <w:color w:val="auto"/>
                <w:sz w:val="28"/>
                <w:szCs w:val="28"/>
                <w:highlight w:val="none"/>
                <w:u w:val="single"/>
              </w:rPr>
              <w:t>月</w:t>
            </w:r>
            <w:r>
              <w:rPr>
                <w:rFonts w:hint="eastAsia" w:ascii="仿宋" w:hAnsi="仿宋" w:eastAsia="仿宋"/>
                <w:color w:val="auto"/>
                <w:sz w:val="28"/>
                <w:szCs w:val="28"/>
                <w:highlight w:val="none"/>
                <w:u w:val="single"/>
                <w:lang w:val="en-US" w:eastAsia="zh-CN"/>
              </w:rPr>
              <w:t>22</w:t>
            </w:r>
            <w:bookmarkStart w:id="78" w:name="_GoBack"/>
            <w:bookmarkEnd w:id="78"/>
            <w:r>
              <w:rPr>
                <w:rFonts w:hint="eastAsia" w:ascii="仿宋" w:hAnsi="仿宋" w:eastAsia="仿宋"/>
                <w:color w:val="auto"/>
                <w:sz w:val="28"/>
                <w:szCs w:val="28"/>
                <w:highlight w:val="none"/>
                <w:u w:val="single"/>
              </w:rPr>
              <w:t>日</w:t>
            </w:r>
          </w:p>
          <w:p w14:paraId="78855299">
            <w:pPr>
              <w:adjustRightInd w:val="0"/>
              <w:snapToGrid w:val="0"/>
              <w:spacing w:line="400" w:lineRule="exact"/>
              <w:rPr>
                <w:rFonts w:hint="default" w:ascii="仿宋" w:hAnsi="仿宋" w:eastAsia="仿宋" w:cs="Courier New"/>
                <w:color w:val="auto"/>
                <w:kern w:val="0"/>
                <w:sz w:val="28"/>
                <w:szCs w:val="28"/>
                <w:highlight w:val="none"/>
                <w:u w:val="single"/>
                <w:lang w:val="en-US" w:eastAsia="zh-CN"/>
              </w:rPr>
            </w:pPr>
            <w:r>
              <w:rPr>
                <w:rFonts w:hint="eastAsia" w:ascii="仿宋" w:hAnsi="仿宋" w:eastAsia="仿宋" w:cs="Courier New"/>
                <w:color w:val="auto"/>
                <w:kern w:val="0"/>
                <w:sz w:val="28"/>
                <w:szCs w:val="28"/>
                <w:highlight w:val="none"/>
              </w:rPr>
              <w:t>地点：</w:t>
            </w:r>
            <w:r>
              <w:rPr>
                <w:rFonts w:hint="eastAsia" w:ascii="仿宋" w:hAnsi="仿宋" w:eastAsia="仿宋"/>
                <w:color w:val="auto"/>
                <w:sz w:val="28"/>
                <w:szCs w:val="28"/>
                <w:highlight w:val="none"/>
                <w:u w:val="single"/>
                <w:lang w:val="en-US" w:eastAsia="zh-CN"/>
              </w:rPr>
              <w:t>重庆市巴南区东城大道8号重庆华南城招商行政中心二楼</w:t>
            </w:r>
          </w:p>
        </w:tc>
      </w:tr>
      <w:tr w14:paraId="3998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529" w:type="pct"/>
            <w:vAlign w:val="center"/>
          </w:tcPr>
          <w:p w14:paraId="377B3296">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2</w:t>
            </w:r>
          </w:p>
        </w:tc>
        <w:tc>
          <w:tcPr>
            <w:tcW w:w="1203" w:type="pct"/>
            <w:vAlign w:val="center"/>
          </w:tcPr>
          <w:p w14:paraId="7E7F90D0">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投标文件递交</w:t>
            </w:r>
          </w:p>
        </w:tc>
        <w:tc>
          <w:tcPr>
            <w:tcW w:w="3266" w:type="pct"/>
            <w:vAlign w:val="center"/>
          </w:tcPr>
          <w:p w14:paraId="6BDA5E11">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截止时间：</w:t>
            </w:r>
            <w:r>
              <w:rPr>
                <w:rFonts w:hint="eastAsia" w:ascii="仿宋" w:hAnsi="仿宋" w:eastAsia="仿宋" w:cs="Courier New"/>
                <w:color w:val="auto"/>
                <w:kern w:val="0"/>
                <w:sz w:val="28"/>
                <w:szCs w:val="28"/>
                <w:highlight w:val="none"/>
                <w:u w:val="single"/>
              </w:rPr>
              <w:t>2026年</w:t>
            </w:r>
            <w:r>
              <w:rPr>
                <w:rFonts w:hint="eastAsia" w:ascii="仿宋" w:hAnsi="仿宋" w:eastAsia="仿宋" w:cs="Courier New"/>
                <w:color w:val="auto"/>
                <w:kern w:val="0"/>
                <w:sz w:val="28"/>
                <w:szCs w:val="28"/>
                <w:highlight w:val="none"/>
                <w:u w:val="single"/>
                <w:lang w:val="en-US" w:eastAsia="zh-CN"/>
              </w:rPr>
              <w:t>4</w:t>
            </w:r>
            <w:r>
              <w:rPr>
                <w:rFonts w:hint="eastAsia" w:ascii="仿宋" w:hAnsi="仿宋" w:eastAsia="仿宋" w:cs="Courier New"/>
                <w:color w:val="auto"/>
                <w:kern w:val="0"/>
                <w:sz w:val="28"/>
                <w:szCs w:val="28"/>
                <w:highlight w:val="none"/>
                <w:u w:val="single"/>
              </w:rPr>
              <w:t>月</w:t>
            </w:r>
            <w:r>
              <w:rPr>
                <w:rFonts w:hint="eastAsia" w:ascii="仿宋" w:hAnsi="仿宋" w:eastAsia="仿宋" w:cs="Courier New"/>
                <w:color w:val="auto"/>
                <w:kern w:val="0"/>
                <w:sz w:val="28"/>
                <w:szCs w:val="28"/>
                <w:highlight w:val="none"/>
                <w:u w:val="single"/>
                <w:lang w:val="en-US" w:eastAsia="zh-CN"/>
              </w:rPr>
              <w:t>28</w:t>
            </w:r>
            <w:r>
              <w:rPr>
                <w:rFonts w:hint="eastAsia" w:ascii="仿宋" w:hAnsi="仿宋" w:eastAsia="仿宋" w:cs="Courier New"/>
                <w:color w:val="auto"/>
                <w:kern w:val="0"/>
                <w:sz w:val="28"/>
                <w:szCs w:val="28"/>
                <w:highlight w:val="none"/>
                <w:u w:val="single"/>
              </w:rPr>
              <w:t>日10时</w:t>
            </w:r>
          </w:p>
          <w:p w14:paraId="7A53A86D">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地    点：</w:t>
            </w:r>
            <w:r>
              <w:rPr>
                <w:rFonts w:hint="eastAsia" w:ascii="仿宋" w:hAnsi="仿宋" w:eastAsia="仿宋"/>
                <w:color w:val="auto"/>
                <w:sz w:val="28"/>
                <w:szCs w:val="28"/>
                <w:highlight w:val="none"/>
                <w:u w:val="single"/>
                <w:lang w:val="en-US" w:eastAsia="zh-CN"/>
              </w:rPr>
              <w:t>重庆市巴南区东城大道8号重庆华南城招商行政中心二楼</w:t>
            </w:r>
          </w:p>
        </w:tc>
      </w:tr>
      <w:tr w14:paraId="5C70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29" w:type="pct"/>
            <w:vAlign w:val="center"/>
          </w:tcPr>
          <w:p w14:paraId="4F0E5219">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3</w:t>
            </w:r>
          </w:p>
        </w:tc>
        <w:tc>
          <w:tcPr>
            <w:tcW w:w="1203" w:type="pct"/>
            <w:vAlign w:val="center"/>
          </w:tcPr>
          <w:p w14:paraId="2352662C">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投标有效期</w:t>
            </w:r>
          </w:p>
        </w:tc>
        <w:tc>
          <w:tcPr>
            <w:tcW w:w="3266" w:type="pct"/>
            <w:vAlign w:val="center"/>
          </w:tcPr>
          <w:p w14:paraId="7F1973B7">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u w:val="single"/>
              </w:rPr>
              <w:t xml:space="preserve">  90 </w:t>
            </w:r>
            <w:r>
              <w:rPr>
                <w:rFonts w:hint="eastAsia" w:ascii="仿宋" w:hAnsi="仿宋" w:eastAsia="仿宋" w:cs="Courier New"/>
                <w:color w:val="auto"/>
                <w:kern w:val="0"/>
                <w:sz w:val="28"/>
                <w:szCs w:val="28"/>
                <w:highlight w:val="none"/>
              </w:rPr>
              <w:t>日历天（从投标截止之日算起）</w:t>
            </w:r>
          </w:p>
        </w:tc>
      </w:tr>
      <w:tr w14:paraId="4972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0" w:hRule="atLeast"/>
          <w:jc w:val="center"/>
        </w:trPr>
        <w:tc>
          <w:tcPr>
            <w:tcW w:w="529" w:type="pct"/>
            <w:vAlign w:val="center"/>
          </w:tcPr>
          <w:p w14:paraId="0C19F0D7">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4</w:t>
            </w:r>
          </w:p>
        </w:tc>
        <w:tc>
          <w:tcPr>
            <w:tcW w:w="1203" w:type="pct"/>
            <w:vAlign w:val="center"/>
          </w:tcPr>
          <w:p w14:paraId="2C0AAA34">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招标人对招标文件的澄清或修改、答疑的期限、方式</w:t>
            </w:r>
          </w:p>
        </w:tc>
        <w:tc>
          <w:tcPr>
            <w:tcW w:w="3266" w:type="pct"/>
            <w:vAlign w:val="center"/>
          </w:tcPr>
          <w:p w14:paraId="54456842">
            <w:pPr>
              <w:adjustRightInd w:val="0"/>
              <w:snapToGrid w:val="0"/>
              <w:spacing w:line="400" w:lineRule="exact"/>
              <w:jc w:val="lef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投标人质疑期限：在投标截止日期前</w:t>
            </w:r>
            <w:r>
              <w:rPr>
                <w:rFonts w:hint="eastAsia" w:ascii="仿宋" w:hAnsi="仿宋" w:eastAsia="仿宋" w:cs="Courier New"/>
                <w:bCs/>
                <w:color w:val="auto"/>
                <w:kern w:val="0"/>
                <w:sz w:val="28"/>
                <w:szCs w:val="28"/>
                <w:highlight w:val="none"/>
                <w:u w:val="single"/>
              </w:rPr>
              <w:t xml:space="preserve">  3  </w:t>
            </w:r>
            <w:r>
              <w:rPr>
                <w:rFonts w:hint="eastAsia" w:ascii="仿宋" w:hAnsi="仿宋" w:eastAsia="仿宋" w:cs="Courier New"/>
                <w:color w:val="auto"/>
                <w:kern w:val="0"/>
                <w:sz w:val="28"/>
                <w:szCs w:val="28"/>
                <w:highlight w:val="none"/>
              </w:rPr>
              <w:t>日（不少于3日）</w:t>
            </w:r>
          </w:p>
          <w:p w14:paraId="2E8FA1E6">
            <w:pPr>
              <w:adjustRightInd w:val="0"/>
              <w:snapToGrid w:val="0"/>
              <w:spacing w:line="400" w:lineRule="exact"/>
              <w:jc w:val="lef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招标人澄清或修补、答疑期限：在投标截止日期前</w:t>
            </w:r>
            <w:r>
              <w:rPr>
                <w:rFonts w:hint="eastAsia" w:ascii="仿宋" w:hAnsi="仿宋" w:eastAsia="仿宋" w:cs="Courier New"/>
                <w:color w:val="auto"/>
                <w:kern w:val="0"/>
                <w:sz w:val="28"/>
                <w:szCs w:val="28"/>
                <w:highlight w:val="none"/>
                <w:u w:val="single"/>
              </w:rPr>
              <w:t xml:space="preserve">  2  </w:t>
            </w:r>
            <w:r>
              <w:rPr>
                <w:rFonts w:hint="eastAsia" w:ascii="仿宋" w:hAnsi="仿宋" w:eastAsia="仿宋" w:cs="Courier New"/>
                <w:color w:val="auto"/>
                <w:kern w:val="0"/>
                <w:sz w:val="28"/>
                <w:szCs w:val="28"/>
                <w:highlight w:val="none"/>
              </w:rPr>
              <w:t>日（不少于2日）</w:t>
            </w:r>
          </w:p>
          <w:p w14:paraId="3FC50611">
            <w:pPr>
              <w:pStyle w:val="69"/>
              <w:spacing w:line="400" w:lineRule="exact"/>
              <w:ind w:firstLine="0" w:firstLineChars="0"/>
              <w:rPr>
                <w:rFonts w:ascii="仿宋" w:hAnsi="仿宋" w:eastAsia="仿宋"/>
                <w:color w:val="auto"/>
                <w:sz w:val="28"/>
                <w:szCs w:val="28"/>
                <w:highlight w:val="none"/>
              </w:rPr>
            </w:pPr>
            <w:r>
              <w:rPr>
                <w:rFonts w:hint="eastAsia" w:ascii="仿宋" w:hAnsi="仿宋" w:eastAsia="仿宋"/>
                <w:color w:val="auto"/>
                <w:sz w:val="28"/>
                <w:szCs w:val="28"/>
                <w:highlight w:val="none"/>
              </w:rPr>
              <w:t>投标人提交质疑问题的方式：以书面形式递交</w:t>
            </w:r>
          </w:p>
          <w:p w14:paraId="6FB6113A">
            <w:pPr>
              <w:pStyle w:val="69"/>
              <w:spacing w:line="400" w:lineRule="exact"/>
              <w:ind w:firstLine="0" w:firstLineChars="0"/>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 xml:space="preserve">招标人发出答疑补遗的方式：书面形式发送 </w:t>
            </w:r>
          </w:p>
        </w:tc>
      </w:tr>
      <w:tr w14:paraId="332E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jc w:val="center"/>
        </w:trPr>
        <w:tc>
          <w:tcPr>
            <w:tcW w:w="529" w:type="pct"/>
            <w:vAlign w:val="center"/>
          </w:tcPr>
          <w:p w14:paraId="4E8D4274">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5</w:t>
            </w:r>
          </w:p>
        </w:tc>
        <w:tc>
          <w:tcPr>
            <w:tcW w:w="1203" w:type="pct"/>
            <w:vAlign w:val="center"/>
          </w:tcPr>
          <w:p w14:paraId="0775993A">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开标会</w:t>
            </w:r>
          </w:p>
        </w:tc>
        <w:tc>
          <w:tcPr>
            <w:tcW w:w="3266" w:type="pct"/>
            <w:vAlign w:val="center"/>
          </w:tcPr>
          <w:p w14:paraId="1E18E825">
            <w:pPr>
              <w:snapToGrid w:val="0"/>
              <w:spacing w:line="276" w:lineRule="auto"/>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时间：</w:t>
            </w:r>
            <w:r>
              <w:rPr>
                <w:rFonts w:hint="eastAsia" w:ascii="仿宋" w:hAnsi="仿宋" w:eastAsia="仿宋" w:cs="Courier New"/>
                <w:color w:val="auto"/>
                <w:kern w:val="0"/>
                <w:sz w:val="28"/>
                <w:szCs w:val="28"/>
                <w:highlight w:val="none"/>
                <w:u w:val="single"/>
              </w:rPr>
              <w:t>2026年</w:t>
            </w:r>
            <w:r>
              <w:rPr>
                <w:rFonts w:hint="eastAsia" w:ascii="仿宋" w:hAnsi="仿宋" w:eastAsia="仿宋" w:cs="Courier New"/>
                <w:color w:val="auto"/>
                <w:kern w:val="0"/>
                <w:sz w:val="28"/>
                <w:szCs w:val="28"/>
                <w:highlight w:val="none"/>
                <w:u w:val="single"/>
                <w:lang w:val="en-US" w:eastAsia="zh-CN"/>
              </w:rPr>
              <w:t>4</w:t>
            </w:r>
            <w:r>
              <w:rPr>
                <w:rFonts w:hint="eastAsia" w:ascii="仿宋" w:hAnsi="仿宋" w:eastAsia="仿宋" w:cs="Courier New"/>
                <w:color w:val="auto"/>
                <w:kern w:val="0"/>
                <w:sz w:val="28"/>
                <w:szCs w:val="28"/>
                <w:highlight w:val="none"/>
                <w:u w:val="single"/>
              </w:rPr>
              <w:t>月</w:t>
            </w:r>
            <w:r>
              <w:rPr>
                <w:rFonts w:hint="eastAsia" w:ascii="仿宋" w:hAnsi="仿宋" w:eastAsia="仿宋" w:cs="Courier New"/>
                <w:color w:val="auto"/>
                <w:kern w:val="0"/>
                <w:sz w:val="28"/>
                <w:szCs w:val="28"/>
                <w:highlight w:val="none"/>
                <w:u w:val="single"/>
                <w:lang w:val="en-US" w:eastAsia="zh-CN"/>
              </w:rPr>
              <w:t>28</w:t>
            </w:r>
            <w:r>
              <w:rPr>
                <w:rFonts w:hint="eastAsia" w:ascii="仿宋" w:hAnsi="仿宋" w:eastAsia="仿宋" w:cs="Courier New"/>
                <w:color w:val="auto"/>
                <w:kern w:val="0"/>
                <w:sz w:val="28"/>
                <w:szCs w:val="28"/>
                <w:highlight w:val="none"/>
                <w:u w:val="single"/>
              </w:rPr>
              <w:t>日10时</w:t>
            </w:r>
          </w:p>
          <w:p w14:paraId="03916501">
            <w:pPr>
              <w:adjustRightInd w:val="0"/>
              <w:snapToGrid w:val="0"/>
              <w:spacing w:line="400" w:lineRule="exact"/>
              <w:rPr>
                <w:rFonts w:ascii="仿宋" w:hAnsi="仿宋" w:eastAsia="仿宋"/>
                <w:color w:val="auto"/>
                <w:sz w:val="28"/>
                <w:szCs w:val="28"/>
                <w:highlight w:val="none"/>
                <w:u w:val="single"/>
              </w:rPr>
            </w:pPr>
            <w:r>
              <w:rPr>
                <w:rFonts w:hint="eastAsia" w:ascii="仿宋" w:hAnsi="仿宋" w:eastAsia="仿宋" w:cs="Courier New"/>
                <w:color w:val="auto"/>
                <w:kern w:val="0"/>
                <w:sz w:val="28"/>
                <w:szCs w:val="28"/>
                <w:highlight w:val="none"/>
              </w:rPr>
              <w:t>地点：</w:t>
            </w:r>
            <w:r>
              <w:rPr>
                <w:rFonts w:hint="eastAsia" w:ascii="仿宋" w:hAnsi="仿宋" w:eastAsia="仿宋"/>
                <w:color w:val="auto"/>
                <w:sz w:val="28"/>
                <w:szCs w:val="28"/>
                <w:highlight w:val="none"/>
                <w:u w:val="single"/>
              </w:rPr>
              <w:t>重庆市巴南区东城大道8号华南城招商行政中心2楼</w:t>
            </w:r>
          </w:p>
          <w:p w14:paraId="1BDEFADA">
            <w:pPr>
              <w:adjustRightInd w:val="0"/>
              <w:snapToGrid w:val="0"/>
              <w:spacing w:line="400" w:lineRule="exact"/>
              <w:rPr>
                <w:rFonts w:ascii="仿宋" w:hAnsi="仿宋" w:eastAsia="仿宋"/>
                <w:color w:val="auto"/>
                <w:sz w:val="28"/>
                <w:szCs w:val="28"/>
                <w:highlight w:val="none"/>
                <w:u w:val="single"/>
              </w:rPr>
            </w:pPr>
            <w:r>
              <w:rPr>
                <w:rFonts w:hint="eastAsia" w:ascii="仿宋" w:hAnsi="仿宋" w:eastAsia="仿宋"/>
                <w:color w:val="auto"/>
                <w:sz w:val="28"/>
                <w:szCs w:val="28"/>
                <w:highlight w:val="none"/>
                <w:u w:val="single"/>
              </w:rPr>
              <w:t>注意：需要投标单位的拟派项目</w:t>
            </w:r>
            <w:r>
              <w:rPr>
                <w:rFonts w:hint="eastAsia" w:ascii="仿宋" w:hAnsi="仿宋" w:eastAsia="仿宋"/>
                <w:color w:val="auto"/>
                <w:sz w:val="28"/>
                <w:szCs w:val="28"/>
                <w:highlight w:val="none"/>
                <w:u w:val="single"/>
                <w:lang w:val="en-US" w:eastAsia="zh-CN"/>
              </w:rPr>
              <w:t>主办律师</w:t>
            </w:r>
            <w:r>
              <w:rPr>
                <w:rFonts w:hint="eastAsia" w:ascii="仿宋" w:hAnsi="仿宋" w:eastAsia="仿宋"/>
                <w:color w:val="auto"/>
                <w:sz w:val="28"/>
                <w:szCs w:val="28"/>
                <w:highlight w:val="none"/>
                <w:u w:val="single"/>
              </w:rPr>
              <w:t>进行现场述标和答疑，其中投标人述标时限10分钟，答疑时限5分钟。</w:t>
            </w:r>
          </w:p>
        </w:tc>
      </w:tr>
      <w:tr w14:paraId="7A21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5D2CA4E4">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6</w:t>
            </w:r>
          </w:p>
        </w:tc>
        <w:tc>
          <w:tcPr>
            <w:tcW w:w="1203" w:type="pct"/>
            <w:vAlign w:val="center"/>
          </w:tcPr>
          <w:p w14:paraId="2DE767BC">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发出中标通知书</w:t>
            </w:r>
          </w:p>
        </w:tc>
        <w:tc>
          <w:tcPr>
            <w:tcW w:w="3266" w:type="pct"/>
            <w:vAlign w:val="center"/>
          </w:tcPr>
          <w:p w14:paraId="29B109C6">
            <w:pPr>
              <w:adjustRightInd w:val="0"/>
              <w:snapToGrid w:val="0"/>
              <w:spacing w:line="400" w:lineRule="exact"/>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投标有效期满30天前</w:t>
            </w:r>
          </w:p>
        </w:tc>
      </w:tr>
      <w:tr w14:paraId="186F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529" w:type="pct"/>
            <w:vAlign w:val="center"/>
          </w:tcPr>
          <w:p w14:paraId="35DA8FF8">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7</w:t>
            </w:r>
          </w:p>
        </w:tc>
        <w:tc>
          <w:tcPr>
            <w:tcW w:w="1203" w:type="pct"/>
            <w:vAlign w:val="center"/>
          </w:tcPr>
          <w:p w14:paraId="2029B3C0">
            <w:pPr>
              <w:adjustRightInd w:val="0"/>
              <w:snapToGrid w:val="0"/>
              <w:spacing w:line="400" w:lineRule="exact"/>
              <w:jc w:val="center"/>
              <w:rPr>
                <w:rFonts w:ascii="仿宋" w:hAnsi="仿宋" w:eastAsia="仿宋" w:cs="Courier New"/>
                <w:color w:val="auto"/>
                <w:kern w:val="0"/>
                <w:sz w:val="28"/>
                <w:szCs w:val="28"/>
                <w:highlight w:val="none"/>
              </w:rPr>
            </w:pPr>
            <w:r>
              <w:rPr>
                <w:rFonts w:hint="eastAsia" w:ascii="仿宋" w:hAnsi="仿宋" w:eastAsia="仿宋" w:cs="Courier New"/>
                <w:color w:val="auto"/>
                <w:kern w:val="0"/>
                <w:sz w:val="28"/>
                <w:szCs w:val="28"/>
                <w:highlight w:val="none"/>
              </w:rPr>
              <w:t>签订合同</w:t>
            </w:r>
          </w:p>
        </w:tc>
        <w:tc>
          <w:tcPr>
            <w:tcW w:w="3266" w:type="pct"/>
            <w:vAlign w:val="center"/>
          </w:tcPr>
          <w:p w14:paraId="0B9092E0">
            <w:pPr>
              <w:adjustRightInd w:val="0"/>
              <w:snapToGrid w:val="0"/>
              <w:spacing w:line="400" w:lineRule="exac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收到中标通知书</w:t>
            </w:r>
            <w:r>
              <w:rPr>
                <w:rFonts w:hint="eastAsia" w:ascii="仿宋" w:hAnsi="仿宋" w:eastAsia="仿宋"/>
                <w:color w:val="auto"/>
                <w:kern w:val="0"/>
                <w:sz w:val="28"/>
                <w:szCs w:val="28"/>
                <w:highlight w:val="none"/>
                <w:lang w:val="en-US" w:eastAsia="zh-CN"/>
              </w:rPr>
              <w:t>5</w:t>
            </w:r>
            <w:r>
              <w:rPr>
                <w:rFonts w:hint="eastAsia" w:ascii="仿宋" w:hAnsi="仿宋" w:eastAsia="仿宋"/>
                <w:color w:val="auto"/>
                <w:kern w:val="0"/>
                <w:sz w:val="28"/>
                <w:szCs w:val="28"/>
                <w:highlight w:val="none"/>
              </w:rPr>
              <w:t>天内</w:t>
            </w:r>
          </w:p>
        </w:tc>
      </w:tr>
    </w:tbl>
    <w:p w14:paraId="1AC72F16">
      <w:pPr>
        <w:rPr>
          <w:color w:val="auto"/>
          <w:highlight w:val="none"/>
        </w:rPr>
      </w:pPr>
    </w:p>
    <w:p w14:paraId="4BB2BE5C">
      <w:pPr>
        <w:pStyle w:val="69"/>
        <w:spacing w:line="360" w:lineRule="auto"/>
        <w:ind w:firstLine="562"/>
        <w:rPr>
          <w:rFonts w:ascii="宋体" w:hAnsi="宋体"/>
          <w:b/>
          <w:bCs/>
          <w:color w:val="auto"/>
          <w:kern w:val="0"/>
          <w:sz w:val="28"/>
          <w:szCs w:val="28"/>
          <w:highlight w:val="none"/>
        </w:rPr>
      </w:pPr>
      <w:r>
        <w:rPr>
          <w:rFonts w:ascii="宋体" w:hAnsi="宋体"/>
          <w:b/>
          <w:bCs/>
          <w:color w:val="auto"/>
          <w:kern w:val="0"/>
          <w:sz w:val="28"/>
          <w:szCs w:val="28"/>
          <w:highlight w:val="none"/>
        </w:rPr>
        <w:br w:type="page"/>
      </w:r>
    </w:p>
    <w:p w14:paraId="7767231F">
      <w:pPr>
        <w:pStyle w:val="4"/>
        <w:spacing w:before="0" w:after="0" w:line="560" w:lineRule="exact"/>
        <w:jc w:val="center"/>
        <w:rPr>
          <w:rFonts w:ascii="黑体" w:hAnsi="黑体" w:eastAsia="黑体"/>
          <w:color w:val="auto"/>
          <w:sz w:val="36"/>
          <w:szCs w:val="36"/>
          <w:highlight w:val="none"/>
        </w:rPr>
      </w:pPr>
      <w:bookmarkStart w:id="26" w:name="_Toc80800143"/>
      <w:bookmarkStart w:id="27" w:name="_Toc31521"/>
      <w:r>
        <w:rPr>
          <w:rFonts w:hint="eastAsia" w:ascii="黑体" w:hAnsi="黑体" w:eastAsia="黑体"/>
          <w:color w:val="auto"/>
          <w:sz w:val="36"/>
          <w:szCs w:val="36"/>
          <w:highlight w:val="none"/>
        </w:rPr>
        <w:t>（三）投标须知前附件</w:t>
      </w:r>
      <w:bookmarkEnd w:id="26"/>
      <w:bookmarkEnd w:id="27"/>
    </w:p>
    <w:p w14:paraId="52BECD7A">
      <w:pPr>
        <w:pStyle w:val="5"/>
        <w:spacing w:before="0" w:after="0" w:line="560" w:lineRule="exact"/>
        <w:ind w:firstLine="643"/>
        <w:rPr>
          <w:rFonts w:ascii="仿宋" w:hAnsi="仿宋" w:eastAsia="仿宋"/>
          <w:color w:val="auto"/>
          <w:kern w:val="0"/>
          <w:sz w:val="32"/>
          <w:szCs w:val="32"/>
          <w:highlight w:val="none"/>
        </w:rPr>
      </w:pPr>
      <w:bookmarkStart w:id="28" w:name="_Toc80800144"/>
      <w:bookmarkStart w:id="29" w:name="_Toc7035"/>
      <w:r>
        <w:rPr>
          <w:rFonts w:hint="eastAsia" w:ascii="仿宋" w:hAnsi="仿宋" w:eastAsia="仿宋"/>
          <w:color w:val="auto"/>
          <w:kern w:val="0"/>
          <w:sz w:val="32"/>
          <w:szCs w:val="32"/>
          <w:highlight w:val="none"/>
        </w:rPr>
        <w:t>附件一：</w:t>
      </w:r>
      <w:bookmarkEnd w:id="28"/>
      <w:r>
        <w:rPr>
          <w:rFonts w:hint="eastAsia" w:ascii="仿宋" w:hAnsi="仿宋" w:eastAsia="仿宋"/>
          <w:color w:val="auto"/>
          <w:kern w:val="0"/>
          <w:sz w:val="32"/>
          <w:szCs w:val="32"/>
          <w:highlight w:val="none"/>
        </w:rPr>
        <w:t>招标公告</w:t>
      </w:r>
      <w:bookmarkEnd w:id="29"/>
    </w:p>
    <w:p w14:paraId="680447B7">
      <w:pPr>
        <w:spacing w:before="240" w:beforeLines="100" w:after="120" w:afterLines="50" w:line="360" w:lineRule="auto"/>
        <w:jc w:val="center"/>
        <w:rPr>
          <w:rFonts w:ascii="仿宋_GB2312" w:hAnsi="仿宋" w:eastAsia="仿宋_GB2312" w:cs="宋体"/>
          <w:b/>
          <w:color w:val="auto"/>
          <w:kern w:val="0"/>
          <w:sz w:val="36"/>
          <w:szCs w:val="36"/>
          <w:highlight w:val="none"/>
        </w:rPr>
      </w:pPr>
      <w:r>
        <w:rPr>
          <w:rFonts w:hint="eastAsia" w:ascii="黑体" w:hAnsi="黑体" w:eastAsia="黑体" w:cs="宋体"/>
          <w:color w:val="auto"/>
          <w:kern w:val="0"/>
          <w:sz w:val="44"/>
          <w:szCs w:val="44"/>
          <w:highlight w:val="none"/>
        </w:rPr>
        <w:t>投标公告</w:t>
      </w:r>
    </w:p>
    <w:p w14:paraId="324F19BE">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一、招标项目名称：</w:t>
      </w:r>
      <w:r>
        <w:rPr>
          <w:rFonts w:hint="eastAsia" w:ascii="仿宋" w:hAnsi="仿宋" w:eastAsia="仿宋" w:cs="Times New Roman"/>
          <w:b w:val="0"/>
          <w:bCs w:val="0"/>
          <w:color w:val="auto"/>
          <w:kern w:val="2"/>
          <w:sz w:val="28"/>
          <w:szCs w:val="28"/>
          <w:highlight w:val="none"/>
          <w:u w:val="single"/>
          <w:shd w:val="clear"/>
          <w:lang w:val="en-US" w:eastAsia="zh-CN"/>
        </w:rPr>
        <w:t>第一亚太重庆分公司物业费欠费追缴诉讼服务</w:t>
      </w:r>
      <w:r>
        <w:rPr>
          <w:rFonts w:hint="eastAsia" w:ascii="仿宋" w:hAnsi="仿宋" w:eastAsia="仿宋" w:cs="Times New Roman"/>
          <w:b w:val="0"/>
          <w:bCs w:val="0"/>
          <w:color w:val="auto"/>
          <w:kern w:val="2"/>
          <w:sz w:val="28"/>
          <w:szCs w:val="28"/>
          <w:highlight w:val="none"/>
          <w:u w:val="single"/>
          <w:shd w:val="clear" w:color="auto" w:fill="auto"/>
          <w:lang w:val="en-US" w:eastAsia="zh-CN"/>
        </w:rPr>
        <w:t>（第二次）</w:t>
      </w:r>
    </w:p>
    <w:p w14:paraId="11861083">
      <w:pPr>
        <w:spacing w:line="560" w:lineRule="exact"/>
        <w:ind w:firstLine="562" w:firstLineChars="200"/>
        <w:rPr>
          <w:rFonts w:ascii="仿宋" w:hAnsi="仿宋" w:eastAsia="仿宋"/>
          <w:color w:val="auto"/>
          <w:sz w:val="28"/>
          <w:szCs w:val="28"/>
          <w:highlight w:val="none"/>
        </w:rPr>
      </w:pPr>
      <w:r>
        <w:rPr>
          <w:rFonts w:hint="eastAsia" w:ascii="仿宋" w:hAnsi="仿宋" w:eastAsia="仿宋"/>
          <w:b/>
          <w:color w:val="auto"/>
          <w:sz w:val="28"/>
          <w:szCs w:val="28"/>
          <w:highlight w:val="none"/>
        </w:rPr>
        <w:t>二、招标方式：</w:t>
      </w:r>
      <w:r>
        <w:rPr>
          <w:rFonts w:hint="eastAsia" w:ascii="仿宋" w:hAnsi="仿宋" w:eastAsia="仿宋"/>
          <w:color w:val="auto"/>
          <w:sz w:val="28"/>
          <w:szCs w:val="28"/>
          <w:highlight w:val="none"/>
          <w:u w:val="single"/>
        </w:rPr>
        <w:t>公开招标</w:t>
      </w:r>
    </w:p>
    <w:p w14:paraId="2A73CA2D">
      <w:pPr>
        <w:pStyle w:val="69"/>
        <w:widowControl/>
        <w:autoSpaceDE w:val="0"/>
        <w:autoSpaceDN w:val="0"/>
        <w:adjustRightInd w:val="0"/>
        <w:snapToGrid w:val="0"/>
        <w:spacing w:line="560" w:lineRule="exact"/>
        <w:ind w:firstLine="562"/>
        <w:jc w:val="left"/>
        <w:rPr>
          <w:rFonts w:ascii="仿宋" w:hAnsi="仿宋" w:eastAsia="仿宋"/>
          <w:b/>
          <w:color w:val="auto"/>
          <w:sz w:val="28"/>
          <w:szCs w:val="28"/>
          <w:highlight w:val="none"/>
        </w:rPr>
      </w:pPr>
      <w:r>
        <w:rPr>
          <w:rFonts w:hint="eastAsia" w:ascii="仿宋" w:hAnsi="仿宋" w:eastAsia="仿宋"/>
          <w:b/>
          <w:color w:val="auto"/>
          <w:sz w:val="28"/>
          <w:szCs w:val="28"/>
          <w:highlight w:val="none"/>
        </w:rPr>
        <w:t xml:space="preserve">三、项目地点： </w:t>
      </w:r>
    </w:p>
    <w:p w14:paraId="36C2FDC4">
      <w:pPr>
        <w:pStyle w:val="69"/>
        <w:widowControl/>
        <w:autoSpaceDE w:val="0"/>
        <w:autoSpaceDN w:val="0"/>
        <w:adjustRightInd w:val="0"/>
        <w:snapToGrid w:val="0"/>
        <w:spacing w:line="560" w:lineRule="exact"/>
        <w:ind w:firstLine="840" w:firstLineChars="300"/>
        <w:jc w:val="left"/>
        <w:rPr>
          <w:rFonts w:ascii="仿宋" w:hAnsi="仿宋" w:eastAsia="仿宋"/>
          <w:color w:val="auto"/>
          <w:sz w:val="28"/>
          <w:szCs w:val="28"/>
          <w:highlight w:val="none"/>
          <w:u w:val="none"/>
        </w:rPr>
      </w:pPr>
      <w:r>
        <w:rPr>
          <w:rFonts w:hint="eastAsia" w:ascii="仿宋" w:hAnsi="仿宋" w:eastAsia="仿宋"/>
          <w:color w:val="auto"/>
          <w:sz w:val="28"/>
          <w:szCs w:val="28"/>
          <w:highlight w:val="none"/>
          <w:u w:val="none"/>
        </w:rPr>
        <w:t>标段一：重庆市巴南区巴南华府伴遖山、景云</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rPr>
        <w:t>望舒</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lang w:val="en-US" w:eastAsia="zh-CN"/>
        </w:rPr>
        <w:t>一</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rPr>
        <w:t>；</w:t>
      </w:r>
    </w:p>
    <w:p w14:paraId="6A57B16B">
      <w:pPr>
        <w:pStyle w:val="69"/>
        <w:autoSpaceDE w:val="0"/>
        <w:autoSpaceDN w:val="0"/>
        <w:adjustRightInd w:val="0"/>
        <w:snapToGrid w:val="0"/>
        <w:ind w:firstLine="840" w:firstLineChars="300"/>
        <w:jc w:val="left"/>
        <w:rPr>
          <w:rFonts w:ascii="仿宋" w:hAnsi="仿宋" w:eastAsia="仿宋"/>
          <w:color w:val="auto"/>
          <w:sz w:val="28"/>
          <w:szCs w:val="28"/>
          <w:highlight w:val="none"/>
        </w:rPr>
      </w:pPr>
      <w:r>
        <w:rPr>
          <w:rFonts w:hint="eastAsia" w:ascii="仿宋" w:hAnsi="仿宋" w:eastAsia="仿宋"/>
          <w:color w:val="auto"/>
          <w:sz w:val="28"/>
          <w:szCs w:val="28"/>
          <w:highlight w:val="none"/>
          <w:u w:val="none"/>
        </w:rPr>
        <w:t>标段二：重庆市巴南区巴南华府望舒</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lang w:val="en-US" w:eastAsia="zh-CN"/>
        </w:rPr>
        <w:t>二</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rPr>
        <w:t>、明昱阁、云邸；</w:t>
      </w:r>
    </w:p>
    <w:p w14:paraId="6909DA18">
      <w:pPr>
        <w:numPr>
          <w:ilvl w:val="0"/>
          <w:numId w:val="1"/>
        </w:numPr>
        <w:spacing w:line="560" w:lineRule="exact"/>
        <w:ind w:firstLine="562" w:firstLineChars="200"/>
        <w:rPr>
          <w:rFonts w:hint="eastAsia" w:ascii="仿宋" w:hAnsi="仿宋" w:eastAsia="仿宋"/>
          <w:color w:val="auto"/>
          <w:sz w:val="28"/>
          <w:szCs w:val="28"/>
          <w:highlight w:val="none"/>
          <w:u w:val="single"/>
          <w:lang w:eastAsia="zh-CN"/>
        </w:rPr>
      </w:pPr>
      <w:r>
        <w:rPr>
          <w:rFonts w:hint="eastAsia" w:ascii="仿宋" w:hAnsi="仿宋" w:eastAsia="仿宋"/>
          <w:b/>
          <w:color w:val="auto"/>
          <w:sz w:val="28"/>
          <w:szCs w:val="28"/>
          <w:highlight w:val="none"/>
        </w:rPr>
        <w:t>投标上限价：</w:t>
      </w:r>
    </w:p>
    <w:p w14:paraId="52E1201A">
      <w:pPr>
        <w:numPr>
          <w:ilvl w:val="-1"/>
          <w:numId w:val="0"/>
        </w:numPr>
        <w:spacing w:line="560" w:lineRule="exact"/>
        <w:ind w:firstLine="840" w:firstLineChars="300"/>
        <w:rPr>
          <w:rFonts w:hint="eastAsia"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u w:val="none"/>
        </w:rPr>
        <w:t>标段一</w:t>
      </w:r>
      <w:r>
        <w:rPr>
          <w:rFonts w:hint="eastAsia" w:ascii="仿宋" w:hAnsi="仿宋" w:eastAsia="仿宋" w:cs="Times New Roman"/>
          <w:color w:val="auto"/>
          <w:sz w:val="28"/>
          <w:szCs w:val="28"/>
          <w:highlight w:val="none"/>
          <w:u w:val="none"/>
          <w:lang w:val="en-US" w:eastAsia="zh-CN"/>
        </w:rPr>
        <w:t>全风险代理费计收比例非诉</w:t>
      </w:r>
      <w:r>
        <w:rPr>
          <w:rFonts w:hint="eastAsia" w:ascii="仿宋" w:hAnsi="仿宋" w:eastAsia="仿宋" w:cs="Times New Roman"/>
          <w:color w:val="auto"/>
          <w:sz w:val="28"/>
          <w:szCs w:val="28"/>
          <w:highlight w:val="none"/>
          <w:u w:val="none"/>
        </w:rPr>
        <w:t>上限为</w:t>
      </w:r>
      <w:r>
        <w:rPr>
          <w:rFonts w:hint="eastAsia" w:ascii="仿宋" w:hAnsi="仿宋" w:eastAsia="仿宋" w:cs="Times New Roman"/>
          <w:color w:val="auto"/>
          <w:sz w:val="28"/>
          <w:szCs w:val="28"/>
          <w:highlight w:val="none"/>
          <w:u w:val="none"/>
          <w:lang w:val="en-US" w:eastAsia="zh-CN"/>
        </w:rPr>
        <w:t>10%、诉讼12%</w:t>
      </w:r>
      <w:r>
        <w:rPr>
          <w:rFonts w:hint="eastAsia" w:ascii="仿宋" w:hAnsi="仿宋" w:eastAsia="仿宋" w:cs="Times New Roman"/>
          <w:color w:val="auto"/>
          <w:sz w:val="28"/>
          <w:szCs w:val="28"/>
          <w:highlight w:val="none"/>
          <w:u w:val="none"/>
        </w:rPr>
        <w:t>，</w:t>
      </w:r>
      <w:r>
        <w:rPr>
          <w:rFonts w:hint="eastAsia" w:ascii="仿宋" w:hAnsi="仿宋" w:eastAsia="仿宋" w:cs="Times New Roman"/>
          <w:color w:val="auto"/>
          <w:sz w:val="28"/>
          <w:szCs w:val="28"/>
          <w:highlight w:val="none"/>
          <w:lang w:val="en-US" w:eastAsia="zh-CN"/>
        </w:rPr>
        <w:t>代理费上限价为35.68万元，</w:t>
      </w:r>
      <w:r>
        <w:rPr>
          <w:rFonts w:hint="eastAsia" w:ascii="仿宋_GB2312" w:hAnsi="仿宋_GB2312" w:eastAsia="仿宋_GB2312" w:cs="仿宋_GB2312"/>
          <w:sz w:val="28"/>
          <w:szCs w:val="28"/>
          <w:highlight w:val="none"/>
          <w:u w:val="none"/>
        </w:rPr>
        <w:t>超过上限价的投标文件将被否决</w:t>
      </w:r>
      <w:r>
        <w:rPr>
          <w:rFonts w:hint="eastAsia" w:ascii="仿宋_GB2312" w:hAnsi="仿宋_GB2312" w:eastAsia="仿宋_GB2312" w:cs="仿宋_GB2312"/>
          <w:sz w:val="28"/>
          <w:szCs w:val="28"/>
          <w:highlight w:val="none"/>
          <w:u w:val="none"/>
          <w:lang w:eastAsia="zh-CN"/>
        </w:rPr>
        <w:t>。</w:t>
      </w:r>
    </w:p>
    <w:p w14:paraId="17210575">
      <w:pPr>
        <w:numPr>
          <w:ilvl w:val="-1"/>
          <w:numId w:val="0"/>
        </w:numPr>
        <w:spacing w:line="560" w:lineRule="exact"/>
        <w:ind w:firstLine="840" w:firstLineChars="300"/>
        <w:rPr>
          <w:rFonts w:ascii="仿宋" w:hAnsi="仿宋" w:eastAsia="仿宋"/>
          <w:b/>
          <w:color w:val="auto"/>
          <w:sz w:val="28"/>
          <w:szCs w:val="28"/>
          <w:highlight w:val="none"/>
          <w:u w:val="single"/>
        </w:rPr>
      </w:pPr>
      <w:r>
        <w:rPr>
          <w:rFonts w:hint="eastAsia" w:ascii="仿宋" w:hAnsi="仿宋" w:eastAsia="仿宋"/>
          <w:color w:val="auto"/>
          <w:sz w:val="28"/>
          <w:szCs w:val="28"/>
          <w:highlight w:val="none"/>
          <w:u w:val="none"/>
        </w:rPr>
        <w:t>标段</w:t>
      </w:r>
      <w:r>
        <w:rPr>
          <w:rFonts w:hint="eastAsia" w:ascii="仿宋" w:hAnsi="仿宋" w:eastAsia="仿宋"/>
          <w:color w:val="auto"/>
          <w:sz w:val="28"/>
          <w:szCs w:val="28"/>
          <w:highlight w:val="none"/>
          <w:u w:val="none"/>
          <w:lang w:val="en-US" w:eastAsia="zh-CN"/>
        </w:rPr>
        <w:t>二</w:t>
      </w:r>
      <w:r>
        <w:rPr>
          <w:rFonts w:hint="eastAsia" w:ascii="仿宋" w:hAnsi="仿宋" w:eastAsia="仿宋" w:cs="Times New Roman"/>
          <w:color w:val="auto"/>
          <w:sz w:val="28"/>
          <w:szCs w:val="28"/>
          <w:highlight w:val="none"/>
          <w:u w:val="none"/>
          <w:lang w:val="en-US" w:eastAsia="zh-CN"/>
        </w:rPr>
        <w:t>全风险代理费计收比例非诉</w:t>
      </w:r>
      <w:r>
        <w:rPr>
          <w:rFonts w:hint="eastAsia" w:ascii="仿宋" w:hAnsi="仿宋" w:eastAsia="仿宋" w:cs="Times New Roman"/>
          <w:color w:val="auto"/>
          <w:sz w:val="28"/>
          <w:szCs w:val="28"/>
          <w:highlight w:val="none"/>
          <w:u w:val="none"/>
        </w:rPr>
        <w:t>上限为</w:t>
      </w:r>
      <w:r>
        <w:rPr>
          <w:rFonts w:hint="eastAsia" w:ascii="仿宋" w:hAnsi="仿宋" w:eastAsia="仿宋" w:cs="Times New Roman"/>
          <w:color w:val="auto"/>
          <w:sz w:val="28"/>
          <w:szCs w:val="28"/>
          <w:highlight w:val="none"/>
          <w:u w:val="none"/>
          <w:lang w:val="en-US" w:eastAsia="zh-CN"/>
        </w:rPr>
        <w:t>10%、诉讼12%</w:t>
      </w:r>
      <w:r>
        <w:rPr>
          <w:rFonts w:hint="eastAsia" w:ascii="仿宋" w:hAnsi="仿宋" w:eastAsia="仿宋" w:cs="Times New Roman"/>
          <w:color w:val="auto"/>
          <w:sz w:val="28"/>
          <w:szCs w:val="28"/>
          <w:highlight w:val="none"/>
          <w:u w:val="none"/>
        </w:rPr>
        <w:t>，</w:t>
      </w:r>
      <w:r>
        <w:rPr>
          <w:rFonts w:hint="eastAsia" w:ascii="仿宋" w:hAnsi="仿宋" w:eastAsia="仿宋" w:cs="Times New Roman"/>
          <w:color w:val="auto"/>
          <w:sz w:val="28"/>
          <w:szCs w:val="28"/>
          <w:highlight w:val="none"/>
          <w:lang w:val="en-US" w:eastAsia="zh-CN"/>
        </w:rPr>
        <w:t>代理费上限价为36.10万元，</w:t>
      </w:r>
      <w:r>
        <w:rPr>
          <w:rFonts w:hint="eastAsia" w:ascii="仿宋_GB2312" w:hAnsi="仿宋_GB2312" w:eastAsia="仿宋_GB2312" w:cs="仿宋_GB2312"/>
          <w:sz w:val="28"/>
          <w:szCs w:val="28"/>
          <w:highlight w:val="none"/>
          <w:u w:val="none"/>
        </w:rPr>
        <w:t>超过上限价的投标文件将被否决</w:t>
      </w:r>
      <w:r>
        <w:rPr>
          <w:rFonts w:hint="eastAsia" w:ascii="仿宋_GB2312" w:hAnsi="仿宋_GB2312" w:eastAsia="仿宋_GB2312" w:cs="仿宋_GB2312"/>
          <w:sz w:val="28"/>
          <w:szCs w:val="28"/>
          <w:highlight w:val="none"/>
          <w:u w:val="none"/>
          <w:lang w:eastAsia="zh-CN"/>
        </w:rPr>
        <w:t>。</w:t>
      </w:r>
    </w:p>
    <w:p w14:paraId="4E771C3D">
      <w:pPr>
        <w:autoSpaceDE w:val="0"/>
        <w:autoSpaceDN w:val="0"/>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五、招标范围及主要内容：</w:t>
      </w:r>
    </w:p>
    <w:p w14:paraId="0C7D816E">
      <w:pPr>
        <w:spacing w:line="560" w:lineRule="exact"/>
        <w:ind w:firstLine="560" w:firstLineChars="200"/>
        <w:rPr>
          <w:rFonts w:ascii="仿宋" w:hAnsi="仿宋" w:eastAsia="仿宋"/>
          <w:color w:val="auto"/>
          <w:sz w:val="28"/>
          <w:szCs w:val="28"/>
          <w:highlight w:val="none"/>
          <w:u w:val="none"/>
        </w:rPr>
      </w:pPr>
      <w:r>
        <w:rPr>
          <w:rFonts w:hint="eastAsia" w:ascii="仿宋" w:hAnsi="仿宋" w:eastAsia="仿宋"/>
          <w:color w:val="auto"/>
          <w:sz w:val="28"/>
          <w:szCs w:val="28"/>
          <w:highlight w:val="none"/>
          <w:u w:val="none"/>
        </w:rPr>
        <w:t>标段一：巴南华府伴遖山、景云</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rPr>
        <w:t>望舒</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lang w:val="en-US" w:eastAsia="zh-CN"/>
        </w:rPr>
        <w:t>一</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lang w:val="en-US" w:eastAsia="zh-CN"/>
        </w:rPr>
        <w:t>涉及</w:t>
      </w:r>
      <w:r>
        <w:rPr>
          <w:rFonts w:hint="eastAsia" w:ascii="仿宋" w:hAnsi="仿宋" w:eastAsia="仿宋" w:cs="Times New Roman"/>
          <w:color w:val="auto"/>
          <w:sz w:val="28"/>
          <w:szCs w:val="28"/>
          <w:highlight w:val="none"/>
          <w:u w:val="none"/>
          <w:lang w:val="en-US" w:eastAsia="zh-CN"/>
        </w:rPr>
        <w:t>欠费本金</w:t>
      </w:r>
      <w:r>
        <w:rPr>
          <w:rFonts w:hint="eastAsia" w:ascii="仿宋" w:hAnsi="仿宋" w:eastAsia="仿宋"/>
          <w:color w:val="auto"/>
          <w:sz w:val="28"/>
          <w:szCs w:val="28"/>
          <w:highlight w:val="none"/>
          <w:u w:val="none"/>
          <w:lang w:val="en-US" w:eastAsia="zh-CN"/>
        </w:rPr>
        <w:t>929.58万元，</w:t>
      </w:r>
      <w:r>
        <w:rPr>
          <w:rFonts w:hint="eastAsia" w:ascii="仿宋" w:hAnsi="仿宋" w:eastAsia="仿宋" w:cs="Times New Roman"/>
          <w:color w:val="auto"/>
          <w:sz w:val="28"/>
          <w:szCs w:val="28"/>
          <w:highlight w:val="none"/>
          <w:u w:val="none"/>
          <w:lang w:val="en-US" w:eastAsia="zh-CN"/>
        </w:rPr>
        <w:t>户数998户，目标回款339.67万元</w:t>
      </w:r>
      <w:r>
        <w:rPr>
          <w:rFonts w:hint="eastAsia" w:ascii="仿宋" w:hAnsi="仿宋" w:eastAsia="仿宋"/>
          <w:color w:val="auto"/>
          <w:sz w:val="28"/>
          <w:szCs w:val="28"/>
          <w:highlight w:val="none"/>
          <w:u w:val="none"/>
        </w:rPr>
        <w:t>；</w:t>
      </w:r>
    </w:p>
    <w:p w14:paraId="441EEF51">
      <w:pPr>
        <w:spacing w:line="560" w:lineRule="exact"/>
        <w:ind w:firstLine="560" w:firstLineChars="200"/>
        <w:rPr>
          <w:rFonts w:ascii="仿宋" w:hAnsi="仿宋" w:eastAsia="仿宋"/>
          <w:color w:val="auto"/>
          <w:sz w:val="28"/>
          <w:szCs w:val="28"/>
          <w:highlight w:val="none"/>
          <w:u w:val="none"/>
        </w:rPr>
      </w:pPr>
      <w:r>
        <w:rPr>
          <w:rFonts w:hint="eastAsia" w:ascii="仿宋" w:hAnsi="仿宋" w:eastAsia="仿宋"/>
          <w:color w:val="auto"/>
          <w:sz w:val="28"/>
          <w:szCs w:val="28"/>
          <w:highlight w:val="none"/>
          <w:u w:val="none"/>
        </w:rPr>
        <w:t>标段二：巴南华府望舒</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lang w:val="en-US" w:eastAsia="zh-CN"/>
        </w:rPr>
        <w:t>二</w:t>
      </w:r>
      <w:r>
        <w:rPr>
          <w:rFonts w:hint="eastAsia" w:ascii="仿宋" w:hAnsi="仿宋" w:eastAsia="仿宋"/>
          <w:color w:val="auto"/>
          <w:sz w:val="28"/>
          <w:szCs w:val="28"/>
          <w:highlight w:val="none"/>
          <w:u w:val="none"/>
          <w:lang w:eastAsia="zh-CN"/>
        </w:rPr>
        <w:t>）</w:t>
      </w:r>
      <w:r>
        <w:rPr>
          <w:rFonts w:hint="eastAsia" w:ascii="仿宋" w:hAnsi="仿宋" w:eastAsia="仿宋"/>
          <w:color w:val="auto"/>
          <w:sz w:val="28"/>
          <w:szCs w:val="28"/>
          <w:highlight w:val="none"/>
          <w:u w:val="none"/>
        </w:rPr>
        <w:t>、明昱阁、云邸</w:t>
      </w:r>
      <w:r>
        <w:rPr>
          <w:rFonts w:hint="eastAsia" w:ascii="仿宋" w:hAnsi="仿宋" w:eastAsia="仿宋"/>
          <w:color w:val="auto"/>
          <w:sz w:val="28"/>
          <w:szCs w:val="28"/>
          <w:highlight w:val="none"/>
          <w:u w:val="none"/>
          <w:lang w:val="en-US" w:eastAsia="zh-CN"/>
        </w:rPr>
        <w:t>涉及</w:t>
      </w:r>
      <w:r>
        <w:rPr>
          <w:rFonts w:hint="eastAsia" w:ascii="仿宋" w:hAnsi="仿宋" w:eastAsia="仿宋" w:cs="Times New Roman"/>
          <w:color w:val="auto"/>
          <w:sz w:val="28"/>
          <w:szCs w:val="28"/>
          <w:highlight w:val="none"/>
          <w:u w:val="none"/>
          <w:lang w:val="en-US" w:eastAsia="zh-CN"/>
        </w:rPr>
        <w:t>欠费本金</w:t>
      </w:r>
      <w:r>
        <w:rPr>
          <w:rFonts w:hint="eastAsia" w:ascii="仿宋" w:hAnsi="仿宋" w:eastAsia="仿宋"/>
          <w:color w:val="auto"/>
          <w:sz w:val="28"/>
          <w:szCs w:val="28"/>
          <w:highlight w:val="none"/>
          <w:u w:val="none"/>
          <w:lang w:val="en-US" w:eastAsia="zh-CN"/>
        </w:rPr>
        <w:t>926.74万元，</w:t>
      </w:r>
      <w:r>
        <w:rPr>
          <w:rFonts w:hint="eastAsia" w:ascii="仿宋" w:hAnsi="仿宋" w:eastAsia="仿宋" w:cs="Times New Roman"/>
          <w:color w:val="auto"/>
          <w:sz w:val="28"/>
          <w:szCs w:val="28"/>
          <w:highlight w:val="none"/>
          <w:u w:val="none"/>
          <w:lang w:val="en-US" w:eastAsia="zh-CN"/>
        </w:rPr>
        <w:t>户数873户，目标回款339.85万元</w:t>
      </w:r>
      <w:r>
        <w:rPr>
          <w:rFonts w:hint="eastAsia" w:ascii="仿宋" w:hAnsi="仿宋" w:eastAsia="仿宋"/>
          <w:color w:val="auto"/>
          <w:sz w:val="28"/>
          <w:szCs w:val="28"/>
          <w:highlight w:val="none"/>
          <w:u w:val="none"/>
        </w:rPr>
        <w:t>。</w:t>
      </w:r>
    </w:p>
    <w:p w14:paraId="3FF03420">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六、服务周期要求：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2026年</w:t>
      </w:r>
      <w:r>
        <w:rPr>
          <w:rFonts w:hint="eastAsia" w:ascii="仿宋" w:hAnsi="仿宋" w:eastAsia="仿宋"/>
          <w:color w:val="auto"/>
          <w:sz w:val="28"/>
          <w:szCs w:val="28"/>
          <w:highlight w:val="none"/>
          <w:u w:val="single"/>
          <w:lang w:val="en-US" w:eastAsia="zh-CN"/>
        </w:rPr>
        <w:t>5</w:t>
      </w:r>
      <w:r>
        <w:rPr>
          <w:rFonts w:hint="eastAsia" w:ascii="仿宋" w:hAnsi="仿宋" w:eastAsia="仿宋"/>
          <w:color w:val="auto"/>
          <w:sz w:val="28"/>
          <w:szCs w:val="28"/>
          <w:highlight w:val="none"/>
          <w:u w:val="single"/>
        </w:rPr>
        <w:t>月1日至2027年</w:t>
      </w:r>
      <w:r>
        <w:rPr>
          <w:rFonts w:hint="eastAsia" w:ascii="仿宋" w:hAnsi="仿宋" w:eastAsia="仿宋"/>
          <w:color w:val="auto"/>
          <w:sz w:val="28"/>
          <w:szCs w:val="28"/>
          <w:highlight w:val="none"/>
          <w:u w:val="single"/>
          <w:lang w:val="en-US" w:eastAsia="zh-CN"/>
        </w:rPr>
        <w:t>4</w:t>
      </w:r>
      <w:r>
        <w:rPr>
          <w:rFonts w:hint="eastAsia" w:ascii="仿宋" w:hAnsi="仿宋" w:eastAsia="仿宋"/>
          <w:color w:val="auto"/>
          <w:sz w:val="28"/>
          <w:szCs w:val="28"/>
          <w:highlight w:val="none"/>
          <w:u w:val="single"/>
        </w:rPr>
        <w:t>月</w:t>
      </w:r>
      <w:r>
        <w:rPr>
          <w:rFonts w:hint="eastAsia" w:ascii="仿宋" w:hAnsi="仿宋" w:eastAsia="仿宋"/>
          <w:color w:val="auto"/>
          <w:sz w:val="28"/>
          <w:szCs w:val="28"/>
          <w:highlight w:val="none"/>
          <w:u w:val="single"/>
          <w:lang w:val="en-US" w:eastAsia="zh-CN"/>
        </w:rPr>
        <w:t>30</w:t>
      </w:r>
      <w:r>
        <w:rPr>
          <w:rFonts w:hint="eastAsia" w:ascii="仿宋" w:hAnsi="仿宋" w:eastAsia="仿宋"/>
          <w:color w:val="auto"/>
          <w:sz w:val="28"/>
          <w:szCs w:val="28"/>
          <w:highlight w:val="none"/>
          <w:u w:val="single"/>
        </w:rPr>
        <w:t xml:space="preserve">日 </w:t>
      </w:r>
      <w:r>
        <w:rPr>
          <w:rFonts w:hint="eastAsia" w:ascii="仿宋" w:hAnsi="仿宋" w:eastAsia="仿宋"/>
          <w:color w:val="auto"/>
          <w:sz w:val="28"/>
          <w:szCs w:val="28"/>
          <w:highlight w:val="none"/>
          <w:u w:val="none"/>
        </w:rPr>
        <w:t xml:space="preserve"> </w:t>
      </w:r>
      <w:r>
        <w:rPr>
          <w:rFonts w:hint="eastAsia" w:ascii="仿宋" w:hAnsi="仿宋" w:eastAsia="仿宋"/>
          <w:b/>
          <w:color w:val="auto"/>
          <w:sz w:val="28"/>
          <w:szCs w:val="28"/>
          <w:highlight w:val="none"/>
          <w:u w:val="none"/>
        </w:rPr>
        <w:t xml:space="preserve">      </w:t>
      </w:r>
      <w:r>
        <w:rPr>
          <w:rFonts w:hint="eastAsia" w:ascii="仿宋" w:hAnsi="仿宋" w:eastAsia="仿宋"/>
          <w:b/>
          <w:color w:val="auto"/>
          <w:sz w:val="28"/>
          <w:szCs w:val="28"/>
          <w:highlight w:val="none"/>
          <w:u w:val="single"/>
        </w:rPr>
        <w:t xml:space="preserve">                          </w:t>
      </w:r>
    </w:p>
    <w:p w14:paraId="7DDC60BA">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七、评标方法：</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综合评</w:t>
      </w:r>
      <w:r>
        <w:rPr>
          <w:rFonts w:hint="eastAsia" w:ascii="仿宋" w:hAnsi="仿宋" w:eastAsia="仿宋"/>
          <w:color w:val="auto"/>
          <w:sz w:val="28"/>
          <w:szCs w:val="28"/>
          <w:highlight w:val="none"/>
          <w:u w:val="single"/>
          <w:lang w:val="en-US" w:eastAsia="zh-CN"/>
        </w:rPr>
        <w:t>分</w:t>
      </w:r>
      <w:r>
        <w:rPr>
          <w:rFonts w:hint="eastAsia" w:ascii="仿宋" w:hAnsi="仿宋" w:eastAsia="仿宋"/>
          <w:color w:val="auto"/>
          <w:sz w:val="28"/>
          <w:szCs w:val="28"/>
          <w:highlight w:val="none"/>
          <w:u w:val="single"/>
        </w:rPr>
        <w:t xml:space="preserve">法 </w:t>
      </w:r>
      <w:r>
        <w:rPr>
          <w:rFonts w:hint="eastAsia" w:ascii="仿宋" w:hAnsi="仿宋" w:eastAsia="仿宋"/>
          <w:b/>
          <w:color w:val="auto"/>
          <w:sz w:val="28"/>
          <w:szCs w:val="28"/>
          <w:highlight w:val="none"/>
          <w:u w:val="single"/>
        </w:rPr>
        <w:t xml:space="preserve">  </w:t>
      </w:r>
      <w:r>
        <w:rPr>
          <w:rFonts w:hint="eastAsia" w:ascii="仿宋" w:hAnsi="仿宋" w:eastAsia="仿宋"/>
          <w:b/>
          <w:color w:val="auto"/>
          <w:sz w:val="28"/>
          <w:szCs w:val="28"/>
          <w:highlight w:val="none"/>
          <w:u w:val="none"/>
        </w:rPr>
        <w:t xml:space="preserve">                       </w:t>
      </w:r>
    </w:p>
    <w:p w14:paraId="72F65E94">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八、中标人的确定方式：</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p>
    <w:p w14:paraId="02FC419C">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九、投标申请人资格要求：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50B2CC37">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十、拟派项目负责人资格要求：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详见投标须知前附表1</w:t>
      </w:r>
      <w:r>
        <w:rPr>
          <w:rFonts w:hint="eastAsia" w:ascii="仿宋" w:hAnsi="仿宋" w:eastAsia="仿宋"/>
          <w:b/>
          <w:color w:val="auto"/>
          <w:sz w:val="28"/>
          <w:szCs w:val="28"/>
          <w:highlight w:val="none"/>
          <w:u w:val="single"/>
        </w:rPr>
        <w:t xml:space="preserve">  </w:t>
      </w:r>
    </w:p>
    <w:p w14:paraId="13E972D0">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十一、招标文件的获取</w:t>
      </w:r>
    </w:p>
    <w:p w14:paraId="32ECAEE5">
      <w:pPr>
        <w:snapToGrid w:val="0"/>
        <w:spacing w:line="276" w:lineRule="auto"/>
        <w:ind w:firstLine="560" w:firstLineChars="200"/>
        <w:rPr>
          <w:rFonts w:ascii="仿宋" w:hAnsi="仿宋" w:eastAsia="仿宋" w:cs="Courier New"/>
          <w:color w:val="auto"/>
          <w:kern w:val="0"/>
          <w:sz w:val="28"/>
          <w:szCs w:val="28"/>
          <w:highlight w:val="none"/>
        </w:rPr>
      </w:pPr>
      <w:r>
        <w:rPr>
          <w:rFonts w:hint="eastAsia" w:ascii="仿宋" w:hAnsi="仿宋" w:eastAsia="仿宋"/>
          <w:color w:val="auto"/>
          <w:sz w:val="28"/>
          <w:szCs w:val="28"/>
          <w:highlight w:val="none"/>
        </w:rPr>
        <w:t>（一）招标文件领取时间：</w:t>
      </w:r>
      <w:r>
        <w:rPr>
          <w:rFonts w:hint="eastAsia" w:ascii="仿宋" w:hAnsi="仿宋" w:eastAsia="仿宋"/>
          <w:color w:val="auto"/>
          <w:sz w:val="28"/>
          <w:szCs w:val="28"/>
          <w:highlight w:val="none"/>
          <w:u w:val="single"/>
        </w:rPr>
        <w:t>2026年</w:t>
      </w:r>
      <w:r>
        <w:rPr>
          <w:rFonts w:hint="eastAsia" w:ascii="仿宋" w:hAnsi="仿宋" w:eastAsia="仿宋"/>
          <w:color w:val="auto"/>
          <w:sz w:val="28"/>
          <w:szCs w:val="28"/>
          <w:highlight w:val="none"/>
          <w:u w:val="single"/>
          <w:lang w:val="en-US" w:eastAsia="zh-CN"/>
        </w:rPr>
        <w:t>4</w:t>
      </w:r>
      <w:r>
        <w:rPr>
          <w:rFonts w:hint="eastAsia" w:ascii="仿宋" w:hAnsi="仿宋" w:eastAsia="仿宋"/>
          <w:color w:val="auto"/>
          <w:sz w:val="28"/>
          <w:szCs w:val="28"/>
          <w:highlight w:val="none"/>
          <w:u w:val="single"/>
        </w:rPr>
        <w:t>月</w:t>
      </w:r>
      <w:r>
        <w:rPr>
          <w:rFonts w:hint="eastAsia" w:ascii="仿宋" w:hAnsi="仿宋" w:eastAsia="仿宋"/>
          <w:color w:val="auto"/>
          <w:sz w:val="28"/>
          <w:szCs w:val="28"/>
          <w:highlight w:val="none"/>
          <w:u w:val="single"/>
          <w:lang w:val="en-US" w:eastAsia="zh-CN"/>
        </w:rPr>
        <w:t>21</w:t>
      </w:r>
      <w:r>
        <w:rPr>
          <w:rFonts w:hint="eastAsia" w:ascii="仿宋" w:hAnsi="仿宋" w:eastAsia="仿宋"/>
          <w:color w:val="auto"/>
          <w:sz w:val="28"/>
          <w:szCs w:val="28"/>
          <w:highlight w:val="none"/>
          <w:u w:val="single"/>
        </w:rPr>
        <w:t>日</w:t>
      </w:r>
      <w:r>
        <w:rPr>
          <w:rFonts w:hint="eastAsia" w:ascii="仿宋" w:hAnsi="仿宋" w:eastAsia="仿宋" w:cs="Courier New"/>
          <w:color w:val="auto"/>
          <w:kern w:val="0"/>
          <w:sz w:val="28"/>
          <w:szCs w:val="28"/>
          <w:highlight w:val="none"/>
          <w:u w:val="single"/>
        </w:rPr>
        <w:t xml:space="preserve"> </w:t>
      </w:r>
    </w:p>
    <w:p w14:paraId="549DE516">
      <w:pPr>
        <w:adjustRightInd w:val="0"/>
        <w:snapToGrid w:val="0"/>
        <w:spacing w:line="400" w:lineRule="exact"/>
        <w:ind w:firstLine="560" w:firstLineChars="200"/>
        <w:rPr>
          <w:rFonts w:ascii="仿宋" w:hAnsi="仿宋" w:eastAsia="仿宋"/>
          <w:color w:val="auto"/>
          <w:sz w:val="28"/>
          <w:szCs w:val="28"/>
          <w:highlight w:val="yellow"/>
          <w:u w:val="single"/>
        </w:rPr>
      </w:pPr>
      <w:r>
        <w:rPr>
          <w:rFonts w:hint="eastAsia" w:ascii="仿宋" w:hAnsi="仿宋" w:eastAsia="仿宋"/>
          <w:color w:val="auto"/>
          <w:sz w:val="28"/>
          <w:szCs w:val="28"/>
          <w:highlight w:val="none"/>
        </w:rPr>
        <w:t>（二）招标文件领取地点：</w:t>
      </w:r>
      <w:r>
        <w:rPr>
          <w:rFonts w:hint="eastAsia" w:ascii="仿宋" w:hAnsi="仿宋" w:eastAsia="仿宋"/>
          <w:color w:val="auto"/>
          <w:sz w:val="28"/>
          <w:szCs w:val="28"/>
          <w:highlight w:val="none"/>
          <w:u w:val="single"/>
        </w:rPr>
        <w:t>重庆市巴南区东城大道8号华南城招商行政中心2楼</w:t>
      </w:r>
    </w:p>
    <w:p w14:paraId="3F01777C">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（三）需携带资料：</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w:t>
      </w:r>
      <w:r>
        <w:rPr>
          <w:rFonts w:hint="eastAsia" w:ascii="仿宋" w:hAnsi="仿宋" w:eastAsia="仿宋"/>
          <w:color w:val="auto"/>
          <w:sz w:val="28"/>
          <w:szCs w:val="28"/>
          <w:highlight w:val="none"/>
          <w:u w:val="single"/>
        </w:rPr>
        <w:t xml:space="preserve">   </w:t>
      </w:r>
    </w:p>
    <w:p w14:paraId="145673DA">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十二、投标文件的递交</w:t>
      </w:r>
    </w:p>
    <w:p w14:paraId="158C9E06">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（一）截标时间：</w:t>
      </w:r>
      <w:r>
        <w:rPr>
          <w:rFonts w:hint="eastAsia" w:ascii="仿宋" w:hAnsi="仿宋" w:eastAsia="仿宋" w:cs="Courier New"/>
          <w:color w:val="auto"/>
          <w:kern w:val="0"/>
          <w:sz w:val="28"/>
          <w:szCs w:val="28"/>
          <w:highlight w:val="none"/>
          <w:u w:val="single"/>
        </w:rPr>
        <w:t>2026年</w:t>
      </w:r>
      <w:r>
        <w:rPr>
          <w:rFonts w:hint="eastAsia" w:ascii="仿宋" w:hAnsi="仿宋" w:eastAsia="仿宋" w:cs="Courier New"/>
          <w:color w:val="auto"/>
          <w:kern w:val="0"/>
          <w:sz w:val="28"/>
          <w:szCs w:val="28"/>
          <w:highlight w:val="none"/>
          <w:u w:val="single"/>
          <w:lang w:val="en-US" w:eastAsia="zh-CN"/>
        </w:rPr>
        <w:t>4</w:t>
      </w:r>
      <w:r>
        <w:rPr>
          <w:rFonts w:hint="eastAsia" w:ascii="仿宋" w:hAnsi="仿宋" w:eastAsia="仿宋" w:cs="Courier New"/>
          <w:color w:val="auto"/>
          <w:kern w:val="0"/>
          <w:sz w:val="28"/>
          <w:szCs w:val="28"/>
          <w:highlight w:val="none"/>
          <w:u w:val="single"/>
        </w:rPr>
        <w:t>月</w:t>
      </w:r>
      <w:r>
        <w:rPr>
          <w:rFonts w:hint="eastAsia" w:ascii="仿宋" w:hAnsi="仿宋" w:eastAsia="仿宋" w:cs="Courier New"/>
          <w:color w:val="auto"/>
          <w:kern w:val="0"/>
          <w:sz w:val="28"/>
          <w:szCs w:val="28"/>
          <w:highlight w:val="none"/>
          <w:u w:val="single"/>
          <w:lang w:val="en-US" w:eastAsia="zh-CN"/>
        </w:rPr>
        <w:t>28</w:t>
      </w:r>
      <w:r>
        <w:rPr>
          <w:rFonts w:hint="eastAsia" w:ascii="仿宋" w:hAnsi="仿宋" w:eastAsia="仿宋" w:cs="Courier New"/>
          <w:color w:val="auto"/>
          <w:kern w:val="0"/>
          <w:sz w:val="28"/>
          <w:szCs w:val="28"/>
          <w:highlight w:val="none"/>
          <w:u w:val="single"/>
        </w:rPr>
        <w:t>日10时</w:t>
      </w:r>
    </w:p>
    <w:p w14:paraId="7F388D6E">
      <w:pPr>
        <w:adjustRightInd w:val="0"/>
        <w:snapToGrid w:val="0"/>
        <w:spacing w:line="40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（二）截标地点：</w:t>
      </w:r>
      <w:r>
        <w:rPr>
          <w:rFonts w:hint="eastAsia" w:ascii="仿宋" w:hAnsi="仿宋" w:eastAsia="仿宋"/>
          <w:color w:val="auto"/>
          <w:sz w:val="28"/>
          <w:szCs w:val="28"/>
          <w:highlight w:val="none"/>
          <w:u w:val="single"/>
        </w:rPr>
        <w:t>重庆市巴南区东城大道8号华南城招商行政中心2楼</w:t>
      </w:r>
    </w:p>
    <w:p w14:paraId="2AD698B7">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十三、联系方式</w:t>
      </w:r>
    </w:p>
    <w:p w14:paraId="0C2C694B">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（一）联系人：</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侯红娟</w:t>
      </w:r>
      <w:r>
        <w:rPr>
          <w:rFonts w:hint="eastAsia" w:ascii="仿宋" w:hAnsi="仿宋" w:eastAsia="仿宋"/>
          <w:color w:val="auto"/>
          <w:sz w:val="28"/>
          <w:szCs w:val="28"/>
          <w:highlight w:val="none"/>
          <w:u w:val="single"/>
        </w:rPr>
        <w:t xml:space="preserve">             </w:t>
      </w:r>
    </w:p>
    <w:p w14:paraId="6C75F4CA">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（二）联系电话：</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15123369571</w:t>
      </w:r>
      <w:r>
        <w:rPr>
          <w:rFonts w:hint="eastAsia" w:ascii="仿宋" w:hAnsi="仿宋" w:eastAsia="仿宋"/>
          <w:color w:val="auto"/>
          <w:sz w:val="28"/>
          <w:szCs w:val="28"/>
          <w:highlight w:val="none"/>
          <w:u w:val="single"/>
        </w:rPr>
        <w:t xml:space="preserve">          </w:t>
      </w:r>
    </w:p>
    <w:p w14:paraId="545CE8CE">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（三）传真：</w:t>
      </w:r>
      <w:r>
        <w:rPr>
          <w:rFonts w:hint="eastAsia" w:ascii="仿宋" w:hAnsi="仿宋" w:eastAsia="仿宋"/>
          <w:color w:val="auto"/>
          <w:sz w:val="28"/>
          <w:szCs w:val="28"/>
          <w:highlight w:val="none"/>
          <w:u w:val="single"/>
        </w:rPr>
        <w:t xml:space="preserve">           /               </w:t>
      </w:r>
    </w:p>
    <w:p w14:paraId="60EE36F0">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（四）电子邮箱：</w:t>
      </w:r>
      <w:r>
        <w:rPr>
          <w:rFonts w:hint="eastAsia" w:ascii="仿宋" w:hAnsi="仿宋" w:eastAsia="仿宋"/>
          <w:color w:val="auto"/>
          <w:sz w:val="28"/>
          <w:szCs w:val="28"/>
          <w:highlight w:val="none"/>
          <w:u w:val="single"/>
        </w:rPr>
        <w:t xml:space="preserve">  </w:t>
      </w:r>
      <w:r>
        <w:rPr>
          <w:rFonts w:ascii="宋体" w:hAnsi="宋体" w:eastAsia="宋体" w:cs="宋体"/>
          <w:sz w:val="24"/>
          <w:szCs w:val="24"/>
          <w:u w:val="single"/>
        </w:rPr>
        <w:t>houhongjuan@csc-sz.com</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 xml:space="preserve"> </w:t>
      </w:r>
    </w:p>
    <w:p w14:paraId="1D1D5726">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（五）地址：</w:t>
      </w:r>
      <w:r>
        <w:rPr>
          <w:rFonts w:hint="eastAsia" w:ascii="仿宋" w:hAnsi="仿宋" w:eastAsia="仿宋"/>
          <w:color w:val="auto"/>
          <w:sz w:val="28"/>
          <w:szCs w:val="28"/>
          <w:highlight w:val="none"/>
          <w:u w:val="single"/>
        </w:rPr>
        <w:t>重庆市巴南区东城大道8号华南城招商行政中心2楼。</w:t>
      </w:r>
    </w:p>
    <w:p w14:paraId="507E07CD">
      <w:pPr>
        <w:snapToGrid w:val="0"/>
        <w:spacing w:before="240" w:beforeLines="100" w:after="120" w:afterLines="50" w:line="360" w:lineRule="auto"/>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6BA5B418">
      <w:pPr>
        <w:snapToGrid w:val="0"/>
        <w:spacing w:before="240" w:beforeLines="100" w:after="120" w:afterLines="50" w:line="360" w:lineRule="auto"/>
        <w:jc w:val="center"/>
        <w:rPr>
          <w:rFonts w:hint="eastAsia" w:ascii="仿宋" w:hAnsi="仿宋" w:eastAsia="仿宋"/>
          <w:color w:val="auto"/>
          <w:sz w:val="28"/>
          <w:szCs w:val="28"/>
          <w:highlight w:val="none"/>
        </w:rPr>
      </w:pPr>
    </w:p>
    <w:p w14:paraId="094D4E57">
      <w:pPr>
        <w:snapToGrid w:val="0"/>
        <w:spacing w:before="240" w:beforeLines="100" w:after="120" w:afterLines="50" w:line="360" w:lineRule="auto"/>
        <w:jc w:val="center"/>
        <w:rPr>
          <w:rFonts w:ascii="宋体" w:hAnsi="宋体" w:cs="宋体"/>
          <w:bCs/>
          <w:color w:val="auto"/>
          <w:sz w:val="28"/>
          <w:szCs w:val="44"/>
          <w:highlight w:val="none"/>
        </w:rPr>
      </w:pP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招标人：深圳第一亚太物业管理有限公司重庆分公司</w:t>
      </w:r>
    </w:p>
    <w:p w14:paraId="53990EA2">
      <w:pPr>
        <w:spacing w:line="560" w:lineRule="exact"/>
        <w:ind w:firstLine="560" w:firstLineChars="200"/>
        <w:jc w:val="left"/>
        <w:rPr>
          <w:rFonts w:ascii="仿宋" w:hAnsi="仿宋" w:eastAsia="仿宋"/>
          <w:color w:val="auto"/>
          <w:sz w:val="28"/>
          <w:szCs w:val="28"/>
          <w:highlight w:val="none"/>
        </w:rPr>
      </w:pPr>
      <w:r>
        <w:rPr>
          <w:rFonts w:hint="eastAsia" w:ascii="仿宋" w:hAnsi="仿宋" w:eastAsia="仿宋" w:cs="仿宋_GB2312"/>
          <w:color w:val="auto"/>
          <w:kern w:val="0"/>
          <w:sz w:val="28"/>
          <w:szCs w:val="28"/>
          <w:highlight w:val="none"/>
        </w:rPr>
        <w:t xml:space="preserve">                                      </w:t>
      </w:r>
      <w:r>
        <w:rPr>
          <w:rFonts w:hint="eastAsia" w:ascii="仿宋" w:hAnsi="仿宋" w:eastAsia="仿宋"/>
          <w:color w:val="auto"/>
          <w:sz w:val="28"/>
          <w:szCs w:val="28"/>
          <w:highlight w:val="none"/>
        </w:rPr>
        <w:t>2026年</w:t>
      </w: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21</w:t>
      </w:r>
      <w:r>
        <w:rPr>
          <w:rFonts w:hint="eastAsia" w:ascii="仿宋" w:hAnsi="仿宋" w:eastAsia="仿宋"/>
          <w:color w:val="auto"/>
          <w:sz w:val="28"/>
          <w:szCs w:val="28"/>
          <w:highlight w:val="none"/>
        </w:rPr>
        <w:t>日</w:t>
      </w:r>
    </w:p>
    <w:p w14:paraId="070BF94F">
      <w:pPr>
        <w:spacing w:line="560" w:lineRule="exact"/>
        <w:ind w:firstLine="560" w:firstLineChars="200"/>
        <w:jc w:val="left"/>
        <w:rPr>
          <w:rFonts w:ascii="仿宋_GB2312" w:hAnsi="仿宋" w:eastAsia="仿宋_GB2312" w:cs="仿宋_GB2312"/>
          <w:color w:val="auto"/>
          <w:kern w:val="0"/>
          <w:sz w:val="28"/>
          <w:szCs w:val="28"/>
          <w:highlight w:val="none"/>
        </w:rPr>
      </w:pPr>
      <w:r>
        <w:rPr>
          <w:rFonts w:ascii="仿宋_GB2312" w:hAnsi="仿宋" w:eastAsia="仿宋_GB2312" w:cs="仿宋_GB2312"/>
          <w:color w:val="auto"/>
          <w:kern w:val="0"/>
          <w:sz w:val="28"/>
          <w:szCs w:val="28"/>
          <w:highlight w:val="none"/>
        </w:rPr>
        <w:br w:type="page"/>
      </w:r>
    </w:p>
    <w:p w14:paraId="7F616D1F">
      <w:pPr>
        <w:pStyle w:val="5"/>
        <w:spacing w:before="0" w:after="0" w:line="560" w:lineRule="exact"/>
        <w:rPr>
          <w:rFonts w:ascii="仿宋" w:hAnsi="仿宋" w:eastAsia="仿宋"/>
          <w:color w:val="auto"/>
          <w:kern w:val="0"/>
          <w:sz w:val="32"/>
          <w:szCs w:val="32"/>
          <w:highlight w:val="none"/>
        </w:rPr>
      </w:pPr>
      <w:bookmarkStart w:id="30" w:name="_Toc8924"/>
      <w:bookmarkStart w:id="31" w:name="_Toc80800145"/>
      <w:r>
        <w:rPr>
          <w:rFonts w:hint="eastAsia" w:ascii="仿宋" w:hAnsi="仿宋" w:eastAsia="仿宋"/>
          <w:color w:val="auto"/>
          <w:kern w:val="0"/>
          <w:sz w:val="32"/>
          <w:szCs w:val="32"/>
          <w:highlight w:val="none"/>
        </w:rPr>
        <w:t>附件二：投标文件否决性条款摘要</w:t>
      </w:r>
      <w:bookmarkEnd w:id="30"/>
      <w:bookmarkEnd w:id="31"/>
    </w:p>
    <w:p w14:paraId="5F1B31A0">
      <w:pPr>
        <w:adjustRightInd w:val="0"/>
        <w:snapToGrid w:val="0"/>
        <w:spacing w:line="360" w:lineRule="auto"/>
        <w:ind w:firstLine="643" w:firstLineChars="200"/>
        <w:jc w:val="center"/>
        <w:rPr>
          <w:rFonts w:ascii="仿宋_GB2312" w:eastAsia="仿宋_GB2312"/>
          <w:b/>
          <w:color w:val="auto"/>
          <w:kern w:val="0"/>
          <w:sz w:val="32"/>
          <w:szCs w:val="32"/>
          <w:highlight w:val="none"/>
        </w:rPr>
      </w:pPr>
    </w:p>
    <w:p w14:paraId="25EDCDD2">
      <w:pPr>
        <w:adjustRightInd w:val="0"/>
        <w:snapToGrid w:val="0"/>
        <w:spacing w:line="360" w:lineRule="auto"/>
        <w:ind w:firstLine="720" w:firstLineChars="200"/>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投标文件否决性条款摘要</w:t>
      </w:r>
    </w:p>
    <w:p w14:paraId="6BD68E4D">
      <w:pPr>
        <w:adjustRightInd w:val="0"/>
        <w:snapToGrid w:val="0"/>
        <w:spacing w:line="560" w:lineRule="exact"/>
        <w:ind w:firstLine="562" w:firstLineChars="200"/>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一、</w:t>
      </w:r>
      <w:r>
        <w:rPr>
          <w:rFonts w:hint="eastAsia" w:ascii="仿宋" w:hAnsi="仿宋" w:eastAsia="仿宋"/>
          <w:b/>
          <w:color w:val="auto"/>
          <w:kern w:val="0"/>
          <w:sz w:val="28"/>
          <w:szCs w:val="28"/>
          <w:highlight w:val="none"/>
        </w:rPr>
        <w:t>开标阶段，投标文件不予受理的情形</w:t>
      </w:r>
      <w:r>
        <w:rPr>
          <w:rFonts w:hint="eastAsia" w:ascii="仿宋" w:hAnsi="仿宋" w:eastAsia="仿宋"/>
          <w:b/>
          <w:bCs/>
          <w:color w:val="auto"/>
          <w:kern w:val="0"/>
          <w:sz w:val="28"/>
          <w:szCs w:val="28"/>
          <w:highlight w:val="none"/>
        </w:rPr>
        <w:t xml:space="preserve">： </w:t>
      </w:r>
    </w:p>
    <w:p w14:paraId="53D8A750">
      <w:pPr>
        <w:adjustRightInd w:val="0"/>
        <w:snapToGrid w:val="0"/>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w:t>
      </w:r>
      <w:r>
        <w:rPr>
          <w:rFonts w:hint="eastAsia" w:ascii="仿宋" w:hAnsi="仿宋" w:eastAsia="仿宋"/>
          <w:color w:val="auto"/>
          <w:kern w:val="0"/>
          <w:sz w:val="28"/>
          <w:szCs w:val="28"/>
          <w:highlight w:val="none"/>
        </w:rPr>
        <w:t>在投标截止时间以后逾期送达的或者未送达指定地点的；</w:t>
      </w:r>
    </w:p>
    <w:p w14:paraId="07C83DAA">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2、投标文件中的投标资格证明文件不合格的；</w:t>
      </w:r>
    </w:p>
    <w:p w14:paraId="7CA4412D">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bCs/>
          <w:color w:val="auto"/>
          <w:kern w:val="0"/>
          <w:sz w:val="28"/>
          <w:szCs w:val="28"/>
          <w:highlight w:val="none"/>
        </w:rPr>
        <w:t>3、</w:t>
      </w:r>
      <w:r>
        <w:rPr>
          <w:rFonts w:hint="eastAsia" w:ascii="仿宋" w:hAnsi="仿宋" w:eastAsia="仿宋"/>
          <w:color w:val="auto"/>
          <w:kern w:val="0"/>
          <w:sz w:val="28"/>
          <w:szCs w:val="28"/>
          <w:highlight w:val="none"/>
        </w:rPr>
        <w:t>投标文件的投标报价高于投标报价上限的；</w:t>
      </w:r>
    </w:p>
    <w:p w14:paraId="313B9BB9">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4、</w:t>
      </w:r>
      <w:r>
        <w:rPr>
          <w:rFonts w:hint="eastAsia" w:ascii="仿宋" w:hAnsi="仿宋" w:eastAsia="仿宋"/>
          <w:bCs/>
          <w:color w:val="auto"/>
          <w:sz w:val="28"/>
          <w:szCs w:val="28"/>
          <w:highlight w:val="none"/>
        </w:rPr>
        <w:t>投标文件承诺的服务周期超过招标文件要求的；</w:t>
      </w:r>
    </w:p>
    <w:p w14:paraId="2F8F60D7">
      <w:pPr>
        <w:adjustRightInd w:val="0"/>
        <w:snapToGrid w:val="0"/>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rPr>
        <w:t>5、未按招标文件要求提交投标保函原件的或资信标未提供投标保函复印件的(采用投标保函形式情形),投标人未按招标文件要求在资信标提供投标保证金转账凭证复印件的或截标后投标保证金未到账的(采用银行转账形式情形)，投标人在开标结束前未提交投标保函原件或在截标前投标保证金未到账的。；（需提供投标担保情形）；</w:t>
      </w:r>
    </w:p>
    <w:p w14:paraId="6EF721D6">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6、未按招标文件规定提交《投标函》的，且未按规定加盖投标人印章、或未经法定代表人或其委托代理人签字(或盖章)的；</w:t>
      </w:r>
    </w:p>
    <w:p w14:paraId="5F46DF69">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7、投标文件中存在投标人名称不统一、投标人名称与投标人公章不一致、投标文件中的招标人名称与招标文件不一致的；</w:t>
      </w:r>
    </w:p>
    <w:p w14:paraId="04595629">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8、投标文件的有关内容未按本须知规定加盖投标人印章、或未经法定代表人或其委托代理人签字(或盖章)、或由委托代理人签字(或盖章)但未随投标文件一起提供“投标文件签署授权委托书”原件的；</w:t>
      </w:r>
    </w:p>
    <w:p w14:paraId="33AAAA0E">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9、招标人要求提交投标文件电子文档，但投标人未提交或提交的电子文档不符合本须知要求的；</w:t>
      </w:r>
    </w:p>
    <w:p w14:paraId="65C597CB">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10、组成联合体投标的，投标文件中未按规定提交联合体各方共同投标协议的；</w:t>
      </w:r>
    </w:p>
    <w:p w14:paraId="5FE56634">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11、参加联合体的各成员再以自己的名义单独投标的，或同时参加两个（含两个）以上的联合体投标的；</w:t>
      </w:r>
    </w:p>
    <w:p w14:paraId="2B778175">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12、投标人没有实质性响应招标文件要求的。</w:t>
      </w:r>
    </w:p>
    <w:p w14:paraId="0EA30859">
      <w:pPr>
        <w:adjustRightInd w:val="0"/>
        <w:snapToGrid w:val="0"/>
        <w:spacing w:line="560" w:lineRule="exact"/>
        <w:ind w:firstLine="562" w:firstLineChars="200"/>
        <w:rPr>
          <w:rFonts w:ascii="仿宋" w:hAnsi="仿宋" w:eastAsia="仿宋"/>
          <w:color w:val="auto"/>
          <w:kern w:val="0"/>
          <w:sz w:val="28"/>
          <w:szCs w:val="28"/>
          <w:highlight w:val="none"/>
        </w:rPr>
      </w:pPr>
      <w:r>
        <w:rPr>
          <w:rFonts w:hint="eastAsia" w:ascii="仿宋" w:hAnsi="仿宋" w:eastAsia="仿宋"/>
          <w:b/>
          <w:color w:val="auto"/>
          <w:kern w:val="0"/>
          <w:sz w:val="28"/>
          <w:szCs w:val="28"/>
          <w:highlight w:val="none"/>
        </w:rPr>
        <w:t>二、评标阶段有关无效标的情形：</w:t>
      </w:r>
      <w:r>
        <w:rPr>
          <w:rFonts w:hint="eastAsia" w:ascii="仿宋" w:hAnsi="仿宋" w:eastAsia="仿宋"/>
          <w:color w:val="auto"/>
          <w:kern w:val="0"/>
          <w:sz w:val="28"/>
          <w:szCs w:val="28"/>
          <w:highlight w:val="none"/>
        </w:rPr>
        <w:t xml:space="preserve"> </w:t>
      </w:r>
    </w:p>
    <w:p w14:paraId="721DB0A6">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bCs/>
          <w:color w:val="auto"/>
          <w:kern w:val="0"/>
          <w:sz w:val="28"/>
          <w:szCs w:val="28"/>
          <w:highlight w:val="none"/>
        </w:rPr>
        <w:t>1</w:t>
      </w:r>
      <w:r>
        <w:rPr>
          <w:rFonts w:hint="eastAsia" w:ascii="仿宋" w:hAnsi="仿宋" w:eastAsia="仿宋"/>
          <w:color w:val="auto"/>
          <w:kern w:val="0"/>
          <w:sz w:val="28"/>
          <w:szCs w:val="28"/>
          <w:highlight w:val="none"/>
        </w:rPr>
        <w:t>、《投标函》未按招标文件规定填写、漏填或内容填写错误的；</w:t>
      </w:r>
    </w:p>
    <w:p w14:paraId="7B8034C5">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2、投标人资格条件不符合国家有关规定和招标文件要求的；</w:t>
      </w:r>
    </w:p>
    <w:p w14:paraId="7C818800">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3、投标人以他人的名义投标或出现串通投标、弄虚作假情形的；</w:t>
      </w:r>
    </w:p>
    <w:p w14:paraId="30B7CCA6">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4、投标文件中附有招标人不能接受的条件的。</w:t>
      </w:r>
    </w:p>
    <w:p w14:paraId="2B8F20CC">
      <w:pPr>
        <w:tabs>
          <w:tab w:val="left" w:pos="6285"/>
        </w:tabs>
        <w:adjustRightInd w:val="0"/>
        <w:snapToGrid w:val="0"/>
        <w:spacing w:line="560" w:lineRule="exact"/>
        <w:ind w:firstLine="562" w:firstLineChars="200"/>
        <w:rPr>
          <w:rFonts w:ascii="仿宋" w:hAnsi="仿宋" w:eastAsia="仿宋"/>
          <w:b/>
          <w:color w:val="auto"/>
          <w:kern w:val="0"/>
          <w:sz w:val="28"/>
          <w:szCs w:val="28"/>
          <w:highlight w:val="none"/>
        </w:rPr>
      </w:pPr>
      <w:r>
        <w:rPr>
          <w:rFonts w:hint="eastAsia" w:ascii="仿宋" w:hAnsi="仿宋" w:eastAsia="仿宋"/>
          <w:b/>
          <w:color w:val="auto"/>
          <w:kern w:val="0"/>
          <w:sz w:val="28"/>
          <w:szCs w:val="28"/>
          <w:highlight w:val="none"/>
        </w:rPr>
        <w:t>三、评标阶段有关废标的情形：</w:t>
      </w:r>
    </w:p>
    <w:p w14:paraId="44DAC805">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1、评标委员会根据招标文件的规定对投标文件的投标价格进行调整，投标人不接受调整方式、调整后价格，或调整后价格超出招标控制价（投标上限价）的；</w:t>
      </w:r>
    </w:p>
    <w:p w14:paraId="01A3ABC5">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2、投标文件不满足招标文件规定的任何一项实质性要求的；</w:t>
      </w:r>
    </w:p>
    <w:p w14:paraId="0BA0D091">
      <w:pPr>
        <w:tabs>
          <w:tab w:val="left" w:pos="6285"/>
        </w:tabs>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3、</w:t>
      </w:r>
      <w:r>
        <w:rPr>
          <w:rFonts w:hint="eastAsia" w:ascii="仿宋" w:hAnsi="仿宋" w:eastAsia="仿宋"/>
          <w:snapToGrid w:val="0"/>
          <w:color w:val="auto"/>
          <w:kern w:val="0"/>
          <w:sz w:val="28"/>
          <w:szCs w:val="28"/>
          <w:highlight w:val="none"/>
        </w:rPr>
        <w:t>评标委员会认定的其他串通投标、弄虚作假情形</w:t>
      </w:r>
      <w:r>
        <w:rPr>
          <w:rFonts w:hint="eastAsia" w:ascii="仿宋" w:hAnsi="仿宋" w:eastAsia="仿宋"/>
          <w:color w:val="auto"/>
          <w:kern w:val="0"/>
          <w:sz w:val="28"/>
          <w:szCs w:val="28"/>
          <w:highlight w:val="none"/>
        </w:rPr>
        <w:t>。</w:t>
      </w:r>
    </w:p>
    <w:p w14:paraId="2E5DBF8A">
      <w:pPr>
        <w:adjustRightInd w:val="0"/>
        <w:snapToGrid w:val="0"/>
        <w:spacing w:line="560" w:lineRule="exact"/>
        <w:jc w:val="left"/>
        <w:rPr>
          <w:rFonts w:ascii="仿宋" w:hAnsi="仿宋" w:eastAsia="仿宋"/>
          <w:color w:val="auto"/>
          <w:kern w:val="0"/>
          <w:sz w:val="28"/>
          <w:szCs w:val="28"/>
          <w:highlight w:val="none"/>
        </w:rPr>
      </w:pPr>
    </w:p>
    <w:p w14:paraId="4F7E4B66">
      <w:pPr>
        <w:pStyle w:val="33"/>
        <w:ind w:firstLine="560"/>
        <w:rPr>
          <w:rFonts w:ascii="仿宋" w:hAnsi="仿宋" w:eastAsia="仿宋"/>
          <w:color w:val="auto"/>
          <w:kern w:val="0"/>
          <w:sz w:val="28"/>
          <w:szCs w:val="28"/>
          <w:highlight w:val="none"/>
        </w:rPr>
      </w:pPr>
    </w:p>
    <w:p w14:paraId="36C874CC">
      <w:pPr>
        <w:pStyle w:val="33"/>
        <w:ind w:firstLine="560"/>
        <w:rPr>
          <w:rFonts w:ascii="仿宋" w:hAnsi="仿宋" w:eastAsia="仿宋"/>
          <w:color w:val="auto"/>
          <w:kern w:val="0"/>
          <w:sz w:val="28"/>
          <w:szCs w:val="28"/>
          <w:highlight w:val="none"/>
        </w:rPr>
      </w:pPr>
    </w:p>
    <w:p w14:paraId="2817C47C">
      <w:pPr>
        <w:adjustRightInd w:val="0"/>
        <w:snapToGrid w:val="0"/>
        <w:spacing w:line="560" w:lineRule="exact"/>
        <w:jc w:val="left"/>
        <w:rPr>
          <w:rFonts w:ascii="仿宋" w:hAnsi="仿宋" w:eastAsia="仿宋"/>
          <w:color w:val="auto"/>
          <w:kern w:val="0"/>
          <w:sz w:val="28"/>
          <w:szCs w:val="28"/>
          <w:highlight w:val="none"/>
        </w:rPr>
      </w:pPr>
    </w:p>
    <w:p w14:paraId="431D72D7">
      <w:pPr>
        <w:pStyle w:val="5"/>
        <w:spacing w:before="0" w:after="0" w:line="560" w:lineRule="exact"/>
        <w:rPr>
          <w:rFonts w:ascii="仿宋" w:hAnsi="仿宋" w:eastAsia="仿宋"/>
          <w:color w:val="auto"/>
          <w:kern w:val="0"/>
          <w:sz w:val="32"/>
          <w:szCs w:val="32"/>
          <w:highlight w:val="none"/>
        </w:rPr>
      </w:pPr>
      <w:bookmarkStart w:id="32" w:name="_Toc80800146"/>
    </w:p>
    <w:p w14:paraId="7EBCF93B">
      <w:pPr>
        <w:rPr>
          <w:rFonts w:ascii="仿宋" w:hAnsi="仿宋" w:eastAsia="仿宋"/>
          <w:color w:val="auto"/>
          <w:kern w:val="0"/>
          <w:sz w:val="32"/>
          <w:szCs w:val="32"/>
          <w:highlight w:val="none"/>
        </w:rPr>
      </w:pPr>
    </w:p>
    <w:p w14:paraId="7EFF2849">
      <w:pPr>
        <w:pStyle w:val="13"/>
        <w:rPr>
          <w:color w:val="auto"/>
          <w:highlight w:val="none"/>
        </w:rPr>
      </w:pPr>
    </w:p>
    <w:p w14:paraId="31533F78">
      <w:pPr>
        <w:pStyle w:val="5"/>
        <w:spacing w:before="0" w:after="0" w:line="560" w:lineRule="exact"/>
        <w:rPr>
          <w:rFonts w:ascii="仿宋" w:hAnsi="仿宋" w:eastAsia="仿宋"/>
          <w:color w:val="auto"/>
          <w:kern w:val="0"/>
          <w:sz w:val="32"/>
          <w:szCs w:val="32"/>
          <w:highlight w:val="none"/>
        </w:rPr>
      </w:pPr>
      <w:bookmarkStart w:id="33" w:name="_Toc18974"/>
      <w:r>
        <w:rPr>
          <w:rFonts w:hint="eastAsia" w:ascii="仿宋" w:hAnsi="仿宋" w:eastAsia="仿宋"/>
          <w:color w:val="auto"/>
          <w:kern w:val="0"/>
          <w:sz w:val="32"/>
          <w:szCs w:val="32"/>
          <w:highlight w:val="none"/>
        </w:rPr>
        <w:t>附件三：评标程序和评标方法</w:t>
      </w:r>
      <w:bookmarkEnd w:id="32"/>
      <w:bookmarkEnd w:id="33"/>
    </w:p>
    <w:p w14:paraId="72F19DD3">
      <w:pPr>
        <w:rPr>
          <w:color w:val="auto"/>
          <w:highlight w:val="none"/>
        </w:rPr>
      </w:pPr>
    </w:p>
    <w:p w14:paraId="5B385BC5">
      <w:pPr>
        <w:pStyle w:val="6"/>
        <w:spacing w:before="0" w:after="0" w:line="480" w:lineRule="auto"/>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一、评标程序</w:t>
      </w:r>
    </w:p>
    <w:p w14:paraId="42F91E3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1.评标委员会推选一名成员担任主任委员，负责协调、组织评标活动的实施。（主任委员与评标委员会的其他成员享有同等的表决权）</w:t>
      </w:r>
    </w:p>
    <w:p w14:paraId="5CF87B5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2.评标委员会了解项目概况（包括项目的重点、难点）、评标内容、评标方法、招标文件中须注意的事项、以及建议评标的要点。</w:t>
      </w:r>
    </w:p>
    <w:p w14:paraId="3F603F60">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3.评标委员会成员熟悉招标文件、开标情况一览表，研究评标重点及具体分工。</w:t>
      </w:r>
    </w:p>
    <w:p w14:paraId="7B9A1190">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4.评标过程中发现有评标资料不齐全的情况，评标委员会应向工作人员反映，要求补充。</w:t>
      </w:r>
    </w:p>
    <w:p w14:paraId="1F44823C">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711F69CD">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6．填写有关评标记录。由一名评标专家负责汇总评标打分，并由评标委员会主任委员进行复核。</w:t>
      </w:r>
    </w:p>
    <w:p w14:paraId="797D748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7.评标过程中出现的争议，应当提交评标委员会集体讨论形成一致意见，不能形成一致意见的应在充分讨论后予以表决。</w:t>
      </w:r>
    </w:p>
    <w:p w14:paraId="7E839898">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8.对需要投标人澄清、说明、补正的，应当进行答辩，并作好记录。</w:t>
      </w:r>
    </w:p>
    <w:p w14:paraId="5E4AB3CD">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9.对评判为无效标或废标的情况进行详细的记录和说明，并告知相应的投标人，允许其进行解释，但不影响评判的最终结果。</w:t>
      </w:r>
    </w:p>
    <w:p w14:paraId="3C371DDD">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10.对发现的违法、违规（嫌疑）行为，应当在评标报告中做出详细说明，做好取证工作。</w:t>
      </w:r>
    </w:p>
    <w:p w14:paraId="21276E81">
      <w:pPr>
        <w:pStyle w:val="30"/>
        <w:spacing w:before="0" w:beforeAutospacing="0" w:after="0" w:afterAutospacing="0"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11.由评标委员会主任委员或其指定的其他评标委员会成员填写评标报告，</w:t>
      </w:r>
      <w:r>
        <w:rPr>
          <w:rFonts w:ascii="仿宋" w:hAnsi="仿宋" w:eastAsia="仿宋"/>
          <w:color w:val="auto"/>
          <w:sz w:val="28"/>
          <w:szCs w:val="28"/>
          <w:highlight w:val="none"/>
        </w:rPr>
        <w:t xml:space="preserve">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r>
        <w:rPr>
          <w:rFonts w:hint="eastAsia" w:ascii="仿宋" w:hAnsi="仿宋" w:eastAsia="仿宋"/>
          <w:color w:val="auto"/>
          <w:sz w:val="28"/>
          <w:szCs w:val="28"/>
          <w:highlight w:val="none"/>
        </w:rPr>
        <w:t>做出</w:t>
      </w:r>
      <w:r>
        <w:rPr>
          <w:rFonts w:ascii="仿宋" w:hAnsi="仿宋" w:eastAsia="仿宋"/>
          <w:color w:val="auto"/>
          <w:sz w:val="28"/>
          <w:szCs w:val="28"/>
          <w:highlight w:val="none"/>
        </w:rPr>
        <w:t>书面说明并记录在案。</w:t>
      </w:r>
    </w:p>
    <w:p w14:paraId="11FF7C29">
      <w:pPr>
        <w:rPr>
          <w:color w:val="auto"/>
          <w:highlight w:val="none"/>
        </w:rPr>
      </w:pPr>
    </w:p>
    <w:p w14:paraId="25AD0CB8">
      <w:pPr>
        <w:pStyle w:val="6"/>
        <w:spacing w:before="0" w:after="0" w:line="480" w:lineRule="auto"/>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二、评标方法</w:t>
      </w:r>
    </w:p>
    <w:p w14:paraId="478F2E60">
      <w:pPr>
        <w:spacing w:line="360" w:lineRule="auto"/>
        <w:ind w:firstLine="562" w:firstLineChars="200"/>
        <w:rPr>
          <w:rFonts w:ascii="仿宋" w:hAnsi="仿宋" w:eastAsia="仿宋"/>
          <w:color w:val="auto"/>
          <w:sz w:val="28"/>
          <w:szCs w:val="28"/>
          <w:highlight w:val="none"/>
        </w:rPr>
      </w:pPr>
      <w:r>
        <w:rPr>
          <w:rFonts w:hint="eastAsia" w:ascii="仿宋" w:hAnsi="仿宋" w:eastAsia="仿宋"/>
          <w:b/>
          <w:color w:val="auto"/>
          <w:sz w:val="28"/>
          <w:szCs w:val="28"/>
          <w:highlight w:val="none"/>
        </w:rPr>
        <w:t>1.本招标项目的评标办法采用：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2709"/>
        <w:gridCol w:w="2709"/>
      </w:tblGrid>
      <w:tr w14:paraId="4C37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19CF2BF0">
            <w:pPr>
              <w:pStyle w:val="17"/>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评标方法</w:t>
            </w:r>
          </w:p>
        </w:tc>
        <w:tc>
          <w:tcPr>
            <w:tcW w:w="2709" w:type="dxa"/>
            <w:tcBorders>
              <w:top w:val="single" w:color="auto" w:sz="6" w:space="0"/>
              <w:left w:val="single" w:color="auto" w:sz="4" w:space="0"/>
              <w:bottom w:val="single" w:color="auto" w:sz="6" w:space="0"/>
              <w:right w:val="single" w:color="auto" w:sz="6" w:space="0"/>
            </w:tcBorders>
            <w:vAlign w:val="center"/>
          </w:tcPr>
          <w:p w14:paraId="1539153C">
            <w:pPr>
              <w:pStyle w:val="17"/>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评审内容</w:t>
            </w:r>
          </w:p>
        </w:tc>
        <w:tc>
          <w:tcPr>
            <w:tcW w:w="2709" w:type="dxa"/>
            <w:tcBorders>
              <w:top w:val="single" w:color="auto" w:sz="6" w:space="0"/>
              <w:left w:val="single" w:color="auto" w:sz="4" w:space="0"/>
              <w:bottom w:val="single" w:color="auto" w:sz="6" w:space="0"/>
              <w:right w:val="single" w:color="auto" w:sz="6" w:space="0"/>
            </w:tcBorders>
          </w:tcPr>
          <w:p w14:paraId="62AF0B7B">
            <w:pPr>
              <w:pStyle w:val="17"/>
              <w:spacing w:line="400" w:lineRule="exact"/>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备注</w:t>
            </w:r>
          </w:p>
        </w:tc>
      </w:tr>
      <w:tr w14:paraId="459C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5F049A13">
            <w:pPr>
              <w:pStyle w:val="17"/>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☑综合评分法</w:t>
            </w:r>
          </w:p>
        </w:tc>
        <w:tc>
          <w:tcPr>
            <w:tcW w:w="2709" w:type="dxa"/>
            <w:tcBorders>
              <w:top w:val="single" w:color="auto" w:sz="6" w:space="0"/>
              <w:left w:val="single" w:color="auto" w:sz="4" w:space="0"/>
              <w:bottom w:val="single" w:color="auto" w:sz="6" w:space="0"/>
              <w:right w:val="single" w:color="auto" w:sz="6" w:space="0"/>
            </w:tcBorders>
            <w:vAlign w:val="center"/>
          </w:tcPr>
          <w:p w14:paraId="3A9C9A80">
            <w:pPr>
              <w:pStyle w:val="17"/>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资信、商务、技术</w:t>
            </w:r>
          </w:p>
        </w:tc>
        <w:tc>
          <w:tcPr>
            <w:tcW w:w="2709" w:type="dxa"/>
            <w:tcBorders>
              <w:top w:val="single" w:color="auto" w:sz="6" w:space="0"/>
              <w:left w:val="single" w:color="auto" w:sz="4" w:space="0"/>
              <w:bottom w:val="single" w:color="auto" w:sz="6" w:space="0"/>
              <w:right w:val="single" w:color="auto" w:sz="6" w:space="0"/>
            </w:tcBorders>
          </w:tcPr>
          <w:p w14:paraId="7B1DABC4">
            <w:pPr>
              <w:pStyle w:val="17"/>
              <w:spacing w:line="400" w:lineRule="exact"/>
              <w:jc w:val="left"/>
              <w:rPr>
                <w:rFonts w:ascii="仿宋" w:hAnsi="仿宋" w:eastAsia="仿宋"/>
                <w:color w:val="auto"/>
                <w:sz w:val="28"/>
                <w:szCs w:val="28"/>
                <w:highlight w:val="none"/>
              </w:rPr>
            </w:pPr>
          </w:p>
        </w:tc>
      </w:tr>
      <w:tr w14:paraId="0B45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6D357E2C">
            <w:pPr>
              <w:pStyle w:val="17"/>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□信用商务法</w:t>
            </w:r>
          </w:p>
        </w:tc>
        <w:tc>
          <w:tcPr>
            <w:tcW w:w="2709" w:type="dxa"/>
            <w:tcBorders>
              <w:top w:val="single" w:color="auto" w:sz="6" w:space="0"/>
              <w:left w:val="single" w:color="auto" w:sz="4" w:space="0"/>
              <w:bottom w:val="single" w:color="auto" w:sz="6" w:space="0"/>
              <w:right w:val="single" w:color="auto" w:sz="6" w:space="0"/>
            </w:tcBorders>
            <w:vAlign w:val="center"/>
          </w:tcPr>
          <w:p w14:paraId="12CF0F59">
            <w:pPr>
              <w:pStyle w:val="17"/>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资信、商务</w:t>
            </w:r>
          </w:p>
        </w:tc>
        <w:tc>
          <w:tcPr>
            <w:tcW w:w="2709" w:type="dxa"/>
            <w:tcBorders>
              <w:top w:val="single" w:color="auto" w:sz="6" w:space="0"/>
              <w:left w:val="single" w:color="auto" w:sz="4" w:space="0"/>
              <w:bottom w:val="single" w:color="auto" w:sz="6" w:space="0"/>
              <w:right w:val="single" w:color="auto" w:sz="6" w:space="0"/>
            </w:tcBorders>
          </w:tcPr>
          <w:p w14:paraId="0EB428DE">
            <w:pPr>
              <w:pStyle w:val="17"/>
              <w:spacing w:line="400" w:lineRule="exact"/>
              <w:jc w:val="left"/>
              <w:rPr>
                <w:rFonts w:ascii="仿宋" w:hAnsi="仿宋" w:eastAsia="仿宋"/>
                <w:color w:val="auto"/>
                <w:sz w:val="28"/>
                <w:szCs w:val="28"/>
                <w:highlight w:val="none"/>
              </w:rPr>
            </w:pPr>
          </w:p>
        </w:tc>
      </w:tr>
      <w:tr w14:paraId="358D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750366A1">
            <w:pPr>
              <w:pStyle w:val="17"/>
              <w:spacing w:line="400" w:lineRule="exact"/>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□定性评审法</w:t>
            </w:r>
          </w:p>
        </w:tc>
        <w:tc>
          <w:tcPr>
            <w:tcW w:w="2709" w:type="dxa"/>
            <w:tcBorders>
              <w:top w:val="single" w:color="auto" w:sz="6" w:space="0"/>
              <w:left w:val="single" w:color="auto" w:sz="4" w:space="0"/>
              <w:bottom w:val="single" w:color="auto" w:sz="6" w:space="0"/>
              <w:right w:val="single" w:color="auto" w:sz="6" w:space="0"/>
            </w:tcBorders>
            <w:vAlign w:val="center"/>
          </w:tcPr>
          <w:p w14:paraId="4FF51960">
            <w:pPr>
              <w:pStyle w:val="17"/>
              <w:spacing w:line="400" w:lineRule="exact"/>
              <w:jc w:val="left"/>
              <w:rPr>
                <w:rFonts w:ascii="仿宋" w:hAnsi="仿宋" w:eastAsia="仿宋"/>
                <w:color w:val="auto"/>
                <w:sz w:val="28"/>
                <w:szCs w:val="28"/>
                <w:highlight w:val="none"/>
              </w:rPr>
            </w:pPr>
            <w:r>
              <w:rPr>
                <w:rFonts w:hint="eastAsia" w:ascii="仿宋" w:hAnsi="仿宋" w:eastAsia="仿宋"/>
                <w:color w:val="auto"/>
                <w:sz w:val="28"/>
                <w:szCs w:val="28"/>
                <w:highlight w:val="none"/>
              </w:rPr>
              <w:t>商务、技术</w:t>
            </w:r>
          </w:p>
        </w:tc>
        <w:tc>
          <w:tcPr>
            <w:tcW w:w="2709" w:type="dxa"/>
            <w:tcBorders>
              <w:top w:val="single" w:color="auto" w:sz="6" w:space="0"/>
              <w:left w:val="single" w:color="auto" w:sz="4" w:space="0"/>
              <w:bottom w:val="single" w:color="auto" w:sz="6" w:space="0"/>
              <w:right w:val="single" w:color="auto" w:sz="6" w:space="0"/>
            </w:tcBorders>
          </w:tcPr>
          <w:p w14:paraId="1F23538D">
            <w:pPr>
              <w:pStyle w:val="17"/>
              <w:spacing w:line="400" w:lineRule="exact"/>
              <w:jc w:val="left"/>
              <w:rPr>
                <w:rFonts w:ascii="仿宋" w:hAnsi="仿宋" w:eastAsia="仿宋"/>
                <w:color w:val="auto"/>
                <w:sz w:val="28"/>
                <w:szCs w:val="28"/>
                <w:highlight w:val="none"/>
              </w:rPr>
            </w:pPr>
          </w:p>
        </w:tc>
      </w:tr>
    </w:tbl>
    <w:p w14:paraId="126091C0">
      <w:pPr>
        <w:spacing w:line="360" w:lineRule="auto"/>
        <w:ind w:firstLine="562" w:firstLineChars="200"/>
        <w:rPr>
          <w:rFonts w:ascii="仿宋" w:hAnsi="仿宋" w:eastAsia="仿宋"/>
          <w:b/>
          <w:color w:val="auto"/>
          <w:sz w:val="28"/>
          <w:szCs w:val="28"/>
          <w:highlight w:val="none"/>
        </w:rPr>
      </w:pPr>
    </w:p>
    <w:p w14:paraId="50BF0D60">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2.综合评分法</w:t>
      </w:r>
    </w:p>
    <w:p w14:paraId="44004BA9">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2.1招标人在开标会上根据招标文件中投标文件不予受理情形的规定，对资格审查合格的投标人的投标文件是否应当受理进行审查，然后将应当受理的投标文件提交评标委员会评审；</w:t>
      </w:r>
    </w:p>
    <w:p w14:paraId="08C72C23">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2.2评标委员会分别根据招标文件无效标情形的规定，对所有应当受理的投标文件进行初步评审；</w:t>
      </w:r>
    </w:p>
    <w:p w14:paraId="0F2AA5D2">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2.3评标委员会首先对通过初步评审的各投标人的技术标进行详细评审。即：各成员根据招标文件规定的技术标评分规则（见评标方法附件），对投标文件独立进行技术标评分。各成员的评分结果去掉最高、最低分后取算术平均值作为该投标人最后技术标评审得分。在后续评审中该得分不得更改；</w:t>
      </w:r>
    </w:p>
    <w:p w14:paraId="5346B545">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2.4评标委员会在完成技术标评审后，接着对初步评审合格的各投标人商务标进行详细评审并打分；</w:t>
      </w:r>
    </w:p>
    <w:p w14:paraId="058D1223">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2.5评标委员会在完成商务标评审后，对初步评审合格的各投标人资信标进行详细评审并打分；</w:t>
      </w:r>
    </w:p>
    <w:p w14:paraId="37F1F90C">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2.6最后，评标委员会应当按照下列公式计算评审总得分：</w:t>
      </w:r>
    </w:p>
    <w:p w14:paraId="0E5F42BD">
      <w:pPr>
        <w:spacing w:line="360" w:lineRule="auto"/>
        <w:ind w:firstLine="562" w:firstLineChars="200"/>
        <w:rPr>
          <w:rFonts w:ascii="仿宋" w:hAnsi="仿宋" w:eastAsia="仿宋"/>
          <w:b/>
          <w:color w:val="auto"/>
          <w:sz w:val="28"/>
          <w:szCs w:val="28"/>
          <w:highlight w:val="none"/>
        </w:rPr>
      </w:pPr>
      <w:r>
        <w:rPr>
          <w:rFonts w:ascii="仿宋" w:hAnsi="仿宋" w:eastAsia="仿宋"/>
          <w:b/>
          <w:color w:val="auto"/>
          <w:position w:val="-12"/>
          <w:sz w:val="28"/>
          <w:szCs w:val="28"/>
          <w:highlight w:val="none"/>
        </w:rPr>
        <w:object>
          <v:shape id="_x0000_i1025" o:spt="75" type="#_x0000_t75" style="height:18pt;width:141.8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5" r:id="rId14">
            <o:LockedField>false</o:LockedField>
          </o:OLEObject>
        </w:object>
      </w:r>
    </w:p>
    <w:p w14:paraId="1154C41F">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N</w:t>
      </w:r>
      <w:r>
        <w:rPr>
          <w:rFonts w:ascii="仿宋" w:hAnsi="仿宋" w:eastAsia="仿宋"/>
          <w:color w:val="auto"/>
          <w:sz w:val="28"/>
          <w:szCs w:val="28"/>
          <w:highlight w:val="none"/>
        </w:rPr>
        <w:t>—</w:t>
      </w:r>
      <w:r>
        <w:rPr>
          <w:rFonts w:hint="eastAsia" w:ascii="仿宋" w:hAnsi="仿宋" w:eastAsia="仿宋"/>
          <w:color w:val="auto"/>
          <w:sz w:val="28"/>
          <w:szCs w:val="28"/>
          <w:highlight w:val="none"/>
        </w:rPr>
        <w:t>评审总得分（得分取值保留到小数点后两位）；</w:t>
      </w:r>
    </w:p>
    <w:p w14:paraId="7E936797">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J</w:t>
      </w:r>
      <w:r>
        <w:rPr>
          <w:rFonts w:ascii="仿宋" w:hAnsi="仿宋" w:eastAsia="仿宋"/>
          <w:color w:val="auto"/>
          <w:sz w:val="28"/>
          <w:szCs w:val="28"/>
          <w:highlight w:val="none"/>
        </w:rPr>
        <w:t>—</w:t>
      </w:r>
      <w:r>
        <w:rPr>
          <w:rFonts w:hint="eastAsia" w:ascii="仿宋" w:hAnsi="仿宋" w:eastAsia="仿宋"/>
          <w:color w:val="auto"/>
          <w:sz w:val="28"/>
          <w:szCs w:val="28"/>
          <w:highlight w:val="none"/>
        </w:rPr>
        <w:t>技术标评审得分（得分取值保留到小数点后两位）；</w:t>
      </w:r>
    </w:p>
    <w:p w14:paraId="1A6B70AE">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S</w:t>
      </w:r>
      <w:r>
        <w:rPr>
          <w:rFonts w:ascii="仿宋" w:hAnsi="仿宋" w:eastAsia="仿宋"/>
          <w:color w:val="auto"/>
          <w:sz w:val="28"/>
          <w:szCs w:val="28"/>
          <w:highlight w:val="none"/>
        </w:rPr>
        <w:t>—</w:t>
      </w:r>
      <w:r>
        <w:rPr>
          <w:rFonts w:hint="eastAsia" w:ascii="仿宋" w:hAnsi="仿宋" w:eastAsia="仿宋"/>
          <w:color w:val="auto"/>
          <w:sz w:val="28"/>
          <w:szCs w:val="28"/>
          <w:highlight w:val="none"/>
        </w:rPr>
        <w:t>商务标评审得分（得分取值保留到小数点后两位）；</w:t>
      </w:r>
    </w:p>
    <w:p w14:paraId="0E6B6EFF">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X</w:t>
      </w:r>
      <w:r>
        <w:rPr>
          <w:rFonts w:ascii="仿宋" w:hAnsi="仿宋" w:eastAsia="仿宋"/>
          <w:color w:val="auto"/>
          <w:sz w:val="28"/>
          <w:szCs w:val="28"/>
          <w:highlight w:val="none"/>
        </w:rPr>
        <w:t>—</w:t>
      </w:r>
      <w:r>
        <w:rPr>
          <w:rFonts w:hint="eastAsia" w:ascii="仿宋" w:hAnsi="仿宋" w:eastAsia="仿宋"/>
          <w:color w:val="auto"/>
          <w:sz w:val="28"/>
          <w:szCs w:val="28"/>
          <w:highlight w:val="none"/>
        </w:rPr>
        <w:t xml:space="preserve">资信标评审得分（得分取值保留到小数点后两位）； </w:t>
      </w:r>
    </w:p>
    <w:p w14:paraId="43BAAAF9">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A1</w:t>
      </w:r>
      <w:r>
        <w:rPr>
          <w:rFonts w:ascii="仿宋" w:hAnsi="仿宋" w:eastAsia="仿宋"/>
          <w:color w:val="auto"/>
          <w:sz w:val="28"/>
          <w:szCs w:val="28"/>
          <w:highlight w:val="none"/>
        </w:rPr>
        <w:t>—</w:t>
      </w:r>
      <w:r>
        <w:rPr>
          <w:rFonts w:hint="eastAsia" w:ascii="仿宋" w:hAnsi="仿宋" w:eastAsia="仿宋"/>
          <w:color w:val="auto"/>
          <w:sz w:val="28"/>
          <w:szCs w:val="28"/>
          <w:highlight w:val="none"/>
        </w:rPr>
        <w:t>技术标评审得分权重，按</w:t>
      </w:r>
      <w:permStart w:id="0" w:edGrp="everyone"/>
      <w:r>
        <w:rPr>
          <w:rFonts w:hint="eastAsia" w:ascii="仿宋" w:hAnsi="仿宋" w:eastAsia="仿宋"/>
          <w:b/>
          <w:bCs/>
          <w:color w:val="auto"/>
          <w:sz w:val="28"/>
          <w:szCs w:val="28"/>
          <w:highlight w:val="none"/>
          <w:u w:val="single"/>
        </w:rPr>
        <w:t xml:space="preserve">  </w:t>
      </w:r>
      <w:r>
        <w:rPr>
          <w:rFonts w:hint="eastAsia" w:ascii="仿宋" w:hAnsi="仿宋" w:eastAsia="仿宋"/>
          <w:b/>
          <w:bCs/>
          <w:color w:val="auto"/>
          <w:sz w:val="28"/>
          <w:szCs w:val="28"/>
          <w:highlight w:val="none"/>
          <w:u w:val="single"/>
          <w:lang w:val="en-US" w:eastAsia="zh-CN"/>
        </w:rPr>
        <w:t>6</w:t>
      </w:r>
      <w:r>
        <w:rPr>
          <w:rFonts w:hint="eastAsia" w:ascii="仿宋" w:hAnsi="仿宋" w:eastAsia="仿宋"/>
          <w:b/>
          <w:bCs/>
          <w:color w:val="auto"/>
          <w:sz w:val="28"/>
          <w:szCs w:val="28"/>
          <w:highlight w:val="none"/>
          <w:u w:val="single"/>
        </w:rPr>
        <w:t xml:space="preserve">0  </w:t>
      </w:r>
      <w:permEnd w:id="0"/>
      <w:r>
        <w:rPr>
          <w:rFonts w:hint="eastAsia" w:ascii="仿宋" w:hAnsi="仿宋" w:eastAsia="仿宋"/>
          <w:color w:val="auto"/>
          <w:sz w:val="28"/>
          <w:szCs w:val="28"/>
          <w:highlight w:val="none"/>
        </w:rPr>
        <w:t>%计；</w:t>
      </w:r>
    </w:p>
    <w:p w14:paraId="0EE3E9F9">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A2</w:t>
      </w:r>
      <w:r>
        <w:rPr>
          <w:rFonts w:ascii="仿宋" w:hAnsi="仿宋" w:eastAsia="仿宋"/>
          <w:color w:val="auto"/>
          <w:sz w:val="28"/>
          <w:szCs w:val="28"/>
          <w:highlight w:val="none"/>
        </w:rPr>
        <w:t>—</w:t>
      </w:r>
      <w:r>
        <w:rPr>
          <w:rFonts w:hint="eastAsia" w:ascii="仿宋" w:hAnsi="仿宋" w:eastAsia="仿宋"/>
          <w:color w:val="auto"/>
          <w:sz w:val="28"/>
          <w:szCs w:val="28"/>
          <w:highlight w:val="none"/>
        </w:rPr>
        <w:t>商务标评审得分权重，按</w:t>
      </w:r>
      <w:permStart w:id="1" w:edGrp="everyone"/>
      <w:r>
        <w:rPr>
          <w:rFonts w:hint="eastAsia" w:ascii="仿宋" w:hAnsi="仿宋" w:eastAsia="仿宋"/>
          <w:b/>
          <w:bCs/>
          <w:color w:val="auto"/>
          <w:sz w:val="28"/>
          <w:szCs w:val="28"/>
          <w:highlight w:val="none"/>
          <w:u w:val="single"/>
        </w:rPr>
        <w:t xml:space="preserve">  30  </w:t>
      </w:r>
      <w:permEnd w:id="1"/>
      <w:r>
        <w:rPr>
          <w:rFonts w:hint="eastAsia" w:ascii="仿宋" w:hAnsi="仿宋" w:eastAsia="仿宋"/>
          <w:color w:val="auto"/>
          <w:sz w:val="28"/>
          <w:szCs w:val="28"/>
          <w:highlight w:val="none"/>
        </w:rPr>
        <w:t>%计；</w:t>
      </w:r>
    </w:p>
    <w:p w14:paraId="6A76429C">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A3</w:t>
      </w:r>
      <w:r>
        <w:rPr>
          <w:rFonts w:ascii="仿宋" w:hAnsi="仿宋" w:eastAsia="仿宋"/>
          <w:color w:val="auto"/>
          <w:sz w:val="28"/>
          <w:szCs w:val="28"/>
          <w:highlight w:val="none"/>
        </w:rPr>
        <w:t>—</w:t>
      </w:r>
      <w:r>
        <w:rPr>
          <w:rFonts w:hint="eastAsia" w:ascii="仿宋" w:hAnsi="仿宋" w:eastAsia="仿宋"/>
          <w:color w:val="auto"/>
          <w:sz w:val="28"/>
          <w:szCs w:val="28"/>
          <w:highlight w:val="none"/>
        </w:rPr>
        <w:t>资信标评审得分权重，按</w:t>
      </w:r>
      <w:permStart w:id="2" w:edGrp="everyone"/>
      <w:r>
        <w:rPr>
          <w:rFonts w:hint="eastAsia" w:ascii="仿宋" w:hAnsi="仿宋" w:eastAsia="仿宋"/>
          <w:b/>
          <w:bCs/>
          <w:color w:val="auto"/>
          <w:sz w:val="28"/>
          <w:szCs w:val="28"/>
          <w:highlight w:val="none"/>
          <w:u w:val="single"/>
        </w:rPr>
        <w:t xml:space="preserve">  </w:t>
      </w:r>
      <w:r>
        <w:rPr>
          <w:rFonts w:hint="eastAsia" w:ascii="仿宋" w:hAnsi="仿宋" w:eastAsia="仿宋"/>
          <w:b/>
          <w:bCs/>
          <w:color w:val="auto"/>
          <w:sz w:val="28"/>
          <w:szCs w:val="28"/>
          <w:highlight w:val="none"/>
          <w:u w:val="single"/>
          <w:lang w:val="en-US" w:eastAsia="zh-CN"/>
        </w:rPr>
        <w:t>1</w:t>
      </w:r>
      <w:r>
        <w:rPr>
          <w:rFonts w:hint="eastAsia" w:ascii="仿宋" w:hAnsi="仿宋" w:eastAsia="仿宋"/>
          <w:b/>
          <w:bCs/>
          <w:color w:val="auto"/>
          <w:sz w:val="28"/>
          <w:szCs w:val="28"/>
          <w:highlight w:val="none"/>
          <w:u w:val="single"/>
        </w:rPr>
        <w:t xml:space="preserve">0  </w:t>
      </w:r>
      <w:permEnd w:id="2"/>
      <w:r>
        <w:rPr>
          <w:rFonts w:hint="eastAsia" w:ascii="仿宋" w:hAnsi="仿宋" w:eastAsia="仿宋"/>
          <w:color w:val="auto"/>
          <w:sz w:val="28"/>
          <w:szCs w:val="28"/>
          <w:highlight w:val="none"/>
        </w:rPr>
        <w:t>%计；</w:t>
      </w:r>
    </w:p>
    <w:p w14:paraId="582DEE18">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[A1+A2+A3=1，A2≥30%, A3≤10%]</w:t>
      </w:r>
    </w:p>
    <w:p w14:paraId="4CAD7B33">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2.7</w:t>
      </w:r>
      <w:r>
        <w:rPr>
          <w:rFonts w:ascii="仿宋" w:hAnsi="仿宋" w:eastAsia="仿宋"/>
          <w:color w:val="auto"/>
          <w:sz w:val="28"/>
          <w:szCs w:val="28"/>
          <w:highlight w:val="none"/>
        </w:rPr>
        <w:t>评标委员会按照标段顺序依次评审，若同一投标单位在前一标段已被确定为</w:t>
      </w:r>
      <w:r>
        <w:rPr>
          <w:rFonts w:hint="eastAsia" w:ascii="仿宋" w:hAnsi="仿宋" w:eastAsia="仿宋"/>
          <w:color w:val="auto"/>
          <w:sz w:val="28"/>
          <w:szCs w:val="28"/>
          <w:highlight w:val="none"/>
        </w:rPr>
        <w:t>第一</w:t>
      </w:r>
      <w:r>
        <w:rPr>
          <w:rFonts w:ascii="仿宋" w:hAnsi="仿宋" w:eastAsia="仿宋"/>
          <w:color w:val="auto"/>
          <w:sz w:val="28"/>
          <w:szCs w:val="28"/>
          <w:highlight w:val="none"/>
        </w:rPr>
        <w:t>中标</w:t>
      </w:r>
      <w:r>
        <w:rPr>
          <w:rFonts w:hint="eastAsia" w:ascii="仿宋" w:hAnsi="仿宋" w:eastAsia="仿宋"/>
          <w:color w:val="auto"/>
          <w:sz w:val="28"/>
          <w:szCs w:val="28"/>
          <w:highlight w:val="none"/>
        </w:rPr>
        <w:t>候选</w:t>
      </w:r>
      <w:r>
        <w:rPr>
          <w:rFonts w:ascii="仿宋" w:hAnsi="仿宋" w:eastAsia="仿宋"/>
          <w:color w:val="auto"/>
          <w:sz w:val="28"/>
          <w:szCs w:val="28"/>
          <w:highlight w:val="none"/>
        </w:rPr>
        <w:t>人，则后续标段中其投标文件不再进入评审环节（或仅保留资格，但不参与排序）</w:t>
      </w:r>
      <w:r>
        <w:rPr>
          <w:rFonts w:hint="eastAsia" w:ascii="仿宋" w:hAnsi="仿宋" w:eastAsia="仿宋" w:cs="宋体"/>
          <w:color w:val="auto"/>
          <w:kern w:val="0"/>
          <w:sz w:val="28"/>
          <w:szCs w:val="28"/>
          <w:highlight w:val="none"/>
        </w:rPr>
        <w:t>；</w:t>
      </w:r>
    </w:p>
    <w:p w14:paraId="16C5C847">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p>
    <w:p w14:paraId="0714989B">
      <w:pPr>
        <w:spacing w:line="360" w:lineRule="auto"/>
        <w:ind w:firstLine="3200" w:firstLineChars="1000"/>
        <w:rPr>
          <w:rFonts w:ascii="黑体" w:hAnsi="黑体" w:eastAsia="黑体"/>
          <w:color w:val="auto"/>
          <w:sz w:val="32"/>
          <w:szCs w:val="32"/>
          <w:highlight w:val="none"/>
        </w:rPr>
      </w:pPr>
      <w:r>
        <w:rPr>
          <w:rFonts w:hint="eastAsia" w:ascii="黑体" w:hAnsi="黑体" w:eastAsia="黑体"/>
          <w:color w:val="auto"/>
          <w:sz w:val="32"/>
          <w:szCs w:val="32"/>
          <w:highlight w:val="none"/>
        </w:rPr>
        <w:t>三、评标方法附件</w:t>
      </w:r>
    </w:p>
    <w:p w14:paraId="24D55C3D">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（一）技术标评审表</w:t>
      </w:r>
    </w:p>
    <w:p w14:paraId="65532C23">
      <w:pPr>
        <w:spacing w:line="360" w:lineRule="auto"/>
        <w:jc w:val="left"/>
        <w:rPr>
          <w:rFonts w:hint="default" w:ascii="仿宋" w:hAnsi="仿宋" w:eastAsia="仿宋"/>
          <w:b/>
          <w:bCs w:val="0"/>
          <w:color w:val="auto"/>
          <w:sz w:val="24"/>
          <w:szCs w:val="24"/>
          <w:highlight w:val="none"/>
          <w:lang w:val="en-US"/>
        </w:rPr>
      </w:pPr>
      <w:r>
        <w:rPr>
          <w:rFonts w:hint="eastAsia" w:ascii="仿宋" w:hAnsi="仿宋" w:eastAsia="仿宋"/>
          <w:b/>
          <w:color w:val="auto"/>
          <w:sz w:val="24"/>
          <w:szCs w:val="24"/>
          <w:highlight w:val="none"/>
        </w:rPr>
        <w:t>项目名称：</w:t>
      </w:r>
      <w:r>
        <w:rPr>
          <w:rFonts w:hint="eastAsia" w:ascii="仿宋" w:hAnsi="仿宋" w:eastAsia="仿宋" w:cs="Times New Roman"/>
          <w:b/>
          <w:bCs w:val="0"/>
          <w:color w:val="auto"/>
          <w:kern w:val="2"/>
          <w:sz w:val="24"/>
          <w:szCs w:val="24"/>
          <w:highlight w:val="none"/>
          <w:shd w:val="clear" w:color="auto" w:fill="auto"/>
          <w:lang w:val="en-US" w:eastAsia="zh-CN"/>
        </w:rPr>
        <w:t>第一亚太重庆分公司物业费欠费追缴诉讼服务（第二次）</w:t>
      </w:r>
    </w:p>
    <w:tbl>
      <w:tblPr>
        <w:tblStyle w:val="34"/>
        <w:tblW w:w="49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162"/>
        <w:gridCol w:w="5313"/>
        <w:gridCol w:w="1180"/>
      </w:tblGrid>
      <w:tr w14:paraId="309D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1071" w:type="dxa"/>
            <w:vAlign w:val="center"/>
          </w:tcPr>
          <w:p w14:paraId="4AB68A4D">
            <w:pPr>
              <w:spacing w:line="300" w:lineRule="exact"/>
              <w:jc w:val="center"/>
              <w:rPr>
                <w:rFonts w:ascii="仿宋" w:hAnsi="仿宋" w:eastAsia="仿宋"/>
                <w:b/>
                <w:sz w:val="24"/>
                <w:szCs w:val="24"/>
              </w:rPr>
            </w:pPr>
            <w:r>
              <w:rPr>
                <w:rFonts w:hint="eastAsia" w:ascii="宋体" w:hAnsi="宋体"/>
                <w:b/>
              </w:rPr>
              <w:t>评审分类</w:t>
            </w:r>
          </w:p>
        </w:tc>
        <w:tc>
          <w:tcPr>
            <w:tcW w:w="1131" w:type="dxa"/>
            <w:vAlign w:val="center"/>
          </w:tcPr>
          <w:p w14:paraId="6C1272CC">
            <w:pPr>
              <w:spacing w:line="300" w:lineRule="exact"/>
              <w:jc w:val="center"/>
              <w:rPr>
                <w:rFonts w:ascii="仿宋" w:hAnsi="仿宋" w:eastAsia="仿宋"/>
                <w:b/>
                <w:sz w:val="24"/>
                <w:szCs w:val="24"/>
              </w:rPr>
            </w:pPr>
            <w:r>
              <w:rPr>
                <w:rFonts w:hint="eastAsia" w:ascii="宋体" w:hAnsi="宋体"/>
                <w:b/>
              </w:rPr>
              <w:t>评审项目</w:t>
            </w:r>
          </w:p>
        </w:tc>
        <w:tc>
          <w:tcPr>
            <w:tcW w:w="5169" w:type="dxa"/>
            <w:vAlign w:val="center"/>
          </w:tcPr>
          <w:p w14:paraId="34202885">
            <w:pPr>
              <w:spacing w:line="300" w:lineRule="exact"/>
              <w:jc w:val="center"/>
              <w:rPr>
                <w:rFonts w:ascii="仿宋" w:hAnsi="仿宋" w:eastAsia="仿宋"/>
                <w:b/>
                <w:sz w:val="24"/>
                <w:szCs w:val="24"/>
              </w:rPr>
            </w:pPr>
            <w:r>
              <w:rPr>
                <w:rFonts w:hint="eastAsia" w:ascii="宋体" w:hAnsi="宋体"/>
                <w:b/>
              </w:rPr>
              <w:t>评审内容</w:t>
            </w:r>
          </w:p>
        </w:tc>
        <w:tc>
          <w:tcPr>
            <w:tcW w:w="1148" w:type="dxa"/>
            <w:vAlign w:val="center"/>
          </w:tcPr>
          <w:p w14:paraId="1AB23789">
            <w:pPr>
              <w:spacing w:line="300" w:lineRule="exact"/>
              <w:jc w:val="center"/>
              <w:rPr>
                <w:rFonts w:hint="eastAsia" w:ascii="宋体" w:hAnsi="宋体"/>
                <w:b/>
              </w:rPr>
            </w:pPr>
            <w:r>
              <w:rPr>
                <w:rFonts w:hint="eastAsia" w:ascii="仿宋" w:hAnsi="仿宋" w:eastAsia="仿宋"/>
                <w:b/>
                <w:color w:val="auto"/>
                <w:sz w:val="24"/>
                <w:szCs w:val="24"/>
                <w:highlight w:val="none"/>
              </w:rPr>
              <w:t>投标人1</w:t>
            </w:r>
          </w:p>
        </w:tc>
      </w:tr>
      <w:tr w14:paraId="21C3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exact"/>
        </w:trPr>
        <w:tc>
          <w:tcPr>
            <w:tcW w:w="1071" w:type="dxa"/>
            <w:vMerge w:val="restart"/>
            <w:vAlign w:val="center"/>
          </w:tcPr>
          <w:p w14:paraId="193E9314">
            <w:pPr>
              <w:spacing w:line="300" w:lineRule="exact"/>
              <w:jc w:val="center"/>
              <w:rPr>
                <w:rFonts w:ascii="宋体" w:hAnsi="宋体"/>
                <w:szCs w:val="21"/>
              </w:rPr>
            </w:pPr>
            <w:r>
              <w:rPr>
                <w:rFonts w:hint="eastAsia" w:ascii="宋体" w:hAnsi="宋体"/>
                <w:szCs w:val="21"/>
              </w:rPr>
              <w:t>技术标</w:t>
            </w:r>
          </w:p>
          <w:p w14:paraId="01193F79">
            <w:pPr>
              <w:spacing w:line="300" w:lineRule="exact"/>
              <w:jc w:val="center"/>
              <w:rPr>
                <w:rFonts w:ascii="仿宋" w:hAnsi="仿宋" w:eastAsia="仿宋"/>
                <w:sz w:val="24"/>
                <w:szCs w:val="24"/>
              </w:rPr>
            </w:pPr>
            <w:r>
              <w:rPr>
                <w:rFonts w:hint="eastAsia" w:ascii="宋体" w:hAnsi="宋体"/>
                <w:szCs w:val="21"/>
              </w:rPr>
              <w:t>（</w:t>
            </w:r>
            <w:r>
              <w:rPr>
                <w:rFonts w:hint="eastAsia" w:ascii="宋体" w:hAnsi="宋体"/>
                <w:szCs w:val="21"/>
                <w:lang w:val="en-US" w:eastAsia="zh-CN"/>
              </w:rPr>
              <w:t>6</w:t>
            </w:r>
            <w:r>
              <w:rPr>
                <w:rFonts w:hint="eastAsia" w:ascii="宋体" w:hAnsi="宋体"/>
                <w:szCs w:val="21"/>
              </w:rPr>
              <w:t>0分）</w:t>
            </w:r>
          </w:p>
        </w:tc>
        <w:tc>
          <w:tcPr>
            <w:tcW w:w="1131" w:type="dxa"/>
            <w:vAlign w:val="center"/>
          </w:tcPr>
          <w:p w14:paraId="7111F6EB">
            <w:pPr>
              <w:numPr>
                <w:ilvl w:val="0"/>
                <w:numId w:val="0"/>
              </w:numPr>
              <w:spacing w:line="300" w:lineRule="exact"/>
              <w:ind w:left="0" w:leftChars="0" w:firstLine="0" w:firstLineChars="0"/>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服务团队配置</w:t>
            </w:r>
          </w:p>
          <w:p w14:paraId="53766EB9">
            <w:pPr>
              <w:numPr>
                <w:ilvl w:val="0"/>
                <w:numId w:val="0"/>
              </w:numPr>
              <w:spacing w:line="300" w:lineRule="exact"/>
              <w:ind w:left="0" w:leftChars="0" w:firstLine="0" w:firstLineChars="0"/>
              <w:jc w:val="center"/>
              <w:rPr>
                <w:rFonts w:ascii="仿宋" w:hAnsi="仿宋" w:eastAsia="仿宋"/>
                <w:sz w:val="24"/>
                <w:szCs w:val="24"/>
              </w:rPr>
            </w:pPr>
            <w:r>
              <w:rPr>
                <w:rFonts w:hint="eastAsia" w:ascii="仿宋" w:hAnsi="仿宋" w:eastAsia="仿宋" w:cs="仿宋"/>
                <w:color w:val="000000"/>
                <w:szCs w:val="21"/>
                <w:lang w:val="en-US" w:eastAsia="zh-CN"/>
              </w:rPr>
              <w:t>（10分）</w:t>
            </w:r>
          </w:p>
        </w:tc>
        <w:tc>
          <w:tcPr>
            <w:tcW w:w="5169" w:type="dxa"/>
            <w:vAlign w:val="center"/>
          </w:tcPr>
          <w:p w14:paraId="16012FAA">
            <w:pPr>
              <w:numPr>
                <w:ilvl w:val="0"/>
                <w:numId w:val="0"/>
              </w:numPr>
              <w:spacing w:line="30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 xml:space="preserve">1、团队负责人：具有10年以上执业经验，且有3年以上物业纠纷诉讼经验，得5分；8-10年得3分；8年以下得0分。 </w:t>
            </w:r>
          </w:p>
          <w:p w14:paraId="2BF30FEC">
            <w:pPr>
              <w:numPr>
                <w:ilvl w:val="0"/>
                <w:numId w:val="0"/>
              </w:numPr>
              <w:spacing w:line="30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2、专职团队：承诺指派至少1-2名专职律师负责本项目，并能提供驻场或定期现场办公服务的，得5分。</w:t>
            </w:r>
          </w:p>
          <w:p w14:paraId="034F831F">
            <w:pPr>
              <w:numPr>
                <w:ilvl w:val="0"/>
                <w:numId w:val="0"/>
              </w:numPr>
              <w:spacing w:line="300" w:lineRule="exact"/>
              <w:ind w:left="0" w:leftChars="0" w:firstLine="0" w:firstLineChars="0"/>
              <w:rPr>
                <w:rFonts w:hint="eastAsia" w:ascii="仿宋" w:hAnsi="仿宋" w:eastAsia="仿宋" w:cs="仿宋"/>
                <w:color w:val="000000"/>
                <w:szCs w:val="21"/>
                <w:lang w:val="en-US" w:eastAsia="zh-CN"/>
              </w:rPr>
            </w:pPr>
            <w:r>
              <w:rPr>
                <w:rFonts w:hint="eastAsia" w:ascii="仿宋" w:hAnsi="仿宋" w:eastAsia="仿宋" w:cs="仿宋"/>
                <w:b/>
                <w:bCs/>
                <w:color w:val="000000"/>
                <w:szCs w:val="21"/>
                <w:highlight w:val="none"/>
                <w:lang w:val="en-US" w:eastAsia="zh-CN"/>
              </w:rPr>
              <w:t>评审依据：人员简历、执业证复印件、学历证明、社保缴纳记录及服务承诺书。</w:t>
            </w:r>
          </w:p>
        </w:tc>
        <w:tc>
          <w:tcPr>
            <w:tcW w:w="1148" w:type="dxa"/>
            <w:vAlign w:val="center"/>
          </w:tcPr>
          <w:p w14:paraId="4AEF3758">
            <w:pPr>
              <w:numPr>
                <w:ilvl w:val="0"/>
                <w:numId w:val="0"/>
              </w:numPr>
              <w:spacing w:line="300" w:lineRule="exact"/>
              <w:ind w:left="0" w:leftChars="0" w:firstLine="0" w:firstLineChars="0"/>
              <w:rPr>
                <w:rFonts w:hint="eastAsia" w:ascii="仿宋" w:hAnsi="仿宋" w:eastAsia="仿宋" w:cs="仿宋"/>
                <w:b/>
                <w:bCs/>
                <w:color w:val="000000"/>
                <w:szCs w:val="21"/>
                <w:highlight w:val="none"/>
                <w:lang w:val="en-US" w:eastAsia="zh-CN"/>
              </w:rPr>
            </w:pPr>
          </w:p>
        </w:tc>
      </w:tr>
      <w:tr w14:paraId="6C10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5" w:hRule="exact"/>
        </w:trPr>
        <w:tc>
          <w:tcPr>
            <w:tcW w:w="1071" w:type="dxa"/>
            <w:vMerge w:val="continue"/>
            <w:vAlign w:val="center"/>
          </w:tcPr>
          <w:p w14:paraId="306A3244">
            <w:pPr>
              <w:rPr>
                <w:rFonts w:ascii="仿宋" w:hAnsi="仿宋" w:eastAsia="仿宋"/>
                <w:sz w:val="24"/>
                <w:szCs w:val="24"/>
              </w:rPr>
            </w:pPr>
          </w:p>
        </w:tc>
        <w:tc>
          <w:tcPr>
            <w:tcW w:w="1131" w:type="dxa"/>
            <w:vAlign w:val="center"/>
          </w:tcPr>
          <w:p w14:paraId="1AAE04B9">
            <w:pPr>
              <w:numPr>
                <w:ilvl w:val="0"/>
                <w:numId w:val="0"/>
              </w:numPr>
              <w:spacing w:line="300" w:lineRule="exact"/>
              <w:ind w:left="0" w:leftChars="0" w:firstLine="0" w:firstLineChars="0"/>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催收工作方案</w:t>
            </w:r>
          </w:p>
          <w:p w14:paraId="06776908">
            <w:pPr>
              <w:numPr>
                <w:ilvl w:val="0"/>
                <w:numId w:val="0"/>
              </w:numPr>
              <w:spacing w:line="300" w:lineRule="exact"/>
              <w:ind w:left="0" w:leftChars="0" w:firstLine="0" w:firstLineChars="0"/>
              <w:jc w:val="center"/>
              <w:rPr>
                <w:rFonts w:ascii="仿宋" w:hAnsi="仿宋" w:eastAsia="仿宋"/>
                <w:sz w:val="24"/>
                <w:szCs w:val="24"/>
              </w:rPr>
            </w:pPr>
            <w:r>
              <w:rPr>
                <w:rFonts w:hint="eastAsia" w:ascii="仿宋" w:hAnsi="仿宋" w:eastAsia="仿宋" w:cs="仿宋"/>
                <w:color w:val="000000"/>
                <w:szCs w:val="21"/>
                <w:lang w:val="en-US" w:eastAsia="zh-CN"/>
              </w:rPr>
              <w:t>（25分）</w:t>
            </w:r>
          </w:p>
        </w:tc>
        <w:tc>
          <w:tcPr>
            <w:tcW w:w="5169" w:type="dxa"/>
            <w:vAlign w:val="top"/>
          </w:tcPr>
          <w:p w14:paraId="03B8B3F7">
            <w:pPr>
              <w:numPr>
                <w:ilvl w:val="0"/>
                <w:numId w:val="0"/>
              </w:numPr>
              <w:spacing w:line="30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评委根据方案的针对性、可行性进行打分：</w:t>
            </w:r>
          </w:p>
          <w:p w14:paraId="03E7A1D8">
            <w:pPr>
              <w:numPr>
                <w:ilvl w:val="0"/>
                <w:numId w:val="2"/>
              </w:numPr>
              <w:spacing w:line="30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非诉催收方案：包含律师函发送策略、电话催收话术、面对面谈判预案，得0-15分；</w:t>
            </w:r>
          </w:p>
          <w:p w14:paraId="3BDBC872">
            <w:pPr>
              <w:numPr>
                <w:ilvl w:val="0"/>
                <w:numId w:val="0"/>
              </w:numPr>
              <w:spacing w:line="30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2.诉讼策略：针对物业费欠费（如房屋质量问题、未居住等常见抗辩理由）提出的证据收集方案、立案排期计划、保全策略，得0-15分；</w:t>
            </w:r>
          </w:p>
          <w:p w14:paraId="2749E677">
            <w:pPr>
              <w:numPr>
                <w:ilvl w:val="0"/>
                <w:numId w:val="0"/>
              </w:numPr>
              <w:spacing w:line="300" w:lineRule="exact"/>
              <w:ind w:leftChars="0"/>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3.执行方案：对判决后的执行难问题有具体的推进措施和财产线索调查方案，得0-5分；</w:t>
            </w:r>
          </w:p>
          <w:p w14:paraId="161AE89D">
            <w:pPr>
              <w:numPr>
                <w:ilvl w:val="0"/>
                <w:numId w:val="0"/>
              </w:numPr>
              <w:spacing w:line="300" w:lineRule="exact"/>
              <w:ind w:left="0" w:leftChars="0" w:firstLine="0" w:firstLineChars="0"/>
              <w:rPr>
                <w:rFonts w:ascii="仿宋" w:hAnsi="仿宋" w:eastAsia="仿宋" w:cs="仿宋"/>
                <w:b/>
              </w:rPr>
            </w:pPr>
            <w:r>
              <w:rPr>
                <w:rFonts w:hint="eastAsia" w:ascii="仿宋" w:hAnsi="仿宋" w:eastAsia="仿宋" w:cs="仿宋"/>
                <w:b/>
                <w:bCs/>
                <w:color w:val="000000"/>
                <w:szCs w:val="21"/>
                <w:highlight w:val="none"/>
                <w:lang w:val="en-US" w:eastAsia="zh-CN"/>
              </w:rPr>
              <w:t>评审依据：投标文件中的《项目服务方案》</w:t>
            </w:r>
          </w:p>
        </w:tc>
        <w:tc>
          <w:tcPr>
            <w:tcW w:w="1148" w:type="dxa"/>
            <w:vAlign w:val="top"/>
          </w:tcPr>
          <w:p w14:paraId="7DE4B2E7">
            <w:pPr>
              <w:numPr>
                <w:ilvl w:val="0"/>
                <w:numId w:val="0"/>
              </w:numPr>
              <w:spacing w:line="300" w:lineRule="exact"/>
              <w:ind w:left="0" w:leftChars="0" w:firstLine="0" w:firstLineChars="0"/>
              <w:rPr>
                <w:rFonts w:hint="eastAsia" w:ascii="仿宋" w:hAnsi="仿宋" w:eastAsia="仿宋" w:cs="仿宋"/>
                <w:b/>
                <w:bCs/>
                <w:color w:val="000000"/>
                <w:szCs w:val="21"/>
                <w:highlight w:val="none"/>
                <w:lang w:val="en-US" w:eastAsia="zh-CN"/>
              </w:rPr>
            </w:pPr>
          </w:p>
        </w:tc>
      </w:tr>
      <w:tr w14:paraId="4755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exact"/>
        </w:trPr>
        <w:tc>
          <w:tcPr>
            <w:tcW w:w="1071" w:type="dxa"/>
            <w:vMerge w:val="continue"/>
            <w:vAlign w:val="center"/>
          </w:tcPr>
          <w:p w14:paraId="689F7DC8">
            <w:pPr>
              <w:rPr>
                <w:rFonts w:ascii="仿宋" w:hAnsi="仿宋" w:eastAsia="仿宋"/>
                <w:sz w:val="24"/>
                <w:szCs w:val="24"/>
              </w:rPr>
            </w:pPr>
          </w:p>
        </w:tc>
        <w:tc>
          <w:tcPr>
            <w:tcW w:w="1131" w:type="dxa"/>
            <w:vAlign w:val="center"/>
          </w:tcPr>
          <w:p w14:paraId="29493308">
            <w:pPr>
              <w:numPr>
                <w:ilvl w:val="0"/>
                <w:numId w:val="0"/>
              </w:numPr>
              <w:spacing w:line="300" w:lineRule="exact"/>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案件响应与时效</w:t>
            </w:r>
          </w:p>
          <w:p w14:paraId="5FC3E91D">
            <w:pPr>
              <w:numPr>
                <w:ilvl w:val="0"/>
                <w:numId w:val="0"/>
              </w:numPr>
              <w:spacing w:line="300" w:lineRule="exact"/>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（10分）</w:t>
            </w:r>
          </w:p>
        </w:tc>
        <w:tc>
          <w:tcPr>
            <w:tcW w:w="5169" w:type="dxa"/>
            <w:vAlign w:val="center"/>
          </w:tcPr>
          <w:p w14:paraId="27C28B1D">
            <w:pPr>
              <w:numPr>
                <w:ilvl w:val="0"/>
                <w:numId w:val="0"/>
              </w:numPr>
              <w:spacing w:line="300" w:lineRule="exac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承诺收到业主资料X个工作日内完成律师函草拟/寄送，承诺立案后X日内开庭，承诺对业主咨询24小时内响应，得0-10分。</w:t>
            </w:r>
          </w:p>
          <w:p w14:paraId="33802CC7">
            <w:pPr>
              <w:numPr>
                <w:ilvl w:val="0"/>
                <w:numId w:val="0"/>
              </w:numPr>
              <w:spacing w:line="300" w:lineRule="exact"/>
              <w:rPr>
                <w:rFonts w:hint="default" w:ascii="仿宋" w:hAnsi="仿宋" w:eastAsia="仿宋" w:cs="仿宋"/>
                <w:color w:val="000000"/>
                <w:szCs w:val="21"/>
                <w:lang w:val="en-US" w:eastAsia="zh-CN"/>
              </w:rPr>
            </w:pPr>
            <w:r>
              <w:rPr>
                <w:rFonts w:hint="eastAsia" w:ascii="仿宋" w:hAnsi="仿宋" w:eastAsia="仿宋" w:cs="仿宋"/>
                <w:b/>
                <w:bCs/>
                <w:color w:val="000000"/>
                <w:szCs w:val="21"/>
                <w:highlight w:val="none"/>
                <w:lang w:val="en-US" w:eastAsia="zh-CN"/>
              </w:rPr>
              <w:t>评审依据：根据响应时间快慢分档打分。</w:t>
            </w:r>
          </w:p>
        </w:tc>
        <w:tc>
          <w:tcPr>
            <w:tcW w:w="1148" w:type="dxa"/>
            <w:vAlign w:val="center"/>
          </w:tcPr>
          <w:p w14:paraId="32F3305F">
            <w:pPr>
              <w:numPr>
                <w:ilvl w:val="0"/>
                <w:numId w:val="0"/>
              </w:numPr>
              <w:spacing w:line="300" w:lineRule="exact"/>
              <w:rPr>
                <w:rFonts w:hint="eastAsia" w:ascii="仿宋" w:hAnsi="仿宋" w:eastAsia="仿宋" w:cs="仿宋"/>
                <w:b/>
                <w:bCs/>
                <w:color w:val="000000"/>
                <w:szCs w:val="21"/>
                <w:highlight w:val="none"/>
                <w:lang w:val="en-US" w:eastAsia="zh-CN"/>
              </w:rPr>
            </w:pPr>
          </w:p>
        </w:tc>
      </w:tr>
      <w:tr w14:paraId="0E54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exact"/>
        </w:trPr>
        <w:tc>
          <w:tcPr>
            <w:tcW w:w="1071" w:type="dxa"/>
            <w:vMerge w:val="continue"/>
            <w:vAlign w:val="center"/>
          </w:tcPr>
          <w:p w14:paraId="11D38814">
            <w:pPr>
              <w:rPr>
                <w:rFonts w:ascii="仿宋" w:hAnsi="仿宋" w:eastAsia="仿宋"/>
                <w:sz w:val="24"/>
                <w:szCs w:val="24"/>
              </w:rPr>
            </w:pPr>
          </w:p>
        </w:tc>
        <w:tc>
          <w:tcPr>
            <w:tcW w:w="1131" w:type="dxa"/>
            <w:vAlign w:val="center"/>
          </w:tcPr>
          <w:p w14:paraId="2B401F6C">
            <w:pPr>
              <w:numPr>
                <w:ilvl w:val="0"/>
                <w:numId w:val="0"/>
              </w:numPr>
              <w:spacing w:line="300" w:lineRule="exact"/>
              <w:ind w:left="0" w:leftChars="0" w:firstLine="0" w:firstLineChars="0"/>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风险控制与衔接</w:t>
            </w:r>
          </w:p>
          <w:p w14:paraId="4A70567C">
            <w:pPr>
              <w:numPr>
                <w:ilvl w:val="0"/>
                <w:numId w:val="0"/>
              </w:numPr>
              <w:spacing w:line="300" w:lineRule="exact"/>
              <w:ind w:left="0" w:leftChars="0" w:firstLine="0" w:firstLineChars="0"/>
              <w:jc w:val="center"/>
              <w:rPr>
                <w:rFonts w:hint="eastAsia"/>
                <w:sz w:val="24"/>
                <w:szCs w:val="24"/>
              </w:rPr>
            </w:pPr>
            <w:r>
              <w:rPr>
                <w:rFonts w:hint="eastAsia" w:ascii="仿宋" w:hAnsi="仿宋" w:eastAsia="仿宋" w:cs="仿宋"/>
                <w:color w:val="000000"/>
                <w:szCs w:val="21"/>
                <w:lang w:val="en-US" w:eastAsia="zh-CN"/>
              </w:rPr>
              <w:t>（10分）</w:t>
            </w:r>
          </w:p>
        </w:tc>
        <w:tc>
          <w:tcPr>
            <w:tcW w:w="5169" w:type="dxa"/>
            <w:vAlign w:val="center"/>
          </w:tcPr>
          <w:p w14:paraId="54508B49">
            <w:pPr>
              <w:numPr>
                <w:ilvl w:val="0"/>
                <w:numId w:val="0"/>
              </w:numPr>
              <w:spacing w:line="30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1.承诺与物业公司建立定期（周/月）汇报机制，提交案件进度表，得0-5分；</w:t>
            </w:r>
          </w:p>
          <w:p w14:paraId="24A67818">
            <w:pPr>
              <w:numPr>
                <w:ilvl w:val="0"/>
                <w:numId w:val="0"/>
              </w:numPr>
              <w:spacing w:line="30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2.针对群体性事件或敏感业主有专项应急预案，得0-5分。</w:t>
            </w:r>
          </w:p>
          <w:p w14:paraId="411C4950">
            <w:pPr>
              <w:numPr>
                <w:ilvl w:val="0"/>
                <w:numId w:val="0"/>
              </w:numPr>
              <w:spacing w:line="300" w:lineRule="exact"/>
              <w:rPr>
                <w:rFonts w:hint="eastAsia" w:ascii="仿宋" w:hAnsi="仿宋" w:eastAsia="仿宋" w:cs="仿宋"/>
                <w:color w:val="000000"/>
                <w:szCs w:val="21"/>
                <w:lang w:val="en-US" w:eastAsia="zh-CN"/>
              </w:rPr>
            </w:pPr>
            <w:r>
              <w:rPr>
                <w:rFonts w:hint="eastAsia" w:ascii="仿宋" w:hAnsi="仿宋" w:eastAsia="仿宋" w:cs="仿宋"/>
                <w:b/>
                <w:bCs/>
                <w:color w:val="000000"/>
                <w:szCs w:val="21"/>
                <w:highlight w:val="none"/>
                <w:lang w:val="en-US" w:eastAsia="zh-CN"/>
              </w:rPr>
              <w:t>评审依据：进度汇报模板、应急预案说明。</w:t>
            </w:r>
          </w:p>
        </w:tc>
        <w:tc>
          <w:tcPr>
            <w:tcW w:w="1148" w:type="dxa"/>
            <w:vAlign w:val="center"/>
          </w:tcPr>
          <w:p w14:paraId="6ABA64D4">
            <w:pPr>
              <w:numPr>
                <w:ilvl w:val="0"/>
                <w:numId w:val="0"/>
              </w:numPr>
              <w:spacing w:line="300" w:lineRule="exact"/>
              <w:rPr>
                <w:rFonts w:hint="eastAsia" w:ascii="仿宋" w:hAnsi="仿宋" w:eastAsia="仿宋" w:cs="仿宋"/>
                <w:b/>
                <w:bCs/>
                <w:color w:val="000000"/>
                <w:szCs w:val="21"/>
                <w:highlight w:val="none"/>
                <w:lang w:val="en-US" w:eastAsia="zh-CN"/>
              </w:rPr>
            </w:pPr>
          </w:p>
        </w:tc>
      </w:tr>
      <w:tr w14:paraId="7C66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exact"/>
        </w:trPr>
        <w:tc>
          <w:tcPr>
            <w:tcW w:w="1071" w:type="dxa"/>
            <w:vMerge w:val="continue"/>
            <w:vAlign w:val="center"/>
          </w:tcPr>
          <w:p w14:paraId="26A553C0">
            <w:pPr>
              <w:rPr>
                <w:rFonts w:ascii="仿宋" w:hAnsi="仿宋" w:eastAsia="仿宋"/>
                <w:sz w:val="24"/>
                <w:szCs w:val="24"/>
              </w:rPr>
            </w:pPr>
          </w:p>
        </w:tc>
        <w:tc>
          <w:tcPr>
            <w:tcW w:w="1131" w:type="dxa"/>
            <w:vAlign w:val="center"/>
          </w:tcPr>
          <w:p w14:paraId="51721E4C">
            <w:pPr>
              <w:jc w:val="center"/>
              <w:textAlignment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增值服务</w:t>
            </w:r>
          </w:p>
          <w:p w14:paraId="10BE8896">
            <w:pPr>
              <w:jc w:val="center"/>
              <w:textAlignment w:val="center"/>
              <w:rPr>
                <w:rFonts w:ascii="仿宋" w:hAnsi="仿宋" w:eastAsia="仿宋"/>
                <w:sz w:val="24"/>
                <w:szCs w:val="24"/>
              </w:rPr>
            </w:pPr>
            <w:r>
              <w:rPr>
                <w:rFonts w:hint="eastAsia" w:ascii="仿宋" w:hAnsi="仿宋" w:eastAsia="仿宋" w:cs="仿宋"/>
                <w:color w:val="000000"/>
                <w:kern w:val="0"/>
                <w:szCs w:val="21"/>
              </w:rPr>
              <w:t>（</w:t>
            </w:r>
            <w:r>
              <w:rPr>
                <w:rFonts w:hint="eastAsia" w:ascii="仿宋" w:hAnsi="仿宋" w:eastAsia="仿宋" w:cs="仿宋"/>
                <w:color w:val="000000"/>
                <w:kern w:val="0"/>
                <w:szCs w:val="21"/>
                <w:lang w:val="en-US" w:eastAsia="zh-CN"/>
              </w:rPr>
              <w:t>5</w:t>
            </w:r>
            <w:r>
              <w:rPr>
                <w:rFonts w:hint="eastAsia" w:ascii="仿宋" w:hAnsi="仿宋" w:eastAsia="仿宋" w:cs="仿宋"/>
                <w:color w:val="000000"/>
                <w:kern w:val="0"/>
                <w:szCs w:val="21"/>
              </w:rPr>
              <w:t>分）</w:t>
            </w:r>
          </w:p>
        </w:tc>
        <w:tc>
          <w:tcPr>
            <w:tcW w:w="5169" w:type="dxa"/>
            <w:vAlign w:val="center"/>
          </w:tcPr>
          <w:p w14:paraId="022DCE10">
            <w:pPr>
              <w:pStyle w:val="13"/>
              <w:numPr>
                <w:ilvl w:val="0"/>
                <w:numId w:val="0"/>
              </w:numPr>
              <w:spacing w:after="0"/>
              <w:rPr>
                <w:rFonts w:hint="eastAsia" w:ascii="仿宋" w:hAnsi="仿宋" w:eastAsia="仿宋" w:cs="仿宋"/>
                <w:color w:val="000000"/>
                <w:kern w:val="0"/>
                <w:sz w:val="21"/>
                <w:szCs w:val="21"/>
                <w:lang w:val="en-US" w:eastAsia="zh-CN" w:bidi="ar-SA"/>
              </w:rPr>
            </w:pPr>
            <w:r>
              <w:rPr>
                <w:rFonts w:hint="eastAsia" w:ascii="仿宋" w:hAnsi="仿宋" w:eastAsia="仿宋" w:cs="仿宋"/>
                <w:color w:val="000000"/>
                <w:kern w:val="0"/>
                <w:sz w:val="21"/>
                <w:szCs w:val="21"/>
                <w:lang w:val="en-US" w:eastAsia="zh-CN" w:bidi="ar-SA"/>
              </w:rPr>
              <w:t>承诺在服务期间为物业公司提供免费法律培训、审查催收流程或提供物业管理合规建议，得0-5分。</w:t>
            </w:r>
          </w:p>
          <w:p w14:paraId="3232F328">
            <w:pPr>
              <w:pStyle w:val="13"/>
              <w:numPr>
                <w:ilvl w:val="0"/>
                <w:numId w:val="0"/>
              </w:numPr>
              <w:spacing w:after="0"/>
              <w:rPr>
                <w:rFonts w:hint="eastAsia"/>
                <w:sz w:val="24"/>
                <w:szCs w:val="24"/>
              </w:rPr>
            </w:pPr>
            <w:r>
              <w:rPr>
                <w:rFonts w:hint="eastAsia" w:ascii="仿宋" w:hAnsi="仿宋" w:eastAsia="仿宋" w:cs="仿宋"/>
                <w:b/>
                <w:bCs/>
                <w:color w:val="000000"/>
                <w:kern w:val="0"/>
                <w:sz w:val="21"/>
                <w:szCs w:val="21"/>
                <w:highlight w:val="none"/>
                <w:lang w:val="en-US" w:eastAsia="zh-CN" w:bidi="ar-SA"/>
              </w:rPr>
              <w:t>评审依据：增值服务承诺书。</w:t>
            </w:r>
          </w:p>
        </w:tc>
        <w:tc>
          <w:tcPr>
            <w:tcW w:w="1148" w:type="dxa"/>
            <w:vAlign w:val="center"/>
          </w:tcPr>
          <w:p w14:paraId="780EB2E8">
            <w:pPr>
              <w:pStyle w:val="13"/>
              <w:numPr>
                <w:ilvl w:val="0"/>
                <w:numId w:val="0"/>
              </w:numPr>
              <w:spacing w:after="0"/>
              <w:rPr>
                <w:rFonts w:hint="eastAsia" w:ascii="仿宋" w:hAnsi="仿宋" w:eastAsia="仿宋" w:cs="仿宋"/>
                <w:b/>
                <w:bCs/>
                <w:color w:val="000000"/>
                <w:kern w:val="0"/>
                <w:sz w:val="21"/>
                <w:szCs w:val="21"/>
                <w:highlight w:val="none"/>
                <w:lang w:val="en-US" w:eastAsia="zh-CN" w:bidi="ar-SA"/>
              </w:rPr>
            </w:pPr>
          </w:p>
        </w:tc>
      </w:tr>
      <w:tr w14:paraId="415B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202" w:type="dxa"/>
            <w:gridSpan w:val="2"/>
            <w:vAlign w:val="center"/>
          </w:tcPr>
          <w:p w14:paraId="56E62699">
            <w:pPr>
              <w:jc w:val="center"/>
              <w:rPr>
                <w:rFonts w:ascii="仿宋" w:hAnsi="仿宋" w:eastAsia="仿宋"/>
                <w:b/>
                <w:sz w:val="24"/>
                <w:szCs w:val="24"/>
              </w:rPr>
            </w:pPr>
            <w:r>
              <w:rPr>
                <w:rFonts w:hint="eastAsia" w:ascii="仿宋" w:hAnsi="仿宋" w:eastAsia="仿宋"/>
                <w:b/>
                <w:sz w:val="24"/>
                <w:szCs w:val="24"/>
              </w:rPr>
              <w:t>合  计  分</w:t>
            </w:r>
          </w:p>
        </w:tc>
        <w:tc>
          <w:tcPr>
            <w:tcW w:w="5169" w:type="dxa"/>
            <w:vAlign w:val="center"/>
          </w:tcPr>
          <w:p w14:paraId="75579D5E">
            <w:pPr>
              <w:jc w:val="center"/>
              <w:rPr>
                <w:rStyle w:val="39"/>
                <w:i w:val="0"/>
              </w:rPr>
            </w:pPr>
            <w:r>
              <w:rPr>
                <w:rFonts w:hint="eastAsia" w:ascii="仿宋" w:hAnsi="仿宋" w:eastAsia="仿宋"/>
                <w:b/>
                <w:sz w:val="24"/>
                <w:szCs w:val="24"/>
                <w:lang w:val="en-US" w:eastAsia="zh-CN"/>
              </w:rPr>
              <w:t>6</w:t>
            </w:r>
            <w:r>
              <w:rPr>
                <w:rFonts w:hint="eastAsia" w:ascii="仿宋" w:hAnsi="仿宋" w:eastAsia="仿宋"/>
                <w:b/>
                <w:sz w:val="24"/>
                <w:szCs w:val="24"/>
              </w:rPr>
              <w:t>0</w:t>
            </w:r>
          </w:p>
        </w:tc>
        <w:tc>
          <w:tcPr>
            <w:tcW w:w="1148" w:type="dxa"/>
            <w:vAlign w:val="center"/>
          </w:tcPr>
          <w:p w14:paraId="7AF203A6">
            <w:pPr>
              <w:jc w:val="center"/>
              <w:rPr>
                <w:rFonts w:hint="eastAsia" w:ascii="仿宋" w:hAnsi="仿宋" w:eastAsia="仿宋"/>
                <w:b/>
                <w:sz w:val="24"/>
                <w:szCs w:val="24"/>
                <w:lang w:val="en-US" w:eastAsia="zh-CN"/>
              </w:rPr>
            </w:pPr>
          </w:p>
        </w:tc>
      </w:tr>
    </w:tbl>
    <w:p w14:paraId="06053034">
      <w:pPr>
        <w:ind w:firstLine="632"/>
        <w:rPr>
          <w:rFonts w:ascii="仿宋" w:hAnsi="仿宋" w:eastAsia="仿宋"/>
          <w:b/>
          <w:bCs/>
          <w:color w:val="auto"/>
          <w:szCs w:val="21"/>
          <w:highlight w:val="none"/>
        </w:rPr>
      </w:pPr>
    </w:p>
    <w:p w14:paraId="6F85856A">
      <w:pPr>
        <w:ind w:firstLine="632"/>
        <w:rPr>
          <w:rFonts w:ascii="仿宋" w:hAnsi="仿宋" w:eastAsia="仿宋"/>
          <w:b/>
          <w:bCs/>
          <w:color w:val="auto"/>
          <w:szCs w:val="21"/>
          <w:highlight w:val="none"/>
        </w:rPr>
      </w:pPr>
      <w:r>
        <w:rPr>
          <w:rFonts w:hint="eastAsia" w:ascii="仿宋" w:hAnsi="仿宋" w:eastAsia="仿宋"/>
          <w:b/>
          <w:bCs/>
          <w:color w:val="auto"/>
          <w:szCs w:val="21"/>
          <w:highlight w:val="none"/>
        </w:rPr>
        <w:t>备注：</w:t>
      </w:r>
    </w:p>
    <w:p w14:paraId="4CE747B9">
      <w:pPr>
        <w:ind w:firstLine="480" w:firstLineChars="200"/>
        <w:rPr>
          <w:rFonts w:ascii="仿宋" w:hAnsi="仿宋" w:eastAsia="仿宋"/>
          <w:b/>
          <w:bCs/>
          <w:color w:val="auto"/>
          <w:szCs w:val="21"/>
          <w:highlight w:val="none"/>
        </w:rPr>
      </w:pPr>
      <w:r>
        <w:rPr>
          <w:rFonts w:hint="eastAsia" w:ascii="仿宋" w:hAnsi="仿宋" w:eastAsia="仿宋"/>
          <w:color w:val="auto"/>
          <w:sz w:val="24"/>
          <w:szCs w:val="24"/>
          <w:highlight w:val="none"/>
        </w:rPr>
        <w:t>1.招标人必须明确每项评审内容、要求及分值范围，评标专家以此对每项评审内容进行打分。</w:t>
      </w:r>
    </w:p>
    <w:p w14:paraId="6E09378D">
      <w:pPr>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2.本表适用于专家独立评审使用。</w:t>
      </w:r>
    </w:p>
    <w:p w14:paraId="739F0B28">
      <w:pPr>
        <w:ind w:firstLine="840"/>
        <w:rPr>
          <w:rFonts w:ascii="仿宋" w:hAnsi="仿宋" w:eastAsia="仿宋"/>
          <w:color w:val="auto"/>
          <w:kern w:val="0"/>
          <w:sz w:val="28"/>
          <w:szCs w:val="28"/>
          <w:highlight w:val="none"/>
        </w:rPr>
      </w:pPr>
    </w:p>
    <w:p w14:paraId="7FC2AF88">
      <w:pPr>
        <w:ind w:firstLine="840"/>
        <w:rPr>
          <w:rFonts w:ascii="仿宋" w:hAnsi="仿宋" w:eastAsia="仿宋"/>
          <w:b/>
          <w:bCs/>
          <w:color w:val="auto"/>
          <w:sz w:val="28"/>
          <w:szCs w:val="28"/>
          <w:highlight w:val="none"/>
        </w:rPr>
      </w:pPr>
      <w:r>
        <w:rPr>
          <w:rFonts w:hint="eastAsia" w:ascii="仿宋" w:hAnsi="仿宋" w:eastAsia="仿宋"/>
          <w:color w:val="auto"/>
          <w:kern w:val="0"/>
          <w:sz w:val="28"/>
          <w:szCs w:val="28"/>
          <w:highlight w:val="none"/>
        </w:rPr>
        <w:t>评标专家：</w:t>
      </w:r>
      <w:r>
        <w:rPr>
          <w:rFonts w:hint="eastAsia" w:ascii="仿宋" w:hAnsi="仿宋" w:eastAsia="仿宋"/>
          <w:color w:val="auto"/>
          <w:kern w:val="0"/>
          <w:sz w:val="28"/>
          <w:szCs w:val="28"/>
          <w:highlight w:val="none"/>
          <w:u w:val="single"/>
        </w:rPr>
        <w:t xml:space="preserve">            </w:t>
      </w:r>
      <w:r>
        <w:rPr>
          <w:rFonts w:hint="eastAsia" w:ascii="仿宋" w:hAnsi="仿宋" w:eastAsia="仿宋"/>
          <w:color w:val="auto"/>
          <w:kern w:val="0"/>
          <w:sz w:val="28"/>
          <w:szCs w:val="28"/>
          <w:highlight w:val="none"/>
        </w:rPr>
        <w:t xml:space="preserve">      评标日期：</w:t>
      </w:r>
      <w:r>
        <w:rPr>
          <w:rFonts w:hint="eastAsia" w:ascii="仿宋" w:hAnsi="仿宋" w:eastAsia="仿宋"/>
          <w:color w:val="auto"/>
          <w:kern w:val="0"/>
          <w:sz w:val="28"/>
          <w:szCs w:val="28"/>
          <w:highlight w:val="none"/>
          <w:u w:val="single"/>
        </w:rPr>
        <w:t xml:space="preserve">          </w:t>
      </w:r>
    </w:p>
    <w:p w14:paraId="7B4823E4">
      <w:pPr>
        <w:ind w:firstLine="840"/>
        <w:rPr>
          <w:rFonts w:ascii="仿宋" w:hAnsi="仿宋" w:eastAsia="仿宋"/>
          <w:b/>
          <w:bCs/>
          <w:color w:val="auto"/>
          <w:sz w:val="28"/>
          <w:szCs w:val="28"/>
          <w:highlight w:val="none"/>
        </w:rPr>
      </w:pPr>
      <w:r>
        <w:rPr>
          <w:rFonts w:ascii="宋体" w:hAnsi="宋体"/>
          <w:b/>
          <w:color w:val="auto"/>
          <w:sz w:val="24"/>
          <w:highlight w:val="none"/>
        </w:rPr>
        <w:br w:type="page"/>
      </w:r>
    </w:p>
    <w:p w14:paraId="3AEBA139">
      <w:pPr>
        <w:spacing w:line="360" w:lineRule="auto"/>
        <w:ind w:firstLine="482" w:firstLineChars="200"/>
        <w:rPr>
          <w:rFonts w:ascii="宋体" w:hAnsi="宋体"/>
          <w:b/>
          <w:color w:val="auto"/>
          <w:sz w:val="24"/>
          <w:highlight w:val="none"/>
        </w:rPr>
        <w:sectPr>
          <w:headerReference r:id="rId6" w:type="default"/>
          <w:footerReference r:id="rId7" w:type="default"/>
          <w:pgSz w:w="12240" w:h="15840"/>
          <w:pgMar w:top="1440" w:right="1797" w:bottom="1440" w:left="1797" w:header="720" w:footer="720" w:gutter="0"/>
          <w:cols w:space="720" w:num="1"/>
        </w:sectPr>
      </w:pPr>
    </w:p>
    <w:p w14:paraId="14214ECA">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技术标评审汇总表</w:t>
      </w:r>
    </w:p>
    <w:p w14:paraId="7D6421F2">
      <w:pPr>
        <w:spacing w:line="360" w:lineRule="auto"/>
        <w:ind w:firstLine="0" w:firstLineChars="0"/>
        <w:jc w:val="left"/>
        <w:rPr>
          <w:rFonts w:ascii="华文细黑" w:hAnsi="华文细黑" w:eastAsia="黑体"/>
          <w:color w:val="auto"/>
          <w:sz w:val="28"/>
          <w:szCs w:val="28"/>
          <w:highlight w:val="none"/>
        </w:rPr>
      </w:pPr>
      <w:r>
        <w:rPr>
          <w:rFonts w:hint="eastAsia" w:ascii="华文细黑" w:hAnsi="华文细黑" w:eastAsia="黑体"/>
          <w:color w:val="auto"/>
          <w:sz w:val="24"/>
          <w:szCs w:val="24"/>
          <w:highlight w:val="none"/>
        </w:rPr>
        <w:t>项目名称：</w:t>
      </w:r>
      <w:r>
        <w:rPr>
          <w:rFonts w:hint="eastAsia" w:ascii="华文细黑" w:hAnsi="华文细黑" w:eastAsia="黑体"/>
          <w:b/>
          <w:bCs/>
          <w:color w:val="auto"/>
          <w:sz w:val="24"/>
          <w:szCs w:val="24"/>
          <w:highlight w:val="none"/>
        </w:rPr>
        <w:t xml:space="preserve"> </w:t>
      </w:r>
      <w:r>
        <w:rPr>
          <w:rFonts w:hint="eastAsia" w:ascii="仿宋" w:hAnsi="仿宋" w:eastAsia="仿宋" w:cs="Times New Roman"/>
          <w:b/>
          <w:bCs w:val="0"/>
          <w:color w:val="auto"/>
          <w:kern w:val="2"/>
          <w:sz w:val="24"/>
          <w:szCs w:val="24"/>
          <w:highlight w:val="none"/>
          <w:shd w:val="clear"/>
          <w:lang w:val="en-US" w:eastAsia="zh-CN"/>
        </w:rPr>
        <w:t>第一亚太重庆分公司物业费欠费追缴诉讼服务（第二次）</w:t>
      </w:r>
      <w:r>
        <w:rPr>
          <w:rFonts w:hint="eastAsia" w:ascii="华文细黑" w:hAnsi="华文细黑" w:eastAsia="黑体"/>
          <w:b/>
          <w:bCs/>
          <w:color w:val="auto"/>
          <w:sz w:val="24"/>
          <w:szCs w:val="24"/>
          <w:highlight w:val="none"/>
        </w:rPr>
        <w:t xml:space="preserve"> </w:t>
      </w:r>
    </w:p>
    <w:tbl>
      <w:tblPr>
        <w:tblStyle w:val="34"/>
        <w:tblW w:w="130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
        <w:gridCol w:w="3067"/>
        <w:gridCol w:w="1502"/>
        <w:gridCol w:w="1070"/>
        <w:gridCol w:w="1830"/>
        <w:gridCol w:w="1640"/>
        <w:gridCol w:w="1460"/>
        <w:gridCol w:w="1988"/>
      </w:tblGrid>
      <w:tr w14:paraId="2D81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16" w:type="dxa"/>
            <w:vMerge w:val="restart"/>
            <w:vAlign w:val="center"/>
          </w:tcPr>
          <w:p w14:paraId="48E3D434">
            <w:pPr>
              <w:jc w:val="center"/>
              <w:rPr>
                <w:rFonts w:ascii="宋体" w:hAnsi="宋体"/>
                <w:b/>
                <w:bCs/>
                <w:color w:val="auto"/>
                <w:spacing w:val="30"/>
                <w:szCs w:val="21"/>
                <w:highlight w:val="none"/>
              </w:rPr>
            </w:pPr>
            <w:r>
              <w:rPr>
                <w:rFonts w:hint="eastAsia" w:ascii="宋体" w:hAnsi="宋体"/>
                <w:b/>
                <w:bCs/>
                <w:color w:val="auto"/>
                <w:spacing w:val="30"/>
                <w:szCs w:val="21"/>
                <w:highlight w:val="none"/>
              </w:rPr>
              <w:t>序号</w:t>
            </w:r>
          </w:p>
        </w:tc>
        <w:tc>
          <w:tcPr>
            <w:tcW w:w="3067" w:type="dxa"/>
            <w:vMerge w:val="restart"/>
            <w:vAlign w:val="center"/>
          </w:tcPr>
          <w:p w14:paraId="5DF5298C">
            <w:pPr>
              <w:jc w:val="center"/>
              <w:rPr>
                <w:rFonts w:ascii="宋体" w:hAnsi="宋体"/>
                <w:b/>
                <w:bCs/>
                <w:color w:val="auto"/>
                <w:spacing w:val="30"/>
                <w:szCs w:val="21"/>
                <w:highlight w:val="none"/>
              </w:rPr>
            </w:pPr>
            <w:r>
              <w:rPr>
                <w:rFonts w:hint="eastAsia" w:ascii="宋体" w:hAnsi="宋体"/>
                <w:b/>
                <w:bCs/>
                <w:color w:val="auto"/>
                <w:spacing w:val="30"/>
                <w:szCs w:val="21"/>
                <w:highlight w:val="none"/>
              </w:rPr>
              <w:t>投标人名称</w:t>
            </w:r>
          </w:p>
        </w:tc>
        <w:tc>
          <w:tcPr>
            <w:tcW w:w="9490" w:type="dxa"/>
            <w:gridSpan w:val="6"/>
            <w:vAlign w:val="center"/>
          </w:tcPr>
          <w:p w14:paraId="440DCAC7">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评委评定（是/否合格或分值）</w:t>
            </w:r>
          </w:p>
        </w:tc>
      </w:tr>
      <w:tr w14:paraId="5F6B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16" w:type="dxa"/>
            <w:vMerge w:val="continue"/>
            <w:vAlign w:val="center"/>
          </w:tcPr>
          <w:p w14:paraId="313318F0">
            <w:pPr>
              <w:jc w:val="center"/>
              <w:rPr>
                <w:rFonts w:ascii="宋体" w:hAnsi="宋体"/>
                <w:b/>
                <w:bCs/>
                <w:color w:val="auto"/>
                <w:spacing w:val="30"/>
                <w:szCs w:val="21"/>
                <w:highlight w:val="none"/>
              </w:rPr>
            </w:pPr>
          </w:p>
        </w:tc>
        <w:tc>
          <w:tcPr>
            <w:tcW w:w="3067" w:type="dxa"/>
            <w:vMerge w:val="continue"/>
            <w:vAlign w:val="center"/>
          </w:tcPr>
          <w:p w14:paraId="1B66C0EF">
            <w:pPr>
              <w:rPr>
                <w:rFonts w:ascii="宋体" w:hAnsi="宋体"/>
                <w:b/>
                <w:bCs/>
                <w:color w:val="auto"/>
                <w:spacing w:val="30"/>
                <w:szCs w:val="21"/>
                <w:highlight w:val="none"/>
              </w:rPr>
            </w:pPr>
          </w:p>
        </w:tc>
        <w:tc>
          <w:tcPr>
            <w:tcW w:w="1502" w:type="dxa"/>
            <w:vAlign w:val="center"/>
          </w:tcPr>
          <w:p w14:paraId="69586502">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评委1</w:t>
            </w:r>
          </w:p>
        </w:tc>
        <w:tc>
          <w:tcPr>
            <w:tcW w:w="1070" w:type="dxa"/>
            <w:vAlign w:val="center"/>
          </w:tcPr>
          <w:p w14:paraId="397A1EB4">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评委2</w:t>
            </w:r>
          </w:p>
        </w:tc>
        <w:tc>
          <w:tcPr>
            <w:tcW w:w="1830" w:type="dxa"/>
            <w:vAlign w:val="center"/>
          </w:tcPr>
          <w:p w14:paraId="3343E4EF">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评委3</w:t>
            </w:r>
          </w:p>
        </w:tc>
        <w:tc>
          <w:tcPr>
            <w:tcW w:w="1640" w:type="dxa"/>
            <w:vAlign w:val="center"/>
          </w:tcPr>
          <w:p w14:paraId="4DAF2243">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评委4</w:t>
            </w:r>
          </w:p>
        </w:tc>
        <w:tc>
          <w:tcPr>
            <w:tcW w:w="1460" w:type="dxa"/>
            <w:vAlign w:val="center"/>
          </w:tcPr>
          <w:p w14:paraId="2AE3EAC1">
            <w:pPr>
              <w:jc w:val="center"/>
              <w:rPr>
                <w:rFonts w:ascii="宋体" w:hAnsi="宋体"/>
                <w:b/>
                <w:bCs/>
                <w:color w:val="auto"/>
                <w:spacing w:val="30"/>
                <w:szCs w:val="21"/>
                <w:highlight w:val="none"/>
              </w:rPr>
            </w:pPr>
            <w:r>
              <w:rPr>
                <w:rFonts w:hint="eastAsia" w:ascii="宋体" w:hAnsi="宋体"/>
                <w:b/>
                <w:bCs/>
                <w:color w:val="auto"/>
                <w:spacing w:val="30"/>
                <w:szCs w:val="21"/>
                <w:highlight w:val="none"/>
              </w:rPr>
              <w:t>评委5</w:t>
            </w:r>
          </w:p>
        </w:tc>
        <w:tc>
          <w:tcPr>
            <w:tcW w:w="1988" w:type="dxa"/>
            <w:vAlign w:val="center"/>
          </w:tcPr>
          <w:p w14:paraId="5D03B0D9">
            <w:pPr>
              <w:jc w:val="center"/>
              <w:rPr>
                <w:rFonts w:ascii="宋体" w:hAnsi="宋体"/>
                <w:b/>
                <w:bCs/>
                <w:color w:val="auto"/>
                <w:szCs w:val="21"/>
                <w:highlight w:val="none"/>
              </w:rPr>
            </w:pPr>
            <w:r>
              <w:rPr>
                <w:rFonts w:hint="eastAsia" w:ascii="宋体" w:hAnsi="宋体"/>
                <w:b/>
                <w:bCs/>
                <w:color w:val="auto"/>
                <w:szCs w:val="21"/>
                <w:highlight w:val="none"/>
              </w:rPr>
              <w:t>最终评定</w:t>
            </w:r>
          </w:p>
        </w:tc>
      </w:tr>
      <w:tr w14:paraId="3C20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16" w:type="dxa"/>
            <w:vAlign w:val="center"/>
          </w:tcPr>
          <w:p w14:paraId="2A5EA43A">
            <w:pPr>
              <w:jc w:val="center"/>
              <w:rPr>
                <w:rFonts w:ascii="宋体" w:hAnsi="宋体"/>
                <w:b/>
                <w:bCs/>
                <w:color w:val="auto"/>
                <w:spacing w:val="30"/>
                <w:szCs w:val="21"/>
                <w:highlight w:val="none"/>
              </w:rPr>
            </w:pPr>
            <w:r>
              <w:rPr>
                <w:rFonts w:hint="eastAsia" w:ascii="宋体" w:hAnsi="宋体"/>
                <w:b/>
                <w:bCs/>
                <w:color w:val="auto"/>
                <w:spacing w:val="30"/>
                <w:szCs w:val="21"/>
                <w:highlight w:val="none"/>
              </w:rPr>
              <w:t>1</w:t>
            </w:r>
          </w:p>
        </w:tc>
        <w:tc>
          <w:tcPr>
            <w:tcW w:w="3067" w:type="dxa"/>
            <w:vAlign w:val="center"/>
          </w:tcPr>
          <w:p w14:paraId="1097EC03">
            <w:pPr>
              <w:rPr>
                <w:rFonts w:ascii="宋体" w:hAnsi="宋体"/>
                <w:b/>
                <w:bCs/>
                <w:color w:val="auto"/>
                <w:spacing w:val="30"/>
                <w:szCs w:val="21"/>
                <w:highlight w:val="none"/>
              </w:rPr>
            </w:pPr>
          </w:p>
        </w:tc>
        <w:tc>
          <w:tcPr>
            <w:tcW w:w="1502" w:type="dxa"/>
            <w:vAlign w:val="center"/>
          </w:tcPr>
          <w:p w14:paraId="0140646D">
            <w:pPr>
              <w:rPr>
                <w:rFonts w:ascii="宋体" w:hAnsi="宋体"/>
                <w:b/>
                <w:bCs/>
                <w:color w:val="auto"/>
                <w:spacing w:val="30"/>
                <w:szCs w:val="21"/>
                <w:highlight w:val="none"/>
              </w:rPr>
            </w:pPr>
          </w:p>
        </w:tc>
        <w:tc>
          <w:tcPr>
            <w:tcW w:w="1070" w:type="dxa"/>
            <w:vAlign w:val="center"/>
          </w:tcPr>
          <w:p w14:paraId="4BFF7A40">
            <w:pPr>
              <w:rPr>
                <w:rFonts w:ascii="宋体" w:hAnsi="宋体"/>
                <w:b/>
                <w:bCs/>
                <w:color w:val="auto"/>
                <w:spacing w:val="30"/>
                <w:szCs w:val="21"/>
                <w:highlight w:val="none"/>
              </w:rPr>
            </w:pPr>
          </w:p>
        </w:tc>
        <w:tc>
          <w:tcPr>
            <w:tcW w:w="1830" w:type="dxa"/>
            <w:vAlign w:val="center"/>
          </w:tcPr>
          <w:p w14:paraId="16820933">
            <w:pPr>
              <w:rPr>
                <w:rFonts w:ascii="宋体" w:hAnsi="宋体"/>
                <w:b/>
                <w:bCs/>
                <w:color w:val="auto"/>
                <w:spacing w:val="30"/>
                <w:szCs w:val="21"/>
                <w:highlight w:val="none"/>
              </w:rPr>
            </w:pPr>
          </w:p>
        </w:tc>
        <w:tc>
          <w:tcPr>
            <w:tcW w:w="1640" w:type="dxa"/>
            <w:vAlign w:val="center"/>
          </w:tcPr>
          <w:p w14:paraId="52D91FEF">
            <w:pPr>
              <w:rPr>
                <w:rFonts w:ascii="宋体" w:hAnsi="宋体"/>
                <w:b/>
                <w:bCs/>
                <w:color w:val="auto"/>
                <w:spacing w:val="30"/>
                <w:szCs w:val="21"/>
                <w:highlight w:val="none"/>
              </w:rPr>
            </w:pPr>
          </w:p>
        </w:tc>
        <w:tc>
          <w:tcPr>
            <w:tcW w:w="1460" w:type="dxa"/>
            <w:vAlign w:val="center"/>
          </w:tcPr>
          <w:p w14:paraId="74D6B425">
            <w:pPr>
              <w:rPr>
                <w:rFonts w:ascii="宋体" w:hAnsi="宋体"/>
                <w:b/>
                <w:bCs/>
                <w:color w:val="auto"/>
                <w:spacing w:val="30"/>
                <w:szCs w:val="21"/>
                <w:highlight w:val="none"/>
              </w:rPr>
            </w:pPr>
          </w:p>
        </w:tc>
        <w:tc>
          <w:tcPr>
            <w:tcW w:w="1988" w:type="dxa"/>
            <w:vAlign w:val="center"/>
          </w:tcPr>
          <w:p w14:paraId="6293CBF8">
            <w:pPr>
              <w:rPr>
                <w:rFonts w:ascii="宋体" w:hAnsi="宋体"/>
                <w:b/>
                <w:bCs/>
                <w:color w:val="auto"/>
                <w:spacing w:val="30"/>
                <w:szCs w:val="21"/>
                <w:highlight w:val="none"/>
              </w:rPr>
            </w:pPr>
          </w:p>
        </w:tc>
      </w:tr>
      <w:tr w14:paraId="04EA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16" w:type="dxa"/>
            <w:vAlign w:val="center"/>
          </w:tcPr>
          <w:p w14:paraId="0EDEAD50">
            <w:pPr>
              <w:jc w:val="center"/>
              <w:rPr>
                <w:rFonts w:ascii="宋体" w:hAnsi="宋体"/>
                <w:b/>
                <w:bCs/>
                <w:color w:val="auto"/>
                <w:spacing w:val="30"/>
                <w:szCs w:val="21"/>
                <w:highlight w:val="none"/>
              </w:rPr>
            </w:pPr>
            <w:r>
              <w:rPr>
                <w:rFonts w:hint="eastAsia" w:ascii="宋体" w:hAnsi="宋体"/>
                <w:b/>
                <w:bCs/>
                <w:color w:val="auto"/>
                <w:spacing w:val="30"/>
                <w:szCs w:val="21"/>
                <w:highlight w:val="none"/>
              </w:rPr>
              <w:t>2</w:t>
            </w:r>
          </w:p>
        </w:tc>
        <w:tc>
          <w:tcPr>
            <w:tcW w:w="3067" w:type="dxa"/>
            <w:vAlign w:val="center"/>
          </w:tcPr>
          <w:p w14:paraId="74D067AF">
            <w:pPr>
              <w:rPr>
                <w:rFonts w:ascii="宋体" w:hAnsi="宋体"/>
                <w:b/>
                <w:bCs/>
                <w:color w:val="auto"/>
                <w:spacing w:val="30"/>
                <w:szCs w:val="21"/>
                <w:highlight w:val="none"/>
              </w:rPr>
            </w:pPr>
          </w:p>
        </w:tc>
        <w:tc>
          <w:tcPr>
            <w:tcW w:w="1502" w:type="dxa"/>
            <w:vAlign w:val="center"/>
          </w:tcPr>
          <w:p w14:paraId="61D01239">
            <w:pPr>
              <w:rPr>
                <w:rFonts w:ascii="宋体" w:hAnsi="宋体"/>
                <w:b/>
                <w:bCs/>
                <w:color w:val="auto"/>
                <w:spacing w:val="30"/>
                <w:szCs w:val="21"/>
                <w:highlight w:val="none"/>
              </w:rPr>
            </w:pPr>
          </w:p>
        </w:tc>
        <w:tc>
          <w:tcPr>
            <w:tcW w:w="1070" w:type="dxa"/>
            <w:vAlign w:val="center"/>
          </w:tcPr>
          <w:p w14:paraId="37401130">
            <w:pPr>
              <w:rPr>
                <w:rFonts w:ascii="宋体" w:hAnsi="宋体"/>
                <w:b/>
                <w:bCs/>
                <w:color w:val="auto"/>
                <w:spacing w:val="30"/>
                <w:szCs w:val="21"/>
                <w:highlight w:val="none"/>
              </w:rPr>
            </w:pPr>
          </w:p>
        </w:tc>
        <w:tc>
          <w:tcPr>
            <w:tcW w:w="1830" w:type="dxa"/>
            <w:vAlign w:val="center"/>
          </w:tcPr>
          <w:p w14:paraId="7D7B89D5">
            <w:pPr>
              <w:rPr>
                <w:rFonts w:ascii="宋体" w:hAnsi="宋体"/>
                <w:b/>
                <w:bCs/>
                <w:color w:val="auto"/>
                <w:spacing w:val="30"/>
                <w:szCs w:val="21"/>
                <w:highlight w:val="none"/>
              </w:rPr>
            </w:pPr>
          </w:p>
        </w:tc>
        <w:tc>
          <w:tcPr>
            <w:tcW w:w="1640" w:type="dxa"/>
            <w:vAlign w:val="center"/>
          </w:tcPr>
          <w:p w14:paraId="6F4B0ACD">
            <w:pPr>
              <w:rPr>
                <w:rFonts w:ascii="宋体" w:hAnsi="宋体"/>
                <w:b/>
                <w:bCs/>
                <w:color w:val="auto"/>
                <w:spacing w:val="30"/>
                <w:szCs w:val="21"/>
                <w:highlight w:val="none"/>
              </w:rPr>
            </w:pPr>
          </w:p>
        </w:tc>
        <w:tc>
          <w:tcPr>
            <w:tcW w:w="1460" w:type="dxa"/>
            <w:vAlign w:val="center"/>
          </w:tcPr>
          <w:p w14:paraId="7A7EDC90">
            <w:pPr>
              <w:rPr>
                <w:rFonts w:ascii="宋体" w:hAnsi="宋体"/>
                <w:b/>
                <w:bCs/>
                <w:color w:val="auto"/>
                <w:spacing w:val="30"/>
                <w:szCs w:val="21"/>
                <w:highlight w:val="none"/>
              </w:rPr>
            </w:pPr>
          </w:p>
        </w:tc>
        <w:tc>
          <w:tcPr>
            <w:tcW w:w="1988" w:type="dxa"/>
            <w:vAlign w:val="center"/>
          </w:tcPr>
          <w:p w14:paraId="75189569">
            <w:pPr>
              <w:rPr>
                <w:rFonts w:ascii="宋体" w:hAnsi="宋体"/>
                <w:b/>
                <w:bCs/>
                <w:color w:val="auto"/>
                <w:spacing w:val="30"/>
                <w:szCs w:val="21"/>
                <w:highlight w:val="none"/>
              </w:rPr>
            </w:pPr>
          </w:p>
        </w:tc>
      </w:tr>
      <w:tr w14:paraId="4D5C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16" w:type="dxa"/>
            <w:vAlign w:val="center"/>
          </w:tcPr>
          <w:p w14:paraId="41FDE4B9">
            <w:pPr>
              <w:jc w:val="center"/>
              <w:rPr>
                <w:rFonts w:ascii="宋体" w:hAnsi="宋体"/>
                <w:b/>
                <w:bCs/>
                <w:color w:val="auto"/>
                <w:spacing w:val="30"/>
                <w:szCs w:val="21"/>
                <w:highlight w:val="none"/>
              </w:rPr>
            </w:pPr>
            <w:r>
              <w:rPr>
                <w:rFonts w:hint="eastAsia" w:ascii="宋体" w:hAnsi="宋体"/>
                <w:b/>
                <w:bCs/>
                <w:color w:val="auto"/>
                <w:spacing w:val="30"/>
                <w:szCs w:val="21"/>
                <w:highlight w:val="none"/>
              </w:rPr>
              <w:t>3</w:t>
            </w:r>
          </w:p>
        </w:tc>
        <w:tc>
          <w:tcPr>
            <w:tcW w:w="3067" w:type="dxa"/>
            <w:vAlign w:val="center"/>
          </w:tcPr>
          <w:p w14:paraId="306CA6EF">
            <w:pPr>
              <w:rPr>
                <w:rFonts w:ascii="宋体" w:hAnsi="宋体"/>
                <w:b/>
                <w:bCs/>
                <w:color w:val="auto"/>
                <w:spacing w:val="30"/>
                <w:szCs w:val="21"/>
                <w:highlight w:val="none"/>
              </w:rPr>
            </w:pPr>
          </w:p>
        </w:tc>
        <w:tc>
          <w:tcPr>
            <w:tcW w:w="1502" w:type="dxa"/>
            <w:vAlign w:val="center"/>
          </w:tcPr>
          <w:p w14:paraId="2DE5C52D">
            <w:pPr>
              <w:rPr>
                <w:rFonts w:ascii="宋体" w:hAnsi="宋体"/>
                <w:b/>
                <w:bCs/>
                <w:color w:val="auto"/>
                <w:spacing w:val="30"/>
                <w:szCs w:val="21"/>
                <w:highlight w:val="none"/>
              </w:rPr>
            </w:pPr>
          </w:p>
        </w:tc>
        <w:tc>
          <w:tcPr>
            <w:tcW w:w="1070" w:type="dxa"/>
            <w:vAlign w:val="center"/>
          </w:tcPr>
          <w:p w14:paraId="45FD9605">
            <w:pPr>
              <w:rPr>
                <w:rFonts w:ascii="宋体" w:hAnsi="宋体"/>
                <w:b/>
                <w:bCs/>
                <w:color w:val="auto"/>
                <w:spacing w:val="30"/>
                <w:szCs w:val="21"/>
                <w:highlight w:val="none"/>
              </w:rPr>
            </w:pPr>
          </w:p>
        </w:tc>
        <w:tc>
          <w:tcPr>
            <w:tcW w:w="1830" w:type="dxa"/>
            <w:vAlign w:val="center"/>
          </w:tcPr>
          <w:p w14:paraId="2C48157C">
            <w:pPr>
              <w:rPr>
                <w:rFonts w:ascii="宋体" w:hAnsi="宋体"/>
                <w:b/>
                <w:bCs/>
                <w:color w:val="auto"/>
                <w:spacing w:val="30"/>
                <w:szCs w:val="21"/>
                <w:highlight w:val="none"/>
              </w:rPr>
            </w:pPr>
          </w:p>
        </w:tc>
        <w:tc>
          <w:tcPr>
            <w:tcW w:w="1640" w:type="dxa"/>
            <w:vAlign w:val="center"/>
          </w:tcPr>
          <w:p w14:paraId="5890B362">
            <w:pPr>
              <w:rPr>
                <w:rFonts w:ascii="宋体" w:hAnsi="宋体"/>
                <w:b/>
                <w:bCs/>
                <w:color w:val="auto"/>
                <w:spacing w:val="30"/>
                <w:szCs w:val="21"/>
                <w:highlight w:val="none"/>
              </w:rPr>
            </w:pPr>
          </w:p>
        </w:tc>
        <w:tc>
          <w:tcPr>
            <w:tcW w:w="1460" w:type="dxa"/>
            <w:vAlign w:val="center"/>
          </w:tcPr>
          <w:p w14:paraId="7F6BC9AD">
            <w:pPr>
              <w:rPr>
                <w:rFonts w:ascii="宋体" w:hAnsi="宋体"/>
                <w:b/>
                <w:bCs/>
                <w:color w:val="auto"/>
                <w:spacing w:val="30"/>
                <w:szCs w:val="21"/>
                <w:highlight w:val="none"/>
              </w:rPr>
            </w:pPr>
          </w:p>
        </w:tc>
        <w:tc>
          <w:tcPr>
            <w:tcW w:w="1988" w:type="dxa"/>
            <w:vAlign w:val="center"/>
          </w:tcPr>
          <w:p w14:paraId="6ECAAB14">
            <w:pPr>
              <w:rPr>
                <w:rFonts w:ascii="宋体" w:hAnsi="宋体"/>
                <w:b/>
                <w:bCs/>
                <w:color w:val="auto"/>
                <w:spacing w:val="30"/>
                <w:szCs w:val="21"/>
                <w:highlight w:val="none"/>
              </w:rPr>
            </w:pPr>
          </w:p>
        </w:tc>
      </w:tr>
      <w:tr w14:paraId="56EF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16" w:type="dxa"/>
            <w:vAlign w:val="center"/>
          </w:tcPr>
          <w:p w14:paraId="22A18C28">
            <w:pPr>
              <w:jc w:val="center"/>
              <w:rPr>
                <w:rFonts w:ascii="宋体" w:hAnsi="宋体"/>
                <w:b/>
                <w:bCs/>
                <w:color w:val="auto"/>
                <w:spacing w:val="30"/>
                <w:szCs w:val="21"/>
                <w:highlight w:val="none"/>
              </w:rPr>
            </w:pPr>
            <w:r>
              <w:rPr>
                <w:rFonts w:hint="eastAsia" w:ascii="宋体" w:hAnsi="宋体"/>
                <w:b/>
                <w:bCs/>
                <w:color w:val="auto"/>
                <w:spacing w:val="30"/>
                <w:szCs w:val="21"/>
                <w:highlight w:val="none"/>
              </w:rPr>
              <w:t>4</w:t>
            </w:r>
          </w:p>
        </w:tc>
        <w:tc>
          <w:tcPr>
            <w:tcW w:w="3067" w:type="dxa"/>
            <w:vAlign w:val="center"/>
          </w:tcPr>
          <w:p w14:paraId="28C81550">
            <w:pPr>
              <w:rPr>
                <w:rFonts w:ascii="宋体" w:hAnsi="宋体"/>
                <w:b/>
                <w:bCs/>
                <w:color w:val="auto"/>
                <w:spacing w:val="30"/>
                <w:szCs w:val="21"/>
                <w:highlight w:val="none"/>
              </w:rPr>
            </w:pPr>
          </w:p>
        </w:tc>
        <w:tc>
          <w:tcPr>
            <w:tcW w:w="1502" w:type="dxa"/>
            <w:vAlign w:val="center"/>
          </w:tcPr>
          <w:p w14:paraId="17AC9D27">
            <w:pPr>
              <w:rPr>
                <w:rFonts w:ascii="宋体" w:hAnsi="宋体"/>
                <w:b/>
                <w:bCs/>
                <w:color w:val="auto"/>
                <w:spacing w:val="30"/>
                <w:szCs w:val="21"/>
                <w:highlight w:val="none"/>
              </w:rPr>
            </w:pPr>
          </w:p>
        </w:tc>
        <w:tc>
          <w:tcPr>
            <w:tcW w:w="1070" w:type="dxa"/>
            <w:vAlign w:val="center"/>
          </w:tcPr>
          <w:p w14:paraId="67DB40AB">
            <w:pPr>
              <w:rPr>
                <w:rFonts w:ascii="宋体" w:hAnsi="宋体"/>
                <w:b/>
                <w:bCs/>
                <w:color w:val="auto"/>
                <w:spacing w:val="30"/>
                <w:szCs w:val="21"/>
                <w:highlight w:val="none"/>
              </w:rPr>
            </w:pPr>
          </w:p>
        </w:tc>
        <w:tc>
          <w:tcPr>
            <w:tcW w:w="1830" w:type="dxa"/>
            <w:vAlign w:val="center"/>
          </w:tcPr>
          <w:p w14:paraId="3DB73642">
            <w:pPr>
              <w:rPr>
                <w:rFonts w:ascii="宋体" w:hAnsi="宋体"/>
                <w:b/>
                <w:bCs/>
                <w:color w:val="auto"/>
                <w:spacing w:val="30"/>
                <w:szCs w:val="21"/>
                <w:highlight w:val="none"/>
              </w:rPr>
            </w:pPr>
          </w:p>
        </w:tc>
        <w:tc>
          <w:tcPr>
            <w:tcW w:w="1640" w:type="dxa"/>
            <w:vAlign w:val="center"/>
          </w:tcPr>
          <w:p w14:paraId="10D0F415">
            <w:pPr>
              <w:rPr>
                <w:rFonts w:ascii="宋体" w:hAnsi="宋体"/>
                <w:b/>
                <w:bCs/>
                <w:color w:val="auto"/>
                <w:spacing w:val="30"/>
                <w:szCs w:val="21"/>
                <w:highlight w:val="none"/>
              </w:rPr>
            </w:pPr>
          </w:p>
        </w:tc>
        <w:tc>
          <w:tcPr>
            <w:tcW w:w="1460" w:type="dxa"/>
            <w:vAlign w:val="center"/>
          </w:tcPr>
          <w:p w14:paraId="30554CCB">
            <w:pPr>
              <w:rPr>
                <w:rFonts w:ascii="宋体" w:hAnsi="宋体"/>
                <w:b/>
                <w:bCs/>
                <w:color w:val="auto"/>
                <w:spacing w:val="30"/>
                <w:szCs w:val="21"/>
                <w:highlight w:val="none"/>
              </w:rPr>
            </w:pPr>
          </w:p>
        </w:tc>
        <w:tc>
          <w:tcPr>
            <w:tcW w:w="1988" w:type="dxa"/>
            <w:vAlign w:val="center"/>
          </w:tcPr>
          <w:p w14:paraId="085C86E3">
            <w:pPr>
              <w:rPr>
                <w:rFonts w:ascii="宋体" w:hAnsi="宋体"/>
                <w:b/>
                <w:bCs/>
                <w:color w:val="auto"/>
                <w:spacing w:val="30"/>
                <w:szCs w:val="21"/>
                <w:highlight w:val="none"/>
              </w:rPr>
            </w:pPr>
          </w:p>
        </w:tc>
      </w:tr>
      <w:tr w14:paraId="0C96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16" w:type="dxa"/>
            <w:vAlign w:val="center"/>
          </w:tcPr>
          <w:p w14:paraId="49F68A31">
            <w:pPr>
              <w:jc w:val="center"/>
              <w:rPr>
                <w:rFonts w:ascii="宋体" w:hAnsi="宋体"/>
                <w:b/>
                <w:bCs/>
                <w:color w:val="auto"/>
                <w:spacing w:val="30"/>
                <w:szCs w:val="21"/>
                <w:highlight w:val="none"/>
              </w:rPr>
            </w:pPr>
            <w:r>
              <w:rPr>
                <w:rFonts w:hint="eastAsia" w:ascii="宋体" w:hAnsi="宋体"/>
                <w:b/>
                <w:bCs/>
                <w:color w:val="auto"/>
                <w:spacing w:val="30"/>
                <w:szCs w:val="21"/>
                <w:highlight w:val="none"/>
              </w:rPr>
              <w:t>5</w:t>
            </w:r>
          </w:p>
        </w:tc>
        <w:tc>
          <w:tcPr>
            <w:tcW w:w="3067" w:type="dxa"/>
            <w:vAlign w:val="center"/>
          </w:tcPr>
          <w:p w14:paraId="285EA566">
            <w:pPr>
              <w:rPr>
                <w:rFonts w:ascii="宋体" w:hAnsi="宋体"/>
                <w:b/>
                <w:bCs/>
                <w:color w:val="auto"/>
                <w:spacing w:val="30"/>
                <w:szCs w:val="21"/>
                <w:highlight w:val="none"/>
              </w:rPr>
            </w:pPr>
          </w:p>
        </w:tc>
        <w:tc>
          <w:tcPr>
            <w:tcW w:w="1502" w:type="dxa"/>
            <w:vAlign w:val="center"/>
          </w:tcPr>
          <w:p w14:paraId="53DB6F9A">
            <w:pPr>
              <w:rPr>
                <w:rFonts w:ascii="宋体" w:hAnsi="宋体"/>
                <w:b/>
                <w:bCs/>
                <w:color w:val="auto"/>
                <w:spacing w:val="30"/>
                <w:szCs w:val="21"/>
                <w:highlight w:val="none"/>
              </w:rPr>
            </w:pPr>
          </w:p>
        </w:tc>
        <w:tc>
          <w:tcPr>
            <w:tcW w:w="1070" w:type="dxa"/>
            <w:vAlign w:val="center"/>
          </w:tcPr>
          <w:p w14:paraId="2BABCA6D">
            <w:pPr>
              <w:rPr>
                <w:rFonts w:ascii="宋体" w:hAnsi="宋体"/>
                <w:b/>
                <w:bCs/>
                <w:color w:val="auto"/>
                <w:spacing w:val="30"/>
                <w:szCs w:val="21"/>
                <w:highlight w:val="none"/>
              </w:rPr>
            </w:pPr>
          </w:p>
        </w:tc>
        <w:tc>
          <w:tcPr>
            <w:tcW w:w="1830" w:type="dxa"/>
            <w:vAlign w:val="center"/>
          </w:tcPr>
          <w:p w14:paraId="2BA2D697">
            <w:pPr>
              <w:rPr>
                <w:rFonts w:ascii="宋体" w:hAnsi="宋体"/>
                <w:b/>
                <w:bCs/>
                <w:color w:val="auto"/>
                <w:spacing w:val="30"/>
                <w:szCs w:val="21"/>
                <w:highlight w:val="none"/>
              </w:rPr>
            </w:pPr>
          </w:p>
        </w:tc>
        <w:tc>
          <w:tcPr>
            <w:tcW w:w="1640" w:type="dxa"/>
            <w:vAlign w:val="center"/>
          </w:tcPr>
          <w:p w14:paraId="0498339C">
            <w:pPr>
              <w:rPr>
                <w:rFonts w:ascii="宋体" w:hAnsi="宋体"/>
                <w:b/>
                <w:bCs/>
                <w:color w:val="auto"/>
                <w:spacing w:val="30"/>
                <w:szCs w:val="21"/>
                <w:highlight w:val="none"/>
              </w:rPr>
            </w:pPr>
          </w:p>
        </w:tc>
        <w:tc>
          <w:tcPr>
            <w:tcW w:w="1460" w:type="dxa"/>
            <w:vAlign w:val="center"/>
          </w:tcPr>
          <w:p w14:paraId="35717941">
            <w:pPr>
              <w:rPr>
                <w:rFonts w:ascii="宋体" w:hAnsi="宋体"/>
                <w:b/>
                <w:bCs/>
                <w:color w:val="auto"/>
                <w:spacing w:val="30"/>
                <w:szCs w:val="21"/>
                <w:highlight w:val="none"/>
              </w:rPr>
            </w:pPr>
          </w:p>
        </w:tc>
        <w:tc>
          <w:tcPr>
            <w:tcW w:w="1988" w:type="dxa"/>
            <w:vAlign w:val="center"/>
          </w:tcPr>
          <w:p w14:paraId="1D4021DE">
            <w:pPr>
              <w:rPr>
                <w:rFonts w:ascii="宋体" w:hAnsi="宋体"/>
                <w:b/>
                <w:bCs/>
                <w:color w:val="auto"/>
                <w:spacing w:val="30"/>
                <w:szCs w:val="21"/>
                <w:highlight w:val="none"/>
              </w:rPr>
            </w:pPr>
          </w:p>
        </w:tc>
      </w:tr>
      <w:tr w14:paraId="594A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16" w:type="dxa"/>
            <w:vAlign w:val="center"/>
          </w:tcPr>
          <w:p w14:paraId="30E9BC8D">
            <w:pPr>
              <w:jc w:val="center"/>
              <w:rPr>
                <w:rFonts w:ascii="宋体" w:hAnsi="宋体"/>
                <w:b/>
                <w:bCs/>
                <w:color w:val="auto"/>
                <w:spacing w:val="30"/>
                <w:szCs w:val="21"/>
                <w:highlight w:val="none"/>
              </w:rPr>
            </w:pPr>
            <w:r>
              <w:rPr>
                <w:rFonts w:hint="eastAsia" w:ascii="宋体" w:hAnsi="宋体"/>
                <w:b/>
                <w:bCs/>
                <w:color w:val="auto"/>
                <w:spacing w:val="30"/>
                <w:szCs w:val="21"/>
                <w:highlight w:val="none"/>
              </w:rPr>
              <w:t>6</w:t>
            </w:r>
          </w:p>
        </w:tc>
        <w:tc>
          <w:tcPr>
            <w:tcW w:w="3067" w:type="dxa"/>
            <w:vAlign w:val="center"/>
          </w:tcPr>
          <w:p w14:paraId="0C057EDC">
            <w:pPr>
              <w:rPr>
                <w:rFonts w:ascii="宋体" w:hAnsi="宋体"/>
                <w:b/>
                <w:bCs/>
                <w:color w:val="auto"/>
                <w:spacing w:val="30"/>
                <w:szCs w:val="21"/>
                <w:highlight w:val="none"/>
              </w:rPr>
            </w:pPr>
          </w:p>
        </w:tc>
        <w:tc>
          <w:tcPr>
            <w:tcW w:w="1502" w:type="dxa"/>
            <w:vAlign w:val="center"/>
          </w:tcPr>
          <w:p w14:paraId="2331D193">
            <w:pPr>
              <w:rPr>
                <w:rFonts w:ascii="宋体" w:hAnsi="宋体"/>
                <w:b/>
                <w:bCs/>
                <w:color w:val="auto"/>
                <w:spacing w:val="30"/>
                <w:szCs w:val="21"/>
                <w:highlight w:val="none"/>
              </w:rPr>
            </w:pPr>
          </w:p>
        </w:tc>
        <w:tc>
          <w:tcPr>
            <w:tcW w:w="1070" w:type="dxa"/>
            <w:vAlign w:val="center"/>
          </w:tcPr>
          <w:p w14:paraId="607CCE5A">
            <w:pPr>
              <w:rPr>
                <w:rFonts w:ascii="宋体" w:hAnsi="宋体"/>
                <w:b/>
                <w:bCs/>
                <w:color w:val="auto"/>
                <w:spacing w:val="30"/>
                <w:szCs w:val="21"/>
                <w:highlight w:val="none"/>
              </w:rPr>
            </w:pPr>
          </w:p>
        </w:tc>
        <w:tc>
          <w:tcPr>
            <w:tcW w:w="1830" w:type="dxa"/>
            <w:vAlign w:val="center"/>
          </w:tcPr>
          <w:p w14:paraId="749120BA">
            <w:pPr>
              <w:rPr>
                <w:rFonts w:ascii="宋体" w:hAnsi="宋体"/>
                <w:b/>
                <w:bCs/>
                <w:color w:val="auto"/>
                <w:spacing w:val="30"/>
                <w:szCs w:val="21"/>
                <w:highlight w:val="none"/>
              </w:rPr>
            </w:pPr>
          </w:p>
        </w:tc>
        <w:tc>
          <w:tcPr>
            <w:tcW w:w="1640" w:type="dxa"/>
            <w:vAlign w:val="center"/>
          </w:tcPr>
          <w:p w14:paraId="4D28CD67">
            <w:pPr>
              <w:rPr>
                <w:rFonts w:ascii="宋体" w:hAnsi="宋体"/>
                <w:b/>
                <w:bCs/>
                <w:color w:val="auto"/>
                <w:spacing w:val="30"/>
                <w:szCs w:val="21"/>
                <w:highlight w:val="none"/>
              </w:rPr>
            </w:pPr>
          </w:p>
        </w:tc>
        <w:tc>
          <w:tcPr>
            <w:tcW w:w="1460" w:type="dxa"/>
            <w:vAlign w:val="center"/>
          </w:tcPr>
          <w:p w14:paraId="7C1EA053">
            <w:pPr>
              <w:rPr>
                <w:rFonts w:ascii="宋体" w:hAnsi="宋体"/>
                <w:b/>
                <w:bCs/>
                <w:color w:val="auto"/>
                <w:spacing w:val="30"/>
                <w:szCs w:val="21"/>
                <w:highlight w:val="none"/>
              </w:rPr>
            </w:pPr>
          </w:p>
        </w:tc>
        <w:tc>
          <w:tcPr>
            <w:tcW w:w="1988" w:type="dxa"/>
            <w:vAlign w:val="center"/>
          </w:tcPr>
          <w:p w14:paraId="5FB26A0D">
            <w:pPr>
              <w:rPr>
                <w:rFonts w:ascii="宋体" w:hAnsi="宋体"/>
                <w:b/>
                <w:bCs/>
                <w:color w:val="auto"/>
                <w:spacing w:val="30"/>
                <w:szCs w:val="21"/>
                <w:highlight w:val="none"/>
              </w:rPr>
            </w:pPr>
          </w:p>
        </w:tc>
      </w:tr>
      <w:tr w14:paraId="1DF7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516" w:type="dxa"/>
            <w:vAlign w:val="center"/>
          </w:tcPr>
          <w:p w14:paraId="4544D98C">
            <w:pPr>
              <w:jc w:val="center"/>
              <w:rPr>
                <w:rFonts w:ascii="宋体" w:hAnsi="宋体"/>
                <w:b/>
                <w:bCs/>
                <w:color w:val="auto"/>
                <w:spacing w:val="30"/>
                <w:szCs w:val="21"/>
                <w:highlight w:val="none"/>
              </w:rPr>
            </w:pPr>
            <w:r>
              <w:rPr>
                <w:rFonts w:hint="eastAsia" w:ascii="宋体" w:hAnsi="宋体"/>
                <w:b/>
                <w:bCs/>
                <w:color w:val="auto"/>
                <w:spacing w:val="30"/>
                <w:szCs w:val="21"/>
                <w:highlight w:val="none"/>
              </w:rPr>
              <w:t>7</w:t>
            </w:r>
          </w:p>
        </w:tc>
        <w:tc>
          <w:tcPr>
            <w:tcW w:w="3067" w:type="dxa"/>
            <w:vAlign w:val="center"/>
          </w:tcPr>
          <w:p w14:paraId="17402712">
            <w:pPr>
              <w:rPr>
                <w:rFonts w:ascii="宋体" w:hAnsi="宋体"/>
                <w:b/>
                <w:bCs/>
                <w:color w:val="auto"/>
                <w:spacing w:val="30"/>
                <w:szCs w:val="21"/>
                <w:highlight w:val="none"/>
              </w:rPr>
            </w:pPr>
          </w:p>
        </w:tc>
        <w:tc>
          <w:tcPr>
            <w:tcW w:w="1502" w:type="dxa"/>
            <w:vAlign w:val="center"/>
          </w:tcPr>
          <w:p w14:paraId="21AAC76D">
            <w:pPr>
              <w:rPr>
                <w:rFonts w:ascii="宋体" w:hAnsi="宋体"/>
                <w:b/>
                <w:bCs/>
                <w:color w:val="auto"/>
                <w:spacing w:val="30"/>
                <w:szCs w:val="21"/>
                <w:highlight w:val="none"/>
              </w:rPr>
            </w:pPr>
          </w:p>
        </w:tc>
        <w:tc>
          <w:tcPr>
            <w:tcW w:w="1070" w:type="dxa"/>
            <w:vAlign w:val="center"/>
          </w:tcPr>
          <w:p w14:paraId="070EEE44">
            <w:pPr>
              <w:rPr>
                <w:rFonts w:ascii="宋体" w:hAnsi="宋体"/>
                <w:b/>
                <w:bCs/>
                <w:color w:val="auto"/>
                <w:spacing w:val="30"/>
                <w:szCs w:val="21"/>
                <w:highlight w:val="none"/>
              </w:rPr>
            </w:pPr>
          </w:p>
        </w:tc>
        <w:tc>
          <w:tcPr>
            <w:tcW w:w="1830" w:type="dxa"/>
            <w:vAlign w:val="center"/>
          </w:tcPr>
          <w:p w14:paraId="693888A7">
            <w:pPr>
              <w:rPr>
                <w:rFonts w:ascii="宋体" w:hAnsi="宋体"/>
                <w:b/>
                <w:bCs/>
                <w:color w:val="auto"/>
                <w:spacing w:val="30"/>
                <w:szCs w:val="21"/>
                <w:highlight w:val="none"/>
              </w:rPr>
            </w:pPr>
          </w:p>
        </w:tc>
        <w:tc>
          <w:tcPr>
            <w:tcW w:w="1640" w:type="dxa"/>
            <w:vAlign w:val="center"/>
          </w:tcPr>
          <w:p w14:paraId="74E3CFD8">
            <w:pPr>
              <w:rPr>
                <w:rFonts w:ascii="宋体" w:hAnsi="宋体"/>
                <w:b/>
                <w:bCs/>
                <w:color w:val="auto"/>
                <w:spacing w:val="30"/>
                <w:szCs w:val="21"/>
                <w:highlight w:val="none"/>
              </w:rPr>
            </w:pPr>
          </w:p>
        </w:tc>
        <w:tc>
          <w:tcPr>
            <w:tcW w:w="1460" w:type="dxa"/>
            <w:vAlign w:val="center"/>
          </w:tcPr>
          <w:p w14:paraId="6A5F6C28">
            <w:pPr>
              <w:rPr>
                <w:rFonts w:ascii="宋体" w:hAnsi="宋体"/>
                <w:b/>
                <w:bCs/>
                <w:color w:val="auto"/>
                <w:spacing w:val="30"/>
                <w:szCs w:val="21"/>
                <w:highlight w:val="none"/>
              </w:rPr>
            </w:pPr>
          </w:p>
        </w:tc>
        <w:tc>
          <w:tcPr>
            <w:tcW w:w="1988" w:type="dxa"/>
            <w:vAlign w:val="center"/>
          </w:tcPr>
          <w:p w14:paraId="2CD4EEFC">
            <w:pPr>
              <w:rPr>
                <w:rFonts w:ascii="宋体" w:hAnsi="宋体"/>
                <w:b/>
                <w:bCs/>
                <w:color w:val="auto"/>
                <w:spacing w:val="30"/>
                <w:szCs w:val="21"/>
                <w:highlight w:val="none"/>
              </w:rPr>
            </w:pPr>
          </w:p>
        </w:tc>
      </w:tr>
      <w:tr w14:paraId="591C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3073" w:type="dxa"/>
            <w:gridSpan w:val="8"/>
          </w:tcPr>
          <w:p w14:paraId="58E6B585">
            <w:pPr>
              <w:spacing w:line="360" w:lineRule="auto"/>
              <w:rPr>
                <w:rFonts w:ascii="黑体" w:hAnsi="Verdana" w:eastAsia="黑体"/>
                <w:color w:val="auto"/>
                <w:szCs w:val="21"/>
                <w:highlight w:val="none"/>
              </w:rPr>
            </w:pPr>
            <w:r>
              <w:rPr>
                <w:rFonts w:hint="eastAsia" w:ascii="黑体" w:hAnsi="Verdana" w:eastAsia="黑体"/>
                <w:color w:val="auto"/>
                <w:szCs w:val="21"/>
                <w:highlight w:val="none"/>
              </w:rPr>
              <w:t>评标委员会签名：</w:t>
            </w:r>
          </w:p>
          <w:p w14:paraId="30ACA979">
            <w:pPr>
              <w:rPr>
                <w:rFonts w:ascii="黑体" w:hAnsi="Verdana" w:eastAsia="黑体"/>
                <w:color w:val="auto"/>
                <w:szCs w:val="21"/>
                <w:highlight w:val="none"/>
              </w:rPr>
            </w:pPr>
            <w:r>
              <w:rPr>
                <w:rFonts w:hint="eastAsia" w:ascii="黑体" w:hAnsi="Verdana" w:eastAsia="黑体"/>
                <w:color w:val="auto"/>
                <w:szCs w:val="21"/>
                <w:highlight w:val="none"/>
              </w:rPr>
              <w:t xml:space="preserve">      </w:t>
            </w:r>
          </w:p>
          <w:p w14:paraId="42132156">
            <w:pPr>
              <w:rPr>
                <w:rFonts w:ascii="黑体" w:hAnsi="Verdana" w:eastAsia="黑体"/>
                <w:color w:val="auto"/>
                <w:szCs w:val="21"/>
                <w:highlight w:val="none"/>
              </w:rPr>
            </w:pPr>
          </w:p>
          <w:p w14:paraId="175CBB4B">
            <w:pPr>
              <w:jc w:val="right"/>
              <w:rPr>
                <w:rFonts w:ascii="宋体" w:hAnsi="宋体"/>
                <w:b/>
                <w:bCs/>
                <w:color w:val="auto"/>
                <w:spacing w:val="30"/>
                <w:szCs w:val="21"/>
                <w:highlight w:val="none"/>
              </w:rPr>
            </w:pPr>
            <w:r>
              <w:rPr>
                <w:rFonts w:hint="eastAsia" w:ascii="黑体" w:hAnsi="Verdana" w:eastAsia="黑体"/>
                <w:color w:val="auto"/>
                <w:szCs w:val="21"/>
                <w:highlight w:val="none"/>
              </w:rPr>
              <w:t>日期：     年   月  日</w:t>
            </w:r>
          </w:p>
        </w:tc>
      </w:tr>
    </w:tbl>
    <w:p w14:paraId="7D72C3F0">
      <w:pPr>
        <w:jc w:val="right"/>
        <w:rPr>
          <w:rFonts w:ascii="黑体" w:eastAsia="黑体"/>
          <w:color w:val="auto"/>
          <w:szCs w:val="21"/>
          <w:highlight w:val="none"/>
        </w:rPr>
      </w:pPr>
    </w:p>
    <w:p w14:paraId="2810992B">
      <w:pPr>
        <w:rPr>
          <w:rFonts w:ascii="黑体" w:eastAsia="黑体"/>
          <w:color w:val="auto"/>
          <w:szCs w:val="21"/>
          <w:highlight w:val="none"/>
        </w:rPr>
      </w:pPr>
      <w:r>
        <w:rPr>
          <w:rFonts w:hint="eastAsia" w:ascii="黑体" w:eastAsia="黑体"/>
          <w:color w:val="auto"/>
          <w:szCs w:val="21"/>
          <w:highlight w:val="none"/>
        </w:rPr>
        <w:t>注：</w:t>
      </w:r>
    </w:p>
    <w:p w14:paraId="6D7F486C">
      <w:pPr>
        <w:spacing w:line="360" w:lineRule="auto"/>
        <w:ind w:firstLine="420" w:firstLineChars="200"/>
        <w:jc w:val="left"/>
        <w:rPr>
          <w:rFonts w:ascii="黑体" w:eastAsia="黑体"/>
          <w:color w:val="auto"/>
          <w:szCs w:val="21"/>
          <w:highlight w:val="none"/>
        </w:rPr>
      </w:pPr>
      <w:r>
        <w:rPr>
          <w:rFonts w:hint="eastAsia" w:ascii="黑体" w:eastAsia="黑体"/>
          <w:color w:val="auto"/>
          <w:szCs w:val="21"/>
          <w:highlight w:val="none"/>
        </w:rPr>
        <w:t>1.采用定量评审时最终评定得分为去掉评委最高分、最低分后的算术平均值。</w:t>
      </w:r>
    </w:p>
    <w:p w14:paraId="64635F53">
      <w:pPr>
        <w:spacing w:line="360" w:lineRule="auto"/>
        <w:ind w:firstLine="420" w:firstLineChars="200"/>
        <w:jc w:val="left"/>
        <w:rPr>
          <w:rFonts w:ascii="宋体" w:hAnsi="宋体"/>
          <w:b/>
          <w:color w:val="auto"/>
          <w:sz w:val="24"/>
          <w:highlight w:val="none"/>
        </w:rPr>
        <w:sectPr>
          <w:pgSz w:w="15840" w:h="12240" w:orient="landscape"/>
          <w:pgMar w:top="1797" w:right="1440" w:bottom="1797" w:left="1440" w:header="720" w:footer="720" w:gutter="0"/>
          <w:cols w:space="720" w:num="1"/>
        </w:sectPr>
      </w:pPr>
      <w:r>
        <w:rPr>
          <w:rFonts w:hint="eastAsia" w:ascii="黑体" w:eastAsia="黑体"/>
          <w:color w:val="auto"/>
          <w:szCs w:val="21"/>
          <w:highlight w:val="none"/>
        </w:rPr>
        <w:t>2.采用定性评审时超过半数的评委对某一投标单位的技术标判定不合格，则该投标人的技术标为不合格;若超过半数的评委对某一投标单位的技术标判定合格，则该投标单位的技术标为合格。</w:t>
      </w:r>
    </w:p>
    <w:p w14:paraId="0425D4A6">
      <w:pPr>
        <w:spacing w:line="360" w:lineRule="auto"/>
        <w:ind w:firstLine="0" w:firstLineChars="0"/>
        <w:rPr>
          <w:rFonts w:ascii="宋体" w:hAnsi="宋体"/>
          <w:b/>
          <w:color w:val="auto"/>
          <w:sz w:val="24"/>
          <w:highlight w:val="none"/>
        </w:rPr>
      </w:pPr>
    </w:p>
    <w:p w14:paraId="1113C70E">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（二）商务标评审细则</w:t>
      </w:r>
    </w:p>
    <w:p w14:paraId="1A9BAB1D">
      <w:pPr>
        <w:spacing w:line="360" w:lineRule="auto"/>
        <w:ind w:firstLine="562" w:firstLineChars="200"/>
        <w:rPr>
          <w:rFonts w:ascii="仿宋" w:hAnsi="仿宋" w:eastAsia="仿宋" w:cs="宋体"/>
          <w:color w:val="auto"/>
          <w:kern w:val="0"/>
          <w:sz w:val="28"/>
          <w:szCs w:val="28"/>
          <w:highlight w:val="none"/>
        </w:rPr>
      </w:pPr>
      <w:r>
        <w:rPr>
          <w:rFonts w:hint="eastAsia" w:ascii="仿宋" w:hAnsi="仿宋" w:eastAsia="仿宋"/>
          <w:b/>
          <w:color w:val="auto"/>
          <w:sz w:val="28"/>
          <w:szCs w:val="28"/>
          <w:highlight w:val="none"/>
        </w:rPr>
        <w:t>商务标定量评审细则：</w:t>
      </w:r>
    </w:p>
    <w:p w14:paraId="59189B69">
      <w:pPr>
        <w:spacing w:line="360" w:lineRule="auto"/>
        <w:ind w:firstLine="562" w:firstLineChars="200"/>
        <w:rPr>
          <w:rFonts w:ascii="仿宋" w:hAnsi="仿宋" w:eastAsia="仿宋" w:cs="宋体"/>
          <w:b/>
          <w:color w:val="auto"/>
          <w:kern w:val="0"/>
          <w:sz w:val="28"/>
          <w:szCs w:val="28"/>
          <w:highlight w:val="none"/>
        </w:rPr>
      </w:pPr>
      <w:r>
        <w:rPr>
          <w:rFonts w:hint="eastAsia" w:ascii="仿宋" w:hAnsi="仿宋" w:eastAsia="仿宋" w:cs="宋体"/>
          <w:b/>
          <w:color w:val="auto"/>
          <w:kern w:val="0"/>
          <w:sz w:val="28"/>
          <w:szCs w:val="28"/>
          <w:highlight w:val="none"/>
        </w:rPr>
        <w:t>评审细则</w:t>
      </w:r>
    </w:p>
    <w:p w14:paraId="3E3DA313">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（1）将通过初步评审的商务标报价按由低至高的顺序进行排序，去掉最低投标价以及最高投标价之后，再对剩余投标人的投标价取算术平均值，此算术平均值为评标基准值X1，并以X1作为评标基准价。</w:t>
      </w:r>
    </w:p>
    <w:p w14:paraId="48721147">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（2）投标报价等于评标基准价的得30分；投标人投标报价（Xn）每大于评标基准价1个百分点扣2分（不足1%的部分按1%计，下同）；投标人投标报价（Xn）每小于评标基准价1个百分点扣1分。</w:t>
      </w:r>
    </w:p>
    <w:p w14:paraId="0DCED4F2">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（3）设投标人的投标报价为Xn，得分S计算方法如下：</w:t>
      </w:r>
    </w:p>
    <w:p w14:paraId="31F27E65">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S=</w:t>
      </w:r>
      <w:r>
        <w:rPr>
          <w:rFonts w:hint="eastAsia" w:ascii="仿宋" w:hAnsi="仿宋" w:eastAsia="仿宋" w:cs="宋体"/>
          <w:color w:val="auto"/>
          <w:kern w:val="0"/>
          <w:sz w:val="28"/>
          <w:szCs w:val="28"/>
          <w:highlight w:val="none"/>
          <w:lang w:val="en-US" w:eastAsia="zh-CN"/>
        </w:rPr>
        <w:t>30</w:t>
      </w:r>
      <w:r>
        <w:rPr>
          <w:rFonts w:hint="eastAsia" w:ascii="仿宋" w:hAnsi="仿宋" w:eastAsia="仿宋" w:cs="宋体"/>
          <w:color w:val="auto"/>
          <w:kern w:val="0"/>
          <w:sz w:val="28"/>
          <w:szCs w:val="28"/>
          <w:highlight w:val="none"/>
        </w:rPr>
        <w:t>-│Xn – X1│÷X1×</w:t>
      </w:r>
      <w:r>
        <w:rPr>
          <w:rFonts w:hint="eastAsia" w:ascii="仿宋" w:hAnsi="仿宋" w:eastAsia="仿宋" w:cs="宋体"/>
          <w:color w:val="auto"/>
          <w:kern w:val="0"/>
          <w:sz w:val="28"/>
          <w:szCs w:val="28"/>
          <w:highlight w:val="none"/>
          <w:lang w:val="en-US" w:eastAsia="zh-CN"/>
        </w:rPr>
        <w:t>100</w:t>
      </w:r>
      <w:r>
        <w:rPr>
          <w:rFonts w:hint="eastAsia" w:ascii="仿宋" w:hAnsi="仿宋" w:eastAsia="仿宋" w:cs="宋体"/>
          <w:color w:val="auto"/>
          <w:kern w:val="0"/>
          <w:sz w:val="28"/>
          <w:szCs w:val="28"/>
          <w:highlight w:val="none"/>
        </w:rPr>
        <w:t>×2（或1）</w:t>
      </w:r>
    </w:p>
    <w:p w14:paraId="5CA6233E">
      <w:pPr>
        <w:spacing w:line="360" w:lineRule="auto"/>
        <w:ind w:firstLine="560" w:firstLineChars="200"/>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注：当价格分＜0时，取0。得分精确到小数点后二位。</w:t>
      </w:r>
    </w:p>
    <w:p w14:paraId="0B916CED">
      <w:pPr>
        <w:spacing w:line="360" w:lineRule="auto"/>
        <w:jc w:val="center"/>
        <w:rPr>
          <w:rFonts w:ascii="黑体" w:hAnsi="黑体" w:eastAsia="黑体"/>
          <w:color w:val="auto"/>
          <w:sz w:val="30"/>
          <w:szCs w:val="30"/>
          <w:highlight w:val="none"/>
        </w:rPr>
      </w:pPr>
      <w:r>
        <w:rPr>
          <w:rFonts w:ascii="仿宋" w:hAnsi="仿宋" w:eastAsia="仿宋" w:cs="宋体"/>
          <w:color w:val="auto"/>
          <w:kern w:val="0"/>
          <w:sz w:val="28"/>
          <w:szCs w:val="28"/>
          <w:highlight w:val="none"/>
        </w:rPr>
        <w:br w:type="page"/>
      </w:r>
      <w:r>
        <w:rPr>
          <w:rFonts w:hint="eastAsia" w:ascii="黑体" w:hAnsi="黑体" w:eastAsia="黑体"/>
          <w:color w:val="auto"/>
          <w:sz w:val="30"/>
          <w:szCs w:val="30"/>
          <w:highlight w:val="none"/>
        </w:rPr>
        <w:t>商务标评分表</w:t>
      </w:r>
    </w:p>
    <w:tbl>
      <w:tblPr>
        <w:tblStyle w:val="34"/>
        <w:tblW w:w="8683" w:type="dxa"/>
        <w:tblInd w:w="93" w:type="dxa"/>
        <w:tblLayout w:type="fixed"/>
        <w:tblCellMar>
          <w:top w:w="0" w:type="dxa"/>
          <w:left w:w="108" w:type="dxa"/>
          <w:bottom w:w="0" w:type="dxa"/>
          <w:right w:w="108" w:type="dxa"/>
        </w:tblCellMar>
      </w:tblPr>
      <w:tblGrid>
        <w:gridCol w:w="780"/>
        <w:gridCol w:w="2240"/>
        <w:gridCol w:w="2750"/>
        <w:gridCol w:w="2913"/>
      </w:tblGrid>
      <w:tr w14:paraId="72DDFC7B">
        <w:tblPrEx>
          <w:tblCellMar>
            <w:top w:w="0" w:type="dxa"/>
            <w:left w:w="108" w:type="dxa"/>
            <w:bottom w:w="0" w:type="dxa"/>
            <w:right w:w="108" w:type="dxa"/>
          </w:tblCellMar>
        </w:tblPrEx>
        <w:trPr>
          <w:trHeight w:val="499" w:hRule="atLeast"/>
        </w:trPr>
        <w:tc>
          <w:tcPr>
            <w:tcW w:w="8683" w:type="dxa"/>
            <w:gridSpan w:val="4"/>
            <w:tcBorders>
              <w:top w:val="single" w:color="auto" w:sz="4" w:space="0"/>
              <w:left w:val="single" w:color="auto" w:sz="4" w:space="0"/>
              <w:bottom w:val="single" w:color="auto" w:sz="4" w:space="0"/>
              <w:right w:val="single" w:color="auto" w:sz="4" w:space="0"/>
            </w:tcBorders>
            <w:noWrap/>
            <w:vAlign w:val="center"/>
          </w:tcPr>
          <w:p w14:paraId="0272CA21">
            <w:pPr>
              <w:jc w:val="left"/>
              <w:rPr>
                <w:rFonts w:ascii="黑体" w:hAnsi="黑体" w:eastAsia="仿宋" w:cs="宋体"/>
                <w:color w:val="auto"/>
                <w:kern w:val="0"/>
                <w:sz w:val="24"/>
                <w:szCs w:val="24"/>
                <w:highlight w:val="none"/>
              </w:rPr>
            </w:pPr>
            <w:r>
              <w:rPr>
                <w:rFonts w:hint="eastAsia" w:ascii="黑体" w:hAnsi="黑体" w:eastAsia="黑体" w:cs="宋体"/>
                <w:color w:val="auto"/>
                <w:kern w:val="0"/>
                <w:sz w:val="24"/>
                <w:szCs w:val="24"/>
                <w:highlight w:val="none"/>
              </w:rPr>
              <w:t>项目名称：</w:t>
            </w:r>
            <w:r>
              <w:rPr>
                <w:rFonts w:hint="eastAsia" w:ascii="仿宋" w:hAnsi="仿宋" w:eastAsia="仿宋" w:cs="Times New Roman"/>
                <w:b/>
                <w:bCs w:val="0"/>
                <w:color w:val="auto"/>
                <w:kern w:val="2"/>
                <w:sz w:val="24"/>
                <w:szCs w:val="24"/>
                <w:highlight w:val="none"/>
                <w:shd w:val="clear"/>
                <w:lang w:val="en-US" w:eastAsia="zh-CN"/>
              </w:rPr>
              <w:t>第一亚太重庆分公司物业费欠费追缴诉讼服务（第二次）</w:t>
            </w:r>
          </w:p>
        </w:tc>
      </w:tr>
      <w:tr w14:paraId="623308C8">
        <w:tblPrEx>
          <w:tblCellMar>
            <w:top w:w="0" w:type="dxa"/>
            <w:left w:w="108" w:type="dxa"/>
            <w:bottom w:w="0" w:type="dxa"/>
            <w:right w:w="108" w:type="dxa"/>
          </w:tblCellMar>
        </w:tblPrEx>
        <w:trPr>
          <w:trHeight w:val="499" w:hRule="atLeast"/>
        </w:trPr>
        <w:tc>
          <w:tcPr>
            <w:tcW w:w="5770" w:type="dxa"/>
            <w:gridSpan w:val="3"/>
            <w:tcBorders>
              <w:top w:val="single" w:color="auto" w:sz="4" w:space="0"/>
              <w:left w:val="single" w:color="auto" w:sz="4" w:space="0"/>
              <w:bottom w:val="single" w:color="auto" w:sz="4" w:space="0"/>
              <w:right w:val="single" w:color="auto" w:sz="4" w:space="0"/>
            </w:tcBorders>
            <w:noWrap/>
            <w:vAlign w:val="center"/>
          </w:tcPr>
          <w:p w14:paraId="53D58C7D">
            <w:pPr>
              <w:jc w:val="left"/>
              <w:rPr>
                <w:rFonts w:ascii="黑体" w:hAnsi="黑体" w:eastAsia="黑体" w:cs="宋体"/>
                <w:b/>
                <w:bCs/>
                <w:color w:val="auto"/>
                <w:kern w:val="0"/>
                <w:sz w:val="24"/>
                <w:szCs w:val="24"/>
                <w:highlight w:val="none"/>
              </w:rPr>
            </w:pPr>
            <w:r>
              <w:rPr>
                <w:rFonts w:hint="eastAsia" w:ascii="黑体" w:hAnsi="黑体" w:eastAsia="黑体" w:cs="宋体"/>
                <w:b/>
                <w:bCs/>
                <w:color w:val="auto"/>
                <w:kern w:val="0"/>
                <w:sz w:val="24"/>
                <w:szCs w:val="24"/>
                <w:highlight w:val="none"/>
              </w:rPr>
              <w:t>投标报价上限（元）：</w:t>
            </w:r>
          </w:p>
        </w:tc>
        <w:tc>
          <w:tcPr>
            <w:tcW w:w="2913" w:type="dxa"/>
            <w:tcBorders>
              <w:top w:val="single" w:color="auto" w:sz="4" w:space="0"/>
              <w:left w:val="nil"/>
              <w:bottom w:val="single" w:color="auto" w:sz="4" w:space="0"/>
              <w:right w:val="single" w:color="auto" w:sz="4" w:space="0"/>
            </w:tcBorders>
            <w:noWrap/>
            <w:vAlign w:val="center"/>
          </w:tcPr>
          <w:p w14:paraId="53D87CFC">
            <w:pPr>
              <w:jc w:val="left"/>
              <w:rPr>
                <w:rFonts w:ascii="黑体" w:hAnsi="黑体" w:eastAsia="黑体" w:cs="宋体"/>
                <w:b/>
                <w:bCs/>
                <w:color w:val="auto"/>
                <w:kern w:val="0"/>
                <w:sz w:val="24"/>
                <w:szCs w:val="24"/>
                <w:highlight w:val="none"/>
              </w:rPr>
            </w:pPr>
            <w:r>
              <w:rPr>
                <w:rFonts w:hint="eastAsia" w:ascii="黑体" w:hAnsi="黑体" w:eastAsia="黑体" w:cs="宋体"/>
                <w:b/>
                <w:bCs/>
                <w:color w:val="auto"/>
                <w:kern w:val="0"/>
                <w:sz w:val="24"/>
                <w:szCs w:val="24"/>
                <w:highlight w:val="none"/>
              </w:rPr>
              <w:t>抽取下浮率：</w:t>
            </w:r>
          </w:p>
        </w:tc>
      </w:tr>
      <w:tr w14:paraId="44D0BDEF">
        <w:tblPrEx>
          <w:tblCellMar>
            <w:top w:w="0" w:type="dxa"/>
            <w:left w:w="108" w:type="dxa"/>
            <w:bottom w:w="0" w:type="dxa"/>
            <w:right w:w="108" w:type="dxa"/>
          </w:tblCellMar>
        </w:tblPrEx>
        <w:trPr>
          <w:trHeight w:val="1320" w:hRule="atLeast"/>
        </w:trPr>
        <w:tc>
          <w:tcPr>
            <w:tcW w:w="5770" w:type="dxa"/>
            <w:gridSpan w:val="3"/>
            <w:tcBorders>
              <w:top w:val="single" w:color="auto" w:sz="4" w:space="0"/>
              <w:left w:val="single" w:color="auto" w:sz="4" w:space="0"/>
              <w:bottom w:val="single" w:color="auto" w:sz="4" w:space="0"/>
              <w:right w:val="single" w:color="auto" w:sz="4" w:space="0"/>
            </w:tcBorders>
            <w:vAlign w:val="center"/>
          </w:tcPr>
          <w:p w14:paraId="6E105684">
            <w:pPr>
              <w:jc w:val="left"/>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评标基准价计算规则</w:t>
            </w:r>
            <w:r>
              <w:rPr>
                <w:rFonts w:hint="eastAsia" w:ascii="黑体" w:hAnsi="黑体" w:eastAsia="黑体" w:cs="宋体"/>
                <w:color w:val="auto"/>
                <w:kern w:val="0"/>
                <w:sz w:val="24"/>
                <w:szCs w:val="24"/>
                <w:highlight w:val="none"/>
              </w:rPr>
              <w:t>：</w:t>
            </w:r>
            <w:r>
              <w:rPr>
                <w:rFonts w:hint="eastAsia" w:ascii="仿宋" w:hAnsi="仿宋" w:eastAsia="仿宋" w:cs="宋体"/>
                <w:color w:val="auto"/>
                <w:kern w:val="0"/>
                <w:szCs w:val="21"/>
                <w:highlight w:val="none"/>
              </w:rPr>
              <w:t>将通过初步评审的商务标报价按由低至高的顺序进行排序，去掉最低投标价以及最高投标价之后，再对剩余投标人的投标价取算术平均值，此算术平均值为评标基准值X1，并以X1作为评标基准价。</w:t>
            </w:r>
          </w:p>
        </w:tc>
        <w:tc>
          <w:tcPr>
            <w:tcW w:w="2913" w:type="dxa"/>
            <w:tcBorders>
              <w:top w:val="single" w:color="auto" w:sz="4" w:space="0"/>
              <w:left w:val="nil"/>
              <w:bottom w:val="single" w:color="auto" w:sz="4" w:space="0"/>
              <w:right w:val="single" w:color="auto" w:sz="4" w:space="0"/>
            </w:tcBorders>
            <w:noWrap/>
            <w:vAlign w:val="center"/>
          </w:tcPr>
          <w:p w14:paraId="44CE3AD7">
            <w:pPr>
              <w:jc w:val="left"/>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评标基准价X1（元）</w:t>
            </w:r>
            <w:r>
              <w:rPr>
                <w:rFonts w:hint="eastAsia" w:ascii="黑体" w:hAnsi="黑体" w:eastAsia="黑体" w:cs="宋体"/>
                <w:color w:val="auto"/>
                <w:kern w:val="0"/>
                <w:sz w:val="24"/>
                <w:szCs w:val="24"/>
                <w:highlight w:val="none"/>
              </w:rPr>
              <w:t>：</w:t>
            </w:r>
          </w:p>
        </w:tc>
      </w:tr>
      <w:tr w14:paraId="1AD5778D">
        <w:tblPrEx>
          <w:tblCellMar>
            <w:top w:w="0" w:type="dxa"/>
            <w:left w:w="108" w:type="dxa"/>
            <w:bottom w:w="0" w:type="dxa"/>
            <w:right w:w="108" w:type="dxa"/>
          </w:tblCellMar>
        </w:tblPrEx>
        <w:trPr>
          <w:trHeight w:val="1530" w:hRule="atLeast"/>
        </w:trPr>
        <w:tc>
          <w:tcPr>
            <w:tcW w:w="5770" w:type="dxa"/>
            <w:gridSpan w:val="3"/>
            <w:tcBorders>
              <w:top w:val="single" w:color="auto" w:sz="4" w:space="0"/>
              <w:left w:val="single" w:color="auto" w:sz="4" w:space="0"/>
              <w:bottom w:val="single" w:color="auto" w:sz="4" w:space="0"/>
              <w:right w:val="single" w:color="auto" w:sz="4" w:space="0"/>
            </w:tcBorders>
            <w:vAlign w:val="center"/>
          </w:tcPr>
          <w:p w14:paraId="5DEDFD58">
            <w:pPr>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投标报价评分规则：</w:t>
            </w:r>
            <w:r>
              <w:rPr>
                <w:rFonts w:hint="eastAsia" w:ascii="仿宋" w:hAnsi="仿宋" w:eastAsia="仿宋" w:cs="宋体"/>
                <w:color w:val="auto"/>
                <w:kern w:val="0"/>
                <w:szCs w:val="21"/>
                <w:highlight w:val="none"/>
              </w:rPr>
              <w:t>投标报价等于评标基准价的得100分；投标人投标报价（Xn）每大于评标基准价1个百分点扣2分（不足1%的部分按1%计，下同）；投标人投标报价（Xn）每小于评标基准价1个百分点扣1分。</w:t>
            </w:r>
          </w:p>
        </w:tc>
        <w:tc>
          <w:tcPr>
            <w:tcW w:w="2913" w:type="dxa"/>
            <w:tcBorders>
              <w:top w:val="single" w:color="auto" w:sz="4" w:space="0"/>
              <w:left w:val="nil"/>
              <w:bottom w:val="single" w:color="auto" w:sz="4" w:space="0"/>
              <w:right w:val="single" w:color="auto" w:sz="4" w:space="0"/>
            </w:tcBorders>
            <w:vAlign w:val="center"/>
          </w:tcPr>
          <w:p w14:paraId="1E828E56">
            <w:pPr>
              <w:jc w:val="left"/>
              <w:rPr>
                <w:rFonts w:ascii="黑体" w:hAnsi="黑体" w:eastAsia="黑体" w:cs="宋体"/>
                <w:color w:val="auto"/>
                <w:kern w:val="0"/>
                <w:sz w:val="24"/>
                <w:szCs w:val="24"/>
                <w:highlight w:val="none"/>
              </w:rPr>
            </w:pPr>
            <w:r>
              <w:rPr>
                <w:rFonts w:hint="eastAsia" w:ascii="黑体" w:hAnsi="黑体" w:eastAsia="黑体" w:cs="宋体"/>
                <w:b/>
                <w:bCs/>
                <w:color w:val="auto"/>
                <w:kern w:val="0"/>
                <w:sz w:val="24"/>
                <w:szCs w:val="24"/>
                <w:highlight w:val="none"/>
              </w:rPr>
              <w:t>评分公式：</w:t>
            </w:r>
            <w:r>
              <w:rPr>
                <w:rFonts w:hint="eastAsia" w:ascii="仿宋" w:hAnsi="仿宋" w:eastAsia="仿宋" w:cs="宋体"/>
                <w:color w:val="auto"/>
                <w:kern w:val="0"/>
                <w:szCs w:val="21"/>
                <w:highlight w:val="none"/>
              </w:rPr>
              <w:t>S=</w:t>
            </w:r>
            <w:r>
              <w:rPr>
                <w:rFonts w:hint="eastAsia" w:ascii="仿宋" w:hAnsi="仿宋" w:eastAsia="仿宋" w:cs="宋体"/>
                <w:color w:val="auto"/>
                <w:kern w:val="0"/>
                <w:szCs w:val="21"/>
                <w:highlight w:val="none"/>
                <w:lang w:val="en-US" w:eastAsia="zh-CN"/>
              </w:rPr>
              <w:t>30</w:t>
            </w:r>
            <w:r>
              <w:rPr>
                <w:rFonts w:hint="eastAsia" w:ascii="仿宋" w:hAnsi="仿宋" w:eastAsia="仿宋" w:cs="宋体"/>
                <w:color w:val="auto"/>
                <w:kern w:val="0"/>
                <w:szCs w:val="21"/>
                <w:highlight w:val="none"/>
              </w:rPr>
              <w:t>-│Xn – X1│÷X1×</w:t>
            </w:r>
            <w:r>
              <w:rPr>
                <w:rFonts w:hint="eastAsia" w:ascii="仿宋" w:hAnsi="仿宋" w:eastAsia="仿宋" w:cs="宋体"/>
                <w:color w:val="auto"/>
                <w:kern w:val="0"/>
                <w:szCs w:val="21"/>
                <w:highlight w:val="none"/>
                <w:lang w:val="en-US" w:eastAsia="zh-CN"/>
              </w:rPr>
              <w:t>100</w:t>
            </w:r>
            <w:r>
              <w:rPr>
                <w:rFonts w:hint="eastAsia" w:ascii="仿宋" w:hAnsi="仿宋" w:eastAsia="仿宋" w:cs="宋体"/>
                <w:color w:val="auto"/>
                <w:kern w:val="0"/>
                <w:szCs w:val="21"/>
                <w:highlight w:val="none"/>
              </w:rPr>
              <w:t>×2（或1）</w:t>
            </w:r>
          </w:p>
        </w:tc>
      </w:tr>
      <w:tr w14:paraId="7BD11629">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1139961">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序号</w:t>
            </w:r>
          </w:p>
        </w:tc>
        <w:tc>
          <w:tcPr>
            <w:tcW w:w="2240" w:type="dxa"/>
            <w:tcBorders>
              <w:top w:val="nil"/>
              <w:left w:val="nil"/>
              <w:bottom w:val="single" w:color="auto" w:sz="4" w:space="0"/>
              <w:right w:val="single" w:color="auto" w:sz="4" w:space="0"/>
            </w:tcBorders>
            <w:noWrap/>
            <w:vAlign w:val="center"/>
          </w:tcPr>
          <w:p w14:paraId="4DA7E96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投标单位名称</w:t>
            </w:r>
          </w:p>
        </w:tc>
        <w:tc>
          <w:tcPr>
            <w:tcW w:w="2750" w:type="dxa"/>
            <w:tcBorders>
              <w:top w:val="nil"/>
              <w:left w:val="nil"/>
              <w:bottom w:val="single" w:color="auto" w:sz="4" w:space="0"/>
              <w:right w:val="single" w:color="auto" w:sz="4" w:space="0"/>
            </w:tcBorders>
            <w:noWrap/>
            <w:vAlign w:val="center"/>
          </w:tcPr>
          <w:p w14:paraId="61B33B13">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投标报价（元）</w:t>
            </w:r>
          </w:p>
        </w:tc>
        <w:tc>
          <w:tcPr>
            <w:tcW w:w="2913" w:type="dxa"/>
            <w:tcBorders>
              <w:top w:val="nil"/>
              <w:left w:val="nil"/>
              <w:bottom w:val="single" w:color="auto" w:sz="4" w:space="0"/>
              <w:right w:val="single" w:color="auto" w:sz="4" w:space="0"/>
            </w:tcBorders>
            <w:vAlign w:val="center"/>
          </w:tcPr>
          <w:p w14:paraId="2174360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得分S</w:t>
            </w:r>
          </w:p>
        </w:tc>
      </w:tr>
      <w:tr w14:paraId="4A5CEC0F">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60FAFF5A">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noWrap/>
            <w:vAlign w:val="center"/>
          </w:tcPr>
          <w:p w14:paraId="050B502C">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750" w:type="dxa"/>
            <w:tcBorders>
              <w:top w:val="nil"/>
              <w:left w:val="nil"/>
              <w:bottom w:val="single" w:color="auto" w:sz="4" w:space="0"/>
              <w:right w:val="single" w:color="auto" w:sz="4" w:space="0"/>
            </w:tcBorders>
            <w:noWrap/>
            <w:vAlign w:val="center"/>
          </w:tcPr>
          <w:p w14:paraId="152614F0">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913" w:type="dxa"/>
            <w:tcBorders>
              <w:top w:val="nil"/>
              <w:left w:val="nil"/>
              <w:bottom w:val="single" w:color="auto" w:sz="4" w:space="0"/>
              <w:right w:val="single" w:color="auto" w:sz="4" w:space="0"/>
            </w:tcBorders>
            <w:vAlign w:val="center"/>
          </w:tcPr>
          <w:p w14:paraId="4F6A6A43">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40836AF1">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72B5B269">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noWrap/>
            <w:vAlign w:val="center"/>
          </w:tcPr>
          <w:p w14:paraId="508105D5">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750" w:type="dxa"/>
            <w:tcBorders>
              <w:top w:val="nil"/>
              <w:left w:val="nil"/>
              <w:bottom w:val="single" w:color="auto" w:sz="4" w:space="0"/>
              <w:right w:val="single" w:color="auto" w:sz="4" w:space="0"/>
            </w:tcBorders>
            <w:noWrap/>
            <w:vAlign w:val="center"/>
          </w:tcPr>
          <w:p w14:paraId="6756A8EF">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913" w:type="dxa"/>
            <w:tcBorders>
              <w:top w:val="nil"/>
              <w:left w:val="nil"/>
              <w:bottom w:val="single" w:color="auto" w:sz="4" w:space="0"/>
              <w:right w:val="single" w:color="auto" w:sz="4" w:space="0"/>
            </w:tcBorders>
            <w:noWrap/>
            <w:vAlign w:val="center"/>
          </w:tcPr>
          <w:p w14:paraId="352A034B">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45C72D32">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61076BF5">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noWrap/>
            <w:vAlign w:val="center"/>
          </w:tcPr>
          <w:p w14:paraId="31B372E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750" w:type="dxa"/>
            <w:tcBorders>
              <w:top w:val="nil"/>
              <w:left w:val="nil"/>
              <w:bottom w:val="single" w:color="auto" w:sz="4" w:space="0"/>
              <w:right w:val="single" w:color="auto" w:sz="4" w:space="0"/>
            </w:tcBorders>
            <w:noWrap/>
            <w:vAlign w:val="center"/>
          </w:tcPr>
          <w:p w14:paraId="4C5F9D86">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913" w:type="dxa"/>
            <w:tcBorders>
              <w:top w:val="nil"/>
              <w:left w:val="nil"/>
              <w:bottom w:val="single" w:color="auto" w:sz="4" w:space="0"/>
              <w:right w:val="single" w:color="auto" w:sz="4" w:space="0"/>
            </w:tcBorders>
            <w:noWrap/>
            <w:vAlign w:val="center"/>
          </w:tcPr>
          <w:p w14:paraId="218F3EB4">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090EF608">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F895E4D">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noWrap/>
            <w:vAlign w:val="center"/>
          </w:tcPr>
          <w:p w14:paraId="2E63ACD1">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750" w:type="dxa"/>
            <w:tcBorders>
              <w:top w:val="nil"/>
              <w:left w:val="nil"/>
              <w:bottom w:val="single" w:color="auto" w:sz="4" w:space="0"/>
              <w:right w:val="single" w:color="auto" w:sz="4" w:space="0"/>
            </w:tcBorders>
            <w:noWrap/>
            <w:vAlign w:val="center"/>
          </w:tcPr>
          <w:p w14:paraId="45D5FF6B">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913" w:type="dxa"/>
            <w:tcBorders>
              <w:top w:val="nil"/>
              <w:left w:val="nil"/>
              <w:bottom w:val="single" w:color="auto" w:sz="4" w:space="0"/>
              <w:right w:val="single" w:color="auto" w:sz="4" w:space="0"/>
            </w:tcBorders>
            <w:noWrap/>
            <w:vAlign w:val="center"/>
          </w:tcPr>
          <w:p w14:paraId="37423B60">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0C5C5638">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2778D31">
            <w:pPr>
              <w:jc w:val="left"/>
              <w:rPr>
                <w:rFonts w:ascii="黑体" w:hAnsi="黑体" w:eastAsia="黑体" w:cs="宋体"/>
                <w:color w:val="auto"/>
                <w:kern w:val="0"/>
                <w:sz w:val="24"/>
                <w:szCs w:val="24"/>
                <w:highlight w:val="none"/>
              </w:rPr>
            </w:pPr>
          </w:p>
        </w:tc>
        <w:tc>
          <w:tcPr>
            <w:tcW w:w="2240" w:type="dxa"/>
            <w:tcBorders>
              <w:top w:val="nil"/>
              <w:left w:val="nil"/>
              <w:bottom w:val="single" w:color="auto" w:sz="4" w:space="0"/>
              <w:right w:val="single" w:color="auto" w:sz="4" w:space="0"/>
            </w:tcBorders>
            <w:noWrap/>
            <w:vAlign w:val="center"/>
          </w:tcPr>
          <w:p w14:paraId="78D90B35">
            <w:pPr>
              <w:jc w:val="center"/>
              <w:rPr>
                <w:rFonts w:ascii="黑体" w:hAnsi="黑体" w:eastAsia="黑体" w:cs="宋体"/>
                <w:color w:val="auto"/>
                <w:kern w:val="0"/>
                <w:sz w:val="24"/>
                <w:szCs w:val="24"/>
                <w:highlight w:val="none"/>
              </w:rPr>
            </w:pPr>
          </w:p>
        </w:tc>
        <w:tc>
          <w:tcPr>
            <w:tcW w:w="2750" w:type="dxa"/>
            <w:tcBorders>
              <w:top w:val="nil"/>
              <w:left w:val="nil"/>
              <w:bottom w:val="single" w:color="auto" w:sz="4" w:space="0"/>
              <w:right w:val="single" w:color="auto" w:sz="4" w:space="0"/>
            </w:tcBorders>
            <w:noWrap/>
            <w:vAlign w:val="center"/>
          </w:tcPr>
          <w:p w14:paraId="459B0D85">
            <w:pPr>
              <w:jc w:val="center"/>
              <w:rPr>
                <w:rFonts w:ascii="黑体" w:hAnsi="黑体" w:eastAsia="黑体" w:cs="宋体"/>
                <w:color w:val="auto"/>
                <w:kern w:val="0"/>
                <w:sz w:val="24"/>
                <w:szCs w:val="24"/>
                <w:highlight w:val="none"/>
              </w:rPr>
            </w:pPr>
          </w:p>
        </w:tc>
        <w:tc>
          <w:tcPr>
            <w:tcW w:w="2913" w:type="dxa"/>
            <w:tcBorders>
              <w:top w:val="nil"/>
              <w:left w:val="nil"/>
              <w:bottom w:val="single" w:color="auto" w:sz="4" w:space="0"/>
              <w:right w:val="single" w:color="auto" w:sz="4" w:space="0"/>
            </w:tcBorders>
            <w:noWrap/>
            <w:vAlign w:val="center"/>
          </w:tcPr>
          <w:p w14:paraId="526C344F">
            <w:pPr>
              <w:jc w:val="center"/>
              <w:rPr>
                <w:rFonts w:ascii="黑体" w:hAnsi="黑体" w:eastAsia="黑体" w:cs="宋体"/>
                <w:color w:val="auto"/>
                <w:kern w:val="0"/>
                <w:sz w:val="24"/>
                <w:szCs w:val="24"/>
                <w:highlight w:val="none"/>
              </w:rPr>
            </w:pPr>
          </w:p>
        </w:tc>
      </w:tr>
      <w:tr w14:paraId="7DCF6999">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2632D16">
            <w:pPr>
              <w:jc w:val="left"/>
              <w:rPr>
                <w:rFonts w:ascii="黑体" w:hAnsi="黑体" w:eastAsia="黑体" w:cs="宋体"/>
                <w:color w:val="auto"/>
                <w:kern w:val="0"/>
                <w:sz w:val="24"/>
                <w:szCs w:val="24"/>
                <w:highlight w:val="none"/>
              </w:rPr>
            </w:pPr>
          </w:p>
        </w:tc>
        <w:tc>
          <w:tcPr>
            <w:tcW w:w="2240" w:type="dxa"/>
            <w:tcBorders>
              <w:top w:val="nil"/>
              <w:left w:val="nil"/>
              <w:bottom w:val="single" w:color="auto" w:sz="4" w:space="0"/>
              <w:right w:val="single" w:color="auto" w:sz="4" w:space="0"/>
            </w:tcBorders>
            <w:noWrap/>
            <w:vAlign w:val="center"/>
          </w:tcPr>
          <w:p w14:paraId="6A1AAF14">
            <w:pPr>
              <w:jc w:val="center"/>
              <w:rPr>
                <w:rFonts w:ascii="黑体" w:hAnsi="黑体" w:eastAsia="黑体" w:cs="宋体"/>
                <w:color w:val="auto"/>
                <w:kern w:val="0"/>
                <w:sz w:val="24"/>
                <w:szCs w:val="24"/>
                <w:highlight w:val="none"/>
              </w:rPr>
            </w:pPr>
          </w:p>
        </w:tc>
        <w:tc>
          <w:tcPr>
            <w:tcW w:w="2750" w:type="dxa"/>
            <w:tcBorders>
              <w:top w:val="nil"/>
              <w:left w:val="nil"/>
              <w:bottom w:val="single" w:color="auto" w:sz="4" w:space="0"/>
              <w:right w:val="single" w:color="auto" w:sz="4" w:space="0"/>
            </w:tcBorders>
            <w:noWrap/>
            <w:vAlign w:val="center"/>
          </w:tcPr>
          <w:p w14:paraId="25B1F5FC">
            <w:pPr>
              <w:jc w:val="center"/>
              <w:rPr>
                <w:rFonts w:ascii="黑体" w:hAnsi="黑体" w:eastAsia="黑体" w:cs="宋体"/>
                <w:color w:val="auto"/>
                <w:kern w:val="0"/>
                <w:sz w:val="24"/>
                <w:szCs w:val="24"/>
                <w:highlight w:val="none"/>
              </w:rPr>
            </w:pPr>
          </w:p>
        </w:tc>
        <w:tc>
          <w:tcPr>
            <w:tcW w:w="2913" w:type="dxa"/>
            <w:tcBorders>
              <w:top w:val="single" w:color="auto" w:sz="4" w:space="0"/>
              <w:left w:val="nil"/>
              <w:bottom w:val="single" w:color="auto" w:sz="4" w:space="0"/>
              <w:right w:val="single" w:color="auto" w:sz="4" w:space="0"/>
            </w:tcBorders>
            <w:noWrap/>
            <w:vAlign w:val="center"/>
          </w:tcPr>
          <w:p w14:paraId="71D21D2A">
            <w:pPr>
              <w:jc w:val="center"/>
              <w:rPr>
                <w:rFonts w:ascii="黑体" w:hAnsi="黑体" w:eastAsia="黑体" w:cs="宋体"/>
                <w:color w:val="auto"/>
                <w:kern w:val="0"/>
                <w:sz w:val="24"/>
                <w:szCs w:val="24"/>
                <w:highlight w:val="none"/>
              </w:rPr>
            </w:pPr>
          </w:p>
        </w:tc>
      </w:tr>
      <w:tr w14:paraId="1010CAFD">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626AE584">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noWrap/>
            <w:vAlign w:val="center"/>
          </w:tcPr>
          <w:p w14:paraId="52B90EC3">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750" w:type="dxa"/>
            <w:tcBorders>
              <w:top w:val="nil"/>
              <w:left w:val="nil"/>
              <w:bottom w:val="single" w:color="auto" w:sz="4" w:space="0"/>
              <w:right w:val="single" w:color="auto" w:sz="4" w:space="0"/>
            </w:tcBorders>
            <w:noWrap/>
            <w:vAlign w:val="center"/>
          </w:tcPr>
          <w:p w14:paraId="510E2DA0">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913" w:type="dxa"/>
            <w:tcBorders>
              <w:top w:val="nil"/>
              <w:left w:val="nil"/>
              <w:bottom w:val="single" w:color="auto" w:sz="4" w:space="0"/>
              <w:right w:val="single" w:color="auto" w:sz="4" w:space="0"/>
            </w:tcBorders>
            <w:noWrap/>
            <w:vAlign w:val="center"/>
          </w:tcPr>
          <w:p w14:paraId="32D54C3A">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189035A1">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6072E0B">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noWrap/>
            <w:vAlign w:val="center"/>
          </w:tcPr>
          <w:p w14:paraId="4299FF95">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750" w:type="dxa"/>
            <w:tcBorders>
              <w:top w:val="nil"/>
              <w:left w:val="nil"/>
              <w:bottom w:val="single" w:color="auto" w:sz="4" w:space="0"/>
              <w:right w:val="single" w:color="auto" w:sz="4" w:space="0"/>
            </w:tcBorders>
            <w:noWrap/>
            <w:vAlign w:val="center"/>
          </w:tcPr>
          <w:p w14:paraId="5D66A52E">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913" w:type="dxa"/>
            <w:tcBorders>
              <w:top w:val="nil"/>
              <w:left w:val="nil"/>
              <w:bottom w:val="single" w:color="auto" w:sz="4" w:space="0"/>
              <w:right w:val="single" w:color="auto" w:sz="4" w:space="0"/>
            </w:tcBorders>
            <w:noWrap/>
            <w:vAlign w:val="center"/>
          </w:tcPr>
          <w:p w14:paraId="5DBBBADD">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53492B72">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F8229DF">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240" w:type="dxa"/>
            <w:tcBorders>
              <w:top w:val="nil"/>
              <w:left w:val="nil"/>
              <w:bottom w:val="single" w:color="auto" w:sz="4" w:space="0"/>
              <w:right w:val="single" w:color="auto" w:sz="4" w:space="0"/>
            </w:tcBorders>
            <w:noWrap/>
            <w:vAlign w:val="center"/>
          </w:tcPr>
          <w:p w14:paraId="7025D538">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750" w:type="dxa"/>
            <w:tcBorders>
              <w:top w:val="nil"/>
              <w:left w:val="nil"/>
              <w:bottom w:val="single" w:color="auto" w:sz="4" w:space="0"/>
              <w:right w:val="single" w:color="auto" w:sz="4" w:space="0"/>
            </w:tcBorders>
            <w:noWrap/>
            <w:vAlign w:val="center"/>
          </w:tcPr>
          <w:p w14:paraId="2A6DBEDF">
            <w:pPr>
              <w:jc w:val="center"/>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c>
          <w:tcPr>
            <w:tcW w:w="2913" w:type="dxa"/>
            <w:tcBorders>
              <w:top w:val="nil"/>
              <w:left w:val="nil"/>
              <w:bottom w:val="single" w:color="auto" w:sz="4" w:space="0"/>
              <w:right w:val="single" w:color="auto" w:sz="4" w:space="0"/>
            </w:tcBorders>
            <w:noWrap/>
            <w:vAlign w:val="center"/>
          </w:tcPr>
          <w:p w14:paraId="6DD48DF8">
            <w:pPr>
              <w:jc w:val="left"/>
              <w:rPr>
                <w:rFonts w:ascii="黑体" w:hAnsi="黑体" w:eastAsia="黑体" w:cs="宋体"/>
                <w:color w:val="auto"/>
                <w:kern w:val="0"/>
                <w:sz w:val="24"/>
                <w:szCs w:val="24"/>
                <w:highlight w:val="none"/>
              </w:rPr>
            </w:pPr>
            <w:r>
              <w:rPr>
                <w:rFonts w:hint="eastAsia" w:ascii="黑体" w:hAnsi="黑体" w:eastAsia="黑体" w:cs="宋体"/>
                <w:color w:val="auto"/>
                <w:kern w:val="0"/>
                <w:sz w:val="24"/>
                <w:szCs w:val="24"/>
                <w:highlight w:val="none"/>
              </w:rPr>
              <w:t>　　</w:t>
            </w:r>
          </w:p>
        </w:tc>
      </w:tr>
      <w:tr w14:paraId="2F2158AA">
        <w:tblPrEx>
          <w:tblCellMar>
            <w:top w:w="0" w:type="dxa"/>
            <w:left w:w="108" w:type="dxa"/>
            <w:bottom w:w="0" w:type="dxa"/>
            <w:right w:w="108" w:type="dxa"/>
          </w:tblCellMar>
        </w:tblPrEx>
        <w:trPr>
          <w:trHeight w:val="1646" w:hRule="atLeast"/>
        </w:trPr>
        <w:tc>
          <w:tcPr>
            <w:tcW w:w="8683" w:type="dxa"/>
            <w:gridSpan w:val="4"/>
            <w:tcBorders>
              <w:top w:val="single" w:color="auto" w:sz="4" w:space="0"/>
              <w:left w:val="single" w:color="auto" w:sz="4" w:space="0"/>
              <w:bottom w:val="single" w:color="auto" w:sz="4" w:space="0"/>
              <w:right w:val="single" w:color="auto" w:sz="4" w:space="0"/>
            </w:tcBorders>
            <w:noWrap/>
            <w:vAlign w:val="center"/>
          </w:tcPr>
          <w:p w14:paraId="669B2FED">
            <w:pPr>
              <w:spacing w:line="360" w:lineRule="auto"/>
              <w:rPr>
                <w:rFonts w:ascii="黑体" w:hAnsi="Verdana" w:eastAsia="黑体"/>
                <w:color w:val="auto"/>
                <w:szCs w:val="21"/>
                <w:highlight w:val="none"/>
              </w:rPr>
            </w:pPr>
            <w:r>
              <w:rPr>
                <w:rFonts w:hint="eastAsia" w:ascii="黑体" w:hAnsi="Verdana" w:eastAsia="黑体"/>
                <w:color w:val="auto"/>
                <w:szCs w:val="21"/>
                <w:highlight w:val="none"/>
              </w:rPr>
              <w:t>评标委员会签名：</w:t>
            </w:r>
          </w:p>
          <w:p w14:paraId="476FF63A">
            <w:pPr>
              <w:rPr>
                <w:rFonts w:ascii="黑体" w:hAnsi="Verdana" w:eastAsia="黑体"/>
                <w:color w:val="auto"/>
                <w:szCs w:val="21"/>
                <w:highlight w:val="none"/>
              </w:rPr>
            </w:pPr>
            <w:r>
              <w:rPr>
                <w:rFonts w:hint="eastAsia" w:ascii="黑体" w:hAnsi="Verdana" w:eastAsia="黑体"/>
                <w:color w:val="auto"/>
                <w:szCs w:val="21"/>
                <w:highlight w:val="none"/>
              </w:rPr>
              <w:t xml:space="preserve">      </w:t>
            </w:r>
          </w:p>
          <w:p w14:paraId="221DF709">
            <w:pPr>
              <w:rPr>
                <w:rFonts w:ascii="黑体" w:hAnsi="Verdana" w:eastAsia="黑体"/>
                <w:color w:val="auto"/>
                <w:szCs w:val="21"/>
                <w:highlight w:val="none"/>
              </w:rPr>
            </w:pPr>
          </w:p>
          <w:p w14:paraId="634E4DA6">
            <w:pPr>
              <w:jc w:val="right"/>
              <w:rPr>
                <w:rFonts w:ascii="黑体" w:hAnsi="黑体" w:eastAsia="黑体" w:cs="宋体"/>
                <w:color w:val="auto"/>
                <w:kern w:val="0"/>
                <w:sz w:val="24"/>
                <w:szCs w:val="24"/>
                <w:highlight w:val="none"/>
              </w:rPr>
            </w:pPr>
            <w:r>
              <w:rPr>
                <w:rFonts w:hint="eastAsia" w:ascii="黑体" w:hAnsi="Verdana" w:eastAsia="黑体"/>
                <w:color w:val="auto"/>
                <w:szCs w:val="21"/>
                <w:highlight w:val="none"/>
              </w:rPr>
              <w:t>日期：     年   月  日</w:t>
            </w:r>
          </w:p>
        </w:tc>
      </w:tr>
    </w:tbl>
    <w:p w14:paraId="31915EAC">
      <w:pPr>
        <w:rPr>
          <w:rFonts w:ascii="黑体" w:hAnsi="黑体" w:eastAsia="黑体"/>
          <w:b/>
          <w:bCs/>
          <w:color w:val="auto"/>
          <w:szCs w:val="21"/>
          <w:highlight w:val="none"/>
        </w:rPr>
      </w:pPr>
      <w:r>
        <w:rPr>
          <w:rFonts w:hint="eastAsia" w:ascii="黑体" w:hAnsi="黑体" w:eastAsia="黑体"/>
          <w:b/>
          <w:bCs/>
          <w:color w:val="auto"/>
          <w:szCs w:val="21"/>
          <w:highlight w:val="none"/>
        </w:rPr>
        <w:t>备注：</w:t>
      </w:r>
    </w:p>
    <w:p w14:paraId="5CFFB335">
      <w:pPr>
        <w:spacing w:line="360" w:lineRule="auto"/>
        <w:ind w:firstLine="560" w:firstLineChars="200"/>
        <w:rPr>
          <w:rFonts w:ascii="仿宋" w:hAnsi="仿宋" w:eastAsia="仿宋" w:cs="宋体"/>
          <w:color w:val="auto"/>
          <w:kern w:val="0"/>
          <w:sz w:val="28"/>
          <w:szCs w:val="28"/>
          <w:highlight w:val="none"/>
        </w:rPr>
      </w:pPr>
    </w:p>
    <w:p w14:paraId="2DCF76D2">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（三）资信标评审表</w:t>
      </w:r>
    </w:p>
    <w:p w14:paraId="3C1F4388">
      <w:pPr>
        <w:spacing w:line="360" w:lineRule="auto"/>
        <w:ind w:firstLine="600" w:firstLineChars="200"/>
        <w:jc w:val="center"/>
        <w:rPr>
          <w:rFonts w:ascii="黑体" w:hAnsi="黑体" w:eastAsia="黑体"/>
          <w:color w:val="auto"/>
          <w:sz w:val="30"/>
          <w:szCs w:val="30"/>
          <w:highlight w:val="none"/>
        </w:rPr>
      </w:pPr>
      <w:r>
        <w:rPr>
          <w:rFonts w:hint="eastAsia" w:ascii="黑体" w:hAnsi="黑体" w:eastAsia="黑体"/>
          <w:color w:val="auto"/>
          <w:sz w:val="30"/>
          <w:szCs w:val="30"/>
          <w:highlight w:val="none"/>
        </w:rPr>
        <w:t>1.资信标定量评审表</w:t>
      </w:r>
    </w:p>
    <w:p w14:paraId="430225E1">
      <w:pPr>
        <w:spacing w:line="360" w:lineRule="auto"/>
        <w:jc w:val="left"/>
        <w:rPr>
          <w:rFonts w:ascii="华文细黑" w:hAnsi="华文细黑" w:eastAsia="仿宋"/>
          <w:b/>
          <w:color w:val="auto"/>
          <w:sz w:val="36"/>
          <w:highlight w:val="none"/>
        </w:rPr>
      </w:pPr>
      <w:r>
        <w:rPr>
          <w:rFonts w:hint="eastAsia" w:ascii="仿宋" w:hAnsi="仿宋" w:eastAsia="仿宋"/>
          <w:b/>
          <w:color w:val="auto"/>
          <w:sz w:val="24"/>
          <w:szCs w:val="24"/>
          <w:highlight w:val="none"/>
        </w:rPr>
        <w:t>项目名称：</w:t>
      </w:r>
      <w:r>
        <w:rPr>
          <w:rFonts w:hint="eastAsia" w:ascii="仿宋" w:hAnsi="仿宋" w:eastAsia="仿宋" w:cs="Times New Roman"/>
          <w:b/>
          <w:bCs w:val="0"/>
          <w:color w:val="auto"/>
          <w:kern w:val="2"/>
          <w:sz w:val="24"/>
          <w:szCs w:val="24"/>
          <w:highlight w:val="none"/>
          <w:shd w:val="clear"/>
          <w:lang w:val="en-US" w:eastAsia="zh-CN"/>
        </w:rPr>
        <w:t>第一亚太重庆分公司物业费欠费追缴诉讼服务（第二次）</w:t>
      </w:r>
    </w:p>
    <w:tbl>
      <w:tblPr>
        <w:tblStyle w:val="34"/>
        <w:tblW w:w="880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635"/>
        <w:gridCol w:w="3014"/>
        <w:gridCol w:w="1250"/>
        <w:gridCol w:w="1200"/>
        <w:gridCol w:w="1120"/>
      </w:tblGrid>
      <w:tr w14:paraId="00C6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restart"/>
            <w:vAlign w:val="center"/>
          </w:tcPr>
          <w:p w14:paraId="21D2E598">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序号</w:t>
            </w:r>
          </w:p>
        </w:tc>
        <w:tc>
          <w:tcPr>
            <w:tcW w:w="1635" w:type="dxa"/>
            <w:vMerge w:val="restart"/>
            <w:vAlign w:val="center"/>
          </w:tcPr>
          <w:p w14:paraId="127F7CDA">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评 审 内 容 及 要 求</w:t>
            </w:r>
          </w:p>
        </w:tc>
        <w:tc>
          <w:tcPr>
            <w:tcW w:w="3014" w:type="dxa"/>
            <w:vMerge w:val="restart"/>
            <w:vAlign w:val="center"/>
          </w:tcPr>
          <w:p w14:paraId="52D3BE75">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分值范围</w:t>
            </w:r>
          </w:p>
        </w:tc>
        <w:tc>
          <w:tcPr>
            <w:tcW w:w="1250" w:type="dxa"/>
            <w:vAlign w:val="center"/>
          </w:tcPr>
          <w:p w14:paraId="05D3F7A9">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投标人1</w:t>
            </w:r>
          </w:p>
        </w:tc>
        <w:tc>
          <w:tcPr>
            <w:tcW w:w="1200" w:type="dxa"/>
            <w:vAlign w:val="center"/>
          </w:tcPr>
          <w:p w14:paraId="4A6386C6">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投标人2</w:t>
            </w:r>
          </w:p>
        </w:tc>
        <w:tc>
          <w:tcPr>
            <w:tcW w:w="1120" w:type="dxa"/>
            <w:vAlign w:val="center"/>
          </w:tcPr>
          <w:p w14:paraId="49124D89">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投标人3</w:t>
            </w:r>
          </w:p>
        </w:tc>
      </w:tr>
      <w:tr w14:paraId="2827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continue"/>
            <w:vAlign w:val="center"/>
          </w:tcPr>
          <w:p w14:paraId="2075E6F3">
            <w:pPr>
              <w:jc w:val="center"/>
              <w:rPr>
                <w:rFonts w:ascii="黑体" w:hAnsi="黑体" w:eastAsia="黑体"/>
                <w:b/>
                <w:color w:val="auto"/>
                <w:sz w:val="24"/>
                <w:szCs w:val="24"/>
                <w:highlight w:val="none"/>
              </w:rPr>
            </w:pPr>
          </w:p>
        </w:tc>
        <w:tc>
          <w:tcPr>
            <w:tcW w:w="1635" w:type="dxa"/>
            <w:vMerge w:val="continue"/>
            <w:vAlign w:val="center"/>
          </w:tcPr>
          <w:p w14:paraId="168152C4">
            <w:pPr>
              <w:jc w:val="center"/>
              <w:rPr>
                <w:rFonts w:ascii="黑体" w:hAnsi="黑体" w:eastAsia="黑体"/>
                <w:b/>
                <w:color w:val="auto"/>
                <w:sz w:val="24"/>
                <w:szCs w:val="24"/>
                <w:highlight w:val="none"/>
              </w:rPr>
            </w:pPr>
          </w:p>
        </w:tc>
        <w:tc>
          <w:tcPr>
            <w:tcW w:w="3014" w:type="dxa"/>
            <w:vMerge w:val="continue"/>
            <w:vAlign w:val="center"/>
          </w:tcPr>
          <w:p w14:paraId="1CE64A14">
            <w:pPr>
              <w:jc w:val="center"/>
              <w:rPr>
                <w:rFonts w:ascii="黑体" w:hAnsi="黑体" w:eastAsia="黑体"/>
                <w:b/>
                <w:color w:val="auto"/>
                <w:sz w:val="24"/>
                <w:szCs w:val="24"/>
                <w:highlight w:val="none"/>
              </w:rPr>
            </w:pPr>
          </w:p>
        </w:tc>
        <w:tc>
          <w:tcPr>
            <w:tcW w:w="1250" w:type="dxa"/>
            <w:vAlign w:val="center"/>
          </w:tcPr>
          <w:p w14:paraId="301C57AE">
            <w:pPr>
              <w:jc w:val="center"/>
              <w:rPr>
                <w:rFonts w:ascii="黑体" w:hAnsi="黑体" w:eastAsia="黑体"/>
                <w:b/>
                <w:color w:val="auto"/>
                <w:sz w:val="24"/>
                <w:szCs w:val="24"/>
                <w:highlight w:val="none"/>
              </w:rPr>
            </w:pPr>
          </w:p>
        </w:tc>
        <w:tc>
          <w:tcPr>
            <w:tcW w:w="1200" w:type="dxa"/>
            <w:vAlign w:val="center"/>
          </w:tcPr>
          <w:p w14:paraId="730FAD19">
            <w:pPr>
              <w:jc w:val="center"/>
              <w:rPr>
                <w:rFonts w:ascii="黑体" w:hAnsi="黑体" w:eastAsia="黑体"/>
                <w:b/>
                <w:color w:val="auto"/>
                <w:sz w:val="24"/>
                <w:szCs w:val="24"/>
                <w:highlight w:val="none"/>
              </w:rPr>
            </w:pPr>
          </w:p>
        </w:tc>
        <w:tc>
          <w:tcPr>
            <w:tcW w:w="1120" w:type="dxa"/>
            <w:vAlign w:val="center"/>
          </w:tcPr>
          <w:p w14:paraId="6AA4505A">
            <w:pPr>
              <w:jc w:val="center"/>
              <w:rPr>
                <w:rFonts w:ascii="黑体" w:hAnsi="黑体" w:eastAsia="黑体"/>
                <w:b/>
                <w:color w:val="auto"/>
                <w:sz w:val="24"/>
                <w:szCs w:val="24"/>
                <w:highlight w:val="none"/>
              </w:rPr>
            </w:pPr>
          </w:p>
        </w:tc>
      </w:tr>
      <w:tr w14:paraId="3F93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exact"/>
        </w:trPr>
        <w:tc>
          <w:tcPr>
            <w:tcW w:w="588" w:type="dxa"/>
            <w:vAlign w:val="center"/>
          </w:tcPr>
          <w:p w14:paraId="7C6CACDA">
            <w:pPr>
              <w:widowControl w:val="0"/>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1.</w:t>
            </w:r>
          </w:p>
        </w:tc>
        <w:tc>
          <w:tcPr>
            <w:tcW w:w="1635" w:type="dxa"/>
            <w:vAlign w:val="center"/>
          </w:tcPr>
          <w:p w14:paraId="4B827E44">
            <w:pPr>
              <w:adjustRightInd w:val="0"/>
              <w:snapToGrid w:val="0"/>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律所规模</w:t>
            </w:r>
          </w:p>
          <w:p w14:paraId="50F2408B">
            <w:pPr>
              <w:adjustRightInd w:val="0"/>
              <w:snapToGrid w:val="0"/>
              <w:jc w:val="center"/>
              <w:rPr>
                <w:rFonts w:ascii="黑体" w:hAnsi="黑体" w:eastAsia="黑体"/>
                <w:color w:val="auto"/>
                <w:sz w:val="24"/>
                <w:szCs w:val="24"/>
                <w:highlight w:val="none"/>
              </w:rPr>
            </w:pPr>
            <w:r>
              <w:rPr>
                <w:rFonts w:hint="eastAsia" w:ascii="仿宋" w:hAnsi="仿宋" w:eastAsia="仿宋" w:cs="仿宋"/>
                <w:szCs w:val="21"/>
              </w:rPr>
              <w:t>（</w:t>
            </w:r>
            <w:r>
              <w:rPr>
                <w:rFonts w:hint="eastAsia" w:ascii="仿宋" w:hAnsi="仿宋" w:eastAsia="仿宋" w:cs="仿宋"/>
                <w:szCs w:val="21"/>
                <w:lang w:val="en-US" w:eastAsia="zh-CN"/>
              </w:rPr>
              <w:t>2</w:t>
            </w:r>
            <w:r>
              <w:rPr>
                <w:rFonts w:hint="eastAsia" w:ascii="仿宋" w:hAnsi="仿宋" w:eastAsia="仿宋" w:cs="仿宋"/>
                <w:szCs w:val="21"/>
              </w:rPr>
              <w:t>分）</w:t>
            </w:r>
          </w:p>
        </w:tc>
        <w:tc>
          <w:tcPr>
            <w:tcW w:w="3014" w:type="dxa"/>
            <w:vAlign w:val="center"/>
          </w:tcPr>
          <w:p w14:paraId="37FF8CDD">
            <w:pPr>
              <w:numPr>
                <w:ilvl w:val="0"/>
                <w:numId w:val="0"/>
              </w:numPr>
              <w:adjustRightInd w:val="0"/>
              <w:snapToGrid w:val="0"/>
              <w:jc w:val="lef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律所执业律师人数在20人以上得2分；10-20人得1分；</w:t>
            </w:r>
          </w:p>
          <w:p w14:paraId="0816B6A4">
            <w:pPr>
              <w:adjustRightInd w:val="0"/>
              <w:snapToGrid w:val="0"/>
              <w:jc w:val="left"/>
              <w:rPr>
                <w:rFonts w:ascii="黑体" w:hAnsi="黑体" w:eastAsia="仿宋"/>
                <w:color w:val="auto"/>
                <w:sz w:val="24"/>
                <w:szCs w:val="24"/>
                <w:highlight w:val="none"/>
              </w:rPr>
            </w:pPr>
            <w:r>
              <w:rPr>
                <w:rFonts w:hint="eastAsia" w:ascii="仿宋" w:hAnsi="仿宋" w:eastAsia="仿宋" w:cs="仿宋"/>
                <w:color w:val="000000"/>
                <w:szCs w:val="21"/>
                <w:lang w:val="en-US" w:eastAsia="zh-CN"/>
              </w:rPr>
              <w:t>10人以下不得分。（提交社保缴纳证明，分支机构以分支机构为准）</w:t>
            </w:r>
          </w:p>
        </w:tc>
        <w:tc>
          <w:tcPr>
            <w:tcW w:w="1250" w:type="dxa"/>
            <w:vAlign w:val="center"/>
          </w:tcPr>
          <w:p w14:paraId="69F54FEF">
            <w:pPr>
              <w:jc w:val="center"/>
              <w:rPr>
                <w:rFonts w:ascii="黑体" w:hAnsi="黑体" w:eastAsia="黑体"/>
                <w:color w:val="auto"/>
                <w:sz w:val="24"/>
                <w:szCs w:val="24"/>
                <w:highlight w:val="none"/>
              </w:rPr>
            </w:pPr>
          </w:p>
        </w:tc>
        <w:tc>
          <w:tcPr>
            <w:tcW w:w="1200" w:type="dxa"/>
            <w:vAlign w:val="center"/>
          </w:tcPr>
          <w:p w14:paraId="4FEAFBFA">
            <w:pPr>
              <w:jc w:val="center"/>
              <w:rPr>
                <w:rFonts w:ascii="黑体" w:hAnsi="黑体" w:eastAsia="黑体"/>
                <w:color w:val="auto"/>
                <w:sz w:val="24"/>
                <w:szCs w:val="24"/>
                <w:highlight w:val="none"/>
              </w:rPr>
            </w:pPr>
          </w:p>
        </w:tc>
        <w:tc>
          <w:tcPr>
            <w:tcW w:w="1120" w:type="dxa"/>
            <w:vAlign w:val="center"/>
          </w:tcPr>
          <w:p w14:paraId="745BCDD8">
            <w:pPr>
              <w:jc w:val="center"/>
              <w:rPr>
                <w:rFonts w:ascii="黑体" w:hAnsi="黑体" w:eastAsia="黑体"/>
                <w:color w:val="auto"/>
                <w:sz w:val="24"/>
                <w:szCs w:val="24"/>
                <w:highlight w:val="none"/>
              </w:rPr>
            </w:pPr>
          </w:p>
        </w:tc>
      </w:tr>
      <w:tr w14:paraId="23DC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exact"/>
        </w:trPr>
        <w:tc>
          <w:tcPr>
            <w:tcW w:w="588" w:type="dxa"/>
            <w:vAlign w:val="center"/>
          </w:tcPr>
          <w:p w14:paraId="3A1C6A83">
            <w:pPr>
              <w:widowControl w:val="0"/>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2.</w:t>
            </w:r>
          </w:p>
        </w:tc>
        <w:tc>
          <w:tcPr>
            <w:tcW w:w="1635" w:type="dxa"/>
            <w:vAlign w:val="center"/>
          </w:tcPr>
          <w:p w14:paraId="6FBCE9B4">
            <w:pPr>
              <w:adjustRightInd w:val="0"/>
              <w:snapToGrid w:val="0"/>
              <w:jc w:val="center"/>
              <w:rPr>
                <w:rFonts w:ascii="仿宋" w:hAnsi="仿宋" w:eastAsia="仿宋" w:cs="仿宋"/>
                <w:szCs w:val="21"/>
              </w:rPr>
            </w:pPr>
            <w:r>
              <w:rPr>
                <w:rFonts w:hint="eastAsia" w:ascii="仿宋" w:hAnsi="仿宋" w:eastAsia="仿宋" w:cs="仿宋"/>
                <w:szCs w:val="21"/>
              </w:rPr>
              <w:t>业绩证明</w:t>
            </w:r>
          </w:p>
          <w:p w14:paraId="5273FC5D">
            <w:pPr>
              <w:adjustRightInd w:val="0"/>
              <w:snapToGrid w:val="0"/>
              <w:jc w:val="center"/>
              <w:rPr>
                <w:rFonts w:ascii="黑体" w:hAnsi="黑体" w:eastAsia="黑体"/>
                <w:color w:val="auto"/>
                <w:sz w:val="24"/>
                <w:szCs w:val="24"/>
                <w:highlight w:val="none"/>
              </w:rPr>
            </w:pPr>
            <w:r>
              <w:rPr>
                <w:rFonts w:hint="eastAsia" w:ascii="仿宋" w:hAnsi="仿宋" w:eastAsia="仿宋" w:cs="仿宋"/>
                <w:szCs w:val="21"/>
              </w:rPr>
              <w:t>（</w:t>
            </w:r>
            <w:r>
              <w:rPr>
                <w:rFonts w:hint="eastAsia" w:ascii="仿宋" w:hAnsi="仿宋" w:eastAsia="仿宋" w:cs="仿宋"/>
                <w:szCs w:val="21"/>
                <w:lang w:val="en-US" w:eastAsia="zh-CN"/>
              </w:rPr>
              <w:t>6</w:t>
            </w:r>
            <w:r>
              <w:rPr>
                <w:rFonts w:hint="eastAsia" w:ascii="仿宋" w:hAnsi="仿宋" w:eastAsia="仿宋" w:cs="仿宋"/>
                <w:szCs w:val="21"/>
              </w:rPr>
              <w:t>分）</w:t>
            </w:r>
          </w:p>
        </w:tc>
        <w:tc>
          <w:tcPr>
            <w:tcW w:w="3014" w:type="dxa"/>
            <w:vAlign w:val="center"/>
          </w:tcPr>
          <w:p w14:paraId="2DA66E29">
            <w:pPr>
              <w:adjustRightInd w:val="0"/>
              <w:snapToGrid w:val="0"/>
              <w:jc w:val="left"/>
              <w:rPr>
                <w:rFonts w:ascii="黑体" w:hAnsi="黑体" w:eastAsia="黑体"/>
                <w:color w:val="auto"/>
                <w:sz w:val="24"/>
                <w:szCs w:val="24"/>
                <w:highlight w:val="none"/>
              </w:rPr>
            </w:pPr>
            <w:r>
              <w:rPr>
                <w:rFonts w:hint="eastAsia" w:ascii="仿宋" w:hAnsi="仿宋" w:eastAsia="仿宋" w:cs="仿宋"/>
                <w:b/>
                <w:bCs/>
                <w:color w:val="000000"/>
                <w:szCs w:val="21"/>
                <w:highlight w:val="none"/>
                <w:lang w:val="en-US" w:eastAsia="zh-CN"/>
              </w:rPr>
              <w:t>合同有效期内，</w:t>
            </w:r>
            <w:r>
              <w:rPr>
                <w:rFonts w:hint="eastAsia" w:ascii="仿宋" w:hAnsi="仿宋" w:eastAsia="仿宋" w:cs="仿宋"/>
                <w:b w:val="0"/>
                <w:bCs w:val="0"/>
                <w:color w:val="000000"/>
                <w:szCs w:val="21"/>
                <w:highlight w:val="none"/>
                <w:lang w:val="en-US" w:eastAsia="zh-CN"/>
              </w:rPr>
              <w:t>催收回款金</w:t>
            </w:r>
            <w:r>
              <w:rPr>
                <w:rFonts w:hint="eastAsia" w:ascii="仿宋" w:hAnsi="仿宋" w:eastAsia="仿宋" w:cs="仿宋"/>
                <w:color w:val="000000"/>
                <w:szCs w:val="21"/>
                <w:highlight w:val="none"/>
                <w:lang w:val="en-US" w:eastAsia="zh-CN"/>
              </w:rPr>
              <w:t>额超过30万元或立案户数超过10户的物业费催收成功业绩，每提供1</w:t>
            </w:r>
            <w:r>
              <w:rPr>
                <w:rFonts w:hint="eastAsia" w:ascii="仿宋" w:hAnsi="仿宋" w:eastAsia="仿宋" w:cs="仿宋"/>
                <w:color w:val="000000"/>
                <w:szCs w:val="21"/>
                <w:highlight w:val="none"/>
              </w:rPr>
              <w:t>项目得</w:t>
            </w:r>
            <w:r>
              <w:rPr>
                <w:rFonts w:hint="eastAsia" w:ascii="仿宋" w:hAnsi="仿宋" w:eastAsia="仿宋" w:cs="仿宋"/>
                <w:color w:val="000000"/>
                <w:szCs w:val="21"/>
                <w:highlight w:val="none"/>
                <w:lang w:val="en-US" w:eastAsia="zh-CN"/>
              </w:rPr>
              <w:t>2</w:t>
            </w:r>
            <w:r>
              <w:rPr>
                <w:rFonts w:hint="eastAsia" w:ascii="仿宋" w:hAnsi="仿宋" w:eastAsia="仿宋" w:cs="仿宋"/>
                <w:color w:val="000000"/>
                <w:szCs w:val="21"/>
                <w:highlight w:val="none"/>
              </w:rPr>
              <w:t>分；满分</w:t>
            </w:r>
            <w:r>
              <w:rPr>
                <w:rFonts w:hint="eastAsia" w:ascii="仿宋" w:hAnsi="仿宋" w:eastAsia="仿宋" w:cs="仿宋"/>
                <w:color w:val="000000"/>
                <w:szCs w:val="21"/>
                <w:highlight w:val="none"/>
                <w:lang w:val="en-US" w:eastAsia="zh-CN"/>
              </w:rPr>
              <w:t>6</w:t>
            </w:r>
            <w:r>
              <w:rPr>
                <w:rFonts w:hint="eastAsia" w:ascii="仿宋" w:hAnsi="仿宋" w:eastAsia="仿宋" w:cs="仿宋"/>
                <w:color w:val="000000"/>
                <w:szCs w:val="21"/>
                <w:highlight w:val="none"/>
              </w:rPr>
              <w:t>分</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lang w:val="en-US" w:eastAsia="zh-CN"/>
              </w:rPr>
              <w:t>需提供合同关键页+法院判决书/调解书、或银行回款凭证复印件</w:t>
            </w:r>
            <w:r>
              <w:rPr>
                <w:rFonts w:hint="eastAsia" w:ascii="仿宋" w:hAnsi="仿宋" w:eastAsia="仿宋" w:cs="仿宋"/>
                <w:color w:val="000000"/>
                <w:szCs w:val="21"/>
                <w:highlight w:val="none"/>
                <w:lang w:eastAsia="zh-CN"/>
              </w:rPr>
              <w:t>）。</w:t>
            </w:r>
          </w:p>
        </w:tc>
        <w:tc>
          <w:tcPr>
            <w:tcW w:w="1250" w:type="dxa"/>
            <w:vAlign w:val="center"/>
          </w:tcPr>
          <w:p w14:paraId="225C660D">
            <w:pPr>
              <w:jc w:val="center"/>
              <w:rPr>
                <w:rFonts w:ascii="黑体" w:hAnsi="黑体" w:eastAsia="黑体"/>
                <w:color w:val="auto"/>
                <w:sz w:val="24"/>
                <w:szCs w:val="24"/>
                <w:highlight w:val="none"/>
              </w:rPr>
            </w:pPr>
          </w:p>
        </w:tc>
        <w:tc>
          <w:tcPr>
            <w:tcW w:w="1200" w:type="dxa"/>
            <w:vAlign w:val="center"/>
          </w:tcPr>
          <w:p w14:paraId="48C3C486">
            <w:pPr>
              <w:jc w:val="center"/>
              <w:rPr>
                <w:rFonts w:ascii="黑体" w:hAnsi="黑体" w:eastAsia="黑体"/>
                <w:color w:val="auto"/>
                <w:sz w:val="24"/>
                <w:szCs w:val="24"/>
                <w:highlight w:val="none"/>
              </w:rPr>
            </w:pPr>
          </w:p>
        </w:tc>
        <w:tc>
          <w:tcPr>
            <w:tcW w:w="1120" w:type="dxa"/>
            <w:vAlign w:val="center"/>
          </w:tcPr>
          <w:p w14:paraId="6FBA06D8">
            <w:pPr>
              <w:jc w:val="center"/>
              <w:rPr>
                <w:rFonts w:ascii="黑体" w:hAnsi="黑体" w:eastAsia="黑体"/>
                <w:color w:val="auto"/>
                <w:sz w:val="24"/>
                <w:szCs w:val="24"/>
                <w:highlight w:val="none"/>
              </w:rPr>
            </w:pPr>
          </w:p>
        </w:tc>
      </w:tr>
      <w:tr w14:paraId="68A0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exact"/>
        </w:trPr>
        <w:tc>
          <w:tcPr>
            <w:tcW w:w="588" w:type="dxa"/>
            <w:vAlign w:val="center"/>
          </w:tcPr>
          <w:p w14:paraId="60213035">
            <w:pPr>
              <w:widowControl w:val="0"/>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3.</w:t>
            </w:r>
          </w:p>
        </w:tc>
        <w:tc>
          <w:tcPr>
            <w:tcW w:w="1635" w:type="dxa"/>
            <w:vAlign w:val="center"/>
          </w:tcPr>
          <w:p w14:paraId="4F1E4B7C">
            <w:pPr>
              <w:adjustRightInd w:val="0"/>
              <w:snapToGrid w:val="0"/>
              <w:jc w:val="center"/>
              <w:rPr>
                <w:rFonts w:hint="eastAsia" w:ascii="仿宋" w:hAnsi="仿宋" w:eastAsia="仿宋" w:cs="仿宋"/>
                <w:szCs w:val="21"/>
                <w:lang w:val="en-US" w:eastAsia="zh-CN"/>
              </w:rPr>
            </w:pPr>
            <w:r>
              <w:rPr>
                <w:rFonts w:hint="eastAsia" w:ascii="仿宋" w:hAnsi="仿宋" w:eastAsia="仿宋" w:cs="仿宋"/>
                <w:szCs w:val="21"/>
                <w:lang w:val="en-US" w:eastAsia="zh-CN"/>
              </w:rPr>
              <w:t>资质</w:t>
            </w:r>
          </w:p>
          <w:p w14:paraId="7347EB84">
            <w:pPr>
              <w:pStyle w:val="13"/>
              <w:jc w:val="center"/>
              <w:rPr>
                <w:rFonts w:ascii="黑体" w:hAnsi="黑体" w:eastAsia="黑体"/>
                <w:color w:val="auto"/>
                <w:sz w:val="24"/>
                <w:szCs w:val="24"/>
                <w:highlight w:val="none"/>
              </w:rPr>
            </w:pPr>
            <w:r>
              <w:rPr>
                <w:rFonts w:hint="eastAsia" w:ascii="仿宋" w:hAnsi="仿宋" w:eastAsia="仿宋" w:cs="仿宋"/>
                <w:szCs w:val="21"/>
              </w:rPr>
              <w:t>（</w:t>
            </w:r>
            <w:r>
              <w:rPr>
                <w:rFonts w:hint="eastAsia" w:ascii="仿宋" w:hAnsi="仿宋" w:eastAsia="仿宋" w:cs="仿宋"/>
                <w:szCs w:val="21"/>
                <w:lang w:val="en-US" w:eastAsia="zh-CN"/>
              </w:rPr>
              <w:t>2</w:t>
            </w:r>
            <w:r>
              <w:rPr>
                <w:rFonts w:hint="eastAsia" w:ascii="仿宋" w:hAnsi="仿宋" w:eastAsia="仿宋" w:cs="仿宋"/>
                <w:szCs w:val="21"/>
              </w:rPr>
              <w:t>分）</w:t>
            </w:r>
          </w:p>
        </w:tc>
        <w:tc>
          <w:tcPr>
            <w:tcW w:w="3014" w:type="dxa"/>
            <w:vAlign w:val="center"/>
          </w:tcPr>
          <w:p w14:paraId="0B212D82">
            <w:pPr>
              <w:pStyle w:val="13"/>
              <w:jc w:val="left"/>
              <w:rPr>
                <w:rFonts w:ascii="黑体" w:hAnsi="黑体" w:eastAsia="黑体"/>
                <w:color w:val="auto"/>
                <w:sz w:val="24"/>
                <w:szCs w:val="24"/>
                <w:highlight w:val="none"/>
              </w:rPr>
            </w:pPr>
            <w:r>
              <w:rPr>
                <w:rFonts w:hint="eastAsia" w:ascii="仿宋" w:hAnsi="仿宋" w:eastAsia="仿宋" w:cs="仿宋"/>
                <w:color w:val="000000"/>
                <w:szCs w:val="21"/>
                <w:highlight w:val="none"/>
                <w:lang w:val="en-US" w:eastAsia="zh-CN"/>
              </w:rPr>
              <w:t>司法/律协优秀律所、优秀律师、专项表彰等市级及以上荣誉，每提供1项</w:t>
            </w:r>
            <w:r>
              <w:rPr>
                <w:rFonts w:hint="eastAsia" w:ascii="仿宋" w:hAnsi="仿宋" w:eastAsia="仿宋" w:cs="仿宋"/>
                <w:color w:val="000000"/>
                <w:szCs w:val="21"/>
                <w:highlight w:val="none"/>
              </w:rPr>
              <w:t>得</w:t>
            </w:r>
            <w:r>
              <w:rPr>
                <w:rFonts w:hint="eastAsia" w:ascii="仿宋" w:hAnsi="仿宋" w:eastAsia="仿宋" w:cs="仿宋"/>
                <w:color w:val="000000"/>
                <w:szCs w:val="21"/>
                <w:highlight w:val="none"/>
                <w:lang w:val="en-US" w:eastAsia="zh-CN"/>
              </w:rPr>
              <w:t>1</w:t>
            </w:r>
            <w:r>
              <w:rPr>
                <w:rFonts w:hint="eastAsia" w:ascii="仿宋" w:hAnsi="仿宋" w:eastAsia="仿宋" w:cs="仿宋"/>
                <w:color w:val="000000"/>
                <w:szCs w:val="21"/>
                <w:highlight w:val="none"/>
              </w:rPr>
              <w:t>分</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lang w:val="en-US" w:eastAsia="zh-CN"/>
              </w:rPr>
              <w:t>满分2分</w:t>
            </w:r>
            <w:r>
              <w:rPr>
                <w:rFonts w:hint="eastAsia" w:ascii="仿宋" w:hAnsi="仿宋" w:eastAsia="仿宋" w:cs="仿宋"/>
                <w:color w:val="000000"/>
                <w:szCs w:val="21"/>
                <w:highlight w:val="none"/>
                <w:lang w:eastAsia="zh-CN"/>
              </w:rPr>
              <w:t>。</w:t>
            </w:r>
          </w:p>
        </w:tc>
        <w:tc>
          <w:tcPr>
            <w:tcW w:w="1250" w:type="dxa"/>
            <w:vAlign w:val="center"/>
          </w:tcPr>
          <w:p w14:paraId="0610C0FD">
            <w:pPr>
              <w:jc w:val="center"/>
              <w:rPr>
                <w:rFonts w:ascii="黑体" w:hAnsi="黑体" w:eastAsia="黑体"/>
                <w:color w:val="auto"/>
                <w:sz w:val="24"/>
                <w:szCs w:val="24"/>
                <w:highlight w:val="none"/>
              </w:rPr>
            </w:pPr>
          </w:p>
        </w:tc>
        <w:tc>
          <w:tcPr>
            <w:tcW w:w="1200" w:type="dxa"/>
            <w:vAlign w:val="center"/>
          </w:tcPr>
          <w:p w14:paraId="27EAC566">
            <w:pPr>
              <w:jc w:val="center"/>
              <w:rPr>
                <w:rFonts w:ascii="黑体" w:hAnsi="黑体" w:eastAsia="黑体"/>
                <w:color w:val="auto"/>
                <w:sz w:val="24"/>
                <w:szCs w:val="24"/>
                <w:highlight w:val="none"/>
              </w:rPr>
            </w:pPr>
          </w:p>
        </w:tc>
        <w:tc>
          <w:tcPr>
            <w:tcW w:w="1120" w:type="dxa"/>
            <w:vAlign w:val="center"/>
          </w:tcPr>
          <w:p w14:paraId="727F8746">
            <w:pPr>
              <w:jc w:val="center"/>
              <w:rPr>
                <w:rFonts w:ascii="黑体" w:hAnsi="黑体" w:eastAsia="黑体"/>
                <w:color w:val="auto"/>
                <w:sz w:val="24"/>
                <w:szCs w:val="24"/>
                <w:highlight w:val="none"/>
              </w:rPr>
            </w:pPr>
          </w:p>
        </w:tc>
      </w:tr>
      <w:tr w14:paraId="7B82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88" w:type="dxa"/>
            <w:vAlign w:val="center"/>
          </w:tcPr>
          <w:p w14:paraId="26DD263B">
            <w:pPr>
              <w:jc w:val="center"/>
              <w:rPr>
                <w:rFonts w:ascii="黑体" w:hAnsi="黑体" w:eastAsia="黑体"/>
                <w:color w:val="auto"/>
                <w:sz w:val="28"/>
                <w:szCs w:val="28"/>
                <w:highlight w:val="none"/>
              </w:rPr>
            </w:pPr>
          </w:p>
        </w:tc>
        <w:tc>
          <w:tcPr>
            <w:tcW w:w="1635" w:type="dxa"/>
            <w:vAlign w:val="center"/>
          </w:tcPr>
          <w:p w14:paraId="631B1BE4">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合  计  分</w:t>
            </w:r>
          </w:p>
        </w:tc>
        <w:tc>
          <w:tcPr>
            <w:tcW w:w="3014" w:type="dxa"/>
            <w:vAlign w:val="center"/>
          </w:tcPr>
          <w:p w14:paraId="3058BA18">
            <w:pPr>
              <w:jc w:val="center"/>
              <w:rPr>
                <w:rStyle w:val="39"/>
                <w:rFonts w:ascii="黑体" w:hAnsi="黑体" w:eastAsia="黑体"/>
                <w:i w:val="0"/>
                <w:color w:val="auto"/>
                <w:highlight w:val="none"/>
              </w:rPr>
            </w:pPr>
            <w:r>
              <w:rPr>
                <w:rFonts w:hint="eastAsia" w:ascii="黑体" w:hAnsi="黑体" w:eastAsia="黑体"/>
                <w:b/>
                <w:color w:val="auto"/>
                <w:sz w:val="24"/>
                <w:szCs w:val="24"/>
                <w:highlight w:val="none"/>
              </w:rPr>
              <w:t>10</w:t>
            </w:r>
          </w:p>
        </w:tc>
        <w:tc>
          <w:tcPr>
            <w:tcW w:w="1250" w:type="dxa"/>
            <w:vAlign w:val="center"/>
          </w:tcPr>
          <w:p w14:paraId="66129030">
            <w:pPr>
              <w:jc w:val="center"/>
              <w:rPr>
                <w:rFonts w:ascii="黑体" w:hAnsi="黑体" w:eastAsia="黑体"/>
                <w:color w:val="auto"/>
                <w:sz w:val="28"/>
                <w:szCs w:val="28"/>
                <w:highlight w:val="none"/>
              </w:rPr>
            </w:pPr>
            <w:r>
              <w:rPr>
                <w:rFonts w:ascii="黑体" w:hAnsi="黑体" w:eastAsia="黑体"/>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-36830</wp:posOffset>
                      </wp:positionH>
                      <wp:positionV relativeFrom="paragraph">
                        <wp:posOffset>43815</wp:posOffset>
                      </wp:positionV>
                      <wp:extent cx="751840" cy="295910"/>
                      <wp:effectExtent l="3175" t="7620" r="6985" b="20320"/>
                      <wp:wrapNone/>
                      <wp:docPr id="1" name="自选图形 3"/>
                      <wp:cNvGraphicFramePr/>
                      <a:graphic xmlns:a="http://schemas.openxmlformats.org/drawingml/2006/main">
                        <a:graphicData uri="http://schemas.microsoft.com/office/word/2010/wordprocessingShape">
                          <wps:wsp>
                            <wps:cNvCnPr/>
                            <wps:spPr>
                              <a:xfrm>
                                <a:off x="0" y="0"/>
                                <a:ext cx="751840" cy="29591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2.9pt;margin-top:3.45pt;height:23.3pt;width:59.2pt;z-index:251660288;mso-width-relative:page;mso-height-relative:page;" filled="f" stroked="t" coordsize="21600,21600" o:gfxdata="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mIrUnWAAAABwEAAA8AAAAAAAAAAQAgAAAAIgAAAGRycy9kb3ducmV2Lnht&#10;bFBLAQIUABQAAAAIAIdO4kAdLWKn+wEAAOgDAAAOAAAAAAAAAAEAIAAAACUBAABkcnMvZTJvRG9j&#10;LnhtbFBLBQYAAAAABgAGAFkBAACSBQAAAAA=&#10;">
                      <v:fill on="f" focussize="0,0"/>
                      <v:stroke weight="1.25pt" color="#000000" joinstyle="round"/>
                      <v:imagedata o:title=""/>
                      <o:lock v:ext="edit" aspectratio="f"/>
                    </v:shape>
                  </w:pict>
                </mc:Fallback>
              </mc:AlternateContent>
            </w:r>
          </w:p>
        </w:tc>
        <w:tc>
          <w:tcPr>
            <w:tcW w:w="1200" w:type="dxa"/>
            <w:vAlign w:val="center"/>
          </w:tcPr>
          <w:p w14:paraId="5F7EF834">
            <w:pPr>
              <w:jc w:val="center"/>
              <w:rPr>
                <w:rFonts w:ascii="黑体" w:hAnsi="黑体" w:eastAsia="黑体"/>
                <w:color w:val="auto"/>
                <w:sz w:val="28"/>
                <w:szCs w:val="28"/>
                <w:highlight w:val="none"/>
              </w:rPr>
            </w:pPr>
            <w:r>
              <w:rPr>
                <w:rFonts w:ascii="黑体" w:hAnsi="黑体" w:eastAsia="黑体"/>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-51435</wp:posOffset>
                      </wp:positionH>
                      <wp:positionV relativeFrom="paragraph">
                        <wp:posOffset>16510</wp:posOffset>
                      </wp:positionV>
                      <wp:extent cx="719455" cy="338455"/>
                      <wp:effectExtent l="3175" t="6985" r="20320" b="16510"/>
                      <wp:wrapNone/>
                      <wp:docPr id="2" name="自选图形 4"/>
                      <wp:cNvGraphicFramePr/>
                      <a:graphic xmlns:a="http://schemas.openxmlformats.org/drawingml/2006/main">
                        <a:graphicData uri="http://schemas.microsoft.com/office/word/2010/wordprocessingShape">
                          <wps:wsp>
                            <wps:cNvCnPr/>
                            <wps:spPr>
                              <a:xfrm>
                                <a:off x="0" y="0"/>
                                <a:ext cx="719455" cy="33845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4.05pt;margin-top:1.3pt;height:26.65pt;width:56.65pt;z-index:251661312;mso-width-relative:page;mso-height-relative:page;" filled="f" stroked="t" coordsize="21600,21600" o:gfxdata="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tfsc9YAAAAHAQAADwAAAAAAAAABACAAAAAiAAAAZHJzL2Rvd25yZXYueG1sUEsB&#10;AhQAFAAAAAgAh07iQLO9DY/3AQAA6AMAAA4AAAAAAAAAAQAgAAAAJQEAAGRycy9lMm9Eb2MueG1s&#10;UEsFBgAAAAAGAAYAWQEAAI4FAAAAAA==&#10;">
                      <v:fill on="f" focussize="0,0"/>
                      <v:stroke weight="1.25pt" color="#000000" joinstyle="round"/>
                      <v:imagedata o:title=""/>
                      <o:lock v:ext="edit" aspectratio="f"/>
                    </v:shape>
                  </w:pict>
                </mc:Fallback>
              </mc:AlternateContent>
            </w:r>
          </w:p>
        </w:tc>
        <w:tc>
          <w:tcPr>
            <w:tcW w:w="1120" w:type="dxa"/>
            <w:vAlign w:val="center"/>
          </w:tcPr>
          <w:p w14:paraId="59D082B9">
            <w:pPr>
              <w:jc w:val="center"/>
              <w:rPr>
                <w:rFonts w:ascii="黑体" w:hAnsi="黑体" w:eastAsia="黑体"/>
                <w:color w:val="auto"/>
                <w:sz w:val="28"/>
                <w:szCs w:val="28"/>
                <w:highlight w:val="none"/>
              </w:rPr>
            </w:pPr>
            <w:r>
              <w:rPr>
                <w:rFonts w:ascii="黑体" w:hAnsi="黑体" w:eastAsia="黑体"/>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-49530</wp:posOffset>
                      </wp:positionH>
                      <wp:positionV relativeFrom="paragraph">
                        <wp:posOffset>3810</wp:posOffset>
                      </wp:positionV>
                      <wp:extent cx="647700" cy="330200"/>
                      <wp:effectExtent l="3810" t="6985" r="15240" b="24765"/>
                      <wp:wrapNone/>
                      <wp:docPr id="3" name="自选图形 5"/>
                      <wp:cNvGraphicFramePr/>
                      <a:graphic xmlns:a="http://schemas.openxmlformats.org/drawingml/2006/main">
                        <a:graphicData uri="http://schemas.microsoft.com/office/word/2010/wordprocessingShape">
                          <wps:wsp>
                            <wps:cNvCnPr/>
                            <wps:spPr>
                              <a:xfrm>
                                <a:off x="0" y="0"/>
                                <a:ext cx="647700" cy="33020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3.9pt;margin-top:0.3pt;height:26pt;width:51pt;z-index:251662336;mso-width-relative:page;mso-height-relative:page;" filled="f" stroked="t" coordsize="21600,21600" o:gfxdata="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ubHW9UAAAAFAQAADwAAAAAAAAABACAAAAAiAAAAZHJzL2Rvd25yZXYueG1sUEsB&#10;AhQAFAAAAAgAh07iQPbzVf/4AQAA6AMAAA4AAAAAAAAAAQAgAAAAJAEAAGRycy9lMm9Eb2MueG1s&#10;UEsFBgAAAAAGAAYAWQEAAI4FAAAAAA==&#10;">
                      <v:fill on="f" focussize="0,0"/>
                      <v:stroke weight="1.25pt" color="#000000" joinstyle="round"/>
                      <v:imagedata o:title=""/>
                      <o:lock v:ext="edit" aspectratio="f"/>
                    </v:shape>
                  </w:pict>
                </mc:Fallback>
              </mc:AlternateContent>
            </w:r>
          </w:p>
        </w:tc>
      </w:tr>
      <w:tr w14:paraId="7BA3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237" w:type="dxa"/>
            <w:gridSpan w:val="3"/>
            <w:vAlign w:val="center"/>
          </w:tcPr>
          <w:p w14:paraId="2AFAFCB6">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综合得分：</w:t>
            </w:r>
          </w:p>
        </w:tc>
        <w:tc>
          <w:tcPr>
            <w:tcW w:w="1250" w:type="dxa"/>
            <w:vAlign w:val="center"/>
          </w:tcPr>
          <w:p w14:paraId="51842F72">
            <w:pPr>
              <w:jc w:val="center"/>
              <w:rPr>
                <w:rFonts w:ascii="黑体" w:hAnsi="黑体" w:eastAsia="黑体"/>
                <w:color w:val="auto"/>
                <w:sz w:val="28"/>
                <w:szCs w:val="28"/>
                <w:highlight w:val="none"/>
              </w:rPr>
            </w:pPr>
          </w:p>
        </w:tc>
        <w:tc>
          <w:tcPr>
            <w:tcW w:w="1200" w:type="dxa"/>
            <w:vAlign w:val="center"/>
          </w:tcPr>
          <w:p w14:paraId="6C9A5BFF">
            <w:pPr>
              <w:jc w:val="center"/>
              <w:rPr>
                <w:rFonts w:ascii="黑体" w:hAnsi="黑体" w:eastAsia="黑体"/>
                <w:color w:val="auto"/>
                <w:sz w:val="28"/>
                <w:szCs w:val="28"/>
                <w:highlight w:val="none"/>
              </w:rPr>
            </w:pPr>
          </w:p>
        </w:tc>
        <w:tc>
          <w:tcPr>
            <w:tcW w:w="1120" w:type="dxa"/>
            <w:vAlign w:val="center"/>
          </w:tcPr>
          <w:p w14:paraId="300D7C7A">
            <w:pPr>
              <w:jc w:val="center"/>
              <w:rPr>
                <w:rFonts w:ascii="黑体" w:hAnsi="黑体" w:eastAsia="黑体"/>
                <w:color w:val="auto"/>
                <w:sz w:val="28"/>
                <w:szCs w:val="28"/>
                <w:highlight w:val="none"/>
              </w:rPr>
            </w:pPr>
          </w:p>
        </w:tc>
      </w:tr>
      <w:tr w14:paraId="54AB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trPr>
        <w:tc>
          <w:tcPr>
            <w:tcW w:w="8807" w:type="dxa"/>
            <w:gridSpan w:val="6"/>
            <w:vAlign w:val="center"/>
          </w:tcPr>
          <w:p w14:paraId="6C58644E">
            <w:pPr>
              <w:spacing w:line="360" w:lineRule="auto"/>
              <w:rPr>
                <w:rFonts w:ascii="黑体" w:hAnsi="黑体" w:eastAsia="黑体"/>
                <w:color w:val="auto"/>
                <w:sz w:val="24"/>
                <w:szCs w:val="24"/>
                <w:highlight w:val="none"/>
              </w:rPr>
            </w:pPr>
            <w:r>
              <w:rPr>
                <w:rFonts w:hint="eastAsia" w:ascii="黑体" w:hAnsi="黑体" w:eastAsia="黑体"/>
                <w:color w:val="auto"/>
                <w:sz w:val="24"/>
                <w:szCs w:val="24"/>
                <w:highlight w:val="none"/>
              </w:rPr>
              <w:t>评标委员会签名：</w:t>
            </w:r>
          </w:p>
          <w:p w14:paraId="6649493C">
            <w:pPr>
              <w:jc w:val="center"/>
              <w:rPr>
                <w:rFonts w:ascii="黑体" w:hAnsi="黑体" w:eastAsia="黑体"/>
                <w:b/>
                <w:color w:val="auto"/>
                <w:sz w:val="24"/>
                <w:szCs w:val="24"/>
                <w:highlight w:val="none"/>
              </w:rPr>
            </w:pPr>
          </w:p>
          <w:p w14:paraId="49C54E7E">
            <w:pPr>
              <w:jc w:val="right"/>
              <w:rPr>
                <w:rFonts w:ascii="黑体" w:hAnsi="黑体" w:eastAsia="黑体"/>
                <w:color w:val="auto"/>
                <w:sz w:val="24"/>
                <w:szCs w:val="24"/>
                <w:highlight w:val="none"/>
              </w:rPr>
            </w:pPr>
            <w:r>
              <w:rPr>
                <w:rFonts w:hint="eastAsia" w:ascii="黑体" w:hAnsi="黑体" w:eastAsia="黑体"/>
                <w:color w:val="auto"/>
                <w:sz w:val="24"/>
                <w:szCs w:val="24"/>
                <w:highlight w:val="none"/>
              </w:rPr>
              <w:t>日期：     年   月  日</w:t>
            </w:r>
          </w:p>
        </w:tc>
      </w:tr>
    </w:tbl>
    <w:p w14:paraId="3DFDAC32">
      <w:pPr>
        <w:rPr>
          <w:rFonts w:ascii="黑体" w:hAnsi="黑体" w:eastAsia="黑体"/>
          <w:b/>
          <w:bCs/>
          <w:color w:val="auto"/>
          <w:szCs w:val="21"/>
          <w:highlight w:val="none"/>
        </w:rPr>
      </w:pPr>
      <w:r>
        <w:rPr>
          <w:rFonts w:hint="eastAsia" w:ascii="黑体" w:hAnsi="黑体" w:eastAsia="黑体"/>
          <w:b/>
          <w:bCs/>
          <w:color w:val="auto"/>
          <w:szCs w:val="21"/>
          <w:highlight w:val="none"/>
        </w:rPr>
        <w:t>备注：</w:t>
      </w:r>
    </w:p>
    <w:p w14:paraId="64004F3E">
      <w:pPr>
        <w:adjustRightInd w:val="0"/>
        <w:snapToGrid w:val="0"/>
        <w:spacing w:line="360" w:lineRule="auto"/>
        <w:ind w:firstLine="420" w:firstLineChars="200"/>
        <w:rPr>
          <w:rFonts w:ascii="黑体" w:eastAsia="黑体"/>
          <w:color w:val="auto"/>
          <w:szCs w:val="21"/>
          <w:highlight w:val="none"/>
        </w:rPr>
      </w:pPr>
      <w:r>
        <w:rPr>
          <w:rFonts w:hint="eastAsia" w:ascii="黑体" w:eastAsia="黑体"/>
          <w:color w:val="auto"/>
          <w:szCs w:val="21"/>
          <w:highlight w:val="none"/>
        </w:rPr>
        <w:t>1.招标人必须明确评审项目的评分标准。</w:t>
      </w:r>
    </w:p>
    <w:p w14:paraId="2E973342">
      <w:pPr>
        <w:spacing w:line="360" w:lineRule="auto"/>
        <w:ind w:firstLine="420" w:firstLineChars="200"/>
        <w:jc w:val="center"/>
        <w:rPr>
          <w:rFonts w:ascii="宋体"/>
          <w:color w:val="auto"/>
          <w:szCs w:val="21"/>
          <w:highlight w:val="none"/>
        </w:rPr>
        <w:sectPr>
          <w:headerReference r:id="rId8" w:type="default"/>
          <w:footerReference r:id="rId9" w:type="default"/>
          <w:pgSz w:w="12240" w:h="15840"/>
          <w:pgMar w:top="1440" w:right="1797" w:bottom="1440" w:left="1797" w:header="720" w:footer="720" w:gutter="0"/>
          <w:cols w:space="720" w:num="1"/>
        </w:sectPr>
      </w:pPr>
    </w:p>
    <w:p w14:paraId="13223183">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（四）评分汇总表</w:t>
      </w:r>
    </w:p>
    <w:p w14:paraId="1D5A9352">
      <w:pPr>
        <w:spacing w:line="360" w:lineRule="auto"/>
        <w:ind w:firstLine="482" w:firstLineChars="200"/>
        <w:jc w:val="left"/>
        <w:rPr>
          <w:rFonts w:ascii="黑体" w:hAnsi="黑体" w:eastAsia="仿宋"/>
          <w:b/>
          <w:color w:val="auto"/>
          <w:sz w:val="24"/>
          <w:szCs w:val="24"/>
          <w:highlight w:val="none"/>
        </w:rPr>
      </w:pPr>
      <w:r>
        <w:rPr>
          <w:rFonts w:hint="eastAsia" w:ascii="黑体" w:hAnsi="黑体" w:eastAsia="黑体"/>
          <w:b/>
          <w:color w:val="auto"/>
          <w:sz w:val="24"/>
          <w:szCs w:val="24"/>
          <w:highlight w:val="none"/>
        </w:rPr>
        <w:t>项目名称：</w:t>
      </w:r>
      <w:r>
        <w:rPr>
          <w:rFonts w:hint="eastAsia" w:ascii="黑体" w:hAnsi="黑体" w:eastAsia="黑体" w:cs="Times New Roman"/>
          <w:b/>
          <w:bCs w:val="0"/>
          <w:color w:val="auto"/>
          <w:kern w:val="2"/>
          <w:sz w:val="24"/>
          <w:szCs w:val="24"/>
          <w:highlight w:val="none"/>
          <w:shd w:val="clear"/>
          <w:lang w:val="en-US" w:eastAsia="zh-CN"/>
        </w:rPr>
        <w:t>第一亚太重庆分公司物业费欠费追缴诉讼服务</w:t>
      </w:r>
      <w:r>
        <w:rPr>
          <w:rFonts w:hint="eastAsia" w:ascii="仿宋" w:hAnsi="仿宋" w:eastAsia="仿宋" w:cs="Times New Roman"/>
          <w:b/>
          <w:bCs w:val="0"/>
          <w:color w:val="auto"/>
          <w:kern w:val="2"/>
          <w:sz w:val="24"/>
          <w:szCs w:val="24"/>
          <w:highlight w:val="none"/>
          <w:shd w:val="clear"/>
          <w:lang w:val="en-US" w:eastAsia="zh-CN"/>
        </w:rPr>
        <w:t>（第二次）</w:t>
      </w:r>
    </w:p>
    <w:tbl>
      <w:tblPr>
        <w:tblStyle w:val="34"/>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544"/>
        <w:gridCol w:w="1134"/>
        <w:gridCol w:w="1134"/>
        <w:gridCol w:w="1134"/>
        <w:gridCol w:w="1134"/>
        <w:gridCol w:w="1134"/>
        <w:gridCol w:w="1276"/>
        <w:gridCol w:w="1843"/>
      </w:tblGrid>
      <w:tr w14:paraId="4B89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vAlign w:val="center"/>
          </w:tcPr>
          <w:p w14:paraId="66A86AED">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序号</w:t>
            </w:r>
          </w:p>
        </w:tc>
        <w:tc>
          <w:tcPr>
            <w:tcW w:w="3544" w:type="dxa"/>
            <w:vMerge w:val="restart"/>
            <w:vAlign w:val="center"/>
          </w:tcPr>
          <w:p w14:paraId="64594781">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投标人名称</w:t>
            </w:r>
          </w:p>
        </w:tc>
        <w:tc>
          <w:tcPr>
            <w:tcW w:w="2268" w:type="dxa"/>
            <w:gridSpan w:val="2"/>
            <w:vAlign w:val="center"/>
          </w:tcPr>
          <w:p w14:paraId="74096FC7">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技术标</w:t>
            </w:r>
          </w:p>
        </w:tc>
        <w:tc>
          <w:tcPr>
            <w:tcW w:w="2268" w:type="dxa"/>
            <w:gridSpan w:val="2"/>
            <w:vAlign w:val="center"/>
          </w:tcPr>
          <w:p w14:paraId="1D1F7753">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商务标</w:t>
            </w:r>
          </w:p>
        </w:tc>
        <w:tc>
          <w:tcPr>
            <w:tcW w:w="2410" w:type="dxa"/>
            <w:gridSpan w:val="2"/>
            <w:vAlign w:val="center"/>
          </w:tcPr>
          <w:p w14:paraId="59CE1D1F">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资信标</w:t>
            </w:r>
          </w:p>
        </w:tc>
        <w:tc>
          <w:tcPr>
            <w:tcW w:w="1843" w:type="dxa"/>
            <w:vAlign w:val="center"/>
          </w:tcPr>
          <w:p w14:paraId="43778956">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综合得分</w:t>
            </w:r>
          </w:p>
        </w:tc>
      </w:tr>
      <w:tr w14:paraId="5229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continue"/>
            <w:vAlign w:val="center"/>
          </w:tcPr>
          <w:p w14:paraId="2003A0AD">
            <w:pPr>
              <w:jc w:val="center"/>
              <w:rPr>
                <w:rFonts w:ascii="黑体" w:hAnsi="黑体" w:eastAsia="黑体"/>
                <w:b/>
                <w:color w:val="auto"/>
                <w:sz w:val="24"/>
                <w:szCs w:val="24"/>
                <w:highlight w:val="none"/>
              </w:rPr>
            </w:pPr>
          </w:p>
        </w:tc>
        <w:tc>
          <w:tcPr>
            <w:tcW w:w="3544" w:type="dxa"/>
            <w:vMerge w:val="continue"/>
            <w:vAlign w:val="center"/>
          </w:tcPr>
          <w:p w14:paraId="1FCFDC04">
            <w:pPr>
              <w:jc w:val="center"/>
              <w:rPr>
                <w:rFonts w:ascii="黑体" w:hAnsi="黑体" w:eastAsia="黑体"/>
                <w:b/>
                <w:color w:val="auto"/>
                <w:sz w:val="24"/>
                <w:szCs w:val="24"/>
                <w:highlight w:val="none"/>
              </w:rPr>
            </w:pPr>
          </w:p>
        </w:tc>
        <w:tc>
          <w:tcPr>
            <w:tcW w:w="1134" w:type="dxa"/>
            <w:vAlign w:val="center"/>
          </w:tcPr>
          <w:p w14:paraId="2A30E4EF">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得分J</w:t>
            </w:r>
          </w:p>
        </w:tc>
        <w:tc>
          <w:tcPr>
            <w:tcW w:w="1134" w:type="dxa"/>
            <w:vAlign w:val="center"/>
          </w:tcPr>
          <w:p w14:paraId="1264B782">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1</w:t>
            </w:r>
          </w:p>
        </w:tc>
        <w:tc>
          <w:tcPr>
            <w:tcW w:w="1134" w:type="dxa"/>
            <w:vAlign w:val="center"/>
          </w:tcPr>
          <w:p w14:paraId="11AE85AF">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得分S</w:t>
            </w:r>
          </w:p>
        </w:tc>
        <w:tc>
          <w:tcPr>
            <w:tcW w:w="1134" w:type="dxa"/>
            <w:vAlign w:val="center"/>
          </w:tcPr>
          <w:p w14:paraId="0E5140F6">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2</w:t>
            </w:r>
          </w:p>
        </w:tc>
        <w:tc>
          <w:tcPr>
            <w:tcW w:w="1134" w:type="dxa"/>
            <w:vAlign w:val="center"/>
          </w:tcPr>
          <w:p w14:paraId="11704C48">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得分Z</w:t>
            </w:r>
          </w:p>
        </w:tc>
        <w:tc>
          <w:tcPr>
            <w:tcW w:w="1276" w:type="dxa"/>
            <w:vAlign w:val="center"/>
          </w:tcPr>
          <w:p w14:paraId="1E00D4F7">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权重A</w:t>
            </w:r>
            <w:r>
              <w:rPr>
                <w:rFonts w:hint="eastAsia" w:ascii="黑体" w:hAnsi="黑体" w:eastAsia="黑体"/>
                <w:b/>
                <w:color w:val="auto"/>
                <w:sz w:val="24"/>
                <w:szCs w:val="24"/>
                <w:highlight w:val="none"/>
                <w:vertAlign w:val="subscript"/>
              </w:rPr>
              <w:t>3</w:t>
            </w:r>
          </w:p>
        </w:tc>
        <w:tc>
          <w:tcPr>
            <w:tcW w:w="1843" w:type="dxa"/>
            <w:vAlign w:val="center"/>
          </w:tcPr>
          <w:p w14:paraId="7E170B70">
            <w:pPr>
              <w:jc w:val="center"/>
              <w:rPr>
                <w:rFonts w:ascii="黑体" w:hAnsi="黑体" w:eastAsia="黑体"/>
                <w:b/>
                <w:color w:val="auto"/>
                <w:sz w:val="24"/>
                <w:szCs w:val="24"/>
                <w:highlight w:val="none"/>
              </w:rPr>
            </w:pPr>
            <w:r>
              <w:rPr>
                <w:rFonts w:hint="eastAsia" w:ascii="黑体" w:hAnsi="黑体" w:eastAsia="黑体"/>
                <w:b/>
                <w:color w:val="auto"/>
                <w:sz w:val="24"/>
                <w:szCs w:val="24"/>
                <w:highlight w:val="none"/>
              </w:rPr>
              <w:t>N</w:t>
            </w:r>
          </w:p>
        </w:tc>
      </w:tr>
      <w:tr w14:paraId="2130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755CB44C">
            <w:pPr>
              <w:widowControl w:val="0"/>
              <w:jc w:val="center"/>
              <w:rPr>
                <w:rFonts w:ascii="黑体" w:hAnsi="黑体" w:eastAsia="黑体"/>
                <w:color w:val="auto"/>
                <w:sz w:val="24"/>
                <w:szCs w:val="24"/>
                <w:highlight w:val="none"/>
              </w:rPr>
            </w:pPr>
          </w:p>
        </w:tc>
        <w:tc>
          <w:tcPr>
            <w:tcW w:w="3544" w:type="dxa"/>
            <w:vAlign w:val="center"/>
          </w:tcPr>
          <w:p w14:paraId="4EAC577F">
            <w:pPr>
              <w:jc w:val="center"/>
              <w:rPr>
                <w:rFonts w:ascii="黑体" w:hAnsi="黑体" w:eastAsia="黑体"/>
                <w:color w:val="auto"/>
                <w:sz w:val="24"/>
                <w:szCs w:val="24"/>
                <w:highlight w:val="none"/>
              </w:rPr>
            </w:pPr>
          </w:p>
        </w:tc>
        <w:tc>
          <w:tcPr>
            <w:tcW w:w="1134" w:type="dxa"/>
          </w:tcPr>
          <w:p w14:paraId="6B659905">
            <w:pPr>
              <w:jc w:val="center"/>
              <w:rPr>
                <w:rFonts w:ascii="黑体" w:hAnsi="黑体" w:eastAsia="黑体"/>
                <w:color w:val="auto"/>
                <w:sz w:val="24"/>
                <w:szCs w:val="24"/>
                <w:highlight w:val="none"/>
              </w:rPr>
            </w:pPr>
          </w:p>
        </w:tc>
        <w:tc>
          <w:tcPr>
            <w:tcW w:w="1134" w:type="dxa"/>
          </w:tcPr>
          <w:p w14:paraId="4AB6DEEF">
            <w:pPr>
              <w:jc w:val="center"/>
              <w:rPr>
                <w:rFonts w:ascii="黑体" w:hAnsi="黑体" w:eastAsia="黑体"/>
                <w:color w:val="auto"/>
                <w:sz w:val="24"/>
                <w:szCs w:val="24"/>
                <w:highlight w:val="none"/>
              </w:rPr>
            </w:pPr>
          </w:p>
        </w:tc>
        <w:tc>
          <w:tcPr>
            <w:tcW w:w="1134" w:type="dxa"/>
          </w:tcPr>
          <w:p w14:paraId="7BD6409B">
            <w:pPr>
              <w:jc w:val="center"/>
              <w:rPr>
                <w:rFonts w:ascii="黑体" w:hAnsi="黑体" w:eastAsia="黑体"/>
                <w:color w:val="auto"/>
                <w:sz w:val="24"/>
                <w:szCs w:val="24"/>
                <w:highlight w:val="none"/>
              </w:rPr>
            </w:pPr>
          </w:p>
        </w:tc>
        <w:tc>
          <w:tcPr>
            <w:tcW w:w="1134" w:type="dxa"/>
            <w:vAlign w:val="center"/>
          </w:tcPr>
          <w:p w14:paraId="66D7A088">
            <w:pPr>
              <w:jc w:val="center"/>
              <w:rPr>
                <w:rFonts w:ascii="黑体" w:hAnsi="黑体" w:eastAsia="黑体"/>
                <w:color w:val="auto"/>
                <w:sz w:val="24"/>
                <w:szCs w:val="24"/>
                <w:highlight w:val="none"/>
              </w:rPr>
            </w:pPr>
          </w:p>
        </w:tc>
        <w:tc>
          <w:tcPr>
            <w:tcW w:w="1134" w:type="dxa"/>
          </w:tcPr>
          <w:p w14:paraId="4295F286">
            <w:pPr>
              <w:jc w:val="center"/>
              <w:rPr>
                <w:rFonts w:ascii="黑体" w:hAnsi="黑体" w:eastAsia="黑体"/>
                <w:color w:val="auto"/>
                <w:sz w:val="24"/>
                <w:szCs w:val="24"/>
                <w:highlight w:val="none"/>
              </w:rPr>
            </w:pPr>
          </w:p>
        </w:tc>
        <w:tc>
          <w:tcPr>
            <w:tcW w:w="1276" w:type="dxa"/>
            <w:vAlign w:val="center"/>
          </w:tcPr>
          <w:p w14:paraId="34020490">
            <w:pPr>
              <w:jc w:val="center"/>
              <w:rPr>
                <w:rFonts w:ascii="黑体" w:hAnsi="黑体" w:eastAsia="黑体"/>
                <w:color w:val="auto"/>
                <w:sz w:val="24"/>
                <w:szCs w:val="24"/>
                <w:highlight w:val="none"/>
              </w:rPr>
            </w:pPr>
          </w:p>
        </w:tc>
        <w:tc>
          <w:tcPr>
            <w:tcW w:w="1843" w:type="dxa"/>
            <w:vAlign w:val="center"/>
          </w:tcPr>
          <w:p w14:paraId="5E939C47">
            <w:pPr>
              <w:jc w:val="center"/>
              <w:rPr>
                <w:rFonts w:ascii="黑体" w:hAnsi="黑体" w:eastAsia="黑体"/>
                <w:color w:val="auto"/>
                <w:sz w:val="24"/>
                <w:szCs w:val="24"/>
                <w:highlight w:val="none"/>
              </w:rPr>
            </w:pPr>
          </w:p>
        </w:tc>
      </w:tr>
      <w:tr w14:paraId="333A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2A0DF441">
            <w:pPr>
              <w:widowControl w:val="0"/>
              <w:jc w:val="center"/>
              <w:rPr>
                <w:rFonts w:ascii="黑体" w:hAnsi="黑体" w:eastAsia="黑体"/>
                <w:color w:val="auto"/>
                <w:sz w:val="24"/>
                <w:szCs w:val="24"/>
                <w:highlight w:val="none"/>
              </w:rPr>
            </w:pPr>
          </w:p>
        </w:tc>
        <w:tc>
          <w:tcPr>
            <w:tcW w:w="3544" w:type="dxa"/>
            <w:vAlign w:val="center"/>
          </w:tcPr>
          <w:p w14:paraId="52B7E08B">
            <w:pPr>
              <w:jc w:val="center"/>
              <w:rPr>
                <w:rFonts w:ascii="黑体" w:hAnsi="黑体" w:eastAsia="黑体"/>
                <w:color w:val="auto"/>
                <w:sz w:val="24"/>
                <w:szCs w:val="24"/>
                <w:highlight w:val="none"/>
              </w:rPr>
            </w:pPr>
          </w:p>
        </w:tc>
        <w:tc>
          <w:tcPr>
            <w:tcW w:w="1134" w:type="dxa"/>
          </w:tcPr>
          <w:p w14:paraId="55F6799B">
            <w:pPr>
              <w:jc w:val="center"/>
              <w:rPr>
                <w:rFonts w:ascii="黑体" w:hAnsi="黑体" w:eastAsia="黑体"/>
                <w:color w:val="auto"/>
                <w:sz w:val="24"/>
                <w:szCs w:val="24"/>
                <w:highlight w:val="none"/>
              </w:rPr>
            </w:pPr>
          </w:p>
        </w:tc>
        <w:tc>
          <w:tcPr>
            <w:tcW w:w="1134" w:type="dxa"/>
          </w:tcPr>
          <w:p w14:paraId="188801DA">
            <w:pPr>
              <w:jc w:val="center"/>
              <w:rPr>
                <w:rFonts w:ascii="黑体" w:hAnsi="黑体" w:eastAsia="黑体"/>
                <w:color w:val="auto"/>
                <w:sz w:val="24"/>
                <w:szCs w:val="24"/>
                <w:highlight w:val="none"/>
              </w:rPr>
            </w:pPr>
          </w:p>
        </w:tc>
        <w:tc>
          <w:tcPr>
            <w:tcW w:w="1134" w:type="dxa"/>
          </w:tcPr>
          <w:p w14:paraId="10F6B0CF">
            <w:pPr>
              <w:jc w:val="center"/>
              <w:rPr>
                <w:rFonts w:ascii="黑体" w:hAnsi="黑体" w:eastAsia="黑体"/>
                <w:color w:val="auto"/>
                <w:sz w:val="24"/>
                <w:szCs w:val="24"/>
                <w:highlight w:val="none"/>
              </w:rPr>
            </w:pPr>
          </w:p>
        </w:tc>
        <w:tc>
          <w:tcPr>
            <w:tcW w:w="1134" w:type="dxa"/>
            <w:vAlign w:val="center"/>
          </w:tcPr>
          <w:p w14:paraId="66358A2A">
            <w:pPr>
              <w:jc w:val="center"/>
              <w:rPr>
                <w:rFonts w:ascii="黑体" w:hAnsi="黑体" w:eastAsia="黑体"/>
                <w:color w:val="auto"/>
                <w:sz w:val="24"/>
                <w:szCs w:val="24"/>
                <w:highlight w:val="none"/>
              </w:rPr>
            </w:pPr>
          </w:p>
        </w:tc>
        <w:tc>
          <w:tcPr>
            <w:tcW w:w="1134" w:type="dxa"/>
          </w:tcPr>
          <w:p w14:paraId="05647CF2">
            <w:pPr>
              <w:jc w:val="center"/>
              <w:rPr>
                <w:rFonts w:ascii="黑体" w:hAnsi="黑体" w:eastAsia="黑体"/>
                <w:color w:val="auto"/>
                <w:sz w:val="24"/>
                <w:szCs w:val="24"/>
                <w:highlight w:val="none"/>
              </w:rPr>
            </w:pPr>
          </w:p>
        </w:tc>
        <w:tc>
          <w:tcPr>
            <w:tcW w:w="1276" w:type="dxa"/>
            <w:vAlign w:val="center"/>
          </w:tcPr>
          <w:p w14:paraId="764ECF81">
            <w:pPr>
              <w:jc w:val="center"/>
              <w:rPr>
                <w:rFonts w:ascii="黑体" w:hAnsi="黑体" w:eastAsia="黑体"/>
                <w:color w:val="auto"/>
                <w:sz w:val="24"/>
                <w:szCs w:val="24"/>
                <w:highlight w:val="none"/>
              </w:rPr>
            </w:pPr>
          </w:p>
        </w:tc>
        <w:tc>
          <w:tcPr>
            <w:tcW w:w="1843" w:type="dxa"/>
            <w:vAlign w:val="center"/>
          </w:tcPr>
          <w:p w14:paraId="310B92EB">
            <w:pPr>
              <w:jc w:val="center"/>
              <w:rPr>
                <w:rFonts w:ascii="黑体" w:hAnsi="黑体" w:eastAsia="黑体"/>
                <w:color w:val="auto"/>
                <w:sz w:val="24"/>
                <w:szCs w:val="24"/>
                <w:highlight w:val="none"/>
              </w:rPr>
            </w:pPr>
          </w:p>
        </w:tc>
      </w:tr>
      <w:tr w14:paraId="37E6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10BAF578">
            <w:pPr>
              <w:widowControl w:val="0"/>
              <w:jc w:val="center"/>
              <w:rPr>
                <w:rFonts w:ascii="黑体" w:hAnsi="黑体" w:eastAsia="黑体"/>
                <w:color w:val="auto"/>
                <w:sz w:val="24"/>
                <w:szCs w:val="24"/>
                <w:highlight w:val="none"/>
              </w:rPr>
            </w:pPr>
          </w:p>
        </w:tc>
        <w:tc>
          <w:tcPr>
            <w:tcW w:w="3544" w:type="dxa"/>
            <w:vAlign w:val="center"/>
          </w:tcPr>
          <w:p w14:paraId="00DF8F9C">
            <w:pPr>
              <w:jc w:val="center"/>
              <w:rPr>
                <w:rFonts w:ascii="黑体" w:hAnsi="黑体" w:eastAsia="黑体"/>
                <w:color w:val="auto"/>
                <w:sz w:val="24"/>
                <w:szCs w:val="24"/>
                <w:highlight w:val="none"/>
              </w:rPr>
            </w:pPr>
          </w:p>
        </w:tc>
        <w:tc>
          <w:tcPr>
            <w:tcW w:w="1134" w:type="dxa"/>
          </w:tcPr>
          <w:p w14:paraId="63C07E07">
            <w:pPr>
              <w:jc w:val="center"/>
              <w:rPr>
                <w:rFonts w:ascii="黑体" w:hAnsi="黑体" w:eastAsia="黑体"/>
                <w:color w:val="auto"/>
                <w:sz w:val="24"/>
                <w:szCs w:val="24"/>
                <w:highlight w:val="none"/>
              </w:rPr>
            </w:pPr>
          </w:p>
        </w:tc>
        <w:tc>
          <w:tcPr>
            <w:tcW w:w="1134" w:type="dxa"/>
          </w:tcPr>
          <w:p w14:paraId="30A6EBCA">
            <w:pPr>
              <w:jc w:val="center"/>
              <w:rPr>
                <w:rFonts w:ascii="黑体" w:hAnsi="黑体" w:eastAsia="黑体"/>
                <w:color w:val="auto"/>
                <w:sz w:val="24"/>
                <w:szCs w:val="24"/>
                <w:highlight w:val="none"/>
              </w:rPr>
            </w:pPr>
          </w:p>
        </w:tc>
        <w:tc>
          <w:tcPr>
            <w:tcW w:w="1134" w:type="dxa"/>
          </w:tcPr>
          <w:p w14:paraId="6E73800E">
            <w:pPr>
              <w:jc w:val="center"/>
              <w:rPr>
                <w:rFonts w:ascii="黑体" w:hAnsi="黑体" w:eastAsia="黑体"/>
                <w:color w:val="auto"/>
                <w:sz w:val="24"/>
                <w:szCs w:val="24"/>
                <w:highlight w:val="none"/>
              </w:rPr>
            </w:pPr>
          </w:p>
        </w:tc>
        <w:tc>
          <w:tcPr>
            <w:tcW w:w="1134" w:type="dxa"/>
            <w:vAlign w:val="center"/>
          </w:tcPr>
          <w:p w14:paraId="71BF00F2">
            <w:pPr>
              <w:jc w:val="center"/>
              <w:rPr>
                <w:rFonts w:ascii="黑体" w:hAnsi="黑体" w:eastAsia="黑体"/>
                <w:color w:val="auto"/>
                <w:sz w:val="24"/>
                <w:szCs w:val="24"/>
                <w:highlight w:val="none"/>
              </w:rPr>
            </w:pPr>
          </w:p>
        </w:tc>
        <w:tc>
          <w:tcPr>
            <w:tcW w:w="1134" w:type="dxa"/>
          </w:tcPr>
          <w:p w14:paraId="71198523">
            <w:pPr>
              <w:jc w:val="center"/>
              <w:rPr>
                <w:rFonts w:ascii="黑体" w:hAnsi="黑体" w:eastAsia="黑体"/>
                <w:color w:val="auto"/>
                <w:sz w:val="24"/>
                <w:szCs w:val="24"/>
                <w:highlight w:val="none"/>
              </w:rPr>
            </w:pPr>
          </w:p>
        </w:tc>
        <w:tc>
          <w:tcPr>
            <w:tcW w:w="1276" w:type="dxa"/>
            <w:vAlign w:val="center"/>
          </w:tcPr>
          <w:p w14:paraId="4EF00218">
            <w:pPr>
              <w:jc w:val="center"/>
              <w:rPr>
                <w:rFonts w:ascii="黑体" w:hAnsi="黑体" w:eastAsia="黑体"/>
                <w:color w:val="auto"/>
                <w:sz w:val="24"/>
                <w:szCs w:val="24"/>
                <w:highlight w:val="none"/>
              </w:rPr>
            </w:pPr>
          </w:p>
        </w:tc>
        <w:tc>
          <w:tcPr>
            <w:tcW w:w="1843" w:type="dxa"/>
            <w:vAlign w:val="center"/>
          </w:tcPr>
          <w:p w14:paraId="4C00B81A">
            <w:pPr>
              <w:jc w:val="center"/>
              <w:rPr>
                <w:rFonts w:ascii="黑体" w:hAnsi="黑体" w:eastAsia="黑体"/>
                <w:color w:val="auto"/>
                <w:sz w:val="24"/>
                <w:szCs w:val="24"/>
                <w:highlight w:val="none"/>
              </w:rPr>
            </w:pPr>
          </w:p>
        </w:tc>
      </w:tr>
      <w:tr w14:paraId="3F11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15E3CBFD">
            <w:pPr>
              <w:widowControl w:val="0"/>
              <w:jc w:val="center"/>
              <w:rPr>
                <w:rFonts w:ascii="黑体" w:hAnsi="黑体" w:eastAsia="黑体"/>
                <w:color w:val="auto"/>
                <w:sz w:val="24"/>
                <w:szCs w:val="24"/>
                <w:highlight w:val="none"/>
              </w:rPr>
            </w:pPr>
          </w:p>
        </w:tc>
        <w:tc>
          <w:tcPr>
            <w:tcW w:w="3544" w:type="dxa"/>
            <w:vAlign w:val="center"/>
          </w:tcPr>
          <w:p w14:paraId="06130827">
            <w:pPr>
              <w:jc w:val="center"/>
              <w:rPr>
                <w:rFonts w:ascii="黑体" w:hAnsi="黑体" w:eastAsia="黑体"/>
                <w:color w:val="auto"/>
                <w:sz w:val="24"/>
                <w:szCs w:val="24"/>
                <w:highlight w:val="none"/>
              </w:rPr>
            </w:pPr>
          </w:p>
        </w:tc>
        <w:tc>
          <w:tcPr>
            <w:tcW w:w="1134" w:type="dxa"/>
          </w:tcPr>
          <w:p w14:paraId="016FBC73">
            <w:pPr>
              <w:jc w:val="center"/>
              <w:rPr>
                <w:rFonts w:ascii="黑体" w:hAnsi="黑体" w:eastAsia="黑体"/>
                <w:color w:val="auto"/>
                <w:sz w:val="24"/>
                <w:szCs w:val="24"/>
                <w:highlight w:val="none"/>
              </w:rPr>
            </w:pPr>
          </w:p>
        </w:tc>
        <w:tc>
          <w:tcPr>
            <w:tcW w:w="1134" w:type="dxa"/>
          </w:tcPr>
          <w:p w14:paraId="50A1FBA8">
            <w:pPr>
              <w:jc w:val="center"/>
              <w:rPr>
                <w:rFonts w:ascii="黑体" w:hAnsi="黑体" w:eastAsia="黑体"/>
                <w:color w:val="auto"/>
                <w:sz w:val="24"/>
                <w:szCs w:val="24"/>
                <w:highlight w:val="none"/>
              </w:rPr>
            </w:pPr>
          </w:p>
        </w:tc>
        <w:tc>
          <w:tcPr>
            <w:tcW w:w="1134" w:type="dxa"/>
          </w:tcPr>
          <w:p w14:paraId="311B7B68">
            <w:pPr>
              <w:jc w:val="center"/>
              <w:rPr>
                <w:rFonts w:ascii="黑体" w:hAnsi="黑体" w:eastAsia="黑体"/>
                <w:color w:val="auto"/>
                <w:sz w:val="24"/>
                <w:szCs w:val="24"/>
                <w:highlight w:val="none"/>
              </w:rPr>
            </w:pPr>
          </w:p>
        </w:tc>
        <w:tc>
          <w:tcPr>
            <w:tcW w:w="1134" w:type="dxa"/>
            <w:vAlign w:val="center"/>
          </w:tcPr>
          <w:p w14:paraId="0DCAE3FA">
            <w:pPr>
              <w:jc w:val="center"/>
              <w:rPr>
                <w:rFonts w:ascii="黑体" w:hAnsi="黑体" w:eastAsia="黑体"/>
                <w:color w:val="auto"/>
                <w:sz w:val="24"/>
                <w:szCs w:val="24"/>
                <w:highlight w:val="none"/>
              </w:rPr>
            </w:pPr>
          </w:p>
        </w:tc>
        <w:tc>
          <w:tcPr>
            <w:tcW w:w="1134" w:type="dxa"/>
          </w:tcPr>
          <w:p w14:paraId="05906B48">
            <w:pPr>
              <w:jc w:val="center"/>
              <w:rPr>
                <w:rFonts w:ascii="黑体" w:hAnsi="黑体" w:eastAsia="黑体"/>
                <w:color w:val="auto"/>
                <w:sz w:val="24"/>
                <w:szCs w:val="24"/>
                <w:highlight w:val="none"/>
              </w:rPr>
            </w:pPr>
          </w:p>
        </w:tc>
        <w:tc>
          <w:tcPr>
            <w:tcW w:w="1276" w:type="dxa"/>
            <w:vAlign w:val="center"/>
          </w:tcPr>
          <w:p w14:paraId="31D5C9F4">
            <w:pPr>
              <w:jc w:val="center"/>
              <w:rPr>
                <w:rFonts w:ascii="黑体" w:hAnsi="黑体" w:eastAsia="黑体"/>
                <w:color w:val="auto"/>
                <w:sz w:val="24"/>
                <w:szCs w:val="24"/>
                <w:highlight w:val="none"/>
              </w:rPr>
            </w:pPr>
          </w:p>
        </w:tc>
        <w:tc>
          <w:tcPr>
            <w:tcW w:w="1843" w:type="dxa"/>
            <w:vAlign w:val="center"/>
          </w:tcPr>
          <w:p w14:paraId="4889260B">
            <w:pPr>
              <w:jc w:val="center"/>
              <w:rPr>
                <w:rFonts w:ascii="黑体" w:hAnsi="黑体" w:eastAsia="黑体"/>
                <w:color w:val="auto"/>
                <w:sz w:val="24"/>
                <w:szCs w:val="24"/>
                <w:highlight w:val="none"/>
              </w:rPr>
            </w:pPr>
          </w:p>
        </w:tc>
      </w:tr>
      <w:tr w14:paraId="657B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7CC970CC">
            <w:pPr>
              <w:widowControl w:val="0"/>
              <w:jc w:val="center"/>
              <w:rPr>
                <w:rFonts w:ascii="黑体" w:hAnsi="黑体" w:eastAsia="黑体"/>
                <w:color w:val="auto"/>
                <w:sz w:val="24"/>
                <w:szCs w:val="24"/>
                <w:highlight w:val="none"/>
              </w:rPr>
            </w:pPr>
          </w:p>
        </w:tc>
        <w:tc>
          <w:tcPr>
            <w:tcW w:w="3544" w:type="dxa"/>
            <w:vAlign w:val="center"/>
          </w:tcPr>
          <w:p w14:paraId="21B0107F">
            <w:pPr>
              <w:jc w:val="center"/>
              <w:rPr>
                <w:rFonts w:ascii="黑体" w:hAnsi="黑体" w:eastAsia="黑体"/>
                <w:color w:val="auto"/>
                <w:sz w:val="24"/>
                <w:szCs w:val="24"/>
                <w:highlight w:val="none"/>
              </w:rPr>
            </w:pPr>
          </w:p>
        </w:tc>
        <w:tc>
          <w:tcPr>
            <w:tcW w:w="1134" w:type="dxa"/>
          </w:tcPr>
          <w:p w14:paraId="28A43F5A">
            <w:pPr>
              <w:jc w:val="center"/>
              <w:rPr>
                <w:rFonts w:ascii="黑体" w:hAnsi="黑体" w:eastAsia="黑体"/>
                <w:color w:val="auto"/>
                <w:sz w:val="24"/>
                <w:szCs w:val="24"/>
                <w:highlight w:val="none"/>
              </w:rPr>
            </w:pPr>
          </w:p>
        </w:tc>
        <w:tc>
          <w:tcPr>
            <w:tcW w:w="1134" w:type="dxa"/>
          </w:tcPr>
          <w:p w14:paraId="71737040">
            <w:pPr>
              <w:jc w:val="center"/>
              <w:rPr>
                <w:rFonts w:ascii="黑体" w:hAnsi="黑体" w:eastAsia="黑体"/>
                <w:color w:val="auto"/>
                <w:sz w:val="24"/>
                <w:szCs w:val="24"/>
                <w:highlight w:val="none"/>
              </w:rPr>
            </w:pPr>
          </w:p>
        </w:tc>
        <w:tc>
          <w:tcPr>
            <w:tcW w:w="1134" w:type="dxa"/>
          </w:tcPr>
          <w:p w14:paraId="3518387D">
            <w:pPr>
              <w:jc w:val="center"/>
              <w:rPr>
                <w:rFonts w:ascii="黑体" w:hAnsi="黑体" w:eastAsia="黑体"/>
                <w:color w:val="auto"/>
                <w:sz w:val="24"/>
                <w:szCs w:val="24"/>
                <w:highlight w:val="none"/>
              </w:rPr>
            </w:pPr>
          </w:p>
        </w:tc>
        <w:tc>
          <w:tcPr>
            <w:tcW w:w="1134" w:type="dxa"/>
            <w:vAlign w:val="center"/>
          </w:tcPr>
          <w:p w14:paraId="0F00E0FA">
            <w:pPr>
              <w:jc w:val="center"/>
              <w:rPr>
                <w:rFonts w:ascii="黑体" w:hAnsi="黑体" w:eastAsia="黑体"/>
                <w:color w:val="auto"/>
                <w:sz w:val="24"/>
                <w:szCs w:val="24"/>
                <w:highlight w:val="none"/>
              </w:rPr>
            </w:pPr>
          </w:p>
        </w:tc>
        <w:tc>
          <w:tcPr>
            <w:tcW w:w="1134" w:type="dxa"/>
          </w:tcPr>
          <w:p w14:paraId="08FAC8CB">
            <w:pPr>
              <w:jc w:val="center"/>
              <w:rPr>
                <w:rFonts w:ascii="黑体" w:hAnsi="黑体" w:eastAsia="黑体"/>
                <w:color w:val="auto"/>
                <w:sz w:val="24"/>
                <w:szCs w:val="24"/>
                <w:highlight w:val="none"/>
              </w:rPr>
            </w:pPr>
          </w:p>
        </w:tc>
        <w:tc>
          <w:tcPr>
            <w:tcW w:w="1276" w:type="dxa"/>
            <w:vAlign w:val="center"/>
          </w:tcPr>
          <w:p w14:paraId="266AD7BC">
            <w:pPr>
              <w:jc w:val="center"/>
              <w:rPr>
                <w:rFonts w:ascii="黑体" w:hAnsi="黑体" w:eastAsia="黑体"/>
                <w:color w:val="auto"/>
                <w:sz w:val="24"/>
                <w:szCs w:val="24"/>
                <w:highlight w:val="none"/>
              </w:rPr>
            </w:pPr>
          </w:p>
        </w:tc>
        <w:tc>
          <w:tcPr>
            <w:tcW w:w="1843" w:type="dxa"/>
            <w:vAlign w:val="center"/>
          </w:tcPr>
          <w:p w14:paraId="71B9A995">
            <w:pPr>
              <w:jc w:val="center"/>
              <w:rPr>
                <w:rFonts w:ascii="黑体" w:hAnsi="黑体" w:eastAsia="黑体"/>
                <w:color w:val="auto"/>
                <w:sz w:val="24"/>
                <w:szCs w:val="24"/>
                <w:highlight w:val="none"/>
              </w:rPr>
            </w:pPr>
          </w:p>
        </w:tc>
      </w:tr>
      <w:tr w14:paraId="1FC3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08B291B5">
            <w:pPr>
              <w:widowControl w:val="0"/>
              <w:jc w:val="center"/>
              <w:rPr>
                <w:rFonts w:ascii="黑体" w:hAnsi="黑体" w:eastAsia="黑体"/>
                <w:color w:val="auto"/>
                <w:sz w:val="24"/>
                <w:szCs w:val="24"/>
                <w:highlight w:val="none"/>
              </w:rPr>
            </w:pPr>
          </w:p>
        </w:tc>
        <w:tc>
          <w:tcPr>
            <w:tcW w:w="3544" w:type="dxa"/>
            <w:vAlign w:val="center"/>
          </w:tcPr>
          <w:p w14:paraId="731CBC3E">
            <w:pPr>
              <w:jc w:val="center"/>
              <w:rPr>
                <w:rFonts w:ascii="黑体" w:hAnsi="黑体" w:eastAsia="黑体"/>
                <w:color w:val="auto"/>
                <w:sz w:val="24"/>
                <w:szCs w:val="24"/>
                <w:highlight w:val="none"/>
              </w:rPr>
            </w:pPr>
          </w:p>
        </w:tc>
        <w:tc>
          <w:tcPr>
            <w:tcW w:w="1134" w:type="dxa"/>
          </w:tcPr>
          <w:p w14:paraId="68724E26">
            <w:pPr>
              <w:jc w:val="center"/>
              <w:rPr>
                <w:rFonts w:ascii="黑体" w:hAnsi="黑体" w:eastAsia="黑体"/>
                <w:color w:val="auto"/>
                <w:sz w:val="24"/>
                <w:szCs w:val="24"/>
                <w:highlight w:val="none"/>
              </w:rPr>
            </w:pPr>
          </w:p>
        </w:tc>
        <w:tc>
          <w:tcPr>
            <w:tcW w:w="1134" w:type="dxa"/>
          </w:tcPr>
          <w:p w14:paraId="2074E409">
            <w:pPr>
              <w:jc w:val="center"/>
              <w:rPr>
                <w:rFonts w:ascii="黑体" w:hAnsi="黑体" w:eastAsia="黑体"/>
                <w:color w:val="auto"/>
                <w:sz w:val="24"/>
                <w:szCs w:val="24"/>
                <w:highlight w:val="none"/>
              </w:rPr>
            </w:pPr>
          </w:p>
        </w:tc>
        <w:tc>
          <w:tcPr>
            <w:tcW w:w="1134" w:type="dxa"/>
          </w:tcPr>
          <w:p w14:paraId="144551AA">
            <w:pPr>
              <w:jc w:val="center"/>
              <w:rPr>
                <w:rFonts w:ascii="黑体" w:hAnsi="黑体" w:eastAsia="黑体"/>
                <w:color w:val="auto"/>
                <w:sz w:val="24"/>
                <w:szCs w:val="24"/>
                <w:highlight w:val="none"/>
              </w:rPr>
            </w:pPr>
          </w:p>
        </w:tc>
        <w:tc>
          <w:tcPr>
            <w:tcW w:w="1134" w:type="dxa"/>
            <w:vAlign w:val="center"/>
          </w:tcPr>
          <w:p w14:paraId="0F29A003">
            <w:pPr>
              <w:jc w:val="center"/>
              <w:rPr>
                <w:rFonts w:ascii="黑体" w:hAnsi="黑体" w:eastAsia="黑体"/>
                <w:color w:val="auto"/>
                <w:sz w:val="24"/>
                <w:szCs w:val="24"/>
                <w:highlight w:val="none"/>
              </w:rPr>
            </w:pPr>
          </w:p>
        </w:tc>
        <w:tc>
          <w:tcPr>
            <w:tcW w:w="1134" w:type="dxa"/>
          </w:tcPr>
          <w:p w14:paraId="07C0B03E">
            <w:pPr>
              <w:jc w:val="center"/>
              <w:rPr>
                <w:rFonts w:ascii="黑体" w:hAnsi="黑体" w:eastAsia="黑体"/>
                <w:color w:val="auto"/>
                <w:sz w:val="24"/>
                <w:szCs w:val="24"/>
                <w:highlight w:val="none"/>
              </w:rPr>
            </w:pPr>
          </w:p>
        </w:tc>
        <w:tc>
          <w:tcPr>
            <w:tcW w:w="1276" w:type="dxa"/>
            <w:vAlign w:val="center"/>
          </w:tcPr>
          <w:p w14:paraId="7AE2A32C">
            <w:pPr>
              <w:jc w:val="center"/>
              <w:rPr>
                <w:rFonts w:ascii="黑体" w:hAnsi="黑体" w:eastAsia="黑体"/>
                <w:color w:val="auto"/>
                <w:sz w:val="24"/>
                <w:szCs w:val="24"/>
                <w:highlight w:val="none"/>
              </w:rPr>
            </w:pPr>
          </w:p>
        </w:tc>
        <w:tc>
          <w:tcPr>
            <w:tcW w:w="1843" w:type="dxa"/>
            <w:vAlign w:val="center"/>
          </w:tcPr>
          <w:p w14:paraId="0AADDEF9">
            <w:pPr>
              <w:jc w:val="center"/>
              <w:rPr>
                <w:rFonts w:ascii="黑体" w:hAnsi="黑体" w:eastAsia="黑体"/>
                <w:color w:val="auto"/>
                <w:sz w:val="24"/>
                <w:szCs w:val="24"/>
                <w:highlight w:val="none"/>
              </w:rPr>
            </w:pPr>
          </w:p>
        </w:tc>
      </w:tr>
      <w:tr w14:paraId="5622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trPr>
        <w:tc>
          <w:tcPr>
            <w:tcW w:w="13042" w:type="dxa"/>
            <w:gridSpan w:val="9"/>
            <w:vAlign w:val="center"/>
          </w:tcPr>
          <w:p w14:paraId="3B912A18">
            <w:pPr>
              <w:spacing w:line="360" w:lineRule="auto"/>
              <w:jc w:val="left"/>
              <w:rPr>
                <w:rFonts w:ascii="黑体" w:hAnsi="黑体" w:eastAsia="黑体"/>
                <w:b/>
                <w:color w:val="auto"/>
                <w:sz w:val="24"/>
                <w:szCs w:val="24"/>
                <w:highlight w:val="none"/>
              </w:rPr>
            </w:pPr>
            <w:r>
              <w:rPr>
                <w:rFonts w:hint="eastAsia" w:ascii="黑体" w:hAnsi="黑体" w:eastAsia="黑体"/>
                <w:color w:val="auto"/>
                <w:sz w:val="24"/>
                <w:szCs w:val="24"/>
                <w:highlight w:val="none"/>
              </w:rPr>
              <w:t>评标委员会签名：</w:t>
            </w:r>
          </w:p>
          <w:p w14:paraId="5D90649B">
            <w:pPr>
              <w:jc w:val="right"/>
              <w:rPr>
                <w:rFonts w:ascii="黑体" w:hAnsi="黑体" w:eastAsia="黑体"/>
                <w:color w:val="auto"/>
                <w:sz w:val="24"/>
                <w:szCs w:val="24"/>
                <w:highlight w:val="none"/>
              </w:rPr>
            </w:pPr>
            <w:r>
              <w:rPr>
                <w:rFonts w:hint="eastAsia" w:ascii="黑体" w:hAnsi="黑体" w:eastAsia="黑体"/>
                <w:color w:val="auto"/>
                <w:sz w:val="24"/>
                <w:szCs w:val="24"/>
                <w:highlight w:val="none"/>
              </w:rPr>
              <w:t>日期：     年   月  日</w:t>
            </w:r>
          </w:p>
        </w:tc>
      </w:tr>
    </w:tbl>
    <w:p w14:paraId="169A0D82">
      <w:pPr>
        <w:adjustRightInd w:val="0"/>
        <w:snapToGrid w:val="0"/>
        <w:spacing w:line="360" w:lineRule="auto"/>
        <w:ind w:firstLine="482" w:firstLineChars="200"/>
        <w:rPr>
          <w:rFonts w:ascii="黑体" w:hAnsi="黑体" w:eastAsia="黑体"/>
          <w:b/>
          <w:color w:val="auto"/>
          <w:kern w:val="0"/>
          <w:sz w:val="24"/>
          <w:szCs w:val="24"/>
          <w:highlight w:val="none"/>
        </w:rPr>
      </w:pPr>
      <w:r>
        <w:rPr>
          <w:rFonts w:hint="eastAsia" w:ascii="黑体" w:hAnsi="黑体" w:eastAsia="黑体"/>
          <w:b/>
          <w:color w:val="auto"/>
          <w:kern w:val="0"/>
          <w:sz w:val="24"/>
          <w:szCs w:val="24"/>
          <w:highlight w:val="none"/>
        </w:rPr>
        <w:t>备注：</w:t>
      </w:r>
    </w:p>
    <w:p w14:paraId="39A7879E">
      <w:pPr>
        <w:adjustRightInd w:val="0"/>
        <w:snapToGrid w:val="0"/>
        <w:spacing w:line="360" w:lineRule="auto"/>
        <w:ind w:firstLine="420" w:firstLineChars="200"/>
        <w:rPr>
          <w:rFonts w:ascii="黑体" w:eastAsia="黑体"/>
          <w:color w:val="auto"/>
          <w:szCs w:val="21"/>
          <w:highlight w:val="none"/>
        </w:rPr>
      </w:pPr>
      <w:r>
        <w:rPr>
          <w:rFonts w:hint="eastAsia" w:ascii="黑体" w:eastAsia="黑体"/>
          <w:color w:val="auto"/>
          <w:szCs w:val="21"/>
          <w:highlight w:val="none"/>
        </w:rPr>
        <w:t>1.本项目采用的评标方法为：</w:t>
      </w:r>
      <w:r>
        <w:rPr>
          <w:rFonts w:hint="eastAsia" w:ascii="黑体" w:eastAsia="黑体"/>
          <w:color w:val="auto"/>
          <w:szCs w:val="21"/>
          <w:highlight w:val="none"/>
          <w:u w:val="single"/>
        </w:rPr>
        <w:t xml:space="preserve">            </w:t>
      </w:r>
      <w:r>
        <w:rPr>
          <w:rFonts w:hint="eastAsia" w:ascii="黑体" w:eastAsia="黑体"/>
          <w:color w:val="auto"/>
          <w:szCs w:val="21"/>
          <w:highlight w:val="none"/>
        </w:rPr>
        <w:t>。</w:t>
      </w:r>
    </w:p>
    <w:p w14:paraId="39BDA808">
      <w:pPr>
        <w:adjustRightInd w:val="0"/>
        <w:snapToGrid w:val="0"/>
        <w:spacing w:line="360" w:lineRule="auto"/>
        <w:ind w:firstLine="420" w:firstLineChars="200"/>
        <w:rPr>
          <w:rFonts w:ascii="宋体" w:hAnsi="宋体"/>
          <w:b/>
          <w:color w:val="auto"/>
          <w:sz w:val="24"/>
          <w:highlight w:val="none"/>
        </w:rPr>
        <w:sectPr>
          <w:pgSz w:w="15840" w:h="12240" w:orient="landscape"/>
          <w:pgMar w:top="1797" w:right="1440" w:bottom="1797" w:left="1440" w:header="720" w:footer="720" w:gutter="0"/>
          <w:cols w:space="720" w:num="1"/>
        </w:sectPr>
      </w:pPr>
      <w:r>
        <w:rPr>
          <w:rFonts w:hint="eastAsia" w:ascii="黑体" w:eastAsia="黑体"/>
          <w:color w:val="auto"/>
          <w:szCs w:val="21"/>
          <w:highlight w:val="none"/>
        </w:rPr>
        <w:t>2.综合得分N=</w:t>
      </w:r>
      <w:r>
        <w:rPr>
          <w:rFonts w:hint="eastAsia" w:ascii="黑体" w:eastAsia="黑体"/>
          <w:color w:val="auto"/>
          <w:szCs w:val="21"/>
          <w:highlight w:val="none"/>
          <w:u w:val="single"/>
        </w:rPr>
        <w:t xml:space="preserve">                          </w:t>
      </w:r>
      <w:r>
        <w:rPr>
          <w:rFonts w:hint="eastAsia" w:ascii="黑体" w:eastAsia="黑体"/>
          <w:color w:val="auto"/>
          <w:szCs w:val="21"/>
          <w:highlight w:val="none"/>
        </w:rPr>
        <w:t>。</w:t>
      </w:r>
    </w:p>
    <w:p w14:paraId="6D802DC9">
      <w:pPr>
        <w:pStyle w:val="7"/>
        <w:ind w:firstLine="640"/>
        <w:jc w:val="center"/>
        <w:rPr>
          <w:rFonts w:ascii="黑体" w:hAnsi="黑体" w:eastAsia="黑体"/>
          <w:color w:val="auto"/>
          <w:sz w:val="32"/>
          <w:szCs w:val="32"/>
          <w:highlight w:val="none"/>
        </w:rPr>
      </w:pPr>
      <w:r>
        <w:rPr>
          <w:rFonts w:hint="eastAsia" w:ascii="黑体" w:hAnsi="黑体" w:eastAsia="黑体"/>
          <w:color w:val="auto"/>
          <w:sz w:val="32"/>
          <w:szCs w:val="32"/>
          <w:highlight w:val="none"/>
        </w:rPr>
        <w:t>（五）其他开评标表格</w:t>
      </w:r>
    </w:p>
    <w:p w14:paraId="35DDBE09">
      <w:pPr>
        <w:spacing w:line="360" w:lineRule="auto"/>
        <w:ind w:firstLine="600" w:firstLineChars="200"/>
        <w:jc w:val="center"/>
        <w:rPr>
          <w:rFonts w:hint="eastAsia" w:ascii="黑体" w:hAnsi="黑体" w:eastAsia="黑体"/>
          <w:color w:val="auto"/>
          <w:sz w:val="30"/>
          <w:szCs w:val="30"/>
          <w:highlight w:val="none"/>
        </w:rPr>
      </w:pPr>
      <w:r>
        <w:rPr>
          <w:rFonts w:hint="eastAsia" w:ascii="黑体" w:hAnsi="黑体" w:eastAsia="黑体"/>
          <w:color w:val="auto"/>
          <w:sz w:val="30"/>
          <w:szCs w:val="30"/>
          <w:highlight w:val="none"/>
        </w:rPr>
        <w:t>1.开标情况记录表</w:t>
      </w:r>
    </w:p>
    <w:p w14:paraId="7848C0C8">
      <w:pPr>
        <w:spacing w:line="360" w:lineRule="auto"/>
        <w:ind w:firstLine="0" w:firstLineChars="0"/>
        <w:jc w:val="both"/>
        <w:rPr>
          <w:rFonts w:hint="eastAsia" w:ascii="黑体" w:hAnsi="黑体" w:eastAsia="黑体"/>
          <w:color w:val="auto"/>
          <w:sz w:val="30"/>
          <w:szCs w:val="30"/>
          <w:highlight w:val="none"/>
        </w:rPr>
      </w:pPr>
      <w:r>
        <w:rPr>
          <w:rFonts w:hint="eastAsia" w:ascii="黑体" w:hAnsi="黑体" w:eastAsia="黑体"/>
          <w:color w:val="auto"/>
          <w:sz w:val="24"/>
          <w:szCs w:val="24"/>
          <w:highlight w:val="none"/>
        </w:rPr>
        <w:t>项目名称：</w:t>
      </w:r>
      <w:r>
        <w:rPr>
          <w:rFonts w:hint="eastAsia" w:ascii="仿宋" w:hAnsi="仿宋" w:eastAsia="仿宋" w:cs="Times New Roman"/>
          <w:b/>
          <w:bCs w:val="0"/>
          <w:color w:val="auto"/>
          <w:kern w:val="2"/>
          <w:sz w:val="24"/>
          <w:szCs w:val="24"/>
          <w:highlight w:val="none"/>
          <w:shd w:val="clear"/>
          <w:lang w:val="en-US" w:eastAsia="zh-CN"/>
        </w:rPr>
        <w:t>第一亚太重庆分公司物业费欠费追缴诉讼服务（第二次）</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251"/>
        <w:gridCol w:w="1477"/>
        <w:gridCol w:w="1477"/>
        <w:gridCol w:w="1477"/>
        <w:gridCol w:w="1477"/>
      </w:tblGrid>
      <w:tr w14:paraId="4AF22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trPr>
        <w:tc>
          <w:tcPr>
            <w:tcW w:w="703" w:type="dxa"/>
            <w:vAlign w:val="center"/>
          </w:tcPr>
          <w:p w14:paraId="3E8FFC75">
            <w:pPr>
              <w:spacing w:line="360" w:lineRule="auto"/>
              <w:jc w:val="left"/>
              <w:rPr>
                <w:rFonts w:ascii="黑体" w:hAnsi="黑体" w:eastAsia="黑体"/>
                <w:color w:val="auto"/>
                <w:sz w:val="24"/>
                <w:szCs w:val="24"/>
                <w:highlight w:val="none"/>
              </w:rPr>
            </w:pPr>
            <w:r>
              <w:rPr>
                <w:rFonts w:hint="eastAsia" w:ascii="黑体" w:hAnsi="黑体" w:eastAsia="黑体"/>
                <w:color w:val="auto"/>
                <w:sz w:val="24"/>
                <w:szCs w:val="24"/>
                <w:highlight w:val="none"/>
              </w:rPr>
              <w:t>序号</w:t>
            </w:r>
          </w:p>
        </w:tc>
        <w:tc>
          <w:tcPr>
            <w:tcW w:w="2251" w:type="dxa"/>
            <w:vAlign w:val="center"/>
          </w:tcPr>
          <w:p w14:paraId="6354CA9A">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投标人名称</w:t>
            </w:r>
          </w:p>
        </w:tc>
        <w:tc>
          <w:tcPr>
            <w:tcW w:w="1477" w:type="dxa"/>
            <w:vAlign w:val="center"/>
          </w:tcPr>
          <w:p w14:paraId="510B5780">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投标报价（元）</w:t>
            </w:r>
          </w:p>
        </w:tc>
        <w:tc>
          <w:tcPr>
            <w:tcW w:w="1477" w:type="dxa"/>
            <w:vAlign w:val="center"/>
          </w:tcPr>
          <w:p w14:paraId="65F0B37A">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服务期限</w:t>
            </w:r>
          </w:p>
        </w:tc>
        <w:tc>
          <w:tcPr>
            <w:tcW w:w="1477" w:type="dxa"/>
            <w:vAlign w:val="center"/>
          </w:tcPr>
          <w:p w14:paraId="71E481F6">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投标人确认</w:t>
            </w:r>
          </w:p>
        </w:tc>
        <w:tc>
          <w:tcPr>
            <w:tcW w:w="1477" w:type="dxa"/>
            <w:vAlign w:val="center"/>
          </w:tcPr>
          <w:p w14:paraId="2ECE1643">
            <w:pPr>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备注</w:t>
            </w:r>
          </w:p>
        </w:tc>
      </w:tr>
      <w:tr w14:paraId="5357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03" w:type="dxa"/>
            <w:vAlign w:val="center"/>
          </w:tcPr>
          <w:p w14:paraId="51329191">
            <w:pPr>
              <w:spacing w:line="360" w:lineRule="auto"/>
              <w:jc w:val="center"/>
              <w:rPr>
                <w:rFonts w:ascii="黑体" w:hAnsi="黑体" w:eastAsia="黑体"/>
                <w:b/>
                <w:color w:val="auto"/>
                <w:sz w:val="24"/>
                <w:szCs w:val="24"/>
                <w:highlight w:val="none"/>
              </w:rPr>
            </w:pPr>
          </w:p>
        </w:tc>
        <w:tc>
          <w:tcPr>
            <w:tcW w:w="2251" w:type="dxa"/>
            <w:vAlign w:val="center"/>
          </w:tcPr>
          <w:p w14:paraId="6414065C">
            <w:pPr>
              <w:spacing w:line="360" w:lineRule="auto"/>
              <w:jc w:val="center"/>
              <w:rPr>
                <w:rFonts w:ascii="黑体" w:hAnsi="黑体" w:eastAsia="黑体"/>
                <w:b/>
                <w:color w:val="auto"/>
                <w:sz w:val="24"/>
                <w:szCs w:val="24"/>
                <w:highlight w:val="none"/>
              </w:rPr>
            </w:pPr>
          </w:p>
        </w:tc>
        <w:tc>
          <w:tcPr>
            <w:tcW w:w="1477" w:type="dxa"/>
            <w:vAlign w:val="center"/>
          </w:tcPr>
          <w:p w14:paraId="61ACEE9C">
            <w:pPr>
              <w:spacing w:line="360" w:lineRule="auto"/>
              <w:jc w:val="center"/>
              <w:rPr>
                <w:rFonts w:ascii="黑体" w:hAnsi="黑体" w:eastAsia="黑体"/>
                <w:b/>
                <w:color w:val="auto"/>
                <w:sz w:val="24"/>
                <w:szCs w:val="24"/>
                <w:highlight w:val="none"/>
              </w:rPr>
            </w:pPr>
          </w:p>
        </w:tc>
        <w:tc>
          <w:tcPr>
            <w:tcW w:w="1477" w:type="dxa"/>
            <w:vAlign w:val="center"/>
          </w:tcPr>
          <w:p w14:paraId="5B52B717">
            <w:pPr>
              <w:spacing w:line="360" w:lineRule="auto"/>
              <w:jc w:val="center"/>
              <w:rPr>
                <w:rFonts w:ascii="黑体" w:hAnsi="黑体" w:eastAsia="黑体"/>
                <w:b/>
                <w:color w:val="auto"/>
                <w:sz w:val="24"/>
                <w:szCs w:val="24"/>
                <w:highlight w:val="none"/>
              </w:rPr>
            </w:pPr>
          </w:p>
        </w:tc>
        <w:tc>
          <w:tcPr>
            <w:tcW w:w="1477" w:type="dxa"/>
            <w:vAlign w:val="center"/>
          </w:tcPr>
          <w:p w14:paraId="2C0602D1">
            <w:pPr>
              <w:spacing w:line="360" w:lineRule="auto"/>
              <w:jc w:val="center"/>
              <w:rPr>
                <w:rFonts w:ascii="黑体" w:hAnsi="黑体" w:eastAsia="黑体"/>
                <w:b/>
                <w:color w:val="auto"/>
                <w:sz w:val="24"/>
                <w:szCs w:val="24"/>
                <w:highlight w:val="none"/>
              </w:rPr>
            </w:pPr>
          </w:p>
        </w:tc>
        <w:tc>
          <w:tcPr>
            <w:tcW w:w="1477" w:type="dxa"/>
            <w:vAlign w:val="center"/>
          </w:tcPr>
          <w:p w14:paraId="06A886A1">
            <w:pPr>
              <w:spacing w:line="360" w:lineRule="auto"/>
              <w:jc w:val="center"/>
              <w:rPr>
                <w:rFonts w:ascii="黑体" w:hAnsi="黑体" w:eastAsia="黑体"/>
                <w:b/>
                <w:color w:val="auto"/>
                <w:sz w:val="24"/>
                <w:szCs w:val="24"/>
                <w:highlight w:val="none"/>
              </w:rPr>
            </w:pPr>
          </w:p>
        </w:tc>
      </w:tr>
      <w:tr w14:paraId="6089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03" w:type="dxa"/>
            <w:vAlign w:val="center"/>
          </w:tcPr>
          <w:p w14:paraId="4D891A13">
            <w:pPr>
              <w:spacing w:line="360" w:lineRule="auto"/>
              <w:jc w:val="center"/>
              <w:rPr>
                <w:rFonts w:ascii="黑体" w:hAnsi="黑体" w:eastAsia="黑体"/>
                <w:b/>
                <w:color w:val="auto"/>
                <w:sz w:val="24"/>
                <w:szCs w:val="24"/>
                <w:highlight w:val="none"/>
              </w:rPr>
            </w:pPr>
          </w:p>
        </w:tc>
        <w:tc>
          <w:tcPr>
            <w:tcW w:w="2251" w:type="dxa"/>
            <w:vAlign w:val="center"/>
          </w:tcPr>
          <w:p w14:paraId="14A97F98">
            <w:pPr>
              <w:spacing w:line="360" w:lineRule="auto"/>
              <w:jc w:val="center"/>
              <w:rPr>
                <w:rFonts w:ascii="黑体" w:hAnsi="黑体" w:eastAsia="黑体"/>
                <w:b/>
                <w:color w:val="auto"/>
                <w:sz w:val="24"/>
                <w:szCs w:val="24"/>
                <w:highlight w:val="none"/>
              </w:rPr>
            </w:pPr>
          </w:p>
        </w:tc>
        <w:tc>
          <w:tcPr>
            <w:tcW w:w="1477" w:type="dxa"/>
            <w:vAlign w:val="center"/>
          </w:tcPr>
          <w:p w14:paraId="68422C50">
            <w:pPr>
              <w:spacing w:line="360" w:lineRule="auto"/>
              <w:jc w:val="center"/>
              <w:rPr>
                <w:rFonts w:ascii="黑体" w:hAnsi="黑体" w:eastAsia="黑体"/>
                <w:b/>
                <w:color w:val="auto"/>
                <w:sz w:val="24"/>
                <w:szCs w:val="24"/>
                <w:highlight w:val="none"/>
              </w:rPr>
            </w:pPr>
          </w:p>
        </w:tc>
        <w:tc>
          <w:tcPr>
            <w:tcW w:w="1477" w:type="dxa"/>
            <w:vAlign w:val="center"/>
          </w:tcPr>
          <w:p w14:paraId="3FDB29A2">
            <w:pPr>
              <w:spacing w:line="360" w:lineRule="auto"/>
              <w:jc w:val="center"/>
              <w:rPr>
                <w:rFonts w:ascii="黑体" w:hAnsi="黑体" w:eastAsia="黑体"/>
                <w:b/>
                <w:color w:val="auto"/>
                <w:sz w:val="24"/>
                <w:szCs w:val="24"/>
                <w:highlight w:val="none"/>
              </w:rPr>
            </w:pPr>
          </w:p>
        </w:tc>
        <w:tc>
          <w:tcPr>
            <w:tcW w:w="1477" w:type="dxa"/>
            <w:vAlign w:val="center"/>
          </w:tcPr>
          <w:p w14:paraId="7F6075CE">
            <w:pPr>
              <w:spacing w:line="360" w:lineRule="auto"/>
              <w:jc w:val="center"/>
              <w:rPr>
                <w:rFonts w:ascii="黑体" w:hAnsi="黑体" w:eastAsia="黑体"/>
                <w:b/>
                <w:color w:val="auto"/>
                <w:sz w:val="24"/>
                <w:szCs w:val="24"/>
                <w:highlight w:val="none"/>
              </w:rPr>
            </w:pPr>
          </w:p>
        </w:tc>
        <w:tc>
          <w:tcPr>
            <w:tcW w:w="1477" w:type="dxa"/>
            <w:vAlign w:val="center"/>
          </w:tcPr>
          <w:p w14:paraId="78A70D05">
            <w:pPr>
              <w:spacing w:line="360" w:lineRule="auto"/>
              <w:jc w:val="center"/>
              <w:rPr>
                <w:rFonts w:ascii="黑体" w:hAnsi="黑体" w:eastAsia="黑体"/>
                <w:b/>
                <w:color w:val="auto"/>
                <w:sz w:val="24"/>
                <w:szCs w:val="24"/>
                <w:highlight w:val="none"/>
              </w:rPr>
            </w:pPr>
          </w:p>
        </w:tc>
      </w:tr>
      <w:tr w14:paraId="2A92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03" w:type="dxa"/>
            <w:vAlign w:val="center"/>
          </w:tcPr>
          <w:p w14:paraId="288A2F22">
            <w:pPr>
              <w:spacing w:line="360" w:lineRule="auto"/>
              <w:jc w:val="center"/>
              <w:rPr>
                <w:rFonts w:ascii="黑体" w:hAnsi="黑体" w:eastAsia="黑体"/>
                <w:b/>
                <w:color w:val="auto"/>
                <w:sz w:val="24"/>
                <w:szCs w:val="24"/>
                <w:highlight w:val="none"/>
              </w:rPr>
            </w:pPr>
          </w:p>
        </w:tc>
        <w:tc>
          <w:tcPr>
            <w:tcW w:w="2251" w:type="dxa"/>
            <w:vAlign w:val="center"/>
          </w:tcPr>
          <w:p w14:paraId="2E66EE5E">
            <w:pPr>
              <w:spacing w:line="360" w:lineRule="auto"/>
              <w:jc w:val="center"/>
              <w:rPr>
                <w:rFonts w:ascii="黑体" w:hAnsi="黑体" w:eastAsia="黑体"/>
                <w:b/>
                <w:color w:val="auto"/>
                <w:sz w:val="24"/>
                <w:szCs w:val="24"/>
                <w:highlight w:val="none"/>
              </w:rPr>
            </w:pPr>
          </w:p>
        </w:tc>
        <w:tc>
          <w:tcPr>
            <w:tcW w:w="1477" w:type="dxa"/>
            <w:vAlign w:val="center"/>
          </w:tcPr>
          <w:p w14:paraId="18AD33FB">
            <w:pPr>
              <w:spacing w:line="360" w:lineRule="auto"/>
              <w:jc w:val="center"/>
              <w:rPr>
                <w:rFonts w:ascii="黑体" w:hAnsi="黑体" w:eastAsia="黑体"/>
                <w:b/>
                <w:color w:val="auto"/>
                <w:sz w:val="24"/>
                <w:szCs w:val="24"/>
                <w:highlight w:val="none"/>
              </w:rPr>
            </w:pPr>
          </w:p>
        </w:tc>
        <w:tc>
          <w:tcPr>
            <w:tcW w:w="1477" w:type="dxa"/>
            <w:vAlign w:val="center"/>
          </w:tcPr>
          <w:p w14:paraId="37A1FC53">
            <w:pPr>
              <w:spacing w:line="360" w:lineRule="auto"/>
              <w:jc w:val="center"/>
              <w:rPr>
                <w:rFonts w:ascii="黑体" w:hAnsi="黑体" w:eastAsia="黑体"/>
                <w:b/>
                <w:color w:val="auto"/>
                <w:sz w:val="24"/>
                <w:szCs w:val="24"/>
                <w:highlight w:val="none"/>
              </w:rPr>
            </w:pPr>
          </w:p>
        </w:tc>
        <w:tc>
          <w:tcPr>
            <w:tcW w:w="1477" w:type="dxa"/>
            <w:vAlign w:val="center"/>
          </w:tcPr>
          <w:p w14:paraId="5CE8C82C">
            <w:pPr>
              <w:spacing w:line="360" w:lineRule="auto"/>
              <w:jc w:val="center"/>
              <w:rPr>
                <w:rFonts w:ascii="黑体" w:hAnsi="黑体" w:eastAsia="黑体"/>
                <w:b/>
                <w:color w:val="auto"/>
                <w:sz w:val="24"/>
                <w:szCs w:val="24"/>
                <w:highlight w:val="none"/>
              </w:rPr>
            </w:pPr>
          </w:p>
        </w:tc>
        <w:tc>
          <w:tcPr>
            <w:tcW w:w="1477" w:type="dxa"/>
            <w:vAlign w:val="center"/>
          </w:tcPr>
          <w:p w14:paraId="0A25F6DF">
            <w:pPr>
              <w:spacing w:line="360" w:lineRule="auto"/>
              <w:jc w:val="center"/>
              <w:rPr>
                <w:rFonts w:ascii="黑体" w:hAnsi="黑体" w:eastAsia="黑体"/>
                <w:b/>
                <w:color w:val="auto"/>
                <w:sz w:val="24"/>
                <w:szCs w:val="24"/>
                <w:highlight w:val="none"/>
              </w:rPr>
            </w:pPr>
          </w:p>
        </w:tc>
      </w:tr>
      <w:tr w14:paraId="36ED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03" w:type="dxa"/>
            <w:vAlign w:val="center"/>
          </w:tcPr>
          <w:p w14:paraId="2F2477D1">
            <w:pPr>
              <w:spacing w:line="360" w:lineRule="auto"/>
              <w:jc w:val="center"/>
              <w:rPr>
                <w:rFonts w:ascii="黑体" w:hAnsi="黑体" w:eastAsia="黑体"/>
                <w:b/>
                <w:color w:val="auto"/>
                <w:sz w:val="24"/>
                <w:szCs w:val="24"/>
                <w:highlight w:val="none"/>
              </w:rPr>
            </w:pPr>
          </w:p>
        </w:tc>
        <w:tc>
          <w:tcPr>
            <w:tcW w:w="2251" w:type="dxa"/>
            <w:vAlign w:val="center"/>
          </w:tcPr>
          <w:p w14:paraId="24478C1D">
            <w:pPr>
              <w:spacing w:line="360" w:lineRule="auto"/>
              <w:jc w:val="center"/>
              <w:rPr>
                <w:rFonts w:ascii="黑体" w:hAnsi="黑体" w:eastAsia="黑体"/>
                <w:b/>
                <w:color w:val="auto"/>
                <w:sz w:val="24"/>
                <w:szCs w:val="24"/>
                <w:highlight w:val="none"/>
              </w:rPr>
            </w:pPr>
          </w:p>
        </w:tc>
        <w:tc>
          <w:tcPr>
            <w:tcW w:w="1477" w:type="dxa"/>
            <w:vAlign w:val="center"/>
          </w:tcPr>
          <w:p w14:paraId="672F821A">
            <w:pPr>
              <w:spacing w:line="360" w:lineRule="auto"/>
              <w:jc w:val="center"/>
              <w:rPr>
                <w:rFonts w:ascii="黑体" w:hAnsi="黑体" w:eastAsia="黑体"/>
                <w:b/>
                <w:color w:val="auto"/>
                <w:sz w:val="24"/>
                <w:szCs w:val="24"/>
                <w:highlight w:val="none"/>
              </w:rPr>
            </w:pPr>
          </w:p>
        </w:tc>
        <w:tc>
          <w:tcPr>
            <w:tcW w:w="1477" w:type="dxa"/>
            <w:vAlign w:val="center"/>
          </w:tcPr>
          <w:p w14:paraId="60F1824A">
            <w:pPr>
              <w:spacing w:line="360" w:lineRule="auto"/>
              <w:jc w:val="center"/>
              <w:rPr>
                <w:rFonts w:ascii="黑体" w:hAnsi="黑体" w:eastAsia="黑体"/>
                <w:b/>
                <w:color w:val="auto"/>
                <w:sz w:val="24"/>
                <w:szCs w:val="24"/>
                <w:highlight w:val="none"/>
              </w:rPr>
            </w:pPr>
          </w:p>
        </w:tc>
        <w:tc>
          <w:tcPr>
            <w:tcW w:w="1477" w:type="dxa"/>
            <w:vAlign w:val="center"/>
          </w:tcPr>
          <w:p w14:paraId="6D045A37">
            <w:pPr>
              <w:spacing w:line="360" w:lineRule="auto"/>
              <w:jc w:val="center"/>
              <w:rPr>
                <w:rFonts w:ascii="黑体" w:hAnsi="黑体" w:eastAsia="黑体"/>
                <w:b/>
                <w:color w:val="auto"/>
                <w:sz w:val="24"/>
                <w:szCs w:val="24"/>
                <w:highlight w:val="none"/>
              </w:rPr>
            </w:pPr>
          </w:p>
        </w:tc>
        <w:tc>
          <w:tcPr>
            <w:tcW w:w="1477" w:type="dxa"/>
            <w:vAlign w:val="center"/>
          </w:tcPr>
          <w:p w14:paraId="64404C63">
            <w:pPr>
              <w:spacing w:line="360" w:lineRule="auto"/>
              <w:jc w:val="center"/>
              <w:rPr>
                <w:rFonts w:ascii="黑体" w:hAnsi="黑体" w:eastAsia="黑体"/>
                <w:b/>
                <w:color w:val="auto"/>
                <w:sz w:val="24"/>
                <w:szCs w:val="24"/>
                <w:highlight w:val="none"/>
              </w:rPr>
            </w:pPr>
          </w:p>
        </w:tc>
      </w:tr>
      <w:tr w14:paraId="5B33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03" w:type="dxa"/>
            <w:vAlign w:val="center"/>
          </w:tcPr>
          <w:p w14:paraId="68FFA3CE">
            <w:pPr>
              <w:spacing w:line="360" w:lineRule="auto"/>
              <w:jc w:val="center"/>
              <w:rPr>
                <w:rFonts w:ascii="黑体" w:hAnsi="黑体" w:eastAsia="黑体"/>
                <w:b/>
                <w:color w:val="auto"/>
                <w:sz w:val="24"/>
                <w:szCs w:val="24"/>
                <w:highlight w:val="none"/>
              </w:rPr>
            </w:pPr>
          </w:p>
        </w:tc>
        <w:tc>
          <w:tcPr>
            <w:tcW w:w="2251" w:type="dxa"/>
            <w:vAlign w:val="center"/>
          </w:tcPr>
          <w:p w14:paraId="1B5A9D8B">
            <w:pPr>
              <w:spacing w:line="360" w:lineRule="auto"/>
              <w:jc w:val="center"/>
              <w:rPr>
                <w:rFonts w:ascii="黑体" w:hAnsi="黑体" w:eastAsia="黑体"/>
                <w:b/>
                <w:color w:val="auto"/>
                <w:sz w:val="24"/>
                <w:szCs w:val="24"/>
                <w:highlight w:val="none"/>
              </w:rPr>
            </w:pPr>
          </w:p>
        </w:tc>
        <w:tc>
          <w:tcPr>
            <w:tcW w:w="1477" w:type="dxa"/>
            <w:vAlign w:val="center"/>
          </w:tcPr>
          <w:p w14:paraId="0CD51D6E">
            <w:pPr>
              <w:spacing w:line="360" w:lineRule="auto"/>
              <w:jc w:val="center"/>
              <w:rPr>
                <w:rFonts w:ascii="黑体" w:hAnsi="黑体" w:eastAsia="黑体"/>
                <w:b/>
                <w:color w:val="auto"/>
                <w:sz w:val="24"/>
                <w:szCs w:val="24"/>
                <w:highlight w:val="none"/>
              </w:rPr>
            </w:pPr>
          </w:p>
        </w:tc>
        <w:tc>
          <w:tcPr>
            <w:tcW w:w="1477" w:type="dxa"/>
            <w:vAlign w:val="center"/>
          </w:tcPr>
          <w:p w14:paraId="09C2412F">
            <w:pPr>
              <w:spacing w:line="360" w:lineRule="auto"/>
              <w:jc w:val="center"/>
              <w:rPr>
                <w:rFonts w:ascii="黑体" w:hAnsi="黑体" w:eastAsia="黑体"/>
                <w:b/>
                <w:color w:val="auto"/>
                <w:sz w:val="24"/>
                <w:szCs w:val="24"/>
                <w:highlight w:val="none"/>
              </w:rPr>
            </w:pPr>
          </w:p>
        </w:tc>
        <w:tc>
          <w:tcPr>
            <w:tcW w:w="1477" w:type="dxa"/>
            <w:vAlign w:val="center"/>
          </w:tcPr>
          <w:p w14:paraId="10C60CE0">
            <w:pPr>
              <w:spacing w:line="360" w:lineRule="auto"/>
              <w:jc w:val="center"/>
              <w:rPr>
                <w:rFonts w:ascii="黑体" w:hAnsi="黑体" w:eastAsia="黑体"/>
                <w:b/>
                <w:color w:val="auto"/>
                <w:sz w:val="24"/>
                <w:szCs w:val="24"/>
                <w:highlight w:val="none"/>
              </w:rPr>
            </w:pPr>
          </w:p>
        </w:tc>
        <w:tc>
          <w:tcPr>
            <w:tcW w:w="1477" w:type="dxa"/>
            <w:vAlign w:val="center"/>
          </w:tcPr>
          <w:p w14:paraId="73879AF1">
            <w:pPr>
              <w:spacing w:line="360" w:lineRule="auto"/>
              <w:jc w:val="center"/>
              <w:rPr>
                <w:rFonts w:ascii="黑体" w:hAnsi="黑体" w:eastAsia="黑体"/>
                <w:b/>
                <w:color w:val="auto"/>
                <w:sz w:val="24"/>
                <w:szCs w:val="24"/>
                <w:highlight w:val="none"/>
              </w:rPr>
            </w:pPr>
          </w:p>
        </w:tc>
      </w:tr>
      <w:tr w14:paraId="79B56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03" w:type="dxa"/>
            <w:vAlign w:val="center"/>
          </w:tcPr>
          <w:p w14:paraId="5AD9ABB0">
            <w:pPr>
              <w:spacing w:line="360" w:lineRule="auto"/>
              <w:jc w:val="center"/>
              <w:rPr>
                <w:rFonts w:ascii="黑体" w:hAnsi="黑体" w:eastAsia="黑体"/>
                <w:b/>
                <w:color w:val="auto"/>
                <w:sz w:val="24"/>
                <w:szCs w:val="24"/>
                <w:highlight w:val="none"/>
              </w:rPr>
            </w:pPr>
          </w:p>
        </w:tc>
        <w:tc>
          <w:tcPr>
            <w:tcW w:w="2251" w:type="dxa"/>
            <w:vAlign w:val="center"/>
          </w:tcPr>
          <w:p w14:paraId="3F0F8727">
            <w:pPr>
              <w:spacing w:line="360" w:lineRule="auto"/>
              <w:jc w:val="center"/>
              <w:rPr>
                <w:rFonts w:ascii="黑体" w:hAnsi="黑体" w:eastAsia="黑体"/>
                <w:b/>
                <w:color w:val="auto"/>
                <w:sz w:val="24"/>
                <w:szCs w:val="24"/>
                <w:highlight w:val="none"/>
              </w:rPr>
            </w:pPr>
          </w:p>
        </w:tc>
        <w:tc>
          <w:tcPr>
            <w:tcW w:w="1477" w:type="dxa"/>
            <w:vAlign w:val="center"/>
          </w:tcPr>
          <w:p w14:paraId="521A1C58">
            <w:pPr>
              <w:spacing w:line="360" w:lineRule="auto"/>
              <w:jc w:val="center"/>
              <w:rPr>
                <w:rFonts w:ascii="黑体" w:hAnsi="黑体" w:eastAsia="黑体"/>
                <w:b/>
                <w:color w:val="auto"/>
                <w:sz w:val="24"/>
                <w:szCs w:val="24"/>
                <w:highlight w:val="none"/>
              </w:rPr>
            </w:pPr>
          </w:p>
        </w:tc>
        <w:tc>
          <w:tcPr>
            <w:tcW w:w="1477" w:type="dxa"/>
            <w:vAlign w:val="center"/>
          </w:tcPr>
          <w:p w14:paraId="3AB2A200">
            <w:pPr>
              <w:spacing w:line="360" w:lineRule="auto"/>
              <w:jc w:val="center"/>
              <w:rPr>
                <w:rFonts w:ascii="黑体" w:hAnsi="黑体" w:eastAsia="黑体"/>
                <w:b/>
                <w:color w:val="auto"/>
                <w:sz w:val="24"/>
                <w:szCs w:val="24"/>
                <w:highlight w:val="none"/>
              </w:rPr>
            </w:pPr>
          </w:p>
        </w:tc>
        <w:tc>
          <w:tcPr>
            <w:tcW w:w="1477" w:type="dxa"/>
            <w:vAlign w:val="center"/>
          </w:tcPr>
          <w:p w14:paraId="0E739C46">
            <w:pPr>
              <w:spacing w:line="360" w:lineRule="auto"/>
              <w:jc w:val="center"/>
              <w:rPr>
                <w:rFonts w:ascii="黑体" w:hAnsi="黑体" w:eastAsia="黑体"/>
                <w:b/>
                <w:color w:val="auto"/>
                <w:sz w:val="24"/>
                <w:szCs w:val="24"/>
                <w:highlight w:val="none"/>
              </w:rPr>
            </w:pPr>
          </w:p>
        </w:tc>
        <w:tc>
          <w:tcPr>
            <w:tcW w:w="1477" w:type="dxa"/>
            <w:vAlign w:val="center"/>
          </w:tcPr>
          <w:p w14:paraId="05393710">
            <w:pPr>
              <w:spacing w:line="360" w:lineRule="auto"/>
              <w:jc w:val="center"/>
              <w:rPr>
                <w:rFonts w:ascii="黑体" w:hAnsi="黑体" w:eastAsia="黑体"/>
                <w:b/>
                <w:color w:val="auto"/>
                <w:sz w:val="24"/>
                <w:szCs w:val="24"/>
                <w:highlight w:val="none"/>
              </w:rPr>
            </w:pPr>
          </w:p>
        </w:tc>
      </w:tr>
      <w:tr w14:paraId="7231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03" w:type="dxa"/>
            <w:vAlign w:val="center"/>
          </w:tcPr>
          <w:p w14:paraId="688726E9">
            <w:pPr>
              <w:spacing w:line="360" w:lineRule="auto"/>
              <w:jc w:val="center"/>
              <w:rPr>
                <w:rFonts w:ascii="黑体" w:hAnsi="黑体" w:eastAsia="黑体"/>
                <w:b/>
                <w:color w:val="auto"/>
                <w:sz w:val="24"/>
                <w:szCs w:val="24"/>
                <w:highlight w:val="none"/>
              </w:rPr>
            </w:pPr>
          </w:p>
        </w:tc>
        <w:tc>
          <w:tcPr>
            <w:tcW w:w="2251" w:type="dxa"/>
            <w:vAlign w:val="center"/>
          </w:tcPr>
          <w:p w14:paraId="51F6D33B">
            <w:pPr>
              <w:spacing w:line="360" w:lineRule="auto"/>
              <w:jc w:val="center"/>
              <w:rPr>
                <w:rFonts w:ascii="黑体" w:hAnsi="黑体" w:eastAsia="黑体"/>
                <w:b/>
                <w:color w:val="auto"/>
                <w:sz w:val="24"/>
                <w:szCs w:val="24"/>
                <w:highlight w:val="none"/>
              </w:rPr>
            </w:pPr>
          </w:p>
        </w:tc>
        <w:tc>
          <w:tcPr>
            <w:tcW w:w="1477" w:type="dxa"/>
            <w:vAlign w:val="center"/>
          </w:tcPr>
          <w:p w14:paraId="5CBFFC50">
            <w:pPr>
              <w:spacing w:line="360" w:lineRule="auto"/>
              <w:jc w:val="center"/>
              <w:rPr>
                <w:rFonts w:ascii="黑体" w:hAnsi="黑体" w:eastAsia="黑体"/>
                <w:b/>
                <w:color w:val="auto"/>
                <w:sz w:val="24"/>
                <w:szCs w:val="24"/>
                <w:highlight w:val="none"/>
              </w:rPr>
            </w:pPr>
          </w:p>
        </w:tc>
        <w:tc>
          <w:tcPr>
            <w:tcW w:w="1477" w:type="dxa"/>
            <w:vAlign w:val="center"/>
          </w:tcPr>
          <w:p w14:paraId="52D42AFB">
            <w:pPr>
              <w:spacing w:line="360" w:lineRule="auto"/>
              <w:jc w:val="center"/>
              <w:rPr>
                <w:rFonts w:ascii="黑体" w:hAnsi="黑体" w:eastAsia="黑体"/>
                <w:b/>
                <w:color w:val="auto"/>
                <w:sz w:val="24"/>
                <w:szCs w:val="24"/>
                <w:highlight w:val="none"/>
              </w:rPr>
            </w:pPr>
          </w:p>
        </w:tc>
        <w:tc>
          <w:tcPr>
            <w:tcW w:w="1477" w:type="dxa"/>
            <w:vAlign w:val="center"/>
          </w:tcPr>
          <w:p w14:paraId="1C361B5C">
            <w:pPr>
              <w:spacing w:line="360" w:lineRule="auto"/>
              <w:jc w:val="center"/>
              <w:rPr>
                <w:rFonts w:ascii="黑体" w:hAnsi="黑体" w:eastAsia="黑体"/>
                <w:b/>
                <w:color w:val="auto"/>
                <w:sz w:val="24"/>
                <w:szCs w:val="24"/>
                <w:highlight w:val="none"/>
              </w:rPr>
            </w:pPr>
          </w:p>
        </w:tc>
        <w:tc>
          <w:tcPr>
            <w:tcW w:w="1477" w:type="dxa"/>
            <w:vAlign w:val="center"/>
          </w:tcPr>
          <w:p w14:paraId="77996498">
            <w:pPr>
              <w:spacing w:line="360" w:lineRule="auto"/>
              <w:jc w:val="center"/>
              <w:rPr>
                <w:rFonts w:ascii="黑体" w:hAnsi="黑体" w:eastAsia="黑体"/>
                <w:b/>
                <w:color w:val="auto"/>
                <w:sz w:val="24"/>
                <w:szCs w:val="24"/>
                <w:highlight w:val="none"/>
              </w:rPr>
            </w:pPr>
          </w:p>
        </w:tc>
      </w:tr>
      <w:tr w14:paraId="527A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03" w:type="dxa"/>
            <w:vAlign w:val="center"/>
          </w:tcPr>
          <w:p w14:paraId="28450A58">
            <w:pPr>
              <w:spacing w:line="360" w:lineRule="auto"/>
              <w:jc w:val="center"/>
              <w:rPr>
                <w:rFonts w:ascii="黑体" w:hAnsi="黑体" w:eastAsia="黑体"/>
                <w:b/>
                <w:color w:val="auto"/>
                <w:sz w:val="24"/>
                <w:szCs w:val="24"/>
                <w:highlight w:val="none"/>
              </w:rPr>
            </w:pPr>
          </w:p>
        </w:tc>
        <w:tc>
          <w:tcPr>
            <w:tcW w:w="2251" w:type="dxa"/>
            <w:vAlign w:val="center"/>
          </w:tcPr>
          <w:p w14:paraId="5C0085E4">
            <w:pPr>
              <w:spacing w:line="360" w:lineRule="auto"/>
              <w:jc w:val="center"/>
              <w:rPr>
                <w:rFonts w:ascii="黑体" w:hAnsi="黑体" w:eastAsia="黑体"/>
                <w:b/>
                <w:color w:val="auto"/>
                <w:sz w:val="24"/>
                <w:szCs w:val="24"/>
                <w:highlight w:val="none"/>
              </w:rPr>
            </w:pPr>
          </w:p>
        </w:tc>
        <w:tc>
          <w:tcPr>
            <w:tcW w:w="1477" w:type="dxa"/>
            <w:vAlign w:val="center"/>
          </w:tcPr>
          <w:p w14:paraId="34160D89">
            <w:pPr>
              <w:spacing w:line="360" w:lineRule="auto"/>
              <w:jc w:val="center"/>
              <w:rPr>
                <w:rFonts w:ascii="黑体" w:hAnsi="黑体" w:eastAsia="黑体"/>
                <w:b/>
                <w:color w:val="auto"/>
                <w:sz w:val="24"/>
                <w:szCs w:val="24"/>
                <w:highlight w:val="none"/>
              </w:rPr>
            </w:pPr>
          </w:p>
        </w:tc>
        <w:tc>
          <w:tcPr>
            <w:tcW w:w="1477" w:type="dxa"/>
            <w:vAlign w:val="center"/>
          </w:tcPr>
          <w:p w14:paraId="2A1D44E4">
            <w:pPr>
              <w:spacing w:line="360" w:lineRule="auto"/>
              <w:jc w:val="center"/>
              <w:rPr>
                <w:rFonts w:ascii="黑体" w:hAnsi="黑体" w:eastAsia="黑体"/>
                <w:b/>
                <w:color w:val="auto"/>
                <w:sz w:val="24"/>
                <w:szCs w:val="24"/>
                <w:highlight w:val="none"/>
              </w:rPr>
            </w:pPr>
          </w:p>
        </w:tc>
        <w:tc>
          <w:tcPr>
            <w:tcW w:w="1477" w:type="dxa"/>
            <w:vAlign w:val="center"/>
          </w:tcPr>
          <w:p w14:paraId="0829BC5E">
            <w:pPr>
              <w:spacing w:line="360" w:lineRule="auto"/>
              <w:jc w:val="center"/>
              <w:rPr>
                <w:rFonts w:ascii="黑体" w:hAnsi="黑体" w:eastAsia="黑体"/>
                <w:b/>
                <w:color w:val="auto"/>
                <w:sz w:val="24"/>
                <w:szCs w:val="24"/>
                <w:highlight w:val="none"/>
              </w:rPr>
            </w:pPr>
          </w:p>
        </w:tc>
        <w:tc>
          <w:tcPr>
            <w:tcW w:w="1477" w:type="dxa"/>
            <w:vAlign w:val="center"/>
          </w:tcPr>
          <w:p w14:paraId="0C0E4480">
            <w:pPr>
              <w:spacing w:line="360" w:lineRule="auto"/>
              <w:jc w:val="center"/>
              <w:rPr>
                <w:rFonts w:ascii="黑体" w:hAnsi="黑体" w:eastAsia="黑体"/>
                <w:b/>
                <w:color w:val="auto"/>
                <w:sz w:val="24"/>
                <w:szCs w:val="24"/>
                <w:highlight w:val="none"/>
              </w:rPr>
            </w:pPr>
          </w:p>
        </w:tc>
      </w:tr>
    </w:tbl>
    <w:p w14:paraId="1F699D8F">
      <w:pPr>
        <w:spacing w:line="360" w:lineRule="auto"/>
        <w:ind w:firstLine="480" w:firstLineChars="200"/>
        <w:rPr>
          <w:rFonts w:ascii="宋体" w:hAnsi="宋体"/>
          <w:color w:val="auto"/>
          <w:sz w:val="24"/>
          <w:highlight w:val="none"/>
        </w:rPr>
      </w:pPr>
    </w:p>
    <w:p w14:paraId="6491E3E1">
      <w:pPr>
        <w:spacing w:line="480" w:lineRule="auto"/>
        <w:ind w:firstLine="480" w:firstLineChars="200"/>
        <w:rPr>
          <w:rFonts w:ascii="黑体" w:hAnsi="黑体" w:eastAsia="黑体"/>
          <w:color w:val="auto"/>
          <w:sz w:val="24"/>
          <w:highlight w:val="none"/>
        </w:rPr>
      </w:pPr>
    </w:p>
    <w:p w14:paraId="0E8B7AB1">
      <w:pPr>
        <w:spacing w:line="48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招标人签字：</w:t>
      </w:r>
      <w:r>
        <w:rPr>
          <w:rFonts w:hint="eastAsia" w:ascii="黑体" w:hAnsi="黑体" w:eastAsia="黑体"/>
          <w:color w:val="auto"/>
          <w:sz w:val="24"/>
          <w:highlight w:val="none"/>
          <w:u w:val="single"/>
        </w:rPr>
        <w:t xml:space="preserve">                                 </w:t>
      </w:r>
    </w:p>
    <w:p w14:paraId="36FCA109">
      <w:pPr>
        <w:spacing w:line="480" w:lineRule="auto"/>
        <w:ind w:firstLine="480" w:firstLineChars="200"/>
        <w:rPr>
          <w:rFonts w:ascii="黑体" w:hAnsi="黑体" w:eastAsia="黑体"/>
          <w:color w:val="auto"/>
          <w:sz w:val="24"/>
          <w:highlight w:val="none"/>
          <w:u w:val="single"/>
        </w:rPr>
      </w:pPr>
      <w:r>
        <w:rPr>
          <w:rFonts w:hint="eastAsia" w:ascii="黑体" w:hAnsi="黑体" w:eastAsia="黑体"/>
          <w:color w:val="auto"/>
          <w:sz w:val="24"/>
          <w:highlight w:val="none"/>
        </w:rPr>
        <w:t>开标日期：</w:t>
      </w:r>
      <w:r>
        <w:rPr>
          <w:rFonts w:hint="eastAsia" w:ascii="黑体" w:hAnsi="黑体" w:eastAsia="黑体"/>
          <w:color w:val="auto"/>
          <w:sz w:val="24"/>
          <w:highlight w:val="none"/>
          <w:u w:val="single"/>
        </w:rPr>
        <w:t xml:space="preserve">                                    </w:t>
      </w:r>
    </w:p>
    <w:p w14:paraId="151ADF22">
      <w:pPr>
        <w:pStyle w:val="69"/>
        <w:spacing w:line="560" w:lineRule="exact"/>
        <w:ind w:firstLine="422" w:firstLineChars="0"/>
        <w:jc w:val="center"/>
        <w:outlineLvl w:val="1"/>
        <w:rPr>
          <w:rFonts w:ascii="黑体" w:hAnsi="黑体" w:eastAsia="黑体"/>
          <w:b/>
          <w:bCs/>
          <w:color w:val="auto"/>
          <w:kern w:val="0"/>
          <w:sz w:val="44"/>
          <w:szCs w:val="44"/>
          <w:highlight w:val="none"/>
        </w:rPr>
      </w:pPr>
      <w:r>
        <w:rPr>
          <w:rFonts w:ascii="宋体" w:hAnsi="宋体"/>
          <w:b/>
          <w:color w:val="auto"/>
          <w:sz w:val="24"/>
          <w:highlight w:val="none"/>
        </w:rPr>
        <w:br w:type="page"/>
      </w:r>
      <w:bookmarkStart w:id="34" w:name="_Toc30741"/>
      <w:bookmarkStart w:id="35" w:name="_Toc80800148"/>
      <w:r>
        <w:rPr>
          <w:rFonts w:hint="eastAsia" w:ascii="黑体" w:hAnsi="黑体" w:eastAsia="黑体"/>
          <w:b/>
          <w:bCs/>
          <w:color w:val="auto"/>
          <w:kern w:val="0"/>
          <w:sz w:val="44"/>
          <w:szCs w:val="44"/>
          <w:highlight w:val="none"/>
        </w:rPr>
        <w:t>二、投标须知</w:t>
      </w:r>
      <w:bookmarkEnd w:id="34"/>
      <w:bookmarkEnd w:id="35"/>
    </w:p>
    <w:p w14:paraId="13A6EC98">
      <w:pPr>
        <w:pStyle w:val="69"/>
        <w:spacing w:line="560" w:lineRule="exact"/>
        <w:ind w:firstLine="560"/>
        <w:rPr>
          <w:rFonts w:ascii="仿宋_GB2312" w:hAnsi="宋体" w:eastAsia="仿宋_GB2312"/>
          <w:bCs/>
          <w:color w:val="auto"/>
          <w:kern w:val="0"/>
          <w:sz w:val="28"/>
          <w:szCs w:val="28"/>
          <w:highlight w:val="none"/>
        </w:rPr>
      </w:pPr>
    </w:p>
    <w:p w14:paraId="6DF81BB1">
      <w:pPr>
        <w:pStyle w:val="5"/>
        <w:spacing w:before="0" w:after="0" w:line="400" w:lineRule="exact"/>
        <w:jc w:val="center"/>
        <w:rPr>
          <w:rFonts w:ascii="黑体" w:hAnsi="黑体" w:eastAsia="黑体"/>
          <w:b w:val="0"/>
          <w:color w:val="auto"/>
          <w:kern w:val="0"/>
          <w:sz w:val="36"/>
          <w:szCs w:val="36"/>
          <w:highlight w:val="none"/>
        </w:rPr>
      </w:pPr>
      <w:bookmarkStart w:id="36" w:name="_Toc12074"/>
      <w:bookmarkStart w:id="37" w:name="_Toc80800149"/>
      <w:r>
        <w:rPr>
          <w:rFonts w:hint="eastAsia" w:ascii="黑体" w:hAnsi="黑体" w:eastAsia="黑体"/>
          <w:b w:val="0"/>
          <w:color w:val="auto"/>
          <w:kern w:val="0"/>
          <w:sz w:val="36"/>
          <w:szCs w:val="36"/>
          <w:highlight w:val="none"/>
        </w:rPr>
        <w:t>（一）总则</w:t>
      </w:r>
      <w:bookmarkEnd w:id="36"/>
      <w:bookmarkEnd w:id="37"/>
    </w:p>
    <w:p w14:paraId="6815A78E">
      <w:pPr>
        <w:pStyle w:val="69"/>
        <w:spacing w:line="560" w:lineRule="exact"/>
        <w:ind w:firstLine="560"/>
        <w:rPr>
          <w:rFonts w:ascii="仿宋_GB2312" w:hAnsi="宋体" w:eastAsia="仿宋_GB2312"/>
          <w:bCs/>
          <w:color w:val="auto"/>
          <w:kern w:val="0"/>
          <w:sz w:val="28"/>
          <w:szCs w:val="28"/>
          <w:highlight w:val="none"/>
        </w:rPr>
      </w:pPr>
    </w:p>
    <w:p w14:paraId="524CA983">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1.项目说明</w:t>
      </w:r>
    </w:p>
    <w:p w14:paraId="3A3B571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1.1项目名称见前附表1第2项所述。</w:t>
      </w:r>
    </w:p>
    <w:p w14:paraId="268199ED">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1.2项目地点见前附表1第3项所述。</w:t>
      </w:r>
    </w:p>
    <w:p w14:paraId="426638C8">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2.资金来源</w:t>
      </w:r>
    </w:p>
    <w:p w14:paraId="77A5967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2.1本项目已完成审批手续，项目资金通过前附表1第4项所述的方式获得。</w:t>
      </w:r>
    </w:p>
    <w:p w14:paraId="54943AEF">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3.招标范围：</w:t>
      </w:r>
    </w:p>
    <w:p w14:paraId="1D8F6712">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3.1 本次招标范围及内容见前附表1第6项所述。</w:t>
      </w:r>
    </w:p>
    <w:p w14:paraId="29155703">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4.服务周期要求</w:t>
      </w:r>
    </w:p>
    <w:p w14:paraId="10AA2E6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4.1本项目服务周期要求见前附表1第13项所述。</w:t>
      </w:r>
    </w:p>
    <w:p w14:paraId="4CF568CC">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5.合格的投标人</w:t>
      </w:r>
    </w:p>
    <w:p w14:paraId="4997DE3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5.1投标人资质、投标人项目负责人要求见前附表1第8项、第9项所述。</w:t>
      </w:r>
    </w:p>
    <w:p w14:paraId="063859C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5.2本次招标资格审查方式见前附表1第10项。</w:t>
      </w:r>
    </w:p>
    <w:p w14:paraId="22295F7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5.3由两个或两个以上法人组成一个联合体以一个投标人的身份共同投标时，除符合5.1、5.2款的要求外，还应符合以下要求：</w:t>
      </w:r>
    </w:p>
    <w:p w14:paraId="7E47F933">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5.3.1投标人的投标文件及中标后签署的合同协议书对联合体每一成员均具法律约束力；</w:t>
      </w:r>
    </w:p>
    <w:p w14:paraId="69C3494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5.3.2联合体的各成员应当签订共同投标协议，明确约定各方拟承担的工作和责任，并将该共同投标协议随投标文件一并递交给招标人；</w:t>
      </w:r>
    </w:p>
    <w:p w14:paraId="3B3DCCC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5.3.3联合体中标后，联合体各方应当共同与招标人签订合同，为履行合同向招标人承担连带责任；</w:t>
      </w:r>
    </w:p>
    <w:p w14:paraId="35B424E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5.3.4由联合体的各成员提交一份授权书，证明联合体代表资格，该授权书作为投标文件的组成部分一并提交给招标人；</w:t>
      </w:r>
    </w:p>
    <w:p w14:paraId="0DB7B43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5.3.5联合体代表应被授权作为联合体所有成员的代表承担责任和接受指令，并负责整个合同的全面履行；</w:t>
      </w:r>
    </w:p>
    <w:p w14:paraId="5DD5D82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5.3.6参加联合体的各成员不得再以自己的名义单独投标，也不得同时参加两个或两个以上的联合体投标。出现上述情况者，其投标和与其有关的联合体的投标均做无效标处理；</w:t>
      </w:r>
    </w:p>
    <w:p w14:paraId="122B4AE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5.3.7除非另有规定或说明，本须知中“投标人”一词亦指联合体各成员。</w:t>
      </w:r>
    </w:p>
    <w:p w14:paraId="40580E7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5.4投标人应当具备承担本招标项目的能力；具备国家有关规定或者招标文件规定的资格条件；且通过合法途径取得招标文件。</w:t>
      </w:r>
    </w:p>
    <w:p w14:paraId="31C2638D">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6.投标费用</w:t>
      </w:r>
    </w:p>
    <w:p w14:paraId="1FE47FB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6.1投标人应自行承担所有准备及参加投标相关的费用。不论投标的结果如何，招标人均无承担的义务和责任。</w:t>
      </w:r>
    </w:p>
    <w:p w14:paraId="308169E3">
      <w:pPr>
        <w:pStyle w:val="69"/>
        <w:spacing w:line="560" w:lineRule="exact"/>
        <w:ind w:firstLine="560"/>
        <w:rPr>
          <w:rFonts w:ascii="仿宋_GB2312" w:hAnsi="宋体" w:eastAsia="仿宋_GB2312"/>
          <w:bCs/>
          <w:color w:val="auto"/>
          <w:kern w:val="0"/>
          <w:sz w:val="28"/>
          <w:szCs w:val="28"/>
          <w:highlight w:val="none"/>
        </w:rPr>
      </w:pPr>
    </w:p>
    <w:p w14:paraId="6D30B6E4">
      <w:pPr>
        <w:pStyle w:val="5"/>
        <w:spacing w:before="0" w:after="0" w:line="400" w:lineRule="exact"/>
        <w:jc w:val="center"/>
        <w:rPr>
          <w:rFonts w:ascii="黑体" w:hAnsi="黑体" w:eastAsia="黑体"/>
          <w:b w:val="0"/>
          <w:color w:val="auto"/>
          <w:kern w:val="0"/>
          <w:sz w:val="36"/>
          <w:szCs w:val="36"/>
          <w:highlight w:val="none"/>
        </w:rPr>
      </w:pPr>
      <w:bookmarkStart w:id="38" w:name="_Toc80800150"/>
      <w:bookmarkStart w:id="39" w:name="_Toc626"/>
      <w:r>
        <w:rPr>
          <w:rFonts w:hint="eastAsia" w:ascii="黑体" w:hAnsi="黑体" w:eastAsia="黑体"/>
          <w:b w:val="0"/>
          <w:color w:val="auto"/>
          <w:kern w:val="0"/>
          <w:sz w:val="36"/>
          <w:szCs w:val="36"/>
          <w:highlight w:val="none"/>
        </w:rPr>
        <w:t>（二）招标文件</w:t>
      </w:r>
      <w:bookmarkEnd w:id="21"/>
      <w:bookmarkEnd w:id="22"/>
      <w:bookmarkEnd w:id="23"/>
      <w:bookmarkEnd w:id="38"/>
      <w:bookmarkEnd w:id="39"/>
    </w:p>
    <w:p w14:paraId="51D5147D">
      <w:pPr>
        <w:pStyle w:val="69"/>
        <w:spacing w:line="560" w:lineRule="exact"/>
        <w:ind w:firstLine="560"/>
        <w:rPr>
          <w:rFonts w:ascii="仿宋_GB2312" w:hAnsi="宋体" w:eastAsia="仿宋_GB2312"/>
          <w:bCs/>
          <w:color w:val="auto"/>
          <w:kern w:val="0"/>
          <w:sz w:val="28"/>
          <w:szCs w:val="28"/>
          <w:highlight w:val="none"/>
        </w:rPr>
      </w:pPr>
    </w:p>
    <w:p w14:paraId="1546B323">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7.招标文件的组成</w:t>
      </w:r>
    </w:p>
    <w:p w14:paraId="2FEFEC3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7.1招标文件包括下列内容：</w:t>
      </w:r>
    </w:p>
    <w:p w14:paraId="209F021D">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第一章 致投标人</w:t>
      </w:r>
    </w:p>
    <w:p w14:paraId="76274E6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第二章 投标须知</w:t>
      </w:r>
    </w:p>
    <w:p w14:paraId="04A9D36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 一、投标须知前附件</w:t>
      </w:r>
    </w:p>
    <w:p w14:paraId="22BE3664">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 二、投标须知</w:t>
      </w:r>
    </w:p>
    <w:p w14:paraId="0B0E36A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第三章 合同条款</w:t>
      </w:r>
    </w:p>
    <w:p w14:paraId="33DB1A3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第四章 需求任务书</w:t>
      </w:r>
    </w:p>
    <w:p w14:paraId="6E2563B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一、项目需求标准</w:t>
      </w:r>
    </w:p>
    <w:p w14:paraId="4ABB27E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二、项目需求清单</w:t>
      </w:r>
    </w:p>
    <w:p w14:paraId="0692E0DD">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第五章 投标文件格式</w:t>
      </w:r>
    </w:p>
    <w:p w14:paraId="792BE9E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一、资格审查文件</w:t>
      </w:r>
    </w:p>
    <w:p w14:paraId="106DFC5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二、投标函部分</w:t>
      </w:r>
    </w:p>
    <w:p w14:paraId="72BE69D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三、资信标部分</w:t>
      </w:r>
    </w:p>
    <w:p w14:paraId="2F2498C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四、商务标部分</w:t>
      </w:r>
    </w:p>
    <w:p w14:paraId="0B209B5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五、技术标部分</w:t>
      </w:r>
    </w:p>
    <w:p w14:paraId="37A6445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第六章 中标通知书</w:t>
      </w:r>
    </w:p>
    <w:p w14:paraId="236ACCE6">
      <w:pPr>
        <w:pStyle w:val="22"/>
        <w:spacing w:line="560" w:lineRule="exact"/>
        <w:ind w:firstLine="49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7.2除7.1款内容外，招标人在投标截止日期前</w:t>
      </w:r>
      <w:r>
        <w:rPr>
          <w:rFonts w:hint="eastAsia" w:ascii="仿宋" w:hAnsi="仿宋" w:eastAsia="仿宋"/>
          <w:bCs/>
          <w:color w:val="auto"/>
          <w:kern w:val="0"/>
          <w:sz w:val="28"/>
          <w:szCs w:val="28"/>
          <w:highlight w:val="none"/>
          <w:u w:val="single"/>
        </w:rPr>
        <w:t xml:space="preserve"> 2 </w:t>
      </w:r>
      <w:r>
        <w:rPr>
          <w:rFonts w:hint="eastAsia" w:ascii="仿宋" w:hAnsi="仿宋" w:eastAsia="仿宋"/>
          <w:bCs/>
          <w:color w:val="auto"/>
          <w:kern w:val="0"/>
          <w:sz w:val="28"/>
          <w:szCs w:val="28"/>
          <w:highlight w:val="none"/>
        </w:rPr>
        <w:t>日前以书面形式发出的招标文件的澄清(答疑)纪要、修改(补充)函件，均是招标文件的组成部分，对招标人投标人起约束作用。</w:t>
      </w:r>
    </w:p>
    <w:p w14:paraId="10231FA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7.3投标人购取招标文件后，应仔细检查招标文件的所有内容，如有残缺应在领到招标文件后</w:t>
      </w:r>
      <w:r>
        <w:rPr>
          <w:rFonts w:hint="eastAsia" w:ascii="仿宋" w:hAnsi="仿宋" w:eastAsia="仿宋"/>
          <w:bCs/>
          <w:color w:val="auto"/>
          <w:kern w:val="0"/>
          <w:sz w:val="28"/>
          <w:szCs w:val="28"/>
          <w:highlight w:val="none"/>
          <w:u w:val="single"/>
        </w:rPr>
        <w:t xml:space="preserve"> 2</w:t>
      </w:r>
      <w:r>
        <w:rPr>
          <w:rFonts w:hint="eastAsia" w:ascii="仿宋" w:hAnsi="仿宋" w:eastAsia="仿宋"/>
          <w:bCs/>
          <w:color w:val="auto"/>
          <w:kern w:val="0"/>
          <w:sz w:val="28"/>
          <w:szCs w:val="28"/>
          <w:highlight w:val="none"/>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26D8C530">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8.招标文件的澄清</w:t>
      </w:r>
    </w:p>
    <w:p w14:paraId="18EDB772">
      <w:pPr>
        <w:pStyle w:val="22"/>
        <w:spacing w:line="560" w:lineRule="exact"/>
        <w:ind w:firstLine="557"/>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8.1 投标人若对招标文件有疑问，需要招标人予以澄清，应于投标截止日期之前</w:t>
      </w:r>
      <w:r>
        <w:rPr>
          <w:rFonts w:hint="eastAsia" w:ascii="仿宋" w:hAnsi="仿宋" w:eastAsia="仿宋"/>
          <w:bCs/>
          <w:color w:val="auto"/>
          <w:kern w:val="0"/>
          <w:sz w:val="28"/>
          <w:szCs w:val="28"/>
          <w:highlight w:val="none"/>
          <w:u w:val="single"/>
        </w:rPr>
        <w:t xml:space="preserve"> 3 </w:t>
      </w:r>
      <w:r>
        <w:rPr>
          <w:rFonts w:hint="eastAsia" w:ascii="仿宋" w:hAnsi="仿宋" w:eastAsia="仿宋"/>
          <w:bCs/>
          <w:color w:val="auto"/>
          <w:kern w:val="0"/>
          <w:sz w:val="28"/>
          <w:szCs w:val="28"/>
          <w:highlight w:val="none"/>
        </w:rPr>
        <w:t xml:space="preserve">日以书面形式向招标人提出，送至招标公告中的招标人地址。不论是招标人根据需要主动对招标文件进行必要的澄清或是根据投标人的要求对招标文件做出澄清，招标人都将在投标截止日期前 </w:t>
      </w:r>
      <w:r>
        <w:rPr>
          <w:rFonts w:hint="eastAsia" w:ascii="仿宋" w:hAnsi="仿宋" w:eastAsia="仿宋"/>
          <w:bCs/>
          <w:color w:val="auto"/>
          <w:kern w:val="0"/>
          <w:sz w:val="28"/>
          <w:szCs w:val="28"/>
          <w:highlight w:val="none"/>
          <w:u w:val="single"/>
        </w:rPr>
        <w:t xml:space="preserve"> 2 </w:t>
      </w:r>
      <w:r>
        <w:rPr>
          <w:rFonts w:hint="eastAsia" w:ascii="仿宋" w:hAnsi="仿宋" w:eastAsia="仿宋"/>
          <w:bCs/>
          <w:color w:val="auto"/>
          <w:kern w:val="0"/>
          <w:sz w:val="28"/>
          <w:szCs w:val="28"/>
          <w:highlight w:val="none"/>
        </w:rPr>
        <w:t>日前以书面形式发出澄清纪要，同时将澄清纪要寄送给所有投标人。投标人收到招标人书面答复时，应办理签收手续。招标文件的澄清作为招标文件的组成部分，具有约束力。</w:t>
      </w:r>
    </w:p>
    <w:p w14:paraId="35259275">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9.招标文件的修改</w:t>
      </w:r>
    </w:p>
    <w:p w14:paraId="4AB2291F">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9.1 招标文件发出后，在投标截止日期前</w:t>
      </w:r>
      <w:r>
        <w:rPr>
          <w:rFonts w:hint="eastAsia" w:ascii="仿宋" w:hAnsi="仿宋" w:eastAsia="仿宋"/>
          <w:bCs/>
          <w:color w:val="auto"/>
          <w:kern w:val="0"/>
          <w:sz w:val="28"/>
          <w:szCs w:val="28"/>
          <w:highlight w:val="none"/>
          <w:u w:val="single"/>
        </w:rPr>
        <w:t xml:space="preserve"> 2</w:t>
      </w:r>
      <w:r>
        <w:rPr>
          <w:rFonts w:hint="eastAsia" w:ascii="仿宋" w:hAnsi="仿宋" w:eastAsia="仿宋"/>
          <w:bCs/>
          <w:color w:val="auto"/>
          <w:kern w:val="0"/>
          <w:sz w:val="28"/>
          <w:szCs w:val="28"/>
          <w:highlight w:val="none"/>
        </w:rPr>
        <w:t>日的任何时候，确需要变更招标内容的，招标人可主动或在解答投标人提出的澄清问题时对招标文件进行修改。</w:t>
      </w:r>
    </w:p>
    <w:p w14:paraId="58FC64EA">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9.2 招标文件的修改将以书面形式寄送给所有投标人，招标文件的修改作为招标文件的组成部分，并具有约束力。投标人收到招标人的修改函件时，应办理签收手续。</w:t>
      </w:r>
    </w:p>
    <w:p w14:paraId="7C0534BE">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9.3 招标文件、招标文件澄清(答疑)纪要、招标文件修改(补充)函件内容均以书面明确的内容为准。当招标文件、澄清(答疑)纪要、修改(补充)函件内容相互矛盾时，以最后发出的为准。</w:t>
      </w:r>
    </w:p>
    <w:p w14:paraId="30BEF838">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9.4 招标人保证招标文件澄清(答疑)纪要、招标文件修改(补充)函件在投标截止时间至少</w:t>
      </w:r>
      <w:r>
        <w:rPr>
          <w:rFonts w:hint="eastAsia" w:ascii="仿宋" w:hAnsi="仿宋" w:eastAsia="仿宋"/>
          <w:bCs/>
          <w:color w:val="auto"/>
          <w:kern w:val="0"/>
          <w:sz w:val="28"/>
          <w:szCs w:val="28"/>
          <w:highlight w:val="none"/>
          <w:u w:val="single"/>
        </w:rPr>
        <w:t>2</w:t>
      </w:r>
      <w:r>
        <w:rPr>
          <w:rFonts w:hint="eastAsia" w:ascii="仿宋" w:hAnsi="仿宋" w:eastAsia="仿宋"/>
          <w:bCs/>
          <w:color w:val="auto"/>
          <w:kern w:val="0"/>
          <w:sz w:val="28"/>
          <w:szCs w:val="28"/>
          <w:highlight w:val="none"/>
        </w:rPr>
        <w:t>日前以书面形式发给所有投标人。为使投标人在编写投标文件时有充分时间对招标文件的修改(补充)部分进行研究，招标人可以酌情延长递交投标文件的截止日期，具体时间将在修改(补充)函件中明确。</w:t>
      </w:r>
    </w:p>
    <w:p w14:paraId="3FDBF652">
      <w:pPr>
        <w:pStyle w:val="5"/>
        <w:spacing w:before="0" w:after="0" w:line="400" w:lineRule="exact"/>
        <w:jc w:val="center"/>
        <w:rPr>
          <w:rFonts w:ascii="黑体" w:hAnsi="黑体" w:eastAsia="黑体"/>
          <w:b w:val="0"/>
          <w:color w:val="auto"/>
          <w:kern w:val="0"/>
          <w:sz w:val="36"/>
          <w:szCs w:val="36"/>
          <w:highlight w:val="none"/>
        </w:rPr>
      </w:pPr>
      <w:bookmarkStart w:id="40" w:name="_Toc80800151"/>
      <w:bookmarkStart w:id="41" w:name="_Toc11443"/>
      <w:r>
        <w:rPr>
          <w:rFonts w:hint="eastAsia" w:ascii="黑体" w:hAnsi="黑体" w:eastAsia="黑体"/>
          <w:b w:val="0"/>
          <w:color w:val="auto"/>
          <w:kern w:val="0"/>
          <w:sz w:val="36"/>
          <w:szCs w:val="36"/>
          <w:highlight w:val="none"/>
        </w:rPr>
        <w:t>（三）投标文件的编制</w:t>
      </w:r>
      <w:bookmarkEnd w:id="40"/>
      <w:bookmarkEnd w:id="41"/>
    </w:p>
    <w:p w14:paraId="5CA189C3">
      <w:pPr>
        <w:pStyle w:val="22"/>
        <w:spacing w:line="560" w:lineRule="exact"/>
        <w:ind w:firstLine="562"/>
        <w:rPr>
          <w:rFonts w:ascii="仿宋_GB2312" w:hAnsi="宋体" w:eastAsia="仿宋_GB2312"/>
          <w:b/>
          <w:bCs/>
          <w:color w:val="auto"/>
          <w:kern w:val="0"/>
          <w:sz w:val="28"/>
          <w:szCs w:val="28"/>
          <w:highlight w:val="none"/>
        </w:rPr>
      </w:pPr>
    </w:p>
    <w:p w14:paraId="3747EC84">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10.投标文件的语言及度量单位</w:t>
      </w:r>
    </w:p>
    <w:p w14:paraId="589A8091">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10.1 投标人与招标人之间与投标有关的所有往来通知、函件和投标文件均应使用中文。投标人随投标文件提供的证明文件和资料可以为其它语言，但必须附中文译文，并且，为了解释投标文件，应以中文为准。</w:t>
      </w:r>
    </w:p>
    <w:p w14:paraId="44A6E69E">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10.2 除另有规定外，投标文件使用的度量单位，均采用中华人民共和国法定计量单位。</w:t>
      </w:r>
    </w:p>
    <w:p w14:paraId="3D628C70">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11.投标文件的组成</w:t>
      </w:r>
    </w:p>
    <w:p w14:paraId="2F0E86EF">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11.1 投标文件由</w:t>
      </w:r>
      <w:r>
        <w:rPr>
          <w:rFonts w:hint="eastAsia" w:ascii="仿宋" w:hAnsi="仿宋" w:eastAsia="仿宋"/>
          <w:color w:val="auto"/>
          <w:sz w:val="28"/>
          <w:szCs w:val="28"/>
          <w:highlight w:val="none"/>
        </w:rPr>
        <w:t>☑</w:t>
      </w:r>
      <w:r>
        <w:rPr>
          <w:rFonts w:hint="eastAsia" w:ascii="仿宋" w:hAnsi="仿宋" w:eastAsia="仿宋"/>
          <w:bCs/>
          <w:color w:val="auto"/>
          <w:kern w:val="0"/>
          <w:sz w:val="28"/>
          <w:szCs w:val="28"/>
          <w:highlight w:val="none"/>
        </w:rPr>
        <w:t>投标函部分</w:t>
      </w:r>
      <w:r>
        <w:rPr>
          <w:rFonts w:hint="eastAsia" w:ascii="仿宋" w:hAnsi="仿宋" w:eastAsia="仿宋"/>
          <w:color w:val="auto"/>
          <w:sz w:val="28"/>
          <w:szCs w:val="28"/>
          <w:highlight w:val="none"/>
        </w:rPr>
        <w:t>☑</w:t>
      </w:r>
      <w:r>
        <w:rPr>
          <w:rFonts w:hint="eastAsia" w:ascii="仿宋" w:hAnsi="仿宋" w:eastAsia="仿宋"/>
          <w:bCs/>
          <w:color w:val="auto"/>
          <w:kern w:val="0"/>
          <w:sz w:val="28"/>
          <w:szCs w:val="28"/>
          <w:highlight w:val="none"/>
        </w:rPr>
        <w:t>资信标部分</w:t>
      </w:r>
      <w:r>
        <w:rPr>
          <w:rFonts w:hint="eastAsia" w:ascii="仿宋" w:hAnsi="仿宋" w:eastAsia="仿宋"/>
          <w:color w:val="auto"/>
          <w:sz w:val="28"/>
          <w:szCs w:val="28"/>
          <w:highlight w:val="none"/>
        </w:rPr>
        <w:t>☑</w:t>
      </w:r>
      <w:r>
        <w:rPr>
          <w:rFonts w:hint="eastAsia" w:ascii="仿宋" w:hAnsi="仿宋" w:eastAsia="仿宋"/>
          <w:bCs/>
          <w:color w:val="auto"/>
          <w:kern w:val="0"/>
          <w:sz w:val="28"/>
          <w:szCs w:val="28"/>
          <w:highlight w:val="none"/>
        </w:rPr>
        <w:t>商务标部分</w:t>
      </w:r>
      <w:bookmarkStart w:id="42" w:name="投标文件包括技术标"/>
      <w:r>
        <w:rPr>
          <w:rFonts w:hint="eastAsia" w:ascii="仿宋" w:hAnsi="仿宋" w:eastAsia="仿宋"/>
          <w:color w:val="auto"/>
          <w:sz w:val="28"/>
          <w:szCs w:val="28"/>
          <w:highlight w:val="none"/>
        </w:rPr>
        <w:t>☑</w:t>
      </w:r>
      <w:r>
        <w:rPr>
          <w:rFonts w:hint="eastAsia" w:ascii="仿宋" w:hAnsi="仿宋" w:eastAsia="仿宋"/>
          <w:bCs/>
          <w:color w:val="auto"/>
          <w:kern w:val="0"/>
          <w:sz w:val="28"/>
          <w:szCs w:val="28"/>
          <w:highlight w:val="none"/>
        </w:rPr>
        <w:t>技术标部分</w:t>
      </w:r>
      <w:bookmarkEnd w:id="42"/>
      <w:r>
        <w:rPr>
          <w:rFonts w:hint="eastAsia" w:ascii="仿宋" w:hAnsi="仿宋" w:eastAsia="仿宋"/>
          <w:color w:val="auto"/>
          <w:sz w:val="28"/>
          <w:szCs w:val="28"/>
          <w:highlight w:val="none"/>
        </w:rPr>
        <w:t>☑资格审查文件</w:t>
      </w:r>
      <w:r>
        <w:rPr>
          <w:rFonts w:hint="eastAsia" w:ascii="仿宋" w:hAnsi="仿宋" w:eastAsia="仿宋"/>
          <w:bCs/>
          <w:color w:val="auto"/>
          <w:kern w:val="0"/>
          <w:sz w:val="28"/>
          <w:szCs w:val="28"/>
          <w:highlight w:val="none"/>
        </w:rPr>
        <w:t>。</w:t>
      </w:r>
    </w:p>
    <w:p w14:paraId="27A4FAE6">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 投标函部分主要包括下列内容：</w:t>
      </w:r>
    </w:p>
    <w:p w14:paraId="7A24F97E">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11.2.1法定代表人身份证明书原件；</w:t>
      </w:r>
    </w:p>
    <w:p w14:paraId="16964CF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11.2.2投标文件签署授权委托书；</w:t>
      </w:r>
    </w:p>
    <w:p w14:paraId="46822889">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11.2.3投标函；</w:t>
      </w:r>
    </w:p>
    <w:p w14:paraId="434E2037">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11.2.4投标保函或投标保证金收讫证明文件；</w:t>
      </w:r>
    </w:p>
    <w:p w14:paraId="1141A5F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11.2.5招标文件要求投标人提交的其他投标资料。</w:t>
      </w:r>
    </w:p>
    <w:p w14:paraId="3F7B27C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11.3资信标部分主要包括下列内容：</w:t>
      </w:r>
    </w:p>
    <w:p w14:paraId="376DFDAF">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11.3.1投标人资质情况；</w:t>
      </w:r>
    </w:p>
    <w:p w14:paraId="43BB7726">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11.3.2投标人注册资金、办公场地、员工数量、机械设备等规模情况；</w:t>
      </w:r>
    </w:p>
    <w:p w14:paraId="719F9F5B">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11.3.3投标人营业收入等财务状况；</w:t>
      </w:r>
    </w:p>
    <w:p w14:paraId="61AE700F">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11.3.4投标人纳税情况；</w:t>
      </w:r>
    </w:p>
    <w:p w14:paraId="3D5AEF06">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11.3.5投标人业绩情况；</w:t>
      </w:r>
    </w:p>
    <w:p w14:paraId="24B55CFA">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11.3.6投标人获奖情况；</w:t>
      </w:r>
    </w:p>
    <w:p w14:paraId="413BFD4A">
      <w:pPr>
        <w:pStyle w:val="69"/>
        <w:spacing w:line="560" w:lineRule="exact"/>
        <w:ind w:firstLine="560"/>
        <w:jc w:val="left"/>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rPr>
        <w:t>11.3.7</w:t>
      </w:r>
      <w:r>
        <w:rPr>
          <w:rFonts w:hint="eastAsia" w:ascii="仿宋" w:hAnsi="仿宋" w:eastAsia="仿宋"/>
          <w:bCs/>
          <w:color w:val="auto"/>
          <w:kern w:val="0"/>
          <w:sz w:val="28"/>
          <w:szCs w:val="28"/>
          <w:highlight w:val="none"/>
        </w:rPr>
        <w:t>招标人要求提供的与投标人资信评审有关的其他材料.</w:t>
      </w:r>
    </w:p>
    <w:p w14:paraId="16D0D262">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11.4 商务标部分主要包括下列内容：</w:t>
      </w:r>
    </w:p>
    <w:p w14:paraId="683EAD73">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11.4.1报价表； </w:t>
      </w:r>
    </w:p>
    <w:p w14:paraId="6EF64165">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11.4.2招标文件要求投标人提交的其他投标资料。</w:t>
      </w:r>
    </w:p>
    <w:p w14:paraId="4DB1617E">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11.5技术标部分要求：</w:t>
      </w:r>
    </w:p>
    <w:p w14:paraId="14E12061">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技术标格式由投标人自拟,内容应满足技术标评审要求。</w:t>
      </w:r>
    </w:p>
    <w:p w14:paraId="2B193F2B">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11.6资格审查方式为资格后审的，投标人还应提交资格审查文件：</w:t>
      </w:r>
    </w:p>
    <w:p w14:paraId="67C7150F">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11.6.1投标人营业执照；</w:t>
      </w:r>
    </w:p>
    <w:p w14:paraId="1C91DFF9">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11.6.2投标人资质证书；</w:t>
      </w:r>
    </w:p>
    <w:p w14:paraId="6390F63A">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11.6.3</w:t>
      </w:r>
      <w:r>
        <w:rPr>
          <w:rFonts w:ascii="仿宋" w:hAnsi="仿宋" w:eastAsia="仿宋"/>
          <w:bCs/>
          <w:color w:val="auto"/>
          <w:kern w:val="0"/>
          <w:sz w:val="28"/>
          <w:szCs w:val="28"/>
          <w:highlight w:val="none"/>
        </w:rPr>
        <w:t>投标人拟派出的</w:t>
      </w:r>
      <w:r>
        <w:rPr>
          <w:rFonts w:hint="eastAsia" w:ascii="仿宋" w:hAnsi="仿宋" w:eastAsia="仿宋"/>
          <w:bCs/>
          <w:color w:val="auto"/>
          <w:kern w:val="0"/>
          <w:sz w:val="28"/>
          <w:szCs w:val="28"/>
          <w:highlight w:val="none"/>
        </w:rPr>
        <w:t>项目负责人资格证书</w:t>
      </w:r>
      <w:r>
        <w:rPr>
          <w:rFonts w:ascii="仿宋" w:hAnsi="仿宋" w:eastAsia="仿宋"/>
          <w:bCs/>
          <w:color w:val="auto"/>
          <w:kern w:val="0"/>
          <w:sz w:val="28"/>
          <w:szCs w:val="28"/>
          <w:highlight w:val="none"/>
        </w:rPr>
        <w:t>；</w:t>
      </w:r>
    </w:p>
    <w:p w14:paraId="01DEF592">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11.6.4招标人要求提供的与投标人条件审查有关的其他资格证明材料。 </w:t>
      </w:r>
    </w:p>
    <w:p w14:paraId="24777F81">
      <w:pPr>
        <w:pStyle w:val="22"/>
        <w:spacing w:line="560" w:lineRule="exact"/>
        <w:ind w:firstLine="560"/>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12.投标文件电子文档的提交及要求</w:t>
      </w:r>
    </w:p>
    <w:p w14:paraId="17B04F9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12.1 投标人在提交书面投标文件的同时，应提交该投标文件的电子文档。</w:t>
      </w:r>
    </w:p>
    <w:p w14:paraId="788A271F">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12.2 电子文档的格式要求： 采用word/Excel/PDF形式。</w:t>
      </w:r>
    </w:p>
    <w:p w14:paraId="166C9061">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12.3投标文件的电子文档，必须提供一份U盘，并在U盘上注明投标人名称、招标项目名称。</w:t>
      </w:r>
    </w:p>
    <w:p w14:paraId="10D8CB63">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04F4C906">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13.投标文件的格式要求</w:t>
      </w:r>
    </w:p>
    <w:p w14:paraId="0A9FAEC5">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13.1投标文件包括本须知第16条中规定的内容，投标人提交的投标文件必须毫无例外地使用招标文件所提供的投标文件格式，详见招标文件第七章—投标文件格式(表格可以按同样格式扩展)。</w:t>
      </w:r>
    </w:p>
    <w:p w14:paraId="3923E7BE">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13.2投标文件的正本和副本均需打印或使用不褪色的墨水笔书写，字迹应清晰易于辨认，并在投标文件封面的右上角清楚地注明“正本”或“副本”。正本和副本如有不一致之处，以正本为准。</w:t>
      </w:r>
    </w:p>
    <w:p w14:paraId="5D4EBA6E">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14.投标文件的数量要求</w:t>
      </w:r>
    </w:p>
    <w:p w14:paraId="1D15E7BF">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14.1 投标人应按前附表1第15项规定份数提交投标文件。</w:t>
      </w:r>
    </w:p>
    <w:p w14:paraId="445CC2D0">
      <w:pPr>
        <w:pStyle w:val="22"/>
        <w:spacing w:line="560" w:lineRule="exact"/>
        <w:ind w:firstLine="551"/>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15.投标文件的签署</w:t>
      </w:r>
    </w:p>
    <w:p w14:paraId="50114901">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15.1 投标文件应根据第七章</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投标文件格式要求加盖投标人印章并经法定代表人或其委托代理人签字或盖章。由委托代理人签字或盖章的在投标文件中须同时提交投标文件签署授权委托书。投标文件签署授权委托书应符合第七章</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投标文件格式投标函部分的要求。</w:t>
      </w:r>
    </w:p>
    <w:p w14:paraId="3B8B3352">
      <w:pPr>
        <w:pStyle w:val="22"/>
        <w:spacing w:line="560" w:lineRule="exact"/>
        <w:ind w:firstLine="560" w:firstLineChars="20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15.2除投标人对错误处须修改外，全套投标文件应无涂改或增删，如有修改，修改处应由投标人加盖投标人的印章或由投标文件签字人签字或盖章。</w:t>
      </w:r>
    </w:p>
    <w:p w14:paraId="3598ACD5">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16.投标报价</w:t>
      </w:r>
    </w:p>
    <w:p w14:paraId="05AD150B">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16.1投标报价是投标人的投标文件中提出的各项支付费用的金额总和。投标人的投标报价应保证在投标有效期内有效，在合同执行期内是固定不变。</w:t>
      </w:r>
    </w:p>
    <w:p w14:paraId="4192073C">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16.2投标人的投标报价应是合同上所列的各项内容的全部。</w:t>
      </w:r>
    </w:p>
    <w:p w14:paraId="3FAC14BF">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16.2.1投标人若是提供了可变动价格或包含价格调整要求投标，其投标将会被拒绝。</w:t>
      </w:r>
    </w:p>
    <w:p w14:paraId="327AE7B7">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16.2.2投标人若是提供了两个（含两个）以上报价，且未明确哪个是有效报价，其投标将会被拒绝（除允许提供备选方案的）。</w:t>
      </w:r>
    </w:p>
    <w:p w14:paraId="08629AFB">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16.3投标报价的招标上限价见“投标须知前附表”。</w:t>
      </w:r>
    </w:p>
    <w:p w14:paraId="2E9BDFF0">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16.4招标人不接受任何免费赠送的货物或服务。如有，将按缺漏项处理。</w:t>
      </w:r>
    </w:p>
    <w:p w14:paraId="707BD7A5">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16.5最低投标报价不得低于成本。</w:t>
      </w:r>
    </w:p>
    <w:p w14:paraId="433A203C">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17.投标货币</w:t>
      </w:r>
    </w:p>
    <w:p w14:paraId="6F3242F3">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17.1 本项目投标报价采用的币种见前附表1第12项。</w:t>
      </w:r>
    </w:p>
    <w:p w14:paraId="1A11AF73">
      <w:pPr>
        <w:pStyle w:val="22"/>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18.投标有效期</w:t>
      </w:r>
    </w:p>
    <w:p w14:paraId="5AF33566">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18.1 投标有效期见前附表2第3项所规定的期限，在此期限内，所有投标文件均保持有效。</w:t>
      </w:r>
    </w:p>
    <w:p w14:paraId="5C5D21D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782F39C1">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19．投标担保、履约担保</w:t>
      </w:r>
    </w:p>
    <w:p w14:paraId="3C8D834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19.1投标人应按前附表1规定要求提交投标担保。</w:t>
      </w:r>
    </w:p>
    <w:p w14:paraId="4F128CF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19.2本项目投标担保： </w:t>
      </w:r>
    </w:p>
    <w:p w14:paraId="516A735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19.2.1投标担保是为了避免招标人因投标人的行为而蒙受损失，招标人可根据19.2.4规定的条件没收投标保证金或投标保函。</w:t>
      </w:r>
    </w:p>
    <w:p w14:paraId="57D5802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19.2.2未中标的投标人的投标担保将按照本须知规定的投标有效期或经投标人同意的延长的投标有效期期满后7天内予以退还（不计利息）。</w:t>
      </w:r>
    </w:p>
    <w:p w14:paraId="77FB942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19.2.3出现下列情形之一时，招标人应当在7天内退还投标人的投标担保：</w:t>
      </w:r>
    </w:p>
    <w:p w14:paraId="34AA2F6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19.2.3.1中标通知书发出，中标人签订了合同；</w:t>
      </w:r>
    </w:p>
    <w:p w14:paraId="51739E8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19.2.3.2招标过程中招标活动因正当理由被招标人宣布终止；</w:t>
      </w:r>
    </w:p>
    <w:p w14:paraId="17CB2882">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19.2.3.3招标失败需重新组织招标；</w:t>
      </w:r>
    </w:p>
    <w:p w14:paraId="600316E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19.2.3.4投标有效期满而投标人不同意作出延长。</w:t>
      </w:r>
    </w:p>
    <w:p w14:paraId="4E66DF8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19.2.4投标人有下列任何情况发生时，投标担保将被没收。给招标人造成的损失超过投标担保金额的，投标人还应当对超过部分给予赔偿。</w:t>
      </w:r>
    </w:p>
    <w:p w14:paraId="43EA34E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19.2.4.1投标人有弄虚作假或串通投标等违法违规行为；</w:t>
      </w:r>
    </w:p>
    <w:p w14:paraId="31F4876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19.2.4.2投标人在投标有效期内撤回其投标文件；</w:t>
      </w:r>
    </w:p>
    <w:p w14:paraId="5294554D">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19.2.4.3在规定期限内中标人拒绝与招标人签订合同或不提交履约担保的；</w:t>
      </w:r>
    </w:p>
    <w:p w14:paraId="75DC54E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19.2.4.4投标人资质证书被暂扣或吊销，但仍参与投标的。</w:t>
      </w:r>
    </w:p>
    <w:p w14:paraId="2009332E">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20.投标人的替代方案</w:t>
      </w:r>
    </w:p>
    <w:p w14:paraId="79B93B7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20.1 本项目不接受替代方案。</w:t>
      </w:r>
    </w:p>
    <w:p w14:paraId="0EA0FBB2">
      <w:pPr>
        <w:pStyle w:val="69"/>
        <w:spacing w:line="560" w:lineRule="exact"/>
        <w:ind w:firstLine="560"/>
        <w:rPr>
          <w:rFonts w:ascii="仿宋_GB2312" w:hAnsi="宋体" w:eastAsia="仿宋_GB2312"/>
          <w:bCs/>
          <w:color w:val="auto"/>
          <w:kern w:val="0"/>
          <w:sz w:val="28"/>
          <w:szCs w:val="28"/>
          <w:highlight w:val="none"/>
        </w:rPr>
      </w:pPr>
    </w:p>
    <w:p w14:paraId="5256B418">
      <w:pPr>
        <w:pStyle w:val="5"/>
        <w:spacing w:before="0" w:after="0" w:line="400" w:lineRule="exact"/>
        <w:jc w:val="center"/>
        <w:rPr>
          <w:rFonts w:ascii="黑体" w:hAnsi="黑体" w:eastAsia="黑体"/>
          <w:b w:val="0"/>
          <w:color w:val="auto"/>
          <w:kern w:val="0"/>
          <w:sz w:val="36"/>
          <w:szCs w:val="36"/>
          <w:highlight w:val="none"/>
        </w:rPr>
      </w:pPr>
      <w:bookmarkStart w:id="43" w:name="_Toc80800152"/>
      <w:bookmarkStart w:id="44" w:name="_Toc22676"/>
      <w:r>
        <w:rPr>
          <w:rFonts w:hint="eastAsia" w:ascii="黑体" w:hAnsi="黑体" w:eastAsia="黑体"/>
          <w:b w:val="0"/>
          <w:color w:val="auto"/>
          <w:kern w:val="0"/>
          <w:sz w:val="36"/>
          <w:szCs w:val="36"/>
          <w:highlight w:val="none"/>
        </w:rPr>
        <w:t>（四）投标文件的提交</w:t>
      </w:r>
      <w:bookmarkEnd w:id="43"/>
      <w:bookmarkEnd w:id="44"/>
    </w:p>
    <w:p w14:paraId="37EDB406">
      <w:pPr>
        <w:pStyle w:val="69"/>
        <w:spacing w:line="560" w:lineRule="exact"/>
        <w:ind w:firstLine="560"/>
        <w:rPr>
          <w:rFonts w:ascii="仿宋" w:hAnsi="仿宋" w:eastAsia="仿宋"/>
          <w:bCs/>
          <w:color w:val="auto"/>
          <w:kern w:val="0"/>
          <w:sz w:val="28"/>
          <w:szCs w:val="28"/>
          <w:highlight w:val="none"/>
        </w:rPr>
      </w:pPr>
    </w:p>
    <w:p w14:paraId="0651C6FB">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21.投标文件的密封和标记</w:t>
      </w:r>
    </w:p>
    <w:p w14:paraId="44D6707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21.1投标文件须以正规文件袋密封，投标文件中的资格审查部分、投标函部分、资信标部分、商务标部分、技术标部分应装订成册。</w:t>
      </w:r>
    </w:p>
    <w:p w14:paraId="0AA6D3F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21.2投标文件中的资格审查部分、投标函部分、资信标部分、商务标部分、技术标部分、电子标书应分别密封包装在六个密封袋中，在密封袋上相应注明“资格审查文件”、“投标函部分”、“资信标部分”“商务标部分”、“技术标部分”、“电子标书”，并分别注明项目名称、投标人名称。</w:t>
      </w:r>
    </w:p>
    <w:p w14:paraId="5C8D253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21.3将密封包装好的资格审查部分、投标函部分、资信标部分、商务标部分、技术标部分、电子标书统一密封包装在一个外密封袋中，并在外密封袋上注明“投标文件”、项目名称、投标人名称，并按前附表2第2项的规定注明开标时间以及“在此（开标时间）之前不得开封”字样。</w:t>
      </w:r>
    </w:p>
    <w:p w14:paraId="660FBDE9">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21.4所有密封袋的封口处均应贴封条并骑缝加盖投标人公章。</w:t>
      </w:r>
    </w:p>
    <w:p w14:paraId="04E3287D">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22.投标截止时间</w:t>
      </w:r>
    </w:p>
    <w:p w14:paraId="328D3C2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22.1 投标人应根据前附表2第2项的规定，在投标截止时间前将投标文件送达指定地点。</w:t>
      </w:r>
    </w:p>
    <w:p w14:paraId="6E4101A0">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23.投标文件的补充修改与撤回</w:t>
      </w:r>
    </w:p>
    <w:p w14:paraId="78FB35E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23.1 投标人在递交投标文件以后，在规定的投标截止时间之前，可以书面形式补充、修改或撤回已提交的投标文件，并通知招标人。补充、修改的内容为投标文件的组成部分。</w:t>
      </w:r>
    </w:p>
    <w:p w14:paraId="2C2D514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23.2 投标人的补充、修改或撤回通知，应按本须知第26条有关规定编制、密封、标记和递交，并在密封袋上清楚注明“补充”、“修改”或“撤回”字样。</w:t>
      </w:r>
    </w:p>
    <w:p w14:paraId="5727C71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23.3 根据本须知第22条规定，在投标截止时间以后，不得补充、修改投标文件。</w:t>
      </w:r>
    </w:p>
    <w:p w14:paraId="12D8296D">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24.截标时投标文件的数量要求</w:t>
      </w:r>
    </w:p>
    <w:p w14:paraId="4519A575">
      <w:pPr>
        <w:pStyle w:val="69"/>
        <w:spacing w:line="560" w:lineRule="exact"/>
        <w:ind w:firstLine="560"/>
        <w:rPr>
          <w:rFonts w:ascii="仿宋_GB2312" w:hAnsi="宋体" w:eastAsia="仿宋_GB2312"/>
          <w:bCs/>
          <w:color w:val="auto"/>
          <w:kern w:val="0"/>
          <w:sz w:val="28"/>
          <w:szCs w:val="28"/>
          <w:highlight w:val="none"/>
        </w:rPr>
      </w:pPr>
      <w:r>
        <w:rPr>
          <w:rFonts w:hint="eastAsia" w:ascii="仿宋" w:hAnsi="仿宋" w:eastAsia="仿宋"/>
          <w:bCs/>
          <w:color w:val="auto"/>
          <w:kern w:val="0"/>
          <w:sz w:val="28"/>
          <w:szCs w:val="28"/>
          <w:highlight w:val="none"/>
        </w:rPr>
        <w:t>24.1截标时投标文件递交数量不足，则可能推迟招标或重新招标。如导致招标失败，招标人将不负担因此给</w:t>
      </w:r>
      <w:r>
        <w:rPr>
          <w:rFonts w:ascii="仿宋" w:hAnsi="仿宋" w:eastAsia="仿宋"/>
          <w:bCs/>
          <w:color w:val="auto"/>
          <w:kern w:val="0"/>
          <w:sz w:val="28"/>
          <w:szCs w:val="28"/>
          <w:highlight w:val="none"/>
        </w:rPr>
        <w:t>投标</w:t>
      </w:r>
      <w:r>
        <w:rPr>
          <w:rFonts w:hint="eastAsia" w:ascii="仿宋" w:hAnsi="仿宋" w:eastAsia="仿宋"/>
          <w:bCs/>
          <w:color w:val="auto"/>
          <w:kern w:val="0"/>
          <w:sz w:val="28"/>
          <w:szCs w:val="28"/>
          <w:highlight w:val="none"/>
        </w:rPr>
        <w:t>人造成的损失。</w:t>
      </w:r>
    </w:p>
    <w:p w14:paraId="69326DCC">
      <w:pPr>
        <w:pStyle w:val="5"/>
        <w:spacing w:line="400" w:lineRule="exact"/>
        <w:jc w:val="center"/>
        <w:rPr>
          <w:rFonts w:ascii="仿宋_GB2312" w:hAnsi="宋体" w:eastAsia="仿宋_GB2312"/>
          <w:color w:val="auto"/>
          <w:kern w:val="0"/>
          <w:highlight w:val="none"/>
        </w:rPr>
      </w:pPr>
      <w:bookmarkStart w:id="45" w:name="_Toc20531"/>
      <w:bookmarkStart w:id="46" w:name="_Toc80800153"/>
      <w:r>
        <w:rPr>
          <w:rFonts w:hint="eastAsia" w:ascii="黑体" w:hAnsi="黑体" w:eastAsia="黑体"/>
          <w:b w:val="0"/>
          <w:color w:val="auto"/>
          <w:kern w:val="0"/>
          <w:sz w:val="36"/>
          <w:szCs w:val="36"/>
          <w:highlight w:val="none"/>
        </w:rPr>
        <w:t>（五）资格后审</w:t>
      </w:r>
      <w:bookmarkEnd w:id="45"/>
      <w:bookmarkEnd w:id="46"/>
    </w:p>
    <w:p w14:paraId="69C89A7A">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25.资格后审</w:t>
      </w:r>
    </w:p>
    <w:p w14:paraId="252D7A8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资格审查方式为资格后审的，其资格审查活动按以下规定进行：</w:t>
      </w:r>
    </w:p>
    <w:p w14:paraId="63E59024">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25.1资格审查由招标人组成的开标小组负责，在截标后对各投标人资格进行审查。</w:t>
      </w:r>
    </w:p>
    <w:p w14:paraId="18775AB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25.2开标小组开启资格审查文件，严格对照招标公告中要求的投标人资格条件，逐个审查投标人递交的资格证明文件，审核判断投标人是否满足该资格条件。</w:t>
      </w:r>
    </w:p>
    <w:p w14:paraId="158A4C37">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6AE1CBB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25.4投标人应准备相关原件以备查验。</w:t>
      </w:r>
    </w:p>
    <w:p w14:paraId="678FE683">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25.5拟进行资格后审澄清、答辩的代表由招标人核对身份</w:t>
      </w:r>
      <w:r>
        <w:rPr>
          <w:rFonts w:ascii="仿宋" w:hAnsi="仿宋" w:eastAsia="仿宋"/>
          <w:bCs/>
          <w:color w:val="auto"/>
          <w:kern w:val="0"/>
          <w:sz w:val="28"/>
          <w:szCs w:val="28"/>
          <w:highlight w:val="none"/>
        </w:rPr>
        <w:t>。</w:t>
      </w:r>
    </w:p>
    <w:p w14:paraId="5D42007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25.6开标小组要求投标人进行澄清、答辩，但投标人在招标人规定时间内未派出人员及时作出澄清、答辩的，开标小组会将可能作出不利于投标人的判定。</w:t>
      </w:r>
    </w:p>
    <w:p w14:paraId="131BDE69">
      <w:pPr>
        <w:pStyle w:val="69"/>
        <w:spacing w:line="560" w:lineRule="exact"/>
        <w:ind w:firstLine="560"/>
        <w:rPr>
          <w:rFonts w:ascii="仿宋_GB2312" w:hAnsi="宋体" w:eastAsia="仿宋_GB2312"/>
          <w:bCs/>
          <w:color w:val="auto"/>
          <w:kern w:val="0"/>
          <w:sz w:val="28"/>
          <w:szCs w:val="28"/>
          <w:highlight w:val="none"/>
        </w:rPr>
      </w:pPr>
      <w:r>
        <w:rPr>
          <w:rFonts w:hint="eastAsia" w:ascii="仿宋" w:hAnsi="仿宋" w:eastAsia="仿宋"/>
          <w:bCs/>
          <w:color w:val="auto"/>
          <w:kern w:val="0"/>
          <w:sz w:val="28"/>
          <w:szCs w:val="28"/>
          <w:highlight w:val="none"/>
        </w:rPr>
        <w:t>25.7资格审查合格投标人少于3家的，不再进行后续招标投标程序。</w:t>
      </w:r>
    </w:p>
    <w:p w14:paraId="6F8B79CE">
      <w:pPr>
        <w:pStyle w:val="5"/>
        <w:spacing w:line="400" w:lineRule="exact"/>
        <w:ind w:firstLine="720"/>
        <w:jc w:val="center"/>
        <w:rPr>
          <w:rFonts w:ascii="仿宋_GB2312" w:hAnsi="宋体" w:eastAsia="仿宋_GB2312"/>
          <w:color w:val="auto"/>
          <w:kern w:val="0"/>
          <w:highlight w:val="none"/>
        </w:rPr>
      </w:pPr>
      <w:bookmarkStart w:id="47" w:name="_Toc80800154"/>
      <w:bookmarkStart w:id="48" w:name="_Toc17924"/>
      <w:r>
        <w:rPr>
          <w:rFonts w:hint="eastAsia" w:ascii="黑体" w:hAnsi="黑体" w:eastAsia="黑体"/>
          <w:b w:val="0"/>
          <w:color w:val="auto"/>
          <w:kern w:val="0"/>
          <w:sz w:val="36"/>
          <w:szCs w:val="36"/>
          <w:highlight w:val="none"/>
        </w:rPr>
        <w:t>（六）开标</w:t>
      </w:r>
      <w:bookmarkEnd w:id="47"/>
      <w:bookmarkEnd w:id="48"/>
    </w:p>
    <w:p w14:paraId="6AFDD012">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26.开标</w:t>
      </w:r>
    </w:p>
    <w:p w14:paraId="0F6EF3F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26.1 本招标项目招标人将于前附表2第5项所规定的时间和地点公开举行开标会议，并邀请所有投标人代表（资格后审不合格单位除外）参加。</w:t>
      </w:r>
    </w:p>
    <w:p w14:paraId="7693767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26.2</w:t>
      </w:r>
      <w:r>
        <w:rPr>
          <w:rFonts w:ascii="仿宋" w:hAnsi="仿宋" w:eastAsia="仿宋"/>
          <w:bCs/>
          <w:color w:val="auto"/>
          <w:kern w:val="0"/>
          <w:sz w:val="28"/>
          <w:szCs w:val="28"/>
          <w:highlight w:val="none"/>
        </w:rPr>
        <w:t xml:space="preserve"> </w:t>
      </w:r>
      <w:r>
        <w:rPr>
          <w:rFonts w:hint="eastAsia" w:ascii="仿宋" w:hAnsi="仿宋" w:eastAsia="仿宋"/>
          <w:bCs/>
          <w:color w:val="auto"/>
          <w:kern w:val="0"/>
          <w:sz w:val="28"/>
          <w:szCs w:val="28"/>
          <w:highlight w:val="none"/>
        </w:rPr>
        <w:t>参加开标会议的投标人的法定代表人或其委托代理人应随带本人身份证，委托代理人还应随带“法定代表人证明书”和“法定代表人授权委托书”，以证明其身份。</w:t>
      </w:r>
    </w:p>
    <w:p w14:paraId="03A14BF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26.3 开标会议由招标人主持。</w:t>
      </w:r>
    </w:p>
    <w:p w14:paraId="1ED8D09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(1)由投标人或投标人代表检查投标文件的密封和标记情况；</w:t>
      </w:r>
    </w:p>
    <w:p w14:paraId="071F4EA7">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(2)经确认无误后，由招标人当众拆封，宣读投标人名称、投标价格以及投标文件中的其他主要内容。</w:t>
      </w:r>
    </w:p>
    <w:p w14:paraId="4D73741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26.4 招标人在投标截止时间前收到的所有投标文件，开标时都应当众拆封、宣读。但按规定提交合格的撤回通知的投标文件不予开封，并退给投标人。</w:t>
      </w:r>
    </w:p>
    <w:p w14:paraId="3609364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26.5按本须知第27条规定宣布为不予受理的投标文件，不予送交评审；其它不属于本须知第27条情形的投标文件均送交评标委员会。</w:t>
      </w:r>
    </w:p>
    <w:p w14:paraId="11B6121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26.6招标人应对开标过程进行记录，以存档备查。</w:t>
      </w:r>
    </w:p>
    <w:p w14:paraId="0B2F77BD">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27.投标文件的受理</w:t>
      </w:r>
    </w:p>
    <w:p w14:paraId="74890C6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 投标文件有下列情形之一的，招标人将不予受理：</w:t>
      </w:r>
    </w:p>
    <w:p w14:paraId="5429557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27.1.1 在规定投标截止时间以后</w:t>
      </w:r>
      <w:r>
        <w:rPr>
          <w:rFonts w:ascii="仿宋" w:hAnsi="仿宋" w:eastAsia="仿宋"/>
          <w:bCs/>
          <w:color w:val="auto"/>
          <w:kern w:val="0"/>
          <w:sz w:val="28"/>
          <w:szCs w:val="28"/>
          <w:highlight w:val="none"/>
        </w:rPr>
        <w:t>逾期送达的或者未送达指定地点的</w:t>
      </w:r>
      <w:r>
        <w:rPr>
          <w:rFonts w:hint="eastAsia" w:ascii="仿宋" w:hAnsi="仿宋" w:eastAsia="仿宋"/>
          <w:bCs/>
          <w:color w:val="auto"/>
          <w:kern w:val="0"/>
          <w:sz w:val="28"/>
          <w:szCs w:val="28"/>
          <w:highlight w:val="none"/>
        </w:rPr>
        <w:t>；</w:t>
      </w:r>
    </w:p>
    <w:p w14:paraId="5CF57CE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27.1.2 未按规定密封和骑缝加盖投标人公章的；</w:t>
      </w:r>
    </w:p>
    <w:p w14:paraId="74E737A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27.1.3 </w:t>
      </w:r>
      <w:r>
        <w:rPr>
          <w:rFonts w:ascii="仿宋" w:hAnsi="仿宋" w:eastAsia="仿宋"/>
          <w:bCs/>
          <w:color w:val="auto"/>
          <w:kern w:val="0"/>
          <w:sz w:val="28"/>
          <w:szCs w:val="28"/>
          <w:highlight w:val="none"/>
        </w:rPr>
        <w:t>投标文件</w:t>
      </w:r>
      <w:r>
        <w:rPr>
          <w:rFonts w:hint="eastAsia" w:ascii="仿宋" w:hAnsi="仿宋" w:eastAsia="仿宋"/>
          <w:bCs/>
          <w:color w:val="auto"/>
          <w:kern w:val="0"/>
          <w:sz w:val="28"/>
          <w:szCs w:val="28"/>
          <w:highlight w:val="none"/>
        </w:rPr>
        <w:t>的投标报价高于招标控制价或投标报价上限的；</w:t>
      </w:r>
    </w:p>
    <w:p w14:paraId="50F47A03">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27.1.4 </w:t>
      </w:r>
      <w:r>
        <w:rPr>
          <w:rFonts w:ascii="仿宋" w:hAnsi="仿宋" w:eastAsia="仿宋"/>
          <w:bCs/>
          <w:color w:val="auto"/>
          <w:kern w:val="0"/>
          <w:sz w:val="28"/>
          <w:szCs w:val="28"/>
          <w:highlight w:val="none"/>
        </w:rPr>
        <w:t>投标文件</w:t>
      </w:r>
      <w:r>
        <w:rPr>
          <w:rFonts w:hint="eastAsia" w:ascii="仿宋" w:hAnsi="仿宋" w:eastAsia="仿宋"/>
          <w:bCs/>
          <w:color w:val="auto"/>
          <w:kern w:val="0"/>
          <w:sz w:val="28"/>
          <w:szCs w:val="28"/>
          <w:highlight w:val="none"/>
        </w:rPr>
        <w:t>承诺的服务周期超过招标文件要求的；</w:t>
      </w:r>
    </w:p>
    <w:p w14:paraId="030FD44D">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27.2 如果招标人根据招标文件的规定难以准确判断某投标人的投标文件是否应予受理的，或有投标人在开标会上对审查程序与结果提出异议的，招标人将记录有关情况提交评标委员会讨论决定。</w:t>
      </w:r>
    </w:p>
    <w:p w14:paraId="1537C591">
      <w:pPr>
        <w:pStyle w:val="69"/>
        <w:spacing w:line="560" w:lineRule="exact"/>
        <w:ind w:firstLine="560"/>
        <w:rPr>
          <w:rFonts w:ascii="仿宋_GB2312" w:hAnsi="宋体" w:eastAsia="仿宋_GB2312"/>
          <w:bCs/>
          <w:color w:val="auto"/>
          <w:kern w:val="0"/>
          <w:sz w:val="28"/>
          <w:szCs w:val="28"/>
          <w:highlight w:val="none"/>
        </w:rPr>
      </w:pPr>
    </w:p>
    <w:p w14:paraId="6C9AA3F5">
      <w:pPr>
        <w:topLinePunct/>
        <w:adjustRightInd w:val="0"/>
        <w:snapToGrid w:val="0"/>
        <w:spacing w:line="360" w:lineRule="auto"/>
        <w:ind w:firstLine="480" w:firstLineChars="200"/>
        <w:jc w:val="left"/>
        <w:rPr>
          <w:rFonts w:ascii="宋体" w:hAnsi="宋体"/>
          <w:color w:val="auto"/>
          <w:kern w:val="0"/>
          <w:sz w:val="24"/>
          <w:szCs w:val="24"/>
          <w:highlight w:val="none"/>
        </w:rPr>
      </w:pPr>
    </w:p>
    <w:p w14:paraId="4DEC76C9">
      <w:pPr>
        <w:pStyle w:val="5"/>
        <w:spacing w:before="0" w:after="0" w:line="400" w:lineRule="exact"/>
        <w:ind w:firstLine="720"/>
        <w:jc w:val="center"/>
        <w:rPr>
          <w:rFonts w:ascii="黑体" w:hAnsi="黑体" w:eastAsia="黑体"/>
          <w:b w:val="0"/>
          <w:color w:val="auto"/>
          <w:kern w:val="0"/>
          <w:sz w:val="36"/>
          <w:szCs w:val="36"/>
          <w:highlight w:val="none"/>
        </w:rPr>
      </w:pPr>
      <w:bookmarkStart w:id="49" w:name="_Toc9015"/>
      <w:bookmarkStart w:id="50" w:name="_Toc80800155"/>
      <w:r>
        <w:rPr>
          <w:rFonts w:hint="eastAsia" w:ascii="黑体" w:hAnsi="黑体" w:eastAsia="黑体"/>
          <w:b w:val="0"/>
          <w:color w:val="auto"/>
          <w:kern w:val="0"/>
          <w:sz w:val="36"/>
          <w:szCs w:val="36"/>
          <w:highlight w:val="none"/>
        </w:rPr>
        <w:t>（七）评标</w:t>
      </w:r>
      <w:bookmarkEnd w:id="49"/>
      <w:bookmarkEnd w:id="50"/>
    </w:p>
    <w:p w14:paraId="21556BA5">
      <w:pPr>
        <w:pStyle w:val="69"/>
        <w:spacing w:line="560" w:lineRule="exact"/>
        <w:ind w:firstLine="560"/>
        <w:rPr>
          <w:rFonts w:ascii="仿宋_GB2312" w:hAnsi="宋体" w:eastAsia="仿宋_GB2312"/>
          <w:bCs/>
          <w:color w:val="auto"/>
          <w:kern w:val="0"/>
          <w:sz w:val="28"/>
          <w:szCs w:val="28"/>
          <w:highlight w:val="none"/>
        </w:rPr>
      </w:pPr>
    </w:p>
    <w:p w14:paraId="4C24E3BB">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28.评标委员会和评标</w:t>
      </w:r>
    </w:p>
    <w:p w14:paraId="4D66329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28.1 评标委员会由招标人依法组建，负责评标活动。</w:t>
      </w:r>
    </w:p>
    <w:p w14:paraId="0CEF33B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28.2 开标结束后，开始评标，评标采用保密方式进行。</w:t>
      </w:r>
    </w:p>
    <w:p w14:paraId="17F54E2F">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29. 招标人将向评标委员会提供以下资料，供评标使用：</w:t>
      </w:r>
    </w:p>
    <w:p w14:paraId="39C7CB2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29.1 招标文件，包括补遗文件、答疑文件等；</w:t>
      </w:r>
    </w:p>
    <w:p w14:paraId="5BA9EDC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29.2 供评标使用的主要技术资料；</w:t>
      </w:r>
    </w:p>
    <w:p w14:paraId="30D1D00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29.3 项目概况和评标重点的书面介绍。</w:t>
      </w:r>
    </w:p>
    <w:p w14:paraId="0A400DA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29.4 其他评标必须的资料。</w:t>
      </w:r>
    </w:p>
    <w:p w14:paraId="3232854A">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30.投标文件的初步评审</w:t>
      </w:r>
    </w:p>
    <w:p w14:paraId="4E66EB3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30.1由评标委员会进行投标文件的初步评审；</w:t>
      </w:r>
    </w:p>
    <w:p w14:paraId="1AB481A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w:t>
      </w:r>
      <w:r>
        <w:rPr>
          <w:rFonts w:ascii="仿宋" w:hAnsi="仿宋" w:eastAsia="仿宋"/>
          <w:bCs/>
          <w:color w:val="auto"/>
          <w:kern w:val="0"/>
          <w:sz w:val="28"/>
          <w:szCs w:val="28"/>
          <w:highlight w:val="none"/>
        </w:rPr>
        <w:t>投标文件有下列情形之一的，</w:t>
      </w:r>
      <w:r>
        <w:rPr>
          <w:rFonts w:hint="eastAsia" w:ascii="仿宋" w:hAnsi="仿宋" w:eastAsia="仿宋"/>
          <w:bCs/>
          <w:color w:val="auto"/>
          <w:kern w:val="0"/>
          <w:sz w:val="28"/>
          <w:szCs w:val="28"/>
          <w:highlight w:val="none"/>
        </w:rPr>
        <w:t>初步评审不通过，应作无效标处理：</w:t>
      </w:r>
    </w:p>
    <w:p w14:paraId="37DF517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30.2.1 投标文件的有关内容未按规定加盖投标人印章、或未经法定代表人或其委托代理人签字(或盖章)、或由委托代理人签字(或盖章)但未随投标文件一起提供“投标文件签署授权委托书”原件的；</w:t>
      </w:r>
    </w:p>
    <w:p w14:paraId="7EFD08A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30.2.2投标函按招标文件规定应当填写而未填写的；</w:t>
      </w:r>
    </w:p>
    <w:p w14:paraId="7E19FCC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30.2.3招标人要求提交投标文件电子文档，但投标人未提交或提交的电子文档不符合要求的。</w:t>
      </w:r>
    </w:p>
    <w:p w14:paraId="22AB59A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30.2.4投标人组成联合体投标，但投标文件未按规定附有联合体各方共同投标协议的；</w:t>
      </w:r>
    </w:p>
    <w:p w14:paraId="157032D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30.2.5参加联合体的各成员再以自己的名义单独投标的，或同时参加两个或两个以上的联合体投标的；</w:t>
      </w:r>
    </w:p>
    <w:p w14:paraId="6DC0C51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30.2.6投标人资格条件不符合国家有关规定和招标文件要求的。</w:t>
      </w:r>
    </w:p>
    <w:p w14:paraId="3B8E1286">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31.投标文件的详细评审</w:t>
      </w:r>
    </w:p>
    <w:p w14:paraId="25A1C9A3">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31.1评标委员会根据前附表1第16项规定的评标方法和标准，对投标文件进行</w:t>
      </w:r>
      <w:r>
        <w:rPr>
          <w:rFonts w:ascii="仿宋" w:hAnsi="仿宋" w:eastAsia="仿宋"/>
          <w:bCs/>
          <w:color w:val="auto"/>
          <w:kern w:val="0"/>
          <w:sz w:val="28"/>
          <w:szCs w:val="28"/>
          <w:highlight w:val="none"/>
        </w:rPr>
        <w:t>系统</w:t>
      </w:r>
      <w:r>
        <w:rPr>
          <w:rFonts w:hint="eastAsia" w:ascii="仿宋" w:hAnsi="仿宋" w:eastAsia="仿宋"/>
          <w:bCs/>
          <w:color w:val="auto"/>
          <w:kern w:val="0"/>
          <w:sz w:val="28"/>
          <w:szCs w:val="28"/>
          <w:highlight w:val="none"/>
        </w:rPr>
        <w:t>的评审和比较，</w:t>
      </w:r>
      <w:r>
        <w:rPr>
          <w:rFonts w:ascii="仿宋" w:hAnsi="仿宋" w:eastAsia="仿宋"/>
          <w:bCs/>
          <w:color w:val="auto"/>
          <w:kern w:val="0"/>
          <w:sz w:val="28"/>
          <w:szCs w:val="28"/>
          <w:highlight w:val="none"/>
        </w:rPr>
        <w:t>招标文件中没有规定的标准和方法不得作为评标的依据。</w:t>
      </w:r>
    </w:p>
    <w:p w14:paraId="201C5D2D">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32.投标文件的重大偏差</w:t>
      </w:r>
    </w:p>
    <w:p w14:paraId="5274F267">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32.1投标文件存在重大偏差的，应作废标处理。下列情况属于重大偏差：</w:t>
      </w:r>
    </w:p>
    <w:p w14:paraId="334676F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32.1.1投标人以他人的名义投标或出现下列串通投标、弄虚作假投标嫌疑的：</w:t>
      </w:r>
    </w:p>
    <w:p w14:paraId="0203E4A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32.1.2投标人资质条件不符合国家有关规定和招标文件要求；</w:t>
      </w:r>
    </w:p>
    <w:p w14:paraId="4FECFD6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32.1.3投标人拒不按照要求对投标文件进行澄清、说明、补正的或评标委员会根据本须知第35.1条规定对投标文件的计算错误进行修正后，投标人不接受修正后的投标报价的； </w:t>
      </w:r>
    </w:p>
    <w:p w14:paraId="38A18B29">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32.1.4投标文件附有招标人不能接受的条件；</w:t>
      </w:r>
    </w:p>
    <w:p w14:paraId="7673477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32.1.5投标文件不满足招标文件规定的任何一项实质性要求的；</w:t>
      </w:r>
    </w:p>
    <w:p w14:paraId="03B3EBB8">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33.投标文件的细微偏差</w:t>
      </w:r>
    </w:p>
    <w:p w14:paraId="5402BAE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0BB1F5E5">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33.2评标委员会应当书面要求存在细微偏差的投标人在评标结束前予以补正。拒不补正的，在详细评审时可以对细微偏差作不利于该投标人的量化，量化标准以招标文件规定为准。</w:t>
      </w:r>
    </w:p>
    <w:p w14:paraId="08500E2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33.3 在评审过程中，评标委员会可以以书面形式要求投标人就投标文件中含义不明确的内容进行说明并提供相关材料。</w:t>
      </w:r>
    </w:p>
    <w:p w14:paraId="4B1E7E2C">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34.投标文件的澄清和对答辩人的要求</w:t>
      </w:r>
    </w:p>
    <w:p w14:paraId="49192D12">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34.1为有助于投标文件的审查、评价和比较，评标委员会可以要求投标人对投标文件含义不明确的内容作必要的澄清或说明，投标人应当进行澄清或说明，但不得超出投标文件的范围或改变投标报价和其他实质性内容。根据本须知第35条规定，凡属于评标委员会在评标中发现的计算错误并进行核实的修改不在此列。</w:t>
      </w:r>
    </w:p>
    <w:p w14:paraId="72EF148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34.2 </w:t>
      </w:r>
      <w:r>
        <w:rPr>
          <w:rFonts w:ascii="仿宋" w:hAnsi="仿宋" w:eastAsia="仿宋"/>
          <w:bCs/>
          <w:color w:val="auto"/>
          <w:kern w:val="0"/>
          <w:sz w:val="28"/>
          <w:szCs w:val="28"/>
          <w:highlight w:val="none"/>
        </w:rPr>
        <w:t>评标过程中</w:t>
      </w:r>
      <w:r>
        <w:rPr>
          <w:rFonts w:hint="eastAsia" w:ascii="仿宋" w:hAnsi="仿宋" w:eastAsia="仿宋"/>
          <w:bCs/>
          <w:color w:val="auto"/>
          <w:kern w:val="0"/>
          <w:sz w:val="28"/>
          <w:szCs w:val="28"/>
          <w:highlight w:val="none"/>
        </w:rPr>
        <w:t>对</w:t>
      </w:r>
      <w:r>
        <w:rPr>
          <w:rFonts w:ascii="仿宋" w:hAnsi="仿宋" w:eastAsia="仿宋"/>
          <w:bCs/>
          <w:color w:val="auto"/>
          <w:kern w:val="0"/>
          <w:sz w:val="28"/>
          <w:szCs w:val="28"/>
          <w:highlight w:val="none"/>
        </w:rPr>
        <w:t>各投标单位的答辩人要求如下：</w:t>
      </w:r>
    </w:p>
    <w:p w14:paraId="391B1EA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34.2.1</w:t>
      </w:r>
      <w:r>
        <w:rPr>
          <w:rFonts w:ascii="仿宋" w:hAnsi="仿宋" w:eastAsia="仿宋"/>
          <w:bCs/>
          <w:color w:val="auto"/>
          <w:kern w:val="0"/>
          <w:sz w:val="28"/>
          <w:szCs w:val="28"/>
          <w:highlight w:val="none"/>
        </w:rPr>
        <w:t>拟进行</w:t>
      </w:r>
      <w:r>
        <w:rPr>
          <w:rFonts w:hint="eastAsia" w:ascii="仿宋" w:hAnsi="仿宋" w:eastAsia="仿宋"/>
          <w:bCs/>
          <w:color w:val="auto"/>
          <w:kern w:val="0"/>
          <w:sz w:val="28"/>
          <w:szCs w:val="28"/>
          <w:highlight w:val="none"/>
        </w:rPr>
        <w:t>投标</w:t>
      </w:r>
      <w:r>
        <w:rPr>
          <w:rFonts w:ascii="仿宋" w:hAnsi="仿宋" w:eastAsia="仿宋"/>
          <w:bCs/>
          <w:color w:val="auto"/>
          <w:kern w:val="0"/>
          <w:sz w:val="28"/>
          <w:szCs w:val="28"/>
          <w:highlight w:val="none"/>
        </w:rPr>
        <w:t>答辩的，投标人法定代表人</w:t>
      </w:r>
      <w:r>
        <w:rPr>
          <w:rFonts w:hint="eastAsia" w:ascii="仿宋" w:hAnsi="仿宋" w:eastAsia="仿宋"/>
          <w:bCs/>
          <w:color w:val="auto"/>
          <w:kern w:val="0"/>
          <w:sz w:val="28"/>
          <w:szCs w:val="28"/>
          <w:highlight w:val="none"/>
        </w:rPr>
        <w:t>或其授权委托人。</w:t>
      </w:r>
    </w:p>
    <w:p w14:paraId="4382220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34.3评标委员会要求投标人进行答辩，但投标人在规定时间内未派出答辩人及时作出答辩的，评标委员会将根据招标文件规定作出不利于投标人的判定。</w:t>
      </w:r>
    </w:p>
    <w:p w14:paraId="2F0D4BD0">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35.投标文件计算错误的修正</w:t>
      </w:r>
    </w:p>
    <w:p w14:paraId="5B912EF7">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35.1投标人的投标报价中如出现算术错误，将按以下方法进行调整：</w:t>
      </w:r>
    </w:p>
    <w:p w14:paraId="69D55E1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35.1.1投标文件中大写金额与小写金额不一致的，以大写金额为准；</w:t>
      </w:r>
    </w:p>
    <w:p w14:paraId="5EA9B25D">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35.1.2总价金额与按单价计算的总金额不一致的，以单价计算的总金额为准。除非评标委员会认为单价有明显的小数点错误，此时应以合价金额为准，调整单价；</w:t>
      </w:r>
    </w:p>
    <w:p w14:paraId="7DFFC06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232FEDF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35.3按照本节第35.1条、第35.2条规定的调整方法确定的调整后报价，须取得投标人同意并书面签字确认。如果投标人拒不接受调整方法以及调整后的报价的，其投标将被拒绝。</w:t>
      </w:r>
    </w:p>
    <w:p w14:paraId="77FAAC2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35.4如果出现多报或超出本招标项目列明项目的数量情况的，评标委员会应根据具体评标方法和评审标准，按照不利于该投标人的原则进行调整，且投标人不得因此提出任何异议。</w:t>
      </w:r>
    </w:p>
    <w:p w14:paraId="6CC61342">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35.5中标人的投标报价是按照本节第35.1条、第35.2条、第35.3条规定的进行了调整的，其中标价按就低不就高的原则确定。如果投标人拒不接受的，其投标将被拒绝。</w:t>
      </w:r>
    </w:p>
    <w:p w14:paraId="480CBCF2">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35.5.1投标人的投标报价的总价小于调整后的报价，中标价即为投标人的投标报价的总价；投标报价的总价大于调整后的报价，中标价即为调整后的报价。</w:t>
      </w:r>
    </w:p>
    <w:p w14:paraId="76BE1D34">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36.无效标和废标的处理</w:t>
      </w:r>
    </w:p>
    <w:p w14:paraId="3CD7AFE2">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36.1除本须知第30.2条和第32.1条明确规定的无效标和废标情形外，评标委员会对投标文件应坚持谨慎确定无效标和废标的原则。</w:t>
      </w:r>
    </w:p>
    <w:p w14:paraId="6BD9469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36.2评标委员会在作出任何一项无效标和废标决定前，都应当严格遵循以下程序：</w:t>
      </w:r>
    </w:p>
    <w:p w14:paraId="7B15178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36.2.1 要求当事投标人作相应的答辩；</w:t>
      </w:r>
    </w:p>
    <w:p w14:paraId="69ACDBE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36.2.2 将答辩记录送当事投标人法定代表人或其授权委托人签字确认；</w:t>
      </w:r>
    </w:p>
    <w:p w14:paraId="4BBCC817">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36.2.3 在充分讨论的基础上集体表决；</w:t>
      </w:r>
    </w:p>
    <w:p w14:paraId="47982B8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36.2.4 若表决通过无效标或废标决定，告知投标当事人，并在评标报告中详细载明无效标或废标的理由、依据、答辩的情况和集体表决的情况(同意无效标或废标和不同意无效标或废标的评标委员会成员均应当注明)。</w:t>
      </w:r>
    </w:p>
    <w:p w14:paraId="16956CF9">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37.中标候选人的推荐或确定</w:t>
      </w:r>
    </w:p>
    <w:p w14:paraId="5FDA41D4">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 xml:space="preserve">37.1 </w:t>
      </w:r>
      <w:r>
        <w:rPr>
          <w:rFonts w:ascii="仿宋" w:hAnsi="仿宋" w:eastAsia="仿宋"/>
          <w:bCs/>
          <w:color w:val="auto"/>
          <w:kern w:val="0"/>
          <w:sz w:val="28"/>
          <w:szCs w:val="28"/>
          <w:highlight w:val="none"/>
        </w:rPr>
        <w:t>评标委员会实行少数服从多数的原则，评标结果经评标委员会全体成员过半数通过有效。</w:t>
      </w:r>
    </w:p>
    <w:p w14:paraId="5BF876B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37.2 评标委员会经过对投标文件进行评审和比较后，向招标人提出书面评标报告，并推荐中标候选人。</w:t>
      </w:r>
    </w:p>
    <w:p w14:paraId="37EE3BFE">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37.3 招标人根据评标委员会提出的书面评标报告和推荐的中标候选人确定中标人，也可以授权评标委员会直接确定中标人。</w:t>
      </w:r>
    </w:p>
    <w:p w14:paraId="0BCCA422">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38.评标过程的保密</w:t>
      </w:r>
    </w:p>
    <w:p w14:paraId="631F124D">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38.1 开标后，直到授予中标人合同为止，凡属于对投标文件的审查、澄清、评价和比较有关的资料以及中标侯选人的推荐情况，与评标有关的其他任何情况均严格保密。</w:t>
      </w:r>
    </w:p>
    <w:p w14:paraId="69DAC7F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38.2 在投标文件的评审和比较、中标候选人推荐以及授予合同的过程中，投标人不得有向招标人和评标委员会施加影响的任何行为。</w:t>
      </w:r>
    </w:p>
    <w:p w14:paraId="7D6A878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38.3 中标人确定后，招标人不对未中标人就评标过程以及未能中标原因作出任何解释。未中标人不得向评标委员会组成人员或其他有关人员索问评标过程的情况和材料。</w:t>
      </w:r>
    </w:p>
    <w:p w14:paraId="565CDB3D">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39.其它规定</w:t>
      </w:r>
    </w:p>
    <w:p w14:paraId="081DEBC6">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39.1评标过程中，若评标委员会认为本次招标缺乏竞争性，可以不推荐中标候选人，由招标人重新组织招标。</w:t>
      </w:r>
    </w:p>
    <w:p w14:paraId="728C1B48">
      <w:pPr>
        <w:pStyle w:val="69"/>
        <w:spacing w:line="560" w:lineRule="exact"/>
        <w:ind w:firstLine="560"/>
        <w:rPr>
          <w:rFonts w:ascii="仿宋_GB2312" w:hAnsi="宋体" w:eastAsia="仿宋_GB2312"/>
          <w:bCs/>
          <w:color w:val="auto"/>
          <w:kern w:val="0"/>
          <w:sz w:val="28"/>
          <w:szCs w:val="28"/>
          <w:highlight w:val="none"/>
        </w:rPr>
      </w:pPr>
    </w:p>
    <w:p w14:paraId="36FC542C">
      <w:pPr>
        <w:pStyle w:val="5"/>
        <w:spacing w:before="0" w:after="0" w:line="400" w:lineRule="exact"/>
        <w:ind w:firstLine="723"/>
        <w:jc w:val="center"/>
        <w:rPr>
          <w:rFonts w:ascii="黑体" w:hAnsi="黑体" w:eastAsia="黑体"/>
          <w:b w:val="0"/>
          <w:color w:val="auto"/>
          <w:kern w:val="0"/>
          <w:sz w:val="36"/>
          <w:szCs w:val="36"/>
          <w:highlight w:val="none"/>
        </w:rPr>
      </w:pPr>
      <w:bookmarkStart w:id="51" w:name="_Toc4504"/>
      <w:bookmarkStart w:id="52" w:name="_Toc80800156"/>
      <w:r>
        <w:rPr>
          <w:rFonts w:hint="eastAsia" w:ascii="黑体" w:hAnsi="黑体" w:eastAsia="黑体"/>
          <w:b w:val="0"/>
          <w:color w:val="auto"/>
          <w:kern w:val="0"/>
          <w:sz w:val="36"/>
          <w:szCs w:val="36"/>
          <w:highlight w:val="none"/>
        </w:rPr>
        <w:t>（八）定标</w:t>
      </w:r>
      <w:bookmarkEnd w:id="51"/>
      <w:bookmarkEnd w:id="52"/>
    </w:p>
    <w:p w14:paraId="319CD7AD">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40.中标人确定方式</w:t>
      </w:r>
    </w:p>
    <w:p w14:paraId="012760D0">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1招标人根据评标委员会推荐的中标候选人确定中标人，也可以授权评标委员会直接确定中标人。</w:t>
      </w:r>
    </w:p>
    <w:p w14:paraId="55B9387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40.2招标人授权评标委员会确定中标人的：评标委员会根据招标文件中的评审内容和评审指引，对各投标人的投标文件进行评审，推荐有排序的</w:t>
      </w:r>
      <w:r>
        <w:rPr>
          <w:rFonts w:hint="eastAsia" w:ascii="仿宋" w:hAnsi="仿宋" w:eastAsia="仿宋"/>
          <w:bCs/>
          <w:color w:val="auto"/>
          <w:kern w:val="0"/>
          <w:sz w:val="28"/>
          <w:szCs w:val="28"/>
          <w:highlight w:val="none"/>
          <w:u w:val="single"/>
        </w:rPr>
        <w:t xml:space="preserve">  1 </w:t>
      </w:r>
      <w:r>
        <w:rPr>
          <w:rFonts w:hint="eastAsia" w:ascii="仿宋" w:hAnsi="仿宋" w:eastAsia="仿宋"/>
          <w:bCs/>
          <w:color w:val="auto"/>
          <w:kern w:val="0"/>
          <w:sz w:val="28"/>
          <w:szCs w:val="28"/>
          <w:highlight w:val="none"/>
        </w:rPr>
        <w:t>名中标候选人，评标报告通过招标人审批后，第一中标候选人即为中标人。</w:t>
      </w:r>
    </w:p>
    <w:p w14:paraId="442C2053">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rPr>
        <w:t xml:space="preserve">名无排序中标候选人，后由招标人的招标领导小组通过民主决策在评标委员会推荐的中标候选人中确定 </w:t>
      </w:r>
      <w:r>
        <w:rPr>
          <w:rFonts w:hint="eastAsia" w:ascii="仿宋" w:hAnsi="仿宋" w:eastAsia="仿宋"/>
          <w:bCs/>
          <w:color w:val="auto"/>
          <w:kern w:val="0"/>
          <w:sz w:val="28"/>
          <w:szCs w:val="28"/>
          <w:highlight w:val="none"/>
          <w:u w:val="single"/>
        </w:rPr>
        <w:t xml:space="preserve">   </w:t>
      </w:r>
      <w:r>
        <w:rPr>
          <w:rFonts w:hint="eastAsia" w:ascii="仿宋" w:hAnsi="仿宋" w:eastAsia="仿宋"/>
          <w:bCs/>
          <w:color w:val="auto"/>
          <w:kern w:val="0"/>
          <w:sz w:val="28"/>
          <w:szCs w:val="28"/>
          <w:highlight w:val="none"/>
        </w:rPr>
        <w:t>名中标人。</w:t>
      </w:r>
    </w:p>
    <w:p w14:paraId="16369B2E">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40.4本次招标，评标委员会评标得分仅作为招标人确定中标人的参考，招标人有权确定任一中标候选人为中标人。</w:t>
      </w:r>
    </w:p>
    <w:p w14:paraId="059C6422">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40.5如出现中标人放弃中标的情形，招标人可按上述程序在剩余中标候选人中重新确定中标人，也可重新组织招标。</w:t>
      </w:r>
    </w:p>
    <w:p w14:paraId="329831F6">
      <w:pPr>
        <w:pStyle w:val="69"/>
        <w:spacing w:line="560" w:lineRule="exact"/>
        <w:ind w:firstLine="560"/>
        <w:rPr>
          <w:rFonts w:ascii="仿宋" w:hAnsi="仿宋" w:eastAsia="仿宋"/>
          <w:bCs/>
          <w:color w:val="auto"/>
          <w:kern w:val="0"/>
          <w:sz w:val="28"/>
          <w:szCs w:val="28"/>
          <w:highlight w:val="none"/>
        </w:rPr>
      </w:pPr>
    </w:p>
    <w:p w14:paraId="65B47F49">
      <w:pPr>
        <w:pStyle w:val="5"/>
        <w:spacing w:before="0" w:after="0" w:line="400" w:lineRule="exact"/>
        <w:ind w:firstLine="720"/>
        <w:jc w:val="center"/>
        <w:rPr>
          <w:rFonts w:ascii="黑体" w:hAnsi="黑体" w:eastAsia="黑体"/>
          <w:b w:val="0"/>
          <w:color w:val="auto"/>
          <w:kern w:val="0"/>
          <w:sz w:val="36"/>
          <w:szCs w:val="36"/>
          <w:highlight w:val="none"/>
        </w:rPr>
      </w:pPr>
      <w:bookmarkStart w:id="53" w:name="_Toc80800157"/>
      <w:bookmarkStart w:id="54" w:name="_Toc11963"/>
      <w:r>
        <w:rPr>
          <w:rFonts w:hint="eastAsia" w:ascii="黑体" w:hAnsi="黑体" w:eastAsia="黑体"/>
          <w:b w:val="0"/>
          <w:color w:val="auto"/>
          <w:kern w:val="0"/>
          <w:sz w:val="36"/>
          <w:szCs w:val="36"/>
          <w:highlight w:val="none"/>
        </w:rPr>
        <w:t>（九）中标通知书</w:t>
      </w:r>
      <w:bookmarkEnd w:id="53"/>
      <w:bookmarkEnd w:id="54"/>
    </w:p>
    <w:p w14:paraId="665FB531">
      <w:pPr>
        <w:pStyle w:val="69"/>
        <w:spacing w:line="560" w:lineRule="exact"/>
        <w:ind w:firstLine="560"/>
        <w:rPr>
          <w:rFonts w:ascii="仿宋_GB2312" w:hAnsi="宋体" w:eastAsia="仿宋_GB2312"/>
          <w:bCs/>
          <w:color w:val="auto"/>
          <w:kern w:val="0"/>
          <w:sz w:val="28"/>
          <w:szCs w:val="28"/>
          <w:highlight w:val="none"/>
        </w:rPr>
      </w:pPr>
    </w:p>
    <w:p w14:paraId="6B9B33A0">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41．中标通知书</w:t>
      </w:r>
    </w:p>
    <w:p w14:paraId="1455FEE3">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w:t>
      </w:r>
      <w:r>
        <w:rPr>
          <w:rFonts w:ascii="仿宋" w:hAnsi="仿宋" w:eastAsia="仿宋"/>
          <w:bCs/>
          <w:color w:val="auto"/>
          <w:kern w:val="0"/>
          <w:sz w:val="28"/>
          <w:szCs w:val="28"/>
          <w:highlight w:val="none"/>
        </w:rPr>
        <w:t>.</w:t>
      </w:r>
      <w:r>
        <w:rPr>
          <w:rFonts w:hint="eastAsia" w:ascii="仿宋" w:hAnsi="仿宋" w:eastAsia="仿宋"/>
          <w:bCs/>
          <w:color w:val="auto"/>
          <w:kern w:val="0"/>
          <w:sz w:val="28"/>
          <w:szCs w:val="28"/>
          <w:highlight w:val="none"/>
        </w:rPr>
        <w:t>1招标人应在确定中标人后，将中标结果在 “市属国企阳光采购服务平台”公示。</w:t>
      </w:r>
    </w:p>
    <w:p w14:paraId="199F0809">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41.2公示期内对中标结果若无质疑，公示期结束后该中标结果自动生效。招标人将发出中标通知书。中标通知书是本招标项目合同的组成部分。如接到有关投诉的，招标人将可能暂停发出中标通知书。</w:t>
      </w:r>
    </w:p>
    <w:p w14:paraId="13A918A2">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41.3招标人将以《中标通知书》通知中标人中标。未收到《中标通知书》投标者为落标，招标人不解释落标原因，不退回投标书。</w:t>
      </w:r>
    </w:p>
    <w:p w14:paraId="5857CECD">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42．招标人的权利</w:t>
      </w:r>
    </w:p>
    <w:p w14:paraId="461B2E1B">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42.1招标人在发出中标通知书之前因正当理由，经公司相关部门批准，有权根据评标委员会评审意见接受或拒绝投标、宣布投标程序无效或拒绝所有投标。对受影响的投标人不承担任何责任。</w:t>
      </w:r>
    </w:p>
    <w:p w14:paraId="48F2A60C">
      <w:pPr>
        <w:pStyle w:val="69"/>
        <w:spacing w:line="560" w:lineRule="exact"/>
        <w:ind w:firstLine="560"/>
        <w:rPr>
          <w:rFonts w:ascii="仿宋_GB2312" w:hAnsi="宋体" w:eastAsia="仿宋_GB2312"/>
          <w:bCs/>
          <w:color w:val="auto"/>
          <w:kern w:val="0"/>
          <w:sz w:val="28"/>
          <w:szCs w:val="28"/>
          <w:highlight w:val="none"/>
        </w:rPr>
      </w:pPr>
    </w:p>
    <w:p w14:paraId="3714286B">
      <w:pPr>
        <w:pStyle w:val="5"/>
        <w:spacing w:before="0" w:after="0" w:line="400" w:lineRule="exact"/>
        <w:ind w:firstLine="720"/>
        <w:jc w:val="center"/>
        <w:rPr>
          <w:rFonts w:ascii="黑体" w:hAnsi="黑体" w:eastAsia="黑体"/>
          <w:b w:val="0"/>
          <w:color w:val="auto"/>
          <w:kern w:val="0"/>
          <w:sz w:val="36"/>
          <w:szCs w:val="36"/>
          <w:highlight w:val="none"/>
        </w:rPr>
      </w:pPr>
      <w:bookmarkStart w:id="55" w:name="_Toc28656"/>
      <w:bookmarkStart w:id="56" w:name="_Toc80800158"/>
      <w:r>
        <w:rPr>
          <w:rFonts w:hint="eastAsia" w:ascii="黑体" w:hAnsi="黑体" w:eastAsia="黑体"/>
          <w:b w:val="0"/>
          <w:color w:val="auto"/>
          <w:kern w:val="0"/>
          <w:sz w:val="36"/>
          <w:szCs w:val="36"/>
          <w:highlight w:val="none"/>
        </w:rPr>
        <w:t>（十）合同授予</w:t>
      </w:r>
      <w:bookmarkEnd w:id="55"/>
      <w:bookmarkEnd w:id="56"/>
    </w:p>
    <w:p w14:paraId="09FF0B17">
      <w:pPr>
        <w:pStyle w:val="69"/>
        <w:spacing w:line="560" w:lineRule="exact"/>
        <w:ind w:firstLine="560"/>
        <w:rPr>
          <w:rFonts w:ascii="仿宋_GB2312" w:hAnsi="宋体" w:eastAsia="仿宋_GB2312"/>
          <w:bCs/>
          <w:color w:val="auto"/>
          <w:kern w:val="0"/>
          <w:sz w:val="28"/>
          <w:szCs w:val="28"/>
          <w:highlight w:val="none"/>
        </w:rPr>
      </w:pPr>
    </w:p>
    <w:p w14:paraId="5E3E4A24">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43．签订合同</w:t>
      </w:r>
    </w:p>
    <w:p w14:paraId="0A23FA9F">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43.1招标人和中标人应当按“投标须知前附表”的规定，依据招标文件和中标人的投标文件订立书面合同。</w:t>
      </w:r>
    </w:p>
    <w:p w14:paraId="49CEC9A9">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6FB2E4E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43.3招标人无正当理由拒签合同的，或者在签订合同时向中标人提出附加条件或者更改合同实质性内容的，有关行政监督部门将给予警告，责令改正；给中标人造成损失的，还应当赔偿损失。</w:t>
      </w:r>
    </w:p>
    <w:p w14:paraId="1AC3D223">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43.4招标人与中标人签订的合同必须遵守本招标文件的合同条件，并且不得更改合同条件。</w:t>
      </w:r>
    </w:p>
    <w:p w14:paraId="78EF2760">
      <w:pPr>
        <w:pStyle w:val="69"/>
        <w:spacing w:line="560" w:lineRule="exact"/>
        <w:ind w:firstLine="560"/>
        <w:rPr>
          <w:rFonts w:ascii="仿宋_GB2312" w:hAnsi="宋体" w:eastAsia="仿宋_GB2312"/>
          <w:bCs/>
          <w:color w:val="auto"/>
          <w:kern w:val="0"/>
          <w:sz w:val="28"/>
          <w:szCs w:val="28"/>
          <w:highlight w:val="none"/>
        </w:rPr>
      </w:pPr>
      <w:r>
        <w:rPr>
          <w:rFonts w:hint="eastAsia" w:ascii="仿宋" w:hAnsi="仿宋" w:eastAsia="仿宋"/>
          <w:bCs/>
          <w:color w:val="auto"/>
          <w:kern w:val="0"/>
          <w:sz w:val="28"/>
          <w:szCs w:val="28"/>
          <w:highlight w:val="none"/>
        </w:rPr>
        <w:t>43.5中标人应当按照合同约定履行义务，完成合同标的，不得将合同标的转让(转包)给他人实施。</w:t>
      </w:r>
    </w:p>
    <w:p w14:paraId="5441C6DA">
      <w:pPr>
        <w:pStyle w:val="5"/>
        <w:spacing w:line="400" w:lineRule="exact"/>
        <w:ind w:firstLine="720"/>
        <w:jc w:val="center"/>
        <w:rPr>
          <w:rFonts w:ascii="仿宋_GB2312" w:hAnsi="宋体" w:eastAsia="仿宋_GB2312"/>
          <w:bCs/>
          <w:color w:val="auto"/>
          <w:kern w:val="0"/>
          <w:sz w:val="28"/>
          <w:szCs w:val="28"/>
          <w:highlight w:val="none"/>
        </w:rPr>
      </w:pPr>
      <w:bookmarkStart w:id="57" w:name="_Toc11812"/>
      <w:bookmarkStart w:id="58" w:name="_Toc80800159"/>
      <w:r>
        <w:rPr>
          <w:rFonts w:hint="eastAsia" w:ascii="黑体" w:hAnsi="黑体" w:eastAsia="黑体"/>
          <w:b w:val="0"/>
          <w:color w:val="auto"/>
          <w:kern w:val="0"/>
          <w:sz w:val="36"/>
          <w:szCs w:val="36"/>
          <w:highlight w:val="none"/>
        </w:rPr>
        <w:t>（十一）其他</w:t>
      </w:r>
      <w:bookmarkEnd w:id="57"/>
      <w:bookmarkEnd w:id="58"/>
    </w:p>
    <w:p w14:paraId="7B656BA3">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44．招标投标投诉的处理</w:t>
      </w:r>
    </w:p>
    <w:p w14:paraId="1DF52EC8">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44.1本招标项目实行分段限时投诉制度，即在每个招标投标阶段，投标人均应对所存异议及时投诉。凡超出被投诉阶段投诉时限的，其投诉将不予受理。</w:t>
      </w:r>
    </w:p>
    <w:p w14:paraId="69B828DA">
      <w:pPr>
        <w:pStyle w:val="69"/>
        <w:spacing w:line="560" w:lineRule="exact"/>
        <w:ind w:firstLine="562"/>
        <w:rPr>
          <w:rFonts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45．其他</w:t>
      </w:r>
    </w:p>
    <w:p w14:paraId="5F7830A4">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45.1本招标文件的解释权归招标人所有，招标人有权在法律允许范围内调整本次招标活动的细节及保留最终解释权。</w:t>
      </w:r>
    </w:p>
    <w:p w14:paraId="70908FCD">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45.2评标委员会经评审，认为所有投标都不符合招标文件要求的，可以否决所有投标。所有投标被否决的，招标人应重新招标。招标人不负担因招标失败给</w:t>
      </w:r>
      <w:r>
        <w:rPr>
          <w:rFonts w:ascii="仿宋" w:hAnsi="仿宋" w:eastAsia="仿宋"/>
          <w:bCs/>
          <w:color w:val="auto"/>
          <w:kern w:val="0"/>
          <w:sz w:val="28"/>
          <w:szCs w:val="28"/>
          <w:highlight w:val="none"/>
        </w:rPr>
        <w:t>投标</w:t>
      </w:r>
      <w:r>
        <w:rPr>
          <w:rFonts w:hint="eastAsia" w:ascii="仿宋" w:hAnsi="仿宋" w:eastAsia="仿宋"/>
          <w:bCs/>
          <w:color w:val="auto"/>
          <w:kern w:val="0"/>
          <w:sz w:val="28"/>
          <w:szCs w:val="28"/>
          <w:highlight w:val="none"/>
        </w:rPr>
        <w:t>人造成的损失。</w:t>
      </w:r>
    </w:p>
    <w:p w14:paraId="7ADBA0EC">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45.3招标人向投标人提供的资料和数据，是招标人现有的能使投标人利用的资料，招标人对投标人由此而做出的推论、理解和结论概不负责。</w:t>
      </w:r>
    </w:p>
    <w:p w14:paraId="12861F41">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45.4如果投标人实质上不符合投标资格，即使参加投标并缴纳各种费用，招标人可以随时取消其投标或中标资格，招标人对该投标人的一切损失概不责任。</w:t>
      </w:r>
    </w:p>
    <w:p w14:paraId="662B3EE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45.5中标无效的，发出的中标通知书和签订的合同自始没有法律约束力，但不影响合同中存在的有关解决争议方法的条款的效力。</w:t>
      </w:r>
    </w:p>
    <w:p w14:paraId="532D97EA">
      <w:pPr>
        <w:pStyle w:val="69"/>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45.6本招标文件所有的附件与本招标文件具有同等效力。</w:t>
      </w:r>
    </w:p>
    <w:p w14:paraId="1A8D58AC">
      <w:pPr>
        <w:widowControl w:val="0"/>
        <w:spacing w:line="360" w:lineRule="auto"/>
        <w:ind w:firstLine="420" w:firstLineChars="200"/>
        <w:rPr>
          <w:rFonts w:ascii="宋体" w:hAnsi="宋体"/>
          <w:color w:val="auto"/>
          <w:kern w:val="0"/>
          <w:szCs w:val="21"/>
          <w:highlight w:val="none"/>
        </w:rPr>
      </w:pPr>
    </w:p>
    <w:p w14:paraId="370B311F">
      <w:pPr>
        <w:widowControl w:val="0"/>
        <w:spacing w:line="360" w:lineRule="auto"/>
        <w:ind w:firstLine="420" w:firstLineChars="200"/>
        <w:rPr>
          <w:rFonts w:ascii="宋体" w:hAnsi="宋体"/>
          <w:color w:val="auto"/>
          <w:kern w:val="0"/>
          <w:szCs w:val="21"/>
          <w:highlight w:val="none"/>
        </w:rPr>
      </w:pPr>
    </w:p>
    <w:p w14:paraId="6BFEF605">
      <w:pPr>
        <w:pStyle w:val="13"/>
        <w:rPr>
          <w:rFonts w:ascii="宋体" w:hAnsi="宋体"/>
          <w:color w:val="auto"/>
          <w:kern w:val="0"/>
          <w:szCs w:val="21"/>
          <w:highlight w:val="none"/>
        </w:rPr>
      </w:pPr>
    </w:p>
    <w:p w14:paraId="41CA4776">
      <w:pPr>
        <w:pStyle w:val="13"/>
        <w:rPr>
          <w:rFonts w:ascii="宋体" w:hAnsi="宋体"/>
          <w:color w:val="auto"/>
          <w:kern w:val="0"/>
          <w:szCs w:val="21"/>
          <w:highlight w:val="none"/>
        </w:rPr>
      </w:pPr>
    </w:p>
    <w:p w14:paraId="052F2822">
      <w:pPr>
        <w:pStyle w:val="13"/>
        <w:rPr>
          <w:rFonts w:ascii="宋体" w:hAnsi="宋体"/>
          <w:color w:val="auto"/>
          <w:kern w:val="0"/>
          <w:szCs w:val="21"/>
          <w:highlight w:val="none"/>
        </w:rPr>
      </w:pPr>
    </w:p>
    <w:p w14:paraId="2098A96F">
      <w:pPr>
        <w:pStyle w:val="13"/>
        <w:rPr>
          <w:rFonts w:ascii="宋体" w:hAnsi="宋体"/>
          <w:color w:val="auto"/>
          <w:kern w:val="0"/>
          <w:szCs w:val="21"/>
          <w:highlight w:val="none"/>
        </w:rPr>
      </w:pPr>
    </w:p>
    <w:p w14:paraId="3AD3DAE5">
      <w:pPr>
        <w:pStyle w:val="13"/>
        <w:rPr>
          <w:rFonts w:ascii="宋体" w:hAnsi="宋体"/>
          <w:color w:val="auto"/>
          <w:kern w:val="0"/>
          <w:szCs w:val="21"/>
          <w:highlight w:val="none"/>
        </w:rPr>
      </w:pPr>
    </w:p>
    <w:p w14:paraId="2391BE1C">
      <w:pPr>
        <w:pStyle w:val="2"/>
        <w:numPr>
          <w:ilvl w:val="0"/>
          <w:numId w:val="3"/>
        </w:numPr>
        <w:spacing w:before="0" w:after="0" w:line="560" w:lineRule="exact"/>
        <w:jc w:val="center"/>
        <w:rPr>
          <w:rFonts w:ascii="黑体" w:hAnsi="黑体" w:eastAsia="黑体"/>
          <w:color w:val="auto"/>
          <w:sz w:val="48"/>
          <w:szCs w:val="48"/>
          <w:highlight w:val="none"/>
          <w:shd w:val="clear" w:color="060000" w:fill="auto"/>
        </w:rPr>
      </w:pPr>
      <w:bookmarkStart w:id="59" w:name="_Toc19201"/>
      <w:bookmarkStart w:id="60" w:name="_Toc80800160"/>
      <w:r>
        <w:rPr>
          <w:rFonts w:hint="eastAsia" w:ascii="黑体" w:hAnsi="黑体" w:eastAsia="黑体"/>
          <w:color w:val="auto"/>
          <w:sz w:val="48"/>
          <w:szCs w:val="48"/>
          <w:highlight w:val="none"/>
          <w:shd w:val="clear" w:color="060000" w:fill="auto"/>
        </w:rPr>
        <w:t>合同文本及条款</w:t>
      </w:r>
      <w:bookmarkEnd w:id="59"/>
      <w:bookmarkEnd w:id="60"/>
    </w:p>
    <w:p w14:paraId="05B46927">
      <w:pPr>
        <w:jc w:val="center"/>
        <w:rPr>
          <w:rFonts w:hint="eastAsia" w:ascii="方正小标宋简体" w:hAnsi="楷体" w:eastAsia="方正小标宋简体"/>
          <w:sz w:val="44"/>
          <w:szCs w:val="44"/>
        </w:rPr>
      </w:pPr>
      <w:r>
        <w:rPr>
          <w:rFonts w:hint="eastAsia" w:ascii="方正小标宋简体" w:hAnsi="楷体" w:eastAsia="方正小标宋简体"/>
          <w:sz w:val="44"/>
          <w:szCs w:val="44"/>
        </w:rPr>
        <w:t>民事委托代理合同</w:t>
      </w:r>
    </w:p>
    <w:p w14:paraId="7C496006">
      <w:pPr>
        <w:spacing w:line="460" w:lineRule="exact"/>
        <w:rPr>
          <w:rFonts w:hint="eastAsia" w:ascii="仿宋" w:hAnsi="仿宋" w:eastAsia="仿宋"/>
          <w:b/>
          <w:spacing w:val="2"/>
          <w:sz w:val="24"/>
          <w:szCs w:val="24"/>
        </w:rPr>
      </w:pPr>
    </w:p>
    <w:p w14:paraId="09B65B2E">
      <w:pPr>
        <w:spacing w:line="460" w:lineRule="exact"/>
        <w:ind w:firstLine="648" w:firstLineChars="200"/>
        <w:rPr>
          <w:rFonts w:hint="eastAsia" w:ascii="仿宋_GB2312" w:hAnsi="仿宋" w:eastAsia="仿宋_GB2312"/>
          <w:b/>
          <w:spacing w:val="2"/>
          <w:sz w:val="32"/>
          <w:szCs w:val="32"/>
        </w:rPr>
      </w:pPr>
      <w:r>
        <w:rPr>
          <w:rFonts w:hint="eastAsia" w:ascii="仿宋_GB2312" w:hAnsi="仿宋" w:eastAsia="仿宋_GB2312"/>
          <w:spacing w:val="2"/>
          <w:sz w:val="32"/>
          <w:szCs w:val="32"/>
        </w:rPr>
        <w:t>甲  方：</w:t>
      </w:r>
      <w:r>
        <w:rPr>
          <w:rFonts w:hint="eastAsia" w:ascii="仿宋_GB2312" w:hAnsi="仿宋" w:eastAsia="仿宋_GB2312"/>
          <w:sz w:val="32"/>
          <w:szCs w:val="32"/>
        </w:rPr>
        <w:t>深圳第一亚太物业管理有限公司**分公司</w:t>
      </w:r>
    </w:p>
    <w:p w14:paraId="1B163A3E">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负责人： </w:t>
      </w:r>
    </w:p>
    <w:p w14:paraId="0CF54E7D">
      <w:pPr>
        <w:spacing w:line="460" w:lineRule="exact"/>
        <w:ind w:firstLine="648" w:firstLineChars="200"/>
        <w:rPr>
          <w:rFonts w:hint="eastAsia" w:ascii="仿宋_GB2312" w:hAnsi="仿宋" w:eastAsia="仿宋_GB2312"/>
          <w:sz w:val="32"/>
          <w:szCs w:val="32"/>
        </w:rPr>
      </w:pPr>
      <w:r>
        <w:rPr>
          <w:rFonts w:hint="eastAsia" w:ascii="仿宋_GB2312" w:hAnsi="仿宋" w:eastAsia="仿宋_GB2312"/>
          <w:spacing w:val="2"/>
          <w:sz w:val="32"/>
          <w:szCs w:val="32"/>
        </w:rPr>
        <w:t>地  址：</w:t>
      </w:r>
      <w:r>
        <w:rPr>
          <w:rFonts w:hint="eastAsia" w:ascii="仿宋_GB2312" w:hAnsi="仿宋" w:eastAsia="仿宋_GB2312"/>
          <w:sz w:val="32"/>
          <w:szCs w:val="32"/>
        </w:rPr>
        <w:t xml:space="preserve"> </w:t>
      </w:r>
    </w:p>
    <w:p w14:paraId="33723525">
      <w:pPr>
        <w:spacing w:line="460" w:lineRule="exact"/>
        <w:ind w:firstLine="640" w:firstLineChars="200"/>
        <w:rPr>
          <w:rFonts w:hint="eastAsia" w:ascii="仿宋_GB2312" w:hAnsi="仿宋" w:eastAsia="仿宋_GB2312"/>
          <w:spacing w:val="2"/>
          <w:sz w:val="32"/>
          <w:szCs w:val="32"/>
        </w:rPr>
      </w:pPr>
      <w:r>
        <w:rPr>
          <w:rFonts w:hint="eastAsia" w:ascii="仿宋_GB2312" w:hAnsi="仿宋" w:eastAsia="仿宋_GB2312"/>
          <w:sz w:val="32"/>
          <w:szCs w:val="32"/>
        </w:rPr>
        <w:t>联系人：</w:t>
      </w:r>
    </w:p>
    <w:p w14:paraId="0E135CB4">
      <w:pPr>
        <w:spacing w:line="460" w:lineRule="exact"/>
        <w:ind w:firstLine="648" w:firstLineChars="200"/>
        <w:rPr>
          <w:rFonts w:hint="eastAsia" w:ascii="仿宋" w:hAnsi="仿宋" w:eastAsia="仿宋"/>
          <w:spacing w:val="2"/>
          <w:sz w:val="32"/>
          <w:szCs w:val="32"/>
        </w:rPr>
      </w:pPr>
      <w:r>
        <w:rPr>
          <w:rFonts w:hint="eastAsia" w:ascii="仿宋_GB2312" w:hAnsi="仿宋" w:eastAsia="仿宋_GB2312"/>
          <w:spacing w:val="2"/>
          <w:sz w:val="32"/>
          <w:szCs w:val="32"/>
        </w:rPr>
        <w:t>电  话：</w:t>
      </w:r>
      <w:r>
        <w:rPr>
          <w:rFonts w:hint="eastAsia" w:ascii="仿宋_GB2312" w:hAnsi="仿宋" w:eastAsia="仿宋_GB2312"/>
          <w:spacing w:val="2"/>
          <w:kern w:val="0"/>
          <w:sz w:val="32"/>
          <w:szCs w:val="32"/>
        </w:rPr>
        <w:t xml:space="preserve"> </w:t>
      </w:r>
      <w:r>
        <w:rPr>
          <w:rFonts w:hint="eastAsia" w:ascii="仿宋" w:hAnsi="仿宋" w:eastAsia="仿宋"/>
          <w:spacing w:val="2"/>
          <w:kern w:val="0"/>
          <w:sz w:val="32"/>
          <w:szCs w:val="32"/>
        </w:rPr>
        <w:t xml:space="preserve">   </w:t>
      </w:r>
    </w:p>
    <w:p w14:paraId="37C27CE9">
      <w:pPr>
        <w:spacing w:line="460" w:lineRule="exact"/>
        <w:rPr>
          <w:rFonts w:hint="eastAsia" w:ascii="仿宋" w:hAnsi="仿宋" w:eastAsia="仿宋"/>
          <w:spacing w:val="2"/>
          <w:sz w:val="24"/>
          <w:szCs w:val="24"/>
        </w:rPr>
      </w:pPr>
    </w:p>
    <w:p w14:paraId="74504A56">
      <w:pPr>
        <w:spacing w:line="460" w:lineRule="exact"/>
        <w:ind w:firstLine="648" w:firstLineChars="200"/>
        <w:rPr>
          <w:rFonts w:hint="eastAsia" w:ascii="仿宋_GB2312" w:hAnsi="仿宋" w:eastAsia="仿宋_GB2312"/>
          <w:sz w:val="32"/>
          <w:szCs w:val="32"/>
        </w:rPr>
      </w:pPr>
      <w:r>
        <w:rPr>
          <w:rFonts w:hint="eastAsia" w:ascii="仿宋_GB2312" w:hAnsi="仿宋" w:eastAsia="仿宋_GB2312"/>
          <w:spacing w:val="2"/>
          <w:sz w:val="32"/>
          <w:szCs w:val="32"/>
        </w:rPr>
        <w:t xml:space="preserve">乙  方：**律师事务所         </w:t>
      </w:r>
    </w:p>
    <w:p w14:paraId="450BFB92">
      <w:pPr>
        <w:spacing w:line="4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法定代表人： </w:t>
      </w:r>
    </w:p>
    <w:p w14:paraId="2FBF8A64">
      <w:pPr>
        <w:spacing w:line="4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地  址：</w:t>
      </w:r>
    </w:p>
    <w:p w14:paraId="0E79EF1E">
      <w:pPr>
        <w:spacing w:line="4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联系人： </w:t>
      </w:r>
    </w:p>
    <w:p w14:paraId="4C02496A">
      <w:pPr>
        <w:tabs>
          <w:tab w:val="left" w:pos="6120"/>
          <w:tab w:val="left" w:pos="6840"/>
        </w:tabs>
        <w:spacing w:line="460" w:lineRule="exact"/>
        <w:ind w:firstLine="640" w:firstLineChars="200"/>
        <w:rPr>
          <w:rFonts w:hint="eastAsia" w:ascii="仿宋_GB2312" w:hAnsi="仿宋" w:eastAsia="仿宋_GB2312"/>
          <w:spacing w:val="2"/>
          <w:sz w:val="32"/>
          <w:szCs w:val="32"/>
        </w:rPr>
      </w:pPr>
      <w:r>
        <w:rPr>
          <w:rFonts w:hint="eastAsia" w:ascii="仿宋_GB2312" w:hAnsi="仿宋" w:eastAsia="仿宋_GB2312"/>
          <w:sz w:val="32"/>
          <w:szCs w:val="32"/>
        </w:rPr>
        <w:t>电  话：</w:t>
      </w:r>
    </w:p>
    <w:p w14:paraId="01236D7B">
      <w:pPr>
        <w:spacing w:line="460" w:lineRule="exact"/>
        <w:rPr>
          <w:rFonts w:hint="eastAsia" w:ascii="仿宋_GB2312" w:hAnsi="仿宋" w:eastAsia="仿宋_GB2312"/>
          <w:spacing w:val="2"/>
          <w:sz w:val="32"/>
          <w:szCs w:val="32"/>
        </w:rPr>
      </w:pPr>
      <w:r>
        <w:rPr>
          <w:rFonts w:hint="eastAsia" w:ascii="仿宋" w:hAnsi="仿宋" w:eastAsia="仿宋"/>
          <w:spacing w:val="2"/>
          <w:sz w:val="24"/>
          <w:szCs w:val="24"/>
        </w:rPr>
        <w:t xml:space="preserve">    </w:t>
      </w:r>
      <w:r>
        <w:rPr>
          <w:rFonts w:hint="eastAsia" w:ascii="仿宋_GB2312" w:hAnsi="仿宋" w:eastAsia="仿宋_GB2312"/>
          <w:spacing w:val="2"/>
          <w:sz w:val="32"/>
          <w:szCs w:val="32"/>
        </w:rPr>
        <w:t xml:space="preserve">甲乙双方根据《中华人民共和国民法典》、《中华人民共和国律师法》及其它相关法律、法规的规定, 在平等、自愿、诚实信用的基础上，经双方协商一致, 就甲方委托乙方代理诉讼案件事宜，达成以下合同，以资双方共同遵守： </w:t>
      </w:r>
    </w:p>
    <w:p w14:paraId="3A543725">
      <w:pPr>
        <w:spacing w:line="460" w:lineRule="exact"/>
        <w:ind w:firstLine="648" w:firstLineChars="200"/>
        <w:rPr>
          <w:rFonts w:hint="eastAsia" w:ascii="黑体" w:hAnsi="黑体" w:eastAsia="黑体"/>
          <w:bCs/>
          <w:spacing w:val="2"/>
          <w:sz w:val="32"/>
          <w:szCs w:val="32"/>
        </w:rPr>
      </w:pPr>
      <w:r>
        <w:rPr>
          <w:rFonts w:hint="eastAsia" w:ascii="黑体" w:hAnsi="黑体" w:eastAsia="黑体"/>
          <w:bCs/>
          <w:spacing w:val="2"/>
          <w:sz w:val="32"/>
          <w:szCs w:val="32"/>
        </w:rPr>
        <w:t>第一条  委托代理事项</w:t>
      </w:r>
    </w:p>
    <w:p w14:paraId="292221F6">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1.1甲方聘请乙方律师为甲方的代理人，代理甲方处理有关主体拖欠甲方及甲方关联公司物业费、水电费、专项维修资金（若有）等款项事宜。</w:t>
      </w:r>
    </w:p>
    <w:p w14:paraId="04E6FC49">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1.2乙方接受甲方委托，委派</w:t>
      </w:r>
      <w:r>
        <w:rPr>
          <w:rFonts w:hint="eastAsia" w:ascii="仿宋_GB2312" w:hAnsi="仿宋" w:eastAsia="仿宋_GB2312"/>
          <w:spacing w:val="2"/>
          <w:sz w:val="32"/>
          <w:szCs w:val="32"/>
          <w:u w:val="single"/>
        </w:rPr>
        <w:t xml:space="preserve">         </w:t>
      </w:r>
      <w:r>
        <w:rPr>
          <w:rFonts w:hint="eastAsia" w:ascii="仿宋_GB2312" w:hAnsi="仿宋" w:eastAsia="仿宋_GB2312"/>
          <w:spacing w:val="2"/>
          <w:sz w:val="32"/>
          <w:szCs w:val="32"/>
        </w:rPr>
        <w:t>律师（至少2名律师）为甲方提供一审、二审、执行、反诉等服务直至案件以和解、撤诉、执行终结等方式完结。（具体案件详见甲乙双方签字盖章的《委托代理明细表》）</w:t>
      </w:r>
    </w:p>
    <w:p w14:paraId="46A3269E">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1.3就甲方委托乙方诉讼的案件，乙方应在本合同签订后10个工作日内为甲方提供免费的律师函服务，乙方制定律师函模板，协助盖章并邮寄，邮寄费用由乙方承担。催收对象未在律师函发出之日起三个月内支付甲方所欠费用，甲方应授权乙方按照法定程序进行民事诉讼。</w:t>
      </w:r>
    </w:p>
    <w:p w14:paraId="528CD48E">
      <w:pPr>
        <w:widowControl/>
        <w:spacing w:line="500" w:lineRule="exact"/>
        <w:ind w:right="-149" w:firstLine="640" w:firstLineChars="200"/>
        <w:rPr>
          <w:rFonts w:hint="eastAsia" w:ascii="仿宋_GB2312" w:hAnsi="仿宋" w:eastAsia="仿宋_GB2312"/>
          <w:sz w:val="32"/>
          <w:szCs w:val="32"/>
        </w:rPr>
      </w:pPr>
      <w:r>
        <w:rPr>
          <w:rFonts w:hint="eastAsia" w:ascii="仿宋_GB2312" w:hAnsi="仿宋" w:eastAsia="仿宋_GB2312" w:cs="仿宋_GB2312"/>
          <w:sz w:val="32"/>
          <w:szCs w:val="32"/>
        </w:rPr>
        <w:t>1.4</w:t>
      </w:r>
      <w:r>
        <w:rPr>
          <w:rFonts w:hint="eastAsia" w:ascii="仿宋_GB2312" w:hAnsi="仿宋" w:eastAsia="仿宋_GB2312"/>
          <w:spacing w:val="2"/>
          <w:sz w:val="32"/>
          <w:szCs w:val="32"/>
        </w:rPr>
        <w:t>甲方同意上述律师指派其他律师助理（须持有律师执业证）配合完成辅助工作。</w:t>
      </w:r>
      <w:r>
        <w:rPr>
          <w:rFonts w:hint="eastAsia" w:ascii="仿宋_GB2312" w:hAnsi="仿宋" w:eastAsia="仿宋_GB2312"/>
          <w:sz w:val="32"/>
          <w:szCs w:val="32"/>
        </w:rPr>
        <w:t>合同履行期间，若上述委派律师因故不能履行委托人职责的（包括但不限于停止执业、转换执业机构等），乙方应另行委派其他律师完成委托事项或由双方协商解决处理。</w:t>
      </w:r>
    </w:p>
    <w:p w14:paraId="50633B58">
      <w:pPr>
        <w:widowControl/>
        <w:spacing w:line="500" w:lineRule="exact"/>
        <w:ind w:right="-149" w:firstLine="640" w:firstLineChars="200"/>
        <w:rPr>
          <w:rFonts w:hint="eastAsia" w:ascii="仿宋_GB2312" w:hAnsi="仿宋" w:eastAsia="仿宋_GB2312"/>
          <w:sz w:val="32"/>
          <w:szCs w:val="32"/>
        </w:rPr>
      </w:pPr>
      <w:r>
        <w:rPr>
          <w:rFonts w:hint="eastAsia" w:ascii="仿宋_GB2312" w:hAnsi="仿宋" w:eastAsia="仿宋_GB2312"/>
          <w:sz w:val="32"/>
          <w:szCs w:val="32"/>
        </w:rPr>
        <w:t>1.5乙方应指派1-2名律师助理驻点，专门负责对接所涉当事人信息、债务所涉及的相关证据材料及和解事宜。</w:t>
      </w:r>
    </w:p>
    <w:p w14:paraId="4096F154">
      <w:pPr>
        <w:widowControl/>
        <w:spacing w:line="500" w:lineRule="exact"/>
        <w:ind w:right="-149"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1.6乙方向甲方提供增值服务：除甲方委托乙方诉讼的案件乙方提供免费的律师函服务外，乙方还免费提供</w:t>
      </w:r>
      <w:r>
        <w:rPr>
          <w:rFonts w:hint="eastAsia" w:ascii="仿宋_GB2312" w:hAnsi="仿宋" w:eastAsia="仿宋_GB2312" w:cs="仿宋_GB2312"/>
          <w:sz w:val="32"/>
          <w:szCs w:val="32"/>
          <w:u w:val="single"/>
        </w:rPr>
        <w:t xml:space="preserve">   </w:t>
      </w:r>
      <w:r>
        <w:rPr>
          <w:rFonts w:hint="eastAsia" w:ascii="仿宋_GB2312" w:hAnsi="仿宋" w:eastAsia="仿宋_GB2312" w:cs="仿宋_GB2312"/>
          <w:sz w:val="32"/>
          <w:szCs w:val="32"/>
        </w:rPr>
        <w:t>份律师函服务，该律师函由乙方制定律师函模板，协助盖章，甲方提供欠费基础数据并负责邮寄。</w:t>
      </w:r>
    </w:p>
    <w:p w14:paraId="5F15FF10">
      <w:pPr>
        <w:widowControl/>
        <w:spacing w:line="500" w:lineRule="exact"/>
        <w:ind w:right="-149" w:firstLine="640" w:firstLineChars="200"/>
        <w:rPr>
          <w:rFonts w:hint="eastAsia" w:ascii="仿宋_GB2312" w:hAnsi="仿宋" w:eastAsia="仿宋_GB2312"/>
          <w:spacing w:val="2"/>
          <w:sz w:val="32"/>
          <w:szCs w:val="32"/>
        </w:rPr>
      </w:pPr>
      <w:r>
        <w:rPr>
          <w:rFonts w:hint="eastAsia" w:ascii="仿宋_GB2312" w:hAnsi="仿宋" w:eastAsia="仿宋_GB2312" w:cs="仿宋_GB2312"/>
          <w:sz w:val="32"/>
          <w:szCs w:val="32"/>
        </w:rPr>
        <w:t>1</w:t>
      </w:r>
      <w:r>
        <w:rPr>
          <w:rFonts w:ascii="仿宋_GB2312" w:hAnsi="仿宋" w:eastAsia="仿宋_GB2312" w:cs="仿宋_GB2312"/>
          <w:sz w:val="32"/>
          <w:szCs w:val="32"/>
        </w:rPr>
        <w:t>.7</w:t>
      </w:r>
      <w:r>
        <w:rPr>
          <w:rFonts w:hint="eastAsia" w:ascii="仿宋_GB2312" w:hAnsi="仿宋" w:eastAsia="仿宋_GB2312" w:cs="仿宋_GB2312"/>
          <w:sz w:val="32"/>
          <w:szCs w:val="32"/>
        </w:rPr>
        <w:t>委托期限：   年（不超过2年），从合同生效之日起算。本合同到期后，法院已经立案但未办结的案件，仍适用本合同各项条款直至办结。</w:t>
      </w:r>
    </w:p>
    <w:p w14:paraId="005ABAFC">
      <w:pPr>
        <w:spacing w:line="460" w:lineRule="exact"/>
        <w:ind w:firstLine="648" w:firstLineChars="200"/>
        <w:rPr>
          <w:rFonts w:hint="eastAsia" w:ascii="黑体" w:hAnsi="黑体" w:eastAsia="黑体"/>
          <w:bCs/>
          <w:spacing w:val="2"/>
          <w:sz w:val="32"/>
          <w:szCs w:val="32"/>
        </w:rPr>
      </w:pPr>
      <w:r>
        <w:rPr>
          <w:rFonts w:hint="eastAsia" w:ascii="黑体" w:hAnsi="黑体" w:eastAsia="黑体"/>
          <w:bCs/>
          <w:spacing w:val="2"/>
          <w:sz w:val="32"/>
          <w:szCs w:val="32"/>
        </w:rPr>
        <w:t>第二条  委托代理权限</w:t>
      </w:r>
    </w:p>
    <w:p w14:paraId="2D2C40C1">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甲方授权经办律师的权限：代为发函；代为调查取证；代为沟通、和解谈判；代理案件所涉民事诉讼所有程序；代为申请强制执行等。</w:t>
      </w:r>
      <w:r>
        <w:rPr>
          <w:rFonts w:hint="eastAsia" w:ascii="仿宋_GB2312" w:hAnsi="仿宋" w:eastAsia="仿宋_GB2312"/>
          <w:sz w:val="32"/>
          <w:szCs w:val="32"/>
        </w:rPr>
        <w:t>具体案件的代理权限以甲方出具的《授权委托书》为准。</w:t>
      </w:r>
    </w:p>
    <w:p w14:paraId="07AF391A">
      <w:pPr>
        <w:spacing w:line="460" w:lineRule="exact"/>
        <w:ind w:firstLine="648" w:firstLineChars="200"/>
        <w:rPr>
          <w:rFonts w:hint="eastAsia" w:ascii="黑体" w:hAnsi="黑体" w:eastAsia="黑体"/>
          <w:bCs/>
          <w:spacing w:val="2"/>
          <w:sz w:val="32"/>
          <w:szCs w:val="32"/>
        </w:rPr>
      </w:pPr>
      <w:r>
        <w:rPr>
          <w:rFonts w:hint="eastAsia" w:ascii="黑体" w:hAnsi="黑体" w:eastAsia="黑体"/>
          <w:bCs/>
          <w:spacing w:val="2"/>
          <w:sz w:val="32"/>
          <w:szCs w:val="32"/>
        </w:rPr>
        <w:t>第三条  乙方的义务</w:t>
      </w:r>
    </w:p>
    <w:p w14:paraId="66577C7D">
      <w:pPr>
        <w:spacing w:line="460" w:lineRule="exact"/>
        <w:rPr>
          <w:rFonts w:hint="eastAsia" w:ascii="仿宋_GB2312" w:hAnsi="仿宋" w:eastAsia="仿宋_GB2312"/>
          <w:spacing w:val="2"/>
          <w:sz w:val="32"/>
          <w:szCs w:val="32"/>
        </w:rPr>
      </w:pPr>
      <w:r>
        <w:rPr>
          <w:rFonts w:hint="eastAsia" w:ascii="仿宋" w:hAnsi="仿宋" w:eastAsia="仿宋"/>
          <w:spacing w:val="2"/>
          <w:sz w:val="24"/>
          <w:szCs w:val="24"/>
        </w:rPr>
        <w:t xml:space="preserve">    </w:t>
      </w:r>
      <w:r>
        <w:rPr>
          <w:rFonts w:ascii="仿宋" w:hAnsi="仿宋" w:eastAsia="仿宋"/>
          <w:spacing w:val="2"/>
          <w:sz w:val="24"/>
          <w:szCs w:val="24"/>
        </w:rPr>
        <w:t xml:space="preserve"> </w:t>
      </w:r>
      <w:r>
        <w:rPr>
          <w:rFonts w:hint="eastAsia" w:ascii="仿宋_GB2312" w:hAnsi="仿宋" w:eastAsia="仿宋_GB2312"/>
          <w:spacing w:val="2"/>
          <w:sz w:val="32"/>
          <w:szCs w:val="32"/>
        </w:rPr>
        <w:t>3.1乙方律师应当充分运用自己的专业知识和技能，尽心尽职地根据法律、法规的规定完成本合同约定的委托事项，最大限度地维护委托人的合法权益。</w:t>
      </w:r>
    </w:p>
    <w:p w14:paraId="6ABC691C">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3.2乙方律师应当遵循诚实守信的原则，依据法律、法规的规定做出专业判断，客观地告知甲方所委托事项可能出现的法律风险。</w:t>
      </w:r>
    </w:p>
    <w:p w14:paraId="7CDBC698">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3.3乙方律师应当根据法律规定的时限、时效以及审理机关的要求，及时提交证据，按时出庭，及时办理受委托的事务。</w:t>
      </w:r>
    </w:p>
    <w:p w14:paraId="6E1B7B4F">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3.4乙方律师应当及时告知委托人有关代理工作的情况，对委托人了解委托事项情况的正当要求，尽快给予答复。</w:t>
      </w:r>
    </w:p>
    <w:p w14:paraId="295331A6">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3.5乙方在代理甲方案件期间，在涉及甲方的对抗性案件中，不得委派律师同时担任与甲方具有利益冲突的另一方的委托代理人。</w:t>
      </w:r>
    </w:p>
    <w:p w14:paraId="7BAEB381">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3.6乙方律师对其获知的甲方商业秘密负有保密责任，非由法律规定或者甲方同意，不得向任何第三方披露。</w:t>
      </w:r>
    </w:p>
    <w:p w14:paraId="02702088">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3.7乙方对甲方业务应当单独建档，对涉及甲方的原始证据、法律文件和财物应当妥善保管，设立交接记录。档案保存时间根据律师业务档案管理规定执行。</w:t>
      </w:r>
    </w:p>
    <w:p w14:paraId="287B37AE">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3.8乙方同意并保证，一旦出现甲方认为乙方指派律师在服务过程中不负责任或不适合办理甲方委托的法律事务时，乙方在收到甲方正式投诉及核实后三个工作日内向甲方另行推荐候选律师，经甲方确认后，立即另行指派律师予以接替，以完成本合同约定的法律服务。</w:t>
      </w:r>
    </w:p>
    <w:p w14:paraId="76C296A9">
      <w:pPr>
        <w:spacing w:line="460" w:lineRule="exact"/>
        <w:ind w:firstLine="648" w:firstLineChars="200"/>
        <w:rPr>
          <w:rFonts w:hint="eastAsia" w:ascii="黑体" w:hAnsi="黑体" w:eastAsia="黑体"/>
          <w:bCs/>
          <w:spacing w:val="2"/>
          <w:sz w:val="32"/>
          <w:szCs w:val="32"/>
        </w:rPr>
      </w:pPr>
      <w:r>
        <w:rPr>
          <w:rFonts w:hint="eastAsia" w:ascii="黑体" w:hAnsi="黑体" w:eastAsia="黑体"/>
          <w:bCs/>
          <w:spacing w:val="2"/>
          <w:sz w:val="32"/>
          <w:szCs w:val="32"/>
        </w:rPr>
        <w:t>第四条  甲方的义务</w:t>
      </w:r>
    </w:p>
    <w:p w14:paraId="6ECAF71B">
      <w:pPr>
        <w:spacing w:line="460" w:lineRule="exact"/>
        <w:rPr>
          <w:rFonts w:hint="eastAsia" w:ascii="仿宋_GB2312" w:hAnsi="仿宋" w:eastAsia="仿宋_GB2312"/>
          <w:spacing w:val="2"/>
          <w:sz w:val="32"/>
          <w:szCs w:val="32"/>
        </w:rPr>
      </w:pPr>
      <w:r>
        <w:rPr>
          <w:rFonts w:hint="eastAsia" w:ascii="仿宋" w:hAnsi="仿宋" w:eastAsia="仿宋"/>
          <w:spacing w:val="2"/>
          <w:sz w:val="24"/>
          <w:szCs w:val="24"/>
        </w:rPr>
        <w:t xml:space="preserve">    </w:t>
      </w:r>
      <w:r>
        <w:rPr>
          <w:rFonts w:ascii="仿宋" w:hAnsi="仿宋" w:eastAsia="仿宋"/>
          <w:spacing w:val="2"/>
          <w:sz w:val="24"/>
          <w:szCs w:val="24"/>
        </w:rPr>
        <w:t xml:space="preserve"> </w:t>
      </w:r>
      <w:r>
        <w:rPr>
          <w:rFonts w:hint="eastAsia" w:ascii="仿宋_GB2312" w:hAnsi="仿宋" w:eastAsia="仿宋_GB2312"/>
          <w:spacing w:val="2"/>
          <w:sz w:val="32"/>
          <w:szCs w:val="32"/>
        </w:rPr>
        <w:t>4.1甲方应当真实、详尽和及时地向乙方律师叙述案情，提供与委托代理事项有关的全部证据、文件及其它事实材料，并对证据材料的真实性、合法性负责。若甲方隐瞒证据、伪造证据，因此出现的一切后果由甲方自行承担。</w:t>
      </w:r>
    </w:p>
    <w:p w14:paraId="35B320D2">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4.2甲方的要求应当明确、合理、合法，并且应当积极、主动地配合乙方律师的工作。</w:t>
      </w:r>
    </w:p>
    <w:p w14:paraId="37A97F40">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4.3甲方应当按本合同规定的时间和金额向乙方支付律师代理费。</w:t>
      </w:r>
    </w:p>
    <w:p w14:paraId="3A6AA19D">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4.4甲方指定</w:t>
      </w:r>
      <w:r>
        <w:rPr>
          <w:rFonts w:hint="eastAsia" w:ascii="仿宋_GB2312" w:hAnsi="仿宋" w:eastAsia="仿宋_GB2312"/>
          <w:spacing w:val="2"/>
          <w:sz w:val="32"/>
          <w:szCs w:val="32"/>
          <w:u w:val="single"/>
        </w:rPr>
        <w:t xml:space="preserve">        </w:t>
      </w:r>
      <w:r>
        <w:rPr>
          <w:rFonts w:hint="eastAsia" w:ascii="仿宋_GB2312" w:hAnsi="仿宋" w:eastAsia="仿宋_GB2312"/>
          <w:spacing w:val="2"/>
          <w:sz w:val="32"/>
          <w:szCs w:val="32"/>
        </w:rPr>
        <w:t>为联系人，负责转达甲方的指示和要求，提供文件和资料等，甲方更换联系人应当及时通知委托代理人。</w:t>
      </w:r>
    </w:p>
    <w:p w14:paraId="69C07AB7">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4.5乙方尊重甲方对委托代理事项做出独立判断和决策。但甲方未按乙方律师提供的法律意见、建议、方案所做出的决定而导致的损失，由甲方自行承担。</w:t>
      </w:r>
    </w:p>
    <w:p w14:paraId="644BCED0">
      <w:pPr>
        <w:spacing w:line="460" w:lineRule="exact"/>
        <w:rPr>
          <w:rFonts w:hint="eastAsia" w:ascii="黑体" w:hAnsi="黑体" w:eastAsia="黑体"/>
          <w:bCs/>
          <w:spacing w:val="2"/>
          <w:sz w:val="32"/>
          <w:szCs w:val="32"/>
        </w:rPr>
      </w:pPr>
      <w:r>
        <w:rPr>
          <w:rFonts w:hint="eastAsia" w:ascii="仿宋" w:hAnsi="仿宋" w:eastAsia="仿宋"/>
          <w:spacing w:val="2"/>
          <w:sz w:val="24"/>
          <w:szCs w:val="24"/>
        </w:rPr>
        <w:t xml:space="preserve">   </w:t>
      </w:r>
      <w:r>
        <w:rPr>
          <w:rFonts w:hint="eastAsia" w:ascii="仿宋" w:hAnsi="仿宋" w:eastAsia="仿宋"/>
          <w:b/>
          <w:bCs/>
          <w:spacing w:val="2"/>
          <w:sz w:val="24"/>
          <w:szCs w:val="24"/>
        </w:rPr>
        <w:t xml:space="preserve"> </w:t>
      </w:r>
      <w:r>
        <w:rPr>
          <w:rFonts w:hint="eastAsia" w:ascii="黑体" w:hAnsi="黑体" w:eastAsia="黑体"/>
          <w:bCs/>
          <w:spacing w:val="2"/>
          <w:sz w:val="32"/>
          <w:szCs w:val="32"/>
        </w:rPr>
        <w:t>第五条  律师代理费及支付方式</w:t>
      </w:r>
    </w:p>
    <w:p w14:paraId="10801DFD">
      <w:pPr>
        <w:widowControl/>
        <w:spacing w:line="500" w:lineRule="exact"/>
        <w:ind w:right="-149" w:firstLine="648" w:firstLineChars="200"/>
        <w:rPr>
          <w:rFonts w:hint="eastAsia" w:ascii="仿宋_GB2312" w:hAnsi="仿宋" w:eastAsia="仿宋_GB2312"/>
          <w:sz w:val="32"/>
          <w:szCs w:val="32"/>
        </w:rPr>
      </w:pPr>
      <w:r>
        <w:rPr>
          <w:rFonts w:hint="eastAsia" w:ascii="仿宋_GB2312" w:hAnsi="仿宋" w:eastAsia="仿宋_GB2312"/>
          <w:spacing w:val="2"/>
          <w:sz w:val="32"/>
          <w:szCs w:val="32"/>
        </w:rPr>
        <w:t>5.1本合同律师代理费采取全风险代理模式，乙方按实际回款金额的</w:t>
      </w:r>
      <w:r>
        <w:rPr>
          <w:rFonts w:hint="eastAsia" w:ascii="仿宋_GB2312" w:hAnsi="仿宋" w:eastAsia="仿宋_GB2312"/>
          <w:spacing w:val="2"/>
          <w:sz w:val="32"/>
          <w:szCs w:val="32"/>
          <w:u w:val="single"/>
        </w:rPr>
        <w:t xml:space="preserve">     </w:t>
      </w:r>
      <w:r>
        <w:rPr>
          <w:rFonts w:hint="eastAsia" w:ascii="仿宋_GB2312" w:hAnsi="仿宋" w:eastAsia="仿宋_GB2312"/>
          <w:spacing w:val="2"/>
          <w:sz w:val="32"/>
          <w:szCs w:val="32"/>
        </w:rPr>
        <w:t>%（包含判决/调解/和解方式结案）收取。每月结算一次已结案案件（结案包含：生效判决、缴纳一审诉讼费后的调解/和解/撤诉）实际已回款的风险代理费用。</w:t>
      </w:r>
    </w:p>
    <w:p w14:paraId="3B29E631">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5.</w:t>
      </w:r>
      <w:r>
        <w:rPr>
          <w:rFonts w:ascii="仿宋_GB2312" w:hAnsi="仿宋" w:eastAsia="仿宋_GB2312"/>
          <w:spacing w:val="2"/>
          <w:sz w:val="32"/>
          <w:szCs w:val="32"/>
        </w:rPr>
        <w:t>2</w:t>
      </w:r>
      <w:r>
        <w:rPr>
          <w:rFonts w:hint="eastAsia" w:ascii="仿宋_GB2312" w:hAnsi="仿宋" w:eastAsia="仿宋_GB2312"/>
          <w:spacing w:val="2"/>
          <w:sz w:val="32"/>
          <w:szCs w:val="32"/>
        </w:rPr>
        <w:t>实际回款金额包含物业费本金及违约金、专项维修资金（如有）部分，不包含律师代理费、诉讼费、保全费、鉴定费、预交费用等诉讼成本支出。</w:t>
      </w:r>
    </w:p>
    <w:p w14:paraId="370C28EF">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5.</w:t>
      </w:r>
      <w:r>
        <w:rPr>
          <w:rFonts w:ascii="仿宋_GB2312" w:hAnsi="仿宋" w:eastAsia="仿宋_GB2312"/>
          <w:spacing w:val="2"/>
          <w:sz w:val="32"/>
          <w:szCs w:val="32"/>
        </w:rPr>
        <w:t>3</w:t>
      </w:r>
      <w:r>
        <w:rPr>
          <w:rFonts w:hint="eastAsia" w:ascii="仿宋_GB2312" w:hAnsi="仿宋" w:eastAsia="仿宋_GB2312"/>
          <w:spacing w:val="2"/>
          <w:sz w:val="32"/>
          <w:szCs w:val="32"/>
        </w:rPr>
        <w:t>律师代理费的结算金额以甲乙双方书面确认的结算明细为准，</w:t>
      </w:r>
      <w:r>
        <w:rPr>
          <w:rFonts w:hint="eastAsia" w:ascii="仿宋_GB2312" w:hAnsi="仿宋" w:eastAsia="仿宋_GB2312"/>
          <w:color w:val="000000"/>
          <w:spacing w:val="2"/>
          <w:sz w:val="32"/>
          <w:szCs w:val="32"/>
        </w:rPr>
        <w:t>每月结算一次，</w:t>
      </w:r>
      <w:r>
        <w:rPr>
          <w:rFonts w:hint="eastAsia" w:ascii="仿宋_GB2312" w:hAnsi="仿宋" w:eastAsia="仿宋_GB2312"/>
          <w:spacing w:val="2"/>
          <w:sz w:val="32"/>
          <w:szCs w:val="32"/>
        </w:rPr>
        <w:t>每月结算案件量不得低于10起，否则推迟到下月结算，直至案件量高于10起（含本数），但本合同项下最后一次律师代理费结算不做案件量的限制。经甲乙双方对律师代理费结算明细确认无误，甲方收到乙方提供的足额合法的增值税专用发票（税率为6%）后20个工作日内向乙方付款。</w:t>
      </w:r>
    </w:p>
    <w:p w14:paraId="00A3E9D3">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5.</w:t>
      </w:r>
      <w:r>
        <w:rPr>
          <w:rFonts w:ascii="仿宋_GB2312" w:hAnsi="仿宋" w:eastAsia="仿宋_GB2312"/>
          <w:spacing w:val="2"/>
          <w:sz w:val="32"/>
          <w:szCs w:val="32"/>
        </w:rPr>
        <w:t>4</w:t>
      </w:r>
      <w:r>
        <w:rPr>
          <w:rFonts w:hint="eastAsia" w:ascii="仿宋_GB2312" w:hAnsi="仿宋" w:eastAsia="仿宋_GB2312"/>
          <w:spacing w:val="2"/>
          <w:sz w:val="32"/>
          <w:szCs w:val="32"/>
        </w:rPr>
        <w:t>开具发票的税费、交通费、材料复印费等由乙方自行承担。诉讼费、保全费等案件相关费用由甲方承担。</w:t>
      </w:r>
    </w:p>
    <w:p w14:paraId="7A165783">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5.</w:t>
      </w:r>
      <w:r>
        <w:rPr>
          <w:rFonts w:ascii="仿宋_GB2312" w:hAnsi="仿宋" w:eastAsia="仿宋_GB2312"/>
          <w:spacing w:val="2"/>
          <w:sz w:val="32"/>
          <w:szCs w:val="32"/>
        </w:rPr>
        <w:t>5</w:t>
      </w:r>
      <w:r>
        <w:rPr>
          <w:rFonts w:hint="eastAsia" w:ascii="仿宋_GB2312" w:hAnsi="仿宋" w:eastAsia="仿宋_GB2312"/>
          <w:spacing w:val="2"/>
          <w:sz w:val="32"/>
          <w:szCs w:val="32"/>
        </w:rPr>
        <w:t>乙方收款账户信息：</w:t>
      </w:r>
    </w:p>
    <w:p w14:paraId="0C82F0C7">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户  名： </w:t>
      </w:r>
    </w:p>
    <w:p w14:paraId="1EC6AD1D">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开户行： </w:t>
      </w:r>
    </w:p>
    <w:p w14:paraId="5AB91A1C">
      <w:pPr>
        <w:widowControl/>
        <w:spacing w:line="500" w:lineRule="exact"/>
        <w:ind w:right="-149"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账  号：  </w:t>
      </w:r>
    </w:p>
    <w:p w14:paraId="137598D1">
      <w:pPr>
        <w:spacing w:line="460" w:lineRule="exact"/>
        <w:ind w:firstLine="648" w:firstLineChars="200"/>
        <w:rPr>
          <w:rFonts w:hint="eastAsia" w:ascii="黑体" w:hAnsi="黑体" w:eastAsia="黑体"/>
          <w:spacing w:val="2"/>
          <w:sz w:val="32"/>
          <w:szCs w:val="32"/>
        </w:rPr>
      </w:pPr>
      <w:r>
        <w:rPr>
          <w:rFonts w:hint="eastAsia" w:ascii="黑体" w:hAnsi="黑体" w:eastAsia="黑体"/>
          <w:spacing w:val="2"/>
          <w:sz w:val="32"/>
          <w:szCs w:val="32"/>
        </w:rPr>
        <w:t>第六条</w:t>
      </w:r>
      <w:r>
        <w:rPr>
          <w:rFonts w:hint="eastAsia" w:ascii="黑体" w:hAnsi="黑体" w:eastAsia="黑体"/>
          <w:spacing w:val="2"/>
          <w:sz w:val="32"/>
          <w:szCs w:val="32"/>
        </w:rPr>
        <w:tab/>
      </w:r>
      <w:r>
        <w:rPr>
          <w:rFonts w:hint="eastAsia" w:ascii="黑体" w:hAnsi="黑体" w:eastAsia="黑体"/>
          <w:spacing w:val="2"/>
          <w:sz w:val="32"/>
          <w:szCs w:val="32"/>
        </w:rPr>
        <w:t xml:space="preserve"> 反商业贿赂</w:t>
      </w:r>
    </w:p>
    <w:p w14:paraId="61303ACC">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6.1基本定义 </w:t>
      </w:r>
    </w:p>
    <w:p w14:paraId="268A2CE2">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6.1.1 本条（合同）所指的商业贿赂是指：乙方为获取与甲方（含甲方关联公司及机构，下文中“甲方”均指此范围）的合作及合作的利益，乙方或乙方工作人员给予甲方工作人员或其指定关系人的一切直接或间接的不正当利益。</w:t>
      </w:r>
    </w:p>
    <w:p w14:paraId="5AB8081D">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6.1.2 其中不正当利益是指：乙方或乙方工作人员以乙方或个人名义向甲方工作人员或其指定关系人直接或间接赠送礼金、物品、有价证券或采取其他变相手段提供不正当利益，包括但不限于：1）促销费、宣传费、赞助费、科研费、劳务费、咨询费、佣金或报销各种费用、含有金额的会员卡、代币卡（券</w:t>
      </w:r>
      <w:r>
        <w:rPr>
          <w:rFonts w:hint="eastAsia" w:ascii="仿宋_GB2312" w:hAnsi="仿宋_GB2312" w:eastAsia="仿宋_GB2312" w:cs="仿宋_GB2312"/>
          <w:spacing w:val="2"/>
          <w:sz w:val="32"/>
          <w:szCs w:val="32"/>
        </w:rPr>
        <w:t>）、旅游、考察、房屋装修等；</w:t>
      </w:r>
      <w:r>
        <w:rPr>
          <w:rFonts w:hint="eastAsia" w:ascii="仿宋_GB2312" w:hAnsi="仿宋" w:eastAsia="仿宋_GB2312"/>
          <w:spacing w:val="2"/>
          <w:sz w:val="32"/>
          <w:szCs w:val="32"/>
        </w:rPr>
        <w:t>2)借款、融资担保、商品赊销、回扣、购物折扣、置业、礼品（如纪念品、节日礼品等）、馈赠、娱乐、招待等；3）提供或介绍就业、就学、参股或参与经营机会等；4）通过分包、转包等形式对甲方工作人员或其指定关系人进行利益输送。</w:t>
      </w:r>
    </w:p>
    <w:p w14:paraId="06B5D6AC">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6.2协助义务与违约责任</w:t>
      </w:r>
    </w:p>
    <w:p w14:paraId="262E89A0">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6.2.1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向深圳第一亚太物业管理有限公司进行投诉举报，监督电话:</w:t>
      </w:r>
    </w:p>
    <w:p w14:paraId="40BC921C">
      <w:pPr>
        <w:spacing w:line="460" w:lineRule="exact"/>
        <w:rPr>
          <w:rFonts w:ascii="仿宋_GB2312" w:hAnsi="仿宋" w:eastAsia="仿宋_GB2312"/>
          <w:spacing w:val="2"/>
          <w:sz w:val="32"/>
          <w:szCs w:val="32"/>
        </w:rPr>
      </w:pPr>
      <w:r>
        <w:rPr>
          <w:rFonts w:hint="eastAsia" w:ascii="仿宋_GB2312" w:hAnsi="仿宋" w:eastAsia="仿宋_GB2312"/>
          <w:spacing w:val="2"/>
          <w:sz w:val="32"/>
          <w:szCs w:val="32"/>
        </w:rPr>
        <w:t>4007891668;监督邮箱:ytzbzhglb@csc</w:t>
      </w:r>
      <w:r>
        <w:rPr>
          <w:rFonts w:ascii="仿宋_GB2312" w:hAnsi="仿宋" w:eastAsia="仿宋_GB2312"/>
          <w:spacing w:val="2"/>
          <w:sz w:val="32"/>
          <w:szCs w:val="32"/>
        </w:rPr>
        <w:t>sz.com。</w:t>
      </w:r>
    </w:p>
    <w:p w14:paraId="6CBF5620">
      <w:pPr>
        <w:spacing w:line="460" w:lineRule="exact"/>
        <w:rPr>
          <w:rFonts w:hint="eastAsia" w:ascii="仿宋_GB2312" w:hAnsi="仿宋" w:eastAsia="仿宋_GB2312"/>
          <w:spacing w:val="2"/>
          <w:sz w:val="32"/>
          <w:szCs w:val="32"/>
        </w:rPr>
      </w:pPr>
      <w:r>
        <w:rPr>
          <w:rFonts w:ascii="仿宋_GB2312" w:hAnsi="仿宋" w:eastAsia="仿宋_GB2312"/>
          <w:spacing w:val="2"/>
          <w:sz w:val="32"/>
          <w:szCs w:val="32"/>
        </w:rPr>
        <w:t xml:space="preserve">    </w:t>
      </w:r>
      <w:r>
        <w:rPr>
          <w:rFonts w:hint="eastAsia" w:ascii="仿宋_GB2312" w:hAnsi="仿宋" w:eastAsia="仿宋_GB2312"/>
          <w:spacing w:val="2"/>
          <w:sz w:val="32"/>
          <w:szCs w:val="32"/>
        </w:rPr>
        <w:t>6.2.2乙方理解并同意，如违反约定向甲方工作人员或其指定关系人提供商业贿赂的，将构成乙方根本违约，无论是否造成损害结果，甲方有权采取下列一项或多项措施：1）解除双方签订的合同，终止合作；2）冻结应付款项、履约保证金等直至甲方相关案件调查结束，且无需承担任何违约责任；3）要求乙方向甲方支付10万元违约金或者支付所涉合同金额的20%作为违约金，以两者中较高者为准。同时，乙方应于甲方发现违约行为之日起5个工作日内支付违约金，如未及时支付，甲方有权从合同款项中直接扣除。</w:t>
      </w:r>
    </w:p>
    <w:p w14:paraId="5D68B8C8">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6.2.3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60463BCE">
      <w:pPr>
        <w:spacing w:line="460" w:lineRule="exact"/>
        <w:ind w:firstLine="648" w:firstLineChars="200"/>
        <w:rPr>
          <w:rFonts w:hint="eastAsia" w:ascii="黑体" w:hAnsi="黑体" w:eastAsia="黑体"/>
          <w:bCs/>
          <w:sz w:val="32"/>
          <w:szCs w:val="32"/>
        </w:rPr>
      </w:pPr>
      <w:r>
        <w:rPr>
          <w:rFonts w:hint="eastAsia" w:ascii="黑体" w:hAnsi="黑体" w:eastAsia="黑体"/>
          <w:spacing w:val="2"/>
          <w:sz w:val="32"/>
          <w:szCs w:val="32"/>
        </w:rPr>
        <w:t xml:space="preserve">第七条 </w:t>
      </w:r>
      <w:r>
        <w:rPr>
          <w:rFonts w:hint="eastAsia" w:ascii="黑体" w:hAnsi="黑体" w:eastAsia="黑体"/>
          <w:bCs/>
          <w:spacing w:val="2"/>
          <w:sz w:val="32"/>
          <w:szCs w:val="32"/>
        </w:rPr>
        <w:t xml:space="preserve"> 合同的变更和解除</w:t>
      </w:r>
    </w:p>
    <w:p w14:paraId="049156D2">
      <w:pPr>
        <w:spacing w:line="460" w:lineRule="exact"/>
        <w:rPr>
          <w:rFonts w:hint="eastAsia" w:ascii="仿宋_GB2312" w:hAnsi="仿宋" w:eastAsia="仿宋_GB2312"/>
          <w:spacing w:val="2"/>
          <w:sz w:val="32"/>
          <w:szCs w:val="32"/>
        </w:rPr>
      </w:pPr>
      <w:r>
        <w:rPr>
          <w:rFonts w:hint="eastAsia" w:ascii="仿宋" w:hAnsi="仿宋" w:eastAsia="仿宋"/>
          <w:spacing w:val="2"/>
          <w:sz w:val="24"/>
          <w:szCs w:val="24"/>
        </w:rPr>
        <w:t xml:space="preserve">   </w:t>
      </w:r>
      <w:r>
        <w:rPr>
          <w:rFonts w:hint="eastAsia" w:ascii="仿宋_GB2312" w:hAnsi="仿宋" w:eastAsia="仿宋_GB2312"/>
          <w:spacing w:val="2"/>
          <w:sz w:val="32"/>
          <w:szCs w:val="32"/>
        </w:rPr>
        <w:t xml:space="preserve"> </w:t>
      </w:r>
      <w:r>
        <w:rPr>
          <w:rFonts w:ascii="仿宋_GB2312" w:hAnsi="仿宋" w:eastAsia="仿宋_GB2312"/>
          <w:spacing w:val="2"/>
          <w:sz w:val="32"/>
          <w:szCs w:val="32"/>
        </w:rPr>
        <w:t xml:space="preserve"> </w:t>
      </w:r>
      <w:r>
        <w:rPr>
          <w:rFonts w:hint="eastAsia" w:ascii="仿宋_GB2312" w:hAnsi="仿宋" w:eastAsia="仿宋_GB2312"/>
          <w:spacing w:val="2"/>
          <w:sz w:val="32"/>
          <w:szCs w:val="32"/>
        </w:rPr>
        <w:t>7.1甲乙双方经协商同意，可以变更或者解除本合同。</w:t>
      </w:r>
    </w:p>
    <w:p w14:paraId="3B5F3AE2">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7.2乙方有下列情形之一的，甲方有权以书面通知的方式单方面解除合同：</w:t>
      </w:r>
    </w:p>
    <w:p w14:paraId="0B26579B">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7.2.1未经甲方同意，擅自更换代理律师的；</w:t>
      </w:r>
    </w:p>
    <w:p w14:paraId="4A099FA8">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7.2.2因乙方律师工作延误、失职导致甲方蒙受损失的；</w:t>
      </w:r>
    </w:p>
    <w:p w14:paraId="45DC251F">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7.2.3违反本合同3.5至3.</w:t>
      </w:r>
      <w:r>
        <w:rPr>
          <w:rFonts w:ascii="仿宋_GB2312" w:hAnsi="仿宋" w:eastAsia="仿宋_GB2312"/>
          <w:spacing w:val="2"/>
          <w:sz w:val="32"/>
          <w:szCs w:val="32"/>
        </w:rPr>
        <w:t>8</w:t>
      </w:r>
      <w:r>
        <w:rPr>
          <w:rFonts w:hint="eastAsia" w:ascii="仿宋_GB2312" w:hAnsi="仿宋" w:eastAsia="仿宋_GB2312"/>
          <w:spacing w:val="2"/>
          <w:sz w:val="32"/>
          <w:szCs w:val="32"/>
        </w:rPr>
        <w:t>条规定的义务之一的。</w:t>
      </w:r>
    </w:p>
    <w:p w14:paraId="59B938DA">
      <w:pPr>
        <w:spacing w:line="460" w:lineRule="exact"/>
        <w:ind w:firstLine="656"/>
        <w:rPr>
          <w:rFonts w:hint="eastAsia" w:ascii="仿宋_GB2312" w:hAnsi="仿宋" w:eastAsia="仿宋_GB2312"/>
          <w:spacing w:val="2"/>
          <w:sz w:val="32"/>
          <w:szCs w:val="32"/>
        </w:rPr>
      </w:pPr>
      <w:r>
        <w:rPr>
          <w:rFonts w:hint="eastAsia" w:ascii="仿宋_GB2312" w:hAnsi="仿宋" w:eastAsia="仿宋_GB2312"/>
          <w:spacing w:val="2"/>
          <w:sz w:val="32"/>
          <w:szCs w:val="32"/>
        </w:rPr>
        <w:t>7.3甲方有捏造事实、伪造证据或者隐瞒重要情节等情形的，乙方有权以书面通知的方式单方面解除合同。</w:t>
      </w:r>
    </w:p>
    <w:p w14:paraId="5B02A0B9">
      <w:pPr>
        <w:spacing w:line="460" w:lineRule="exact"/>
        <w:ind w:firstLine="656"/>
        <w:rPr>
          <w:rFonts w:hint="eastAsia" w:ascii="仿宋_GB2312" w:hAnsi="仿宋" w:eastAsia="仿宋_GB2312"/>
          <w:spacing w:val="2"/>
          <w:sz w:val="32"/>
          <w:szCs w:val="32"/>
        </w:rPr>
      </w:pPr>
      <w:r>
        <w:rPr>
          <w:rFonts w:hint="eastAsia" w:ascii="仿宋_GB2312" w:hAnsi="仿宋" w:eastAsia="仿宋_GB2312"/>
          <w:spacing w:val="2"/>
          <w:sz w:val="32"/>
          <w:szCs w:val="32"/>
        </w:rPr>
        <w:t>7.4本合同签订之日起8个月内，乙方就案件未能完成法院正式立案手续（以法院出具立案受理通知书为准）的案件数量达到30%以上的（含本数），甲方有权单方解除本合同。对于法院已经立案但未办结的案件，仍适用本合同各项条款直至办结。</w:t>
      </w:r>
    </w:p>
    <w:p w14:paraId="203C163F">
      <w:pPr>
        <w:spacing w:line="460" w:lineRule="exact"/>
        <w:rPr>
          <w:rFonts w:hint="eastAsia" w:ascii="黑体" w:hAnsi="黑体" w:eastAsia="黑体"/>
          <w:bCs/>
          <w:spacing w:val="2"/>
          <w:sz w:val="32"/>
          <w:szCs w:val="32"/>
        </w:rPr>
      </w:pPr>
      <w:r>
        <w:rPr>
          <w:rFonts w:hint="eastAsia" w:ascii="仿宋_GB2312" w:hAnsi="仿宋" w:eastAsia="仿宋_GB2312"/>
          <w:spacing w:val="2"/>
          <w:sz w:val="32"/>
          <w:szCs w:val="32"/>
        </w:rPr>
        <w:t xml:space="preserve">  </w:t>
      </w:r>
      <w:r>
        <w:rPr>
          <w:rFonts w:hint="eastAsia" w:ascii="仿宋" w:hAnsi="仿宋" w:eastAsia="仿宋"/>
          <w:b/>
          <w:bCs/>
          <w:spacing w:val="2"/>
          <w:sz w:val="24"/>
          <w:szCs w:val="24"/>
        </w:rPr>
        <w:t xml:space="preserve"> </w:t>
      </w:r>
      <w:r>
        <w:rPr>
          <w:rFonts w:hint="eastAsia" w:ascii="黑体" w:hAnsi="黑体" w:eastAsia="黑体"/>
          <w:bCs/>
          <w:spacing w:val="2"/>
          <w:sz w:val="32"/>
          <w:szCs w:val="32"/>
        </w:rPr>
        <w:t>第八条  违约责任</w:t>
      </w:r>
    </w:p>
    <w:p w14:paraId="56419044">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8.</w:t>
      </w:r>
      <w:r>
        <w:rPr>
          <w:rFonts w:ascii="仿宋_GB2312" w:hAnsi="仿宋" w:eastAsia="仿宋_GB2312"/>
          <w:spacing w:val="2"/>
          <w:sz w:val="32"/>
          <w:szCs w:val="32"/>
        </w:rPr>
        <w:t>1</w:t>
      </w:r>
      <w:r>
        <w:rPr>
          <w:rFonts w:hint="eastAsia" w:ascii="仿宋_GB2312" w:hAnsi="仿宋" w:eastAsia="仿宋_GB2312"/>
          <w:spacing w:val="2"/>
          <w:sz w:val="32"/>
          <w:szCs w:val="32"/>
        </w:rPr>
        <w:t>乙方无正当理由不提供本合同第一条、第二条规定的法律服务或者违反本合同第三条规定的义务，甲方有权要求乙方退还已付的律师代理费。但甲方不得以如下理由要求乙方退费：</w:t>
      </w:r>
    </w:p>
    <w:p w14:paraId="74A0707E">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8.2.1 甲方就同一案件又单方面委托其他律师事务所的律师代理的；</w:t>
      </w:r>
    </w:p>
    <w:p w14:paraId="19DB704B">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8.2.2乙方接受委托后，甲方以乙方收费过高为由要求退费的；</w:t>
      </w:r>
    </w:p>
    <w:p w14:paraId="417BB165">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8.2.3其他非因乙方或者乙方律师的原因，甲方不合理的单方解除合同的。</w:t>
      </w:r>
    </w:p>
    <w:p w14:paraId="07A9AAC9">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    8.3乙方律师因工作延误、失职或者违反本合同第</w:t>
      </w:r>
      <w:r>
        <w:rPr>
          <w:rFonts w:ascii="仿宋_GB2312" w:hAnsi="仿宋" w:eastAsia="仿宋_GB2312"/>
          <w:spacing w:val="2"/>
          <w:sz w:val="32"/>
          <w:szCs w:val="32"/>
        </w:rPr>
        <w:t>三</w:t>
      </w:r>
      <w:r>
        <w:rPr>
          <w:rFonts w:hint="eastAsia" w:ascii="仿宋_GB2312" w:hAnsi="仿宋" w:eastAsia="仿宋_GB2312"/>
          <w:spacing w:val="2"/>
          <w:sz w:val="32"/>
          <w:szCs w:val="32"/>
        </w:rPr>
        <w:t>条规定的义务之一，导致甲方蒙受重大经济损失，乙方应向甲方承担赔偿责任。</w:t>
      </w:r>
    </w:p>
    <w:p w14:paraId="59868F55">
      <w:pPr>
        <w:spacing w:line="460" w:lineRule="exact"/>
        <w:rPr>
          <w:rFonts w:hint="eastAsia" w:ascii="黑体" w:hAnsi="黑体" w:eastAsia="黑体"/>
          <w:bCs/>
          <w:spacing w:val="2"/>
          <w:sz w:val="32"/>
          <w:szCs w:val="32"/>
        </w:rPr>
      </w:pPr>
      <w:r>
        <w:rPr>
          <w:rFonts w:hint="eastAsia" w:ascii="黑体" w:hAnsi="黑体" w:eastAsia="黑体"/>
          <w:spacing w:val="2"/>
          <w:sz w:val="32"/>
          <w:szCs w:val="32"/>
        </w:rPr>
        <w:t xml:space="preserve">  </w:t>
      </w:r>
      <w:r>
        <w:rPr>
          <w:rFonts w:hint="eastAsia" w:ascii="黑体" w:hAnsi="黑体" w:eastAsia="黑体"/>
          <w:bCs/>
          <w:spacing w:val="2"/>
          <w:sz w:val="32"/>
          <w:szCs w:val="32"/>
        </w:rPr>
        <w:t xml:space="preserve"> 第九条  争议的解决</w:t>
      </w:r>
    </w:p>
    <w:p w14:paraId="6CDF37A6">
      <w:pPr>
        <w:spacing w:line="460" w:lineRule="exact"/>
        <w:rPr>
          <w:rFonts w:hint="eastAsia" w:ascii="仿宋_GB2312" w:hAnsi="仿宋" w:eastAsia="仿宋_GB2312"/>
          <w:spacing w:val="2"/>
          <w:sz w:val="32"/>
          <w:szCs w:val="32"/>
        </w:rPr>
      </w:pPr>
      <w:r>
        <w:rPr>
          <w:rFonts w:hint="eastAsia" w:ascii="仿宋" w:hAnsi="仿宋" w:eastAsia="仿宋"/>
          <w:spacing w:val="2"/>
          <w:sz w:val="24"/>
          <w:szCs w:val="24"/>
        </w:rPr>
        <w:t xml:space="preserve">   </w:t>
      </w:r>
      <w:r>
        <w:rPr>
          <w:rFonts w:hint="eastAsia" w:ascii="仿宋_GB2312" w:hAnsi="仿宋" w:eastAsia="仿宋_GB2312"/>
          <w:spacing w:val="2"/>
          <w:sz w:val="32"/>
          <w:szCs w:val="32"/>
        </w:rPr>
        <w:t xml:space="preserve"> 本合同适用中华人民共和国法律。有关本合同签订、履行而发生的任何争议，在无法通过协商解决的情况下，甲乙双方一致同意向甲方所在地人民法院提起诉讼。</w:t>
      </w:r>
    </w:p>
    <w:p w14:paraId="7EE7FAFB">
      <w:pPr>
        <w:spacing w:line="460" w:lineRule="exact"/>
        <w:rPr>
          <w:rFonts w:hint="eastAsia" w:ascii="黑体" w:hAnsi="黑体" w:eastAsia="黑体"/>
          <w:bCs/>
          <w:spacing w:val="2"/>
          <w:sz w:val="32"/>
          <w:szCs w:val="32"/>
        </w:rPr>
      </w:pPr>
      <w:r>
        <w:rPr>
          <w:rFonts w:hint="eastAsia" w:ascii="仿宋" w:hAnsi="仿宋" w:eastAsia="仿宋"/>
          <w:b/>
          <w:bCs/>
          <w:spacing w:val="2"/>
          <w:sz w:val="24"/>
          <w:szCs w:val="24"/>
        </w:rPr>
        <w:t xml:space="preserve"> </w:t>
      </w:r>
      <w:r>
        <w:rPr>
          <w:rFonts w:hint="eastAsia" w:ascii="黑体" w:hAnsi="黑体" w:eastAsia="黑体"/>
          <w:bCs/>
          <w:spacing w:val="2"/>
          <w:sz w:val="32"/>
          <w:szCs w:val="32"/>
        </w:rPr>
        <w:t xml:space="preserve">   第十条  合同的生效</w:t>
      </w:r>
    </w:p>
    <w:p w14:paraId="7F461632">
      <w:pPr>
        <w:spacing w:line="460" w:lineRule="exact"/>
        <w:rPr>
          <w:rFonts w:hint="eastAsia" w:ascii="仿宋_GB2312" w:hAnsi="仿宋" w:eastAsia="仿宋_GB2312"/>
          <w:spacing w:val="2"/>
          <w:sz w:val="32"/>
          <w:szCs w:val="32"/>
        </w:rPr>
      </w:pPr>
      <w:r>
        <w:rPr>
          <w:rFonts w:hint="eastAsia" w:ascii="仿宋" w:hAnsi="仿宋" w:eastAsia="仿宋"/>
          <w:spacing w:val="2"/>
          <w:sz w:val="24"/>
          <w:szCs w:val="24"/>
        </w:rPr>
        <w:t xml:space="preserve">  </w:t>
      </w:r>
      <w:r>
        <w:rPr>
          <w:rFonts w:hint="eastAsia" w:ascii="仿宋_GB2312" w:hAnsi="仿宋" w:eastAsia="仿宋_GB2312"/>
          <w:spacing w:val="2"/>
          <w:sz w:val="32"/>
          <w:szCs w:val="32"/>
        </w:rPr>
        <w:t xml:space="preserve">  10.1本合同一式四份，甲乙双方各执二份。</w:t>
      </w:r>
      <w:r>
        <w:rPr>
          <w:rFonts w:hint="eastAsia" w:ascii="仿宋_GB2312" w:hAnsi="仿宋" w:eastAsia="仿宋_GB2312"/>
          <w:sz w:val="32"/>
          <w:szCs w:val="32"/>
        </w:rPr>
        <w:t>自甲乙双方签字盖章之日起生效</w:t>
      </w:r>
      <w:r>
        <w:rPr>
          <w:rFonts w:hint="eastAsia" w:ascii="仿宋_GB2312" w:hAnsi="仿宋" w:eastAsia="仿宋_GB2312"/>
          <w:spacing w:val="2"/>
          <w:sz w:val="32"/>
          <w:szCs w:val="32"/>
        </w:rPr>
        <w:t>。</w:t>
      </w:r>
    </w:p>
    <w:p w14:paraId="5D8ECBC3">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10.2本合同期满后，若甲乙双方有意继续合作，双方另行协商签署委托代理合同或补充协议。</w:t>
      </w:r>
    </w:p>
    <w:p w14:paraId="3BDE0D55">
      <w:pPr>
        <w:spacing w:line="460" w:lineRule="exact"/>
        <w:ind w:firstLine="648" w:firstLineChars="200"/>
        <w:rPr>
          <w:rFonts w:hint="eastAsia" w:ascii="黑体" w:hAnsi="黑体" w:eastAsia="黑体"/>
          <w:spacing w:val="2"/>
          <w:sz w:val="32"/>
          <w:szCs w:val="32"/>
        </w:rPr>
      </w:pPr>
      <w:r>
        <w:rPr>
          <w:rFonts w:hint="eastAsia" w:ascii="黑体" w:hAnsi="黑体" w:eastAsia="黑体"/>
          <w:bCs/>
          <w:spacing w:val="2"/>
          <w:sz w:val="32"/>
          <w:szCs w:val="32"/>
        </w:rPr>
        <w:t>第十</w:t>
      </w:r>
      <w:r>
        <w:rPr>
          <w:rFonts w:ascii="黑体" w:hAnsi="黑体" w:eastAsia="黑体"/>
          <w:bCs/>
          <w:spacing w:val="2"/>
          <w:sz w:val="32"/>
          <w:szCs w:val="32"/>
        </w:rPr>
        <w:t>一</w:t>
      </w:r>
      <w:r>
        <w:rPr>
          <w:rFonts w:hint="eastAsia" w:ascii="黑体" w:hAnsi="黑体" w:eastAsia="黑体"/>
          <w:bCs/>
          <w:spacing w:val="2"/>
          <w:sz w:val="32"/>
          <w:szCs w:val="32"/>
        </w:rPr>
        <w:t>条  其他特别约定</w:t>
      </w:r>
    </w:p>
    <w:p w14:paraId="2A7885BF">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《委托人须知》为本合同附件，甲方确认签署本协议前，乙方已明确告知《委托人须知》中所提示的内容，甲方对《委托人须知》的内容已充分了解。</w:t>
      </w:r>
    </w:p>
    <w:p w14:paraId="7356B021">
      <w:pPr>
        <w:spacing w:line="460" w:lineRule="exact"/>
        <w:ind w:left="420" w:leftChars="200"/>
        <w:rPr>
          <w:rFonts w:ascii="黑体" w:hAnsi="黑体" w:eastAsia="黑体"/>
          <w:bCs/>
          <w:spacing w:val="2"/>
          <w:sz w:val="32"/>
          <w:szCs w:val="32"/>
        </w:rPr>
      </w:pPr>
      <w:r>
        <w:rPr>
          <w:rFonts w:ascii="黑体" w:hAnsi="黑体" w:eastAsia="黑体"/>
          <w:bCs/>
          <w:spacing w:val="2"/>
          <w:sz w:val="32"/>
          <w:szCs w:val="32"/>
        </w:rPr>
        <w:t>第十二条</w:t>
      </w:r>
      <w:r>
        <w:rPr>
          <w:rFonts w:hint="eastAsia" w:ascii="黑体" w:hAnsi="黑体" w:eastAsia="黑体"/>
          <w:bCs/>
          <w:spacing w:val="2"/>
          <w:sz w:val="32"/>
          <w:szCs w:val="32"/>
        </w:rPr>
        <w:t xml:space="preserve"> </w:t>
      </w:r>
      <w:r>
        <w:rPr>
          <w:rFonts w:ascii="黑体" w:hAnsi="黑体" w:eastAsia="黑体"/>
          <w:bCs/>
          <w:spacing w:val="2"/>
          <w:sz w:val="32"/>
          <w:szCs w:val="32"/>
        </w:rPr>
        <w:t xml:space="preserve"> 附件</w:t>
      </w:r>
    </w:p>
    <w:p w14:paraId="319BB58E">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以下附件，均为本合同不可分割之有效组成部分，与本合同具有同等法律效力。</w:t>
      </w:r>
    </w:p>
    <w:p w14:paraId="1DCCFC97">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附件1；《委托人须知》（参考）</w:t>
      </w:r>
    </w:p>
    <w:p w14:paraId="1CCECF25">
      <w:pPr>
        <w:spacing w:line="460" w:lineRule="exact"/>
        <w:ind w:firstLine="648"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附件2：《委托代理明细表》</w:t>
      </w:r>
    </w:p>
    <w:p w14:paraId="2D64F042">
      <w:pPr>
        <w:spacing w:line="460" w:lineRule="exact"/>
        <w:rPr>
          <w:rFonts w:ascii="仿宋" w:hAnsi="仿宋" w:eastAsia="仿宋"/>
          <w:spacing w:val="2"/>
          <w:sz w:val="24"/>
          <w:szCs w:val="24"/>
        </w:rPr>
      </w:pPr>
    </w:p>
    <w:p w14:paraId="1091396B">
      <w:pPr>
        <w:spacing w:line="460" w:lineRule="exact"/>
        <w:rPr>
          <w:rFonts w:ascii="仿宋" w:hAnsi="仿宋" w:eastAsia="仿宋"/>
          <w:spacing w:val="2"/>
          <w:sz w:val="24"/>
          <w:szCs w:val="24"/>
        </w:rPr>
      </w:pPr>
    </w:p>
    <w:p w14:paraId="335E385A">
      <w:pPr>
        <w:spacing w:line="460" w:lineRule="exact"/>
        <w:rPr>
          <w:rFonts w:ascii="仿宋" w:hAnsi="仿宋" w:eastAsia="仿宋"/>
          <w:spacing w:val="2"/>
          <w:sz w:val="24"/>
          <w:szCs w:val="24"/>
        </w:rPr>
      </w:pPr>
    </w:p>
    <w:p w14:paraId="691204A5">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甲  方：</w:t>
      </w:r>
      <w:r>
        <w:rPr>
          <w:rFonts w:hint="eastAsia" w:ascii="仿宋_GB2312" w:hAnsi="仿宋" w:eastAsia="仿宋_GB2312"/>
          <w:sz w:val="32"/>
          <w:szCs w:val="32"/>
        </w:rPr>
        <w:t>深圳第一亚太物业管理有限公司深圳分公司</w:t>
      </w:r>
    </w:p>
    <w:p w14:paraId="38EA58F6">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授权代表： </w:t>
      </w:r>
    </w:p>
    <w:p w14:paraId="3C21782F">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 xml:space="preserve">日 期：    年    月    日           </w:t>
      </w:r>
    </w:p>
    <w:p w14:paraId="2458181E">
      <w:pPr>
        <w:spacing w:line="460" w:lineRule="exact"/>
        <w:rPr>
          <w:rFonts w:hint="eastAsia" w:ascii="仿宋_GB2312" w:hAnsi="仿宋" w:eastAsia="仿宋_GB2312"/>
          <w:spacing w:val="2"/>
          <w:sz w:val="32"/>
          <w:szCs w:val="32"/>
        </w:rPr>
      </w:pPr>
    </w:p>
    <w:p w14:paraId="3D88CFB0">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乙  方：</w:t>
      </w:r>
    </w:p>
    <w:p w14:paraId="05BFE7D5">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授权代表：</w:t>
      </w:r>
    </w:p>
    <w:p w14:paraId="3C2E7BB7">
      <w:pPr>
        <w:spacing w:line="460" w:lineRule="exact"/>
        <w:rPr>
          <w:rFonts w:hint="eastAsia" w:ascii="仿宋_GB2312" w:hAnsi="仿宋" w:eastAsia="仿宋_GB2312"/>
          <w:spacing w:val="2"/>
          <w:sz w:val="32"/>
          <w:szCs w:val="32"/>
        </w:rPr>
      </w:pPr>
      <w:r>
        <w:rPr>
          <w:rFonts w:hint="eastAsia" w:ascii="仿宋_GB2312" w:hAnsi="仿宋" w:eastAsia="仿宋_GB2312"/>
          <w:spacing w:val="2"/>
          <w:sz w:val="32"/>
          <w:szCs w:val="32"/>
        </w:rPr>
        <w:t>日 期：    年    月    日</w:t>
      </w:r>
    </w:p>
    <w:p w14:paraId="39F157FD">
      <w:pPr>
        <w:spacing w:line="460" w:lineRule="exact"/>
        <w:rPr>
          <w:rFonts w:hint="eastAsia" w:ascii="仿宋_GB2312" w:hAnsi="楷体" w:eastAsia="仿宋_GB2312"/>
          <w:b/>
          <w:sz w:val="32"/>
          <w:szCs w:val="32"/>
        </w:rPr>
      </w:pPr>
    </w:p>
    <w:p w14:paraId="12D845A3">
      <w:pPr>
        <w:spacing w:line="460" w:lineRule="exact"/>
        <w:rPr>
          <w:rFonts w:ascii="楷体" w:hAnsi="楷体" w:eastAsia="楷体"/>
          <w:b/>
          <w:sz w:val="32"/>
          <w:szCs w:val="24"/>
        </w:rPr>
      </w:pPr>
    </w:p>
    <w:p w14:paraId="477A2F1B">
      <w:pPr>
        <w:spacing w:line="460" w:lineRule="exact"/>
        <w:rPr>
          <w:rFonts w:ascii="楷体" w:hAnsi="楷体" w:eastAsia="楷体"/>
          <w:b/>
          <w:sz w:val="32"/>
          <w:szCs w:val="24"/>
        </w:rPr>
      </w:pPr>
    </w:p>
    <w:p w14:paraId="7063366B">
      <w:pPr>
        <w:spacing w:line="460" w:lineRule="exact"/>
        <w:rPr>
          <w:rFonts w:ascii="楷体" w:hAnsi="楷体" w:eastAsia="楷体"/>
          <w:b/>
          <w:sz w:val="32"/>
          <w:szCs w:val="24"/>
        </w:rPr>
      </w:pPr>
    </w:p>
    <w:p w14:paraId="310DAFD4">
      <w:pPr>
        <w:spacing w:line="460" w:lineRule="exact"/>
        <w:rPr>
          <w:rFonts w:ascii="楷体" w:hAnsi="楷体" w:eastAsia="楷体"/>
          <w:b/>
          <w:sz w:val="32"/>
          <w:szCs w:val="24"/>
        </w:rPr>
      </w:pPr>
    </w:p>
    <w:p w14:paraId="7387EE8F">
      <w:pPr>
        <w:spacing w:line="460" w:lineRule="exact"/>
        <w:rPr>
          <w:rFonts w:ascii="楷体" w:hAnsi="楷体" w:eastAsia="楷体"/>
          <w:b/>
          <w:sz w:val="32"/>
          <w:szCs w:val="24"/>
        </w:rPr>
      </w:pPr>
    </w:p>
    <w:p w14:paraId="69228CC4">
      <w:pPr>
        <w:spacing w:line="460" w:lineRule="exact"/>
        <w:rPr>
          <w:rFonts w:ascii="楷体" w:hAnsi="楷体" w:eastAsia="楷体"/>
          <w:b/>
          <w:sz w:val="32"/>
          <w:szCs w:val="24"/>
        </w:rPr>
      </w:pPr>
    </w:p>
    <w:p w14:paraId="0995E7E7">
      <w:pPr>
        <w:spacing w:line="460" w:lineRule="exact"/>
        <w:rPr>
          <w:rFonts w:ascii="楷体" w:hAnsi="楷体" w:eastAsia="楷体"/>
          <w:b/>
          <w:sz w:val="32"/>
          <w:szCs w:val="24"/>
        </w:rPr>
      </w:pPr>
    </w:p>
    <w:p w14:paraId="628BEC8A">
      <w:pPr>
        <w:spacing w:line="460" w:lineRule="exact"/>
        <w:rPr>
          <w:rFonts w:ascii="楷体" w:hAnsi="楷体" w:eastAsia="楷体"/>
          <w:b/>
          <w:sz w:val="32"/>
          <w:szCs w:val="24"/>
        </w:rPr>
      </w:pPr>
    </w:p>
    <w:p w14:paraId="71309462">
      <w:pPr>
        <w:spacing w:line="460" w:lineRule="exact"/>
        <w:rPr>
          <w:rFonts w:hint="eastAsia" w:ascii="方正小标宋简体" w:hAnsi="仿宋" w:eastAsia="方正小标宋简体"/>
          <w:spacing w:val="2"/>
          <w:sz w:val="32"/>
          <w:szCs w:val="32"/>
        </w:rPr>
      </w:pPr>
      <w:r>
        <w:rPr>
          <w:rFonts w:hint="eastAsia" w:ascii="方正小标宋简体" w:hAnsi="楷体" w:eastAsia="方正小标宋简体"/>
          <w:sz w:val="32"/>
          <w:szCs w:val="32"/>
        </w:rPr>
        <w:t>附件1：《委 托 人 须 知》（参考）</w:t>
      </w:r>
    </w:p>
    <w:p w14:paraId="0CD569DE">
      <w:pPr>
        <w:spacing w:line="420" w:lineRule="exact"/>
        <w:ind w:firstLine="570"/>
        <w:rPr>
          <w:rFonts w:hint="eastAsia" w:ascii="仿宋" w:hAnsi="仿宋" w:eastAsia="仿宋"/>
          <w:sz w:val="24"/>
          <w:szCs w:val="24"/>
        </w:rPr>
      </w:pPr>
    </w:p>
    <w:p w14:paraId="7E0925CA">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为了保障委托人、律师事务所及律师各方的合法权益，依据《中华人民共和国律师法》及《律师职业道德和执业纪律规范》的有关规定，我所告知委托人如下事项：</w:t>
      </w:r>
    </w:p>
    <w:p w14:paraId="7F40313F">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一、律师执业必须遵守宪法和法律，恪守律师职业道德和执业纪律。律师执业必须以事实为依据，以法律为准绳。</w:t>
      </w:r>
    </w:p>
    <w:p w14:paraId="4F17F7C1">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二、律师不得以与经办案件的法官、仲裁员、检察官、侦查人员或他们的上级相熟为理由或为前提承接委托人案件，亦不得以保证委托人案件必然胜诉或无罪为前提承接委托人的案件。</w:t>
      </w:r>
    </w:p>
    <w:p w14:paraId="6C4CF658">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委托人不得要求律师通过非正常途径与经办法官、仲裁员、检察官、侦查人员或他们的上级沟通。</w:t>
      </w:r>
    </w:p>
    <w:p w14:paraId="6F0D49C1">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三、委托人的案件具有法律风险，委托人的主张及律师的法律意见部分或全部有不被采纳的可能，委托人的案件部分或全部有败诉的可能。</w:t>
      </w:r>
    </w:p>
    <w:p w14:paraId="01E6CB34">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四、委托人应当真实、客观、全面、及时地向承办律师介绍案件，提供与委托代理事项有关的证据、文件及其他实材料。</w:t>
      </w:r>
    </w:p>
    <w:p w14:paraId="042EB447">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五、律师办案的进程受到侦查、检察、审判、仲裁等机构及相关当事方的制约。</w:t>
      </w:r>
    </w:p>
    <w:p w14:paraId="53D0037C">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六、律师承办业务，须由律师事务所与委托人签订书面委托合同，按有关规定收取律师费，并向委托人统一开具正式发票。律师不得私自接受委托，私自向委托人收取费用，收受委托人财物。</w:t>
      </w:r>
    </w:p>
    <w:p w14:paraId="3B4239FA">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七、委托人应当按照委托合同的约定，按时、足额支付律师费。</w:t>
      </w:r>
    </w:p>
    <w:p w14:paraId="39A4097F">
      <w:pPr>
        <w:spacing w:line="420" w:lineRule="exact"/>
        <w:ind w:firstLine="570"/>
        <w:rPr>
          <w:rFonts w:hint="eastAsia" w:ascii="仿宋_GB2312" w:hAnsi="仿宋" w:eastAsia="仿宋_GB2312"/>
          <w:sz w:val="32"/>
          <w:szCs w:val="32"/>
        </w:rPr>
      </w:pPr>
      <w:r>
        <w:rPr>
          <w:rFonts w:hint="eastAsia" w:ascii="仿宋_GB2312" w:hAnsi="仿宋" w:eastAsia="仿宋_GB2312"/>
          <w:sz w:val="32"/>
          <w:szCs w:val="32"/>
        </w:rPr>
        <w:t>八、承办律师在接受委托后，有违反《律师法》及《律师职业道德和执业纪律规范》有关规定行为的，委托人可以向承办律师所在律师事务所、律师协会及司法行政部门投诉。</w:t>
      </w:r>
    </w:p>
    <w:p w14:paraId="286E63F3">
      <w:pPr>
        <w:spacing w:line="420" w:lineRule="exact"/>
        <w:ind w:firstLine="627" w:firstLineChars="196"/>
        <w:rPr>
          <w:rFonts w:hint="eastAsia" w:ascii="仿宋_GB2312" w:hAnsi="仿宋" w:eastAsia="仿宋_GB2312"/>
          <w:sz w:val="32"/>
          <w:szCs w:val="32"/>
        </w:rPr>
      </w:pPr>
      <w:r>
        <w:rPr>
          <w:rFonts w:hint="eastAsia" w:ascii="仿宋_GB2312" w:hAnsi="仿宋" w:eastAsia="仿宋_GB2312"/>
          <w:sz w:val="32"/>
          <w:szCs w:val="32"/>
        </w:rPr>
        <w:t>委托人确认：</w:t>
      </w:r>
    </w:p>
    <w:p w14:paraId="703A7911">
      <w:pPr>
        <w:spacing w:line="420" w:lineRule="exact"/>
        <w:ind w:firstLine="627" w:firstLineChars="196"/>
        <w:rPr>
          <w:rFonts w:hint="eastAsia" w:ascii="仿宋_GB2312" w:hAnsi="仿宋" w:eastAsia="仿宋_GB2312"/>
          <w:sz w:val="32"/>
          <w:szCs w:val="32"/>
        </w:rPr>
      </w:pPr>
      <w:r>
        <w:rPr>
          <w:rFonts w:hint="eastAsia" w:ascii="仿宋_GB2312" w:hAnsi="仿宋" w:eastAsia="仿宋_GB2312"/>
          <w:sz w:val="32"/>
          <w:szCs w:val="32"/>
        </w:rPr>
        <w:t>律师已告知我上述事项，我方已了解告知书中所提示的内容。</w:t>
      </w:r>
    </w:p>
    <w:p w14:paraId="3019F690">
      <w:pPr>
        <w:spacing w:line="420" w:lineRule="exact"/>
        <w:ind w:left="3656" w:leftChars="1741" w:firstLine="2662" w:firstLineChars="832"/>
        <w:rPr>
          <w:rFonts w:hint="eastAsia" w:ascii="仿宋_GB2312" w:hAnsi="仿宋" w:eastAsia="仿宋_GB2312"/>
          <w:sz w:val="32"/>
          <w:szCs w:val="32"/>
        </w:rPr>
      </w:pPr>
    </w:p>
    <w:p w14:paraId="0797D1A3">
      <w:pPr>
        <w:spacing w:line="420" w:lineRule="exact"/>
        <w:ind w:left="3656" w:leftChars="1741" w:firstLine="1488" w:firstLineChars="465"/>
        <w:rPr>
          <w:rFonts w:hint="eastAsia" w:ascii="仿宋_GB2312" w:hAnsi="仿宋" w:eastAsia="仿宋_GB2312"/>
          <w:sz w:val="32"/>
          <w:szCs w:val="32"/>
        </w:rPr>
      </w:pPr>
      <w:r>
        <w:rPr>
          <w:rFonts w:hint="eastAsia" w:ascii="仿宋_GB2312" w:hAnsi="仿宋" w:eastAsia="仿宋_GB2312"/>
          <w:sz w:val="32"/>
          <w:szCs w:val="32"/>
        </w:rPr>
        <w:t>委托人签署：</w:t>
      </w:r>
    </w:p>
    <w:p w14:paraId="5C44D156">
      <w:pPr>
        <w:spacing w:line="420" w:lineRule="exact"/>
        <w:ind w:left="3656" w:leftChars="1741" w:firstLine="2838" w:firstLineChars="887"/>
        <w:rPr>
          <w:rFonts w:hint="eastAsia" w:ascii="仿宋_GB2312" w:hAnsi="仿宋" w:eastAsia="仿宋_GB2312"/>
          <w:sz w:val="32"/>
          <w:szCs w:val="32"/>
        </w:rPr>
      </w:pPr>
    </w:p>
    <w:p w14:paraId="77153A16">
      <w:pPr>
        <w:spacing w:line="420" w:lineRule="exact"/>
        <w:ind w:left="0" w:leftChars="0" w:firstLine="5120" w:firstLineChars="1600"/>
        <w:rPr>
          <w:rFonts w:hint="eastAsia" w:ascii="仿宋_GB2312" w:hAnsi="仿宋" w:eastAsia="仿宋_GB2312"/>
          <w:sz w:val="32"/>
          <w:szCs w:val="32"/>
        </w:rPr>
      </w:pPr>
      <w:r>
        <w:rPr>
          <w:rFonts w:hint="eastAsia" w:ascii="仿宋_GB2312" w:hAnsi="仿宋" w:eastAsia="仿宋_GB2312"/>
          <w:sz w:val="32"/>
          <w:szCs w:val="32"/>
        </w:rPr>
        <w:t>年    月    日</w:t>
      </w:r>
    </w:p>
    <w:p w14:paraId="1D7839BC">
      <w:pPr>
        <w:spacing w:line="420" w:lineRule="exact"/>
        <w:jc w:val="left"/>
        <w:rPr>
          <w:rFonts w:ascii="仿宋" w:hAnsi="仿宋" w:eastAsia="仿宋"/>
          <w:sz w:val="24"/>
          <w:szCs w:val="24"/>
        </w:rPr>
      </w:pPr>
    </w:p>
    <w:p w14:paraId="357B5A2A">
      <w:pPr>
        <w:spacing w:line="420" w:lineRule="exact"/>
        <w:jc w:val="left"/>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2：《委托代理明细表》</w:t>
      </w:r>
    </w:p>
    <w:p w14:paraId="448EAD6A">
      <w:pPr>
        <w:spacing w:line="420" w:lineRule="exact"/>
        <w:jc w:val="left"/>
        <w:rPr>
          <w:rFonts w:hint="eastAsia" w:ascii="仿宋" w:hAnsi="仿宋" w:eastAsia="仿宋"/>
          <w:sz w:val="24"/>
          <w:szCs w:val="24"/>
        </w:rPr>
      </w:pPr>
    </w:p>
    <w:tbl>
      <w:tblPr>
        <w:tblStyle w:val="34"/>
        <w:tblW w:w="9498" w:type="dxa"/>
        <w:tblInd w:w="-885" w:type="dxa"/>
        <w:tblLayout w:type="fixed"/>
        <w:tblCellMar>
          <w:top w:w="0" w:type="dxa"/>
          <w:left w:w="108" w:type="dxa"/>
          <w:bottom w:w="0" w:type="dxa"/>
          <w:right w:w="108" w:type="dxa"/>
        </w:tblCellMar>
      </w:tblPr>
      <w:tblGrid>
        <w:gridCol w:w="862"/>
        <w:gridCol w:w="1345"/>
        <w:gridCol w:w="1891"/>
        <w:gridCol w:w="1396"/>
        <w:gridCol w:w="1165"/>
        <w:gridCol w:w="1027"/>
        <w:gridCol w:w="1812"/>
      </w:tblGrid>
      <w:tr w14:paraId="7AB03B03">
        <w:tblPrEx>
          <w:tblCellMar>
            <w:top w:w="0" w:type="dxa"/>
            <w:left w:w="108" w:type="dxa"/>
            <w:bottom w:w="0" w:type="dxa"/>
            <w:right w:w="108" w:type="dxa"/>
          </w:tblCellMar>
        </w:tblPrEx>
        <w:trPr>
          <w:trHeight w:val="761" w:hRule="atLeast"/>
        </w:trPr>
        <w:tc>
          <w:tcPr>
            <w:tcW w:w="9498" w:type="dxa"/>
            <w:gridSpan w:val="7"/>
            <w:tcBorders>
              <w:top w:val="single" w:color="auto" w:sz="4" w:space="0"/>
              <w:left w:val="single" w:color="auto" w:sz="4" w:space="0"/>
              <w:bottom w:val="single" w:color="auto" w:sz="4" w:space="0"/>
              <w:right w:val="single" w:color="auto" w:sz="4" w:space="0"/>
            </w:tcBorders>
            <w:noWrap/>
            <w:vAlign w:val="center"/>
          </w:tcPr>
          <w:p w14:paraId="3981EE06">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案件明细表</w:t>
            </w:r>
          </w:p>
        </w:tc>
      </w:tr>
      <w:tr w14:paraId="2369344E">
        <w:tblPrEx>
          <w:tblCellMar>
            <w:top w:w="0" w:type="dxa"/>
            <w:left w:w="108" w:type="dxa"/>
            <w:bottom w:w="0" w:type="dxa"/>
            <w:right w:w="108" w:type="dxa"/>
          </w:tblCellMar>
        </w:tblPrEx>
        <w:trPr>
          <w:trHeight w:val="690" w:hRule="atLeast"/>
        </w:trPr>
        <w:tc>
          <w:tcPr>
            <w:tcW w:w="862" w:type="dxa"/>
            <w:tcBorders>
              <w:top w:val="nil"/>
              <w:left w:val="single" w:color="auto" w:sz="4" w:space="0"/>
              <w:bottom w:val="single" w:color="auto" w:sz="4" w:space="0"/>
              <w:right w:val="single" w:color="auto" w:sz="4" w:space="0"/>
            </w:tcBorders>
            <w:noWrap/>
            <w:vAlign w:val="center"/>
          </w:tcPr>
          <w:p w14:paraId="0AF694BB">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序号</w:t>
            </w:r>
          </w:p>
        </w:tc>
        <w:tc>
          <w:tcPr>
            <w:tcW w:w="1345" w:type="dxa"/>
            <w:tcBorders>
              <w:top w:val="nil"/>
              <w:left w:val="nil"/>
              <w:bottom w:val="single" w:color="auto" w:sz="4" w:space="0"/>
              <w:right w:val="single" w:color="auto" w:sz="4" w:space="0"/>
            </w:tcBorders>
            <w:noWrap w:val="0"/>
            <w:vAlign w:val="center"/>
          </w:tcPr>
          <w:p w14:paraId="611AD170">
            <w:pPr>
              <w:widowControl/>
              <w:jc w:val="center"/>
              <w:rPr>
                <w:rFonts w:hint="eastAsia" w:ascii="仿宋" w:hAnsi="仿宋" w:eastAsia="仿宋" w:cs="宋体"/>
                <w:b/>
                <w:bCs/>
                <w:color w:val="000000"/>
                <w:kern w:val="0"/>
                <w:sz w:val="22"/>
                <w:szCs w:val="22"/>
              </w:rPr>
            </w:pPr>
            <w:r>
              <w:rPr>
                <w:rFonts w:ascii="仿宋" w:hAnsi="仿宋" w:eastAsia="仿宋" w:cs="宋体"/>
                <w:b/>
                <w:bCs/>
                <w:color w:val="000000"/>
                <w:kern w:val="0"/>
                <w:sz w:val="22"/>
                <w:szCs w:val="22"/>
              </w:rPr>
              <w:t>业主</w:t>
            </w:r>
            <w:r>
              <w:rPr>
                <w:rFonts w:hint="eastAsia" w:ascii="仿宋" w:hAnsi="仿宋" w:eastAsia="仿宋" w:cs="宋体"/>
                <w:b/>
                <w:bCs/>
                <w:color w:val="000000"/>
                <w:kern w:val="0"/>
                <w:sz w:val="22"/>
                <w:szCs w:val="22"/>
              </w:rPr>
              <w:t>名称</w:t>
            </w:r>
          </w:p>
        </w:tc>
        <w:tc>
          <w:tcPr>
            <w:tcW w:w="1891" w:type="dxa"/>
            <w:tcBorders>
              <w:top w:val="nil"/>
              <w:left w:val="nil"/>
              <w:bottom w:val="single" w:color="auto" w:sz="4" w:space="0"/>
              <w:right w:val="single" w:color="auto" w:sz="4" w:space="0"/>
            </w:tcBorders>
            <w:noWrap w:val="0"/>
            <w:vAlign w:val="center"/>
          </w:tcPr>
          <w:p w14:paraId="65293DB0">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身份证号码/统一社会信用代码</w:t>
            </w:r>
          </w:p>
        </w:tc>
        <w:tc>
          <w:tcPr>
            <w:tcW w:w="1396" w:type="dxa"/>
            <w:tcBorders>
              <w:top w:val="nil"/>
              <w:left w:val="nil"/>
              <w:bottom w:val="single" w:color="auto" w:sz="4" w:space="0"/>
              <w:right w:val="single" w:color="auto" w:sz="4" w:space="0"/>
            </w:tcBorders>
            <w:noWrap w:val="0"/>
            <w:vAlign w:val="center"/>
          </w:tcPr>
          <w:p w14:paraId="5B5A6F2A">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物业位置</w:t>
            </w:r>
          </w:p>
        </w:tc>
        <w:tc>
          <w:tcPr>
            <w:tcW w:w="1165" w:type="dxa"/>
            <w:tcBorders>
              <w:top w:val="nil"/>
              <w:left w:val="nil"/>
              <w:bottom w:val="single" w:color="auto" w:sz="4" w:space="0"/>
              <w:right w:val="single" w:color="auto" w:sz="4" w:space="0"/>
            </w:tcBorders>
            <w:noWrap w:val="0"/>
            <w:vAlign w:val="center"/>
          </w:tcPr>
          <w:p w14:paraId="69F8048A">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铺位号</w:t>
            </w:r>
          </w:p>
        </w:tc>
        <w:tc>
          <w:tcPr>
            <w:tcW w:w="1027" w:type="dxa"/>
            <w:tcBorders>
              <w:top w:val="nil"/>
              <w:left w:val="nil"/>
              <w:bottom w:val="single" w:color="auto" w:sz="4" w:space="0"/>
              <w:right w:val="single" w:color="auto" w:sz="4" w:space="0"/>
            </w:tcBorders>
            <w:noWrap w:val="0"/>
            <w:vAlign w:val="center"/>
          </w:tcPr>
          <w:p w14:paraId="30150CA8">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面积</w:t>
            </w:r>
          </w:p>
        </w:tc>
        <w:tc>
          <w:tcPr>
            <w:tcW w:w="1812" w:type="dxa"/>
            <w:tcBorders>
              <w:top w:val="nil"/>
              <w:left w:val="nil"/>
              <w:bottom w:val="single" w:color="auto" w:sz="4" w:space="0"/>
              <w:right w:val="single" w:color="auto" w:sz="4" w:space="0"/>
            </w:tcBorders>
            <w:noWrap w:val="0"/>
            <w:vAlign w:val="center"/>
          </w:tcPr>
          <w:p w14:paraId="2DA6C5D1">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物业费单价（元/月/㎡）</w:t>
            </w:r>
          </w:p>
        </w:tc>
      </w:tr>
      <w:tr w14:paraId="275231F5">
        <w:tblPrEx>
          <w:tblCellMar>
            <w:top w:w="0" w:type="dxa"/>
            <w:left w:w="108" w:type="dxa"/>
            <w:bottom w:w="0" w:type="dxa"/>
            <w:right w:w="108" w:type="dxa"/>
          </w:tblCellMar>
        </w:tblPrEx>
        <w:trPr>
          <w:trHeight w:val="561" w:hRule="atLeast"/>
        </w:trPr>
        <w:tc>
          <w:tcPr>
            <w:tcW w:w="862" w:type="dxa"/>
            <w:tcBorders>
              <w:top w:val="nil"/>
              <w:left w:val="single" w:color="auto" w:sz="4" w:space="0"/>
              <w:bottom w:val="single" w:color="auto" w:sz="4" w:space="0"/>
              <w:right w:val="single" w:color="auto" w:sz="4" w:space="0"/>
            </w:tcBorders>
            <w:noWrap/>
            <w:vAlign w:val="center"/>
          </w:tcPr>
          <w:p w14:paraId="26C284C7">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1</w:t>
            </w:r>
          </w:p>
        </w:tc>
        <w:tc>
          <w:tcPr>
            <w:tcW w:w="1345" w:type="dxa"/>
            <w:tcBorders>
              <w:top w:val="nil"/>
              <w:left w:val="nil"/>
              <w:bottom w:val="single" w:color="auto" w:sz="4" w:space="0"/>
              <w:right w:val="single" w:color="auto" w:sz="4" w:space="0"/>
            </w:tcBorders>
            <w:noWrap w:val="0"/>
            <w:vAlign w:val="center"/>
          </w:tcPr>
          <w:p w14:paraId="48B8C8DE">
            <w:pPr>
              <w:widowControl/>
              <w:jc w:val="center"/>
              <w:rPr>
                <w:rFonts w:hint="eastAsia" w:ascii="仿宋" w:hAnsi="仿宋" w:eastAsia="仿宋" w:cs="宋体"/>
                <w:color w:val="000000"/>
                <w:kern w:val="0"/>
                <w:sz w:val="22"/>
                <w:szCs w:val="22"/>
              </w:rPr>
            </w:pPr>
          </w:p>
        </w:tc>
        <w:tc>
          <w:tcPr>
            <w:tcW w:w="1891" w:type="dxa"/>
            <w:tcBorders>
              <w:top w:val="nil"/>
              <w:left w:val="nil"/>
              <w:bottom w:val="single" w:color="auto" w:sz="4" w:space="0"/>
              <w:right w:val="single" w:color="auto" w:sz="4" w:space="0"/>
            </w:tcBorders>
            <w:noWrap/>
            <w:vAlign w:val="center"/>
          </w:tcPr>
          <w:p w14:paraId="4A12AF96">
            <w:pPr>
              <w:widowControl/>
              <w:jc w:val="left"/>
              <w:rPr>
                <w:rFonts w:hint="eastAsia" w:ascii="仿宋" w:hAnsi="仿宋" w:eastAsia="仿宋" w:cs="宋体"/>
                <w:color w:val="000000"/>
                <w:kern w:val="0"/>
                <w:sz w:val="22"/>
                <w:szCs w:val="22"/>
              </w:rPr>
            </w:pPr>
          </w:p>
        </w:tc>
        <w:tc>
          <w:tcPr>
            <w:tcW w:w="1396" w:type="dxa"/>
            <w:tcBorders>
              <w:top w:val="nil"/>
              <w:left w:val="nil"/>
              <w:bottom w:val="single" w:color="auto" w:sz="4" w:space="0"/>
              <w:right w:val="single" w:color="auto" w:sz="4" w:space="0"/>
            </w:tcBorders>
            <w:noWrap w:val="0"/>
            <w:vAlign w:val="center"/>
          </w:tcPr>
          <w:p w14:paraId="615401D5">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示例：*</w:t>
            </w:r>
            <w:r>
              <w:rPr>
                <w:rFonts w:ascii="仿宋" w:hAnsi="仿宋" w:eastAsia="仿宋" w:cs="宋体"/>
                <w:color w:val="000000"/>
                <w:kern w:val="0"/>
                <w:sz w:val="22"/>
                <w:szCs w:val="22"/>
              </w:rPr>
              <w:t>*号交易广场</w:t>
            </w:r>
          </w:p>
        </w:tc>
        <w:tc>
          <w:tcPr>
            <w:tcW w:w="1165" w:type="dxa"/>
            <w:tcBorders>
              <w:top w:val="nil"/>
              <w:left w:val="nil"/>
              <w:bottom w:val="single" w:color="auto" w:sz="4" w:space="0"/>
              <w:right w:val="single" w:color="auto" w:sz="4" w:space="0"/>
            </w:tcBorders>
            <w:noWrap w:val="0"/>
            <w:vAlign w:val="center"/>
          </w:tcPr>
          <w:p w14:paraId="3A3FCCF9">
            <w:pPr>
              <w:widowControl/>
              <w:jc w:val="center"/>
              <w:rPr>
                <w:rFonts w:hint="eastAsia" w:ascii="仿宋" w:hAnsi="仿宋" w:eastAsia="仿宋" w:cs="宋体"/>
                <w:color w:val="000000"/>
                <w:kern w:val="0"/>
                <w:sz w:val="22"/>
                <w:szCs w:val="22"/>
              </w:rPr>
            </w:pPr>
          </w:p>
        </w:tc>
        <w:tc>
          <w:tcPr>
            <w:tcW w:w="1027" w:type="dxa"/>
            <w:tcBorders>
              <w:top w:val="nil"/>
              <w:left w:val="nil"/>
              <w:bottom w:val="single" w:color="auto" w:sz="4" w:space="0"/>
              <w:right w:val="single" w:color="auto" w:sz="4" w:space="0"/>
            </w:tcBorders>
            <w:noWrap w:val="0"/>
            <w:vAlign w:val="center"/>
          </w:tcPr>
          <w:p w14:paraId="0C6B6127">
            <w:pPr>
              <w:widowControl/>
              <w:jc w:val="center"/>
              <w:rPr>
                <w:rFonts w:hint="eastAsia" w:ascii="仿宋" w:hAnsi="仿宋" w:eastAsia="仿宋" w:cs="宋体"/>
                <w:color w:val="000000"/>
                <w:kern w:val="0"/>
                <w:sz w:val="22"/>
                <w:szCs w:val="22"/>
              </w:rPr>
            </w:pPr>
          </w:p>
        </w:tc>
        <w:tc>
          <w:tcPr>
            <w:tcW w:w="1812" w:type="dxa"/>
            <w:tcBorders>
              <w:top w:val="nil"/>
              <w:left w:val="nil"/>
              <w:bottom w:val="single" w:color="auto" w:sz="4" w:space="0"/>
              <w:right w:val="single" w:color="auto" w:sz="4" w:space="0"/>
            </w:tcBorders>
            <w:noWrap w:val="0"/>
            <w:vAlign w:val="center"/>
          </w:tcPr>
          <w:p w14:paraId="6AD106B7">
            <w:pPr>
              <w:widowControl/>
              <w:jc w:val="center"/>
              <w:rPr>
                <w:rFonts w:hint="eastAsia" w:ascii="仿宋" w:hAnsi="仿宋" w:eastAsia="仿宋" w:cs="宋体"/>
                <w:color w:val="000000"/>
                <w:kern w:val="0"/>
                <w:sz w:val="22"/>
                <w:szCs w:val="22"/>
              </w:rPr>
            </w:pPr>
          </w:p>
        </w:tc>
      </w:tr>
      <w:tr w14:paraId="7F08C198">
        <w:tblPrEx>
          <w:tblCellMar>
            <w:top w:w="0" w:type="dxa"/>
            <w:left w:w="108" w:type="dxa"/>
            <w:bottom w:w="0" w:type="dxa"/>
            <w:right w:w="108" w:type="dxa"/>
          </w:tblCellMar>
        </w:tblPrEx>
        <w:trPr>
          <w:trHeight w:val="561" w:hRule="atLeast"/>
        </w:trPr>
        <w:tc>
          <w:tcPr>
            <w:tcW w:w="862" w:type="dxa"/>
            <w:tcBorders>
              <w:top w:val="nil"/>
              <w:left w:val="single" w:color="auto" w:sz="4" w:space="0"/>
              <w:bottom w:val="single" w:color="auto" w:sz="4" w:space="0"/>
              <w:right w:val="single" w:color="auto" w:sz="4" w:space="0"/>
            </w:tcBorders>
            <w:noWrap/>
            <w:vAlign w:val="center"/>
          </w:tcPr>
          <w:p w14:paraId="324EFDC9">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2</w:t>
            </w:r>
          </w:p>
        </w:tc>
        <w:tc>
          <w:tcPr>
            <w:tcW w:w="1345" w:type="dxa"/>
            <w:tcBorders>
              <w:top w:val="nil"/>
              <w:left w:val="nil"/>
              <w:bottom w:val="single" w:color="auto" w:sz="4" w:space="0"/>
              <w:right w:val="single" w:color="auto" w:sz="4" w:space="0"/>
            </w:tcBorders>
            <w:noWrap w:val="0"/>
            <w:vAlign w:val="center"/>
          </w:tcPr>
          <w:p w14:paraId="726B3ECA">
            <w:pPr>
              <w:widowControl/>
              <w:jc w:val="center"/>
              <w:rPr>
                <w:rFonts w:hint="eastAsia" w:ascii="仿宋" w:hAnsi="仿宋" w:eastAsia="仿宋" w:cs="宋体"/>
                <w:color w:val="000000"/>
                <w:kern w:val="0"/>
                <w:sz w:val="22"/>
                <w:szCs w:val="22"/>
              </w:rPr>
            </w:pPr>
          </w:p>
        </w:tc>
        <w:tc>
          <w:tcPr>
            <w:tcW w:w="1891" w:type="dxa"/>
            <w:tcBorders>
              <w:top w:val="nil"/>
              <w:left w:val="nil"/>
              <w:bottom w:val="single" w:color="auto" w:sz="4" w:space="0"/>
              <w:right w:val="single" w:color="auto" w:sz="4" w:space="0"/>
            </w:tcBorders>
            <w:noWrap/>
            <w:vAlign w:val="center"/>
          </w:tcPr>
          <w:p w14:paraId="3661655A">
            <w:pPr>
              <w:widowControl/>
              <w:jc w:val="left"/>
              <w:rPr>
                <w:rFonts w:hint="eastAsia" w:ascii="仿宋" w:hAnsi="仿宋" w:eastAsia="仿宋" w:cs="宋体"/>
                <w:color w:val="000000"/>
                <w:kern w:val="0"/>
                <w:sz w:val="22"/>
                <w:szCs w:val="22"/>
              </w:rPr>
            </w:pPr>
          </w:p>
        </w:tc>
        <w:tc>
          <w:tcPr>
            <w:tcW w:w="1396" w:type="dxa"/>
            <w:tcBorders>
              <w:top w:val="nil"/>
              <w:left w:val="nil"/>
              <w:bottom w:val="single" w:color="auto" w:sz="4" w:space="0"/>
              <w:right w:val="single" w:color="auto" w:sz="4" w:space="0"/>
            </w:tcBorders>
            <w:noWrap w:val="0"/>
            <w:vAlign w:val="center"/>
          </w:tcPr>
          <w:p w14:paraId="03A9DC56">
            <w:pPr>
              <w:widowControl/>
              <w:jc w:val="center"/>
              <w:rPr>
                <w:rFonts w:hint="eastAsia" w:ascii="仿宋" w:hAnsi="仿宋" w:eastAsia="仿宋" w:cs="宋体"/>
                <w:color w:val="000000"/>
                <w:kern w:val="0"/>
                <w:sz w:val="22"/>
                <w:szCs w:val="22"/>
              </w:rPr>
            </w:pPr>
          </w:p>
        </w:tc>
        <w:tc>
          <w:tcPr>
            <w:tcW w:w="1165" w:type="dxa"/>
            <w:tcBorders>
              <w:top w:val="nil"/>
              <w:left w:val="nil"/>
              <w:bottom w:val="single" w:color="auto" w:sz="4" w:space="0"/>
              <w:right w:val="single" w:color="auto" w:sz="4" w:space="0"/>
            </w:tcBorders>
            <w:noWrap w:val="0"/>
            <w:vAlign w:val="center"/>
          </w:tcPr>
          <w:p w14:paraId="15AB3A4F">
            <w:pPr>
              <w:widowControl/>
              <w:jc w:val="center"/>
              <w:rPr>
                <w:rFonts w:hint="eastAsia" w:ascii="仿宋" w:hAnsi="仿宋" w:eastAsia="仿宋" w:cs="宋体"/>
                <w:color w:val="000000"/>
                <w:kern w:val="0"/>
                <w:sz w:val="22"/>
                <w:szCs w:val="22"/>
              </w:rPr>
            </w:pPr>
          </w:p>
        </w:tc>
        <w:tc>
          <w:tcPr>
            <w:tcW w:w="1027" w:type="dxa"/>
            <w:tcBorders>
              <w:top w:val="nil"/>
              <w:left w:val="nil"/>
              <w:bottom w:val="single" w:color="auto" w:sz="4" w:space="0"/>
              <w:right w:val="single" w:color="auto" w:sz="4" w:space="0"/>
            </w:tcBorders>
            <w:noWrap w:val="0"/>
            <w:vAlign w:val="center"/>
          </w:tcPr>
          <w:p w14:paraId="508A7FEA">
            <w:pPr>
              <w:widowControl/>
              <w:jc w:val="center"/>
              <w:rPr>
                <w:rFonts w:hint="eastAsia" w:ascii="仿宋" w:hAnsi="仿宋" w:eastAsia="仿宋" w:cs="宋体"/>
                <w:color w:val="000000"/>
                <w:kern w:val="0"/>
                <w:sz w:val="22"/>
                <w:szCs w:val="22"/>
              </w:rPr>
            </w:pPr>
          </w:p>
        </w:tc>
        <w:tc>
          <w:tcPr>
            <w:tcW w:w="1812" w:type="dxa"/>
            <w:tcBorders>
              <w:top w:val="nil"/>
              <w:left w:val="nil"/>
              <w:bottom w:val="single" w:color="auto" w:sz="4" w:space="0"/>
              <w:right w:val="single" w:color="auto" w:sz="4" w:space="0"/>
            </w:tcBorders>
            <w:noWrap w:val="0"/>
            <w:vAlign w:val="center"/>
          </w:tcPr>
          <w:p w14:paraId="022063A0">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 xml:space="preserve"> </w:t>
            </w:r>
          </w:p>
        </w:tc>
      </w:tr>
      <w:tr w14:paraId="3343928F">
        <w:tblPrEx>
          <w:tblCellMar>
            <w:top w:w="0" w:type="dxa"/>
            <w:left w:w="108" w:type="dxa"/>
            <w:bottom w:w="0" w:type="dxa"/>
            <w:right w:w="108" w:type="dxa"/>
          </w:tblCellMar>
        </w:tblPrEx>
        <w:trPr>
          <w:trHeight w:val="561" w:hRule="atLeast"/>
        </w:trPr>
        <w:tc>
          <w:tcPr>
            <w:tcW w:w="862" w:type="dxa"/>
            <w:tcBorders>
              <w:top w:val="nil"/>
              <w:left w:val="single" w:color="auto" w:sz="4" w:space="0"/>
              <w:bottom w:val="single" w:color="auto" w:sz="4" w:space="0"/>
              <w:right w:val="single" w:color="auto" w:sz="4" w:space="0"/>
            </w:tcBorders>
            <w:noWrap/>
            <w:vAlign w:val="center"/>
          </w:tcPr>
          <w:p w14:paraId="1CFB48EA">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3</w:t>
            </w:r>
          </w:p>
        </w:tc>
        <w:tc>
          <w:tcPr>
            <w:tcW w:w="1345" w:type="dxa"/>
            <w:tcBorders>
              <w:top w:val="nil"/>
              <w:left w:val="nil"/>
              <w:bottom w:val="single" w:color="auto" w:sz="4" w:space="0"/>
              <w:right w:val="single" w:color="auto" w:sz="4" w:space="0"/>
            </w:tcBorders>
            <w:noWrap w:val="0"/>
            <w:vAlign w:val="center"/>
          </w:tcPr>
          <w:p w14:paraId="5B621C50">
            <w:pPr>
              <w:widowControl/>
              <w:jc w:val="center"/>
              <w:rPr>
                <w:rFonts w:hint="eastAsia" w:ascii="仿宋" w:hAnsi="仿宋" w:eastAsia="仿宋" w:cs="宋体"/>
                <w:color w:val="000000"/>
                <w:kern w:val="0"/>
                <w:sz w:val="22"/>
                <w:szCs w:val="22"/>
              </w:rPr>
            </w:pPr>
          </w:p>
        </w:tc>
        <w:tc>
          <w:tcPr>
            <w:tcW w:w="1891" w:type="dxa"/>
            <w:tcBorders>
              <w:top w:val="nil"/>
              <w:left w:val="nil"/>
              <w:bottom w:val="single" w:color="auto" w:sz="4" w:space="0"/>
              <w:right w:val="single" w:color="auto" w:sz="4" w:space="0"/>
            </w:tcBorders>
            <w:noWrap/>
            <w:vAlign w:val="center"/>
          </w:tcPr>
          <w:p w14:paraId="30DBA14D">
            <w:pPr>
              <w:widowControl/>
              <w:jc w:val="left"/>
              <w:rPr>
                <w:rFonts w:hint="eastAsia" w:ascii="仿宋" w:hAnsi="仿宋" w:eastAsia="仿宋" w:cs="宋体"/>
                <w:color w:val="000000"/>
                <w:kern w:val="0"/>
                <w:sz w:val="22"/>
                <w:szCs w:val="22"/>
              </w:rPr>
            </w:pPr>
          </w:p>
        </w:tc>
        <w:tc>
          <w:tcPr>
            <w:tcW w:w="1396" w:type="dxa"/>
            <w:tcBorders>
              <w:top w:val="nil"/>
              <w:left w:val="nil"/>
              <w:bottom w:val="single" w:color="auto" w:sz="4" w:space="0"/>
              <w:right w:val="single" w:color="auto" w:sz="4" w:space="0"/>
            </w:tcBorders>
            <w:noWrap w:val="0"/>
            <w:vAlign w:val="center"/>
          </w:tcPr>
          <w:p w14:paraId="1F3B1BE7">
            <w:pPr>
              <w:widowControl/>
              <w:jc w:val="center"/>
              <w:rPr>
                <w:rFonts w:hint="eastAsia" w:ascii="仿宋" w:hAnsi="仿宋" w:eastAsia="仿宋" w:cs="宋体"/>
                <w:color w:val="000000"/>
                <w:kern w:val="0"/>
                <w:sz w:val="22"/>
                <w:szCs w:val="22"/>
              </w:rPr>
            </w:pPr>
          </w:p>
        </w:tc>
        <w:tc>
          <w:tcPr>
            <w:tcW w:w="1165" w:type="dxa"/>
            <w:tcBorders>
              <w:top w:val="nil"/>
              <w:left w:val="nil"/>
              <w:bottom w:val="single" w:color="auto" w:sz="4" w:space="0"/>
              <w:right w:val="single" w:color="auto" w:sz="4" w:space="0"/>
            </w:tcBorders>
            <w:noWrap w:val="0"/>
            <w:vAlign w:val="center"/>
          </w:tcPr>
          <w:p w14:paraId="43D61713">
            <w:pPr>
              <w:widowControl/>
              <w:jc w:val="center"/>
              <w:rPr>
                <w:rFonts w:hint="eastAsia" w:ascii="仿宋" w:hAnsi="仿宋" w:eastAsia="仿宋" w:cs="宋体"/>
                <w:color w:val="000000"/>
                <w:kern w:val="0"/>
                <w:sz w:val="22"/>
                <w:szCs w:val="22"/>
              </w:rPr>
            </w:pPr>
          </w:p>
        </w:tc>
        <w:tc>
          <w:tcPr>
            <w:tcW w:w="1027" w:type="dxa"/>
            <w:tcBorders>
              <w:top w:val="nil"/>
              <w:left w:val="nil"/>
              <w:bottom w:val="single" w:color="auto" w:sz="4" w:space="0"/>
              <w:right w:val="single" w:color="auto" w:sz="4" w:space="0"/>
            </w:tcBorders>
            <w:noWrap w:val="0"/>
            <w:vAlign w:val="center"/>
          </w:tcPr>
          <w:p w14:paraId="79AA1549">
            <w:pPr>
              <w:widowControl/>
              <w:jc w:val="center"/>
              <w:rPr>
                <w:rFonts w:hint="eastAsia" w:ascii="仿宋" w:hAnsi="仿宋" w:eastAsia="仿宋" w:cs="宋体"/>
                <w:color w:val="000000"/>
                <w:kern w:val="0"/>
                <w:sz w:val="22"/>
                <w:szCs w:val="22"/>
              </w:rPr>
            </w:pPr>
          </w:p>
        </w:tc>
        <w:tc>
          <w:tcPr>
            <w:tcW w:w="1812" w:type="dxa"/>
            <w:tcBorders>
              <w:top w:val="nil"/>
              <w:left w:val="nil"/>
              <w:bottom w:val="single" w:color="auto" w:sz="4" w:space="0"/>
              <w:right w:val="single" w:color="auto" w:sz="4" w:space="0"/>
            </w:tcBorders>
            <w:noWrap w:val="0"/>
            <w:vAlign w:val="center"/>
          </w:tcPr>
          <w:p w14:paraId="2FD054DB">
            <w:pPr>
              <w:widowControl/>
              <w:jc w:val="center"/>
              <w:rPr>
                <w:rFonts w:hint="eastAsia" w:ascii="仿宋" w:hAnsi="仿宋" w:eastAsia="仿宋" w:cs="宋体"/>
                <w:color w:val="000000"/>
                <w:kern w:val="0"/>
                <w:sz w:val="22"/>
                <w:szCs w:val="22"/>
              </w:rPr>
            </w:pPr>
          </w:p>
        </w:tc>
      </w:tr>
      <w:tr w14:paraId="729618EA">
        <w:tblPrEx>
          <w:tblCellMar>
            <w:top w:w="0" w:type="dxa"/>
            <w:left w:w="108" w:type="dxa"/>
            <w:bottom w:w="0" w:type="dxa"/>
            <w:right w:w="108" w:type="dxa"/>
          </w:tblCellMar>
        </w:tblPrEx>
        <w:trPr>
          <w:trHeight w:val="561" w:hRule="atLeast"/>
        </w:trPr>
        <w:tc>
          <w:tcPr>
            <w:tcW w:w="862" w:type="dxa"/>
            <w:tcBorders>
              <w:top w:val="nil"/>
              <w:left w:val="single" w:color="auto" w:sz="4" w:space="0"/>
              <w:bottom w:val="single" w:color="auto" w:sz="4" w:space="0"/>
              <w:right w:val="single" w:color="auto" w:sz="4" w:space="0"/>
            </w:tcBorders>
            <w:noWrap/>
            <w:vAlign w:val="center"/>
          </w:tcPr>
          <w:p w14:paraId="7D3B911B">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4</w:t>
            </w:r>
          </w:p>
        </w:tc>
        <w:tc>
          <w:tcPr>
            <w:tcW w:w="1345" w:type="dxa"/>
            <w:tcBorders>
              <w:top w:val="nil"/>
              <w:left w:val="nil"/>
              <w:bottom w:val="single" w:color="auto" w:sz="4" w:space="0"/>
              <w:right w:val="single" w:color="auto" w:sz="4" w:space="0"/>
            </w:tcBorders>
            <w:noWrap w:val="0"/>
            <w:vAlign w:val="center"/>
          </w:tcPr>
          <w:p w14:paraId="60D44AD1">
            <w:pPr>
              <w:widowControl/>
              <w:jc w:val="center"/>
              <w:rPr>
                <w:rFonts w:hint="eastAsia" w:ascii="仿宋" w:hAnsi="仿宋" w:eastAsia="仿宋" w:cs="宋体"/>
                <w:color w:val="000000"/>
                <w:kern w:val="0"/>
                <w:sz w:val="22"/>
                <w:szCs w:val="22"/>
              </w:rPr>
            </w:pPr>
          </w:p>
        </w:tc>
        <w:tc>
          <w:tcPr>
            <w:tcW w:w="1891" w:type="dxa"/>
            <w:tcBorders>
              <w:top w:val="nil"/>
              <w:left w:val="nil"/>
              <w:bottom w:val="single" w:color="auto" w:sz="4" w:space="0"/>
              <w:right w:val="single" w:color="auto" w:sz="4" w:space="0"/>
            </w:tcBorders>
            <w:noWrap/>
            <w:vAlign w:val="center"/>
          </w:tcPr>
          <w:p w14:paraId="09A3EF59">
            <w:pPr>
              <w:widowControl/>
              <w:jc w:val="left"/>
              <w:rPr>
                <w:rFonts w:hint="eastAsia" w:ascii="仿宋" w:hAnsi="仿宋" w:eastAsia="仿宋" w:cs="宋体"/>
                <w:color w:val="000000"/>
                <w:kern w:val="0"/>
                <w:sz w:val="22"/>
                <w:szCs w:val="22"/>
              </w:rPr>
            </w:pPr>
          </w:p>
        </w:tc>
        <w:tc>
          <w:tcPr>
            <w:tcW w:w="1396" w:type="dxa"/>
            <w:tcBorders>
              <w:top w:val="nil"/>
              <w:left w:val="nil"/>
              <w:bottom w:val="single" w:color="auto" w:sz="4" w:space="0"/>
              <w:right w:val="single" w:color="auto" w:sz="4" w:space="0"/>
            </w:tcBorders>
            <w:noWrap w:val="0"/>
            <w:vAlign w:val="center"/>
          </w:tcPr>
          <w:p w14:paraId="0C611D63">
            <w:pPr>
              <w:widowControl/>
              <w:jc w:val="center"/>
              <w:rPr>
                <w:rFonts w:hint="eastAsia" w:ascii="仿宋" w:hAnsi="仿宋" w:eastAsia="仿宋" w:cs="宋体"/>
                <w:color w:val="000000"/>
                <w:kern w:val="0"/>
                <w:sz w:val="22"/>
                <w:szCs w:val="22"/>
              </w:rPr>
            </w:pPr>
          </w:p>
        </w:tc>
        <w:tc>
          <w:tcPr>
            <w:tcW w:w="1165" w:type="dxa"/>
            <w:tcBorders>
              <w:top w:val="nil"/>
              <w:left w:val="nil"/>
              <w:bottom w:val="single" w:color="auto" w:sz="4" w:space="0"/>
              <w:right w:val="single" w:color="auto" w:sz="4" w:space="0"/>
            </w:tcBorders>
            <w:noWrap w:val="0"/>
            <w:vAlign w:val="center"/>
          </w:tcPr>
          <w:p w14:paraId="53214AAC">
            <w:pPr>
              <w:widowControl/>
              <w:jc w:val="center"/>
              <w:rPr>
                <w:rFonts w:hint="eastAsia" w:ascii="仿宋" w:hAnsi="仿宋" w:eastAsia="仿宋" w:cs="宋体"/>
                <w:color w:val="000000"/>
                <w:kern w:val="0"/>
                <w:sz w:val="22"/>
                <w:szCs w:val="22"/>
              </w:rPr>
            </w:pPr>
          </w:p>
        </w:tc>
        <w:tc>
          <w:tcPr>
            <w:tcW w:w="1027" w:type="dxa"/>
            <w:tcBorders>
              <w:top w:val="nil"/>
              <w:left w:val="nil"/>
              <w:bottom w:val="single" w:color="auto" w:sz="4" w:space="0"/>
              <w:right w:val="single" w:color="auto" w:sz="4" w:space="0"/>
            </w:tcBorders>
            <w:noWrap w:val="0"/>
            <w:vAlign w:val="center"/>
          </w:tcPr>
          <w:p w14:paraId="738C75DA">
            <w:pPr>
              <w:widowControl/>
              <w:jc w:val="center"/>
              <w:rPr>
                <w:rFonts w:hint="eastAsia" w:ascii="仿宋" w:hAnsi="仿宋" w:eastAsia="仿宋" w:cs="宋体"/>
                <w:color w:val="000000"/>
                <w:kern w:val="0"/>
                <w:sz w:val="22"/>
                <w:szCs w:val="22"/>
              </w:rPr>
            </w:pPr>
          </w:p>
        </w:tc>
        <w:tc>
          <w:tcPr>
            <w:tcW w:w="1812" w:type="dxa"/>
            <w:tcBorders>
              <w:top w:val="nil"/>
              <w:left w:val="nil"/>
              <w:bottom w:val="single" w:color="auto" w:sz="4" w:space="0"/>
              <w:right w:val="single" w:color="auto" w:sz="4" w:space="0"/>
            </w:tcBorders>
            <w:noWrap w:val="0"/>
            <w:vAlign w:val="center"/>
          </w:tcPr>
          <w:p w14:paraId="000DDA94">
            <w:pPr>
              <w:widowControl/>
              <w:jc w:val="center"/>
              <w:rPr>
                <w:rFonts w:hint="eastAsia" w:ascii="仿宋" w:hAnsi="仿宋" w:eastAsia="仿宋" w:cs="宋体"/>
                <w:color w:val="000000"/>
                <w:kern w:val="0"/>
                <w:sz w:val="22"/>
                <w:szCs w:val="22"/>
              </w:rPr>
            </w:pPr>
          </w:p>
        </w:tc>
      </w:tr>
      <w:tr w14:paraId="33112973">
        <w:tblPrEx>
          <w:tblCellMar>
            <w:top w:w="0" w:type="dxa"/>
            <w:left w:w="108" w:type="dxa"/>
            <w:bottom w:w="0" w:type="dxa"/>
            <w:right w:w="108" w:type="dxa"/>
          </w:tblCellMar>
        </w:tblPrEx>
        <w:trPr>
          <w:trHeight w:val="561" w:hRule="atLeast"/>
        </w:trPr>
        <w:tc>
          <w:tcPr>
            <w:tcW w:w="862" w:type="dxa"/>
            <w:tcBorders>
              <w:top w:val="nil"/>
              <w:left w:val="single" w:color="auto" w:sz="4" w:space="0"/>
              <w:bottom w:val="single" w:color="auto" w:sz="4" w:space="0"/>
              <w:right w:val="single" w:color="auto" w:sz="4" w:space="0"/>
            </w:tcBorders>
            <w:noWrap/>
            <w:vAlign w:val="center"/>
          </w:tcPr>
          <w:p w14:paraId="0A86649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w:t>
            </w:r>
          </w:p>
        </w:tc>
        <w:tc>
          <w:tcPr>
            <w:tcW w:w="1345" w:type="dxa"/>
            <w:tcBorders>
              <w:top w:val="nil"/>
              <w:left w:val="nil"/>
              <w:bottom w:val="single" w:color="auto" w:sz="4" w:space="0"/>
              <w:right w:val="single" w:color="auto" w:sz="4" w:space="0"/>
            </w:tcBorders>
            <w:noWrap w:val="0"/>
            <w:vAlign w:val="center"/>
          </w:tcPr>
          <w:p w14:paraId="6C3A07B8">
            <w:pPr>
              <w:widowControl/>
              <w:jc w:val="center"/>
              <w:rPr>
                <w:rFonts w:hint="eastAsia" w:ascii="仿宋" w:hAnsi="仿宋" w:eastAsia="仿宋" w:cs="宋体"/>
                <w:color w:val="000000"/>
                <w:kern w:val="0"/>
                <w:sz w:val="22"/>
                <w:szCs w:val="22"/>
              </w:rPr>
            </w:pPr>
          </w:p>
        </w:tc>
        <w:tc>
          <w:tcPr>
            <w:tcW w:w="1891" w:type="dxa"/>
            <w:tcBorders>
              <w:top w:val="nil"/>
              <w:left w:val="nil"/>
              <w:bottom w:val="single" w:color="auto" w:sz="4" w:space="0"/>
              <w:right w:val="single" w:color="auto" w:sz="4" w:space="0"/>
            </w:tcBorders>
            <w:noWrap/>
            <w:vAlign w:val="center"/>
          </w:tcPr>
          <w:p w14:paraId="4D3B724A">
            <w:pPr>
              <w:widowControl/>
              <w:jc w:val="left"/>
              <w:rPr>
                <w:rFonts w:hint="eastAsia" w:ascii="仿宋" w:hAnsi="仿宋" w:eastAsia="仿宋" w:cs="宋体"/>
                <w:color w:val="000000"/>
                <w:kern w:val="0"/>
                <w:sz w:val="22"/>
                <w:szCs w:val="22"/>
              </w:rPr>
            </w:pPr>
          </w:p>
        </w:tc>
        <w:tc>
          <w:tcPr>
            <w:tcW w:w="1396" w:type="dxa"/>
            <w:tcBorders>
              <w:top w:val="nil"/>
              <w:left w:val="nil"/>
              <w:bottom w:val="single" w:color="auto" w:sz="4" w:space="0"/>
              <w:right w:val="single" w:color="auto" w:sz="4" w:space="0"/>
            </w:tcBorders>
            <w:noWrap w:val="0"/>
            <w:vAlign w:val="center"/>
          </w:tcPr>
          <w:p w14:paraId="294D6163">
            <w:pPr>
              <w:widowControl/>
              <w:jc w:val="center"/>
              <w:rPr>
                <w:rFonts w:hint="eastAsia" w:ascii="仿宋" w:hAnsi="仿宋" w:eastAsia="仿宋" w:cs="宋体"/>
                <w:color w:val="000000"/>
                <w:kern w:val="0"/>
                <w:sz w:val="22"/>
                <w:szCs w:val="22"/>
              </w:rPr>
            </w:pPr>
          </w:p>
        </w:tc>
        <w:tc>
          <w:tcPr>
            <w:tcW w:w="1165" w:type="dxa"/>
            <w:tcBorders>
              <w:top w:val="nil"/>
              <w:left w:val="nil"/>
              <w:bottom w:val="single" w:color="auto" w:sz="4" w:space="0"/>
              <w:right w:val="single" w:color="auto" w:sz="4" w:space="0"/>
            </w:tcBorders>
            <w:noWrap w:val="0"/>
            <w:vAlign w:val="center"/>
          </w:tcPr>
          <w:p w14:paraId="4700C75D">
            <w:pPr>
              <w:widowControl/>
              <w:jc w:val="center"/>
              <w:rPr>
                <w:rFonts w:hint="eastAsia" w:ascii="仿宋" w:hAnsi="仿宋" w:eastAsia="仿宋" w:cs="宋体"/>
                <w:color w:val="000000"/>
                <w:kern w:val="0"/>
                <w:sz w:val="22"/>
                <w:szCs w:val="22"/>
              </w:rPr>
            </w:pPr>
          </w:p>
        </w:tc>
        <w:tc>
          <w:tcPr>
            <w:tcW w:w="1027" w:type="dxa"/>
            <w:tcBorders>
              <w:top w:val="nil"/>
              <w:left w:val="nil"/>
              <w:bottom w:val="single" w:color="auto" w:sz="4" w:space="0"/>
              <w:right w:val="single" w:color="auto" w:sz="4" w:space="0"/>
            </w:tcBorders>
            <w:noWrap w:val="0"/>
            <w:vAlign w:val="center"/>
          </w:tcPr>
          <w:p w14:paraId="2DC29038">
            <w:pPr>
              <w:widowControl/>
              <w:jc w:val="center"/>
              <w:rPr>
                <w:rFonts w:hint="eastAsia" w:ascii="仿宋" w:hAnsi="仿宋" w:eastAsia="仿宋" w:cs="宋体"/>
                <w:color w:val="000000"/>
                <w:kern w:val="0"/>
                <w:sz w:val="22"/>
                <w:szCs w:val="22"/>
              </w:rPr>
            </w:pPr>
          </w:p>
        </w:tc>
        <w:tc>
          <w:tcPr>
            <w:tcW w:w="1812" w:type="dxa"/>
            <w:tcBorders>
              <w:top w:val="nil"/>
              <w:left w:val="nil"/>
              <w:bottom w:val="single" w:color="auto" w:sz="4" w:space="0"/>
              <w:right w:val="single" w:color="auto" w:sz="4" w:space="0"/>
            </w:tcBorders>
            <w:noWrap w:val="0"/>
            <w:vAlign w:val="center"/>
          </w:tcPr>
          <w:p w14:paraId="66433264">
            <w:pPr>
              <w:widowControl/>
              <w:jc w:val="center"/>
              <w:rPr>
                <w:rFonts w:hint="eastAsia" w:ascii="仿宋" w:hAnsi="仿宋" w:eastAsia="仿宋" w:cs="宋体"/>
                <w:color w:val="000000"/>
                <w:kern w:val="0"/>
                <w:sz w:val="22"/>
                <w:szCs w:val="22"/>
              </w:rPr>
            </w:pPr>
          </w:p>
        </w:tc>
      </w:tr>
      <w:tr w14:paraId="6D41AD43">
        <w:tblPrEx>
          <w:tblCellMar>
            <w:top w:w="0" w:type="dxa"/>
            <w:left w:w="108" w:type="dxa"/>
            <w:bottom w:w="0" w:type="dxa"/>
            <w:right w:w="108" w:type="dxa"/>
          </w:tblCellMar>
        </w:tblPrEx>
        <w:trPr>
          <w:trHeight w:val="561" w:hRule="atLeast"/>
        </w:trPr>
        <w:tc>
          <w:tcPr>
            <w:tcW w:w="862" w:type="dxa"/>
            <w:tcBorders>
              <w:top w:val="nil"/>
              <w:left w:val="single" w:color="auto" w:sz="4" w:space="0"/>
              <w:bottom w:val="single" w:color="auto" w:sz="4" w:space="0"/>
              <w:right w:val="single" w:color="auto" w:sz="4" w:space="0"/>
            </w:tcBorders>
            <w:noWrap/>
            <w:vAlign w:val="center"/>
          </w:tcPr>
          <w:p w14:paraId="399CAB1E">
            <w:pPr>
              <w:widowControl/>
              <w:jc w:val="center"/>
              <w:rPr>
                <w:rFonts w:hint="eastAsia" w:ascii="仿宋" w:hAnsi="仿宋" w:eastAsia="仿宋" w:cs="宋体"/>
                <w:color w:val="000000"/>
                <w:kern w:val="0"/>
                <w:sz w:val="22"/>
                <w:szCs w:val="22"/>
              </w:rPr>
            </w:pPr>
            <w:r>
              <w:rPr>
                <w:rFonts w:ascii="仿宋" w:hAnsi="仿宋" w:eastAsia="仿宋" w:cs="宋体"/>
                <w:color w:val="000000"/>
                <w:kern w:val="0"/>
                <w:sz w:val="22"/>
                <w:szCs w:val="22"/>
              </w:rPr>
              <w:t>……</w:t>
            </w:r>
          </w:p>
        </w:tc>
        <w:tc>
          <w:tcPr>
            <w:tcW w:w="1345" w:type="dxa"/>
            <w:tcBorders>
              <w:top w:val="nil"/>
              <w:left w:val="nil"/>
              <w:bottom w:val="single" w:color="auto" w:sz="4" w:space="0"/>
              <w:right w:val="single" w:color="auto" w:sz="4" w:space="0"/>
            </w:tcBorders>
            <w:noWrap w:val="0"/>
            <w:vAlign w:val="center"/>
          </w:tcPr>
          <w:p w14:paraId="3564EDE1">
            <w:pPr>
              <w:widowControl/>
              <w:jc w:val="center"/>
              <w:rPr>
                <w:rFonts w:hint="eastAsia" w:ascii="仿宋" w:hAnsi="仿宋" w:eastAsia="仿宋" w:cs="宋体"/>
                <w:color w:val="000000"/>
                <w:kern w:val="0"/>
                <w:sz w:val="22"/>
                <w:szCs w:val="22"/>
              </w:rPr>
            </w:pPr>
          </w:p>
        </w:tc>
        <w:tc>
          <w:tcPr>
            <w:tcW w:w="1891" w:type="dxa"/>
            <w:tcBorders>
              <w:top w:val="nil"/>
              <w:left w:val="nil"/>
              <w:bottom w:val="single" w:color="auto" w:sz="4" w:space="0"/>
              <w:right w:val="single" w:color="auto" w:sz="4" w:space="0"/>
            </w:tcBorders>
            <w:noWrap/>
            <w:vAlign w:val="center"/>
          </w:tcPr>
          <w:p w14:paraId="2369D3D2">
            <w:pPr>
              <w:widowControl/>
              <w:jc w:val="left"/>
              <w:rPr>
                <w:rFonts w:hint="eastAsia" w:ascii="仿宋" w:hAnsi="仿宋" w:eastAsia="仿宋" w:cs="宋体"/>
                <w:color w:val="000000"/>
                <w:kern w:val="0"/>
                <w:sz w:val="22"/>
                <w:szCs w:val="22"/>
              </w:rPr>
            </w:pPr>
          </w:p>
        </w:tc>
        <w:tc>
          <w:tcPr>
            <w:tcW w:w="1396" w:type="dxa"/>
            <w:tcBorders>
              <w:top w:val="nil"/>
              <w:left w:val="nil"/>
              <w:bottom w:val="single" w:color="auto" w:sz="4" w:space="0"/>
              <w:right w:val="single" w:color="auto" w:sz="4" w:space="0"/>
            </w:tcBorders>
            <w:noWrap w:val="0"/>
            <w:vAlign w:val="center"/>
          </w:tcPr>
          <w:p w14:paraId="492F6EC4">
            <w:pPr>
              <w:widowControl/>
              <w:jc w:val="center"/>
              <w:rPr>
                <w:rFonts w:hint="eastAsia" w:ascii="仿宋" w:hAnsi="仿宋" w:eastAsia="仿宋" w:cs="宋体"/>
                <w:color w:val="000000"/>
                <w:kern w:val="0"/>
                <w:sz w:val="22"/>
                <w:szCs w:val="22"/>
              </w:rPr>
            </w:pPr>
          </w:p>
        </w:tc>
        <w:tc>
          <w:tcPr>
            <w:tcW w:w="1165" w:type="dxa"/>
            <w:tcBorders>
              <w:top w:val="nil"/>
              <w:left w:val="nil"/>
              <w:bottom w:val="single" w:color="auto" w:sz="4" w:space="0"/>
              <w:right w:val="single" w:color="auto" w:sz="4" w:space="0"/>
            </w:tcBorders>
            <w:noWrap w:val="0"/>
            <w:vAlign w:val="center"/>
          </w:tcPr>
          <w:p w14:paraId="2474A807">
            <w:pPr>
              <w:widowControl/>
              <w:jc w:val="center"/>
              <w:rPr>
                <w:rFonts w:hint="eastAsia" w:ascii="仿宋" w:hAnsi="仿宋" w:eastAsia="仿宋" w:cs="宋体"/>
                <w:color w:val="000000"/>
                <w:kern w:val="0"/>
                <w:sz w:val="22"/>
                <w:szCs w:val="22"/>
              </w:rPr>
            </w:pPr>
          </w:p>
        </w:tc>
        <w:tc>
          <w:tcPr>
            <w:tcW w:w="1027" w:type="dxa"/>
            <w:tcBorders>
              <w:top w:val="nil"/>
              <w:left w:val="nil"/>
              <w:bottom w:val="single" w:color="auto" w:sz="4" w:space="0"/>
              <w:right w:val="single" w:color="auto" w:sz="4" w:space="0"/>
            </w:tcBorders>
            <w:noWrap w:val="0"/>
            <w:vAlign w:val="center"/>
          </w:tcPr>
          <w:p w14:paraId="377B8F2D">
            <w:pPr>
              <w:widowControl/>
              <w:jc w:val="center"/>
              <w:rPr>
                <w:rFonts w:hint="eastAsia" w:ascii="仿宋" w:hAnsi="仿宋" w:eastAsia="仿宋" w:cs="宋体"/>
                <w:color w:val="000000"/>
                <w:kern w:val="0"/>
                <w:sz w:val="22"/>
                <w:szCs w:val="22"/>
              </w:rPr>
            </w:pPr>
          </w:p>
        </w:tc>
        <w:tc>
          <w:tcPr>
            <w:tcW w:w="1812" w:type="dxa"/>
            <w:tcBorders>
              <w:top w:val="nil"/>
              <w:left w:val="nil"/>
              <w:bottom w:val="single" w:color="auto" w:sz="4" w:space="0"/>
              <w:right w:val="single" w:color="auto" w:sz="4" w:space="0"/>
            </w:tcBorders>
            <w:noWrap w:val="0"/>
            <w:vAlign w:val="center"/>
          </w:tcPr>
          <w:p w14:paraId="7CD37C97">
            <w:pPr>
              <w:widowControl/>
              <w:jc w:val="center"/>
              <w:rPr>
                <w:rFonts w:hint="eastAsia" w:ascii="仿宋" w:hAnsi="仿宋" w:eastAsia="仿宋" w:cs="宋体"/>
                <w:color w:val="000000"/>
                <w:kern w:val="0"/>
                <w:sz w:val="22"/>
                <w:szCs w:val="22"/>
              </w:rPr>
            </w:pPr>
          </w:p>
        </w:tc>
      </w:tr>
      <w:tr w14:paraId="2ABC290E">
        <w:tblPrEx>
          <w:tblCellMar>
            <w:top w:w="0" w:type="dxa"/>
            <w:left w:w="108" w:type="dxa"/>
            <w:bottom w:w="0" w:type="dxa"/>
            <w:right w:w="108" w:type="dxa"/>
          </w:tblCellMar>
        </w:tblPrEx>
        <w:trPr>
          <w:trHeight w:val="435" w:hRule="atLeast"/>
        </w:trPr>
        <w:tc>
          <w:tcPr>
            <w:tcW w:w="9498" w:type="dxa"/>
            <w:gridSpan w:val="7"/>
            <w:tcBorders>
              <w:top w:val="nil"/>
              <w:left w:val="nil"/>
              <w:bottom w:val="nil"/>
              <w:right w:val="nil"/>
            </w:tcBorders>
            <w:noWrap/>
            <w:vAlign w:val="center"/>
          </w:tcPr>
          <w:p w14:paraId="58847725">
            <w:pPr>
              <w:widowControl/>
              <w:jc w:val="lef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上述案件委托</w:t>
            </w:r>
            <w:r>
              <w:rPr>
                <w:rFonts w:ascii="仿宋" w:hAnsi="仿宋" w:eastAsia="仿宋" w:cs="宋体"/>
                <w:color w:val="000000"/>
                <w:kern w:val="0"/>
                <w:sz w:val="22"/>
                <w:szCs w:val="22"/>
              </w:rPr>
              <w:t>***</w:t>
            </w:r>
            <w:r>
              <w:rPr>
                <w:rFonts w:hint="eastAsia" w:ascii="仿宋" w:hAnsi="仿宋" w:eastAsia="仿宋" w:cs="宋体"/>
                <w:color w:val="000000"/>
                <w:kern w:val="0"/>
                <w:sz w:val="22"/>
                <w:szCs w:val="22"/>
              </w:rPr>
              <w:t>律师事务所处理</w:t>
            </w:r>
          </w:p>
        </w:tc>
      </w:tr>
      <w:tr w14:paraId="313C0ECE">
        <w:tblPrEx>
          <w:tblCellMar>
            <w:top w:w="0" w:type="dxa"/>
            <w:left w:w="108" w:type="dxa"/>
            <w:bottom w:w="0" w:type="dxa"/>
            <w:right w:w="108" w:type="dxa"/>
          </w:tblCellMar>
        </w:tblPrEx>
        <w:trPr>
          <w:trHeight w:val="615" w:hRule="atLeast"/>
        </w:trPr>
        <w:tc>
          <w:tcPr>
            <w:tcW w:w="9498" w:type="dxa"/>
            <w:gridSpan w:val="7"/>
            <w:tcBorders>
              <w:top w:val="nil"/>
              <w:left w:val="nil"/>
              <w:bottom w:val="nil"/>
              <w:right w:val="nil"/>
            </w:tcBorders>
            <w:noWrap/>
            <w:vAlign w:val="center"/>
          </w:tcPr>
          <w:p w14:paraId="0225BC12">
            <w:pPr>
              <w:widowControl/>
              <w:jc w:val="righ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深圳第一亚太物业管理有限公司*</w:t>
            </w:r>
            <w:r>
              <w:rPr>
                <w:rFonts w:ascii="仿宋" w:hAnsi="仿宋" w:eastAsia="仿宋" w:cs="宋体"/>
                <w:color w:val="000000"/>
                <w:kern w:val="0"/>
                <w:sz w:val="22"/>
                <w:szCs w:val="22"/>
              </w:rPr>
              <w:t>*</w:t>
            </w:r>
            <w:r>
              <w:rPr>
                <w:rFonts w:hint="eastAsia" w:ascii="仿宋" w:hAnsi="仿宋" w:eastAsia="仿宋" w:cs="宋体"/>
                <w:color w:val="000000"/>
                <w:kern w:val="0"/>
                <w:sz w:val="22"/>
                <w:szCs w:val="22"/>
              </w:rPr>
              <w:t>分公司</w:t>
            </w:r>
          </w:p>
        </w:tc>
      </w:tr>
    </w:tbl>
    <w:p w14:paraId="4810081C">
      <w:pPr>
        <w:rPr>
          <w:rFonts w:ascii="宋体" w:hAnsi="宋体"/>
          <w:color w:val="auto"/>
          <w:sz w:val="28"/>
          <w:szCs w:val="28"/>
          <w:highlight w:val="none"/>
        </w:rPr>
      </w:pPr>
    </w:p>
    <w:p w14:paraId="480A1A17">
      <w:pPr>
        <w:adjustRightInd w:val="0"/>
        <w:snapToGrid w:val="0"/>
        <w:spacing w:line="560" w:lineRule="exact"/>
        <w:ind w:firstLine="440"/>
        <w:rPr>
          <w:rFonts w:ascii="仿宋_GB2312" w:eastAsia="仿宋_GB2312"/>
          <w:color w:val="auto"/>
          <w:sz w:val="24"/>
          <w:szCs w:val="24"/>
          <w:highlight w:val="none"/>
          <w:u w:val="single"/>
        </w:rPr>
      </w:pPr>
      <w:r>
        <w:rPr>
          <w:rFonts w:ascii="宋体" w:hAnsi="宋体"/>
          <w:b/>
          <w:bCs/>
          <w:color w:val="auto"/>
          <w:sz w:val="24"/>
          <w:szCs w:val="24"/>
          <w:highlight w:val="none"/>
        </w:rPr>
        <w:br w:type="page"/>
      </w:r>
      <w:bookmarkStart w:id="61" w:name="OLE_LINK10"/>
      <w:bookmarkStart w:id="62" w:name="OLE_LINK9"/>
    </w:p>
    <w:bookmarkEnd w:id="61"/>
    <w:bookmarkEnd w:id="62"/>
    <w:p w14:paraId="04A2A847">
      <w:pPr>
        <w:rPr>
          <w:rFonts w:ascii="宋体" w:hAnsi="宋体"/>
          <w:bCs/>
          <w:color w:val="auto"/>
          <w:sz w:val="24"/>
          <w:highlight w:val="none"/>
        </w:rPr>
      </w:pPr>
    </w:p>
    <w:p w14:paraId="7E1933B4">
      <w:pPr>
        <w:numPr>
          <w:ilvl w:val="0"/>
          <w:numId w:val="3"/>
        </w:numPr>
        <w:spacing w:line="360" w:lineRule="auto"/>
        <w:jc w:val="center"/>
        <w:outlineLvl w:val="0"/>
        <w:rPr>
          <w:rFonts w:ascii="仿宋" w:hAnsi="仿宋" w:eastAsia="仿宋" w:cs="仿宋"/>
          <w:color w:val="auto"/>
          <w:sz w:val="48"/>
          <w:szCs w:val="48"/>
          <w:highlight w:val="none"/>
          <w:shd w:val="clear" w:color="060000" w:fill="auto"/>
        </w:rPr>
      </w:pPr>
      <w:bookmarkStart w:id="63" w:name="_Toc80800161"/>
      <w:bookmarkStart w:id="64" w:name="_Toc80800162"/>
      <w:r>
        <w:rPr>
          <w:rFonts w:hint="eastAsia" w:ascii="黑体" w:hAnsi="黑体" w:eastAsia="黑体" w:cs="黑体"/>
          <w:color w:val="auto"/>
          <w:sz w:val="48"/>
          <w:szCs w:val="48"/>
          <w:highlight w:val="none"/>
          <w:shd w:val="clear" w:color="060000" w:fill="auto"/>
        </w:rPr>
        <w:t xml:space="preserve">  </w:t>
      </w:r>
      <w:bookmarkStart w:id="65" w:name="_Toc5934"/>
      <w:r>
        <w:rPr>
          <w:rFonts w:hint="eastAsia" w:ascii="黑体" w:hAnsi="黑体" w:eastAsia="黑体" w:cs="黑体"/>
          <w:color w:val="auto"/>
          <w:sz w:val="48"/>
          <w:szCs w:val="48"/>
          <w:highlight w:val="none"/>
          <w:shd w:val="clear" w:color="060000" w:fill="auto"/>
        </w:rPr>
        <w:t>需求任务书</w:t>
      </w:r>
      <w:bookmarkEnd w:id="63"/>
      <w:bookmarkEnd w:id="65"/>
    </w:p>
    <w:p w14:paraId="4F17995B">
      <w:pPr>
        <w:pStyle w:val="69"/>
        <w:widowControl/>
        <w:numPr>
          <w:ilvl w:val="-1"/>
          <w:numId w:val="0"/>
        </w:numPr>
        <w:autoSpaceDE w:val="0"/>
        <w:autoSpaceDN w:val="0"/>
        <w:adjustRightInd w:val="0"/>
        <w:snapToGrid w:val="0"/>
        <w:spacing w:line="56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项目地址：</w:t>
      </w:r>
    </w:p>
    <w:p w14:paraId="3BD74CC8">
      <w:pPr>
        <w:pStyle w:val="69"/>
        <w:widowControl/>
        <w:numPr>
          <w:ilvl w:val="255"/>
          <w:numId w:val="0"/>
        </w:numPr>
        <w:autoSpaceDE w:val="0"/>
        <w:autoSpaceDN w:val="0"/>
        <w:adjustRightInd w:val="0"/>
        <w:snapToGrid w:val="0"/>
        <w:spacing w:line="560" w:lineRule="exact"/>
        <w:ind w:firstLine="960" w:firstLineChars="3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标段一：重庆市巴南区巴南华府伴遖山、景云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望舒</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p>
    <w:p w14:paraId="32595D6A">
      <w:pPr>
        <w:pStyle w:val="69"/>
        <w:autoSpaceDE w:val="0"/>
        <w:autoSpaceDN w:val="0"/>
        <w:adjustRightInd w:val="0"/>
        <w:snapToGrid w:val="0"/>
        <w:spacing w:line="560" w:lineRule="exact"/>
        <w:ind w:firstLine="960" w:firstLineChars="3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标段二：重庆市巴南区巴南华府望舒</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、明昱阁、云邸；</w:t>
      </w:r>
    </w:p>
    <w:p w14:paraId="0057E9FC">
      <w:pPr>
        <w:numPr>
          <w:ilvl w:val="0"/>
          <w:numId w:val="4"/>
        </w:numPr>
        <w:autoSpaceDE w:val="0"/>
        <w:autoSpaceDN w:val="0"/>
        <w:ind w:firstLine="560" w:firstLineChars="0"/>
        <w:rPr>
          <w:rFonts w:ascii="仿宋" w:hAnsi="仿宋" w:eastAsia="仿宋" w:cs="仿宋"/>
          <w:color w:val="auto"/>
          <w:sz w:val="28"/>
          <w:szCs w:val="28"/>
          <w:highlight w:val="none"/>
        </w:rPr>
      </w:pPr>
      <w:r>
        <w:rPr>
          <w:rFonts w:hint="eastAsia" w:ascii="仿宋_GB2312" w:hAnsi="仿宋_GB2312" w:eastAsia="仿宋_GB2312" w:cs="仿宋_GB2312"/>
          <w:color w:val="auto"/>
          <w:sz w:val="32"/>
          <w:szCs w:val="32"/>
          <w:highlight w:val="none"/>
          <w:lang w:val="en-US" w:eastAsia="zh-CN"/>
        </w:rPr>
        <w:t>委托标的额</w:t>
      </w:r>
      <w:r>
        <w:rPr>
          <w:rFonts w:hint="eastAsia" w:ascii="仿宋_GB2312" w:hAnsi="仿宋_GB2312" w:eastAsia="仿宋_GB2312" w:cs="仿宋_GB2312"/>
          <w:color w:val="auto"/>
          <w:sz w:val="32"/>
          <w:szCs w:val="32"/>
          <w:highlight w:val="none"/>
        </w:rPr>
        <w:t>：标段一：</w:t>
      </w:r>
      <w:r>
        <w:rPr>
          <w:rFonts w:hint="eastAsia" w:ascii="仿宋_GB2312" w:hAnsi="仿宋_GB2312" w:eastAsia="仿宋_GB2312" w:cs="仿宋_GB2312"/>
          <w:color w:val="auto"/>
          <w:sz w:val="32"/>
          <w:szCs w:val="32"/>
          <w:highlight w:val="none"/>
          <w:lang w:val="en-US" w:eastAsia="zh-CN"/>
        </w:rPr>
        <w:t>暂定委托欠费本金为9295769.68元，998户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标段二</w:t>
      </w:r>
      <w:r>
        <w:rPr>
          <w:rFonts w:hint="eastAsia" w:ascii="仿宋_GB2312" w:hAnsi="仿宋_GB2312" w:eastAsia="仿宋_GB2312" w:cs="仿宋_GB2312"/>
          <w:color w:val="auto"/>
          <w:sz w:val="32"/>
          <w:szCs w:val="32"/>
          <w:highlight w:val="none"/>
          <w:lang w:val="en-US" w:eastAsia="zh-CN"/>
        </w:rPr>
        <w:t>:暂定委托欠费本金为9267442.97元，873户</w:t>
      </w:r>
      <w:r>
        <w:rPr>
          <w:rFonts w:hint="eastAsia" w:ascii="仿宋_GB2312" w:hAnsi="仿宋_GB2312" w:eastAsia="仿宋_GB2312" w:cs="仿宋_GB2312"/>
          <w:color w:val="auto"/>
          <w:sz w:val="32"/>
          <w:szCs w:val="32"/>
          <w:highlight w:val="none"/>
        </w:rPr>
        <w:t>。</w:t>
      </w:r>
    </w:p>
    <w:p w14:paraId="09A5BCD2">
      <w:pPr>
        <w:autoSpaceDE w:val="0"/>
        <w:autoSpaceDN w:val="0"/>
        <w:adjustRightInd w:val="0"/>
        <w:snapToGrid w:val="0"/>
        <w:spacing w:line="360" w:lineRule="auto"/>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w:t>
      </w:r>
      <w:r>
        <w:rPr>
          <w:rFonts w:hint="eastAsia" w:ascii="仿宋_GB2312" w:hAnsi="仿宋_GB2312" w:eastAsia="仿宋_GB2312" w:cs="仿宋_GB2312"/>
          <w:sz w:val="32"/>
          <w:szCs w:val="32"/>
          <w:highlight w:val="none"/>
          <w:lang w:val="en-US" w:eastAsia="zh-CN"/>
        </w:rPr>
        <w:t>物业费欠费追缴明细</w:t>
      </w:r>
    </w:p>
    <w:tbl>
      <w:tblPr>
        <w:tblStyle w:val="34"/>
        <w:tblW w:w="83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8"/>
        <w:gridCol w:w="1244"/>
        <w:gridCol w:w="1910"/>
        <w:gridCol w:w="2580"/>
        <w:gridCol w:w="1725"/>
      </w:tblGrid>
      <w:tr w14:paraId="55A7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F624">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序号</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C16F3">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标段</w:t>
            </w: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3F31">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项目名称</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5E7B">
            <w:pPr>
              <w:spacing w:after="0" w:line="44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物业费欠费本金（元）</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FCC2">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户数</w:t>
            </w:r>
          </w:p>
        </w:tc>
      </w:tr>
      <w:tr w14:paraId="5044F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E0F1">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p>
        </w:tc>
        <w:tc>
          <w:tcPr>
            <w:tcW w:w="1244" w:type="dxa"/>
            <w:vMerge w:val="restart"/>
            <w:tcBorders>
              <w:top w:val="single" w:color="000000" w:sz="4" w:space="0"/>
              <w:left w:val="single" w:color="000000" w:sz="4" w:space="0"/>
              <w:right w:val="single" w:color="000000" w:sz="4" w:space="0"/>
            </w:tcBorders>
            <w:shd w:val="clear" w:color="auto" w:fill="auto"/>
            <w:vAlign w:val="center"/>
          </w:tcPr>
          <w:p w14:paraId="4CFF939A">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标段一</w:t>
            </w: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1A43">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伴遖山</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0B7F">
            <w:pPr>
              <w:spacing w:after="0" w:line="560" w:lineRule="exact"/>
              <w:jc w:val="center"/>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2,129,649.98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A668">
            <w:pPr>
              <w:spacing w:after="0" w:line="560" w:lineRule="exact"/>
              <w:jc w:val="center"/>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345</w:t>
            </w:r>
          </w:p>
        </w:tc>
      </w:tr>
      <w:tr w14:paraId="1078A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0B79">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p>
        </w:tc>
        <w:tc>
          <w:tcPr>
            <w:tcW w:w="1244" w:type="dxa"/>
            <w:vMerge w:val="continue"/>
            <w:tcBorders>
              <w:left w:val="single" w:color="000000" w:sz="4" w:space="0"/>
              <w:right w:val="single" w:color="000000" w:sz="4" w:space="0"/>
            </w:tcBorders>
            <w:shd w:val="clear" w:color="auto" w:fill="auto"/>
            <w:vAlign w:val="center"/>
          </w:tcPr>
          <w:p w14:paraId="2C6117CE">
            <w:pPr>
              <w:spacing w:after="0" w:line="560" w:lineRule="exact"/>
              <w:jc w:val="center"/>
              <w:rPr>
                <w:rFonts w:hint="eastAsia" w:ascii="仿宋_GB2312" w:hAnsi="仿宋_GB2312" w:eastAsia="仿宋_GB2312" w:cs="仿宋_GB2312"/>
                <w:sz w:val="32"/>
                <w:szCs w:val="32"/>
                <w:highlight w:val="none"/>
                <w:lang w:val="en-US" w:eastAsia="zh-CN"/>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B921">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景云</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1D35">
            <w:pPr>
              <w:spacing w:after="0" w:line="560" w:lineRule="exact"/>
              <w:jc w:val="center"/>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463,036.42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B92A">
            <w:pPr>
              <w:spacing w:after="0" w:line="560" w:lineRule="exact"/>
              <w:jc w:val="center"/>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65</w:t>
            </w:r>
          </w:p>
        </w:tc>
      </w:tr>
      <w:tr w14:paraId="378C1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47FDF">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p>
        </w:tc>
        <w:tc>
          <w:tcPr>
            <w:tcW w:w="1244" w:type="dxa"/>
            <w:vMerge w:val="continue"/>
            <w:tcBorders>
              <w:left w:val="single" w:color="000000" w:sz="4" w:space="0"/>
              <w:right w:val="single" w:color="000000" w:sz="4" w:space="0"/>
            </w:tcBorders>
            <w:shd w:val="clear" w:color="auto" w:fill="auto"/>
            <w:vAlign w:val="center"/>
          </w:tcPr>
          <w:p w14:paraId="478EB179">
            <w:pPr>
              <w:spacing w:after="0" w:line="560" w:lineRule="exact"/>
              <w:jc w:val="center"/>
              <w:rPr>
                <w:rFonts w:hint="eastAsia" w:ascii="仿宋_GB2312" w:hAnsi="仿宋_GB2312" w:eastAsia="仿宋_GB2312" w:cs="仿宋_GB2312"/>
                <w:sz w:val="32"/>
                <w:szCs w:val="32"/>
                <w:highlight w:val="none"/>
                <w:lang w:val="en-US" w:eastAsia="zh-CN"/>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F6EF">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望舒(一）</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B93C">
            <w:pPr>
              <w:spacing w:after="0" w:line="56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6,703,083.28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3278">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588</w:t>
            </w:r>
          </w:p>
        </w:tc>
      </w:tr>
      <w:tr w14:paraId="40823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7682">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p>
        </w:tc>
        <w:tc>
          <w:tcPr>
            <w:tcW w:w="1244" w:type="dxa"/>
            <w:vMerge w:val="continue"/>
            <w:tcBorders>
              <w:left w:val="single" w:color="000000" w:sz="4" w:space="0"/>
              <w:bottom w:val="single" w:color="000000" w:sz="4" w:space="0"/>
              <w:right w:val="single" w:color="000000" w:sz="4" w:space="0"/>
            </w:tcBorders>
            <w:shd w:val="clear" w:color="auto" w:fill="auto"/>
            <w:vAlign w:val="center"/>
          </w:tcPr>
          <w:p w14:paraId="7A66C5F7">
            <w:pPr>
              <w:spacing w:after="0" w:line="560" w:lineRule="exact"/>
              <w:jc w:val="center"/>
              <w:rPr>
                <w:rFonts w:hint="eastAsia" w:ascii="仿宋_GB2312" w:hAnsi="仿宋_GB2312" w:eastAsia="仿宋_GB2312" w:cs="仿宋_GB2312"/>
                <w:sz w:val="32"/>
                <w:szCs w:val="32"/>
                <w:highlight w:val="none"/>
                <w:lang w:val="en-US" w:eastAsia="zh-CN"/>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5536">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合计</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9195">
            <w:pPr>
              <w:spacing w:after="0" w:line="56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9,295,769.68</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84BC">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998</w:t>
            </w:r>
          </w:p>
        </w:tc>
      </w:tr>
      <w:tr w14:paraId="7F76E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3307">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p>
        </w:tc>
        <w:tc>
          <w:tcPr>
            <w:tcW w:w="1244" w:type="dxa"/>
            <w:vMerge w:val="restart"/>
            <w:tcBorders>
              <w:top w:val="single" w:color="000000" w:sz="4" w:space="0"/>
              <w:left w:val="single" w:color="000000" w:sz="4" w:space="0"/>
              <w:right w:val="single" w:color="000000" w:sz="4" w:space="0"/>
            </w:tcBorders>
            <w:shd w:val="clear" w:color="auto" w:fill="auto"/>
            <w:vAlign w:val="center"/>
          </w:tcPr>
          <w:p w14:paraId="76C5A472">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标段二</w:t>
            </w: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540F">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望舒(二）</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83B4">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7,054,797.69</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12EF">
            <w:pPr>
              <w:spacing w:after="0" w:line="560" w:lineRule="exact"/>
              <w:jc w:val="center"/>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593</w:t>
            </w:r>
          </w:p>
        </w:tc>
      </w:tr>
      <w:tr w14:paraId="70318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C271">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p>
        </w:tc>
        <w:tc>
          <w:tcPr>
            <w:tcW w:w="1244" w:type="dxa"/>
            <w:vMerge w:val="continue"/>
            <w:tcBorders>
              <w:left w:val="single" w:color="000000" w:sz="4" w:space="0"/>
              <w:right w:val="single" w:color="000000" w:sz="4" w:space="0"/>
            </w:tcBorders>
            <w:shd w:val="clear" w:color="auto" w:fill="auto"/>
            <w:vAlign w:val="center"/>
          </w:tcPr>
          <w:p w14:paraId="2AAA360E">
            <w:pPr>
              <w:spacing w:after="0" w:line="560" w:lineRule="exact"/>
              <w:jc w:val="center"/>
              <w:rPr>
                <w:rFonts w:hint="eastAsia" w:ascii="仿宋_GB2312" w:hAnsi="仿宋_GB2312" w:eastAsia="仿宋_GB2312" w:cs="仿宋_GB2312"/>
                <w:sz w:val="32"/>
                <w:szCs w:val="32"/>
                <w:highlight w:val="none"/>
                <w:lang w:val="en-US" w:eastAsia="zh-CN"/>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DE5F">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明昱阁</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D70E">
            <w:pPr>
              <w:spacing w:after="0" w:line="560" w:lineRule="exact"/>
              <w:jc w:val="center"/>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1,059,903.06</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D538">
            <w:pPr>
              <w:spacing w:after="0" w:line="560" w:lineRule="exact"/>
              <w:jc w:val="center"/>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168</w:t>
            </w:r>
          </w:p>
        </w:tc>
      </w:tr>
      <w:tr w14:paraId="2D678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DBB5">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p>
        </w:tc>
        <w:tc>
          <w:tcPr>
            <w:tcW w:w="1244" w:type="dxa"/>
            <w:vMerge w:val="continue"/>
            <w:tcBorders>
              <w:left w:val="single" w:color="000000" w:sz="4" w:space="0"/>
              <w:right w:val="single" w:color="000000" w:sz="4" w:space="0"/>
            </w:tcBorders>
            <w:shd w:val="clear" w:color="auto" w:fill="auto"/>
            <w:vAlign w:val="center"/>
          </w:tcPr>
          <w:p w14:paraId="77E5F326">
            <w:pPr>
              <w:spacing w:after="0" w:line="560" w:lineRule="exact"/>
              <w:jc w:val="center"/>
              <w:rPr>
                <w:rFonts w:hint="eastAsia" w:ascii="仿宋_GB2312" w:hAnsi="仿宋_GB2312" w:eastAsia="仿宋_GB2312" w:cs="仿宋_GB2312"/>
                <w:sz w:val="32"/>
                <w:szCs w:val="32"/>
                <w:highlight w:val="none"/>
                <w:lang w:val="en-US" w:eastAsia="zh-CN"/>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48EB">
            <w:pPr>
              <w:spacing w:after="0" w:line="56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云邸</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8C25">
            <w:pPr>
              <w:spacing w:after="0" w:line="560" w:lineRule="exact"/>
              <w:jc w:val="center"/>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1,152,742.22</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7F445">
            <w:pPr>
              <w:spacing w:after="0" w:line="560" w:lineRule="exact"/>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112</w:t>
            </w:r>
          </w:p>
        </w:tc>
      </w:tr>
      <w:tr w14:paraId="2542D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6616">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p>
        </w:tc>
        <w:tc>
          <w:tcPr>
            <w:tcW w:w="1244" w:type="dxa"/>
            <w:vMerge w:val="continue"/>
            <w:tcBorders>
              <w:left w:val="single" w:color="000000" w:sz="4" w:space="0"/>
              <w:bottom w:val="single" w:color="000000" w:sz="4" w:space="0"/>
              <w:right w:val="single" w:color="000000" w:sz="4" w:space="0"/>
            </w:tcBorders>
            <w:shd w:val="clear" w:color="auto" w:fill="auto"/>
            <w:vAlign w:val="center"/>
          </w:tcPr>
          <w:p w14:paraId="2C12F6F0">
            <w:pPr>
              <w:spacing w:after="0" w:line="560" w:lineRule="exact"/>
              <w:jc w:val="center"/>
              <w:rPr>
                <w:rFonts w:hint="eastAsia" w:ascii="仿宋_GB2312" w:hAnsi="仿宋_GB2312" w:eastAsia="仿宋_GB2312" w:cs="仿宋_GB2312"/>
                <w:sz w:val="32"/>
                <w:szCs w:val="32"/>
                <w:highlight w:val="none"/>
                <w:lang w:val="en-US" w:eastAsia="zh-CN"/>
              </w:rPr>
            </w:pPr>
          </w:p>
        </w:tc>
        <w:tc>
          <w:tcPr>
            <w:tcW w:w="19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FAE9">
            <w:pPr>
              <w:spacing w:after="0" w:line="56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合计</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905E">
            <w:pPr>
              <w:spacing w:after="0" w:line="560" w:lineRule="exact"/>
              <w:jc w:val="cente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9,267,442.97</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C747">
            <w:pPr>
              <w:spacing w:after="0" w:line="560" w:lineRule="exact"/>
              <w:jc w:val="center"/>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873</w:t>
            </w:r>
          </w:p>
        </w:tc>
      </w:tr>
    </w:tbl>
    <w:p w14:paraId="127B473A">
      <w:pPr>
        <w:numPr>
          <w:ilvl w:val="0"/>
          <w:numId w:val="0"/>
        </w:numPr>
        <w:autoSpaceDE w:val="0"/>
        <w:autoSpaceDN w:val="0"/>
        <w:spacing w:after="0" w:line="56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四、人员要求：</w:t>
      </w:r>
      <w:r>
        <w:rPr>
          <w:rFonts w:hint="eastAsia" w:ascii="仿宋_GB2312" w:hAnsi="仿宋_GB2312" w:eastAsia="仿宋_GB2312" w:cs="仿宋_GB2312"/>
          <w:i w:val="0"/>
          <w:iCs w:val="0"/>
          <w:sz w:val="32"/>
          <w:szCs w:val="32"/>
          <w:highlight w:val="none"/>
        </w:rPr>
        <w:t>在和解高峰阶段</w:t>
      </w:r>
      <w:r>
        <w:rPr>
          <w:rFonts w:hint="eastAsia" w:ascii="仿宋_GB2312" w:hAnsi="仿宋_GB2312" w:eastAsia="仿宋_GB2312" w:cs="仿宋_GB2312"/>
          <w:i w:val="0"/>
          <w:iCs w:val="0"/>
          <w:sz w:val="32"/>
          <w:szCs w:val="32"/>
          <w:highlight w:val="none"/>
          <w:lang w:eastAsia="zh-CN"/>
        </w:rPr>
        <w:t>，</w:t>
      </w:r>
      <w:r>
        <w:rPr>
          <w:rFonts w:hint="eastAsia" w:ascii="仿宋_GB2312" w:hAnsi="仿宋_GB2312" w:eastAsia="仿宋_GB2312" w:cs="仿宋_GB2312"/>
          <w:sz w:val="32"/>
          <w:szCs w:val="32"/>
          <w:highlight w:val="none"/>
          <w:lang w:val="en-US" w:eastAsia="zh-CN"/>
        </w:rPr>
        <w:t>需</w:t>
      </w:r>
      <w:r>
        <w:rPr>
          <w:rFonts w:hint="eastAsia" w:ascii="仿宋_GB2312" w:hAnsi="仿宋_GB2312" w:eastAsia="仿宋_GB2312" w:cs="仿宋_GB2312"/>
          <w:sz w:val="32"/>
          <w:szCs w:val="32"/>
          <w:highlight w:val="none"/>
        </w:rPr>
        <w:t>指派1-2名律师助理驻点，专门负责对接所涉当事人信息、债务所涉及的相关证据材料及和解事宜</w:t>
      </w:r>
      <w:r>
        <w:rPr>
          <w:rFonts w:hint="eastAsia" w:ascii="仿宋_GB2312" w:hAnsi="仿宋_GB2312" w:eastAsia="仿宋_GB2312" w:cs="仿宋_GB2312"/>
          <w:sz w:val="32"/>
          <w:szCs w:val="32"/>
          <w:highlight w:val="none"/>
          <w:lang w:eastAsia="zh-CN"/>
        </w:rPr>
        <w:t>。</w:t>
      </w:r>
    </w:p>
    <w:p w14:paraId="5F73ABE5">
      <w:pPr>
        <w:numPr>
          <w:ilvl w:val="0"/>
          <w:numId w:val="0"/>
        </w:numPr>
        <w:autoSpaceDE w:val="0"/>
        <w:autoSpaceDN w:val="0"/>
        <w:spacing w:after="0" w:line="56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五、回款要求：</w:t>
      </w:r>
    </w:p>
    <w:p w14:paraId="675100F8">
      <w:pPr>
        <w:numPr>
          <w:ilvl w:val="0"/>
          <w:numId w:val="0"/>
        </w:numPr>
        <w:autoSpaceDE w:val="0"/>
        <w:autoSpaceDN w:val="0"/>
        <w:spacing w:after="0" w:line="560" w:lineRule="exact"/>
        <w:ind w:firstLine="640" w:firstLineChars="200"/>
        <w:rPr>
          <w:rFonts w:hint="eastAsia" w:ascii="仿宋_GB2312" w:eastAsia="仿宋_GB2312" w:hAnsiTheme="majorEastAsia"/>
          <w:color w:val="auto"/>
          <w:sz w:val="32"/>
          <w:szCs w:val="32"/>
          <w:highlight w:val="none"/>
        </w:rPr>
      </w:pPr>
      <w:r>
        <w:rPr>
          <w:rFonts w:hint="eastAsia" w:ascii="仿宋_GB2312" w:hAnsi="仿宋_GB2312" w:eastAsia="仿宋_GB2312" w:cs="仿宋_GB2312"/>
          <w:sz w:val="32"/>
          <w:szCs w:val="32"/>
          <w:highlight w:val="none"/>
          <w:lang w:val="en-US" w:eastAsia="zh-CN"/>
        </w:rPr>
        <w:t>标段一（伴遖山、景云、望舒(一））进场</w:t>
      </w:r>
      <w:r>
        <w:rPr>
          <w:rFonts w:hint="eastAsia" w:ascii="仿宋_GB2312" w:eastAsia="仿宋_GB2312" w:hAnsiTheme="majorEastAsia"/>
          <w:color w:val="auto"/>
          <w:sz w:val="32"/>
          <w:szCs w:val="32"/>
          <w:highlight w:val="none"/>
        </w:rPr>
        <w:t>3个月内</w:t>
      </w:r>
      <w:r>
        <w:rPr>
          <w:rFonts w:hint="eastAsia" w:ascii="仿宋_GB2312" w:eastAsia="仿宋_GB2312" w:hAnsiTheme="majorEastAsia"/>
          <w:color w:val="auto"/>
          <w:sz w:val="32"/>
          <w:szCs w:val="32"/>
          <w:highlight w:val="none"/>
          <w:lang w:val="en-US" w:eastAsia="zh-CN"/>
        </w:rPr>
        <w:t>催收回款135.87万元（回款目标</w:t>
      </w:r>
      <w:r>
        <w:rPr>
          <w:rFonts w:hint="eastAsia" w:ascii="仿宋_GB2312" w:hAnsi="仿宋_GB2312" w:eastAsia="仿宋_GB2312" w:cs="仿宋_GB2312"/>
          <w:color w:val="auto"/>
          <w:sz w:val="32"/>
          <w:szCs w:val="32"/>
          <w:highlight w:val="none"/>
          <w:lang w:val="en-US" w:eastAsia="zh-CN"/>
        </w:rPr>
        <w:t>339.67</w:t>
      </w:r>
      <w:r>
        <w:rPr>
          <w:rFonts w:hint="eastAsia" w:ascii="仿宋_GB2312" w:eastAsia="仿宋_GB2312" w:hAnsiTheme="majorEastAsia"/>
          <w:color w:val="auto"/>
          <w:sz w:val="32"/>
          <w:szCs w:val="32"/>
          <w:highlight w:val="none"/>
        </w:rPr>
        <w:t>万元的</w:t>
      </w:r>
      <w:r>
        <w:rPr>
          <w:rFonts w:hint="eastAsia" w:ascii="仿宋_GB2312" w:eastAsia="仿宋_GB2312" w:hAnsiTheme="majorEastAsia"/>
          <w:color w:val="auto"/>
          <w:sz w:val="32"/>
          <w:szCs w:val="32"/>
          <w:highlight w:val="none"/>
          <w:lang w:val="en-US" w:eastAsia="zh-CN"/>
        </w:rPr>
        <w:t>4</w:t>
      </w:r>
      <w:r>
        <w:rPr>
          <w:rFonts w:hint="eastAsia" w:ascii="仿宋_GB2312" w:eastAsia="仿宋_GB2312" w:hAnsiTheme="majorEastAsia"/>
          <w:color w:val="auto"/>
          <w:sz w:val="32"/>
          <w:szCs w:val="32"/>
          <w:highlight w:val="none"/>
        </w:rPr>
        <w:t>0%</w:t>
      </w:r>
      <w:r>
        <w:rPr>
          <w:rFonts w:hint="eastAsia" w:ascii="仿宋_GB2312" w:eastAsia="仿宋_GB2312" w:hAnsiTheme="majorEastAsia"/>
          <w:color w:val="auto"/>
          <w:sz w:val="32"/>
          <w:szCs w:val="32"/>
          <w:highlight w:val="none"/>
          <w:lang w:val="en-US" w:eastAsia="zh-CN"/>
        </w:rPr>
        <w:t>计算），</w:t>
      </w:r>
      <w:r>
        <w:rPr>
          <w:rFonts w:hint="eastAsia" w:ascii="仿宋_GB2312" w:eastAsia="仿宋_GB2312" w:hAnsiTheme="majorEastAsia"/>
          <w:color w:val="auto"/>
          <w:sz w:val="32"/>
          <w:szCs w:val="32"/>
          <w:highlight w:val="none"/>
        </w:rPr>
        <w:t>未达到目标值，合同终止。</w:t>
      </w:r>
    </w:p>
    <w:p w14:paraId="2C32AAD8">
      <w:pPr>
        <w:numPr>
          <w:ilvl w:val="-1"/>
          <w:numId w:val="0"/>
        </w:numPr>
        <w:autoSpaceDE w:val="0"/>
        <w:autoSpaceDN w:val="0"/>
        <w:spacing w:after="0" w:line="560" w:lineRule="exact"/>
        <w:ind w:firstLine="640" w:firstLineChars="200"/>
        <w:rPr>
          <w:rFonts w:hint="eastAsia" w:ascii="仿宋_GB2312" w:eastAsia="仿宋_GB2312" w:hAnsiTheme="majorEastAsia"/>
          <w:color w:val="auto"/>
          <w:sz w:val="32"/>
          <w:szCs w:val="32"/>
          <w:highlight w:val="none"/>
        </w:rPr>
      </w:pPr>
      <w:r>
        <w:rPr>
          <w:rFonts w:hint="eastAsia" w:ascii="仿宋_GB2312" w:hAnsi="仿宋_GB2312" w:eastAsia="仿宋_GB2312" w:cs="仿宋_GB2312"/>
          <w:sz w:val="32"/>
          <w:szCs w:val="32"/>
          <w:highlight w:val="none"/>
          <w:lang w:val="en-US" w:eastAsia="zh-CN"/>
        </w:rPr>
        <w:t>标段二（望舒(二）、明昱阁、云邸）进场</w:t>
      </w:r>
      <w:r>
        <w:rPr>
          <w:rFonts w:hint="eastAsia" w:ascii="仿宋_GB2312" w:eastAsia="仿宋_GB2312" w:hAnsiTheme="majorEastAsia"/>
          <w:color w:val="auto"/>
          <w:sz w:val="32"/>
          <w:szCs w:val="32"/>
          <w:highlight w:val="none"/>
        </w:rPr>
        <w:t>3个月内</w:t>
      </w:r>
      <w:r>
        <w:rPr>
          <w:rFonts w:hint="eastAsia" w:ascii="仿宋_GB2312" w:eastAsia="仿宋_GB2312" w:hAnsiTheme="majorEastAsia"/>
          <w:color w:val="auto"/>
          <w:sz w:val="32"/>
          <w:szCs w:val="32"/>
          <w:highlight w:val="none"/>
          <w:lang w:val="en-US" w:eastAsia="zh-CN"/>
        </w:rPr>
        <w:t>催收回款135.94万元（回款目标</w:t>
      </w:r>
      <w:r>
        <w:rPr>
          <w:rFonts w:hint="eastAsia" w:ascii="仿宋_GB2312" w:hAnsi="仿宋_GB2312" w:eastAsia="仿宋_GB2312" w:cs="仿宋_GB2312"/>
          <w:color w:val="auto"/>
          <w:sz w:val="32"/>
          <w:szCs w:val="32"/>
          <w:highlight w:val="none"/>
          <w:lang w:val="en-US" w:eastAsia="zh-CN"/>
        </w:rPr>
        <w:t>339.85</w:t>
      </w:r>
      <w:r>
        <w:rPr>
          <w:rFonts w:hint="eastAsia" w:ascii="仿宋_GB2312" w:eastAsia="仿宋_GB2312" w:hAnsiTheme="majorEastAsia"/>
          <w:color w:val="auto"/>
          <w:sz w:val="32"/>
          <w:szCs w:val="32"/>
          <w:highlight w:val="none"/>
        </w:rPr>
        <w:t>万元的</w:t>
      </w:r>
      <w:r>
        <w:rPr>
          <w:rFonts w:hint="eastAsia" w:ascii="仿宋_GB2312" w:eastAsia="仿宋_GB2312" w:hAnsiTheme="majorEastAsia"/>
          <w:color w:val="auto"/>
          <w:sz w:val="32"/>
          <w:szCs w:val="32"/>
          <w:highlight w:val="none"/>
          <w:lang w:val="en-US" w:eastAsia="zh-CN"/>
        </w:rPr>
        <w:t>4</w:t>
      </w:r>
      <w:r>
        <w:rPr>
          <w:rFonts w:hint="eastAsia" w:ascii="仿宋_GB2312" w:eastAsia="仿宋_GB2312" w:hAnsiTheme="majorEastAsia"/>
          <w:color w:val="auto"/>
          <w:sz w:val="32"/>
          <w:szCs w:val="32"/>
          <w:highlight w:val="none"/>
        </w:rPr>
        <w:t>0%</w:t>
      </w:r>
      <w:r>
        <w:rPr>
          <w:rFonts w:hint="eastAsia" w:ascii="仿宋_GB2312" w:eastAsia="仿宋_GB2312" w:hAnsiTheme="majorEastAsia"/>
          <w:color w:val="auto"/>
          <w:sz w:val="32"/>
          <w:szCs w:val="32"/>
          <w:highlight w:val="none"/>
          <w:lang w:val="en-US" w:eastAsia="zh-CN"/>
        </w:rPr>
        <w:t>计算），</w:t>
      </w:r>
      <w:r>
        <w:rPr>
          <w:rFonts w:hint="eastAsia" w:ascii="仿宋_GB2312" w:eastAsia="仿宋_GB2312" w:hAnsiTheme="majorEastAsia"/>
          <w:color w:val="auto"/>
          <w:sz w:val="32"/>
          <w:szCs w:val="32"/>
          <w:highlight w:val="none"/>
        </w:rPr>
        <w:t>未达到目标值，合同终止。</w:t>
      </w:r>
    </w:p>
    <w:p w14:paraId="644BC737">
      <w:pPr>
        <w:numPr>
          <w:ilvl w:val="-1"/>
          <w:numId w:val="0"/>
        </w:numPr>
        <w:autoSpaceDE w:val="0"/>
        <w:autoSpaceDN w:val="0"/>
        <w:spacing w:after="0" w:line="560" w:lineRule="exact"/>
        <w:ind w:firstLine="640" w:firstLineChars="200"/>
        <w:rPr>
          <w:rFonts w:hint="default" w:ascii="仿宋_GB2312" w:eastAsia="仿宋_GB2312" w:hAnsiTheme="majorEastAsia"/>
          <w:color w:val="auto"/>
          <w:sz w:val="32"/>
          <w:szCs w:val="32"/>
          <w:highlight w:val="none"/>
          <w:lang w:val="en-US" w:eastAsia="zh-CN"/>
        </w:rPr>
      </w:pPr>
      <w:r>
        <w:rPr>
          <w:rFonts w:hint="eastAsia" w:ascii="仿宋_GB2312" w:eastAsia="仿宋_GB2312" w:hAnsiTheme="majorEastAsia"/>
          <w:color w:val="auto"/>
          <w:sz w:val="32"/>
          <w:szCs w:val="32"/>
          <w:highlight w:val="none"/>
          <w:lang w:val="en-US" w:eastAsia="zh-CN"/>
        </w:rPr>
        <w:t>六、奖励机制：</w:t>
      </w:r>
      <w:r>
        <w:rPr>
          <w:rFonts w:hint="eastAsia" w:ascii="仿宋_GB2312" w:hAnsi="仿宋_GB2312" w:eastAsia="仿宋_GB2312" w:cs="仿宋_GB2312"/>
          <w:b w:val="0"/>
          <w:bCs w:val="0"/>
          <w:color w:val="auto"/>
          <w:kern w:val="2"/>
          <w:sz w:val="32"/>
          <w:szCs w:val="32"/>
          <w:highlight w:val="none"/>
          <w:lang w:val="en-US" w:eastAsia="zh-CN" w:bidi="ar-SA"/>
        </w:rPr>
        <w:t>针对超出目标的回款部分，设置阶梯式奖励机制，具体计提标准如下：回款超出目标20%（含）以下的，超额部分按 3% 额外计提奖励；回款超出目标 20%（不含）以上的，超额部分按 5% 额外计提奖励。</w:t>
      </w:r>
    </w:p>
    <w:p w14:paraId="56CDB190">
      <w:pPr>
        <w:numPr>
          <w:ilvl w:val="-1"/>
          <w:numId w:val="0"/>
        </w:numPr>
        <w:autoSpaceDE w:val="0"/>
        <w:autoSpaceDN w:val="0"/>
        <w:spacing w:after="0" w:line="560" w:lineRule="exact"/>
        <w:ind w:firstLine="640" w:firstLineChars="200"/>
        <w:rPr>
          <w:rFonts w:hint="eastAsia" w:ascii="仿宋_GB2312" w:eastAsia="仿宋_GB2312" w:hAnsiTheme="majorEastAsia"/>
          <w:color w:val="auto"/>
          <w:sz w:val="32"/>
          <w:szCs w:val="32"/>
          <w:highlight w:val="none"/>
        </w:rPr>
      </w:pPr>
    </w:p>
    <w:p w14:paraId="1DF33766">
      <w:pPr>
        <w:numPr>
          <w:ilvl w:val="-1"/>
          <w:numId w:val="0"/>
        </w:numPr>
        <w:autoSpaceDE w:val="0"/>
        <w:autoSpaceDN w:val="0"/>
        <w:spacing w:after="0" w:line="560" w:lineRule="exact"/>
        <w:ind w:firstLine="640" w:firstLineChars="200"/>
        <w:rPr>
          <w:rFonts w:hint="eastAsia" w:ascii="仿宋_GB2312" w:eastAsia="仿宋_GB2312" w:hAnsiTheme="majorEastAsia"/>
          <w:color w:val="auto"/>
          <w:sz w:val="32"/>
          <w:szCs w:val="32"/>
          <w:highlight w:val="none"/>
        </w:rPr>
      </w:pPr>
    </w:p>
    <w:p w14:paraId="159D2E86">
      <w:pPr>
        <w:numPr>
          <w:ilvl w:val="-1"/>
          <w:numId w:val="0"/>
        </w:numPr>
        <w:autoSpaceDE w:val="0"/>
        <w:autoSpaceDN w:val="0"/>
        <w:spacing w:after="0" w:line="560" w:lineRule="exact"/>
        <w:ind w:firstLine="640" w:firstLineChars="200"/>
        <w:rPr>
          <w:rFonts w:hint="default" w:ascii="仿宋_GB2312" w:eastAsia="仿宋_GB2312" w:hAnsiTheme="majorEastAsia"/>
          <w:color w:val="auto"/>
          <w:sz w:val="32"/>
          <w:szCs w:val="32"/>
          <w:highlight w:val="none"/>
          <w:lang w:val="en-US" w:eastAsia="zh-CN"/>
        </w:rPr>
      </w:pPr>
    </w:p>
    <w:p w14:paraId="77052635">
      <w:pPr>
        <w:spacing w:line="360" w:lineRule="auto"/>
        <w:jc w:val="center"/>
        <w:outlineLvl w:val="0"/>
        <w:rPr>
          <w:rFonts w:ascii="宋体" w:hAnsi="宋体" w:cs="黑体"/>
          <w:b/>
          <w:color w:val="auto"/>
          <w:sz w:val="48"/>
          <w:szCs w:val="48"/>
          <w:highlight w:val="none"/>
          <w:shd w:val="clear" w:color="060000" w:fill="auto"/>
        </w:rPr>
      </w:pPr>
      <w:bookmarkStart w:id="66" w:name="_Toc3781"/>
      <w:r>
        <w:rPr>
          <w:rFonts w:ascii="宋体" w:hAnsi="宋体" w:cs="黑体"/>
          <w:b/>
          <w:color w:val="auto"/>
          <w:sz w:val="48"/>
          <w:szCs w:val="48"/>
          <w:highlight w:val="none"/>
          <w:shd w:val="clear" w:color="060000" w:fill="auto"/>
        </w:rPr>
        <w:t>第</w:t>
      </w:r>
      <w:r>
        <w:rPr>
          <w:rFonts w:hint="eastAsia" w:ascii="宋体" w:hAnsi="宋体" w:cs="黑体"/>
          <w:b/>
          <w:color w:val="auto"/>
          <w:sz w:val="48"/>
          <w:szCs w:val="48"/>
          <w:highlight w:val="none"/>
          <w:shd w:val="clear" w:color="060000" w:fill="auto"/>
        </w:rPr>
        <w:t>五</w:t>
      </w:r>
      <w:r>
        <w:rPr>
          <w:rFonts w:ascii="宋体" w:hAnsi="宋体" w:cs="黑体"/>
          <w:b/>
          <w:color w:val="auto"/>
          <w:sz w:val="48"/>
          <w:szCs w:val="48"/>
          <w:highlight w:val="none"/>
          <w:shd w:val="clear" w:color="060000" w:fill="auto"/>
        </w:rPr>
        <w:t>章</w:t>
      </w:r>
      <w:r>
        <w:rPr>
          <w:rFonts w:hint="eastAsia" w:ascii="宋体" w:hAnsi="宋体" w:cs="黑体"/>
          <w:b/>
          <w:color w:val="auto"/>
          <w:sz w:val="48"/>
          <w:szCs w:val="48"/>
          <w:highlight w:val="none"/>
          <w:shd w:val="clear" w:color="060000" w:fill="auto"/>
        </w:rPr>
        <w:t xml:space="preserve"> 投标文件格式</w:t>
      </w:r>
      <w:bookmarkEnd w:id="64"/>
      <w:bookmarkEnd w:id="66"/>
    </w:p>
    <w:p w14:paraId="1048E73A">
      <w:pPr>
        <w:pStyle w:val="69"/>
        <w:ind w:firstLine="0" w:firstLineChars="0"/>
        <w:rPr>
          <w:rFonts w:ascii="宋体" w:hAnsi="宋体"/>
          <w:b/>
          <w:color w:val="auto"/>
          <w:sz w:val="32"/>
          <w:szCs w:val="32"/>
          <w:highlight w:val="none"/>
        </w:rPr>
      </w:pPr>
    </w:p>
    <w:p w14:paraId="7D6134F4">
      <w:pPr>
        <w:pStyle w:val="69"/>
        <w:numPr>
          <w:ilvl w:val="0"/>
          <w:numId w:val="5"/>
        </w:numPr>
        <w:ind w:firstLine="0" w:firstLineChars="0"/>
        <w:outlineLvl w:val="1"/>
        <w:rPr>
          <w:rFonts w:ascii="仿宋" w:hAnsi="仿宋" w:eastAsia="仿宋"/>
          <w:b/>
          <w:color w:val="auto"/>
          <w:kern w:val="0"/>
          <w:sz w:val="28"/>
          <w:szCs w:val="28"/>
          <w:highlight w:val="none"/>
        </w:rPr>
        <w:sectPr>
          <w:pgSz w:w="12240" w:h="15840"/>
          <w:pgMar w:top="1440" w:right="1797" w:bottom="1440" w:left="1797" w:header="720" w:footer="720" w:gutter="0"/>
          <w:cols w:space="720" w:num="1"/>
        </w:sectPr>
      </w:pPr>
      <w:bookmarkStart w:id="67" w:name="_Toc80800163"/>
    </w:p>
    <w:p w14:paraId="73569064">
      <w:pPr>
        <w:pStyle w:val="69"/>
        <w:numPr>
          <w:ilvl w:val="0"/>
          <w:numId w:val="5"/>
        </w:numPr>
        <w:ind w:firstLine="0" w:firstLineChars="0"/>
        <w:outlineLvl w:val="1"/>
        <w:rPr>
          <w:rFonts w:ascii="仿宋" w:hAnsi="仿宋" w:eastAsia="仿宋"/>
          <w:b/>
          <w:color w:val="auto"/>
          <w:kern w:val="0"/>
          <w:sz w:val="28"/>
          <w:szCs w:val="28"/>
          <w:highlight w:val="none"/>
        </w:rPr>
      </w:pPr>
      <w:bookmarkStart w:id="68" w:name="_Toc27776"/>
      <w:r>
        <w:rPr>
          <w:rFonts w:hint="eastAsia" w:ascii="仿宋" w:hAnsi="仿宋" w:eastAsia="仿宋"/>
          <w:b/>
          <w:bCs/>
          <w:color w:val="auto"/>
          <w:kern w:val="0"/>
          <w:sz w:val="28"/>
          <w:szCs w:val="28"/>
          <w:highlight w:val="none"/>
        </w:rPr>
        <w:t>投标文件格式--</w:t>
      </w:r>
      <w:r>
        <w:rPr>
          <w:rFonts w:hint="eastAsia" w:ascii="仿宋" w:hAnsi="仿宋" w:eastAsia="仿宋"/>
          <w:b/>
          <w:color w:val="auto"/>
          <w:kern w:val="0"/>
          <w:sz w:val="28"/>
          <w:szCs w:val="28"/>
          <w:highlight w:val="none"/>
        </w:rPr>
        <w:t>资格审查文件</w:t>
      </w:r>
      <w:bookmarkEnd w:id="67"/>
      <w:bookmarkEnd w:id="68"/>
    </w:p>
    <w:p w14:paraId="5784399C">
      <w:pPr>
        <w:pStyle w:val="69"/>
        <w:ind w:firstLine="0" w:firstLineChars="0"/>
        <w:outlineLvl w:val="1"/>
        <w:rPr>
          <w:rFonts w:ascii="仿宋" w:hAnsi="仿宋" w:eastAsia="仿宋"/>
          <w:b/>
          <w:color w:val="auto"/>
          <w:kern w:val="0"/>
          <w:sz w:val="28"/>
          <w:szCs w:val="28"/>
          <w:highlight w:val="none"/>
        </w:rPr>
      </w:pPr>
    </w:p>
    <w:p w14:paraId="2021DF04">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2DF7DEA2">
      <w:pPr>
        <w:pStyle w:val="17"/>
        <w:jc w:val="center"/>
        <w:rPr>
          <w:rFonts w:ascii="黑体" w:hAnsi="黑体" w:eastAsia="黑体"/>
          <w:bCs/>
          <w:color w:val="auto"/>
          <w:sz w:val="84"/>
          <w:szCs w:val="84"/>
          <w:highlight w:val="none"/>
        </w:rPr>
      </w:pPr>
    </w:p>
    <w:p w14:paraId="4F6E4D4D">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3734682B">
      <w:pPr>
        <w:widowControl w:val="0"/>
        <w:ind w:left="988"/>
        <w:jc w:val="center"/>
        <w:rPr>
          <w:rFonts w:ascii="宋体" w:hAnsi="宋体"/>
          <w:color w:val="auto"/>
          <w:kern w:val="0"/>
          <w:sz w:val="32"/>
          <w:szCs w:val="21"/>
          <w:highlight w:val="none"/>
          <w:u w:val="single"/>
        </w:rPr>
      </w:pPr>
      <w:r>
        <w:rPr>
          <w:rFonts w:hint="eastAsia" w:ascii="仿宋" w:hAnsi="仿宋" w:eastAsia="仿宋" w:cs="Times New Roman"/>
          <w:b/>
          <w:bCs w:val="0"/>
          <w:color w:val="auto"/>
          <w:kern w:val="2"/>
          <w:sz w:val="36"/>
          <w:szCs w:val="36"/>
          <w:highlight w:val="none"/>
          <w:shd w:val="clear"/>
          <w:lang w:val="en-US" w:eastAsia="zh-CN"/>
        </w:rPr>
        <w:t>（第二次）</w:t>
      </w:r>
    </w:p>
    <w:p w14:paraId="206EF58B">
      <w:pPr>
        <w:widowControl w:val="0"/>
        <w:ind w:left="988"/>
        <w:jc w:val="center"/>
        <w:rPr>
          <w:rFonts w:ascii="宋体" w:hAnsi="宋体"/>
          <w:color w:val="auto"/>
          <w:kern w:val="0"/>
          <w:sz w:val="32"/>
          <w:szCs w:val="21"/>
          <w:highlight w:val="none"/>
          <w:u w:val="single"/>
        </w:rPr>
      </w:pPr>
    </w:p>
    <w:p w14:paraId="74099175">
      <w:pPr>
        <w:widowControl w:val="0"/>
        <w:ind w:left="988"/>
        <w:jc w:val="center"/>
        <w:rPr>
          <w:rFonts w:ascii="宋体" w:hAnsi="宋体"/>
          <w:color w:val="auto"/>
          <w:kern w:val="0"/>
          <w:sz w:val="32"/>
          <w:szCs w:val="21"/>
          <w:highlight w:val="none"/>
          <w:u w:val="single"/>
        </w:rPr>
      </w:pPr>
    </w:p>
    <w:p w14:paraId="3A9A69DF">
      <w:pPr>
        <w:widowControl w:val="0"/>
        <w:ind w:left="988"/>
        <w:jc w:val="center"/>
        <w:rPr>
          <w:rFonts w:ascii="宋体" w:hAnsi="宋体"/>
          <w:color w:val="auto"/>
          <w:kern w:val="0"/>
          <w:sz w:val="32"/>
          <w:szCs w:val="21"/>
          <w:highlight w:val="none"/>
          <w:u w:val="single"/>
        </w:rPr>
      </w:pPr>
    </w:p>
    <w:p w14:paraId="3CE4666B">
      <w:pPr>
        <w:widowControl w:val="0"/>
        <w:rPr>
          <w:rFonts w:ascii="宋体" w:hAnsi="宋体"/>
          <w:b/>
          <w:bCs/>
          <w:color w:val="auto"/>
          <w:kern w:val="0"/>
          <w:sz w:val="32"/>
          <w:szCs w:val="21"/>
          <w:highlight w:val="none"/>
        </w:rPr>
      </w:pPr>
    </w:p>
    <w:p w14:paraId="052DD916">
      <w:pPr>
        <w:widowControl w:val="0"/>
        <w:rPr>
          <w:rFonts w:ascii="宋体" w:hAnsi="宋体"/>
          <w:b/>
          <w:bCs/>
          <w:color w:val="auto"/>
          <w:kern w:val="0"/>
          <w:sz w:val="32"/>
          <w:szCs w:val="21"/>
          <w:highlight w:val="none"/>
        </w:rPr>
      </w:pPr>
    </w:p>
    <w:p w14:paraId="12280A6A">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422B060D">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投标文件内容：</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资格审查文件</w:t>
      </w:r>
      <w:r>
        <w:rPr>
          <w:rFonts w:hint="eastAsia" w:ascii="微软雅黑" w:hAnsi="宋体" w:eastAsia="微软雅黑"/>
          <w:bCs/>
          <w:color w:val="auto"/>
          <w:kern w:val="0"/>
          <w:sz w:val="28"/>
          <w:szCs w:val="21"/>
          <w:highlight w:val="none"/>
          <w:u w:val="single"/>
        </w:rPr>
        <w:t xml:space="preserve">                 </w:t>
      </w:r>
    </w:p>
    <w:p w14:paraId="7E414F34">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投标人（盖章）：</w:t>
      </w:r>
      <w:r>
        <w:rPr>
          <w:rFonts w:hint="eastAsia" w:ascii="微软雅黑" w:hAnsi="宋体" w:eastAsia="微软雅黑"/>
          <w:bCs/>
          <w:color w:val="auto"/>
          <w:kern w:val="0"/>
          <w:sz w:val="28"/>
          <w:szCs w:val="21"/>
          <w:highlight w:val="none"/>
          <w:u w:val="single"/>
        </w:rPr>
        <w:t xml:space="preserve">                                         </w:t>
      </w:r>
    </w:p>
    <w:p w14:paraId="5DE2715F">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4853F5C7">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2D35CCED">
      <w:pPr>
        <w:jc w:val="left"/>
        <w:rPr>
          <w:rFonts w:ascii="黑体" w:hAnsi="黑体" w:eastAsia="黑体"/>
          <w:color w:val="auto"/>
          <w:kern w:val="0"/>
          <w:sz w:val="36"/>
          <w:szCs w:val="36"/>
          <w:highlight w:val="none"/>
        </w:rPr>
      </w:pPr>
      <w:r>
        <w:rPr>
          <w:rFonts w:ascii="黑体" w:hAnsi="黑体" w:eastAsia="黑体"/>
          <w:color w:val="auto"/>
          <w:kern w:val="0"/>
          <w:sz w:val="36"/>
          <w:szCs w:val="36"/>
          <w:highlight w:val="none"/>
        </w:rPr>
        <w:br w:type="page"/>
      </w:r>
    </w:p>
    <w:p w14:paraId="3BFBF648">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资格审查文件目录</w:t>
      </w:r>
    </w:p>
    <w:p w14:paraId="105D2FC7">
      <w:pPr>
        <w:adjustRightInd w:val="0"/>
        <w:snapToGrid w:val="0"/>
        <w:spacing w:line="360" w:lineRule="auto"/>
        <w:ind w:firstLine="480" w:firstLineChars="200"/>
        <w:rPr>
          <w:rFonts w:hAnsi="宋体"/>
          <w:color w:val="auto"/>
          <w:kern w:val="0"/>
          <w:sz w:val="24"/>
          <w:highlight w:val="none"/>
        </w:rPr>
      </w:pPr>
    </w:p>
    <w:p w14:paraId="17DCB4CC">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一、投标人</w:t>
      </w:r>
      <w:r>
        <w:rPr>
          <w:rFonts w:hint="eastAsia" w:ascii="仿宋" w:hAnsi="仿宋" w:eastAsia="仿宋" w:cs="Times New Roman"/>
          <w:bCs/>
          <w:color w:val="auto"/>
          <w:kern w:val="0"/>
          <w:sz w:val="28"/>
          <w:szCs w:val="28"/>
          <w:highlight w:val="none"/>
        </w:rPr>
        <w:t>执业许可证</w:t>
      </w:r>
      <w:r>
        <w:rPr>
          <w:rFonts w:hint="eastAsia" w:ascii="仿宋" w:hAnsi="仿宋" w:eastAsia="仿宋"/>
          <w:bCs/>
          <w:color w:val="auto"/>
          <w:kern w:val="0"/>
          <w:sz w:val="28"/>
          <w:szCs w:val="28"/>
          <w:highlight w:val="none"/>
        </w:rPr>
        <w:t>；</w:t>
      </w:r>
    </w:p>
    <w:p w14:paraId="57D37B8D">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二、投标人资质证书；</w:t>
      </w:r>
    </w:p>
    <w:p w14:paraId="72AF33B4">
      <w:pPr>
        <w:pStyle w:val="22"/>
        <w:spacing w:line="560" w:lineRule="exact"/>
        <w:ind w:firstLine="560"/>
        <w:rPr>
          <w:rFonts w:ascii="仿宋" w:hAnsi="仿宋" w:eastAsia="仿宋"/>
          <w:bCs/>
          <w:color w:val="auto"/>
          <w:kern w:val="0"/>
          <w:sz w:val="28"/>
          <w:szCs w:val="28"/>
          <w:highlight w:val="none"/>
        </w:rPr>
      </w:pPr>
      <w:r>
        <w:rPr>
          <w:rFonts w:hint="eastAsia" w:ascii="仿宋" w:hAnsi="仿宋" w:eastAsia="仿宋"/>
          <w:bCs/>
          <w:color w:val="auto"/>
          <w:kern w:val="0"/>
          <w:sz w:val="28"/>
          <w:szCs w:val="28"/>
          <w:highlight w:val="none"/>
        </w:rPr>
        <w:t>三、</w:t>
      </w:r>
      <w:r>
        <w:rPr>
          <w:rFonts w:ascii="仿宋" w:hAnsi="仿宋" w:eastAsia="仿宋"/>
          <w:bCs/>
          <w:color w:val="auto"/>
          <w:kern w:val="0"/>
          <w:sz w:val="28"/>
          <w:szCs w:val="28"/>
          <w:highlight w:val="none"/>
        </w:rPr>
        <w:t>投标人拟派出的</w:t>
      </w:r>
      <w:r>
        <w:rPr>
          <w:rFonts w:hint="eastAsia" w:ascii="仿宋" w:hAnsi="仿宋" w:eastAsia="仿宋"/>
          <w:bCs/>
          <w:color w:val="auto"/>
          <w:kern w:val="0"/>
          <w:sz w:val="28"/>
          <w:szCs w:val="28"/>
          <w:highlight w:val="none"/>
        </w:rPr>
        <w:t>项目</w:t>
      </w:r>
      <w:r>
        <w:rPr>
          <w:rFonts w:hint="eastAsia" w:ascii="仿宋" w:hAnsi="仿宋" w:eastAsia="仿宋"/>
          <w:bCs/>
          <w:color w:val="auto"/>
          <w:kern w:val="0"/>
          <w:sz w:val="28"/>
          <w:szCs w:val="28"/>
          <w:highlight w:val="none"/>
          <w:lang w:val="en-US" w:eastAsia="zh-CN"/>
        </w:rPr>
        <w:t>主办律师</w:t>
      </w:r>
      <w:r>
        <w:rPr>
          <w:rFonts w:hint="eastAsia" w:ascii="仿宋" w:hAnsi="仿宋" w:eastAsia="仿宋"/>
          <w:bCs/>
          <w:color w:val="auto"/>
          <w:kern w:val="0"/>
          <w:sz w:val="28"/>
          <w:szCs w:val="28"/>
          <w:highlight w:val="none"/>
        </w:rPr>
        <w:t>资格证书</w:t>
      </w:r>
      <w:r>
        <w:rPr>
          <w:rFonts w:ascii="仿宋" w:hAnsi="仿宋" w:eastAsia="仿宋"/>
          <w:bCs/>
          <w:color w:val="auto"/>
          <w:kern w:val="0"/>
          <w:sz w:val="28"/>
          <w:szCs w:val="28"/>
          <w:highlight w:val="none"/>
        </w:rPr>
        <w:t>；</w:t>
      </w:r>
    </w:p>
    <w:p w14:paraId="60C5AB5A">
      <w:pPr>
        <w:pStyle w:val="22"/>
        <w:spacing w:line="560" w:lineRule="exact"/>
        <w:ind w:firstLine="560"/>
        <w:rPr>
          <w:rFonts w:hint="default" w:ascii="仿宋" w:hAnsi="仿宋" w:eastAsia="仿宋"/>
          <w:bCs/>
          <w:color w:val="auto"/>
          <w:kern w:val="0"/>
          <w:sz w:val="28"/>
          <w:szCs w:val="28"/>
          <w:highlight w:val="none"/>
          <w:lang w:val="en-US" w:eastAsia="zh-CN"/>
        </w:rPr>
      </w:pPr>
      <w:r>
        <w:rPr>
          <w:rFonts w:hint="eastAsia" w:ascii="仿宋" w:hAnsi="仿宋" w:eastAsia="仿宋"/>
          <w:bCs/>
          <w:color w:val="auto"/>
          <w:kern w:val="0"/>
          <w:sz w:val="28"/>
          <w:szCs w:val="28"/>
          <w:highlight w:val="none"/>
          <w:lang w:val="en-US" w:eastAsia="zh-CN"/>
        </w:rPr>
        <w:t>四、投标人资格业绩证明材料；</w:t>
      </w:r>
    </w:p>
    <w:p w14:paraId="23B753F6">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val="en-US" w:eastAsia="zh-CN"/>
        </w:rPr>
        <w:t>五</w:t>
      </w:r>
      <w:r>
        <w:rPr>
          <w:rFonts w:hint="eastAsia" w:ascii="仿宋" w:hAnsi="仿宋" w:eastAsia="仿宋"/>
          <w:color w:val="auto"/>
          <w:kern w:val="0"/>
          <w:sz w:val="28"/>
          <w:szCs w:val="28"/>
          <w:highlight w:val="none"/>
        </w:rPr>
        <w:t xml:space="preserve">、招标人要求提供的与投标人资格条件审查有关的其他证明材料： </w:t>
      </w:r>
    </w:p>
    <w:p w14:paraId="2CA6B7C5">
      <w:pPr>
        <w:widowControl w:val="0"/>
        <w:spacing w:line="480" w:lineRule="auto"/>
        <w:ind w:firstLine="840" w:firstLineChars="3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single"/>
        </w:rPr>
        <w:t xml:space="preserve">                                                        </w:t>
      </w:r>
    </w:p>
    <w:p w14:paraId="7CA6DE2A">
      <w:pPr>
        <w:widowControl w:val="0"/>
        <w:spacing w:line="480" w:lineRule="auto"/>
        <w:ind w:firstLine="840" w:firstLineChars="3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single"/>
        </w:rPr>
        <w:t xml:space="preserve">                                                        </w:t>
      </w:r>
    </w:p>
    <w:p w14:paraId="592D9256">
      <w:pPr>
        <w:widowControl w:val="0"/>
        <w:spacing w:line="480" w:lineRule="auto"/>
        <w:ind w:firstLine="840" w:firstLineChars="300"/>
        <w:rPr>
          <w:rFonts w:ascii="仿宋" w:hAnsi="仿宋" w:eastAsia="仿宋"/>
          <w:bCs/>
          <w:color w:val="auto"/>
          <w:kern w:val="0"/>
          <w:sz w:val="28"/>
          <w:szCs w:val="21"/>
          <w:highlight w:val="none"/>
          <w:u w:val="single"/>
        </w:rPr>
      </w:pPr>
      <w:r>
        <w:rPr>
          <w:rFonts w:hint="eastAsia" w:ascii="仿宋" w:hAnsi="仿宋" w:eastAsia="仿宋"/>
          <w:bCs/>
          <w:color w:val="auto"/>
          <w:kern w:val="0"/>
          <w:sz w:val="28"/>
          <w:szCs w:val="21"/>
          <w:highlight w:val="none"/>
          <w:u w:val="single"/>
        </w:rPr>
        <w:t xml:space="preserve">                                                        </w:t>
      </w:r>
    </w:p>
    <w:p w14:paraId="1303E425">
      <w:pPr>
        <w:pStyle w:val="69"/>
        <w:ind w:firstLine="0" w:firstLineChars="0"/>
        <w:outlineLvl w:val="1"/>
        <w:rPr>
          <w:rFonts w:ascii="仿宋" w:hAnsi="仿宋" w:eastAsia="仿宋"/>
          <w:bCs/>
          <w:color w:val="auto"/>
          <w:kern w:val="0"/>
          <w:sz w:val="28"/>
          <w:szCs w:val="28"/>
          <w:highlight w:val="none"/>
        </w:rPr>
      </w:pPr>
      <w:r>
        <w:rPr>
          <w:rFonts w:ascii="微软雅黑" w:hAnsi="宋体" w:eastAsia="微软雅黑"/>
          <w:bCs/>
          <w:color w:val="auto"/>
          <w:kern w:val="0"/>
          <w:sz w:val="28"/>
          <w:highlight w:val="none"/>
        </w:rPr>
        <w:br w:type="page"/>
      </w:r>
      <w:bookmarkStart w:id="69" w:name="_Toc80800164"/>
      <w:bookmarkStart w:id="70" w:name="_Toc23439"/>
      <w:r>
        <w:rPr>
          <w:rFonts w:hint="eastAsia" w:ascii="仿宋" w:hAnsi="仿宋" w:eastAsia="仿宋"/>
          <w:b/>
          <w:color w:val="auto"/>
          <w:kern w:val="0"/>
          <w:sz w:val="28"/>
          <w:szCs w:val="28"/>
          <w:highlight w:val="none"/>
        </w:rPr>
        <w:t>二、</w:t>
      </w:r>
      <w:r>
        <w:rPr>
          <w:rFonts w:hint="eastAsia" w:ascii="仿宋" w:hAnsi="仿宋" w:eastAsia="仿宋"/>
          <w:b/>
          <w:bCs/>
          <w:color w:val="auto"/>
          <w:kern w:val="0"/>
          <w:sz w:val="28"/>
          <w:szCs w:val="28"/>
          <w:highlight w:val="none"/>
        </w:rPr>
        <w:t>投标文件格式--</w:t>
      </w:r>
      <w:r>
        <w:rPr>
          <w:rFonts w:hint="eastAsia" w:ascii="仿宋" w:hAnsi="仿宋" w:eastAsia="仿宋"/>
          <w:b/>
          <w:color w:val="auto"/>
          <w:kern w:val="0"/>
          <w:sz w:val="28"/>
          <w:szCs w:val="28"/>
          <w:highlight w:val="none"/>
        </w:rPr>
        <w:t>投标函部分</w:t>
      </w:r>
      <w:bookmarkEnd w:id="69"/>
      <w:bookmarkEnd w:id="70"/>
    </w:p>
    <w:p w14:paraId="4EB0300A">
      <w:pPr>
        <w:pStyle w:val="17"/>
        <w:jc w:val="center"/>
        <w:rPr>
          <w:rFonts w:ascii="黑体" w:hAnsi="黑体" w:eastAsia="黑体"/>
          <w:bCs/>
          <w:color w:val="auto"/>
          <w:sz w:val="84"/>
          <w:szCs w:val="84"/>
          <w:highlight w:val="none"/>
        </w:rPr>
      </w:pPr>
    </w:p>
    <w:p w14:paraId="2E6F5271">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6EF7E0FF">
      <w:pPr>
        <w:pStyle w:val="17"/>
        <w:jc w:val="center"/>
        <w:rPr>
          <w:rFonts w:ascii="黑体" w:hAnsi="黑体" w:eastAsia="黑体"/>
          <w:bCs/>
          <w:color w:val="auto"/>
          <w:sz w:val="84"/>
          <w:szCs w:val="84"/>
          <w:highlight w:val="none"/>
        </w:rPr>
      </w:pPr>
    </w:p>
    <w:p w14:paraId="74EAF319">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39DBA568">
      <w:pPr>
        <w:widowControl w:val="0"/>
        <w:ind w:left="988"/>
        <w:jc w:val="center"/>
        <w:rPr>
          <w:rFonts w:ascii="宋体" w:hAnsi="宋体"/>
          <w:color w:val="auto"/>
          <w:kern w:val="0"/>
          <w:sz w:val="36"/>
          <w:szCs w:val="36"/>
          <w:highlight w:val="none"/>
          <w:u w:val="single"/>
        </w:rPr>
      </w:pPr>
      <w:r>
        <w:rPr>
          <w:rFonts w:hint="eastAsia" w:ascii="仿宋" w:hAnsi="仿宋" w:eastAsia="仿宋" w:cs="Times New Roman"/>
          <w:b/>
          <w:bCs w:val="0"/>
          <w:color w:val="auto"/>
          <w:kern w:val="2"/>
          <w:sz w:val="36"/>
          <w:szCs w:val="36"/>
          <w:highlight w:val="none"/>
          <w:shd w:val="clear"/>
          <w:lang w:val="en-US" w:eastAsia="zh-CN"/>
        </w:rPr>
        <w:t>（第二次）</w:t>
      </w:r>
    </w:p>
    <w:p w14:paraId="1E153DAB">
      <w:pPr>
        <w:widowControl w:val="0"/>
        <w:ind w:left="988"/>
        <w:jc w:val="center"/>
        <w:rPr>
          <w:rFonts w:ascii="宋体" w:hAnsi="宋体"/>
          <w:color w:val="auto"/>
          <w:kern w:val="0"/>
          <w:sz w:val="32"/>
          <w:szCs w:val="21"/>
          <w:highlight w:val="none"/>
          <w:u w:val="single"/>
        </w:rPr>
      </w:pPr>
    </w:p>
    <w:p w14:paraId="5FDBD0BB">
      <w:pPr>
        <w:widowControl w:val="0"/>
        <w:ind w:left="988"/>
        <w:jc w:val="center"/>
        <w:rPr>
          <w:rFonts w:ascii="宋体" w:hAnsi="宋体"/>
          <w:color w:val="auto"/>
          <w:kern w:val="0"/>
          <w:sz w:val="32"/>
          <w:szCs w:val="21"/>
          <w:highlight w:val="none"/>
          <w:u w:val="single"/>
        </w:rPr>
      </w:pPr>
    </w:p>
    <w:p w14:paraId="635C26E7">
      <w:pPr>
        <w:widowControl w:val="0"/>
        <w:ind w:left="988"/>
        <w:jc w:val="center"/>
        <w:rPr>
          <w:rFonts w:ascii="宋体" w:hAnsi="宋体"/>
          <w:color w:val="auto"/>
          <w:kern w:val="0"/>
          <w:sz w:val="32"/>
          <w:szCs w:val="21"/>
          <w:highlight w:val="none"/>
          <w:u w:val="single"/>
        </w:rPr>
      </w:pPr>
    </w:p>
    <w:p w14:paraId="3E75B26F">
      <w:pPr>
        <w:widowControl w:val="0"/>
        <w:rPr>
          <w:rFonts w:ascii="宋体" w:hAnsi="宋体"/>
          <w:b/>
          <w:bCs/>
          <w:color w:val="auto"/>
          <w:kern w:val="0"/>
          <w:sz w:val="32"/>
          <w:szCs w:val="21"/>
          <w:highlight w:val="none"/>
        </w:rPr>
      </w:pPr>
    </w:p>
    <w:p w14:paraId="1DF76807">
      <w:pPr>
        <w:widowControl w:val="0"/>
        <w:rPr>
          <w:rFonts w:ascii="宋体" w:hAnsi="宋体"/>
          <w:b/>
          <w:bCs/>
          <w:color w:val="auto"/>
          <w:kern w:val="0"/>
          <w:sz w:val="32"/>
          <w:szCs w:val="21"/>
          <w:highlight w:val="none"/>
        </w:rPr>
      </w:pPr>
    </w:p>
    <w:p w14:paraId="0D98EEC6">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13D41395">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 xml:space="preserve">投标文件内容：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投标函部分</w:t>
      </w:r>
      <w:r>
        <w:rPr>
          <w:rFonts w:hint="eastAsia" w:ascii="微软雅黑" w:hAnsi="宋体" w:eastAsia="微软雅黑"/>
          <w:bCs/>
          <w:color w:val="auto"/>
          <w:kern w:val="0"/>
          <w:sz w:val="28"/>
          <w:szCs w:val="21"/>
          <w:highlight w:val="none"/>
          <w:u w:val="single"/>
        </w:rPr>
        <w:t xml:space="preserve">              </w:t>
      </w:r>
    </w:p>
    <w:p w14:paraId="21BC82A7">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投标人（盖章）：</w:t>
      </w:r>
      <w:r>
        <w:rPr>
          <w:rFonts w:hint="eastAsia" w:ascii="微软雅黑" w:hAnsi="宋体" w:eastAsia="微软雅黑"/>
          <w:bCs/>
          <w:color w:val="auto"/>
          <w:kern w:val="0"/>
          <w:sz w:val="28"/>
          <w:szCs w:val="21"/>
          <w:highlight w:val="none"/>
          <w:u w:val="single"/>
        </w:rPr>
        <w:t xml:space="preserve">                                      </w:t>
      </w:r>
    </w:p>
    <w:p w14:paraId="489844EB">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074D3458">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6184021B">
      <w:pPr>
        <w:jc w:val="left"/>
        <w:rPr>
          <w:rFonts w:ascii="黑体" w:hAnsi="黑体" w:eastAsia="黑体"/>
          <w:color w:val="auto"/>
          <w:kern w:val="0"/>
          <w:sz w:val="36"/>
          <w:szCs w:val="36"/>
          <w:highlight w:val="none"/>
        </w:rPr>
      </w:pPr>
      <w:r>
        <w:rPr>
          <w:rFonts w:ascii="黑体" w:hAnsi="黑体" w:eastAsia="黑体"/>
          <w:color w:val="auto"/>
          <w:kern w:val="0"/>
          <w:sz w:val="36"/>
          <w:szCs w:val="36"/>
          <w:highlight w:val="none"/>
        </w:rPr>
        <w:br w:type="page"/>
      </w:r>
    </w:p>
    <w:p w14:paraId="5B520D68">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投标函部分目录</w:t>
      </w:r>
    </w:p>
    <w:p w14:paraId="6EEB2D99">
      <w:pPr>
        <w:pStyle w:val="17"/>
        <w:jc w:val="center"/>
        <w:rPr>
          <w:rFonts w:ascii="楷体_GB2312"/>
          <w:b/>
          <w:bCs/>
          <w:color w:val="auto"/>
          <w:sz w:val="44"/>
          <w:highlight w:val="none"/>
        </w:rPr>
      </w:pPr>
    </w:p>
    <w:p w14:paraId="6C37D6E6">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一、</w:t>
      </w:r>
      <w:r>
        <w:rPr>
          <w:rFonts w:hint="eastAsia" w:ascii="仿宋" w:hAnsi="仿宋" w:eastAsia="仿宋"/>
          <w:color w:val="auto"/>
          <w:kern w:val="0"/>
          <w:sz w:val="28"/>
          <w:szCs w:val="28"/>
          <w:highlight w:val="none"/>
          <w:lang w:val="en-US" w:eastAsia="zh-CN"/>
        </w:rPr>
        <w:t>律所负责人</w:t>
      </w:r>
      <w:r>
        <w:rPr>
          <w:rFonts w:hint="eastAsia" w:ascii="仿宋" w:hAnsi="仿宋" w:eastAsia="仿宋"/>
          <w:color w:val="auto"/>
          <w:kern w:val="0"/>
          <w:sz w:val="28"/>
          <w:szCs w:val="28"/>
          <w:highlight w:val="none"/>
        </w:rPr>
        <w:t>资格证明书</w:t>
      </w:r>
    </w:p>
    <w:p w14:paraId="214B38EE">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二、投标文件签署授权委托书</w:t>
      </w:r>
    </w:p>
    <w:p w14:paraId="0751F34E">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三、投标函</w:t>
      </w:r>
    </w:p>
    <w:p w14:paraId="46C5E366">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四、投标担保证明</w:t>
      </w:r>
    </w:p>
    <w:p w14:paraId="6EC1D83E">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五、廉洁投标承诺书</w:t>
      </w:r>
    </w:p>
    <w:p w14:paraId="7D1866CC">
      <w:pPr>
        <w:adjustRightInd w:val="0"/>
        <w:snapToGrid w:val="0"/>
        <w:spacing w:line="560" w:lineRule="exact"/>
        <w:ind w:firstLine="560" w:firstLineChars="2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六、招标文件要求投标人提交的其他资料：</w:t>
      </w:r>
    </w:p>
    <w:p w14:paraId="2F6C71F9">
      <w:pPr>
        <w:adjustRightInd w:val="0"/>
        <w:snapToGrid w:val="0"/>
        <w:spacing w:line="560" w:lineRule="exact"/>
        <w:ind w:firstLine="560" w:firstLineChars="200"/>
        <w:rPr>
          <w:rFonts w:ascii="仿宋_GB2312" w:hAnsi="宋体" w:eastAsia="仿宋_GB2312"/>
          <w:color w:val="auto"/>
          <w:kern w:val="0"/>
          <w:sz w:val="28"/>
          <w:szCs w:val="28"/>
          <w:highlight w:val="none"/>
        </w:rPr>
      </w:pPr>
      <w:r>
        <w:rPr>
          <w:rFonts w:hint="eastAsia" w:ascii="仿宋_GB2312" w:hAnsi="宋体" w:eastAsia="仿宋_GB2312"/>
          <w:color w:val="auto"/>
          <w:kern w:val="0"/>
          <w:sz w:val="28"/>
          <w:szCs w:val="28"/>
          <w:highlight w:val="none"/>
          <w:u w:val="single"/>
        </w:rPr>
        <w:t xml:space="preserve">                                             </w:t>
      </w:r>
    </w:p>
    <w:p w14:paraId="228677FD">
      <w:pPr>
        <w:adjustRightInd w:val="0"/>
        <w:snapToGrid w:val="0"/>
        <w:spacing w:line="560" w:lineRule="exact"/>
        <w:ind w:firstLine="560" w:firstLineChars="200"/>
        <w:rPr>
          <w:rFonts w:ascii="仿宋_GB2312" w:hAnsi="宋体" w:eastAsia="仿宋_GB2312"/>
          <w:color w:val="auto"/>
          <w:kern w:val="0"/>
          <w:sz w:val="28"/>
          <w:szCs w:val="28"/>
          <w:highlight w:val="none"/>
          <w:u w:val="single"/>
        </w:rPr>
      </w:pPr>
      <w:r>
        <w:rPr>
          <w:rFonts w:hint="eastAsia" w:ascii="仿宋_GB2312" w:hAnsi="宋体" w:eastAsia="仿宋_GB2312"/>
          <w:color w:val="auto"/>
          <w:kern w:val="0"/>
          <w:sz w:val="28"/>
          <w:szCs w:val="28"/>
          <w:highlight w:val="none"/>
          <w:u w:val="single"/>
        </w:rPr>
        <w:t xml:space="preserve">                                              </w:t>
      </w:r>
    </w:p>
    <w:p w14:paraId="536360F7">
      <w:pPr>
        <w:adjustRightInd w:val="0"/>
        <w:snapToGrid w:val="0"/>
        <w:spacing w:line="360" w:lineRule="auto"/>
        <w:jc w:val="center"/>
        <w:rPr>
          <w:rFonts w:ascii="黑体" w:hAnsi="黑体" w:eastAsia="黑体"/>
          <w:color w:val="auto"/>
          <w:kern w:val="0"/>
          <w:sz w:val="36"/>
          <w:szCs w:val="36"/>
          <w:highlight w:val="none"/>
        </w:rPr>
      </w:pPr>
      <w:r>
        <w:rPr>
          <w:rFonts w:ascii="宋体" w:hAnsi="宋体"/>
          <w:b/>
          <w:color w:val="auto"/>
          <w:sz w:val="32"/>
          <w:szCs w:val="32"/>
          <w:highlight w:val="none"/>
        </w:rPr>
        <w:br w:type="page"/>
      </w:r>
      <w:r>
        <w:rPr>
          <w:rFonts w:hint="eastAsia" w:ascii="黑体" w:hAnsi="黑体" w:eastAsia="黑体"/>
          <w:color w:val="auto"/>
          <w:kern w:val="0"/>
          <w:sz w:val="36"/>
          <w:szCs w:val="36"/>
          <w:highlight w:val="none"/>
        </w:rPr>
        <w:t>法定代表人资格证明书</w:t>
      </w:r>
    </w:p>
    <w:p w14:paraId="0334E536">
      <w:pPr>
        <w:pStyle w:val="17"/>
        <w:spacing w:line="360" w:lineRule="auto"/>
        <w:ind w:firstLine="480" w:firstLineChars="200"/>
        <w:rPr>
          <w:color w:val="auto"/>
          <w:sz w:val="24"/>
          <w:highlight w:val="none"/>
        </w:rPr>
      </w:pPr>
    </w:p>
    <w:p w14:paraId="6B6EFFD9">
      <w:pPr>
        <w:pStyle w:val="17"/>
        <w:spacing w:line="360" w:lineRule="auto"/>
        <w:ind w:left="279" w:leftChars="133"/>
        <w:rPr>
          <w:color w:val="auto"/>
          <w:sz w:val="28"/>
          <w:highlight w:val="none"/>
        </w:rPr>
      </w:pPr>
    </w:p>
    <w:p w14:paraId="4C94A106">
      <w:pPr>
        <w:pStyle w:val="17"/>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单位名称：</w:t>
      </w:r>
      <w:r>
        <w:rPr>
          <w:rFonts w:hint="eastAsia" w:ascii="仿宋" w:hAnsi="仿宋" w:eastAsia="仿宋"/>
          <w:color w:val="auto"/>
          <w:sz w:val="28"/>
          <w:szCs w:val="28"/>
          <w:highlight w:val="none"/>
          <w:u w:val="single"/>
        </w:rPr>
        <w:t xml:space="preserve">                                                      </w:t>
      </w:r>
    </w:p>
    <w:p w14:paraId="78998763">
      <w:pPr>
        <w:pStyle w:val="17"/>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地    址：</w:t>
      </w:r>
      <w:r>
        <w:rPr>
          <w:rFonts w:hint="eastAsia" w:ascii="仿宋" w:hAnsi="仿宋" w:eastAsia="仿宋"/>
          <w:color w:val="auto"/>
          <w:sz w:val="28"/>
          <w:szCs w:val="28"/>
          <w:highlight w:val="none"/>
          <w:u w:val="single"/>
        </w:rPr>
        <w:t xml:space="preserve">                                                      </w:t>
      </w:r>
    </w:p>
    <w:p w14:paraId="0CF37DAD">
      <w:pPr>
        <w:pStyle w:val="17"/>
        <w:spacing w:line="480" w:lineRule="auto"/>
        <w:ind w:left="279" w:leftChars="133"/>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姓名：</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性别：</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年龄：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职务：</w:t>
      </w:r>
      <w:r>
        <w:rPr>
          <w:rFonts w:hint="eastAsia" w:ascii="仿宋" w:hAnsi="仿宋" w:eastAsia="仿宋"/>
          <w:color w:val="auto"/>
          <w:sz w:val="28"/>
          <w:szCs w:val="28"/>
          <w:highlight w:val="none"/>
          <w:u w:val="single"/>
        </w:rPr>
        <w:t xml:space="preserve">               </w:t>
      </w:r>
    </w:p>
    <w:p w14:paraId="2A432770">
      <w:pPr>
        <w:pStyle w:val="17"/>
        <w:spacing w:line="480" w:lineRule="auto"/>
        <w:ind w:left="279" w:leftChars="133"/>
        <w:rPr>
          <w:rFonts w:ascii="仿宋" w:hAnsi="仿宋" w:eastAsia="仿宋"/>
          <w:color w:val="auto"/>
          <w:sz w:val="28"/>
          <w:szCs w:val="28"/>
          <w:highlight w:val="none"/>
        </w:rPr>
      </w:pPr>
      <w:r>
        <w:rPr>
          <w:rFonts w:hint="eastAsia" w:ascii="仿宋" w:hAnsi="仿宋" w:eastAsia="仿宋"/>
          <w:color w:val="auto"/>
          <w:sz w:val="28"/>
          <w:szCs w:val="28"/>
          <w:highlight w:val="none"/>
        </w:rPr>
        <w:t>系</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的法定代表人。</w:t>
      </w:r>
    </w:p>
    <w:p w14:paraId="1AA0F66D">
      <w:pPr>
        <w:pStyle w:val="17"/>
        <w:spacing w:line="480" w:lineRule="auto"/>
        <w:ind w:left="359" w:leftChars="171"/>
        <w:rPr>
          <w:rFonts w:ascii="仿宋" w:hAnsi="仿宋" w:eastAsia="仿宋"/>
          <w:color w:val="auto"/>
          <w:sz w:val="28"/>
          <w:szCs w:val="28"/>
          <w:highlight w:val="none"/>
        </w:rPr>
      </w:pPr>
      <w:r>
        <w:rPr>
          <w:rFonts w:hint="eastAsia" w:ascii="仿宋" w:hAnsi="仿宋" w:eastAsia="仿宋"/>
          <w:color w:val="auto"/>
          <w:sz w:val="28"/>
          <w:szCs w:val="28"/>
          <w:highlight w:val="none"/>
        </w:rPr>
        <w:t>特此证明。</w:t>
      </w:r>
    </w:p>
    <w:p w14:paraId="48C3A3E2">
      <w:pPr>
        <w:pStyle w:val="17"/>
        <w:spacing w:line="480" w:lineRule="auto"/>
        <w:ind w:left="359" w:leftChars="171"/>
        <w:rPr>
          <w:rFonts w:ascii="仿宋" w:hAnsi="仿宋" w:eastAsia="仿宋"/>
          <w:color w:val="auto"/>
          <w:sz w:val="28"/>
          <w:szCs w:val="28"/>
          <w:highlight w:val="none"/>
        </w:rPr>
      </w:pPr>
    </w:p>
    <w:p w14:paraId="7E5CA13B">
      <w:pPr>
        <w:tabs>
          <w:tab w:val="left" w:pos="7740"/>
        </w:tabs>
        <w:rPr>
          <w:rFonts w:ascii="仿宋" w:hAnsi="仿宋" w:eastAsia="仿宋" w:cs="仿宋_GB2312"/>
          <w:color w:val="auto"/>
          <w:sz w:val="28"/>
          <w:szCs w:val="28"/>
          <w:highlight w:val="none"/>
        </w:rPr>
      </w:pPr>
    </w:p>
    <w:tbl>
      <w:tblPr>
        <w:tblStyle w:val="34"/>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14:paraId="42B4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63" w:type="dxa"/>
            <w:vAlign w:val="center"/>
          </w:tcPr>
          <w:p w14:paraId="6A537B0B">
            <w:pPr>
              <w:tabs>
                <w:tab w:val="left" w:pos="7740"/>
              </w:tabs>
              <w:jc w:val="center"/>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粘贴法定代表人身份证复印件</w:t>
            </w:r>
          </w:p>
        </w:tc>
      </w:tr>
    </w:tbl>
    <w:p w14:paraId="6DB9D738">
      <w:pPr>
        <w:tabs>
          <w:tab w:val="left" w:pos="7740"/>
        </w:tabs>
        <w:rPr>
          <w:rFonts w:ascii="仿宋" w:hAnsi="仿宋" w:eastAsia="仿宋" w:cs="仿宋_GB2312"/>
          <w:color w:val="auto"/>
          <w:sz w:val="28"/>
          <w:szCs w:val="28"/>
          <w:highlight w:val="none"/>
        </w:rPr>
      </w:pPr>
    </w:p>
    <w:p w14:paraId="71E69EFF">
      <w:pPr>
        <w:pStyle w:val="17"/>
        <w:spacing w:line="480" w:lineRule="auto"/>
        <w:ind w:left="133" w:firstLine="720"/>
        <w:rPr>
          <w:rFonts w:ascii="仿宋" w:hAnsi="仿宋" w:eastAsia="仿宋"/>
          <w:color w:val="auto"/>
          <w:sz w:val="28"/>
          <w:szCs w:val="28"/>
          <w:highlight w:val="none"/>
        </w:rPr>
      </w:pPr>
    </w:p>
    <w:p w14:paraId="474633AB">
      <w:pPr>
        <w:pStyle w:val="17"/>
        <w:spacing w:line="480" w:lineRule="auto"/>
        <w:ind w:left="133" w:firstLine="1470" w:firstLineChars="525"/>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投标人(盖章)：</w:t>
      </w:r>
      <w:r>
        <w:rPr>
          <w:rFonts w:hint="eastAsia" w:ascii="仿宋" w:hAnsi="仿宋" w:eastAsia="仿宋"/>
          <w:color w:val="auto"/>
          <w:sz w:val="28"/>
          <w:szCs w:val="28"/>
          <w:highlight w:val="none"/>
          <w:u w:val="single"/>
        </w:rPr>
        <w:t xml:space="preserve">                                 </w:t>
      </w:r>
    </w:p>
    <w:p w14:paraId="711377D9">
      <w:pPr>
        <w:pStyle w:val="17"/>
        <w:spacing w:line="480" w:lineRule="auto"/>
        <w:ind w:left="133" w:firstLine="1470" w:firstLineChars="525"/>
        <w:rPr>
          <w:rFonts w:ascii="仿宋" w:hAnsi="仿宋" w:eastAsia="仿宋"/>
          <w:color w:val="auto"/>
          <w:sz w:val="28"/>
          <w:szCs w:val="28"/>
          <w:highlight w:val="none"/>
          <w:u w:val="single"/>
        </w:rPr>
      </w:pPr>
    </w:p>
    <w:p w14:paraId="3B25F3C8">
      <w:pPr>
        <w:pStyle w:val="17"/>
        <w:spacing w:line="480" w:lineRule="auto"/>
        <w:ind w:left="133" w:firstLine="1470" w:firstLineChars="525"/>
        <w:rPr>
          <w:rFonts w:ascii="仿宋" w:hAnsi="仿宋" w:eastAsia="仿宋"/>
          <w:color w:val="auto"/>
          <w:sz w:val="28"/>
          <w:szCs w:val="28"/>
          <w:highlight w:val="none"/>
        </w:rPr>
      </w:pPr>
      <w:r>
        <w:rPr>
          <w:rFonts w:hint="eastAsia" w:ascii="仿宋" w:hAnsi="仿宋" w:eastAsia="仿宋"/>
          <w:color w:val="auto"/>
          <w:sz w:val="28"/>
          <w:szCs w:val="28"/>
          <w:highlight w:val="none"/>
        </w:rPr>
        <w:t>日         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w:t>
      </w:r>
    </w:p>
    <w:p w14:paraId="45672F8E">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投标文件签署授权委托书</w:t>
      </w:r>
    </w:p>
    <w:p w14:paraId="5ABFCDE6">
      <w:pPr>
        <w:pStyle w:val="17"/>
        <w:spacing w:after="120" w:afterLines="50" w:line="440" w:lineRule="exact"/>
        <w:jc w:val="center"/>
        <w:rPr>
          <w:rFonts w:ascii="华文细黑" w:hAnsi="宋体" w:eastAsia="华文细黑"/>
          <w:color w:val="auto"/>
          <w:sz w:val="44"/>
          <w:highlight w:val="none"/>
        </w:rPr>
      </w:pPr>
    </w:p>
    <w:p w14:paraId="73EDCE9B">
      <w:pPr>
        <w:pStyle w:val="17"/>
        <w:spacing w:line="560" w:lineRule="exact"/>
        <w:ind w:left="178" w:leftChars="85"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本授权委托书声明：我</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(姓名)系</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(投标人名称)的法定代表人，现授权委托</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(单位名称)的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(姓名)为我公司签署</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投标文件的法定代表人的授权委托代理人，我承认代理人全权代表我所签署的</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投标文件的内容。</w:t>
      </w:r>
    </w:p>
    <w:p w14:paraId="6129D534">
      <w:pPr>
        <w:pStyle w:val="17"/>
        <w:spacing w:line="560" w:lineRule="exact"/>
        <w:ind w:left="178" w:leftChars="85"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代理人无转委托权，特此委托。</w:t>
      </w:r>
    </w:p>
    <w:p w14:paraId="1A2AC955">
      <w:pPr>
        <w:pStyle w:val="17"/>
        <w:spacing w:line="560" w:lineRule="exact"/>
        <w:ind w:left="85" w:firstLine="720"/>
        <w:rPr>
          <w:rFonts w:ascii="仿宋" w:hAnsi="仿宋" w:eastAsia="仿宋"/>
          <w:color w:val="auto"/>
          <w:sz w:val="28"/>
          <w:szCs w:val="28"/>
          <w:highlight w:val="none"/>
        </w:rPr>
      </w:pPr>
    </w:p>
    <w:tbl>
      <w:tblPr>
        <w:tblStyle w:val="34"/>
        <w:tblW w:w="0" w:type="auto"/>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5"/>
      </w:tblGrid>
      <w:tr w14:paraId="547A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628" w:type="dxa"/>
            <w:vAlign w:val="center"/>
          </w:tcPr>
          <w:p w14:paraId="62C908FB">
            <w:pPr>
              <w:tabs>
                <w:tab w:val="left" w:pos="7740"/>
              </w:tabs>
              <w:jc w:val="center"/>
              <w:rPr>
                <w:rFonts w:ascii="仿宋" w:hAnsi="仿宋" w:eastAsia="仿宋" w:cs="仿宋_GB2312"/>
                <w:color w:val="auto"/>
                <w:sz w:val="28"/>
                <w:szCs w:val="28"/>
                <w:highlight w:val="none"/>
              </w:rPr>
            </w:pPr>
            <w:r>
              <w:rPr>
                <w:rFonts w:hint="eastAsia" w:ascii="仿宋" w:hAnsi="仿宋" w:eastAsia="仿宋" w:cs="仿宋_GB2312"/>
                <w:color w:val="auto"/>
                <w:sz w:val="28"/>
                <w:szCs w:val="28"/>
                <w:highlight w:val="none"/>
              </w:rPr>
              <w:t>粘贴委托代理人身份证复印件</w:t>
            </w:r>
          </w:p>
        </w:tc>
      </w:tr>
    </w:tbl>
    <w:p w14:paraId="3B7F32D9">
      <w:pPr>
        <w:tabs>
          <w:tab w:val="left" w:pos="7740"/>
        </w:tabs>
        <w:spacing w:line="560" w:lineRule="exact"/>
        <w:ind w:firstLine="560" w:firstLineChars="200"/>
        <w:rPr>
          <w:rFonts w:ascii="仿宋" w:hAnsi="仿宋" w:eastAsia="仿宋" w:cs="仿宋_GB2312"/>
          <w:color w:val="auto"/>
          <w:sz w:val="28"/>
          <w:szCs w:val="28"/>
          <w:highlight w:val="none"/>
        </w:rPr>
      </w:pPr>
    </w:p>
    <w:p w14:paraId="78CF3D7B">
      <w:pPr>
        <w:pStyle w:val="17"/>
        <w:spacing w:line="560" w:lineRule="exact"/>
        <w:ind w:left="85" w:firstLine="560" w:firstLineChars="200"/>
        <w:rPr>
          <w:rFonts w:ascii="仿宋" w:hAnsi="仿宋" w:eastAsia="仿宋"/>
          <w:color w:val="auto"/>
          <w:sz w:val="28"/>
          <w:szCs w:val="28"/>
          <w:highlight w:val="none"/>
        </w:rPr>
      </w:pPr>
    </w:p>
    <w:p w14:paraId="6192D705">
      <w:pPr>
        <w:pStyle w:val="17"/>
        <w:spacing w:line="560" w:lineRule="exact"/>
        <w:ind w:left="85" w:firstLine="560" w:firstLineChars="200"/>
        <w:rPr>
          <w:rFonts w:ascii="仿宋" w:hAnsi="仿宋" w:eastAsia="仿宋"/>
          <w:color w:val="auto"/>
          <w:sz w:val="28"/>
          <w:szCs w:val="28"/>
          <w:highlight w:val="none"/>
        </w:rPr>
      </w:pPr>
    </w:p>
    <w:p w14:paraId="3E9BB762">
      <w:pPr>
        <w:pStyle w:val="17"/>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代理人：</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性别：</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年龄：</w:t>
      </w:r>
      <w:r>
        <w:rPr>
          <w:rFonts w:hint="eastAsia" w:ascii="仿宋" w:hAnsi="仿宋" w:eastAsia="仿宋"/>
          <w:color w:val="auto"/>
          <w:sz w:val="28"/>
          <w:szCs w:val="28"/>
          <w:highlight w:val="none"/>
          <w:u w:val="single"/>
        </w:rPr>
        <w:t xml:space="preserve">             </w:t>
      </w:r>
    </w:p>
    <w:p w14:paraId="4C993FA1">
      <w:pPr>
        <w:pStyle w:val="17"/>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身份证号码：</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职务：</w:t>
      </w:r>
      <w:r>
        <w:rPr>
          <w:rFonts w:hint="eastAsia" w:ascii="仿宋" w:hAnsi="仿宋" w:eastAsia="仿宋"/>
          <w:color w:val="auto"/>
          <w:sz w:val="28"/>
          <w:szCs w:val="28"/>
          <w:highlight w:val="none"/>
          <w:u w:val="single"/>
        </w:rPr>
        <w:t xml:space="preserve">               </w:t>
      </w:r>
    </w:p>
    <w:p w14:paraId="63744E6F">
      <w:pPr>
        <w:pStyle w:val="17"/>
        <w:spacing w:line="560" w:lineRule="exact"/>
        <w:ind w:left="84" w:leftChars="40"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投标人(盖章)：</w:t>
      </w:r>
      <w:r>
        <w:rPr>
          <w:rFonts w:hint="eastAsia" w:ascii="仿宋" w:hAnsi="仿宋" w:eastAsia="仿宋"/>
          <w:color w:val="auto"/>
          <w:sz w:val="28"/>
          <w:szCs w:val="28"/>
          <w:highlight w:val="none"/>
          <w:u w:val="single"/>
        </w:rPr>
        <w:t xml:space="preserve">                                           </w:t>
      </w:r>
    </w:p>
    <w:p w14:paraId="5F4355C2">
      <w:pPr>
        <w:pStyle w:val="17"/>
        <w:spacing w:line="560" w:lineRule="exact"/>
        <w:ind w:left="84" w:leftChars="40"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法定代表人(签字或盖章)：</w:t>
      </w:r>
      <w:r>
        <w:rPr>
          <w:rFonts w:hint="eastAsia" w:ascii="仿宋" w:hAnsi="仿宋" w:eastAsia="仿宋"/>
          <w:color w:val="auto"/>
          <w:sz w:val="28"/>
          <w:szCs w:val="28"/>
          <w:highlight w:val="none"/>
          <w:u w:val="single"/>
        </w:rPr>
        <w:t xml:space="preserve">                                 </w:t>
      </w:r>
    </w:p>
    <w:p w14:paraId="4F4D46B1">
      <w:pPr>
        <w:pStyle w:val="17"/>
        <w:spacing w:line="560" w:lineRule="exact"/>
        <w:ind w:left="84" w:leftChars="40"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授权委托有效日期：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日至</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w:t>
      </w:r>
    </w:p>
    <w:p w14:paraId="4FDA2C68">
      <w:pPr>
        <w:pStyle w:val="17"/>
        <w:spacing w:line="560" w:lineRule="exact"/>
        <w:ind w:firstLine="480" w:firstLineChars="200"/>
        <w:rPr>
          <w:color w:val="auto"/>
          <w:sz w:val="24"/>
          <w:highlight w:val="none"/>
        </w:rPr>
      </w:pPr>
      <w:r>
        <w:rPr>
          <w:color w:val="auto"/>
          <w:sz w:val="24"/>
          <w:highlight w:val="none"/>
        </w:rPr>
        <w:br w:type="page"/>
      </w:r>
    </w:p>
    <w:p w14:paraId="7A28457C">
      <w:pPr>
        <w:adjustRightInd w:val="0"/>
        <w:snapToGrid w:val="0"/>
        <w:spacing w:line="560" w:lineRule="exact"/>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  标  函</w:t>
      </w:r>
    </w:p>
    <w:p w14:paraId="7B8AC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致：</w:t>
      </w:r>
      <w:r>
        <w:rPr>
          <w:rFonts w:hint="eastAsia" w:ascii="仿宋" w:hAnsi="仿宋" w:eastAsia="仿宋"/>
          <w:color w:val="auto"/>
          <w:sz w:val="28"/>
          <w:szCs w:val="28"/>
          <w:highlight w:val="none"/>
          <w:u w:val="single"/>
        </w:rPr>
        <w:t xml:space="preserve">                       </w:t>
      </w:r>
    </w:p>
    <w:p w14:paraId="09E24DF3">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1.根据已收到贵方的</w:t>
      </w:r>
      <w:r>
        <w:rPr>
          <w:rFonts w:hint="eastAsia" w:ascii="仿宋" w:hAnsi="仿宋" w:eastAsia="仿宋" w:cs="宋体"/>
          <w:color w:val="auto"/>
          <w:kern w:val="0"/>
          <w:sz w:val="28"/>
          <w:szCs w:val="28"/>
          <w:highlight w:val="none"/>
          <w:u w:val="single"/>
        </w:rPr>
        <w:t xml:space="preserve">                    </w:t>
      </w:r>
      <w:r>
        <w:rPr>
          <w:rFonts w:hint="eastAsia" w:ascii="仿宋" w:hAnsi="仿宋" w:eastAsia="仿宋"/>
          <w:color w:val="auto"/>
          <w:sz w:val="28"/>
          <w:szCs w:val="28"/>
          <w:highlight w:val="none"/>
        </w:rPr>
        <w:t>的招标文件，并已详细审核了全部招标文件及有关附件。</w:t>
      </w:r>
    </w:p>
    <w:p w14:paraId="05724393">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2.遵照《中华人民共和国招标投标法》等有关规定，经研究上述招标文件的投标须知、合同条款、需求标准、需求清单及其他有关文件后，我方承诺：愿以</w:t>
      </w:r>
    </w:p>
    <w:p w14:paraId="08BB0164">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币种：</w:t>
      </w:r>
      <w:r>
        <w:rPr>
          <w:rFonts w:hint="eastAsia" w:ascii="仿宋" w:hAnsi="仿宋" w:eastAsia="仿宋"/>
          <w:color w:val="auto"/>
          <w:sz w:val="28"/>
          <w:szCs w:val="28"/>
          <w:highlight w:val="none"/>
          <w:u w:val="single"/>
        </w:rPr>
        <w:t xml:space="preserve">            </w:t>
      </w:r>
    </w:p>
    <w:p w14:paraId="0E2A579C">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金额(大写)</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元</w:t>
      </w:r>
    </w:p>
    <w:p w14:paraId="7505D08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(小写)</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元</w:t>
      </w:r>
    </w:p>
    <w:p w14:paraId="57838F4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的投标报价并按上述合同条款、需求标准、需求清单等的要求完成上述招标项目内容并提交合格的成果文件。</w:t>
      </w:r>
    </w:p>
    <w:p w14:paraId="423083F9">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06C70747">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4.如果我方中标，我方保证按招标文件规定的服务周期，在</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日历天内完成招标项目内容并提交符合招标文件要求的成果文件。</w:t>
      </w:r>
    </w:p>
    <w:p w14:paraId="72BBB7E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5.除非另外达成协议并生效，贵方的中标通知书和本投标文件将成为约束双方的合同文件的组成部分。</w:t>
      </w:r>
    </w:p>
    <w:p w14:paraId="5479288C">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6.我方的投标担保与本投标函同时递交。</w:t>
      </w:r>
    </w:p>
    <w:p w14:paraId="65A1F348">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投标担保采用：□投标保函或现金□支票□转账方式</w:t>
      </w:r>
    </w:p>
    <w:p w14:paraId="416A6307">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投标担保的币种：</w:t>
      </w:r>
      <w:r>
        <w:rPr>
          <w:rFonts w:hint="eastAsia" w:ascii="仿宋" w:hAnsi="仿宋" w:eastAsia="仿宋"/>
          <w:color w:val="auto"/>
          <w:sz w:val="28"/>
          <w:szCs w:val="28"/>
          <w:highlight w:val="none"/>
          <w:u w:val="single"/>
        </w:rPr>
        <w:t xml:space="preserve">                </w:t>
      </w:r>
    </w:p>
    <w:p w14:paraId="4ABD0A0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金额(大写)</w:t>
      </w:r>
      <w:r>
        <w:rPr>
          <w:rFonts w:hint="eastAsia" w:ascii="仿宋" w:hAnsi="仿宋" w:eastAsia="仿宋"/>
          <w:color w:val="auto"/>
          <w:sz w:val="28"/>
          <w:szCs w:val="28"/>
          <w:highlight w:val="none"/>
          <w:u w:val="single"/>
        </w:rPr>
        <w:t xml:space="preserve">                                    </w:t>
      </w:r>
    </w:p>
    <w:p w14:paraId="4010A3BA">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(小写) </w:t>
      </w:r>
      <w:r>
        <w:rPr>
          <w:rFonts w:hint="eastAsia" w:ascii="仿宋" w:hAnsi="仿宋" w:eastAsia="仿宋"/>
          <w:color w:val="auto"/>
          <w:sz w:val="28"/>
          <w:szCs w:val="28"/>
          <w:highlight w:val="none"/>
          <w:u w:val="single"/>
        </w:rPr>
        <w:t xml:space="preserve">                                   </w:t>
      </w:r>
    </w:p>
    <w:p w14:paraId="7C5AC930">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7、如果我方中标，我方将实行项目经理负责制，并按投标文件配备项目管理班子。如未经招标人同意更换项目班子成员，招标人有权取消我公司的中标资格或单方面终止合同，由此造成的违约责任由我公司承担。</w:t>
      </w:r>
    </w:p>
    <w:p w14:paraId="49D98CB6">
      <w:pPr>
        <w:spacing w:line="560" w:lineRule="exact"/>
        <w:ind w:firstLine="560" w:firstLineChars="200"/>
        <w:rPr>
          <w:rFonts w:ascii="仿宋" w:hAnsi="仿宋" w:eastAsia="仿宋"/>
          <w:color w:val="auto"/>
          <w:sz w:val="28"/>
          <w:szCs w:val="28"/>
          <w:highlight w:val="none"/>
        </w:rPr>
      </w:pPr>
    </w:p>
    <w:p w14:paraId="63AC1C9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投标人(盖章)：</w:t>
      </w:r>
      <w:r>
        <w:rPr>
          <w:rFonts w:hint="eastAsia" w:ascii="仿宋" w:hAnsi="仿宋" w:eastAsia="仿宋"/>
          <w:color w:val="auto"/>
          <w:sz w:val="28"/>
          <w:szCs w:val="28"/>
          <w:highlight w:val="none"/>
          <w:u w:val="single"/>
        </w:rPr>
        <w:t xml:space="preserve">                                                      </w:t>
      </w:r>
    </w:p>
    <w:p w14:paraId="6D0C7D7A">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单位地址：</w:t>
      </w:r>
      <w:r>
        <w:rPr>
          <w:rFonts w:hint="eastAsia" w:ascii="仿宋" w:hAnsi="仿宋" w:eastAsia="仿宋"/>
          <w:color w:val="auto"/>
          <w:sz w:val="28"/>
          <w:szCs w:val="28"/>
          <w:highlight w:val="none"/>
          <w:u w:val="single"/>
        </w:rPr>
        <w:t xml:space="preserve">                                                           </w:t>
      </w:r>
    </w:p>
    <w:p w14:paraId="31D0162F">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法定代表人或其授权委托人(签字或盖章)：</w:t>
      </w:r>
      <w:r>
        <w:rPr>
          <w:rFonts w:hint="eastAsia" w:ascii="仿宋" w:hAnsi="仿宋" w:eastAsia="仿宋"/>
          <w:color w:val="auto"/>
          <w:sz w:val="28"/>
          <w:szCs w:val="28"/>
          <w:highlight w:val="none"/>
          <w:u w:val="single"/>
        </w:rPr>
        <w:t xml:space="preserve">                              </w:t>
      </w:r>
    </w:p>
    <w:p w14:paraId="17A4DEB9">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邮政编码：</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电话：</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 xml:space="preserve"> 传真：</w:t>
      </w:r>
      <w:r>
        <w:rPr>
          <w:rFonts w:hint="eastAsia" w:ascii="仿宋" w:hAnsi="仿宋" w:eastAsia="仿宋"/>
          <w:color w:val="auto"/>
          <w:sz w:val="28"/>
          <w:szCs w:val="28"/>
          <w:highlight w:val="none"/>
          <w:u w:val="single"/>
        </w:rPr>
        <w:t xml:space="preserve">              </w:t>
      </w:r>
    </w:p>
    <w:p w14:paraId="293F172E">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开户银行名称：</w:t>
      </w:r>
      <w:r>
        <w:rPr>
          <w:rFonts w:hint="eastAsia" w:ascii="仿宋" w:hAnsi="仿宋" w:eastAsia="仿宋"/>
          <w:color w:val="auto"/>
          <w:sz w:val="28"/>
          <w:szCs w:val="28"/>
          <w:highlight w:val="none"/>
          <w:u w:val="single"/>
        </w:rPr>
        <w:t xml:space="preserve">                                                       </w:t>
      </w:r>
    </w:p>
    <w:p w14:paraId="18BC64D8">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开户银行帐号：</w:t>
      </w:r>
      <w:r>
        <w:rPr>
          <w:rFonts w:hint="eastAsia" w:ascii="仿宋" w:hAnsi="仿宋" w:eastAsia="仿宋"/>
          <w:color w:val="auto"/>
          <w:sz w:val="28"/>
          <w:szCs w:val="28"/>
          <w:highlight w:val="none"/>
          <w:u w:val="single"/>
        </w:rPr>
        <w:t xml:space="preserve">                                                       </w:t>
      </w:r>
    </w:p>
    <w:p w14:paraId="0E1A1121">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开户银行地址：</w:t>
      </w:r>
      <w:r>
        <w:rPr>
          <w:rFonts w:hint="eastAsia" w:ascii="仿宋" w:hAnsi="仿宋" w:eastAsia="仿宋"/>
          <w:color w:val="auto"/>
          <w:sz w:val="28"/>
          <w:szCs w:val="28"/>
          <w:highlight w:val="none"/>
          <w:u w:val="single"/>
        </w:rPr>
        <w:t xml:space="preserve">                                                       </w:t>
      </w:r>
    </w:p>
    <w:p w14:paraId="52B8435F">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开户银行电话：</w:t>
      </w:r>
      <w:r>
        <w:rPr>
          <w:rFonts w:hint="eastAsia" w:ascii="仿宋" w:hAnsi="仿宋" w:eastAsia="仿宋"/>
          <w:color w:val="auto"/>
          <w:sz w:val="28"/>
          <w:szCs w:val="28"/>
          <w:highlight w:val="none"/>
          <w:u w:val="single"/>
        </w:rPr>
        <w:t xml:space="preserve">                                                       </w:t>
      </w:r>
    </w:p>
    <w:p w14:paraId="14E1E013">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日期：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p>
    <w:p w14:paraId="1FEBEBEE">
      <w:pPr>
        <w:spacing w:line="560" w:lineRule="exact"/>
        <w:ind w:firstLine="560" w:firstLineChars="200"/>
        <w:rPr>
          <w:rFonts w:ascii="仿宋" w:hAnsi="仿宋" w:eastAsia="仿宋"/>
          <w:color w:val="auto"/>
          <w:sz w:val="28"/>
          <w:szCs w:val="28"/>
          <w:highlight w:val="none"/>
        </w:rPr>
      </w:pPr>
      <w:r>
        <w:rPr>
          <w:rFonts w:ascii="仿宋_GB2312" w:hAnsi="宋体" w:eastAsia="仿宋_GB2312"/>
          <w:color w:val="auto"/>
          <w:sz w:val="28"/>
          <w:szCs w:val="28"/>
          <w:highlight w:val="none"/>
          <w:u w:val="single"/>
        </w:rPr>
        <w:br w:type="page"/>
      </w:r>
      <w:r>
        <w:rPr>
          <w:rFonts w:hint="eastAsia" w:ascii="仿宋" w:hAnsi="仿宋" w:eastAsia="仿宋"/>
          <w:color w:val="auto"/>
          <w:sz w:val="28"/>
          <w:szCs w:val="28"/>
          <w:highlight w:val="none"/>
        </w:rPr>
        <w:t>投标保函或投标保证金缴纳凭证</w:t>
      </w:r>
    </w:p>
    <w:p w14:paraId="7704B3B1">
      <w:pPr>
        <w:adjustRightInd w:val="0"/>
        <w:snapToGrid w:val="0"/>
        <w:spacing w:line="560" w:lineRule="exact"/>
        <w:jc w:val="center"/>
        <w:rPr>
          <w:rFonts w:ascii="仿宋" w:hAnsi="仿宋" w:eastAsia="仿宋"/>
          <w:color w:val="auto"/>
          <w:sz w:val="28"/>
          <w:szCs w:val="28"/>
          <w:highlight w:val="none"/>
          <w:u w:val="single"/>
        </w:rPr>
      </w:pPr>
    </w:p>
    <w:p w14:paraId="68248EAC">
      <w:pPr>
        <w:adjustRightInd w:val="0"/>
        <w:snapToGrid w:val="0"/>
        <w:spacing w:line="560" w:lineRule="exact"/>
        <w:jc w:val="center"/>
        <w:rPr>
          <w:rFonts w:ascii="仿宋" w:hAnsi="仿宋" w:eastAsia="仿宋"/>
          <w:color w:val="auto"/>
          <w:sz w:val="28"/>
          <w:szCs w:val="28"/>
          <w:highlight w:val="none"/>
          <w:u w:val="single"/>
        </w:rPr>
      </w:pPr>
    </w:p>
    <w:p w14:paraId="325D01BD">
      <w:pPr>
        <w:adjustRightInd w:val="0"/>
        <w:snapToGrid w:val="0"/>
        <w:spacing w:line="560" w:lineRule="exact"/>
        <w:jc w:val="center"/>
        <w:rPr>
          <w:rFonts w:ascii="仿宋" w:hAnsi="仿宋" w:eastAsia="仿宋"/>
          <w:color w:val="auto"/>
          <w:sz w:val="28"/>
          <w:szCs w:val="28"/>
          <w:highlight w:val="none"/>
          <w:u w:val="single"/>
        </w:rPr>
      </w:pPr>
    </w:p>
    <w:tbl>
      <w:tblPr>
        <w:tblStyle w:val="34"/>
        <w:tblW w:w="8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0"/>
      </w:tblGrid>
      <w:tr w14:paraId="6B9B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5" w:hRule="atLeast"/>
        </w:trPr>
        <w:tc>
          <w:tcPr>
            <w:tcW w:w="8160" w:type="dxa"/>
          </w:tcPr>
          <w:p w14:paraId="25B7A49D">
            <w:pPr>
              <w:spacing w:line="560" w:lineRule="exact"/>
              <w:ind w:firstLine="560" w:firstLineChars="20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（粘贴转帐或汇款的银行凭证复印件）</w:t>
            </w:r>
          </w:p>
          <w:p w14:paraId="02B8D994">
            <w:pPr>
              <w:adjustRightInd w:val="0"/>
              <w:snapToGrid w:val="0"/>
              <w:spacing w:line="560" w:lineRule="exact"/>
              <w:jc w:val="center"/>
              <w:rPr>
                <w:rFonts w:ascii="仿宋" w:hAnsi="仿宋" w:eastAsia="仿宋"/>
                <w:color w:val="auto"/>
                <w:sz w:val="28"/>
                <w:szCs w:val="28"/>
                <w:highlight w:val="none"/>
                <w:u w:val="single"/>
              </w:rPr>
            </w:pPr>
          </w:p>
        </w:tc>
      </w:tr>
    </w:tbl>
    <w:p w14:paraId="19DD46F4">
      <w:pPr>
        <w:adjustRightInd w:val="0"/>
        <w:snapToGrid w:val="0"/>
        <w:spacing w:line="560" w:lineRule="exact"/>
        <w:jc w:val="center"/>
        <w:rPr>
          <w:rFonts w:ascii="黑体" w:hAnsi="黑体" w:eastAsia="黑体"/>
          <w:color w:val="auto"/>
          <w:kern w:val="0"/>
          <w:sz w:val="36"/>
          <w:szCs w:val="36"/>
          <w:highlight w:val="none"/>
        </w:rPr>
      </w:pPr>
      <w:r>
        <w:rPr>
          <w:rFonts w:ascii="仿宋_GB2312" w:hAnsi="宋体" w:eastAsia="仿宋_GB2312"/>
          <w:color w:val="auto"/>
          <w:sz w:val="28"/>
          <w:szCs w:val="28"/>
          <w:highlight w:val="none"/>
          <w:u w:val="single"/>
        </w:rPr>
        <w:br w:type="page"/>
      </w:r>
      <w:r>
        <w:rPr>
          <w:rFonts w:hint="eastAsia" w:ascii="黑体" w:hAnsi="黑体" w:eastAsia="黑体"/>
          <w:color w:val="auto"/>
          <w:kern w:val="0"/>
          <w:sz w:val="36"/>
          <w:szCs w:val="36"/>
          <w:highlight w:val="none"/>
        </w:rPr>
        <w:t>廉洁投标承诺书</w:t>
      </w:r>
    </w:p>
    <w:p w14:paraId="250F7FA8">
      <w:pPr>
        <w:pStyle w:val="69"/>
        <w:ind w:firstLine="562"/>
        <w:rPr>
          <w:rFonts w:ascii="宋体" w:hAnsi="宋体"/>
          <w:b/>
          <w:color w:val="auto"/>
          <w:kern w:val="0"/>
          <w:sz w:val="28"/>
          <w:szCs w:val="28"/>
          <w:highlight w:val="none"/>
        </w:rPr>
      </w:pPr>
    </w:p>
    <w:p w14:paraId="1D85E69C">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致</w:t>
      </w:r>
      <w:r>
        <w:rPr>
          <w:rFonts w:hint="eastAsia" w:ascii="仿宋" w:hAnsi="仿宋" w:eastAsia="仿宋"/>
          <w:color w:val="auto"/>
          <w:kern w:val="0"/>
          <w:sz w:val="28"/>
          <w:szCs w:val="28"/>
          <w:highlight w:val="none"/>
          <w:u w:val="single"/>
        </w:rPr>
        <w:t xml:space="preserve">（招标人名称）   </w:t>
      </w:r>
      <w:r>
        <w:rPr>
          <w:rFonts w:hint="eastAsia" w:ascii="仿宋" w:hAnsi="仿宋" w:eastAsia="仿宋"/>
          <w:color w:val="auto"/>
          <w:kern w:val="0"/>
          <w:sz w:val="28"/>
          <w:szCs w:val="28"/>
          <w:highlight w:val="none"/>
        </w:rPr>
        <w:t>：</w:t>
      </w:r>
    </w:p>
    <w:p w14:paraId="42E70D9F">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为积极配合贵单位进行的</w:t>
      </w:r>
      <w:r>
        <w:rPr>
          <w:rFonts w:hint="eastAsia" w:ascii="仿宋" w:hAnsi="仿宋" w:eastAsia="仿宋"/>
          <w:color w:val="auto"/>
          <w:kern w:val="0"/>
          <w:sz w:val="28"/>
          <w:szCs w:val="28"/>
          <w:highlight w:val="none"/>
          <w:u w:val="single"/>
        </w:rPr>
        <w:t xml:space="preserve">                   </w:t>
      </w:r>
      <w:r>
        <w:rPr>
          <w:rFonts w:hint="eastAsia" w:ascii="仿宋" w:hAnsi="仿宋" w:eastAsia="仿宋"/>
          <w:color w:val="auto"/>
          <w:kern w:val="0"/>
          <w:sz w:val="28"/>
          <w:szCs w:val="28"/>
          <w:highlight w:val="none"/>
        </w:rPr>
        <w:t>招标/采购工作，有效遏制不公平竞争和违规违纪问题的发生，确保招标/采购工作的公平、公正、公开，根据《中华人民共和国招标投标法》等有关法律、法规，以及政府及相关主管部门的有关条例、规定、办法等，本单位特此承诺：</w:t>
      </w:r>
    </w:p>
    <w:p w14:paraId="1ED57CD8">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一、自觉遵守招标投标相关法律法规。</w:t>
      </w:r>
    </w:p>
    <w:p w14:paraId="60E093B7">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二、主动遵照执行深圳第一亚太物业管理有限公司的招投标及采购规定，积极配合深圳第一亚太物业管理有限公司在招标及采购领域中的廉洁风险防控。</w:t>
      </w:r>
    </w:p>
    <w:p w14:paraId="1DC1E238">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三、不采用不正当竞争手段妨碍、排挤其它投标单位或串通投标。</w:t>
      </w:r>
    </w:p>
    <w:p w14:paraId="7FA70CBE">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四、按照招标文件规定的方式进行投标，不隐瞒本单位投标资质的真实情况。</w:t>
      </w:r>
    </w:p>
    <w:p w14:paraId="2E2DF1C5">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五、在投标活动中不行贿，不给予或暗示给予招标工作人员任何不正当利益，不进行可能影响招投标公平、公正的任何活动。</w:t>
      </w:r>
    </w:p>
    <w:p w14:paraId="146390CC">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六、在投标活动中自觉抵制来自招标工作人员的索贿行为。</w:t>
      </w:r>
    </w:p>
    <w:p w14:paraId="0DF0EFE6">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七、本单位若有违反承诺内容的行为，自愿接受相应处罚。</w:t>
      </w:r>
    </w:p>
    <w:p w14:paraId="0FF46EF8">
      <w:pPr>
        <w:pStyle w:val="69"/>
        <w:spacing w:line="560" w:lineRule="exact"/>
        <w:ind w:firstLine="560"/>
        <w:rPr>
          <w:rFonts w:ascii="仿宋" w:hAnsi="仿宋" w:eastAsia="仿宋"/>
          <w:color w:val="auto"/>
          <w:kern w:val="0"/>
          <w:sz w:val="28"/>
          <w:szCs w:val="28"/>
          <w:highlight w:val="none"/>
        </w:rPr>
      </w:pPr>
    </w:p>
    <w:p w14:paraId="1CC31988">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 xml:space="preserve">投标单位：       （盖章）       </w:t>
      </w:r>
    </w:p>
    <w:p w14:paraId="73D897BC">
      <w:pPr>
        <w:pStyle w:val="69"/>
        <w:spacing w:line="560" w:lineRule="exact"/>
        <w:ind w:firstLine="56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 xml:space="preserve">法定代表人：     （签字）        </w:t>
      </w:r>
    </w:p>
    <w:p w14:paraId="1FFB2787">
      <w:pPr>
        <w:pStyle w:val="69"/>
        <w:spacing w:line="560" w:lineRule="exact"/>
        <w:ind w:firstLine="560"/>
        <w:jc w:val="left"/>
        <w:rPr>
          <w:rFonts w:ascii="仿宋" w:hAnsi="仿宋" w:eastAsia="仿宋"/>
          <w:b/>
          <w:color w:val="auto"/>
          <w:sz w:val="28"/>
          <w:szCs w:val="28"/>
          <w:highlight w:val="none"/>
        </w:rPr>
      </w:pPr>
      <w:r>
        <w:rPr>
          <w:rFonts w:hint="eastAsia" w:ascii="仿宋" w:hAnsi="仿宋" w:eastAsia="仿宋"/>
          <w:color w:val="auto"/>
          <w:kern w:val="0"/>
          <w:sz w:val="28"/>
          <w:szCs w:val="28"/>
          <w:highlight w:val="none"/>
        </w:rPr>
        <w:t>授权委托人：     （签字）</w:t>
      </w:r>
    </w:p>
    <w:p w14:paraId="3E042CDE">
      <w:pPr>
        <w:spacing w:line="560" w:lineRule="exact"/>
        <w:ind w:firstLine="560" w:firstLineChars="200"/>
        <w:rPr>
          <w:rFonts w:ascii="仿宋_GB2312" w:hAnsi="宋体" w:eastAsia="仿宋_GB2312"/>
          <w:color w:val="auto"/>
          <w:sz w:val="28"/>
          <w:szCs w:val="28"/>
          <w:highlight w:val="none"/>
        </w:rPr>
      </w:pPr>
    </w:p>
    <w:p w14:paraId="05020C46">
      <w:pPr>
        <w:pStyle w:val="69"/>
        <w:ind w:firstLine="0" w:firstLineChars="0"/>
        <w:outlineLvl w:val="1"/>
        <w:rPr>
          <w:rFonts w:ascii="仿宋_GB2312" w:hAnsi="宋体" w:eastAsia="仿宋_GB2312"/>
          <w:b/>
          <w:color w:val="auto"/>
          <w:kern w:val="0"/>
          <w:sz w:val="28"/>
          <w:szCs w:val="28"/>
          <w:highlight w:val="none"/>
        </w:rPr>
      </w:pPr>
      <w:bookmarkStart w:id="71" w:name="_Toc20810"/>
      <w:bookmarkStart w:id="72" w:name="_Toc80800165"/>
      <w:r>
        <w:rPr>
          <w:rFonts w:hint="eastAsia" w:ascii="仿宋_GB2312" w:hAnsi="宋体" w:eastAsia="仿宋_GB2312"/>
          <w:b/>
          <w:color w:val="auto"/>
          <w:kern w:val="0"/>
          <w:sz w:val="28"/>
          <w:szCs w:val="28"/>
          <w:highlight w:val="none"/>
        </w:rPr>
        <w:t>三、投标文件格式--资信标部分</w:t>
      </w:r>
      <w:bookmarkEnd w:id="71"/>
      <w:bookmarkEnd w:id="72"/>
    </w:p>
    <w:p w14:paraId="322A380A">
      <w:pPr>
        <w:pStyle w:val="17"/>
        <w:jc w:val="center"/>
        <w:rPr>
          <w:rFonts w:hAnsi="宋体"/>
          <w:b/>
          <w:bCs/>
          <w:color w:val="auto"/>
          <w:sz w:val="72"/>
          <w:highlight w:val="none"/>
        </w:rPr>
      </w:pPr>
    </w:p>
    <w:p w14:paraId="744F3CFD">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7CC87790">
      <w:pPr>
        <w:pStyle w:val="17"/>
        <w:jc w:val="center"/>
        <w:rPr>
          <w:rFonts w:ascii="黑体" w:hAnsi="黑体" w:eastAsia="黑体"/>
          <w:bCs/>
          <w:color w:val="auto"/>
          <w:sz w:val="84"/>
          <w:szCs w:val="84"/>
          <w:highlight w:val="none"/>
        </w:rPr>
      </w:pPr>
    </w:p>
    <w:p w14:paraId="61484D6F">
      <w:pPr>
        <w:widowControl w:val="0"/>
        <w:ind w:left="988"/>
        <w:jc w:val="center"/>
        <w:rPr>
          <w:rFonts w:hint="eastAsia"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41E247A2">
      <w:pPr>
        <w:widowControl w:val="0"/>
        <w:ind w:left="988"/>
        <w:jc w:val="center"/>
        <w:rPr>
          <w:rFonts w:ascii="宋体" w:hAnsi="宋体"/>
          <w:color w:val="auto"/>
          <w:kern w:val="0"/>
          <w:sz w:val="36"/>
          <w:szCs w:val="36"/>
          <w:highlight w:val="none"/>
          <w:u w:val="single"/>
        </w:rPr>
      </w:pPr>
      <w:r>
        <w:rPr>
          <w:rFonts w:hint="eastAsia" w:ascii="仿宋" w:hAnsi="仿宋" w:eastAsia="仿宋" w:cs="Times New Roman"/>
          <w:b/>
          <w:bCs w:val="0"/>
          <w:color w:val="auto"/>
          <w:kern w:val="2"/>
          <w:sz w:val="36"/>
          <w:szCs w:val="36"/>
          <w:highlight w:val="none"/>
          <w:shd w:val="clear"/>
          <w:lang w:val="en-US" w:eastAsia="zh-CN"/>
        </w:rPr>
        <w:t>（第二次）</w:t>
      </w:r>
    </w:p>
    <w:p w14:paraId="7B0247AF">
      <w:pPr>
        <w:pStyle w:val="17"/>
        <w:jc w:val="center"/>
        <w:rPr>
          <w:rFonts w:ascii="黑体" w:hAnsi="黑体" w:eastAsia="黑体"/>
          <w:bCs/>
          <w:color w:val="auto"/>
          <w:sz w:val="84"/>
          <w:szCs w:val="84"/>
          <w:highlight w:val="none"/>
        </w:rPr>
      </w:pPr>
    </w:p>
    <w:p w14:paraId="594FA0DE">
      <w:pPr>
        <w:widowControl w:val="0"/>
        <w:rPr>
          <w:rFonts w:ascii="宋体" w:hAnsi="宋体"/>
          <w:b/>
          <w:bCs/>
          <w:color w:val="auto"/>
          <w:kern w:val="0"/>
          <w:sz w:val="32"/>
          <w:szCs w:val="21"/>
          <w:highlight w:val="none"/>
        </w:rPr>
      </w:pPr>
    </w:p>
    <w:p w14:paraId="20E37F43">
      <w:pPr>
        <w:widowControl w:val="0"/>
        <w:rPr>
          <w:rFonts w:ascii="宋体" w:hAnsi="宋体"/>
          <w:b/>
          <w:bCs/>
          <w:color w:val="auto"/>
          <w:kern w:val="0"/>
          <w:sz w:val="32"/>
          <w:szCs w:val="21"/>
          <w:highlight w:val="none"/>
        </w:rPr>
      </w:pPr>
    </w:p>
    <w:p w14:paraId="27901619">
      <w:pPr>
        <w:widowControl w:val="0"/>
        <w:rPr>
          <w:rFonts w:ascii="宋体" w:hAnsi="宋体"/>
          <w:b/>
          <w:bCs/>
          <w:color w:val="auto"/>
          <w:kern w:val="0"/>
          <w:sz w:val="32"/>
          <w:szCs w:val="21"/>
          <w:highlight w:val="none"/>
        </w:rPr>
      </w:pPr>
    </w:p>
    <w:p w14:paraId="75FBC9DD">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77A3198A">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 xml:space="preserve">投标文件内容：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资信标部分</w:t>
      </w:r>
      <w:r>
        <w:rPr>
          <w:rFonts w:hint="eastAsia" w:ascii="微软雅黑" w:hAnsi="宋体" w:eastAsia="微软雅黑"/>
          <w:bCs/>
          <w:color w:val="auto"/>
          <w:kern w:val="0"/>
          <w:sz w:val="28"/>
          <w:szCs w:val="21"/>
          <w:highlight w:val="none"/>
          <w:u w:val="single"/>
        </w:rPr>
        <w:t xml:space="preserve">              </w:t>
      </w:r>
    </w:p>
    <w:p w14:paraId="21614D13">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投标单位（盖章）：</w:t>
      </w:r>
      <w:r>
        <w:rPr>
          <w:rFonts w:hint="eastAsia" w:ascii="微软雅黑" w:hAnsi="宋体" w:eastAsia="微软雅黑"/>
          <w:bCs/>
          <w:color w:val="auto"/>
          <w:kern w:val="0"/>
          <w:sz w:val="28"/>
          <w:szCs w:val="21"/>
          <w:highlight w:val="none"/>
          <w:u w:val="single"/>
        </w:rPr>
        <w:t xml:space="preserve">                                   </w:t>
      </w:r>
    </w:p>
    <w:p w14:paraId="1957D09F">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0DA25F9B">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0F8A5347">
      <w:pPr>
        <w:widowControl w:val="0"/>
        <w:spacing w:line="480" w:lineRule="auto"/>
        <w:ind w:firstLine="843" w:firstLineChars="300"/>
        <w:rPr>
          <w:rFonts w:ascii="宋体" w:hAnsi="宋体"/>
          <w:b/>
          <w:bCs/>
          <w:color w:val="auto"/>
          <w:kern w:val="0"/>
          <w:sz w:val="28"/>
          <w:szCs w:val="21"/>
          <w:highlight w:val="none"/>
        </w:rPr>
      </w:pPr>
    </w:p>
    <w:p w14:paraId="192CAD41">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资信标投标文件目录</w:t>
      </w:r>
    </w:p>
    <w:p w14:paraId="790A98EA">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1、投标人资质情况；</w:t>
      </w:r>
    </w:p>
    <w:p w14:paraId="001E8C19">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2、投标人注册资金、办公场地、员工数量、机械设备等规模情况；</w:t>
      </w:r>
    </w:p>
    <w:p w14:paraId="235E3913">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3、投标人营业收入等财务状况；</w:t>
      </w:r>
    </w:p>
    <w:p w14:paraId="07439928">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4、投标人纳税情况；</w:t>
      </w:r>
    </w:p>
    <w:p w14:paraId="16EBF7F4">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5、投标人业绩情况；</w:t>
      </w:r>
    </w:p>
    <w:p w14:paraId="18EF3130">
      <w:pPr>
        <w:pStyle w:val="69"/>
        <w:spacing w:line="560" w:lineRule="exact"/>
        <w:ind w:firstLine="560"/>
        <w:jc w:val="left"/>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6、投标人获奖情况；</w:t>
      </w:r>
    </w:p>
    <w:p w14:paraId="0EA1426C">
      <w:pPr>
        <w:pStyle w:val="69"/>
        <w:spacing w:line="560" w:lineRule="exact"/>
        <w:ind w:firstLine="560"/>
        <w:jc w:val="left"/>
        <w:rPr>
          <w:rFonts w:ascii="仿宋" w:hAnsi="仿宋" w:eastAsia="仿宋"/>
          <w:bCs/>
          <w:color w:val="auto"/>
          <w:kern w:val="0"/>
          <w:sz w:val="28"/>
          <w:szCs w:val="28"/>
          <w:highlight w:val="none"/>
        </w:rPr>
      </w:pPr>
      <w:r>
        <w:rPr>
          <w:rFonts w:hint="eastAsia" w:ascii="仿宋" w:hAnsi="仿宋" w:eastAsia="仿宋"/>
          <w:color w:val="auto"/>
          <w:kern w:val="0"/>
          <w:sz w:val="28"/>
          <w:szCs w:val="28"/>
          <w:highlight w:val="none"/>
        </w:rPr>
        <w:t>7、</w:t>
      </w:r>
      <w:r>
        <w:rPr>
          <w:rFonts w:hint="eastAsia" w:ascii="仿宋" w:hAnsi="仿宋" w:eastAsia="仿宋"/>
          <w:bCs/>
          <w:color w:val="auto"/>
          <w:kern w:val="0"/>
          <w:sz w:val="28"/>
          <w:szCs w:val="28"/>
          <w:highlight w:val="none"/>
        </w:rPr>
        <w:t>招标人要求提供的与投标人资信评审有关的其他材料：</w:t>
      </w:r>
    </w:p>
    <w:p w14:paraId="09922F9C">
      <w:pPr>
        <w:pStyle w:val="69"/>
        <w:spacing w:line="560" w:lineRule="exact"/>
        <w:ind w:firstLine="560"/>
        <w:jc w:val="left"/>
        <w:rPr>
          <w:rFonts w:ascii="仿宋" w:hAnsi="仿宋" w:eastAsia="仿宋"/>
          <w:bCs/>
          <w:color w:val="auto"/>
          <w:kern w:val="0"/>
          <w:sz w:val="28"/>
          <w:szCs w:val="28"/>
          <w:highlight w:val="none"/>
          <w:u w:val="single"/>
        </w:rPr>
      </w:pPr>
      <w:r>
        <w:rPr>
          <w:rFonts w:hint="eastAsia" w:ascii="仿宋" w:hAnsi="仿宋" w:eastAsia="仿宋"/>
          <w:bCs/>
          <w:color w:val="auto"/>
          <w:kern w:val="0"/>
          <w:sz w:val="28"/>
          <w:szCs w:val="28"/>
          <w:highlight w:val="none"/>
          <w:u w:val="single"/>
        </w:rPr>
        <w:t xml:space="preserve">                                                      </w:t>
      </w:r>
    </w:p>
    <w:p w14:paraId="38A7A4D0">
      <w:pPr>
        <w:pStyle w:val="69"/>
        <w:spacing w:line="560" w:lineRule="exact"/>
        <w:ind w:firstLine="560"/>
        <w:jc w:val="center"/>
        <w:rPr>
          <w:rFonts w:ascii="仿宋" w:hAnsi="仿宋" w:eastAsia="仿宋"/>
          <w:color w:val="auto"/>
          <w:kern w:val="0"/>
          <w:sz w:val="28"/>
          <w:szCs w:val="28"/>
          <w:highlight w:val="none"/>
        </w:rPr>
      </w:pPr>
      <w:r>
        <w:rPr>
          <w:rFonts w:hint="eastAsia" w:ascii="仿宋" w:hAnsi="仿宋" w:eastAsia="仿宋"/>
          <w:color w:val="auto"/>
          <w:sz w:val="28"/>
          <w:highlight w:val="none"/>
        </w:rPr>
        <w:t>（无格式要求，投标人自拟）</w:t>
      </w:r>
    </w:p>
    <w:p w14:paraId="0E7886F8">
      <w:pPr>
        <w:pStyle w:val="69"/>
        <w:ind w:firstLine="0" w:firstLineChars="0"/>
        <w:outlineLvl w:val="1"/>
        <w:rPr>
          <w:rFonts w:ascii="仿宋" w:hAnsi="仿宋" w:eastAsia="仿宋"/>
          <w:b/>
          <w:color w:val="auto"/>
          <w:kern w:val="0"/>
          <w:sz w:val="28"/>
          <w:szCs w:val="28"/>
          <w:highlight w:val="none"/>
        </w:rPr>
      </w:pPr>
      <w:r>
        <w:rPr>
          <w:rFonts w:ascii="仿宋_GB2312" w:hAnsi="宋体" w:eastAsia="仿宋_GB2312"/>
          <w:color w:val="auto"/>
          <w:kern w:val="0"/>
          <w:sz w:val="28"/>
          <w:szCs w:val="28"/>
          <w:highlight w:val="none"/>
        </w:rPr>
        <w:br w:type="page"/>
      </w:r>
      <w:bookmarkStart w:id="73" w:name="_Toc28947"/>
      <w:bookmarkStart w:id="74" w:name="_Toc80800166"/>
      <w:r>
        <w:rPr>
          <w:rFonts w:hint="eastAsia" w:ascii="仿宋" w:hAnsi="仿宋" w:eastAsia="仿宋"/>
          <w:b/>
          <w:color w:val="auto"/>
          <w:kern w:val="0"/>
          <w:sz w:val="28"/>
          <w:szCs w:val="28"/>
          <w:highlight w:val="none"/>
        </w:rPr>
        <w:t>四、投标文件格式--技术标部分</w:t>
      </w:r>
      <w:bookmarkEnd w:id="73"/>
      <w:bookmarkEnd w:id="74"/>
    </w:p>
    <w:p w14:paraId="5D550D28">
      <w:pPr>
        <w:pStyle w:val="17"/>
        <w:jc w:val="center"/>
        <w:rPr>
          <w:rFonts w:ascii="黑体" w:hAnsi="黑体" w:eastAsia="黑体"/>
          <w:bCs/>
          <w:color w:val="auto"/>
          <w:sz w:val="84"/>
          <w:szCs w:val="84"/>
          <w:highlight w:val="none"/>
        </w:rPr>
      </w:pPr>
    </w:p>
    <w:p w14:paraId="08FFBF16">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6561C523">
      <w:pPr>
        <w:pStyle w:val="17"/>
        <w:jc w:val="center"/>
        <w:rPr>
          <w:rFonts w:ascii="黑体" w:hAnsi="黑体" w:eastAsia="黑体"/>
          <w:bCs/>
          <w:color w:val="auto"/>
          <w:sz w:val="84"/>
          <w:szCs w:val="84"/>
          <w:highlight w:val="none"/>
        </w:rPr>
      </w:pPr>
    </w:p>
    <w:p w14:paraId="75829B02">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66F2B75F">
      <w:pPr>
        <w:widowControl w:val="0"/>
        <w:ind w:left="988"/>
        <w:jc w:val="center"/>
        <w:rPr>
          <w:rFonts w:ascii="宋体" w:hAnsi="宋体"/>
          <w:color w:val="auto"/>
          <w:kern w:val="0"/>
          <w:sz w:val="36"/>
          <w:szCs w:val="36"/>
          <w:highlight w:val="none"/>
          <w:u w:val="single"/>
        </w:rPr>
      </w:pPr>
      <w:r>
        <w:rPr>
          <w:rFonts w:hint="eastAsia" w:ascii="仿宋" w:hAnsi="仿宋" w:eastAsia="仿宋" w:cs="Times New Roman"/>
          <w:b/>
          <w:bCs w:val="0"/>
          <w:color w:val="auto"/>
          <w:kern w:val="2"/>
          <w:sz w:val="36"/>
          <w:szCs w:val="36"/>
          <w:highlight w:val="none"/>
          <w:shd w:val="clear"/>
          <w:lang w:val="en-US" w:eastAsia="zh-CN"/>
        </w:rPr>
        <w:t>（第二次）</w:t>
      </w:r>
    </w:p>
    <w:p w14:paraId="741674CF">
      <w:pPr>
        <w:widowControl w:val="0"/>
        <w:ind w:left="988"/>
        <w:jc w:val="center"/>
        <w:rPr>
          <w:rFonts w:ascii="宋体" w:hAnsi="宋体"/>
          <w:color w:val="auto"/>
          <w:kern w:val="0"/>
          <w:sz w:val="32"/>
          <w:szCs w:val="21"/>
          <w:highlight w:val="none"/>
          <w:u w:val="single"/>
        </w:rPr>
      </w:pPr>
    </w:p>
    <w:p w14:paraId="7A756F75">
      <w:pPr>
        <w:widowControl w:val="0"/>
        <w:ind w:left="988"/>
        <w:jc w:val="center"/>
        <w:rPr>
          <w:rFonts w:ascii="宋体" w:hAnsi="宋体"/>
          <w:color w:val="auto"/>
          <w:kern w:val="0"/>
          <w:sz w:val="32"/>
          <w:szCs w:val="21"/>
          <w:highlight w:val="none"/>
          <w:u w:val="single"/>
        </w:rPr>
      </w:pPr>
    </w:p>
    <w:p w14:paraId="505B4F5B">
      <w:pPr>
        <w:widowControl w:val="0"/>
        <w:ind w:left="988"/>
        <w:jc w:val="center"/>
        <w:rPr>
          <w:rFonts w:ascii="宋体" w:hAnsi="宋体"/>
          <w:color w:val="auto"/>
          <w:kern w:val="0"/>
          <w:sz w:val="32"/>
          <w:szCs w:val="21"/>
          <w:highlight w:val="none"/>
          <w:u w:val="single"/>
        </w:rPr>
      </w:pPr>
    </w:p>
    <w:p w14:paraId="089B0E7C">
      <w:pPr>
        <w:widowControl w:val="0"/>
        <w:rPr>
          <w:rFonts w:ascii="宋体" w:hAnsi="宋体"/>
          <w:b/>
          <w:bCs/>
          <w:color w:val="auto"/>
          <w:kern w:val="0"/>
          <w:sz w:val="32"/>
          <w:szCs w:val="21"/>
          <w:highlight w:val="none"/>
        </w:rPr>
      </w:pPr>
    </w:p>
    <w:p w14:paraId="1F5C3294">
      <w:pPr>
        <w:widowControl w:val="0"/>
        <w:rPr>
          <w:rFonts w:ascii="宋体" w:hAnsi="宋体"/>
          <w:b/>
          <w:bCs/>
          <w:color w:val="auto"/>
          <w:kern w:val="0"/>
          <w:sz w:val="32"/>
          <w:szCs w:val="21"/>
          <w:highlight w:val="none"/>
        </w:rPr>
      </w:pPr>
    </w:p>
    <w:p w14:paraId="73D85679">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0D29ABFC">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 xml:space="preserve">投标文件内容：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技术标部分</w:t>
      </w:r>
      <w:r>
        <w:rPr>
          <w:rFonts w:hint="eastAsia" w:ascii="微软雅黑" w:hAnsi="宋体" w:eastAsia="微软雅黑"/>
          <w:bCs/>
          <w:color w:val="auto"/>
          <w:kern w:val="0"/>
          <w:sz w:val="28"/>
          <w:szCs w:val="21"/>
          <w:highlight w:val="none"/>
          <w:u w:val="single"/>
        </w:rPr>
        <w:t xml:space="preserve">              </w:t>
      </w:r>
    </w:p>
    <w:p w14:paraId="3A000E9C">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投标单位（盖章）：</w:t>
      </w:r>
      <w:r>
        <w:rPr>
          <w:rFonts w:hint="eastAsia" w:ascii="微软雅黑" w:hAnsi="宋体" w:eastAsia="微软雅黑"/>
          <w:bCs/>
          <w:color w:val="auto"/>
          <w:kern w:val="0"/>
          <w:sz w:val="28"/>
          <w:szCs w:val="21"/>
          <w:highlight w:val="none"/>
          <w:u w:val="single"/>
        </w:rPr>
        <w:t xml:space="preserve">                                   </w:t>
      </w:r>
    </w:p>
    <w:p w14:paraId="07A8FAF5">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32B66BC0">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70EDBA1B">
      <w:pPr>
        <w:pStyle w:val="14"/>
        <w:spacing w:line="276" w:lineRule="auto"/>
        <w:ind w:firstLine="0" w:firstLineChars="0"/>
        <w:contextualSpacing/>
        <w:rPr>
          <w:rFonts w:ascii="宋体" w:hAnsi="宋体"/>
          <w:b/>
          <w:color w:val="auto"/>
          <w:highlight w:val="none"/>
        </w:rPr>
        <w:sectPr>
          <w:pgSz w:w="12240" w:h="15840"/>
          <w:pgMar w:top="1440" w:right="1797" w:bottom="1440" w:left="1797" w:header="720" w:footer="720" w:gutter="0"/>
          <w:cols w:space="720" w:num="1"/>
        </w:sectPr>
      </w:pPr>
    </w:p>
    <w:p w14:paraId="004C0C25">
      <w:pPr>
        <w:pStyle w:val="17"/>
        <w:spacing w:line="360" w:lineRule="auto"/>
        <w:ind w:firstLine="660"/>
        <w:jc w:val="center"/>
        <w:rPr>
          <w:b/>
          <w:bCs/>
          <w:color w:val="auto"/>
          <w:sz w:val="28"/>
          <w:highlight w:val="none"/>
        </w:rPr>
      </w:pPr>
      <w:r>
        <w:rPr>
          <w:rFonts w:hint="eastAsia" w:ascii="华文细黑" w:hAnsi="宋体" w:eastAsia="华文细黑"/>
          <w:color w:val="auto"/>
          <w:sz w:val="44"/>
          <w:highlight w:val="none"/>
        </w:rPr>
        <w:t>技术标部分目录</w:t>
      </w:r>
    </w:p>
    <w:p w14:paraId="57A2D852">
      <w:pPr>
        <w:pStyle w:val="17"/>
        <w:spacing w:line="48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1、项目</w:t>
      </w:r>
      <w:r>
        <w:rPr>
          <w:rFonts w:hint="eastAsia" w:ascii="仿宋" w:hAnsi="仿宋" w:eastAsia="仿宋" w:cs="Times New Roman"/>
          <w:color w:val="auto"/>
          <w:sz w:val="28"/>
          <w:szCs w:val="28"/>
          <w:highlight w:val="none"/>
          <w:lang w:val="en-US" w:eastAsia="zh-CN"/>
        </w:rPr>
        <w:t>团队配置</w:t>
      </w:r>
      <w:r>
        <w:rPr>
          <w:rFonts w:hint="eastAsia" w:ascii="仿宋" w:hAnsi="仿宋" w:eastAsia="仿宋"/>
          <w:color w:val="auto"/>
          <w:sz w:val="28"/>
          <w:szCs w:val="28"/>
          <w:highlight w:val="none"/>
        </w:rPr>
        <w:t>（含拟派驻项目</w:t>
      </w:r>
      <w:r>
        <w:rPr>
          <w:rFonts w:hint="eastAsia" w:ascii="仿宋" w:hAnsi="仿宋" w:eastAsia="仿宋"/>
          <w:color w:val="auto"/>
          <w:sz w:val="28"/>
          <w:szCs w:val="28"/>
          <w:highlight w:val="none"/>
          <w:lang w:val="en-US" w:eastAsia="zh-CN"/>
        </w:rPr>
        <w:t>主办律师</w:t>
      </w:r>
      <w:r>
        <w:rPr>
          <w:rFonts w:hint="eastAsia" w:ascii="仿宋" w:hAnsi="仿宋" w:eastAsia="仿宋"/>
          <w:color w:val="auto"/>
          <w:sz w:val="28"/>
          <w:szCs w:val="28"/>
          <w:highlight w:val="none"/>
        </w:rPr>
        <w:t>基本情况）</w:t>
      </w:r>
    </w:p>
    <w:p w14:paraId="4EAB4C40">
      <w:pPr>
        <w:pStyle w:val="17"/>
        <w:spacing w:line="48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w:t>
      </w:r>
      <w:r>
        <w:rPr>
          <w:rFonts w:hint="eastAsia" w:ascii="仿宋" w:hAnsi="仿宋" w:eastAsia="仿宋"/>
          <w:color w:val="auto"/>
          <w:sz w:val="28"/>
          <w:szCs w:val="28"/>
          <w:highlight w:val="none"/>
          <w:lang w:val="en-US" w:eastAsia="zh-CN"/>
        </w:rPr>
        <w:t>项目</w:t>
      </w:r>
      <w:r>
        <w:rPr>
          <w:rFonts w:hint="eastAsia" w:ascii="仿宋" w:hAnsi="仿宋" w:eastAsia="仿宋"/>
          <w:color w:val="auto"/>
          <w:sz w:val="28"/>
          <w:szCs w:val="28"/>
          <w:highlight w:val="none"/>
        </w:rPr>
        <w:t>服务方案</w:t>
      </w:r>
    </w:p>
    <w:p w14:paraId="329E7A13">
      <w:pPr>
        <w:pStyle w:val="17"/>
        <w:spacing w:line="480" w:lineRule="auto"/>
        <w:rPr>
          <w:rFonts w:hint="eastAsia" w:ascii="仿宋" w:hAnsi="仿宋" w:eastAsia="仿宋" w:cs="Times New Roman"/>
          <w:color w:val="auto"/>
          <w:sz w:val="28"/>
          <w:szCs w:val="28"/>
          <w:highlight w:val="none"/>
          <w:lang w:val="en-US" w:eastAsia="zh-CN"/>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项目</w:t>
      </w:r>
      <w:r>
        <w:rPr>
          <w:rFonts w:hint="eastAsia" w:ascii="仿宋" w:hAnsi="仿宋" w:eastAsia="仿宋" w:cs="Times New Roman"/>
          <w:color w:val="auto"/>
          <w:sz w:val="28"/>
          <w:szCs w:val="28"/>
          <w:highlight w:val="none"/>
          <w:lang w:val="en-US" w:eastAsia="zh-CN"/>
        </w:rPr>
        <w:t>案件响应与时效</w:t>
      </w:r>
    </w:p>
    <w:p w14:paraId="18812890">
      <w:pPr>
        <w:pStyle w:val="17"/>
        <w:spacing w:line="480" w:lineRule="auto"/>
        <w:rPr>
          <w:rFonts w:hint="eastAsia" w:ascii="仿宋" w:hAnsi="仿宋" w:eastAsia="仿宋"/>
          <w:color w:val="auto"/>
          <w:sz w:val="28"/>
          <w:szCs w:val="28"/>
          <w:highlight w:val="none"/>
        </w:rPr>
      </w:pPr>
      <w:r>
        <w:rPr>
          <w:rFonts w:hint="eastAsia" w:ascii="仿宋" w:hAnsi="仿宋" w:eastAsia="仿宋" w:cs="Times New Roman"/>
          <w:color w:val="auto"/>
          <w:sz w:val="28"/>
          <w:szCs w:val="28"/>
          <w:highlight w:val="none"/>
          <w:lang w:val="en-US" w:eastAsia="zh-CN"/>
        </w:rPr>
        <w:t>4、</w:t>
      </w:r>
      <w:r>
        <w:rPr>
          <w:rFonts w:hint="eastAsia" w:ascii="仿宋" w:hAnsi="仿宋" w:eastAsia="仿宋"/>
          <w:color w:val="auto"/>
          <w:sz w:val="28"/>
          <w:szCs w:val="28"/>
          <w:highlight w:val="none"/>
        </w:rPr>
        <w:t>项目</w:t>
      </w:r>
      <w:r>
        <w:rPr>
          <w:rFonts w:hint="eastAsia" w:ascii="仿宋" w:hAnsi="仿宋" w:eastAsia="仿宋" w:cs="Times New Roman"/>
          <w:color w:val="auto"/>
          <w:sz w:val="28"/>
          <w:szCs w:val="28"/>
          <w:highlight w:val="none"/>
          <w:lang w:val="en-US" w:eastAsia="zh-CN"/>
        </w:rPr>
        <w:t>风险控制与衔接</w:t>
      </w:r>
    </w:p>
    <w:p w14:paraId="6A9F44D6">
      <w:pPr>
        <w:pStyle w:val="17"/>
        <w:spacing w:line="480" w:lineRule="auto"/>
        <w:rPr>
          <w:rFonts w:hint="eastAsia" w:ascii="仿宋" w:hAnsi="仿宋" w:eastAsia="仿宋"/>
          <w:color w:val="auto"/>
          <w:sz w:val="28"/>
          <w:szCs w:val="28"/>
          <w:highlight w:val="none"/>
        </w:rPr>
      </w:pPr>
      <w:r>
        <w:rPr>
          <w:rFonts w:hint="eastAsia" w:ascii="仿宋" w:hAnsi="仿宋" w:eastAsia="仿宋"/>
          <w:color w:val="auto"/>
          <w:sz w:val="28"/>
          <w:szCs w:val="28"/>
          <w:highlight w:val="none"/>
          <w:lang w:eastAsia="zh-CN"/>
        </w:rPr>
        <w:t>5</w:t>
      </w:r>
      <w:r>
        <w:rPr>
          <w:rFonts w:hint="eastAsia" w:ascii="仿宋" w:hAnsi="仿宋" w:eastAsia="仿宋"/>
          <w:color w:val="auto"/>
          <w:sz w:val="28"/>
          <w:szCs w:val="28"/>
          <w:highlight w:val="none"/>
        </w:rPr>
        <w:t>、项目</w:t>
      </w:r>
      <w:r>
        <w:rPr>
          <w:rFonts w:hint="eastAsia" w:ascii="仿宋" w:hAnsi="仿宋" w:eastAsia="仿宋" w:cs="Times New Roman"/>
          <w:color w:val="auto"/>
          <w:kern w:val="0"/>
          <w:sz w:val="28"/>
          <w:szCs w:val="28"/>
          <w:highlight w:val="none"/>
          <w:lang w:val="en-US" w:eastAsia="zh-CN"/>
        </w:rPr>
        <w:t>增值服务</w:t>
      </w:r>
    </w:p>
    <w:p w14:paraId="1B2DE2DF">
      <w:pPr>
        <w:pStyle w:val="17"/>
        <w:spacing w:line="480" w:lineRule="auto"/>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6、招标人要求提供的与投标人技术评审有关的其他材料：</w:t>
      </w:r>
    </w:p>
    <w:p w14:paraId="7EDE8FF3">
      <w:pPr>
        <w:pStyle w:val="17"/>
        <w:spacing w:line="480" w:lineRule="auto"/>
        <w:jc w:val="center"/>
        <w:rPr>
          <w:rFonts w:hint="eastAsia" w:ascii="仿宋" w:hAnsi="仿宋" w:eastAsia="仿宋"/>
          <w:color w:val="auto"/>
          <w:kern w:val="0"/>
          <w:sz w:val="28"/>
          <w:szCs w:val="28"/>
          <w:highlight w:val="none"/>
        </w:rPr>
      </w:pPr>
      <w:r>
        <w:rPr>
          <w:rFonts w:hint="eastAsia" w:ascii="仿宋" w:hAnsi="仿宋" w:eastAsia="仿宋"/>
          <w:color w:val="auto"/>
          <w:sz w:val="28"/>
          <w:szCs w:val="28"/>
          <w:highlight w:val="none"/>
        </w:rPr>
        <w:t>（无格式要求，投标人自拟）</w:t>
      </w:r>
    </w:p>
    <w:p w14:paraId="4D32BE8A">
      <w:pPr>
        <w:pStyle w:val="17"/>
        <w:spacing w:line="480" w:lineRule="auto"/>
        <w:ind w:firstLine="0"/>
        <w:jc w:val="left"/>
        <w:rPr>
          <w:color w:val="auto"/>
          <w:highlight w:val="none"/>
        </w:rPr>
      </w:pPr>
      <w:r>
        <w:rPr>
          <w:rFonts w:hint="eastAsia" w:ascii="仿宋" w:hAnsi="仿宋" w:eastAsia="仿宋"/>
          <w:color w:val="auto"/>
          <w:sz w:val="28"/>
          <w:szCs w:val="28"/>
          <w:highlight w:val="none"/>
        </w:rPr>
        <w:br w:type="page"/>
      </w:r>
    </w:p>
    <w:p w14:paraId="427062BB">
      <w:pPr>
        <w:pStyle w:val="69"/>
        <w:spacing w:line="360" w:lineRule="auto"/>
        <w:ind w:firstLine="562"/>
        <w:jc w:val="left"/>
        <w:rPr>
          <w:rFonts w:ascii="宋体" w:hAnsi="宋体"/>
          <w:b/>
          <w:color w:val="auto"/>
          <w:sz w:val="28"/>
          <w:szCs w:val="28"/>
          <w:highlight w:val="none"/>
        </w:rPr>
      </w:pPr>
    </w:p>
    <w:p w14:paraId="6E79A821">
      <w:pPr>
        <w:pStyle w:val="69"/>
        <w:ind w:firstLine="0" w:firstLineChars="0"/>
        <w:outlineLvl w:val="1"/>
        <w:rPr>
          <w:rFonts w:ascii="仿宋" w:hAnsi="仿宋" w:eastAsia="仿宋"/>
          <w:b/>
          <w:color w:val="auto"/>
          <w:kern w:val="0"/>
          <w:sz w:val="28"/>
          <w:szCs w:val="28"/>
          <w:highlight w:val="none"/>
        </w:rPr>
      </w:pPr>
      <w:bookmarkStart w:id="75" w:name="_Toc80800167"/>
      <w:bookmarkStart w:id="76" w:name="_Toc29109"/>
      <w:r>
        <w:rPr>
          <w:rFonts w:hint="eastAsia" w:ascii="仿宋" w:hAnsi="仿宋" w:eastAsia="仿宋"/>
          <w:b/>
          <w:color w:val="auto"/>
          <w:kern w:val="0"/>
          <w:sz w:val="28"/>
          <w:szCs w:val="28"/>
          <w:highlight w:val="none"/>
        </w:rPr>
        <w:t>五、投标文件格式</w:t>
      </w:r>
      <w:r>
        <w:rPr>
          <w:rFonts w:ascii="仿宋" w:hAnsi="仿宋" w:eastAsia="仿宋"/>
          <w:b/>
          <w:color w:val="auto"/>
          <w:kern w:val="0"/>
          <w:sz w:val="28"/>
          <w:szCs w:val="28"/>
          <w:highlight w:val="none"/>
        </w:rPr>
        <w:t>—</w:t>
      </w:r>
      <w:r>
        <w:rPr>
          <w:rFonts w:hint="eastAsia" w:ascii="仿宋" w:hAnsi="仿宋" w:eastAsia="仿宋"/>
          <w:b/>
          <w:color w:val="auto"/>
          <w:kern w:val="0"/>
          <w:sz w:val="28"/>
          <w:szCs w:val="28"/>
          <w:highlight w:val="none"/>
        </w:rPr>
        <w:t>商务标部分</w:t>
      </w:r>
      <w:bookmarkEnd w:id="75"/>
      <w:bookmarkEnd w:id="76"/>
    </w:p>
    <w:p w14:paraId="0D02ADB9">
      <w:pPr>
        <w:pStyle w:val="17"/>
        <w:jc w:val="center"/>
        <w:rPr>
          <w:rFonts w:ascii="黑体" w:hAnsi="黑体" w:eastAsia="黑体"/>
          <w:bCs/>
          <w:color w:val="auto"/>
          <w:sz w:val="84"/>
          <w:szCs w:val="84"/>
          <w:highlight w:val="none"/>
        </w:rPr>
      </w:pPr>
    </w:p>
    <w:p w14:paraId="5D0EA688">
      <w:pPr>
        <w:pStyle w:val="17"/>
        <w:jc w:val="center"/>
        <w:rPr>
          <w:rFonts w:ascii="黑体" w:hAnsi="黑体" w:eastAsia="黑体"/>
          <w:bCs/>
          <w:color w:val="auto"/>
          <w:sz w:val="72"/>
          <w:szCs w:val="72"/>
          <w:highlight w:val="none"/>
        </w:rPr>
      </w:pPr>
      <w:r>
        <w:rPr>
          <w:rFonts w:hint="eastAsia" w:ascii="黑体" w:hAnsi="黑体" w:eastAsia="黑体"/>
          <w:bCs/>
          <w:color w:val="auto"/>
          <w:sz w:val="72"/>
          <w:szCs w:val="72"/>
          <w:highlight w:val="none"/>
        </w:rPr>
        <w:t>非依法必须招标项目服务类</w:t>
      </w:r>
    </w:p>
    <w:p w14:paraId="41ABA82A">
      <w:pPr>
        <w:pStyle w:val="17"/>
        <w:jc w:val="center"/>
        <w:rPr>
          <w:rFonts w:ascii="黑体" w:hAnsi="黑体" w:eastAsia="黑体"/>
          <w:bCs/>
          <w:color w:val="auto"/>
          <w:sz w:val="84"/>
          <w:szCs w:val="84"/>
          <w:highlight w:val="none"/>
        </w:rPr>
      </w:pPr>
    </w:p>
    <w:p w14:paraId="7E15C8B4">
      <w:pPr>
        <w:pStyle w:val="17"/>
        <w:jc w:val="center"/>
        <w:rPr>
          <w:rFonts w:ascii="黑体" w:hAnsi="黑体" w:eastAsia="黑体"/>
          <w:bCs/>
          <w:color w:val="auto"/>
          <w:sz w:val="84"/>
          <w:szCs w:val="84"/>
          <w:highlight w:val="none"/>
        </w:rPr>
      </w:pPr>
      <w:r>
        <w:rPr>
          <w:rFonts w:hint="eastAsia" w:ascii="黑体" w:hAnsi="黑体" w:eastAsia="黑体"/>
          <w:bCs/>
          <w:color w:val="auto"/>
          <w:sz w:val="84"/>
          <w:szCs w:val="84"/>
          <w:highlight w:val="none"/>
        </w:rPr>
        <w:t>投 标 文 件</w:t>
      </w:r>
    </w:p>
    <w:p w14:paraId="00F3723A">
      <w:pPr>
        <w:widowControl w:val="0"/>
        <w:ind w:left="988"/>
        <w:jc w:val="center"/>
        <w:rPr>
          <w:rFonts w:ascii="宋体" w:hAnsi="宋体"/>
          <w:color w:val="auto"/>
          <w:kern w:val="0"/>
          <w:sz w:val="32"/>
          <w:szCs w:val="21"/>
          <w:highlight w:val="none"/>
          <w:u w:val="single"/>
        </w:rPr>
      </w:pPr>
    </w:p>
    <w:p w14:paraId="4F9BEC79">
      <w:pPr>
        <w:widowControl w:val="0"/>
        <w:ind w:left="988"/>
        <w:jc w:val="center"/>
        <w:rPr>
          <w:rFonts w:ascii="宋体" w:hAnsi="宋体"/>
          <w:color w:val="auto"/>
          <w:kern w:val="0"/>
          <w:sz w:val="36"/>
          <w:szCs w:val="36"/>
          <w:highlight w:val="none"/>
          <w:u w:val="single"/>
        </w:rPr>
      </w:pPr>
      <w:r>
        <w:rPr>
          <w:rFonts w:hint="eastAsia" w:ascii="仿宋" w:hAnsi="仿宋" w:eastAsia="仿宋" w:cs="Times New Roman"/>
          <w:b/>
          <w:bCs w:val="0"/>
          <w:color w:val="auto"/>
          <w:kern w:val="2"/>
          <w:sz w:val="36"/>
          <w:szCs w:val="36"/>
          <w:highlight w:val="none"/>
          <w:shd w:val="clear"/>
          <w:lang w:val="en-US" w:eastAsia="zh-CN"/>
        </w:rPr>
        <w:t>（第二次）</w:t>
      </w:r>
    </w:p>
    <w:p w14:paraId="61C98A24">
      <w:pPr>
        <w:widowControl w:val="0"/>
        <w:rPr>
          <w:rFonts w:ascii="宋体" w:hAnsi="宋体"/>
          <w:color w:val="auto"/>
          <w:kern w:val="0"/>
          <w:sz w:val="32"/>
          <w:szCs w:val="21"/>
          <w:highlight w:val="none"/>
          <w:u w:val="single"/>
        </w:rPr>
      </w:pPr>
    </w:p>
    <w:p w14:paraId="6DD00076">
      <w:pPr>
        <w:widowControl w:val="0"/>
        <w:rPr>
          <w:rFonts w:ascii="宋体" w:hAnsi="宋体"/>
          <w:b/>
          <w:bCs/>
          <w:color w:val="auto"/>
          <w:kern w:val="0"/>
          <w:sz w:val="32"/>
          <w:szCs w:val="21"/>
          <w:highlight w:val="none"/>
        </w:rPr>
      </w:pPr>
    </w:p>
    <w:p w14:paraId="36993750">
      <w:pPr>
        <w:widowControl w:val="0"/>
        <w:rPr>
          <w:rFonts w:ascii="宋体" w:hAnsi="宋体"/>
          <w:b/>
          <w:bCs/>
          <w:color w:val="auto"/>
          <w:kern w:val="0"/>
          <w:sz w:val="32"/>
          <w:szCs w:val="21"/>
          <w:highlight w:val="none"/>
        </w:rPr>
      </w:pPr>
    </w:p>
    <w:p w14:paraId="0B696B6C">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招标项目名称：</w:t>
      </w:r>
      <w:r>
        <w:rPr>
          <w:rFonts w:hint="eastAsia" w:ascii="微软雅黑" w:hAnsi="宋体" w:eastAsia="微软雅黑"/>
          <w:bCs/>
          <w:color w:val="auto"/>
          <w:kern w:val="0"/>
          <w:sz w:val="28"/>
          <w:szCs w:val="21"/>
          <w:highlight w:val="none"/>
          <w:u w:val="single"/>
        </w:rPr>
        <w:t xml:space="preserve">                                          </w:t>
      </w:r>
    </w:p>
    <w:p w14:paraId="2F277043">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 xml:space="preserve">投标文件内容： </w:t>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softHyphen/>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48"/>
          <w:szCs w:val="48"/>
          <w:highlight w:val="none"/>
          <w:u w:val="single"/>
        </w:rPr>
        <w:t>商务标部分</w:t>
      </w:r>
      <w:r>
        <w:rPr>
          <w:rFonts w:hint="eastAsia" w:ascii="微软雅黑" w:hAnsi="宋体" w:eastAsia="微软雅黑"/>
          <w:bCs/>
          <w:color w:val="auto"/>
          <w:kern w:val="0"/>
          <w:sz w:val="28"/>
          <w:szCs w:val="21"/>
          <w:highlight w:val="none"/>
          <w:u w:val="single"/>
        </w:rPr>
        <w:t xml:space="preserve">              </w:t>
      </w:r>
    </w:p>
    <w:p w14:paraId="4945EF19">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投标单位（盖章）：</w:t>
      </w:r>
      <w:r>
        <w:rPr>
          <w:rFonts w:hint="eastAsia" w:ascii="微软雅黑" w:hAnsi="宋体" w:eastAsia="微软雅黑"/>
          <w:bCs/>
          <w:color w:val="auto"/>
          <w:kern w:val="0"/>
          <w:sz w:val="28"/>
          <w:szCs w:val="21"/>
          <w:highlight w:val="none"/>
          <w:u w:val="single"/>
        </w:rPr>
        <w:t xml:space="preserve">                                   </w:t>
      </w:r>
    </w:p>
    <w:p w14:paraId="7531488B">
      <w:pPr>
        <w:widowControl w:val="0"/>
        <w:spacing w:line="480" w:lineRule="auto"/>
        <w:ind w:firstLine="840" w:firstLineChars="300"/>
        <w:rPr>
          <w:rFonts w:ascii="微软雅黑" w:hAnsi="宋体" w:eastAsia="微软雅黑"/>
          <w:bCs/>
          <w:color w:val="auto"/>
          <w:kern w:val="0"/>
          <w:sz w:val="28"/>
          <w:szCs w:val="21"/>
          <w:highlight w:val="none"/>
          <w:u w:val="single"/>
        </w:rPr>
      </w:pPr>
      <w:r>
        <w:rPr>
          <w:rFonts w:hint="eastAsia" w:ascii="微软雅黑" w:hAnsi="宋体" w:eastAsia="微软雅黑"/>
          <w:bCs/>
          <w:color w:val="auto"/>
          <w:kern w:val="0"/>
          <w:sz w:val="28"/>
          <w:szCs w:val="21"/>
          <w:highlight w:val="none"/>
        </w:rPr>
        <w:t>法定代表人或其委托代理人（签字或盖章）：</w:t>
      </w:r>
      <w:r>
        <w:rPr>
          <w:rFonts w:hint="eastAsia" w:ascii="微软雅黑" w:hAnsi="宋体" w:eastAsia="微软雅黑"/>
          <w:bCs/>
          <w:color w:val="auto"/>
          <w:kern w:val="0"/>
          <w:sz w:val="28"/>
          <w:szCs w:val="21"/>
          <w:highlight w:val="none"/>
          <w:u w:val="single"/>
        </w:rPr>
        <w:t xml:space="preserve">            </w:t>
      </w:r>
    </w:p>
    <w:p w14:paraId="45CA0411">
      <w:pPr>
        <w:widowControl w:val="0"/>
        <w:spacing w:line="480" w:lineRule="auto"/>
        <w:ind w:firstLine="840" w:firstLineChars="300"/>
        <w:rPr>
          <w:rFonts w:ascii="微软雅黑" w:hAnsi="宋体" w:eastAsia="微软雅黑"/>
          <w:bCs/>
          <w:color w:val="auto"/>
          <w:kern w:val="0"/>
          <w:sz w:val="28"/>
          <w:szCs w:val="21"/>
          <w:highlight w:val="none"/>
        </w:rPr>
      </w:pPr>
      <w:r>
        <w:rPr>
          <w:rFonts w:hint="eastAsia" w:ascii="微软雅黑" w:hAnsi="宋体" w:eastAsia="微软雅黑"/>
          <w:bCs/>
          <w:color w:val="auto"/>
          <w:kern w:val="0"/>
          <w:sz w:val="28"/>
          <w:szCs w:val="21"/>
          <w:highlight w:val="none"/>
        </w:rPr>
        <w:t>日      期:</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年</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月</w:t>
      </w:r>
      <w:r>
        <w:rPr>
          <w:rFonts w:hint="eastAsia" w:ascii="微软雅黑" w:hAnsi="宋体" w:eastAsia="微软雅黑"/>
          <w:bCs/>
          <w:color w:val="auto"/>
          <w:kern w:val="0"/>
          <w:sz w:val="28"/>
          <w:szCs w:val="21"/>
          <w:highlight w:val="none"/>
          <w:u w:val="single"/>
        </w:rPr>
        <w:t xml:space="preserve">          </w:t>
      </w:r>
      <w:r>
        <w:rPr>
          <w:rFonts w:hint="eastAsia" w:ascii="微软雅黑" w:hAnsi="宋体" w:eastAsia="微软雅黑"/>
          <w:bCs/>
          <w:color w:val="auto"/>
          <w:kern w:val="0"/>
          <w:sz w:val="28"/>
          <w:szCs w:val="21"/>
          <w:highlight w:val="none"/>
        </w:rPr>
        <w:t>日</w:t>
      </w:r>
    </w:p>
    <w:p w14:paraId="40946184">
      <w:pPr>
        <w:pStyle w:val="14"/>
        <w:spacing w:line="276" w:lineRule="auto"/>
        <w:ind w:firstLine="0" w:firstLineChars="0"/>
        <w:contextualSpacing/>
        <w:rPr>
          <w:rFonts w:ascii="宋体" w:hAnsi="宋体"/>
          <w:b/>
          <w:color w:val="auto"/>
          <w:highlight w:val="none"/>
        </w:rPr>
        <w:sectPr>
          <w:headerReference r:id="rId10" w:type="default"/>
          <w:footerReference r:id="rId11" w:type="default"/>
          <w:pgSz w:w="12240" w:h="15840"/>
          <w:pgMar w:top="1440" w:right="1797" w:bottom="1440" w:left="1797" w:header="720" w:footer="720" w:gutter="0"/>
          <w:cols w:space="720" w:num="1"/>
        </w:sectPr>
      </w:pPr>
    </w:p>
    <w:p w14:paraId="386BF0B0">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商务标投标文件目录</w:t>
      </w:r>
    </w:p>
    <w:p w14:paraId="34544442">
      <w:pPr>
        <w:jc w:val="left"/>
        <w:rPr>
          <w:rFonts w:ascii="宋体" w:hAnsi="宋体" w:cs="黑体"/>
          <w:color w:val="auto"/>
          <w:sz w:val="28"/>
          <w:szCs w:val="28"/>
          <w:highlight w:val="none"/>
          <w:shd w:val="clear" w:color="050000" w:fill="auto"/>
        </w:rPr>
      </w:pPr>
    </w:p>
    <w:p w14:paraId="794D7E2D">
      <w:pPr>
        <w:pStyle w:val="69"/>
        <w:spacing w:line="360" w:lineRule="auto"/>
        <w:ind w:firstLine="560"/>
        <w:jc w:val="left"/>
        <w:rPr>
          <w:rFonts w:ascii="宋体" w:hAnsi="宋体" w:cs="黑体"/>
          <w:color w:val="auto"/>
          <w:sz w:val="28"/>
          <w:szCs w:val="28"/>
          <w:highlight w:val="none"/>
          <w:shd w:val="clear" w:color="050000" w:fill="auto"/>
        </w:rPr>
      </w:pPr>
    </w:p>
    <w:p w14:paraId="4311D442">
      <w:pPr>
        <w:adjustRightInd w:val="0"/>
        <w:snapToGrid w:val="0"/>
        <w:spacing w:line="360" w:lineRule="auto"/>
        <w:jc w:val="center"/>
        <w:rPr>
          <w:rFonts w:ascii="黑体" w:hAnsi="黑体" w:eastAsia="黑体"/>
          <w:color w:val="auto"/>
          <w:kern w:val="0"/>
          <w:sz w:val="36"/>
          <w:szCs w:val="36"/>
          <w:highlight w:val="none"/>
        </w:rPr>
      </w:pPr>
    </w:p>
    <w:p w14:paraId="74C4CBBB">
      <w:pPr>
        <w:adjustRightInd w:val="0"/>
        <w:snapToGrid w:val="0"/>
        <w:spacing w:line="360" w:lineRule="auto"/>
        <w:jc w:val="center"/>
        <w:rPr>
          <w:rFonts w:ascii="黑体" w:hAnsi="黑体" w:eastAsia="黑体"/>
          <w:color w:val="auto"/>
          <w:kern w:val="0"/>
          <w:sz w:val="36"/>
          <w:szCs w:val="36"/>
          <w:highlight w:val="none"/>
        </w:rPr>
      </w:pPr>
    </w:p>
    <w:p w14:paraId="675F508C">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 标 总 价</w:t>
      </w:r>
    </w:p>
    <w:p w14:paraId="186D0603">
      <w:pPr>
        <w:pStyle w:val="17"/>
        <w:spacing w:line="360" w:lineRule="auto"/>
        <w:jc w:val="center"/>
        <w:rPr>
          <w:rFonts w:ascii="华文细黑" w:hAnsi="宋体" w:eastAsia="华文细黑"/>
          <w:color w:val="auto"/>
          <w:sz w:val="44"/>
          <w:highlight w:val="none"/>
        </w:rPr>
      </w:pPr>
    </w:p>
    <w:p w14:paraId="184A26A0">
      <w:pPr>
        <w:pStyle w:val="17"/>
        <w:spacing w:after="156" w:afterLines="50" w:line="400" w:lineRule="exact"/>
        <w:ind w:firstLine="560" w:firstLineChars="200"/>
        <w:rPr>
          <w:rFonts w:hAnsi="宋体"/>
          <w:color w:val="auto"/>
          <w:sz w:val="28"/>
          <w:highlight w:val="none"/>
        </w:rPr>
      </w:pPr>
    </w:p>
    <w:p w14:paraId="4A48AB28">
      <w:pPr>
        <w:pStyle w:val="17"/>
        <w:spacing w:line="400" w:lineRule="exact"/>
        <w:ind w:firstLine="560" w:firstLineChars="200"/>
        <w:jc w:val="left"/>
        <w:rPr>
          <w:rFonts w:ascii="仿宋" w:hAnsi="仿宋" w:eastAsia="仿宋"/>
          <w:color w:val="auto"/>
          <w:sz w:val="28"/>
          <w:highlight w:val="none"/>
          <w:u w:val="single"/>
        </w:rPr>
      </w:pPr>
      <w:r>
        <w:rPr>
          <w:rFonts w:hint="eastAsia" w:ascii="仿宋" w:hAnsi="仿宋" w:eastAsia="仿宋"/>
          <w:color w:val="auto"/>
          <w:sz w:val="28"/>
          <w:highlight w:val="none"/>
        </w:rPr>
        <w:t>招标人：</w:t>
      </w:r>
      <w:r>
        <w:rPr>
          <w:rFonts w:hint="eastAsia" w:ascii="仿宋" w:hAnsi="仿宋" w:eastAsia="仿宋"/>
          <w:color w:val="auto"/>
          <w:sz w:val="28"/>
          <w:highlight w:val="none"/>
          <w:u w:val="single"/>
        </w:rPr>
        <w:t xml:space="preserve">                                 </w:t>
      </w:r>
    </w:p>
    <w:p w14:paraId="5684A469">
      <w:pPr>
        <w:pStyle w:val="17"/>
        <w:spacing w:line="400" w:lineRule="exact"/>
        <w:ind w:firstLine="1960" w:firstLineChars="700"/>
        <w:rPr>
          <w:rFonts w:ascii="仿宋" w:hAnsi="仿宋" w:eastAsia="仿宋"/>
          <w:color w:val="auto"/>
          <w:sz w:val="28"/>
          <w:highlight w:val="none"/>
        </w:rPr>
      </w:pPr>
    </w:p>
    <w:p w14:paraId="4709F357">
      <w:pPr>
        <w:pStyle w:val="17"/>
        <w:spacing w:line="400" w:lineRule="exact"/>
        <w:ind w:firstLine="560" w:firstLineChars="200"/>
        <w:rPr>
          <w:rFonts w:ascii="仿宋" w:hAnsi="仿宋" w:eastAsia="仿宋"/>
          <w:color w:val="auto"/>
          <w:sz w:val="28"/>
          <w:highlight w:val="none"/>
        </w:rPr>
      </w:pPr>
      <w:r>
        <w:rPr>
          <w:rFonts w:hint="eastAsia" w:ascii="仿宋" w:hAnsi="仿宋" w:eastAsia="仿宋"/>
          <w:color w:val="auto"/>
          <w:sz w:val="28"/>
          <w:highlight w:val="none"/>
        </w:rPr>
        <w:t>招标项目名称：</w:t>
      </w:r>
      <w:r>
        <w:rPr>
          <w:rFonts w:hint="eastAsia" w:ascii="仿宋" w:hAnsi="仿宋" w:eastAsia="仿宋"/>
          <w:color w:val="auto"/>
          <w:sz w:val="28"/>
          <w:highlight w:val="none"/>
          <w:u w:val="single"/>
        </w:rPr>
        <w:t xml:space="preserve">                             </w:t>
      </w:r>
    </w:p>
    <w:p w14:paraId="295969E8">
      <w:pPr>
        <w:pStyle w:val="17"/>
        <w:spacing w:line="400" w:lineRule="exact"/>
        <w:ind w:firstLine="200"/>
        <w:rPr>
          <w:rFonts w:ascii="仿宋" w:hAnsi="仿宋" w:eastAsia="仿宋"/>
          <w:color w:val="auto"/>
          <w:sz w:val="28"/>
          <w:highlight w:val="none"/>
        </w:rPr>
      </w:pPr>
    </w:p>
    <w:p w14:paraId="544A76AC">
      <w:pPr>
        <w:pStyle w:val="17"/>
        <w:spacing w:line="400" w:lineRule="exact"/>
        <w:ind w:firstLine="560" w:firstLineChars="200"/>
        <w:rPr>
          <w:rFonts w:ascii="仿宋" w:hAnsi="仿宋" w:eastAsia="仿宋"/>
          <w:color w:val="auto"/>
          <w:sz w:val="28"/>
          <w:highlight w:val="none"/>
          <w:u w:val="single"/>
        </w:rPr>
      </w:pPr>
      <w:r>
        <w:rPr>
          <w:rFonts w:hint="eastAsia" w:ascii="仿宋" w:hAnsi="仿宋" w:eastAsia="仿宋"/>
          <w:color w:val="auto"/>
          <w:sz w:val="28"/>
          <w:highlight w:val="none"/>
        </w:rPr>
        <w:t>投标含税总价(大写)：</w:t>
      </w:r>
      <w:r>
        <w:rPr>
          <w:rFonts w:hint="eastAsia" w:ascii="仿宋" w:hAnsi="仿宋" w:eastAsia="仿宋"/>
          <w:color w:val="auto"/>
          <w:sz w:val="28"/>
          <w:highlight w:val="none"/>
          <w:u w:val="single"/>
        </w:rPr>
        <w:t xml:space="preserve">                          </w:t>
      </w:r>
    </w:p>
    <w:p w14:paraId="60AA61B3">
      <w:pPr>
        <w:pStyle w:val="17"/>
        <w:spacing w:line="400" w:lineRule="exact"/>
        <w:ind w:firstLine="1680" w:firstLineChars="600"/>
        <w:rPr>
          <w:rFonts w:ascii="仿宋" w:hAnsi="仿宋" w:eastAsia="仿宋"/>
          <w:color w:val="auto"/>
          <w:sz w:val="28"/>
          <w:highlight w:val="none"/>
        </w:rPr>
      </w:pPr>
    </w:p>
    <w:p w14:paraId="1E544023">
      <w:pPr>
        <w:pStyle w:val="17"/>
        <w:spacing w:line="480" w:lineRule="auto"/>
        <w:ind w:firstLine="1680" w:firstLineChars="600"/>
        <w:rPr>
          <w:rFonts w:ascii="仿宋" w:hAnsi="仿宋" w:eastAsia="仿宋"/>
          <w:color w:val="auto"/>
          <w:sz w:val="28"/>
          <w:highlight w:val="none"/>
          <w:u w:val="single"/>
        </w:rPr>
      </w:pPr>
      <w:r>
        <w:rPr>
          <w:rFonts w:hint="eastAsia" w:ascii="仿宋" w:hAnsi="仿宋" w:eastAsia="仿宋"/>
          <w:color w:val="auto"/>
          <w:sz w:val="28"/>
          <w:highlight w:val="none"/>
        </w:rPr>
        <w:t>(小写)：</w:t>
      </w:r>
      <w:r>
        <w:rPr>
          <w:rFonts w:hint="eastAsia" w:ascii="仿宋" w:hAnsi="仿宋" w:eastAsia="仿宋"/>
          <w:color w:val="auto"/>
          <w:sz w:val="28"/>
          <w:highlight w:val="none"/>
          <w:u w:val="single"/>
        </w:rPr>
        <w:t xml:space="preserve">                                 </w:t>
      </w:r>
    </w:p>
    <w:p w14:paraId="58D2C22C">
      <w:pPr>
        <w:pStyle w:val="17"/>
        <w:spacing w:line="400" w:lineRule="exact"/>
        <w:ind w:firstLine="560" w:firstLineChars="200"/>
        <w:rPr>
          <w:rFonts w:ascii="仿宋" w:hAnsi="仿宋" w:eastAsia="仿宋"/>
          <w:color w:val="auto"/>
          <w:sz w:val="28"/>
          <w:highlight w:val="none"/>
        </w:rPr>
      </w:pPr>
    </w:p>
    <w:p w14:paraId="249C0094">
      <w:pPr>
        <w:pStyle w:val="17"/>
        <w:spacing w:line="400" w:lineRule="exact"/>
        <w:rPr>
          <w:rFonts w:ascii="仿宋" w:hAnsi="仿宋" w:eastAsia="仿宋"/>
          <w:color w:val="auto"/>
          <w:sz w:val="28"/>
          <w:highlight w:val="none"/>
        </w:rPr>
      </w:pPr>
    </w:p>
    <w:p w14:paraId="5579ACFB">
      <w:pPr>
        <w:pStyle w:val="17"/>
        <w:spacing w:line="400" w:lineRule="exact"/>
        <w:ind w:firstLine="560" w:firstLineChars="200"/>
        <w:rPr>
          <w:rFonts w:ascii="仿宋" w:hAnsi="仿宋" w:eastAsia="仿宋"/>
          <w:color w:val="auto"/>
          <w:sz w:val="28"/>
          <w:highlight w:val="none"/>
        </w:rPr>
      </w:pPr>
    </w:p>
    <w:p w14:paraId="5873FA82">
      <w:pPr>
        <w:pStyle w:val="17"/>
        <w:spacing w:line="400" w:lineRule="exact"/>
        <w:ind w:firstLine="560" w:firstLineChars="200"/>
        <w:rPr>
          <w:rFonts w:ascii="仿宋" w:hAnsi="仿宋" w:eastAsia="仿宋"/>
          <w:color w:val="auto"/>
          <w:sz w:val="28"/>
          <w:highlight w:val="none"/>
        </w:rPr>
      </w:pPr>
    </w:p>
    <w:p w14:paraId="4A2073F7">
      <w:pPr>
        <w:pStyle w:val="17"/>
        <w:spacing w:line="400" w:lineRule="exact"/>
        <w:rPr>
          <w:rFonts w:ascii="仿宋" w:hAnsi="仿宋" w:eastAsia="仿宋"/>
          <w:color w:val="auto"/>
          <w:sz w:val="28"/>
          <w:highlight w:val="none"/>
        </w:rPr>
      </w:pPr>
    </w:p>
    <w:p w14:paraId="49FCD6C9">
      <w:pPr>
        <w:pStyle w:val="17"/>
        <w:spacing w:line="400" w:lineRule="exact"/>
        <w:ind w:firstLine="560" w:firstLineChars="200"/>
        <w:rPr>
          <w:rFonts w:ascii="仿宋" w:hAnsi="仿宋" w:eastAsia="仿宋"/>
          <w:color w:val="auto"/>
          <w:sz w:val="28"/>
          <w:highlight w:val="none"/>
        </w:rPr>
      </w:pPr>
    </w:p>
    <w:p w14:paraId="03407AE8">
      <w:pPr>
        <w:pStyle w:val="17"/>
        <w:spacing w:line="400" w:lineRule="exact"/>
        <w:ind w:firstLine="280" w:firstLineChars="100"/>
        <w:rPr>
          <w:rFonts w:ascii="仿宋" w:hAnsi="仿宋" w:eastAsia="仿宋"/>
          <w:color w:val="auto"/>
          <w:sz w:val="28"/>
          <w:highlight w:val="none"/>
        </w:rPr>
      </w:pPr>
      <w:r>
        <w:rPr>
          <w:rFonts w:hint="eastAsia" w:ascii="仿宋" w:hAnsi="仿宋" w:eastAsia="仿宋"/>
          <w:color w:val="auto"/>
          <w:sz w:val="28"/>
          <w:highlight w:val="none"/>
        </w:rPr>
        <w:t>投  标  人(盖章)：</w:t>
      </w:r>
      <w:r>
        <w:rPr>
          <w:rFonts w:hint="eastAsia" w:ascii="仿宋" w:hAnsi="仿宋" w:eastAsia="仿宋"/>
          <w:color w:val="auto"/>
          <w:sz w:val="28"/>
          <w:highlight w:val="none"/>
          <w:u w:val="single"/>
        </w:rPr>
        <w:t xml:space="preserve">                                </w:t>
      </w:r>
    </w:p>
    <w:p w14:paraId="2270286F">
      <w:pPr>
        <w:pStyle w:val="17"/>
        <w:spacing w:line="400" w:lineRule="exact"/>
        <w:ind w:firstLine="280" w:firstLineChars="100"/>
        <w:rPr>
          <w:rFonts w:ascii="仿宋" w:hAnsi="仿宋" w:eastAsia="仿宋"/>
          <w:color w:val="auto"/>
          <w:sz w:val="28"/>
          <w:highlight w:val="none"/>
        </w:rPr>
      </w:pPr>
    </w:p>
    <w:p w14:paraId="787C460A">
      <w:pPr>
        <w:pStyle w:val="17"/>
        <w:spacing w:line="400" w:lineRule="exact"/>
        <w:ind w:firstLine="280" w:firstLineChars="100"/>
        <w:rPr>
          <w:rFonts w:ascii="仿宋" w:hAnsi="仿宋" w:eastAsia="仿宋"/>
          <w:color w:val="auto"/>
          <w:sz w:val="28"/>
          <w:highlight w:val="none"/>
        </w:rPr>
      </w:pPr>
      <w:r>
        <w:rPr>
          <w:rFonts w:hint="eastAsia" w:ascii="仿宋" w:hAnsi="仿宋" w:eastAsia="仿宋"/>
          <w:color w:val="auto"/>
          <w:sz w:val="28"/>
          <w:highlight w:val="none"/>
        </w:rPr>
        <w:t>法定代表人或委托代理人(签字或盖章)：</w:t>
      </w:r>
      <w:r>
        <w:rPr>
          <w:rFonts w:hint="eastAsia" w:ascii="仿宋" w:hAnsi="仿宋" w:eastAsia="仿宋"/>
          <w:color w:val="auto"/>
          <w:sz w:val="28"/>
          <w:highlight w:val="none"/>
          <w:u w:val="single"/>
        </w:rPr>
        <w:t xml:space="preserve">              </w:t>
      </w:r>
    </w:p>
    <w:p w14:paraId="5E5447B0">
      <w:pPr>
        <w:pStyle w:val="17"/>
        <w:spacing w:line="400" w:lineRule="exact"/>
        <w:ind w:firstLine="1960" w:firstLineChars="700"/>
        <w:rPr>
          <w:rFonts w:ascii="仿宋" w:hAnsi="仿宋" w:eastAsia="仿宋"/>
          <w:color w:val="auto"/>
          <w:sz w:val="28"/>
          <w:highlight w:val="none"/>
        </w:rPr>
      </w:pPr>
    </w:p>
    <w:p w14:paraId="57224B05">
      <w:pPr>
        <w:tabs>
          <w:tab w:val="left" w:pos="1440"/>
        </w:tabs>
        <w:spacing w:line="360" w:lineRule="auto"/>
        <w:ind w:firstLine="585" w:firstLineChars="247"/>
        <w:jc w:val="center"/>
        <w:rPr>
          <w:rFonts w:ascii="宋体" w:hAnsi="宋体" w:cs="宋体"/>
          <w:b/>
          <w:bCs/>
          <w:color w:val="auto"/>
          <w:spacing w:val="-2"/>
          <w:sz w:val="24"/>
          <w:highlight w:val="none"/>
        </w:rPr>
      </w:pPr>
    </w:p>
    <w:p w14:paraId="2E707373">
      <w:pPr>
        <w:tabs>
          <w:tab w:val="left" w:pos="1440"/>
        </w:tabs>
        <w:spacing w:line="360" w:lineRule="auto"/>
        <w:ind w:firstLine="585" w:firstLineChars="247"/>
        <w:jc w:val="center"/>
        <w:rPr>
          <w:rFonts w:ascii="宋体" w:hAnsi="宋体" w:cs="宋体"/>
          <w:b/>
          <w:bCs/>
          <w:color w:val="auto"/>
          <w:spacing w:val="-2"/>
          <w:sz w:val="24"/>
          <w:highlight w:val="none"/>
        </w:rPr>
      </w:pPr>
    </w:p>
    <w:p w14:paraId="19189018">
      <w:pPr>
        <w:tabs>
          <w:tab w:val="left" w:pos="1440"/>
        </w:tabs>
        <w:spacing w:line="360" w:lineRule="auto"/>
        <w:ind w:firstLine="585" w:firstLineChars="247"/>
        <w:jc w:val="center"/>
        <w:rPr>
          <w:rFonts w:ascii="宋体" w:hAnsi="宋体" w:cs="宋体"/>
          <w:b/>
          <w:bCs/>
          <w:color w:val="auto"/>
          <w:spacing w:val="-2"/>
          <w:sz w:val="24"/>
          <w:highlight w:val="none"/>
        </w:rPr>
      </w:pPr>
    </w:p>
    <w:p w14:paraId="1D175129">
      <w:pPr>
        <w:tabs>
          <w:tab w:val="left" w:pos="1440"/>
        </w:tabs>
        <w:spacing w:line="360" w:lineRule="auto"/>
        <w:ind w:firstLine="585" w:firstLineChars="247"/>
        <w:jc w:val="center"/>
        <w:rPr>
          <w:rFonts w:ascii="宋体" w:hAnsi="宋体" w:cs="宋体"/>
          <w:b/>
          <w:bCs/>
          <w:color w:val="auto"/>
          <w:spacing w:val="-2"/>
          <w:sz w:val="24"/>
          <w:highlight w:val="none"/>
        </w:rPr>
      </w:pPr>
    </w:p>
    <w:p w14:paraId="3B8BEC4C">
      <w:pPr>
        <w:tabs>
          <w:tab w:val="left" w:pos="1440"/>
        </w:tabs>
        <w:spacing w:line="360" w:lineRule="auto"/>
        <w:ind w:firstLine="585" w:firstLineChars="247"/>
        <w:jc w:val="center"/>
        <w:rPr>
          <w:rFonts w:ascii="宋体" w:hAnsi="宋体" w:cs="宋体"/>
          <w:b/>
          <w:bCs/>
          <w:color w:val="auto"/>
          <w:spacing w:val="-2"/>
          <w:sz w:val="24"/>
          <w:highlight w:val="none"/>
        </w:rPr>
      </w:pPr>
    </w:p>
    <w:p w14:paraId="2C1A519B">
      <w:pPr>
        <w:tabs>
          <w:tab w:val="left" w:pos="1440"/>
        </w:tabs>
        <w:spacing w:line="360" w:lineRule="auto"/>
        <w:ind w:firstLine="585" w:firstLineChars="247"/>
        <w:jc w:val="center"/>
        <w:rPr>
          <w:rFonts w:ascii="宋体" w:hAnsi="宋体" w:cs="宋体"/>
          <w:b/>
          <w:bCs/>
          <w:color w:val="auto"/>
          <w:spacing w:val="-2"/>
          <w:sz w:val="24"/>
          <w:highlight w:val="none"/>
        </w:rPr>
      </w:pPr>
    </w:p>
    <w:p w14:paraId="76BDAB8A">
      <w:pPr>
        <w:adjustRightInd w:val="0"/>
        <w:snapToGrid w:val="0"/>
        <w:spacing w:line="360" w:lineRule="auto"/>
        <w:jc w:val="center"/>
        <w:rPr>
          <w:rFonts w:ascii="黑体" w:hAnsi="黑体" w:eastAsia="黑体"/>
          <w:color w:val="auto"/>
          <w:kern w:val="0"/>
          <w:sz w:val="36"/>
          <w:szCs w:val="36"/>
          <w:highlight w:val="none"/>
        </w:rPr>
      </w:pPr>
      <w:r>
        <w:rPr>
          <w:rFonts w:hint="eastAsia" w:ascii="黑体" w:hAnsi="黑体" w:eastAsia="黑体"/>
          <w:color w:val="auto"/>
          <w:kern w:val="0"/>
          <w:sz w:val="36"/>
          <w:szCs w:val="36"/>
          <w:highlight w:val="none"/>
        </w:rPr>
        <w:t>投标分项报价表</w:t>
      </w:r>
    </w:p>
    <w:p w14:paraId="52FA3E32">
      <w:pPr>
        <w:adjustRightInd w:val="0"/>
        <w:snapToGrid w:val="0"/>
        <w:spacing w:line="360" w:lineRule="auto"/>
        <w:rPr>
          <w:rFonts w:hint="eastAsia" w:ascii="仿宋_GB2312" w:hAnsi="宋体" w:eastAsia="仿宋_GB2312"/>
          <w:color w:val="auto"/>
          <w:sz w:val="28"/>
          <w:szCs w:val="28"/>
          <w:highlight w:val="none"/>
          <w:u w:val="none"/>
        </w:rPr>
      </w:pPr>
      <w:r>
        <w:rPr>
          <w:rFonts w:hint="eastAsia" w:ascii="仿宋" w:hAnsi="仿宋" w:eastAsia="仿宋" w:cs="仿宋"/>
          <w:color w:val="auto"/>
          <w:kern w:val="0"/>
          <w:sz w:val="28"/>
          <w:szCs w:val="28"/>
          <w:highlight w:val="none"/>
          <w:u w:val="none"/>
        </w:rPr>
        <w:t>招标项目名称</w:t>
      </w:r>
      <w:r>
        <w:rPr>
          <w:rFonts w:hint="eastAsia" w:ascii="仿宋_GB2312" w:hAnsi="宋体" w:eastAsia="仿宋_GB2312"/>
          <w:color w:val="auto"/>
          <w:sz w:val="28"/>
          <w:szCs w:val="28"/>
          <w:highlight w:val="none"/>
        </w:rPr>
        <w:t>：</w:t>
      </w:r>
      <w:r>
        <w:rPr>
          <w:rFonts w:hint="eastAsia" w:ascii="仿宋" w:hAnsi="仿宋" w:eastAsia="仿宋" w:cs="仿宋"/>
          <w:color w:val="auto"/>
          <w:kern w:val="0"/>
          <w:sz w:val="28"/>
          <w:szCs w:val="28"/>
          <w:highlight w:val="none"/>
          <w:u w:val="none"/>
          <w:lang w:val="en-US" w:eastAsia="zh-CN"/>
        </w:rPr>
        <w:t>第一亚太重庆分公司物业费欠费催收服务（第二次）</w:t>
      </w:r>
      <w:r>
        <w:rPr>
          <w:rFonts w:hint="eastAsia" w:ascii="仿宋_GB2312" w:hAnsi="宋体" w:eastAsia="仿宋_GB2312"/>
          <w:color w:val="auto"/>
          <w:sz w:val="28"/>
          <w:szCs w:val="28"/>
          <w:highlight w:val="none"/>
          <w:u w:val="none"/>
        </w:rPr>
        <w:t xml:space="preserve"> </w:t>
      </w:r>
    </w:p>
    <w:p w14:paraId="514DA125">
      <w:pPr>
        <w:adjustRightInd w:val="0"/>
        <w:snapToGrid w:val="0"/>
        <w:spacing w:line="360" w:lineRule="auto"/>
        <w:rPr>
          <w:rFonts w:hint="eastAsia" w:ascii="仿宋_GB2312" w:hAnsi="宋体" w:eastAsia="仿宋_GB2312"/>
          <w:color w:val="auto"/>
          <w:sz w:val="28"/>
          <w:szCs w:val="28"/>
          <w:highlight w:val="none"/>
          <w:u w:val="none"/>
        </w:rPr>
      </w:pPr>
      <w:r>
        <w:rPr>
          <w:rFonts w:ascii="宋体" w:hAnsi="宋体" w:eastAsia="宋体" w:cs="宋体"/>
          <w:sz w:val="24"/>
          <w:szCs w:val="24"/>
        </w:rPr>
        <w:drawing>
          <wp:inline distT="0" distB="0" distL="114300" distR="114300">
            <wp:extent cx="5417820" cy="1715135"/>
            <wp:effectExtent l="0" t="0" r="11430" b="18415"/>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16"/>
                    <a:stretch>
                      <a:fillRect/>
                    </a:stretch>
                  </pic:blipFill>
                  <pic:spPr>
                    <a:xfrm>
                      <a:off x="0" y="0"/>
                      <a:ext cx="5417820" cy="1715135"/>
                    </a:xfrm>
                    <a:prstGeom prst="rect">
                      <a:avLst/>
                    </a:prstGeom>
                    <a:noFill/>
                    <a:ln w="9525">
                      <a:noFill/>
                    </a:ln>
                  </pic:spPr>
                </pic:pic>
              </a:graphicData>
            </a:graphic>
          </wp:inline>
        </w:drawing>
      </w:r>
    </w:p>
    <w:p w14:paraId="4451492D">
      <w:pPr>
        <w:adjustRightInd w:val="0"/>
        <w:snapToGrid w:val="0"/>
        <w:spacing w:line="360" w:lineRule="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说明：</w:t>
      </w:r>
    </w:p>
    <w:p w14:paraId="53E532A7">
      <w:pPr>
        <w:pStyle w:val="17"/>
        <w:spacing w:after="156" w:afterLines="50"/>
        <w:rPr>
          <w:rFonts w:ascii="仿宋" w:hAnsi="仿宋" w:eastAsia="仿宋" w:cs="宋体"/>
          <w:color w:val="auto"/>
          <w:sz w:val="24"/>
          <w:szCs w:val="24"/>
          <w:highlight w:val="none"/>
        </w:rPr>
      </w:pPr>
      <w:r>
        <w:rPr>
          <w:rFonts w:hint="eastAsia" w:ascii="仿宋" w:hAnsi="仿宋" w:eastAsia="仿宋" w:cs="宋体"/>
          <w:color w:val="auto"/>
          <w:sz w:val="24"/>
          <w:szCs w:val="24"/>
          <w:highlight w:val="none"/>
        </w:rPr>
        <w:t>1、</w:t>
      </w:r>
      <w:r>
        <w:rPr>
          <w:rFonts w:hint="eastAsia" w:ascii="仿宋" w:hAnsi="仿宋" w:eastAsia="仿宋" w:cs="仿宋"/>
          <w:i w:val="0"/>
          <w:iCs w:val="0"/>
          <w:color w:val="000000"/>
          <w:kern w:val="0"/>
          <w:sz w:val="24"/>
          <w:szCs w:val="24"/>
          <w:highlight w:val="none"/>
          <w:u w:val="none"/>
          <w:lang w:val="en-US" w:eastAsia="zh-CN" w:bidi="ar"/>
        </w:rPr>
        <w:t>以上均为暂定量，不作为最终结算依据，具体以实际委托案件金额为准;</w:t>
      </w:r>
      <w:r>
        <w:rPr>
          <w:rFonts w:hint="eastAsia" w:ascii="仿宋" w:hAnsi="仿宋" w:eastAsia="仿宋" w:cs="宋体"/>
          <w:color w:val="auto"/>
          <w:sz w:val="24"/>
          <w:szCs w:val="24"/>
          <w:highlight w:val="none"/>
        </w:rPr>
        <w:t>。</w:t>
      </w:r>
    </w:p>
    <w:p w14:paraId="1DBED291">
      <w:pPr>
        <w:rPr>
          <w:rFonts w:hint="eastAsia" w:ascii="仿宋" w:hAnsi="仿宋" w:eastAsia="仿宋" w:cs="仿宋"/>
          <w:i w:val="0"/>
          <w:iCs w:val="0"/>
          <w:color w:val="000000"/>
          <w:kern w:val="0"/>
          <w:sz w:val="24"/>
          <w:szCs w:val="24"/>
          <w:highlight w:val="none"/>
          <w:u w:val="none"/>
          <w:lang w:val="en-US" w:eastAsia="zh-CN" w:bidi="ar"/>
        </w:rPr>
      </w:pPr>
      <w:r>
        <w:rPr>
          <w:rFonts w:hint="eastAsia" w:ascii="Arial"/>
          <w:color w:val="auto"/>
          <w:highlight w:val="none"/>
          <w:lang w:val="en-US" w:eastAsia="zh-CN"/>
        </w:rPr>
        <w:t>2、</w:t>
      </w:r>
      <w:r>
        <w:rPr>
          <w:rFonts w:hint="eastAsia" w:ascii="仿宋" w:hAnsi="仿宋" w:eastAsia="仿宋" w:cs="仿宋"/>
          <w:i w:val="0"/>
          <w:iCs w:val="0"/>
          <w:color w:val="000000"/>
          <w:kern w:val="0"/>
          <w:sz w:val="24"/>
          <w:szCs w:val="24"/>
          <w:highlight w:val="none"/>
          <w:u w:val="none"/>
          <w:lang w:val="en-US" w:eastAsia="zh-CN" w:bidi="ar"/>
        </w:rPr>
        <w:t>结算方式为固定费率包干，律师代理费结算金额=按实际回款*风险代理费计收比例计提 ，实际回款金额包含以和解、调解、判决实际收取的物业费本金及违约金、专项维修资金部分（如有），不包含律师代理费、诉讼费、保全费、鉴定费、预交费用等诉讼成本支出；</w:t>
      </w:r>
    </w:p>
    <w:p w14:paraId="3D5E7706">
      <w:pPr>
        <w:rPr>
          <w:rFonts w:hint="eastAsia" w:ascii="仿宋" w:hAnsi="仿宋" w:eastAsia="仿宋" w:cs="仿宋"/>
          <w:color w:val="000000"/>
          <w:kern w:val="0"/>
          <w:sz w:val="24"/>
          <w:szCs w:val="24"/>
          <w:highlight w:val="none"/>
          <w:u w:val="none"/>
          <w:lang w:eastAsia="zh-CN" w:bidi="ar"/>
        </w:rPr>
      </w:pPr>
      <w:r>
        <w:rPr>
          <w:rFonts w:hint="eastAsia" w:ascii="仿宋" w:hAnsi="仿宋" w:eastAsia="仿宋" w:cs="仿宋"/>
          <w:i w:val="0"/>
          <w:iCs w:val="0"/>
          <w:color w:val="000000"/>
          <w:kern w:val="0"/>
          <w:sz w:val="24"/>
          <w:szCs w:val="24"/>
          <w:highlight w:val="none"/>
          <w:u w:val="none"/>
          <w:lang w:val="en-US" w:eastAsia="zh-CN" w:bidi="ar"/>
        </w:rPr>
        <w:t>3、</w:t>
      </w:r>
      <w:r>
        <w:rPr>
          <w:rFonts w:hint="eastAsia" w:ascii="仿宋" w:hAnsi="仿宋" w:eastAsia="仿宋" w:cs="仿宋"/>
          <w:i w:val="0"/>
          <w:iCs w:val="0"/>
          <w:color w:val="000000"/>
          <w:kern w:val="0"/>
          <w:sz w:val="24"/>
          <w:szCs w:val="24"/>
          <w:highlight w:val="none"/>
          <w:u w:val="none"/>
          <w:lang w:bidi="ar"/>
        </w:rPr>
        <w:t>在和解高峰阶段</w:t>
      </w:r>
      <w:r>
        <w:rPr>
          <w:rFonts w:hint="eastAsia" w:ascii="仿宋" w:hAnsi="仿宋" w:eastAsia="仿宋" w:cs="仿宋"/>
          <w:i w:val="0"/>
          <w:iCs w:val="0"/>
          <w:color w:val="000000"/>
          <w:kern w:val="0"/>
          <w:sz w:val="24"/>
          <w:szCs w:val="24"/>
          <w:highlight w:val="none"/>
          <w:u w:val="none"/>
          <w:lang w:eastAsia="zh-CN" w:bidi="ar"/>
        </w:rPr>
        <w:t>，</w:t>
      </w:r>
      <w:r>
        <w:rPr>
          <w:rFonts w:hint="eastAsia" w:ascii="仿宋" w:hAnsi="仿宋" w:eastAsia="仿宋" w:cs="仿宋"/>
          <w:color w:val="000000"/>
          <w:kern w:val="0"/>
          <w:sz w:val="24"/>
          <w:szCs w:val="24"/>
          <w:highlight w:val="none"/>
          <w:u w:val="none"/>
          <w:lang w:val="en-US" w:eastAsia="zh-CN" w:bidi="ar"/>
        </w:rPr>
        <w:t>需</w:t>
      </w:r>
      <w:r>
        <w:rPr>
          <w:rFonts w:hint="eastAsia" w:ascii="仿宋" w:hAnsi="仿宋" w:eastAsia="仿宋" w:cs="仿宋"/>
          <w:color w:val="000000"/>
          <w:kern w:val="0"/>
          <w:sz w:val="24"/>
          <w:szCs w:val="24"/>
          <w:highlight w:val="none"/>
          <w:u w:val="none"/>
          <w:lang w:bidi="ar"/>
        </w:rPr>
        <w:t>指派1-2名律师助理驻点，专门负责对接所涉当事人信息、债务所涉及的相关证据材料及和解事宜</w:t>
      </w:r>
      <w:r>
        <w:rPr>
          <w:rFonts w:hint="eastAsia" w:ascii="仿宋" w:hAnsi="仿宋" w:eastAsia="仿宋" w:cs="仿宋"/>
          <w:color w:val="000000"/>
          <w:kern w:val="0"/>
          <w:sz w:val="24"/>
          <w:szCs w:val="24"/>
          <w:highlight w:val="none"/>
          <w:u w:val="none"/>
          <w:lang w:eastAsia="zh-CN" w:bidi="ar"/>
        </w:rPr>
        <w:t>。</w:t>
      </w:r>
    </w:p>
    <w:p w14:paraId="17D47F9D">
      <w:pPr>
        <w:keepNext w:val="0"/>
        <w:keepLines w:val="0"/>
        <w:widowControl/>
        <w:suppressLineNumbers w:val="0"/>
        <w:jc w:val="left"/>
        <w:textAlignment w:val="top"/>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color w:val="000000"/>
          <w:kern w:val="0"/>
          <w:sz w:val="24"/>
          <w:szCs w:val="24"/>
          <w:highlight w:val="none"/>
          <w:u w:val="none"/>
          <w:lang w:val="en-US" w:eastAsia="zh-CN" w:bidi="ar"/>
        </w:rPr>
        <w:t>4、</w:t>
      </w:r>
      <w:r>
        <w:rPr>
          <w:rFonts w:hint="eastAsia" w:ascii="仿宋" w:hAnsi="仿宋" w:eastAsia="仿宋" w:cs="仿宋"/>
          <w:color w:val="000000"/>
          <w:kern w:val="0"/>
          <w:sz w:val="24"/>
          <w:szCs w:val="24"/>
          <w:highlight w:val="none"/>
          <w:lang w:bidi="ar"/>
        </w:rPr>
        <w:t>乙方向甲方提供增值服务：除甲方委托乙方诉讼的案件乙方提供免费的律师函服务外，</w:t>
      </w:r>
      <w:r>
        <w:rPr>
          <w:rFonts w:hint="eastAsia" w:ascii="仿宋" w:hAnsi="仿宋" w:eastAsia="仿宋" w:cs="仿宋"/>
          <w:b/>
          <w:bCs/>
          <w:color w:val="000000"/>
          <w:kern w:val="0"/>
          <w:sz w:val="24"/>
          <w:szCs w:val="24"/>
          <w:highlight w:val="none"/>
          <w:lang w:bidi="ar"/>
        </w:rPr>
        <w:t>乙方还免费提供</w:t>
      </w:r>
      <w:r>
        <w:rPr>
          <w:rFonts w:hint="eastAsia" w:ascii="仿宋" w:hAnsi="仿宋" w:eastAsia="仿宋" w:cs="仿宋"/>
          <w:b/>
          <w:bCs/>
          <w:color w:val="000000"/>
          <w:kern w:val="0"/>
          <w:sz w:val="24"/>
          <w:szCs w:val="24"/>
          <w:highlight w:val="none"/>
          <w:lang w:val="en-US" w:eastAsia="zh-CN" w:bidi="ar"/>
        </w:rPr>
        <w:t xml:space="preserve"> </w:t>
      </w:r>
      <w:r>
        <w:rPr>
          <w:rFonts w:hint="eastAsia" w:ascii="仿宋" w:hAnsi="仿宋" w:eastAsia="仿宋" w:cs="仿宋"/>
          <w:b/>
          <w:bCs/>
          <w:color w:val="000000"/>
          <w:kern w:val="0"/>
          <w:sz w:val="24"/>
          <w:szCs w:val="24"/>
          <w:highlight w:val="none"/>
          <w:u w:val="single"/>
          <w:lang w:val="en-US" w:eastAsia="zh-CN" w:bidi="ar"/>
        </w:rPr>
        <w:t xml:space="preserve">30 </w:t>
      </w:r>
      <w:r>
        <w:rPr>
          <w:rFonts w:hint="eastAsia" w:ascii="仿宋" w:hAnsi="仿宋" w:eastAsia="仿宋" w:cs="仿宋"/>
          <w:b/>
          <w:bCs/>
          <w:color w:val="000000"/>
          <w:kern w:val="0"/>
          <w:sz w:val="24"/>
          <w:szCs w:val="24"/>
          <w:highlight w:val="none"/>
          <w:lang w:bidi="ar"/>
        </w:rPr>
        <w:t>份律师函服务</w:t>
      </w:r>
      <w:r>
        <w:rPr>
          <w:rFonts w:hint="eastAsia" w:ascii="仿宋" w:hAnsi="仿宋" w:eastAsia="仿宋" w:cs="仿宋"/>
          <w:color w:val="000000"/>
          <w:kern w:val="0"/>
          <w:sz w:val="24"/>
          <w:szCs w:val="24"/>
          <w:highlight w:val="none"/>
          <w:lang w:bidi="ar"/>
        </w:rPr>
        <w:t>，该律师函由乙方</w:t>
      </w:r>
      <w:r>
        <w:rPr>
          <w:rFonts w:hint="eastAsia" w:ascii="仿宋" w:hAnsi="仿宋" w:eastAsia="仿宋" w:cs="仿宋"/>
          <w:color w:val="000000"/>
          <w:spacing w:val="0"/>
          <w:kern w:val="0"/>
          <w:sz w:val="24"/>
          <w:szCs w:val="24"/>
          <w:highlight w:val="none"/>
          <w:lang w:bidi="ar"/>
        </w:rPr>
        <w:t>制定律师函模板，协助盖章，甲方提供欠费基础数据并负责邮寄。</w:t>
      </w:r>
    </w:p>
    <w:p w14:paraId="3C89CD0C">
      <w:pP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5、该诉讼代理服务期为壹年；</w:t>
      </w:r>
    </w:p>
    <w:p w14:paraId="5BF519BC">
      <w:pP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object>
          <v:shape id="_x0000_i1026" o:spt="75" type="#_x0000_t75" style="height:66pt;width:72.75pt;" o:ole="t" filled="f" o:preferrelative="t" stroked="f" coordsize="21600,21600">
            <v:path/>
            <v:fill on="f" focussize="0,0"/>
            <v:stroke on="f"/>
            <v:imagedata r:id="rId18" o:title=""/>
            <o:lock v:ext="edit" aspectratio="t"/>
            <w10:wrap type="none"/>
            <w10:anchorlock/>
          </v:shape>
          <o:OLEObject Type="Embed" ProgID="Excel.Sheet.12" ShapeID="_x0000_i1026" DrawAspect="Icon" ObjectID="_1468075726" r:id="rId17">
            <o:LockedField>false</o:LockedField>
          </o:OLEObject>
        </w:object>
      </w:r>
    </w:p>
    <w:p w14:paraId="231D3EA0">
      <w:pPr>
        <w:rPr>
          <w:rFonts w:hint="eastAsia" w:ascii="仿宋" w:hAnsi="仿宋" w:eastAsia="仿宋" w:cs="仿宋"/>
          <w:i w:val="0"/>
          <w:iCs w:val="0"/>
          <w:color w:val="000000"/>
          <w:kern w:val="0"/>
          <w:sz w:val="24"/>
          <w:szCs w:val="24"/>
          <w:highlight w:val="none"/>
          <w:u w:val="none"/>
          <w:lang w:val="en-US" w:eastAsia="zh-CN" w:bidi="ar"/>
        </w:rPr>
      </w:pPr>
    </w:p>
    <w:p w14:paraId="2746CC14">
      <w:pPr>
        <w:rPr>
          <w:rFonts w:hint="eastAsia" w:ascii="仿宋" w:hAnsi="仿宋" w:eastAsia="仿宋" w:cs="仿宋"/>
          <w:i w:val="0"/>
          <w:iCs w:val="0"/>
          <w:color w:val="000000"/>
          <w:kern w:val="0"/>
          <w:sz w:val="24"/>
          <w:szCs w:val="24"/>
          <w:highlight w:val="none"/>
          <w:u w:val="none"/>
          <w:lang w:val="en-US" w:eastAsia="zh-CN" w:bidi="ar"/>
        </w:rPr>
      </w:pPr>
    </w:p>
    <w:p w14:paraId="1C86C72A">
      <w:pPr>
        <w:rPr>
          <w:rFonts w:hint="eastAsia" w:ascii="仿宋" w:hAnsi="仿宋" w:eastAsia="仿宋" w:cs="仿宋"/>
          <w:i w:val="0"/>
          <w:iCs w:val="0"/>
          <w:color w:val="000000"/>
          <w:kern w:val="0"/>
          <w:sz w:val="24"/>
          <w:szCs w:val="24"/>
          <w:highlight w:val="none"/>
          <w:u w:val="none"/>
          <w:lang w:val="en-US" w:eastAsia="zh-CN" w:bidi="ar"/>
        </w:rPr>
      </w:pPr>
    </w:p>
    <w:p w14:paraId="5C5B66C0">
      <w:pPr>
        <w:rPr>
          <w:rFonts w:hint="eastAsia" w:ascii="仿宋" w:hAnsi="仿宋" w:eastAsia="仿宋" w:cs="仿宋"/>
          <w:i w:val="0"/>
          <w:iCs w:val="0"/>
          <w:color w:val="000000"/>
          <w:kern w:val="0"/>
          <w:sz w:val="24"/>
          <w:szCs w:val="24"/>
          <w:highlight w:val="none"/>
          <w:u w:val="none"/>
          <w:lang w:val="en-US" w:eastAsia="zh-CN" w:bidi="ar"/>
        </w:rPr>
      </w:pPr>
    </w:p>
    <w:p w14:paraId="42C88229">
      <w:pPr>
        <w:rPr>
          <w:rFonts w:hint="eastAsia" w:ascii="仿宋" w:hAnsi="仿宋" w:eastAsia="仿宋" w:cs="仿宋"/>
          <w:i w:val="0"/>
          <w:iCs w:val="0"/>
          <w:color w:val="000000"/>
          <w:kern w:val="0"/>
          <w:sz w:val="24"/>
          <w:szCs w:val="24"/>
          <w:highlight w:val="none"/>
          <w:u w:val="none"/>
          <w:lang w:val="en-US" w:eastAsia="zh-CN" w:bidi="ar"/>
        </w:rPr>
      </w:pPr>
    </w:p>
    <w:p w14:paraId="0A2B94B0">
      <w:pPr>
        <w:rPr>
          <w:rFonts w:hint="eastAsia" w:ascii="仿宋" w:hAnsi="仿宋" w:eastAsia="仿宋" w:cs="仿宋"/>
          <w:i w:val="0"/>
          <w:iCs w:val="0"/>
          <w:color w:val="000000"/>
          <w:kern w:val="0"/>
          <w:sz w:val="24"/>
          <w:szCs w:val="24"/>
          <w:highlight w:val="none"/>
          <w:u w:val="none"/>
          <w:lang w:val="en-US" w:eastAsia="zh-CN" w:bidi="ar"/>
        </w:rPr>
      </w:pPr>
    </w:p>
    <w:p w14:paraId="67408466">
      <w:pPr>
        <w:rPr>
          <w:rFonts w:hint="eastAsia" w:ascii="仿宋" w:hAnsi="仿宋" w:eastAsia="仿宋" w:cs="仿宋"/>
          <w:i w:val="0"/>
          <w:iCs w:val="0"/>
          <w:color w:val="000000"/>
          <w:kern w:val="0"/>
          <w:sz w:val="24"/>
          <w:szCs w:val="24"/>
          <w:highlight w:val="none"/>
          <w:u w:val="none"/>
          <w:lang w:val="en-US" w:eastAsia="zh-CN" w:bidi="ar"/>
        </w:rPr>
      </w:pPr>
    </w:p>
    <w:p w14:paraId="0F560012">
      <w:pPr>
        <w:rPr>
          <w:rFonts w:hint="eastAsia" w:ascii="仿宋" w:hAnsi="仿宋" w:eastAsia="仿宋" w:cs="仿宋"/>
          <w:i w:val="0"/>
          <w:iCs w:val="0"/>
          <w:color w:val="000000"/>
          <w:kern w:val="0"/>
          <w:sz w:val="24"/>
          <w:szCs w:val="24"/>
          <w:highlight w:val="none"/>
          <w:u w:val="none"/>
          <w:lang w:val="en-US" w:eastAsia="zh-CN" w:bidi="ar"/>
        </w:rPr>
      </w:pPr>
    </w:p>
    <w:p w14:paraId="09240445">
      <w:pPr>
        <w:rPr>
          <w:rFonts w:hint="eastAsia" w:ascii="仿宋" w:hAnsi="仿宋" w:eastAsia="仿宋" w:cs="仿宋"/>
          <w:i w:val="0"/>
          <w:iCs w:val="0"/>
          <w:color w:val="000000"/>
          <w:kern w:val="0"/>
          <w:sz w:val="24"/>
          <w:szCs w:val="24"/>
          <w:highlight w:val="none"/>
          <w:u w:val="none"/>
          <w:lang w:val="en-US" w:eastAsia="zh-CN" w:bidi="ar"/>
        </w:rPr>
      </w:pPr>
    </w:p>
    <w:p w14:paraId="44F9B2B3">
      <w:pPr>
        <w:rPr>
          <w:rFonts w:hint="eastAsia" w:ascii="仿宋" w:hAnsi="仿宋" w:eastAsia="仿宋" w:cs="仿宋"/>
          <w:i w:val="0"/>
          <w:iCs w:val="0"/>
          <w:color w:val="000000"/>
          <w:kern w:val="0"/>
          <w:sz w:val="24"/>
          <w:szCs w:val="24"/>
          <w:highlight w:val="none"/>
          <w:u w:val="none"/>
          <w:lang w:val="en-US" w:eastAsia="zh-CN" w:bidi="ar"/>
        </w:rPr>
      </w:pPr>
    </w:p>
    <w:p w14:paraId="009CE546">
      <w:pPr>
        <w:rPr>
          <w:rFonts w:hint="eastAsia" w:ascii="仿宋" w:hAnsi="仿宋" w:eastAsia="仿宋" w:cs="仿宋"/>
          <w:i w:val="0"/>
          <w:iCs w:val="0"/>
          <w:color w:val="000000"/>
          <w:kern w:val="0"/>
          <w:sz w:val="24"/>
          <w:szCs w:val="24"/>
          <w:highlight w:val="none"/>
          <w:u w:val="none"/>
          <w:lang w:val="en-US" w:eastAsia="zh-CN" w:bidi="ar"/>
        </w:rPr>
      </w:pPr>
    </w:p>
    <w:p w14:paraId="04BD2555">
      <w:pPr>
        <w:rPr>
          <w:rFonts w:hint="eastAsia" w:ascii="仿宋" w:hAnsi="仿宋" w:eastAsia="仿宋" w:cs="仿宋"/>
          <w:i w:val="0"/>
          <w:iCs w:val="0"/>
          <w:color w:val="000000"/>
          <w:kern w:val="0"/>
          <w:sz w:val="24"/>
          <w:szCs w:val="24"/>
          <w:highlight w:val="none"/>
          <w:u w:val="none"/>
          <w:lang w:val="en-US" w:eastAsia="zh-CN" w:bidi="ar"/>
        </w:rPr>
      </w:pPr>
    </w:p>
    <w:p w14:paraId="11EF04EE">
      <w:pPr>
        <w:rPr>
          <w:rFonts w:hint="eastAsia" w:ascii="仿宋" w:hAnsi="仿宋" w:eastAsia="仿宋" w:cs="仿宋"/>
          <w:i w:val="0"/>
          <w:iCs w:val="0"/>
          <w:color w:val="000000"/>
          <w:kern w:val="0"/>
          <w:sz w:val="24"/>
          <w:szCs w:val="24"/>
          <w:highlight w:val="none"/>
          <w:u w:val="none"/>
          <w:lang w:val="en-US" w:eastAsia="zh-CN" w:bidi="ar"/>
        </w:rPr>
      </w:pPr>
    </w:p>
    <w:p w14:paraId="37519ED3">
      <w:pPr>
        <w:rPr>
          <w:rFonts w:hint="eastAsia" w:ascii="仿宋" w:hAnsi="仿宋" w:eastAsia="仿宋" w:cs="仿宋"/>
          <w:i w:val="0"/>
          <w:iCs w:val="0"/>
          <w:color w:val="000000"/>
          <w:kern w:val="0"/>
          <w:sz w:val="24"/>
          <w:szCs w:val="24"/>
          <w:highlight w:val="none"/>
          <w:u w:val="none"/>
          <w:lang w:val="en-US" w:eastAsia="zh-CN" w:bidi="ar"/>
        </w:rPr>
      </w:pPr>
    </w:p>
    <w:p w14:paraId="6A937326">
      <w:pPr>
        <w:rPr>
          <w:rFonts w:hint="eastAsia" w:ascii="仿宋" w:hAnsi="仿宋" w:eastAsia="仿宋" w:cs="仿宋"/>
          <w:i w:val="0"/>
          <w:iCs w:val="0"/>
          <w:color w:val="000000"/>
          <w:kern w:val="0"/>
          <w:sz w:val="24"/>
          <w:szCs w:val="24"/>
          <w:highlight w:val="none"/>
          <w:u w:val="none"/>
          <w:lang w:val="en-US" w:eastAsia="zh-CN" w:bidi="ar"/>
        </w:rPr>
      </w:pPr>
    </w:p>
    <w:p w14:paraId="4395E7D1">
      <w:pPr>
        <w:rPr>
          <w:rFonts w:hint="eastAsia" w:ascii="仿宋" w:hAnsi="仿宋" w:eastAsia="仿宋" w:cs="仿宋"/>
          <w:i w:val="0"/>
          <w:iCs w:val="0"/>
          <w:color w:val="000000"/>
          <w:kern w:val="0"/>
          <w:sz w:val="24"/>
          <w:szCs w:val="24"/>
          <w:highlight w:val="none"/>
          <w:u w:val="none"/>
          <w:lang w:val="en-US" w:eastAsia="zh-CN" w:bidi="ar"/>
        </w:rPr>
      </w:pPr>
    </w:p>
    <w:p w14:paraId="2A80AE48">
      <w:pPr>
        <w:rPr>
          <w:rFonts w:hint="eastAsia" w:ascii="仿宋" w:hAnsi="仿宋" w:eastAsia="仿宋" w:cs="仿宋"/>
          <w:i w:val="0"/>
          <w:iCs w:val="0"/>
          <w:color w:val="000000"/>
          <w:kern w:val="0"/>
          <w:sz w:val="24"/>
          <w:szCs w:val="24"/>
          <w:highlight w:val="none"/>
          <w:u w:val="none"/>
          <w:lang w:val="en-US" w:eastAsia="zh-CN" w:bidi="ar"/>
        </w:rPr>
      </w:pPr>
    </w:p>
    <w:p w14:paraId="04BEE61D">
      <w:pPr>
        <w:rPr>
          <w:rFonts w:hint="eastAsia" w:ascii="仿宋" w:hAnsi="仿宋" w:eastAsia="仿宋" w:cs="仿宋"/>
          <w:i w:val="0"/>
          <w:iCs w:val="0"/>
          <w:color w:val="000000"/>
          <w:kern w:val="0"/>
          <w:sz w:val="24"/>
          <w:szCs w:val="24"/>
          <w:highlight w:val="none"/>
          <w:u w:val="none"/>
          <w:lang w:val="en-US" w:eastAsia="zh-CN" w:bidi="ar"/>
        </w:rPr>
      </w:pPr>
    </w:p>
    <w:p w14:paraId="7E1C002B">
      <w:pPr>
        <w:rPr>
          <w:rFonts w:hint="eastAsia" w:ascii="仿宋" w:hAnsi="仿宋" w:eastAsia="仿宋" w:cs="仿宋"/>
          <w:i w:val="0"/>
          <w:iCs w:val="0"/>
          <w:color w:val="000000"/>
          <w:kern w:val="0"/>
          <w:sz w:val="24"/>
          <w:szCs w:val="24"/>
          <w:highlight w:val="none"/>
          <w:u w:val="none"/>
          <w:lang w:val="en-US" w:eastAsia="zh-CN" w:bidi="ar"/>
        </w:rPr>
      </w:pPr>
    </w:p>
    <w:p w14:paraId="527A4EB0">
      <w:pPr>
        <w:rPr>
          <w:rFonts w:hint="eastAsia" w:ascii="仿宋" w:hAnsi="仿宋" w:eastAsia="仿宋" w:cs="仿宋"/>
          <w:i w:val="0"/>
          <w:iCs w:val="0"/>
          <w:color w:val="000000"/>
          <w:kern w:val="0"/>
          <w:sz w:val="24"/>
          <w:szCs w:val="24"/>
          <w:highlight w:val="none"/>
          <w:u w:val="none"/>
          <w:lang w:val="en-US" w:eastAsia="zh-CN" w:bidi="ar"/>
        </w:rPr>
      </w:pPr>
    </w:p>
    <w:p w14:paraId="3E86DB00">
      <w:pPr>
        <w:spacing w:after="156" w:afterLines="50" w:line="360" w:lineRule="auto"/>
        <w:ind w:right="-2" w:rightChars="-1"/>
        <w:jc w:val="left"/>
        <w:rPr>
          <w:rFonts w:hint="eastAsia" w:ascii="宋体" w:hAnsi="宋体" w:cs="宋体"/>
          <w:b/>
          <w:bCs/>
          <w:sz w:val="36"/>
          <w:szCs w:val="36"/>
        </w:rPr>
      </w:pPr>
      <w:r>
        <w:rPr>
          <w:rFonts w:hint="eastAsia" w:ascii="宋体" w:hAnsi="宋体" w:cs="宋体"/>
          <w:b/>
          <w:bCs/>
          <w:sz w:val="36"/>
          <w:szCs w:val="36"/>
        </w:rPr>
        <w:t>商务标附表</w:t>
      </w:r>
    </w:p>
    <w:p w14:paraId="2D7572F9">
      <w:pPr>
        <w:spacing w:after="312" w:afterLines="100" w:line="360" w:lineRule="auto"/>
        <w:jc w:val="center"/>
        <w:rPr>
          <w:rFonts w:hint="default" w:ascii="宋体" w:hAnsi="宋体" w:cs="宋体"/>
          <w:b/>
          <w:sz w:val="32"/>
          <w:szCs w:val="32"/>
          <w:lang w:val="en-US" w:eastAsia="zh-CN"/>
        </w:rPr>
      </w:pPr>
      <w:r>
        <w:rPr>
          <w:rFonts w:hint="eastAsia" w:ascii="宋体" w:hAnsi="宋体" w:cs="宋体"/>
          <w:b/>
          <w:sz w:val="32"/>
          <w:szCs w:val="32"/>
          <w:lang w:val="en-US" w:eastAsia="zh-CN"/>
        </w:rPr>
        <w:t>物业费欠费追缴配备明细</w:t>
      </w:r>
    </w:p>
    <w:p w14:paraId="7ECA047C">
      <w:pPr>
        <w:spacing w:after="312" w:afterLines="100" w:line="360" w:lineRule="auto"/>
        <w:jc w:val="center"/>
        <w:rPr>
          <w:rFonts w:hint="eastAsia" w:ascii="宋体" w:hAnsi="宋体" w:cs="宋体"/>
          <w:sz w:val="28"/>
          <w:szCs w:val="28"/>
        </w:rPr>
      </w:pPr>
      <w:r>
        <w:rPr>
          <w:rFonts w:hint="eastAsia" w:ascii="宋体" w:hAnsi="宋体" w:cs="宋体"/>
          <w:sz w:val="28"/>
          <w:szCs w:val="28"/>
        </w:rPr>
        <w:t>（请投标单位详细列出）</w:t>
      </w:r>
    </w:p>
    <w:p w14:paraId="720F2E3F">
      <w:pPr>
        <w:rPr>
          <w:rFonts w:ascii="Arial" w:hAnsi="Arial" w:eastAsia="Arial" w:cs="Arial"/>
          <w:color w:val="auto"/>
          <w:szCs w:val="21"/>
          <w:highlight w:val="none"/>
        </w:rPr>
      </w:pPr>
    </w:p>
    <w:tbl>
      <w:tblPr>
        <w:tblStyle w:val="34"/>
        <w:tblW w:w="85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9"/>
        <w:gridCol w:w="1892"/>
        <w:gridCol w:w="1512"/>
        <w:gridCol w:w="1500"/>
        <w:gridCol w:w="1419"/>
        <w:gridCol w:w="1292"/>
      </w:tblGrid>
      <w:tr w14:paraId="7DEEB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1F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9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现场催缴人数</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9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催缴人资质</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9B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过往业绩</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9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5C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r>
      <w:tr w14:paraId="77500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69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FC86">
            <w:pPr>
              <w:jc w:val="center"/>
              <w:rPr>
                <w:rFonts w:hint="eastAsia" w:ascii="宋体" w:hAnsi="宋体" w:eastAsia="宋体" w:cs="宋体"/>
                <w:i w:val="0"/>
                <w:iCs w:val="0"/>
                <w:color w:val="000000"/>
                <w:sz w:val="28"/>
                <w:szCs w:val="28"/>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07C3">
            <w:pPr>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099A">
            <w:pPr>
              <w:jc w:val="center"/>
              <w:rPr>
                <w:rFonts w:hint="eastAsia" w:ascii="宋体" w:hAnsi="宋体" w:eastAsia="宋体" w:cs="宋体"/>
                <w:i w:val="0"/>
                <w:iCs w:val="0"/>
                <w:color w:val="000000"/>
                <w:sz w:val="24"/>
                <w:szCs w:val="24"/>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519E">
            <w:pPr>
              <w:jc w:val="center"/>
              <w:rPr>
                <w:rFonts w:hint="eastAsia" w:ascii="宋体" w:hAnsi="宋体" w:eastAsia="宋体" w:cs="宋体"/>
                <w:i w:val="0"/>
                <w:iCs w:val="0"/>
                <w:color w:val="000000"/>
                <w:sz w:val="24"/>
                <w:szCs w:val="24"/>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5F66">
            <w:pPr>
              <w:jc w:val="center"/>
              <w:rPr>
                <w:rFonts w:hint="eastAsia" w:ascii="宋体" w:hAnsi="宋体" w:eastAsia="宋体" w:cs="宋体"/>
                <w:i w:val="0"/>
                <w:iCs w:val="0"/>
                <w:color w:val="000000"/>
                <w:sz w:val="24"/>
                <w:szCs w:val="24"/>
                <w:u w:val="none"/>
              </w:rPr>
            </w:pPr>
          </w:p>
        </w:tc>
      </w:tr>
      <w:tr w14:paraId="5DA81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23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1408">
            <w:pPr>
              <w:jc w:val="center"/>
              <w:rPr>
                <w:rFonts w:hint="eastAsia" w:ascii="宋体" w:hAnsi="宋体" w:eastAsia="宋体" w:cs="宋体"/>
                <w:i w:val="0"/>
                <w:iCs w:val="0"/>
                <w:color w:val="000000"/>
                <w:sz w:val="28"/>
                <w:szCs w:val="28"/>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B04F">
            <w:pPr>
              <w:jc w:val="center"/>
              <w:rPr>
                <w:rFonts w:hint="eastAsia" w:ascii="宋体" w:hAnsi="宋体" w:eastAsia="宋体" w:cs="宋体"/>
                <w:i w:val="0"/>
                <w:iCs w:val="0"/>
                <w:color w:val="000000"/>
                <w:sz w:val="28"/>
                <w:szCs w:val="2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AFD9">
            <w:pPr>
              <w:jc w:val="center"/>
              <w:rPr>
                <w:rFonts w:hint="eastAsia" w:ascii="宋体" w:hAnsi="宋体" w:eastAsia="宋体" w:cs="宋体"/>
                <w:i w:val="0"/>
                <w:iCs w:val="0"/>
                <w:color w:val="000000"/>
                <w:sz w:val="28"/>
                <w:szCs w:val="28"/>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5CF2">
            <w:pPr>
              <w:jc w:val="center"/>
              <w:rPr>
                <w:rFonts w:hint="eastAsia" w:ascii="宋体" w:hAnsi="宋体" w:eastAsia="宋体" w:cs="宋体"/>
                <w:i w:val="0"/>
                <w:iCs w:val="0"/>
                <w:color w:val="000000"/>
                <w:sz w:val="28"/>
                <w:szCs w:val="28"/>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CF383">
            <w:pPr>
              <w:jc w:val="center"/>
              <w:rPr>
                <w:rFonts w:hint="eastAsia" w:ascii="宋体" w:hAnsi="宋体" w:eastAsia="宋体" w:cs="宋体"/>
                <w:i w:val="0"/>
                <w:iCs w:val="0"/>
                <w:color w:val="000000"/>
                <w:sz w:val="28"/>
                <w:szCs w:val="28"/>
                <w:u w:val="none"/>
              </w:rPr>
            </w:pPr>
          </w:p>
        </w:tc>
      </w:tr>
      <w:tr w14:paraId="22FE8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F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2D28">
            <w:pPr>
              <w:jc w:val="center"/>
              <w:rPr>
                <w:rFonts w:hint="eastAsia" w:ascii="宋体" w:hAnsi="宋体" w:eastAsia="宋体" w:cs="宋体"/>
                <w:i w:val="0"/>
                <w:iCs w:val="0"/>
                <w:color w:val="000000"/>
                <w:sz w:val="28"/>
                <w:szCs w:val="28"/>
                <w:u w:val="none"/>
              </w:rPr>
            </w:pP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EAB7">
            <w:pPr>
              <w:jc w:val="center"/>
              <w:rPr>
                <w:rFonts w:hint="eastAsia" w:ascii="宋体" w:hAnsi="宋体" w:eastAsia="宋体" w:cs="宋体"/>
                <w:i w:val="0"/>
                <w:iCs w:val="0"/>
                <w:color w:val="000000"/>
                <w:sz w:val="28"/>
                <w:szCs w:val="28"/>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BE99">
            <w:pPr>
              <w:jc w:val="center"/>
              <w:rPr>
                <w:rFonts w:hint="eastAsia" w:ascii="宋体" w:hAnsi="宋体" w:eastAsia="宋体" w:cs="宋体"/>
                <w:i w:val="0"/>
                <w:iCs w:val="0"/>
                <w:color w:val="000000"/>
                <w:sz w:val="28"/>
                <w:szCs w:val="28"/>
                <w:u w:val="none"/>
              </w:rPr>
            </w:pP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6F6A">
            <w:pPr>
              <w:jc w:val="center"/>
              <w:rPr>
                <w:rFonts w:hint="eastAsia" w:ascii="宋体" w:hAnsi="宋体" w:eastAsia="宋体" w:cs="宋体"/>
                <w:i w:val="0"/>
                <w:iCs w:val="0"/>
                <w:color w:val="000000"/>
                <w:sz w:val="28"/>
                <w:szCs w:val="28"/>
                <w:u w:val="none"/>
              </w:rPr>
            </w:pP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B63C">
            <w:pPr>
              <w:rPr>
                <w:rFonts w:hint="eastAsia" w:ascii="宋体" w:hAnsi="宋体" w:eastAsia="宋体" w:cs="宋体"/>
                <w:i w:val="0"/>
                <w:iCs w:val="0"/>
                <w:color w:val="000000"/>
                <w:sz w:val="22"/>
                <w:szCs w:val="22"/>
                <w:u w:val="none"/>
              </w:rPr>
            </w:pPr>
          </w:p>
        </w:tc>
      </w:tr>
    </w:tbl>
    <w:p w14:paraId="75E2ABCD">
      <w:pPr>
        <w:rPr>
          <w:rFonts w:ascii="Arial" w:hAnsi="Arial" w:eastAsia="Arial" w:cs="Arial"/>
          <w:color w:val="auto"/>
          <w:szCs w:val="21"/>
          <w:highlight w:val="none"/>
        </w:rPr>
        <w:sectPr>
          <w:headerReference r:id="rId12" w:type="default"/>
          <w:pgSz w:w="11906" w:h="16839"/>
          <w:pgMar w:top="1431" w:right="1687" w:bottom="0" w:left="1687" w:header="0" w:footer="0" w:gutter="0"/>
          <w:cols w:space="720" w:num="1"/>
        </w:sectPr>
      </w:pPr>
    </w:p>
    <w:p w14:paraId="3809A999">
      <w:pPr>
        <w:pStyle w:val="69"/>
        <w:ind w:firstLine="0" w:firstLineChars="0"/>
        <w:jc w:val="center"/>
        <w:outlineLvl w:val="0"/>
        <w:rPr>
          <w:rFonts w:ascii="宋体" w:hAnsi="宋体"/>
          <w:b/>
          <w:bCs/>
          <w:color w:val="auto"/>
          <w:kern w:val="0"/>
          <w:sz w:val="48"/>
          <w:szCs w:val="48"/>
          <w:highlight w:val="none"/>
        </w:rPr>
      </w:pPr>
      <w:bookmarkStart w:id="77" w:name="_Toc26380"/>
      <w:r>
        <w:rPr>
          <w:rFonts w:hint="eastAsia" w:ascii="宋体" w:hAnsi="宋体"/>
          <w:b/>
          <w:bCs/>
          <w:color w:val="auto"/>
          <w:kern w:val="0"/>
          <w:sz w:val="48"/>
          <w:szCs w:val="48"/>
          <w:highlight w:val="none"/>
        </w:rPr>
        <w:t>第六章 中标通知书</w:t>
      </w:r>
      <w:bookmarkEnd w:id="77"/>
    </w:p>
    <w:p w14:paraId="6BB217DC">
      <w:pPr>
        <w:pStyle w:val="69"/>
        <w:ind w:firstLine="0" w:firstLineChars="0"/>
        <w:jc w:val="center"/>
        <w:rPr>
          <w:rFonts w:ascii="仿宋" w:hAnsi="仿宋" w:eastAsia="仿宋"/>
          <w:b/>
          <w:bCs/>
          <w:color w:val="auto"/>
          <w:kern w:val="0"/>
          <w:sz w:val="36"/>
          <w:szCs w:val="36"/>
          <w:highlight w:val="none"/>
        </w:rPr>
      </w:pPr>
    </w:p>
    <w:p w14:paraId="5FF64F71">
      <w:pPr>
        <w:spacing w:line="360" w:lineRule="auto"/>
        <w:jc w:val="left"/>
        <w:rPr>
          <w:rFonts w:ascii="仿宋" w:hAnsi="仿宋" w:eastAsia="仿宋"/>
          <w:color w:val="auto"/>
          <w:sz w:val="28"/>
          <w:szCs w:val="28"/>
          <w:highlight w:val="none"/>
        </w:rPr>
      </w:pPr>
      <w:r>
        <w:rPr>
          <w:rFonts w:hint="eastAsia" w:ascii="仿宋" w:hAnsi="仿宋" w:eastAsia="仿宋"/>
          <w:color w:val="auto"/>
          <w:sz w:val="28"/>
          <w:szCs w:val="28"/>
          <w:highlight w:val="none"/>
        </w:rPr>
        <w:t>致</w:t>
      </w:r>
      <w:r>
        <w:rPr>
          <w:rFonts w:hint="eastAsia" w:ascii="仿宋" w:hAnsi="仿宋" w:eastAsia="仿宋" w:cs="仿宋_GB2312"/>
          <w:color w:val="auto"/>
          <w:sz w:val="28"/>
          <w:szCs w:val="28"/>
          <w:highlight w:val="none"/>
          <w:u w:val="single"/>
        </w:rPr>
        <w:t xml:space="preserve">                </w:t>
      </w:r>
      <w:r>
        <w:rPr>
          <w:rFonts w:hint="eastAsia" w:ascii="仿宋" w:hAnsi="仿宋" w:eastAsia="仿宋"/>
          <w:color w:val="auto"/>
          <w:sz w:val="28"/>
          <w:szCs w:val="28"/>
          <w:highlight w:val="none"/>
        </w:rPr>
        <w:t>：</w:t>
      </w:r>
    </w:p>
    <w:p w14:paraId="6D4A191C">
      <w:pPr>
        <w:spacing w:line="360" w:lineRule="auto"/>
        <w:ind w:firstLine="560" w:firstLineChars="200"/>
        <w:jc w:val="left"/>
        <w:rPr>
          <w:rFonts w:ascii="仿宋" w:hAnsi="仿宋" w:eastAsia="仿宋"/>
          <w:color w:val="auto"/>
          <w:sz w:val="28"/>
          <w:szCs w:val="28"/>
          <w:highlight w:val="none"/>
        </w:rPr>
      </w:pPr>
      <w:r>
        <w:rPr>
          <w:rFonts w:hint="eastAsia" w:ascii="仿宋" w:hAnsi="仿宋" w:eastAsia="仿宋" w:cs="仿宋_GB2312"/>
          <w:color w:val="auto"/>
          <w:sz w:val="28"/>
          <w:szCs w:val="28"/>
          <w:highlight w:val="none"/>
        </w:rPr>
        <w:t>我司</w:t>
      </w:r>
      <w:r>
        <w:rPr>
          <w:rFonts w:hint="eastAsia" w:ascii="仿宋" w:hAnsi="仿宋" w:eastAsia="仿宋" w:cs="仿宋_GB2312"/>
          <w:color w:val="auto"/>
          <w:sz w:val="28"/>
          <w:szCs w:val="28"/>
          <w:highlight w:val="none"/>
          <w:u w:val="single"/>
        </w:rPr>
        <w:t xml:space="preserve">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已于</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日进行招标，经评定，现正式通知贵司，我司已选定贵司为</w:t>
      </w:r>
      <w:r>
        <w:rPr>
          <w:rFonts w:hint="eastAsia" w:ascii="仿宋" w:hAnsi="仿宋" w:eastAsia="仿宋" w:cs="仿宋_GB2312"/>
          <w:color w:val="auto"/>
          <w:sz w:val="28"/>
          <w:szCs w:val="28"/>
          <w:highlight w:val="none"/>
          <w:u w:val="single"/>
        </w:rPr>
        <w:t xml:space="preserve">                 </w:t>
      </w:r>
      <w:r>
        <w:rPr>
          <w:rFonts w:hint="eastAsia" w:ascii="仿宋" w:hAnsi="仿宋" w:eastAsia="仿宋"/>
          <w:color w:val="auto"/>
          <w:sz w:val="28"/>
          <w:szCs w:val="28"/>
          <w:highlight w:val="none"/>
        </w:rPr>
        <w:t>中标单位，并接纳贵公司的投标文件：</w:t>
      </w:r>
    </w:p>
    <w:p w14:paraId="2D6AD2FA">
      <w:pPr>
        <w:spacing w:line="360" w:lineRule="auto"/>
        <w:ind w:left="705"/>
        <w:jc w:val="left"/>
        <w:rPr>
          <w:rFonts w:ascii="仿宋" w:hAnsi="仿宋" w:eastAsia="仿宋"/>
          <w:color w:val="auto"/>
          <w:sz w:val="28"/>
          <w:szCs w:val="28"/>
          <w:highlight w:val="none"/>
        </w:rPr>
      </w:pPr>
      <w:r>
        <w:rPr>
          <w:rFonts w:hint="eastAsia" w:ascii="仿宋" w:hAnsi="仿宋" w:eastAsia="仿宋" w:cs="宋体"/>
          <w:color w:val="auto"/>
          <w:kern w:val="0"/>
          <w:sz w:val="28"/>
          <w:szCs w:val="32"/>
          <w:highlight w:val="none"/>
        </w:rPr>
        <w:t>1、</w:t>
      </w:r>
      <w:r>
        <w:rPr>
          <w:rFonts w:hint="eastAsia" w:ascii="仿宋" w:hAnsi="仿宋" w:eastAsia="仿宋"/>
          <w:color w:val="auto"/>
          <w:sz w:val="28"/>
          <w:szCs w:val="28"/>
          <w:highlight w:val="none"/>
        </w:rPr>
        <w:t>中标价格：</w:t>
      </w:r>
      <w:r>
        <w:rPr>
          <w:rFonts w:hint="eastAsia" w:ascii="仿宋" w:hAnsi="仿宋" w:eastAsia="仿宋"/>
          <w:color w:val="auto"/>
          <w:sz w:val="28"/>
          <w:szCs w:val="28"/>
          <w:highlight w:val="none"/>
          <w:u w:val="single"/>
        </w:rPr>
        <w:t xml:space="preserve">￥      元  </w:t>
      </w:r>
      <w:r>
        <w:rPr>
          <w:rFonts w:hint="eastAsia" w:ascii="仿宋" w:hAnsi="仿宋" w:eastAsia="仿宋"/>
          <w:color w:val="auto"/>
          <w:sz w:val="28"/>
          <w:szCs w:val="28"/>
          <w:highlight w:val="none"/>
        </w:rPr>
        <w:t>人民币（大写）：</w:t>
      </w:r>
      <w:r>
        <w:rPr>
          <w:rFonts w:hint="eastAsia" w:ascii="仿宋" w:hAnsi="仿宋" w:eastAsia="仿宋"/>
          <w:color w:val="auto"/>
          <w:sz w:val="28"/>
          <w:szCs w:val="28"/>
          <w:highlight w:val="none"/>
          <w:u w:val="single"/>
        </w:rPr>
        <w:t xml:space="preserve">       </w:t>
      </w:r>
      <w:r>
        <w:rPr>
          <w:rFonts w:hint="eastAsia" w:ascii="仿宋" w:hAnsi="仿宋" w:eastAsia="仿宋" w:cs="宋体"/>
          <w:color w:val="auto"/>
          <w:kern w:val="0"/>
          <w:sz w:val="28"/>
          <w:szCs w:val="32"/>
          <w:highlight w:val="none"/>
        </w:rPr>
        <w:t>；</w:t>
      </w:r>
    </w:p>
    <w:p w14:paraId="3BF173C8">
      <w:pPr>
        <w:spacing w:line="360" w:lineRule="auto"/>
        <w:ind w:firstLine="700" w:firstLineChars="250"/>
        <w:jc w:val="left"/>
        <w:rPr>
          <w:rFonts w:ascii="仿宋" w:hAnsi="仿宋" w:eastAsia="仿宋"/>
          <w:color w:val="auto"/>
          <w:sz w:val="28"/>
          <w:szCs w:val="28"/>
          <w:highlight w:val="none"/>
        </w:rPr>
      </w:pPr>
      <w:r>
        <w:rPr>
          <w:rFonts w:hint="eastAsia" w:ascii="仿宋" w:hAnsi="仿宋" w:eastAsia="仿宋"/>
          <w:color w:val="auto"/>
          <w:sz w:val="28"/>
          <w:szCs w:val="28"/>
          <w:highlight w:val="none"/>
        </w:rPr>
        <w:t>2、中标服务周期：</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天</w:t>
      </w:r>
    </w:p>
    <w:p w14:paraId="61337BBC">
      <w:pPr>
        <w:spacing w:line="360" w:lineRule="auto"/>
        <w:ind w:firstLine="700" w:firstLineChars="250"/>
        <w:jc w:val="left"/>
        <w:rPr>
          <w:rFonts w:ascii="仿宋" w:hAnsi="仿宋" w:eastAsia="仿宋"/>
          <w:color w:val="auto"/>
          <w:sz w:val="28"/>
          <w:szCs w:val="28"/>
          <w:highlight w:val="none"/>
          <w:u w:val="single"/>
        </w:rPr>
      </w:pPr>
      <w:r>
        <w:rPr>
          <w:rFonts w:hint="eastAsia" w:ascii="仿宋" w:hAnsi="仿宋" w:eastAsia="仿宋"/>
          <w:color w:val="auto"/>
          <w:sz w:val="28"/>
          <w:szCs w:val="28"/>
          <w:highlight w:val="none"/>
        </w:rPr>
        <w:t>3、项目负责人：</w:t>
      </w:r>
      <w:r>
        <w:rPr>
          <w:rFonts w:hint="eastAsia" w:ascii="仿宋" w:hAnsi="仿宋" w:eastAsia="仿宋"/>
          <w:color w:val="auto"/>
          <w:sz w:val="28"/>
          <w:szCs w:val="28"/>
          <w:highlight w:val="none"/>
          <w:u w:val="single"/>
        </w:rPr>
        <w:t xml:space="preserve">        </w:t>
      </w:r>
    </w:p>
    <w:p w14:paraId="4D5F80E1">
      <w:pPr>
        <w:spacing w:line="360" w:lineRule="auto"/>
        <w:ind w:firstLine="700" w:firstLineChars="250"/>
        <w:jc w:val="left"/>
        <w:rPr>
          <w:rFonts w:ascii="仿宋" w:hAnsi="仿宋" w:eastAsia="仿宋"/>
          <w:color w:val="auto"/>
          <w:sz w:val="28"/>
          <w:szCs w:val="28"/>
          <w:highlight w:val="none"/>
        </w:rPr>
      </w:pPr>
      <w:r>
        <w:rPr>
          <w:rFonts w:hint="eastAsia" w:ascii="仿宋" w:hAnsi="仿宋" w:eastAsia="仿宋"/>
          <w:color w:val="auto"/>
          <w:sz w:val="28"/>
          <w:szCs w:val="28"/>
          <w:highlight w:val="none"/>
        </w:rPr>
        <w:t>4、贵公司须在接到本通知后</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日内与我司商议并签订合同。</w:t>
      </w:r>
    </w:p>
    <w:p w14:paraId="6D28A715">
      <w:pPr>
        <w:spacing w:line="360" w:lineRule="auto"/>
        <w:ind w:firstLine="1120" w:firstLineChars="400"/>
        <w:jc w:val="left"/>
        <w:rPr>
          <w:rFonts w:ascii="仿宋" w:hAnsi="仿宋" w:eastAsia="仿宋"/>
          <w:color w:val="auto"/>
          <w:sz w:val="28"/>
          <w:szCs w:val="28"/>
          <w:highlight w:val="none"/>
        </w:rPr>
      </w:pPr>
      <w:r>
        <w:rPr>
          <w:rFonts w:hint="eastAsia" w:ascii="仿宋" w:hAnsi="仿宋" w:eastAsia="仿宋"/>
          <w:color w:val="auto"/>
          <w:sz w:val="28"/>
          <w:szCs w:val="28"/>
          <w:highlight w:val="none"/>
        </w:rPr>
        <w:t>谨此函告</w:t>
      </w:r>
    </w:p>
    <w:p w14:paraId="76CADA3A">
      <w:pPr>
        <w:spacing w:line="360" w:lineRule="auto"/>
        <w:rPr>
          <w:rFonts w:ascii="仿宋" w:hAnsi="仿宋" w:eastAsia="仿宋"/>
          <w:color w:val="auto"/>
          <w:sz w:val="28"/>
          <w:szCs w:val="28"/>
          <w:highlight w:val="none"/>
        </w:rPr>
      </w:pPr>
    </w:p>
    <w:p w14:paraId="0F8D0D92">
      <w:pPr>
        <w:wordWrap w:val="0"/>
        <w:spacing w:line="360" w:lineRule="auto"/>
        <w:ind w:right="140"/>
        <w:jc w:val="right"/>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（招标人）   </w:t>
      </w:r>
    </w:p>
    <w:p w14:paraId="653FDE82">
      <w:pPr>
        <w:widowControl w:val="0"/>
        <w:spacing w:line="560" w:lineRule="exact"/>
        <w:ind w:firstLine="435"/>
        <w:jc w:val="left"/>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u w:val="single"/>
        </w:rPr>
        <w:t xml:space="preserve">  </w:t>
      </w:r>
    </w:p>
    <w:sectPr>
      <w:pgSz w:w="12240" w:h="15840"/>
      <w:pgMar w:top="1440" w:right="1797" w:bottom="1440" w:left="1797" w:header="720" w:footer="720"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D57824D-F679-4BCE-986E-A746548C1A0A}"/>
  </w:font>
  <w:font w:name="黑体">
    <w:panose1 w:val="02010609060101010101"/>
    <w:charset w:val="86"/>
    <w:family w:val="auto"/>
    <w:pitch w:val="default"/>
    <w:sig w:usb0="800002BF" w:usb1="38CF7CFA" w:usb2="00000016" w:usb3="00000000" w:csb0="00040001" w:csb1="00000000"/>
    <w:embedRegular r:id="rId2" w:fontKey="{1479A6F8-162E-4833-AD75-98CC664EAD1F}"/>
  </w:font>
  <w:font w:name="Courier New">
    <w:panose1 w:val="02070309020205020404"/>
    <w:charset w:val="01"/>
    <w:family w:val="modern"/>
    <w:pitch w:val="default"/>
    <w:sig w:usb0="E0002EFF" w:usb1="C0007843" w:usb2="00000009" w:usb3="00000000" w:csb0="400001FF" w:csb1="FFFF0000"/>
    <w:embedRegular r:id="rId3" w:fontKey="{D49F5509-53DD-414F-A708-29B51B73818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B95BF452-E396-428B-9D0E-8CDD78D378F2}"/>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embedRegular r:id="rId5" w:fontKey="{1F28DC89-8B44-4C37-8548-244688DC0601}"/>
  </w:font>
  <w:font w:name="仿宋_GB2312">
    <w:panose1 w:val="02010609030101010101"/>
    <w:charset w:val="86"/>
    <w:family w:val="modern"/>
    <w:pitch w:val="default"/>
    <w:sig w:usb0="00000001" w:usb1="080E0000" w:usb2="00000000" w:usb3="00000000" w:csb0="00040000" w:csb1="00000000"/>
    <w:embedRegular r:id="rId6" w:fontKey="{0FCD8B48-825E-4EAB-830D-BD2759625B86}"/>
  </w:font>
  <w:font w:name="微软雅黑">
    <w:panose1 w:val="020B0503020204020204"/>
    <w:charset w:val="86"/>
    <w:family w:val="swiss"/>
    <w:pitch w:val="default"/>
    <w:sig w:usb0="80000287" w:usb1="2ACF3C50" w:usb2="00000016" w:usb3="00000000" w:csb0="0004001F" w:csb1="00000000"/>
    <w:embedRegular r:id="rId7" w:fontKey="{3FBE4A9C-5874-40DD-8814-ED842F0EB0E7}"/>
  </w:font>
  <w:font w:name="仿宋">
    <w:panose1 w:val="02010609060101010101"/>
    <w:charset w:val="86"/>
    <w:family w:val="modern"/>
    <w:pitch w:val="default"/>
    <w:sig w:usb0="800002BF" w:usb1="38CF7CFA" w:usb2="00000016" w:usb3="00000000" w:csb0="00040001" w:csb1="00000000"/>
    <w:embedRegular r:id="rId8" w:fontKey="{BF7B0817-2E35-473C-BB52-327A533AC659}"/>
  </w:font>
  <w:font w:name="创艺简标宋">
    <w:panose1 w:val="00000000000000000000"/>
    <w:charset w:val="86"/>
    <w:family w:val="auto"/>
    <w:pitch w:val="default"/>
    <w:sig w:usb0="00000000" w:usb1="00000000" w:usb2="00000000" w:usb3="00000000" w:csb0="00000000" w:csb1="00000000"/>
    <w:embedRegular r:id="rId9" w:fontKey="{B57FAF6F-F1F0-4C41-B56F-A070F6659AE6}"/>
  </w:font>
  <w:font w:name="华文细黑">
    <w:panose1 w:val="02010600040101010101"/>
    <w:charset w:val="86"/>
    <w:family w:val="auto"/>
    <w:pitch w:val="default"/>
    <w:sig w:usb0="00000287" w:usb1="080F0000" w:usb2="00000000" w:usb3="00000000" w:csb0="0004009F" w:csb1="DFD70000"/>
    <w:embedRegular r:id="rId10" w:fontKey="{B98BF6BB-0352-411F-B098-7F146AB52841}"/>
  </w:font>
  <w:font w:name="方正小标宋简体">
    <w:panose1 w:val="03000509000000000000"/>
    <w:charset w:val="86"/>
    <w:family w:val="auto"/>
    <w:pitch w:val="default"/>
    <w:sig w:usb0="00000001" w:usb1="080E0000" w:usb2="00000000" w:usb3="00000000" w:csb0="00040000" w:csb1="00000000"/>
    <w:embedRegular r:id="rId11" w:fontKey="{F7D9DB72-C52D-475A-B90F-B71288B4F611}"/>
  </w:font>
  <w:font w:name="楷体">
    <w:panose1 w:val="02010609060101010101"/>
    <w:charset w:val="86"/>
    <w:family w:val="modern"/>
    <w:pitch w:val="default"/>
    <w:sig w:usb0="800002BF" w:usb1="38CF7CFA" w:usb2="00000016" w:usb3="00000000" w:csb0="00040001" w:csb1="00000000"/>
    <w:embedRegular r:id="rId12" w:fontKey="{969EDF7D-1A33-4EBD-B407-9600C49D4EC0}"/>
  </w:font>
  <w:font w:name="楷体_GB2312">
    <w:panose1 w:val="02010609030101010101"/>
    <w:charset w:val="86"/>
    <w:family w:val="modern"/>
    <w:pitch w:val="default"/>
    <w:sig w:usb0="00000001" w:usb1="080E0000" w:usb2="00000000" w:usb3="00000000" w:csb0="00040000" w:csb1="00000000"/>
    <w:embedRegular r:id="rId13" w:fontKey="{019BCF14-30E1-401E-AA45-AB08062ED8A8}"/>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4BF96">
    <w:pPr>
      <w:pStyle w:val="2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6AE49">
                          <w:pPr>
                            <w:pStyle w:val="22"/>
                            <w:jc w:val="center"/>
                          </w:pPr>
                          <w:r>
                            <w:fldChar w:fldCharType="begin"/>
                          </w:r>
                          <w:r>
                            <w:instrText xml:space="preserve"> PAGE  \* MERGEFORMAT </w:instrText>
                          </w:r>
                          <w:r>
                            <w:fldChar w:fldCharType="separate"/>
                          </w:r>
                          <w:r>
                            <w:t>5</w:t>
                          </w:r>
                          <w:r>
                            <w:fldChar w:fldCharType="end"/>
                          </w:r>
                          <w:r>
                            <w:t xml:space="preserve"> / </w:t>
                          </w:r>
                          <w:r>
                            <w:fldChar w:fldCharType="begin"/>
                          </w:r>
                          <w:r>
                            <w:instrText xml:space="preserve"> NUMPAGES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186AE49">
                    <w:pPr>
                      <w:pStyle w:val="22"/>
                      <w:jc w:val="center"/>
                    </w:pPr>
                    <w:r>
                      <w:fldChar w:fldCharType="begin"/>
                    </w:r>
                    <w:r>
                      <w:instrText xml:space="preserve"> PAGE  \* MERGEFORMAT </w:instrText>
                    </w:r>
                    <w:r>
                      <w:fldChar w:fldCharType="separate"/>
                    </w:r>
                    <w:r>
                      <w:t>5</w:t>
                    </w:r>
                    <w:r>
                      <w:fldChar w:fldCharType="end"/>
                    </w:r>
                    <w:r>
                      <w:t xml:space="preserve"> / </w:t>
                    </w:r>
                    <w:r>
                      <w:fldChar w:fldCharType="begin"/>
                    </w:r>
                    <w:r>
                      <w:instrText xml:space="preserve"> NUMPAGES  \* MERGEFORMAT </w:instrText>
                    </w:r>
                    <w:r>
                      <w:fldChar w:fldCharType="separate"/>
                    </w:r>
                    <w:r>
                      <w:t>137</w:t>
                    </w:r>
                    <w:r>
                      <w:fldChar w:fldCharType="end"/>
                    </w:r>
                  </w:p>
                </w:txbxContent>
              </v:textbox>
            </v:shape>
          </w:pict>
        </mc:Fallback>
      </mc:AlternateContent>
    </w:r>
  </w:p>
  <w:p w14:paraId="7A49BCBB">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C0AB2">
    <w:pPr>
      <w:pStyle w:val="2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22275"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222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E37D70">
                          <w:pPr>
                            <w:pStyle w:val="22"/>
                            <w:jc w:val="center"/>
                          </w:pPr>
                          <w:r>
                            <w:fldChar w:fldCharType="begin"/>
                          </w:r>
                          <w:r>
                            <w:instrText xml:space="preserve"> PAGE  \* MERGEFORMAT </w:instrText>
                          </w:r>
                          <w:r>
                            <w:fldChar w:fldCharType="separate"/>
                          </w:r>
                          <w:r>
                            <w:t>21</w:t>
                          </w:r>
                          <w:r>
                            <w:fldChar w:fldCharType="end"/>
                          </w:r>
                          <w:r>
                            <w:t xml:space="preserve"> / </w:t>
                          </w:r>
                          <w:r>
                            <w:fldChar w:fldCharType="begin"/>
                          </w:r>
                          <w:r>
                            <w:instrText xml:space="preserve"> NUMPAGES  \* MERGEFORMAT </w:instrText>
                          </w:r>
                          <w:r>
                            <w:fldChar w:fldCharType="separate"/>
                          </w:r>
                          <w:r>
                            <w:t>137</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3.25pt;mso-position-horizontal:center;mso-position-horizontal-relative:margin;z-index:251660288;mso-width-relative:page;mso-height-relative:page;" filled="f" stroked="f" coordsize="21600,21600" o:gfxdata="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LkdTq1AAAAAQBAAAPAAAAAAAAAAEAIAAAACIAAABkcnMvZG93bnJldi54bWxQSwEC&#10;FAAUAAAACACHTuJA462K9jECAABWBAAADgAAAAAAAAABACAAAAAjAQAAZHJzL2Uyb0RvYy54bWxQ&#10;SwUGAAAAAAYABgBZAQAAxgUAAAAA&#10;">
              <v:fill on="f" focussize="0,0"/>
              <v:stroke on="f" weight="0.5pt"/>
              <v:imagedata o:title=""/>
              <o:lock v:ext="edit" aspectratio="f"/>
              <v:textbox inset="0mm,0mm,0mm,0mm" style="mso-fit-shape-to-text:t;">
                <w:txbxContent>
                  <w:p w14:paraId="66E37D70">
                    <w:pPr>
                      <w:pStyle w:val="22"/>
                      <w:jc w:val="center"/>
                    </w:pPr>
                    <w:r>
                      <w:fldChar w:fldCharType="begin"/>
                    </w:r>
                    <w:r>
                      <w:instrText xml:space="preserve"> PAGE  \* MERGEFORMAT </w:instrText>
                    </w:r>
                    <w:r>
                      <w:fldChar w:fldCharType="separate"/>
                    </w:r>
                    <w:r>
                      <w:t>21</w:t>
                    </w:r>
                    <w:r>
                      <w:fldChar w:fldCharType="end"/>
                    </w:r>
                    <w:r>
                      <w:t xml:space="preserve"> / </w:t>
                    </w:r>
                    <w:r>
                      <w:fldChar w:fldCharType="begin"/>
                    </w:r>
                    <w:r>
                      <w:instrText xml:space="preserve"> NUMPAGES  \* MERGEFORMAT </w:instrText>
                    </w:r>
                    <w:r>
                      <w:fldChar w:fldCharType="separate"/>
                    </w:r>
                    <w:r>
                      <w:t>137</w:t>
                    </w:r>
                    <w:r>
                      <w:fldChar w:fldCharType="end"/>
                    </w:r>
                  </w:p>
                </w:txbxContent>
              </v:textbox>
            </v:shape>
          </w:pict>
        </mc:Fallback>
      </mc:AlternateContent>
    </w:r>
  </w:p>
  <w:p w14:paraId="0A156456">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33A45">
    <w:pPr>
      <w:pStyle w:val="2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297141">
                          <w:pPr>
                            <w:pStyle w:val="22"/>
                            <w:jc w:val="center"/>
                          </w:pPr>
                          <w:r>
                            <w:fldChar w:fldCharType="begin"/>
                          </w:r>
                          <w:r>
                            <w:instrText xml:space="preserve"> PAGE  \* MERGEFORMAT </w:instrText>
                          </w:r>
                          <w:r>
                            <w:fldChar w:fldCharType="separate"/>
                          </w:r>
                          <w:r>
                            <w:t>32</w:t>
                          </w:r>
                          <w:r>
                            <w:fldChar w:fldCharType="end"/>
                          </w:r>
                          <w:r>
                            <w:t xml:space="preserve"> / </w:t>
                          </w:r>
                          <w:r>
                            <w:fldChar w:fldCharType="begin"/>
                          </w:r>
                          <w:r>
                            <w:instrText xml:space="preserve"> NUMPAGES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6297141">
                    <w:pPr>
                      <w:pStyle w:val="22"/>
                      <w:jc w:val="center"/>
                    </w:pPr>
                    <w:r>
                      <w:fldChar w:fldCharType="begin"/>
                    </w:r>
                    <w:r>
                      <w:instrText xml:space="preserve"> PAGE  \* MERGEFORMAT </w:instrText>
                    </w:r>
                    <w:r>
                      <w:fldChar w:fldCharType="separate"/>
                    </w:r>
                    <w:r>
                      <w:t>32</w:t>
                    </w:r>
                    <w:r>
                      <w:fldChar w:fldCharType="end"/>
                    </w:r>
                    <w:r>
                      <w:t xml:space="preserve"> / </w:t>
                    </w:r>
                    <w:r>
                      <w:fldChar w:fldCharType="begin"/>
                    </w:r>
                    <w:r>
                      <w:instrText xml:space="preserve"> NUMPAGES  \* MERGEFORMAT </w:instrText>
                    </w:r>
                    <w:r>
                      <w:fldChar w:fldCharType="separate"/>
                    </w:r>
                    <w:r>
                      <w:t>137</w:t>
                    </w:r>
                    <w:r>
                      <w:fldChar w:fldCharType="end"/>
                    </w:r>
                  </w:p>
                </w:txbxContent>
              </v:textbox>
            </v:shape>
          </w:pict>
        </mc:Fallback>
      </mc:AlternateContent>
    </w:r>
  </w:p>
  <w:p w14:paraId="5C5B7980">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D1974">
    <w:pPr>
      <w:pStyle w:val="2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D01B">
                          <w:pPr>
                            <w:pStyle w:val="22"/>
                            <w:jc w:val="center"/>
                          </w:pPr>
                          <w:r>
                            <w:fldChar w:fldCharType="begin"/>
                          </w:r>
                          <w:r>
                            <w:instrText xml:space="preserve"> PAGE  \* MERGEFORMAT </w:instrText>
                          </w:r>
                          <w:r>
                            <w:fldChar w:fldCharType="separate"/>
                          </w:r>
                          <w:r>
                            <w:t>121</w:t>
                          </w:r>
                          <w:r>
                            <w:fldChar w:fldCharType="end"/>
                          </w:r>
                          <w:r>
                            <w:t xml:space="preserve"> / </w:t>
                          </w:r>
                          <w:r>
                            <w:fldChar w:fldCharType="begin"/>
                          </w:r>
                          <w:r>
                            <w:instrText xml:space="preserve"> NUMPAGES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2AAD01B">
                    <w:pPr>
                      <w:pStyle w:val="22"/>
                      <w:jc w:val="center"/>
                    </w:pPr>
                    <w:r>
                      <w:fldChar w:fldCharType="begin"/>
                    </w:r>
                    <w:r>
                      <w:instrText xml:space="preserve"> PAGE  \* MERGEFORMAT </w:instrText>
                    </w:r>
                    <w:r>
                      <w:fldChar w:fldCharType="separate"/>
                    </w:r>
                    <w:r>
                      <w:t>121</w:t>
                    </w:r>
                    <w:r>
                      <w:fldChar w:fldCharType="end"/>
                    </w:r>
                    <w:r>
                      <w:t xml:space="preserve"> / </w:t>
                    </w:r>
                    <w:r>
                      <w:fldChar w:fldCharType="begin"/>
                    </w:r>
                    <w:r>
                      <w:instrText xml:space="preserve"> NUMPAGES  \* MERGEFORMAT </w:instrText>
                    </w:r>
                    <w:r>
                      <w:fldChar w:fldCharType="separate"/>
                    </w:r>
                    <w:r>
                      <w:t>137</w:t>
                    </w:r>
                    <w:r>
                      <w:fldChar w:fldCharType="end"/>
                    </w:r>
                  </w:p>
                </w:txbxContent>
              </v:textbox>
            </v:shape>
          </w:pict>
        </mc:Fallback>
      </mc:AlternateContent>
    </w:r>
  </w:p>
  <w:p w14:paraId="24673428">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E72CD">
    <w:pPr>
      <w:pStyle w:val="23"/>
      <w:pBdr>
        <w:bottom w:val="none" w:color="auto" w:sz="0" w:space="0"/>
      </w:pBdr>
      <w:jc w:val="right"/>
    </w:pPr>
    <w:r>
      <w:rPr>
        <w:rFonts w:hint="eastAsia"/>
      </w:rPr>
      <w:t>深圳第一亚太物业管理有限公司招标文件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CF4C0">
    <w:pPr>
      <w:pStyle w:val="23"/>
      <w:pBdr>
        <w:bottom w:val="none" w:color="auto" w:sz="0" w:space="0"/>
      </w:pBdr>
      <w:jc w:val="right"/>
    </w:pPr>
    <w:r>
      <w:rPr>
        <w:rFonts w:hint="eastAsia"/>
      </w:rPr>
      <w:t>深圳第一亚太物业管理有限公司招标文件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4D0F">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DC844">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4D72E">
    <w:pPr>
      <w:pStyle w:val="2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F56C6">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1AFDC"/>
    <w:multiLevelType w:val="singleLevel"/>
    <w:tmpl w:val="89D1AFDC"/>
    <w:lvl w:ilvl="0" w:tentative="0">
      <w:start w:val="1"/>
      <w:numFmt w:val="chineseCounting"/>
      <w:suff w:val="nothing"/>
      <w:lvlText w:val="%1、"/>
      <w:lvlJc w:val="left"/>
      <w:rPr>
        <w:rFonts w:hint="eastAsia"/>
      </w:rPr>
    </w:lvl>
  </w:abstractNum>
  <w:abstractNum w:abstractNumId="1">
    <w:nsid w:val="3C5DD071"/>
    <w:multiLevelType w:val="singleLevel"/>
    <w:tmpl w:val="3C5DD071"/>
    <w:lvl w:ilvl="0" w:tentative="0">
      <w:start w:val="2"/>
      <w:numFmt w:val="chineseCounting"/>
      <w:suff w:val="nothing"/>
      <w:lvlText w:val="%1、"/>
      <w:lvlJc w:val="left"/>
      <w:rPr>
        <w:rFonts w:hint="eastAsia"/>
      </w:rPr>
    </w:lvl>
  </w:abstractNum>
  <w:abstractNum w:abstractNumId="2">
    <w:nsid w:val="3F1A5535"/>
    <w:multiLevelType w:val="singleLevel"/>
    <w:tmpl w:val="3F1A5535"/>
    <w:lvl w:ilvl="0" w:tentative="0">
      <w:start w:val="3"/>
      <w:numFmt w:val="chineseCounting"/>
      <w:suff w:val="space"/>
      <w:lvlText w:val="第%1章"/>
      <w:lvlJc w:val="left"/>
      <w:rPr>
        <w:rFonts w:hint="eastAsia"/>
      </w:rPr>
    </w:lvl>
  </w:abstractNum>
  <w:abstractNum w:abstractNumId="3">
    <w:nsid w:val="485E9B42"/>
    <w:multiLevelType w:val="singleLevel"/>
    <w:tmpl w:val="485E9B42"/>
    <w:lvl w:ilvl="0" w:tentative="0">
      <w:start w:val="1"/>
      <w:numFmt w:val="decimal"/>
      <w:lvlText w:val="%1."/>
      <w:lvlJc w:val="left"/>
      <w:pPr>
        <w:tabs>
          <w:tab w:val="left" w:pos="312"/>
        </w:tabs>
      </w:pPr>
    </w:lvl>
  </w:abstractNum>
  <w:abstractNum w:abstractNumId="4">
    <w:nsid w:val="655A2473"/>
    <w:multiLevelType w:val="singleLevel"/>
    <w:tmpl w:val="655A2473"/>
    <w:lvl w:ilvl="0" w:tentative="0">
      <w:start w:val="4"/>
      <w:numFmt w:val="chineseCounting"/>
      <w:suff w:val="nothing"/>
      <w:lvlText w:val="%1、"/>
      <w:lvlJc w:val="left"/>
      <w:rPr>
        <w:rFonts w:hint="eastAsi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hideSpellingErrors/>
  <w:trackRevisions w:val="1"/>
  <w:documentProtection w:enforcement="0"/>
  <w:defaultTabStop w:val="420"/>
  <w:drawingGridHorizontalSpacing w:val="105"/>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3ODQwM2QwNjFiMzc0NGNkM2UxNjkwYjYwYmZmOTAifQ=="/>
  </w:docVars>
  <w:rsids>
    <w:rsidRoot w:val="002E44B7"/>
    <w:rsid w:val="00002492"/>
    <w:rsid w:val="000061B0"/>
    <w:rsid w:val="000106D5"/>
    <w:rsid w:val="000107F9"/>
    <w:rsid w:val="0001185C"/>
    <w:rsid w:val="000118AA"/>
    <w:rsid w:val="00011DCC"/>
    <w:rsid w:val="00013467"/>
    <w:rsid w:val="000147CF"/>
    <w:rsid w:val="00015EFD"/>
    <w:rsid w:val="0001650E"/>
    <w:rsid w:val="0001772D"/>
    <w:rsid w:val="00017E55"/>
    <w:rsid w:val="00017E83"/>
    <w:rsid w:val="00020EB0"/>
    <w:rsid w:val="000254CF"/>
    <w:rsid w:val="00026FC2"/>
    <w:rsid w:val="00027325"/>
    <w:rsid w:val="000274D5"/>
    <w:rsid w:val="00027F85"/>
    <w:rsid w:val="00031EA1"/>
    <w:rsid w:val="000329B3"/>
    <w:rsid w:val="0003500C"/>
    <w:rsid w:val="0003526A"/>
    <w:rsid w:val="00035742"/>
    <w:rsid w:val="000358EC"/>
    <w:rsid w:val="00036997"/>
    <w:rsid w:val="00040DA2"/>
    <w:rsid w:val="00043BDA"/>
    <w:rsid w:val="00043F72"/>
    <w:rsid w:val="00044967"/>
    <w:rsid w:val="00045233"/>
    <w:rsid w:val="00045894"/>
    <w:rsid w:val="00046218"/>
    <w:rsid w:val="00047E7C"/>
    <w:rsid w:val="00052801"/>
    <w:rsid w:val="0006072F"/>
    <w:rsid w:val="00061161"/>
    <w:rsid w:val="00061590"/>
    <w:rsid w:val="00061687"/>
    <w:rsid w:val="000628E1"/>
    <w:rsid w:val="00062E57"/>
    <w:rsid w:val="000635D3"/>
    <w:rsid w:val="00064201"/>
    <w:rsid w:val="000645DE"/>
    <w:rsid w:val="00065CCF"/>
    <w:rsid w:val="00066C32"/>
    <w:rsid w:val="00070612"/>
    <w:rsid w:val="0007480F"/>
    <w:rsid w:val="000765AC"/>
    <w:rsid w:val="000766D8"/>
    <w:rsid w:val="00077474"/>
    <w:rsid w:val="00081DB0"/>
    <w:rsid w:val="00091693"/>
    <w:rsid w:val="00091D90"/>
    <w:rsid w:val="00093B49"/>
    <w:rsid w:val="00096641"/>
    <w:rsid w:val="000A3383"/>
    <w:rsid w:val="000A4808"/>
    <w:rsid w:val="000A568E"/>
    <w:rsid w:val="000A6155"/>
    <w:rsid w:val="000B2056"/>
    <w:rsid w:val="000B22D2"/>
    <w:rsid w:val="000B536B"/>
    <w:rsid w:val="000B7F30"/>
    <w:rsid w:val="000B7F92"/>
    <w:rsid w:val="000C1DCA"/>
    <w:rsid w:val="000C2F4D"/>
    <w:rsid w:val="000C3554"/>
    <w:rsid w:val="000C38BA"/>
    <w:rsid w:val="000C6037"/>
    <w:rsid w:val="000D2928"/>
    <w:rsid w:val="000D33C6"/>
    <w:rsid w:val="000D3446"/>
    <w:rsid w:val="000D4F89"/>
    <w:rsid w:val="000D5533"/>
    <w:rsid w:val="000D64EF"/>
    <w:rsid w:val="000D79D5"/>
    <w:rsid w:val="000D7F64"/>
    <w:rsid w:val="000E30D5"/>
    <w:rsid w:val="000E3CB9"/>
    <w:rsid w:val="000F06A4"/>
    <w:rsid w:val="000F1105"/>
    <w:rsid w:val="000F21D4"/>
    <w:rsid w:val="000F2DA6"/>
    <w:rsid w:val="000F2EA8"/>
    <w:rsid w:val="000F489A"/>
    <w:rsid w:val="000F7C92"/>
    <w:rsid w:val="00100C2C"/>
    <w:rsid w:val="00101629"/>
    <w:rsid w:val="00102265"/>
    <w:rsid w:val="00102F68"/>
    <w:rsid w:val="00104D1D"/>
    <w:rsid w:val="001065D2"/>
    <w:rsid w:val="00107397"/>
    <w:rsid w:val="001104DE"/>
    <w:rsid w:val="00112244"/>
    <w:rsid w:val="00114E8E"/>
    <w:rsid w:val="00114F60"/>
    <w:rsid w:val="001158BA"/>
    <w:rsid w:val="001160EC"/>
    <w:rsid w:val="001166BE"/>
    <w:rsid w:val="00116B0A"/>
    <w:rsid w:val="00120BD8"/>
    <w:rsid w:val="0012455E"/>
    <w:rsid w:val="00124583"/>
    <w:rsid w:val="001245E6"/>
    <w:rsid w:val="0013231B"/>
    <w:rsid w:val="001339A5"/>
    <w:rsid w:val="0013518D"/>
    <w:rsid w:val="0014050A"/>
    <w:rsid w:val="00142348"/>
    <w:rsid w:val="001451D1"/>
    <w:rsid w:val="00145CDD"/>
    <w:rsid w:val="00146A3D"/>
    <w:rsid w:val="00150554"/>
    <w:rsid w:val="00150779"/>
    <w:rsid w:val="001508B2"/>
    <w:rsid w:val="001516CC"/>
    <w:rsid w:val="00152E41"/>
    <w:rsid w:val="00152FEB"/>
    <w:rsid w:val="00154F28"/>
    <w:rsid w:val="00155A90"/>
    <w:rsid w:val="00155DDD"/>
    <w:rsid w:val="00156655"/>
    <w:rsid w:val="001577E7"/>
    <w:rsid w:val="00157F3B"/>
    <w:rsid w:val="00160800"/>
    <w:rsid w:val="001630B6"/>
    <w:rsid w:val="001633E4"/>
    <w:rsid w:val="001635A5"/>
    <w:rsid w:val="001657D9"/>
    <w:rsid w:val="0016587B"/>
    <w:rsid w:val="00166647"/>
    <w:rsid w:val="00167785"/>
    <w:rsid w:val="0017030B"/>
    <w:rsid w:val="00171909"/>
    <w:rsid w:val="001719E7"/>
    <w:rsid w:val="00174B16"/>
    <w:rsid w:val="00176D91"/>
    <w:rsid w:val="00180C6B"/>
    <w:rsid w:val="00181087"/>
    <w:rsid w:val="00181FD9"/>
    <w:rsid w:val="00184981"/>
    <w:rsid w:val="00185DD2"/>
    <w:rsid w:val="00186618"/>
    <w:rsid w:val="00186A69"/>
    <w:rsid w:val="00192B21"/>
    <w:rsid w:val="0019424C"/>
    <w:rsid w:val="0019431D"/>
    <w:rsid w:val="00196A8B"/>
    <w:rsid w:val="001A0DA0"/>
    <w:rsid w:val="001A47C4"/>
    <w:rsid w:val="001A5D2B"/>
    <w:rsid w:val="001A626F"/>
    <w:rsid w:val="001B25CB"/>
    <w:rsid w:val="001B26EA"/>
    <w:rsid w:val="001B2A1B"/>
    <w:rsid w:val="001B3624"/>
    <w:rsid w:val="001B3A13"/>
    <w:rsid w:val="001B4910"/>
    <w:rsid w:val="001B4BD9"/>
    <w:rsid w:val="001B5963"/>
    <w:rsid w:val="001C006F"/>
    <w:rsid w:val="001C07CA"/>
    <w:rsid w:val="001C30E2"/>
    <w:rsid w:val="001C4F55"/>
    <w:rsid w:val="001C59E1"/>
    <w:rsid w:val="001C5AAF"/>
    <w:rsid w:val="001C60F4"/>
    <w:rsid w:val="001C6876"/>
    <w:rsid w:val="001C7861"/>
    <w:rsid w:val="001D1583"/>
    <w:rsid w:val="001D3433"/>
    <w:rsid w:val="001D5C0A"/>
    <w:rsid w:val="001D5E48"/>
    <w:rsid w:val="001D64E9"/>
    <w:rsid w:val="001D6B7F"/>
    <w:rsid w:val="001E38D8"/>
    <w:rsid w:val="001E4DA5"/>
    <w:rsid w:val="001E6629"/>
    <w:rsid w:val="001E67DC"/>
    <w:rsid w:val="001E786D"/>
    <w:rsid w:val="001E7DB4"/>
    <w:rsid w:val="001E7F8E"/>
    <w:rsid w:val="001F1C11"/>
    <w:rsid w:val="001F2D7D"/>
    <w:rsid w:val="001F485A"/>
    <w:rsid w:val="002016BE"/>
    <w:rsid w:val="00202736"/>
    <w:rsid w:val="00203D46"/>
    <w:rsid w:val="0020402F"/>
    <w:rsid w:val="0020704B"/>
    <w:rsid w:val="00207ADE"/>
    <w:rsid w:val="00207EFC"/>
    <w:rsid w:val="00211CD2"/>
    <w:rsid w:val="002125C7"/>
    <w:rsid w:val="00214191"/>
    <w:rsid w:val="00214AC0"/>
    <w:rsid w:val="00215A21"/>
    <w:rsid w:val="00216281"/>
    <w:rsid w:val="00216B9A"/>
    <w:rsid w:val="00216BA4"/>
    <w:rsid w:val="00216F2D"/>
    <w:rsid w:val="00222AC7"/>
    <w:rsid w:val="00225987"/>
    <w:rsid w:val="00225D35"/>
    <w:rsid w:val="00226550"/>
    <w:rsid w:val="00227D13"/>
    <w:rsid w:val="0023014D"/>
    <w:rsid w:val="002301F7"/>
    <w:rsid w:val="00232AF4"/>
    <w:rsid w:val="002337DE"/>
    <w:rsid w:val="00234E6D"/>
    <w:rsid w:val="00235A7F"/>
    <w:rsid w:val="0023728C"/>
    <w:rsid w:val="002411E8"/>
    <w:rsid w:val="00242224"/>
    <w:rsid w:val="00243FB6"/>
    <w:rsid w:val="0024427D"/>
    <w:rsid w:val="00244B93"/>
    <w:rsid w:val="00245A7B"/>
    <w:rsid w:val="002475E5"/>
    <w:rsid w:val="00247A9C"/>
    <w:rsid w:val="00250BBA"/>
    <w:rsid w:val="00251B98"/>
    <w:rsid w:val="0025391A"/>
    <w:rsid w:val="00254C27"/>
    <w:rsid w:val="00254C64"/>
    <w:rsid w:val="002558CA"/>
    <w:rsid w:val="00255C4C"/>
    <w:rsid w:val="002632B2"/>
    <w:rsid w:val="0026404B"/>
    <w:rsid w:val="0026422A"/>
    <w:rsid w:val="002669C6"/>
    <w:rsid w:val="00266E44"/>
    <w:rsid w:val="00270137"/>
    <w:rsid w:val="00270DF2"/>
    <w:rsid w:val="002724F9"/>
    <w:rsid w:val="0027375E"/>
    <w:rsid w:val="002737C5"/>
    <w:rsid w:val="00273C13"/>
    <w:rsid w:val="00274C9E"/>
    <w:rsid w:val="002753FB"/>
    <w:rsid w:val="00275DA7"/>
    <w:rsid w:val="00276D29"/>
    <w:rsid w:val="002826C7"/>
    <w:rsid w:val="002828D5"/>
    <w:rsid w:val="0028349A"/>
    <w:rsid w:val="00284704"/>
    <w:rsid w:val="0028544F"/>
    <w:rsid w:val="002857A1"/>
    <w:rsid w:val="00285FD4"/>
    <w:rsid w:val="002868F9"/>
    <w:rsid w:val="00287B93"/>
    <w:rsid w:val="00290C9A"/>
    <w:rsid w:val="00291DCE"/>
    <w:rsid w:val="00295012"/>
    <w:rsid w:val="00295B49"/>
    <w:rsid w:val="00296850"/>
    <w:rsid w:val="00297BD8"/>
    <w:rsid w:val="002A0207"/>
    <w:rsid w:val="002A09CD"/>
    <w:rsid w:val="002A2EF0"/>
    <w:rsid w:val="002A32E2"/>
    <w:rsid w:val="002A4AC7"/>
    <w:rsid w:val="002A70DD"/>
    <w:rsid w:val="002A75BA"/>
    <w:rsid w:val="002A766F"/>
    <w:rsid w:val="002A7936"/>
    <w:rsid w:val="002A7D2B"/>
    <w:rsid w:val="002B1B44"/>
    <w:rsid w:val="002B1DFB"/>
    <w:rsid w:val="002B5710"/>
    <w:rsid w:val="002B772A"/>
    <w:rsid w:val="002C00EA"/>
    <w:rsid w:val="002C4CA2"/>
    <w:rsid w:val="002C6D9D"/>
    <w:rsid w:val="002D056A"/>
    <w:rsid w:val="002D2BAC"/>
    <w:rsid w:val="002D43AB"/>
    <w:rsid w:val="002D5868"/>
    <w:rsid w:val="002D7AB5"/>
    <w:rsid w:val="002D7DB8"/>
    <w:rsid w:val="002E1795"/>
    <w:rsid w:val="002E1C51"/>
    <w:rsid w:val="002E44B7"/>
    <w:rsid w:val="002E5C82"/>
    <w:rsid w:val="002E6A72"/>
    <w:rsid w:val="002F0364"/>
    <w:rsid w:val="002F06B4"/>
    <w:rsid w:val="002F18F9"/>
    <w:rsid w:val="002F1A0A"/>
    <w:rsid w:val="002F25AE"/>
    <w:rsid w:val="002F2682"/>
    <w:rsid w:val="002F2CDF"/>
    <w:rsid w:val="002F3382"/>
    <w:rsid w:val="002F3A73"/>
    <w:rsid w:val="002F4044"/>
    <w:rsid w:val="002F4B1F"/>
    <w:rsid w:val="002F4EEC"/>
    <w:rsid w:val="002F565A"/>
    <w:rsid w:val="00302187"/>
    <w:rsid w:val="00305226"/>
    <w:rsid w:val="003063C8"/>
    <w:rsid w:val="00307068"/>
    <w:rsid w:val="00307911"/>
    <w:rsid w:val="00307DC0"/>
    <w:rsid w:val="00310CA9"/>
    <w:rsid w:val="00310FF5"/>
    <w:rsid w:val="0031113A"/>
    <w:rsid w:val="00311AFC"/>
    <w:rsid w:val="003123B3"/>
    <w:rsid w:val="00313932"/>
    <w:rsid w:val="00314247"/>
    <w:rsid w:val="003154CE"/>
    <w:rsid w:val="003174DF"/>
    <w:rsid w:val="003175E5"/>
    <w:rsid w:val="00317CC6"/>
    <w:rsid w:val="003201CE"/>
    <w:rsid w:val="00320612"/>
    <w:rsid w:val="003229D4"/>
    <w:rsid w:val="00323459"/>
    <w:rsid w:val="00323EAE"/>
    <w:rsid w:val="00325443"/>
    <w:rsid w:val="00330548"/>
    <w:rsid w:val="003316F0"/>
    <w:rsid w:val="003326AC"/>
    <w:rsid w:val="00332DD0"/>
    <w:rsid w:val="00334A8A"/>
    <w:rsid w:val="00335A36"/>
    <w:rsid w:val="00336019"/>
    <w:rsid w:val="003416E8"/>
    <w:rsid w:val="00343B9C"/>
    <w:rsid w:val="0034410A"/>
    <w:rsid w:val="003453A2"/>
    <w:rsid w:val="0035427F"/>
    <w:rsid w:val="003562F4"/>
    <w:rsid w:val="003577E1"/>
    <w:rsid w:val="00361787"/>
    <w:rsid w:val="00361840"/>
    <w:rsid w:val="0036212A"/>
    <w:rsid w:val="00363FA8"/>
    <w:rsid w:val="00366824"/>
    <w:rsid w:val="00367346"/>
    <w:rsid w:val="00367F4F"/>
    <w:rsid w:val="0037150B"/>
    <w:rsid w:val="00371865"/>
    <w:rsid w:val="00372C43"/>
    <w:rsid w:val="00373117"/>
    <w:rsid w:val="003731FD"/>
    <w:rsid w:val="00373E08"/>
    <w:rsid w:val="00375E9E"/>
    <w:rsid w:val="00376F1E"/>
    <w:rsid w:val="00380493"/>
    <w:rsid w:val="003811C0"/>
    <w:rsid w:val="00381960"/>
    <w:rsid w:val="00382815"/>
    <w:rsid w:val="00382DA5"/>
    <w:rsid w:val="003847DE"/>
    <w:rsid w:val="003851AC"/>
    <w:rsid w:val="00385461"/>
    <w:rsid w:val="00390CD9"/>
    <w:rsid w:val="003920D1"/>
    <w:rsid w:val="00394823"/>
    <w:rsid w:val="003A1877"/>
    <w:rsid w:val="003A1B86"/>
    <w:rsid w:val="003A2A8A"/>
    <w:rsid w:val="003A39E5"/>
    <w:rsid w:val="003B53CF"/>
    <w:rsid w:val="003B5A89"/>
    <w:rsid w:val="003B6C84"/>
    <w:rsid w:val="003B71F6"/>
    <w:rsid w:val="003C2650"/>
    <w:rsid w:val="003C2A23"/>
    <w:rsid w:val="003C5995"/>
    <w:rsid w:val="003C629B"/>
    <w:rsid w:val="003C6865"/>
    <w:rsid w:val="003C6EDD"/>
    <w:rsid w:val="003D0B83"/>
    <w:rsid w:val="003D4DFA"/>
    <w:rsid w:val="003D73FC"/>
    <w:rsid w:val="003D7B49"/>
    <w:rsid w:val="003D7F59"/>
    <w:rsid w:val="003D7F99"/>
    <w:rsid w:val="003E033A"/>
    <w:rsid w:val="003E04D5"/>
    <w:rsid w:val="003E3B7D"/>
    <w:rsid w:val="003E3FD3"/>
    <w:rsid w:val="003E4884"/>
    <w:rsid w:val="003E4A35"/>
    <w:rsid w:val="003E5015"/>
    <w:rsid w:val="003F06A9"/>
    <w:rsid w:val="003F0BB0"/>
    <w:rsid w:val="003F2093"/>
    <w:rsid w:val="003F539A"/>
    <w:rsid w:val="003F744B"/>
    <w:rsid w:val="0040029C"/>
    <w:rsid w:val="00402718"/>
    <w:rsid w:val="00403BFE"/>
    <w:rsid w:val="00404048"/>
    <w:rsid w:val="004041C4"/>
    <w:rsid w:val="004046B7"/>
    <w:rsid w:val="00404F70"/>
    <w:rsid w:val="004053A7"/>
    <w:rsid w:val="00407387"/>
    <w:rsid w:val="00414A7F"/>
    <w:rsid w:val="00416824"/>
    <w:rsid w:val="00417A27"/>
    <w:rsid w:val="004214B0"/>
    <w:rsid w:val="004225DA"/>
    <w:rsid w:val="00422907"/>
    <w:rsid w:val="004242FA"/>
    <w:rsid w:val="00425226"/>
    <w:rsid w:val="0042537F"/>
    <w:rsid w:val="00425A90"/>
    <w:rsid w:val="00426374"/>
    <w:rsid w:val="00431E96"/>
    <w:rsid w:val="00432632"/>
    <w:rsid w:val="004329A9"/>
    <w:rsid w:val="00434A47"/>
    <w:rsid w:val="00436971"/>
    <w:rsid w:val="00436A33"/>
    <w:rsid w:val="004402A2"/>
    <w:rsid w:val="00441663"/>
    <w:rsid w:val="00443753"/>
    <w:rsid w:val="00443CFE"/>
    <w:rsid w:val="00445107"/>
    <w:rsid w:val="00446BEB"/>
    <w:rsid w:val="00447F11"/>
    <w:rsid w:val="004505E8"/>
    <w:rsid w:val="00450804"/>
    <w:rsid w:val="00451158"/>
    <w:rsid w:val="00451C02"/>
    <w:rsid w:val="00452817"/>
    <w:rsid w:val="00453268"/>
    <w:rsid w:val="00456F12"/>
    <w:rsid w:val="004604D8"/>
    <w:rsid w:val="00460997"/>
    <w:rsid w:val="004610D9"/>
    <w:rsid w:val="00463CDD"/>
    <w:rsid w:val="00470325"/>
    <w:rsid w:val="00470D8E"/>
    <w:rsid w:val="00475F45"/>
    <w:rsid w:val="0047791E"/>
    <w:rsid w:val="00480186"/>
    <w:rsid w:val="00480398"/>
    <w:rsid w:val="004806FD"/>
    <w:rsid w:val="00481434"/>
    <w:rsid w:val="00482BAC"/>
    <w:rsid w:val="00482E02"/>
    <w:rsid w:val="00483933"/>
    <w:rsid w:val="004839EC"/>
    <w:rsid w:val="00486F5B"/>
    <w:rsid w:val="004873AE"/>
    <w:rsid w:val="00487C46"/>
    <w:rsid w:val="00494025"/>
    <w:rsid w:val="0049413D"/>
    <w:rsid w:val="004948AA"/>
    <w:rsid w:val="00494E8D"/>
    <w:rsid w:val="00494F8E"/>
    <w:rsid w:val="00496B10"/>
    <w:rsid w:val="0049750E"/>
    <w:rsid w:val="004A29B4"/>
    <w:rsid w:val="004A478E"/>
    <w:rsid w:val="004A4AE2"/>
    <w:rsid w:val="004A5B16"/>
    <w:rsid w:val="004A7882"/>
    <w:rsid w:val="004A7C0D"/>
    <w:rsid w:val="004B043E"/>
    <w:rsid w:val="004B3284"/>
    <w:rsid w:val="004C0F42"/>
    <w:rsid w:val="004C39F9"/>
    <w:rsid w:val="004C52D6"/>
    <w:rsid w:val="004C6C1B"/>
    <w:rsid w:val="004C77BD"/>
    <w:rsid w:val="004D09F0"/>
    <w:rsid w:val="004D1DF9"/>
    <w:rsid w:val="004D4F9F"/>
    <w:rsid w:val="004D5732"/>
    <w:rsid w:val="004D5877"/>
    <w:rsid w:val="004D6907"/>
    <w:rsid w:val="004E0C9D"/>
    <w:rsid w:val="004E2C19"/>
    <w:rsid w:val="004E3E72"/>
    <w:rsid w:val="004E67CC"/>
    <w:rsid w:val="004E747D"/>
    <w:rsid w:val="004F0341"/>
    <w:rsid w:val="004F1271"/>
    <w:rsid w:val="004F259A"/>
    <w:rsid w:val="004F306F"/>
    <w:rsid w:val="004F349D"/>
    <w:rsid w:val="004F56C5"/>
    <w:rsid w:val="004F581E"/>
    <w:rsid w:val="004F655D"/>
    <w:rsid w:val="004F73E2"/>
    <w:rsid w:val="004F7CA1"/>
    <w:rsid w:val="00501E79"/>
    <w:rsid w:val="0050219A"/>
    <w:rsid w:val="0050225C"/>
    <w:rsid w:val="00502E5F"/>
    <w:rsid w:val="00507444"/>
    <w:rsid w:val="0051090C"/>
    <w:rsid w:val="005120F4"/>
    <w:rsid w:val="00513085"/>
    <w:rsid w:val="005136C2"/>
    <w:rsid w:val="005142EB"/>
    <w:rsid w:val="005148B0"/>
    <w:rsid w:val="005158B4"/>
    <w:rsid w:val="0051646E"/>
    <w:rsid w:val="00522324"/>
    <w:rsid w:val="005232B6"/>
    <w:rsid w:val="005250C2"/>
    <w:rsid w:val="00525691"/>
    <w:rsid w:val="005261BE"/>
    <w:rsid w:val="005269B2"/>
    <w:rsid w:val="00530182"/>
    <w:rsid w:val="00532B5A"/>
    <w:rsid w:val="005330D9"/>
    <w:rsid w:val="00534BBE"/>
    <w:rsid w:val="00535C63"/>
    <w:rsid w:val="00537345"/>
    <w:rsid w:val="005379EC"/>
    <w:rsid w:val="0054006A"/>
    <w:rsid w:val="00540449"/>
    <w:rsid w:val="00540C95"/>
    <w:rsid w:val="00540E46"/>
    <w:rsid w:val="00544AA8"/>
    <w:rsid w:val="005467D7"/>
    <w:rsid w:val="005469EF"/>
    <w:rsid w:val="005502D4"/>
    <w:rsid w:val="00551F26"/>
    <w:rsid w:val="00552DB1"/>
    <w:rsid w:val="00553BA7"/>
    <w:rsid w:val="00553E98"/>
    <w:rsid w:val="005543E4"/>
    <w:rsid w:val="00554C5B"/>
    <w:rsid w:val="00555399"/>
    <w:rsid w:val="0055610D"/>
    <w:rsid w:val="00556FF2"/>
    <w:rsid w:val="0055747A"/>
    <w:rsid w:val="005577FF"/>
    <w:rsid w:val="005606EF"/>
    <w:rsid w:val="00562FE3"/>
    <w:rsid w:val="00563672"/>
    <w:rsid w:val="005648C7"/>
    <w:rsid w:val="005669BE"/>
    <w:rsid w:val="005707B0"/>
    <w:rsid w:val="005716D9"/>
    <w:rsid w:val="005720E4"/>
    <w:rsid w:val="00572EC3"/>
    <w:rsid w:val="00573C53"/>
    <w:rsid w:val="005744BE"/>
    <w:rsid w:val="005750B0"/>
    <w:rsid w:val="00575165"/>
    <w:rsid w:val="00576C1A"/>
    <w:rsid w:val="00577106"/>
    <w:rsid w:val="00577A03"/>
    <w:rsid w:val="005802B9"/>
    <w:rsid w:val="00581650"/>
    <w:rsid w:val="00581EC8"/>
    <w:rsid w:val="00582563"/>
    <w:rsid w:val="00582D08"/>
    <w:rsid w:val="00583560"/>
    <w:rsid w:val="00584BBF"/>
    <w:rsid w:val="00585244"/>
    <w:rsid w:val="00587F4A"/>
    <w:rsid w:val="00590EA7"/>
    <w:rsid w:val="005914EB"/>
    <w:rsid w:val="00591DB6"/>
    <w:rsid w:val="00593781"/>
    <w:rsid w:val="00593A38"/>
    <w:rsid w:val="00594621"/>
    <w:rsid w:val="0059530F"/>
    <w:rsid w:val="00596869"/>
    <w:rsid w:val="005A0EE5"/>
    <w:rsid w:val="005A12C3"/>
    <w:rsid w:val="005A2022"/>
    <w:rsid w:val="005A6E27"/>
    <w:rsid w:val="005B167C"/>
    <w:rsid w:val="005B3FAF"/>
    <w:rsid w:val="005B48D4"/>
    <w:rsid w:val="005B4BCD"/>
    <w:rsid w:val="005B5AEC"/>
    <w:rsid w:val="005B61BF"/>
    <w:rsid w:val="005B6411"/>
    <w:rsid w:val="005B65AF"/>
    <w:rsid w:val="005C0B61"/>
    <w:rsid w:val="005C0F0D"/>
    <w:rsid w:val="005C125F"/>
    <w:rsid w:val="005C2A54"/>
    <w:rsid w:val="005C323F"/>
    <w:rsid w:val="005C3479"/>
    <w:rsid w:val="005C560E"/>
    <w:rsid w:val="005C6393"/>
    <w:rsid w:val="005D1F32"/>
    <w:rsid w:val="005D1F89"/>
    <w:rsid w:val="005D562E"/>
    <w:rsid w:val="005D6E28"/>
    <w:rsid w:val="005D74B6"/>
    <w:rsid w:val="005D7DFE"/>
    <w:rsid w:val="005E0E03"/>
    <w:rsid w:val="005E6826"/>
    <w:rsid w:val="005E71D8"/>
    <w:rsid w:val="005E7987"/>
    <w:rsid w:val="005F26A3"/>
    <w:rsid w:val="005F2A88"/>
    <w:rsid w:val="005F304A"/>
    <w:rsid w:val="005F30FC"/>
    <w:rsid w:val="005F4E8E"/>
    <w:rsid w:val="005F5755"/>
    <w:rsid w:val="00600AC8"/>
    <w:rsid w:val="006020D6"/>
    <w:rsid w:val="00602D17"/>
    <w:rsid w:val="0060522F"/>
    <w:rsid w:val="00607FD1"/>
    <w:rsid w:val="00610495"/>
    <w:rsid w:val="006115C1"/>
    <w:rsid w:val="00613B17"/>
    <w:rsid w:val="00615BA9"/>
    <w:rsid w:val="00615D37"/>
    <w:rsid w:val="00617735"/>
    <w:rsid w:val="00617C7D"/>
    <w:rsid w:val="00620444"/>
    <w:rsid w:val="00622576"/>
    <w:rsid w:val="006275AF"/>
    <w:rsid w:val="00630781"/>
    <w:rsid w:val="00630DB0"/>
    <w:rsid w:val="00631C12"/>
    <w:rsid w:val="00632E8F"/>
    <w:rsid w:val="00632F4D"/>
    <w:rsid w:val="00633C1F"/>
    <w:rsid w:val="00633E4B"/>
    <w:rsid w:val="00634F99"/>
    <w:rsid w:val="00635DEA"/>
    <w:rsid w:val="00637385"/>
    <w:rsid w:val="00637A15"/>
    <w:rsid w:val="00640511"/>
    <w:rsid w:val="00640B09"/>
    <w:rsid w:val="00641195"/>
    <w:rsid w:val="0064180C"/>
    <w:rsid w:val="0064579C"/>
    <w:rsid w:val="00645FEF"/>
    <w:rsid w:val="0064656C"/>
    <w:rsid w:val="0064767F"/>
    <w:rsid w:val="00650D4C"/>
    <w:rsid w:val="00652D06"/>
    <w:rsid w:val="00654157"/>
    <w:rsid w:val="00661766"/>
    <w:rsid w:val="006625E1"/>
    <w:rsid w:val="00663C41"/>
    <w:rsid w:val="006645DC"/>
    <w:rsid w:val="00664EC1"/>
    <w:rsid w:val="006664E8"/>
    <w:rsid w:val="00666906"/>
    <w:rsid w:val="0066692D"/>
    <w:rsid w:val="0066770F"/>
    <w:rsid w:val="00670739"/>
    <w:rsid w:val="00671F4E"/>
    <w:rsid w:val="0067275D"/>
    <w:rsid w:val="00673856"/>
    <w:rsid w:val="006762BB"/>
    <w:rsid w:val="0068026D"/>
    <w:rsid w:val="00680CB5"/>
    <w:rsid w:val="00681353"/>
    <w:rsid w:val="0068577D"/>
    <w:rsid w:val="0068652D"/>
    <w:rsid w:val="00686831"/>
    <w:rsid w:val="006909AA"/>
    <w:rsid w:val="00693819"/>
    <w:rsid w:val="00693989"/>
    <w:rsid w:val="00695B41"/>
    <w:rsid w:val="006967FB"/>
    <w:rsid w:val="00697B23"/>
    <w:rsid w:val="006A065C"/>
    <w:rsid w:val="006A1297"/>
    <w:rsid w:val="006A2548"/>
    <w:rsid w:val="006A2B7B"/>
    <w:rsid w:val="006A4EE1"/>
    <w:rsid w:val="006A6DE7"/>
    <w:rsid w:val="006B0274"/>
    <w:rsid w:val="006B2294"/>
    <w:rsid w:val="006B24B4"/>
    <w:rsid w:val="006B6F29"/>
    <w:rsid w:val="006C0D2C"/>
    <w:rsid w:val="006C2494"/>
    <w:rsid w:val="006C29F1"/>
    <w:rsid w:val="006C3D46"/>
    <w:rsid w:val="006C4BE8"/>
    <w:rsid w:val="006C53CD"/>
    <w:rsid w:val="006D04A5"/>
    <w:rsid w:val="006D08E4"/>
    <w:rsid w:val="006D3F5B"/>
    <w:rsid w:val="006D6AC7"/>
    <w:rsid w:val="006E0045"/>
    <w:rsid w:val="006E00CA"/>
    <w:rsid w:val="006E0702"/>
    <w:rsid w:val="006E5130"/>
    <w:rsid w:val="006E5D23"/>
    <w:rsid w:val="006E71AD"/>
    <w:rsid w:val="006E75FF"/>
    <w:rsid w:val="006E76BF"/>
    <w:rsid w:val="006F14C7"/>
    <w:rsid w:val="006F31E0"/>
    <w:rsid w:val="006F50DC"/>
    <w:rsid w:val="00700BCC"/>
    <w:rsid w:val="00702243"/>
    <w:rsid w:val="0070406C"/>
    <w:rsid w:val="00705428"/>
    <w:rsid w:val="00705539"/>
    <w:rsid w:val="00705FBC"/>
    <w:rsid w:val="00706798"/>
    <w:rsid w:val="00706ABC"/>
    <w:rsid w:val="0070705F"/>
    <w:rsid w:val="00710117"/>
    <w:rsid w:val="007109C1"/>
    <w:rsid w:val="00710B2D"/>
    <w:rsid w:val="007112E5"/>
    <w:rsid w:val="00711EEE"/>
    <w:rsid w:val="0071218B"/>
    <w:rsid w:val="00713179"/>
    <w:rsid w:val="007174BE"/>
    <w:rsid w:val="00721726"/>
    <w:rsid w:val="007224AF"/>
    <w:rsid w:val="00722B1A"/>
    <w:rsid w:val="007247E4"/>
    <w:rsid w:val="007253BC"/>
    <w:rsid w:val="00725BAA"/>
    <w:rsid w:val="00727CA7"/>
    <w:rsid w:val="00730E3D"/>
    <w:rsid w:val="00730FBF"/>
    <w:rsid w:val="00737571"/>
    <w:rsid w:val="007408A4"/>
    <w:rsid w:val="00741AD7"/>
    <w:rsid w:val="00741F0F"/>
    <w:rsid w:val="00743A85"/>
    <w:rsid w:val="0074465C"/>
    <w:rsid w:val="00744EF6"/>
    <w:rsid w:val="007451CF"/>
    <w:rsid w:val="00745585"/>
    <w:rsid w:val="0074649C"/>
    <w:rsid w:val="00747609"/>
    <w:rsid w:val="00747A56"/>
    <w:rsid w:val="00750242"/>
    <w:rsid w:val="00750882"/>
    <w:rsid w:val="0075227C"/>
    <w:rsid w:val="007536E1"/>
    <w:rsid w:val="00754923"/>
    <w:rsid w:val="00754AA5"/>
    <w:rsid w:val="00754E88"/>
    <w:rsid w:val="00757A23"/>
    <w:rsid w:val="0076076E"/>
    <w:rsid w:val="00761B1D"/>
    <w:rsid w:val="00764365"/>
    <w:rsid w:val="00764E15"/>
    <w:rsid w:val="007678D1"/>
    <w:rsid w:val="0077043B"/>
    <w:rsid w:val="00772186"/>
    <w:rsid w:val="007735CE"/>
    <w:rsid w:val="00774EDB"/>
    <w:rsid w:val="00776F5C"/>
    <w:rsid w:val="00777D77"/>
    <w:rsid w:val="007818E4"/>
    <w:rsid w:val="00782ECC"/>
    <w:rsid w:val="00783B4D"/>
    <w:rsid w:val="007843D0"/>
    <w:rsid w:val="00784B14"/>
    <w:rsid w:val="00785578"/>
    <w:rsid w:val="00787872"/>
    <w:rsid w:val="00790C63"/>
    <w:rsid w:val="007912D5"/>
    <w:rsid w:val="00791FF2"/>
    <w:rsid w:val="00792B2C"/>
    <w:rsid w:val="007955D8"/>
    <w:rsid w:val="00797C72"/>
    <w:rsid w:val="007A3731"/>
    <w:rsid w:val="007A6FED"/>
    <w:rsid w:val="007A72CE"/>
    <w:rsid w:val="007A73B6"/>
    <w:rsid w:val="007B1615"/>
    <w:rsid w:val="007B201A"/>
    <w:rsid w:val="007B295D"/>
    <w:rsid w:val="007B3239"/>
    <w:rsid w:val="007B38F9"/>
    <w:rsid w:val="007B3CDA"/>
    <w:rsid w:val="007B4701"/>
    <w:rsid w:val="007B4840"/>
    <w:rsid w:val="007C0307"/>
    <w:rsid w:val="007C11AE"/>
    <w:rsid w:val="007C1E50"/>
    <w:rsid w:val="007C2C3A"/>
    <w:rsid w:val="007C32A2"/>
    <w:rsid w:val="007C354C"/>
    <w:rsid w:val="007C43D1"/>
    <w:rsid w:val="007C4FCC"/>
    <w:rsid w:val="007C5F19"/>
    <w:rsid w:val="007D1377"/>
    <w:rsid w:val="007D14A8"/>
    <w:rsid w:val="007D2E5E"/>
    <w:rsid w:val="007D412F"/>
    <w:rsid w:val="007D490D"/>
    <w:rsid w:val="007D67E4"/>
    <w:rsid w:val="007D71F2"/>
    <w:rsid w:val="007E0071"/>
    <w:rsid w:val="007E36F7"/>
    <w:rsid w:val="007E578D"/>
    <w:rsid w:val="007E69B7"/>
    <w:rsid w:val="007F102E"/>
    <w:rsid w:val="007F236F"/>
    <w:rsid w:val="007F4146"/>
    <w:rsid w:val="007F51C1"/>
    <w:rsid w:val="007F617A"/>
    <w:rsid w:val="007F6888"/>
    <w:rsid w:val="007F6A51"/>
    <w:rsid w:val="007F7639"/>
    <w:rsid w:val="00803691"/>
    <w:rsid w:val="00804AEF"/>
    <w:rsid w:val="00805FE6"/>
    <w:rsid w:val="008069A1"/>
    <w:rsid w:val="00812403"/>
    <w:rsid w:val="008126DF"/>
    <w:rsid w:val="008132B3"/>
    <w:rsid w:val="00813D29"/>
    <w:rsid w:val="0081489F"/>
    <w:rsid w:val="0081527D"/>
    <w:rsid w:val="008156AF"/>
    <w:rsid w:val="00817DD2"/>
    <w:rsid w:val="0082016C"/>
    <w:rsid w:val="0082071B"/>
    <w:rsid w:val="00820F37"/>
    <w:rsid w:val="0082206D"/>
    <w:rsid w:val="00822327"/>
    <w:rsid w:val="00823903"/>
    <w:rsid w:val="008259EE"/>
    <w:rsid w:val="00826517"/>
    <w:rsid w:val="00827556"/>
    <w:rsid w:val="00827F37"/>
    <w:rsid w:val="00830C5A"/>
    <w:rsid w:val="00834E73"/>
    <w:rsid w:val="008357E5"/>
    <w:rsid w:val="008403F9"/>
    <w:rsid w:val="00840B25"/>
    <w:rsid w:val="00841740"/>
    <w:rsid w:val="00844BBF"/>
    <w:rsid w:val="00850929"/>
    <w:rsid w:val="00851432"/>
    <w:rsid w:val="00853E8D"/>
    <w:rsid w:val="00856BE0"/>
    <w:rsid w:val="00860015"/>
    <w:rsid w:val="00861415"/>
    <w:rsid w:val="00861DC0"/>
    <w:rsid w:val="00863481"/>
    <w:rsid w:val="00863D97"/>
    <w:rsid w:val="008644B5"/>
    <w:rsid w:val="0086554C"/>
    <w:rsid w:val="00872DBC"/>
    <w:rsid w:val="008759E5"/>
    <w:rsid w:val="00876C03"/>
    <w:rsid w:val="0088036D"/>
    <w:rsid w:val="00884E36"/>
    <w:rsid w:val="0088685D"/>
    <w:rsid w:val="00886B69"/>
    <w:rsid w:val="0088795A"/>
    <w:rsid w:val="00887AD3"/>
    <w:rsid w:val="00890CEF"/>
    <w:rsid w:val="008913D5"/>
    <w:rsid w:val="00897ACA"/>
    <w:rsid w:val="008A0564"/>
    <w:rsid w:val="008A0FA4"/>
    <w:rsid w:val="008A1BFD"/>
    <w:rsid w:val="008A2467"/>
    <w:rsid w:val="008A3C47"/>
    <w:rsid w:val="008A41DC"/>
    <w:rsid w:val="008A4358"/>
    <w:rsid w:val="008A6B17"/>
    <w:rsid w:val="008B08D5"/>
    <w:rsid w:val="008B4801"/>
    <w:rsid w:val="008B52CC"/>
    <w:rsid w:val="008B67DB"/>
    <w:rsid w:val="008C1985"/>
    <w:rsid w:val="008C2C0A"/>
    <w:rsid w:val="008C6974"/>
    <w:rsid w:val="008D085C"/>
    <w:rsid w:val="008D17BA"/>
    <w:rsid w:val="008D25C4"/>
    <w:rsid w:val="008D3F57"/>
    <w:rsid w:val="008D43C2"/>
    <w:rsid w:val="008D446D"/>
    <w:rsid w:val="008D578E"/>
    <w:rsid w:val="008D77B1"/>
    <w:rsid w:val="008E0F3E"/>
    <w:rsid w:val="008E1751"/>
    <w:rsid w:val="008E189D"/>
    <w:rsid w:val="008E362E"/>
    <w:rsid w:val="008E5151"/>
    <w:rsid w:val="008F04F0"/>
    <w:rsid w:val="008F09D7"/>
    <w:rsid w:val="008F206C"/>
    <w:rsid w:val="008F3358"/>
    <w:rsid w:val="008F3A64"/>
    <w:rsid w:val="008F3D9C"/>
    <w:rsid w:val="008F5C7A"/>
    <w:rsid w:val="008F6B23"/>
    <w:rsid w:val="009028AD"/>
    <w:rsid w:val="009030B1"/>
    <w:rsid w:val="00903303"/>
    <w:rsid w:val="0090646F"/>
    <w:rsid w:val="00906B6F"/>
    <w:rsid w:val="00910499"/>
    <w:rsid w:val="00911132"/>
    <w:rsid w:val="0091438B"/>
    <w:rsid w:val="00914579"/>
    <w:rsid w:val="00921A53"/>
    <w:rsid w:val="00922922"/>
    <w:rsid w:val="00925537"/>
    <w:rsid w:val="00925646"/>
    <w:rsid w:val="00926491"/>
    <w:rsid w:val="00926DEB"/>
    <w:rsid w:val="00930720"/>
    <w:rsid w:val="00931087"/>
    <w:rsid w:val="00931ACD"/>
    <w:rsid w:val="0093449C"/>
    <w:rsid w:val="009344A2"/>
    <w:rsid w:val="00935624"/>
    <w:rsid w:val="00937748"/>
    <w:rsid w:val="00937B97"/>
    <w:rsid w:val="00940AAF"/>
    <w:rsid w:val="00943EEE"/>
    <w:rsid w:val="00944531"/>
    <w:rsid w:val="0094646F"/>
    <w:rsid w:val="00951D4D"/>
    <w:rsid w:val="00953477"/>
    <w:rsid w:val="00953DD4"/>
    <w:rsid w:val="00955A71"/>
    <w:rsid w:val="00956587"/>
    <w:rsid w:val="009622A7"/>
    <w:rsid w:val="00962F23"/>
    <w:rsid w:val="00964525"/>
    <w:rsid w:val="0096560B"/>
    <w:rsid w:val="00965749"/>
    <w:rsid w:val="00965A1A"/>
    <w:rsid w:val="00966166"/>
    <w:rsid w:val="009661FB"/>
    <w:rsid w:val="00966420"/>
    <w:rsid w:val="00966E8B"/>
    <w:rsid w:val="00967CC0"/>
    <w:rsid w:val="00967E10"/>
    <w:rsid w:val="00971150"/>
    <w:rsid w:val="009713F1"/>
    <w:rsid w:val="00972540"/>
    <w:rsid w:val="009729B2"/>
    <w:rsid w:val="0097418A"/>
    <w:rsid w:val="00981789"/>
    <w:rsid w:val="00984906"/>
    <w:rsid w:val="00987728"/>
    <w:rsid w:val="00987DBA"/>
    <w:rsid w:val="009905EF"/>
    <w:rsid w:val="00992D1D"/>
    <w:rsid w:val="00994F80"/>
    <w:rsid w:val="00995475"/>
    <w:rsid w:val="00996709"/>
    <w:rsid w:val="00996C25"/>
    <w:rsid w:val="009A0C42"/>
    <w:rsid w:val="009A27CA"/>
    <w:rsid w:val="009A2892"/>
    <w:rsid w:val="009A2D44"/>
    <w:rsid w:val="009A2EC9"/>
    <w:rsid w:val="009A4B67"/>
    <w:rsid w:val="009A56CF"/>
    <w:rsid w:val="009A6BF5"/>
    <w:rsid w:val="009B2C7E"/>
    <w:rsid w:val="009B4867"/>
    <w:rsid w:val="009B5E41"/>
    <w:rsid w:val="009B7490"/>
    <w:rsid w:val="009C07EC"/>
    <w:rsid w:val="009C2157"/>
    <w:rsid w:val="009C33A9"/>
    <w:rsid w:val="009C3806"/>
    <w:rsid w:val="009C3F97"/>
    <w:rsid w:val="009C4CC1"/>
    <w:rsid w:val="009C5468"/>
    <w:rsid w:val="009C742B"/>
    <w:rsid w:val="009D3847"/>
    <w:rsid w:val="009D39E9"/>
    <w:rsid w:val="009D39F8"/>
    <w:rsid w:val="009D3AAC"/>
    <w:rsid w:val="009D3DF2"/>
    <w:rsid w:val="009D3E11"/>
    <w:rsid w:val="009D5107"/>
    <w:rsid w:val="009D55C8"/>
    <w:rsid w:val="009D773E"/>
    <w:rsid w:val="009E15EC"/>
    <w:rsid w:val="009E1888"/>
    <w:rsid w:val="009E2060"/>
    <w:rsid w:val="009E3547"/>
    <w:rsid w:val="009E57A1"/>
    <w:rsid w:val="009E7CBA"/>
    <w:rsid w:val="009F0B9E"/>
    <w:rsid w:val="009F1240"/>
    <w:rsid w:val="009F4C72"/>
    <w:rsid w:val="009F5E46"/>
    <w:rsid w:val="009F62BC"/>
    <w:rsid w:val="00A0159E"/>
    <w:rsid w:val="00A0267D"/>
    <w:rsid w:val="00A0350F"/>
    <w:rsid w:val="00A03F60"/>
    <w:rsid w:val="00A068B5"/>
    <w:rsid w:val="00A07A5F"/>
    <w:rsid w:val="00A07AB0"/>
    <w:rsid w:val="00A10B8D"/>
    <w:rsid w:val="00A11D22"/>
    <w:rsid w:val="00A136B5"/>
    <w:rsid w:val="00A13FE6"/>
    <w:rsid w:val="00A17094"/>
    <w:rsid w:val="00A1766B"/>
    <w:rsid w:val="00A20931"/>
    <w:rsid w:val="00A21686"/>
    <w:rsid w:val="00A240A6"/>
    <w:rsid w:val="00A24421"/>
    <w:rsid w:val="00A24D9F"/>
    <w:rsid w:val="00A25246"/>
    <w:rsid w:val="00A27535"/>
    <w:rsid w:val="00A31195"/>
    <w:rsid w:val="00A31A7B"/>
    <w:rsid w:val="00A31E02"/>
    <w:rsid w:val="00A32B9E"/>
    <w:rsid w:val="00A34100"/>
    <w:rsid w:val="00A34AA2"/>
    <w:rsid w:val="00A34B83"/>
    <w:rsid w:val="00A36099"/>
    <w:rsid w:val="00A3637F"/>
    <w:rsid w:val="00A42074"/>
    <w:rsid w:val="00A420C7"/>
    <w:rsid w:val="00A42B85"/>
    <w:rsid w:val="00A45B5E"/>
    <w:rsid w:val="00A47858"/>
    <w:rsid w:val="00A506E4"/>
    <w:rsid w:val="00A556B9"/>
    <w:rsid w:val="00A55B7B"/>
    <w:rsid w:val="00A55E4F"/>
    <w:rsid w:val="00A56DF2"/>
    <w:rsid w:val="00A570C3"/>
    <w:rsid w:val="00A616F6"/>
    <w:rsid w:val="00A61890"/>
    <w:rsid w:val="00A6267B"/>
    <w:rsid w:val="00A62A4A"/>
    <w:rsid w:val="00A62E3F"/>
    <w:rsid w:val="00A62F3C"/>
    <w:rsid w:val="00A65C05"/>
    <w:rsid w:val="00A6724E"/>
    <w:rsid w:val="00A67312"/>
    <w:rsid w:val="00A716A4"/>
    <w:rsid w:val="00A717C8"/>
    <w:rsid w:val="00A71876"/>
    <w:rsid w:val="00A72650"/>
    <w:rsid w:val="00A726A8"/>
    <w:rsid w:val="00A7355A"/>
    <w:rsid w:val="00A741E8"/>
    <w:rsid w:val="00A7636D"/>
    <w:rsid w:val="00A77236"/>
    <w:rsid w:val="00A80A96"/>
    <w:rsid w:val="00A82946"/>
    <w:rsid w:val="00A83EED"/>
    <w:rsid w:val="00A86E30"/>
    <w:rsid w:val="00A877A4"/>
    <w:rsid w:val="00A93794"/>
    <w:rsid w:val="00A9385B"/>
    <w:rsid w:val="00A9394E"/>
    <w:rsid w:val="00A94BFC"/>
    <w:rsid w:val="00A9605A"/>
    <w:rsid w:val="00A97A65"/>
    <w:rsid w:val="00AA4B87"/>
    <w:rsid w:val="00AA5318"/>
    <w:rsid w:val="00AA5DB3"/>
    <w:rsid w:val="00AA6680"/>
    <w:rsid w:val="00AA7008"/>
    <w:rsid w:val="00AB01F7"/>
    <w:rsid w:val="00AB0CD5"/>
    <w:rsid w:val="00AB195C"/>
    <w:rsid w:val="00AB2641"/>
    <w:rsid w:val="00AB4F47"/>
    <w:rsid w:val="00AB6256"/>
    <w:rsid w:val="00AB7642"/>
    <w:rsid w:val="00AC1F2E"/>
    <w:rsid w:val="00AC3B26"/>
    <w:rsid w:val="00AC6F90"/>
    <w:rsid w:val="00AD02C5"/>
    <w:rsid w:val="00AD10AA"/>
    <w:rsid w:val="00AD1395"/>
    <w:rsid w:val="00AD27E8"/>
    <w:rsid w:val="00AD28E7"/>
    <w:rsid w:val="00AD39BB"/>
    <w:rsid w:val="00AD3D3A"/>
    <w:rsid w:val="00AD4356"/>
    <w:rsid w:val="00AD537D"/>
    <w:rsid w:val="00AD54FC"/>
    <w:rsid w:val="00AD5E08"/>
    <w:rsid w:val="00AD602D"/>
    <w:rsid w:val="00AD6068"/>
    <w:rsid w:val="00AE13DE"/>
    <w:rsid w:val="00AE4D0F"/>
    <w:rsid w:val="00AE5088"/>
    <w:rsid w:val="00AE5B55"/>
    <w:rsid w:val="00AE5DD0"/>
    <w:rsid w:val="00AE5E27"/>
    <w:rsid w:val="00AE5E6B"/>
    <w:rsid w:val="00AE5F74"/>
    <w:rsid w:val="00AF1594"/>
    <w:rsid w:val="00AF3562"/>
    <w:rsid w:val="00AF5FBB"/>
    <w:rsid w:val="00AF6E1F"/>
    <w:rsid w:val="00B0033A"/>
    <w:rsid w:val="00B00DF3"/>
    <w:rsid w:val="00B012E3"/>
    <w:rsid w:val="00B0273F"/>
    <w:rsid w:val="00B03C6D"/>
    <w:rsid w:val="00B0507A"/>
    <w:rsid w:val="00B0548E"/>
    <w:rsid w:val="00B0593B"/>
    <w:rsid w:val="00B05DDC"/>
    <w:rsid w:val="00B10A6F"/>
    <w:rsid w:val="00B12B91"/>
    <w:rsid w:val="00B13842"/>
    <w:rsid w:val="00B142FE"/>
    <w:rsid w:val="00B16243"/>
    <w:rsid w:val="00B20285"/>
    <w:rsid w:val="00B21FD2"/>
    <w:rsid w:val="00B25DB1"/>
    <w:rsid w:val="00B26451"/>
    <w:rsid w:val="00B26663"/>
    <w:rsid w:val="00B27E76"/>
    <w:rsid w:val="00B3061B"/>
    <w:rsid w:val="00B321BC"/>
    <w:rsid w:val="00B32A59"/>
    <w:rsid w:val="00B33BC6"/>
    <w:rsid w:val="00B369BE"/>
    <w:rsid w:val="00B37EBF"/>
    <w:rsid w:val="00B4028D"/>
    <w:rsid w:val="00B4033D"/>
    <w:rsid w:val="00B40986"/>
    <w:rsid w:val="00B43993"/>
    <w:rsid w:val="00B479FF"/>
    <w:rsid w:val="00B47E10"/>
    <w:rsid w:val="00B55201"/>
    <w:rsid w:val="00B5626E"/>
    <w:rsid w:val="00B570B2"/>
    <w:rsid w:val="00B664BE"/>
    <w:rsid w:val="00B67233"/>
    <w:rsid w:val="00B70665"/>
    <w:rsid w:val="00B73239"/>
    <w:rsid w:val="00B740B3"/>
    <w:rsid w:val="00B755BC"/>
    <w:rsid w:val="00B7748F"/>
    <w:rsid w:val="00B820F1"/>
    <w:rsid w:val="00B82526"/>
    <w:rsid w:val="00B8252C"/>
    <w:rsid w:val="00B83A8F"/>
    <w:rsid w:val="00B848BE"/>
    <w:rsid w:val="00B9124B"/>
    <w:rsid w:val="00B915EE"/>
    <w:rsid w:val="00B939C1"/>
    <w:rsid w:val="00B94517"/>
    <w:rsid w:val="00B964CA"/>
    <w:rsid w:val="00BA3334"/>
    <w:rsid w:val="00BA5B51"/>
    <w:rsid w:val="00BA6396"/>
    <w:rsid w:val="00BB1094"/>
    <w:rsid w:val="00BB1554"/>
    <w:rsid w:val="00BB284B"/>
    <w:rsid w:val="00BB2CA3"/>
    <w:rsid w:val="00BB4897"/>
    <w:rsid w:val="00BB51AE"/>
    <w:rsid w:val="00BB55AA"/>
    <w:rsid w:val="00BB5DF3"/>
    <w:rsid w:val="00BB7559"/>
    <w:rsid w:val="00BC0C39"/>
    <w:rsid w:val="00BC16B1"/>
    <w:rsid w:val="00BC4428"/>
    <w:rsid w:val="00BC48DD"/>
    <w:rsid w:val="00BC48EB"/>
    <w:rsid w:val="00BC4F8F"/>
    <w:rsid w:val="00BC5942"/>
    <w:rsid w:val="00BC7CF9"/>
    <w:rsid w:val="00BD0C4A"/>
    <w:rsid w:val="00BD14DE"/>
    <w:rsid w:val="00BD15BC"/>
    <w:rsid w:val="00BD189F"/>
    <w:rsid w:val="00BD26C3"/>
    <w:rsid w:val="00BD43F1"/>
    <w:rsid w:val="00BD45DE"/>
    <w:rsid w:val="00BD564C"/>
    <w:rsid w:val="00BE163E"/>
    <w:rsid w:val="00BE1D33"/>
    <w:rsid w:val="00BE1D46"/>
    <w:rsid w:val="00BE33CE"/>
    <w:rsid w:val="00BE5227"/>
    <w:rsid w:val="00BE5295"/>
    <w:rsid w:val="00BE6317"/>
    <w:rsid w:val="00BF2979"/>
    <w:rsid w:val="00BF2A20"/>
    <w:rsid w:val="00BF3407"/>
    <w:rsid w:val="00BF3A2C"/>
    <w:rsid w:val="00BF47E1"/>
    <w:rsid w:val="00BF4D8F"/>
    <w:rsid w:val="00BF51C5"/>
    <w:rsid w:val="00BF5885"/>
    <w:rsid w:val="00BF5BB1"/>
    <w:rsid w:val="00BF7ECC"/>
    <w:rsid w:val="00C017A7"/>
    <w:rsid w:val="00C02034"/>
    <w:rsid w:val="00C02548"/>
    <w:rsid w:val="00C06384"/>
    <w:rsid w:val="00C118AE"/>
    <w:rsid w:val="00C11ADF"/>
    <w:rsid w:val="00C125EE"/>
    <w:rsid w:val="00C13412"/>
    <w:rsid w:val="00C15814"/>
    <w:rsid w:val="00C15AB1"/>
    <w:rsid w:val="00C20231"/>
    <w:rsid w:val="00C25E5B"/>
    <w:rsid w:val="00C26ADF"/>
    <w:rsid w:val="00C27732"/>
    <w:rsid w:val="00C27853"/>
    <w:rsid w:val="00C27D2E"/>
    <w:rsid w:val="00C302DE"/>
    <w:rsid w:val="00C30C62"/>
    <w:rsid w:val="00C31D5E"/>
    <w:rsid w:val="00C33098"/>
    <w:rsid w:val="00C3399B"/>
    <w:rsid w:val="00C36464"/>
    <w:rsid w:val="00C37FE8"/>
    <w:rsid w:val="00C43FC0"/>
    <w:rsid w:val="00C45A5A"/>
    <w:rsid w:val="00C467E6"/>
    <w:rsid w:val="00C46BF2"/>
    <w:rsid w:val="00C50189"/>
    <w:rsid w:val="00C510DB"/>
    <w:rsid w:val="00C51EF2"/>
    <w:rsid w:val="00C55746"/>
    <w:rsid w:val="00C566E7"/>
    <w:rsid w:val="00C56C8F"/>
    <w:rsid w:val="00C6016A"/>
    <w:rsid w:val="00C6145C"/>
    <w:rsid w:val="00C614BC"/>
    <w:rsid w:val="00C61FCB"/>
    <w:rsid w:val="00C62B4A"/>
    <w:rsid w:val="00C6374F"/>
    <w:rsid w:val="00C6406D"/>
    <w:rsid w:val="00C6422E"/>
    <w:rsid w:val="00C7083D"/>
    <w:rsid w:val="00C70B77"/>
    <w:rsid w:val="00C71955"/>
    <w:rsid w:val="00C71BB6"/>
    <w:rsid w:val="00C7320A"/>
    <w:rsid w:val="00C736EE"/>
    <w:rsid w:val="00C73BA6"/>
    <w:rsid w:val="00C73D0A"/>
    <w:rsid w:val="00C77EA7"/>
    <w:rsid w:val="00C77F5C"/>
    <w:rsid w:val="00C81DB9"/>
    <w:rsid w:val="00C835AA"/>
    <w:rsid w:val="00C8369B"/>
    <w:rsid w:val="00C850AA"/>
    <w:rsid w:val="00C864F4"/>
    <w:rsid w:val="00C90338"/>
    <w:rsid w:val="00C905D9"/>
    <w:rsid w:val="00C90B8A"/>
    <w:rsid w:val="00C90D76"/>
    <w:rsid w:val="00C91387"/>
    <w:rsid w:val="00C9290A"/>
    <w:rsid w:val="00C92BDD"/>
    <w:rsid w:val="00C92D14"/>
    <w:rsid w:val="00C93480"/>
    <w:rsid w:val="00C94CC9"/>
    <w:rsid w:val="00C96462"/>
    <w:rsid w:val="00CA02E9"/>
    <w:rsid w:val="00CA1D66"/>
    <w:rsid w:val="00CA2A28"/>
    <w:rsid w:val="00CA5259"/>
    <w:rsid w:val="00CA5592"/>
    <w:rsid w:val="00CA5F15"/>
    <w:rsid w:val="00CA738A"/>
    <w:rsid w:val="00CA7898"/>
    <w:rsid w:val="00CB290B"/>
    <w:rsid w:val="00CB42D6"/>
    <w:rsid w:val="00CB5B8B"/>
    <w:rsid w:val="00CB689B"/>
    <w:rsid w:val="00CB7E17"/>
    <w:rsid w:val="00CC050A"/>
    <w:rsid w:val="00CC1422"/>
    <w:rsid w:val="00CC14C8"/>
    <w:rsid w:val="00CC15A8"/>
    <w:rsid w:val="00CC21E3"/>
    <w:rsid w:val="00CC32E0"/>
    <w:rsid w:val="00CC6EF2"/>
    <w:rsid w:val="00CD03B2"/>
    <w:rsid w:val="00CD05A3"/>
    <w:rsid w:val="00CD264F"/>
    <w:rsid w:val="00CD36E3"/>
    <w:rsid w:val="00CD4FD1"/>
    <w:rsid w:val="00CD5F71"/>
    <w:rsid w:val="00CD665E"/>
    <w:rsid w:val="00CD71D5"/>
    <w:rsid w:val="00CD7942"/>
    <w:rsid w:val="00CE1105"/>
    <w:rsid w:val="00CE2475"/>
    <w:rsid w:val="00CE2B66"/>
    <w:rsid w:val="00CE2DDA"/>
    <w:rsid w:val="00CE3DAE"/>
    <w:rsid w:val="00CE4DD3"/>
    <w:rsid w:val="00CE76AB"/>
    <w:rsid w:val="00CF2849"/>
    <w:rsid w:val="00CF32D4"/>
    <w:rsid w:val="00CF454F"/>
    <w:rsid w:val="00CF55DD"/>
    <w:rsid w:val="00CF63C3"/>
    <w:rsid w:val="00CF6C2A"/>
    <w:rsid w:val="00D00B2E"/>
    <w:rsid w:val="00D0297D"/>
    <w:rsid w:val="00D03D98"/>
    <w:rsid w:val="00D05BB5"/>
    <w:rsid w:val="00D05BBF"/>
    <w:rsid w:val="00D0618C"/>
    <w:rsid w:val="00D06700"/>
    <w:rsid w:val="00D07BC3"/>
    <w:rsid w:val="00D104DF"/>
    <w:rsid w:val="00D10A20"/>
    <w:rsid w:val="00D12776"/>
    <w:rsid w:val="00D14617"/>
    <w:rsid w:val="00D150C3"/>
    <w:rsid w:val="00D154C1"/>
    <w:rsid w:val="00D16390"/>
    <w:rsid w:val="00D1658F"/>
    <w:rsid w:val="00D16F37"/>
    <w:rsid w:val="00D21384"/>
    <w:rsid w:val="00D2226D"/>
    <w:rsid w:val="00D25D43"/>
    <w:rsid w:val="00D26EFD"/>
    <w:rsid w:val="00D27AC1"/>
    <w:rsid w:val="00D310F3"/>
    <w:rsid w:val="00D32078"/>
    <w:rsid w:val="00D328DD"/>
    <w:rsid w:val="00D32A00"/>
    <w:rsid w:val="00D33332"/>
    <w:rsid w:val="00D33B10"/>
    <w:rsid w:val="00D340E2"/>
    <w:rsid w:val="00D34FF7"/>
    <w:rsid w:val="00D35C05"/>
    <w:rsid w:val="00D37BDB"/>
    <w:rsid w:val="00D41AEB"/>
    <w:rsid w:val="00D41BDE"/>
    <w:rsid w:val="00D42DA2"/>
    <w:rsid w:val="00D4358B"/>
    <w:rsid w:val="00D4432A"/>
    <w:rsid w:val="00D45493"/>
    <w:rsid w:val="00D45F8A"/>
    <w:rsid w:val="00D47D24"/>
    <w:rsid w:val="00D511F9"/>
    <w:rsid w:val="00D53141"/>
    <w:rsid w:val="00D536FD"/>
    <w:rsid w:val="00D55B6C"/>
    <w:rsid w:val="00D561DD"/>
    <w:rsid w:val="00D56767"/>
    <w:rsid w:val="00D57424"/>
    <w:rsid w:val="00D57755"/>
    <w:rsid w:val="00D634B0"/>
    <w:rsid w:val="00D64090"/>
    <w:rsid w:val="00D64236"/>
    <w:rsid w:val="00D65CBC"/>
    <w:rsid w:val="00D66BFE"/>
    <w:rsid w:val="00D7382F"/>
    <w:rsid w:val="00D742D9"/>
    <w:rsid w:val="00D74B07"/>
    <w:rsid w:val="00D7593E"/>
    <w:rsid w:val="00D762B6"/>
    <w:rsid w:val="00D763AE"/>
    <w:rsid w:val="00D77B19"/>
    <w:rsid w:val="00D77BB4"/>
    <w:rsid w:val="00D77FE1"/>
    <w:rsid w:val="00D8158F"/>
    <w:rsid w:val="00D824EC"/>
    <w:rsid w:val="00D83450"/>
    <w:rsid w:val="00D8381C"/>
    <w:rsid w:val="00D850C2"/>
    <w:rsid w:val="00D851AB"/>
    <w:rsid w:val="00D8545A"/>
    <w:rsid w:val="00D85680"/>
    <w:rsid w:val="00D85842"/>
    <w:rsid w:val="00D86633"/>
    <w:rsid w:val="00D86BBA"/>
    <w:rsid w:val="00D870CF"/>
    <w:rsid w:val="00D8740A"/>
    <w:rsid w:val="00D87A89"/>
    <w:rsid w:val="00D92899"/>
    <w:rsid w:val="00D9295D"/>
    <w:rsid w:val="00D92E14"/>
    <w:rsid w:val="00D93722"/>
    <w:rsid w:val="00D96B93"/>
    <w:rsid w:val="00D972E3"/>
    <w:rsid w:val="00DA09B0"/>
    <w:rsid w:val="00DA1158"/>
    <w:rsid w:val="00DA22B1"/>
    <w:rsid w:val="00DA336B"/>
    <w:rsid w:val="00DA494A"/>
    <w:rsid w:val="00DB0A73"/>
    <w:rsid w:val="00DB0E2A"/>
    <w:rsid w:val="00DB44B1"/>
    <w:rsid w:val="00DB67AE"/>
    <w:rsid w:val="00DB6E09"/>
    <w:rsid w:val="00DB76F1"/>
    <w:rsid w:val="00DC23E3"/>
    <w:rsid w:val="00DC2C5E"/>
    <w:rsid w:val="00DC2EE0"/>
    <w:rsid w:val="00DC553C"/>
    <w:rsid w:val="00DC6063"/>
    <w:rsid w:val="00DC724D"/>
    <w:rsid w:val="00DC7D3C"/>
    <w:rsid w:val="00DD0213"/>
    <w:rsid w:val="00DD0425"/>
    <w:rsid w:val="00DD2C7F"/>
    <w:rsid w:val="00DD30CE"/>
    <w:rsid w:val="00DD43C6"/>
    <w:rsid w:val="00DD4ADE"/>
    <w:rsid w:val="00DD70E3"/>
    <w:rsid w:val="00DE140D"/>
    <w:rsid w:val="00DF098F"/>
    <w:rsid w:val="00DF0DDB"/>
    <w:rsid w:val="00DF1324"/>
    <w:rsid w:val="00DF228D"/>
    <w:rsid w:val="00DF4761"/>
    <w:rsid w:val="00DF524B"/>
    <w:rsid w:val="00DF5800"/>
    <w:rsid w:val="00DF5A11"/>
    <w:rsid w:val="00DF729A"/>
    <w:rsid w:val="00E00BFB"/>
    <w:rsid w:val="00E0280F"/>
    <w:rsid w:val="00E03205"/>
    <w:rsid w:val="00E04E3E"/>
    <w:rsid w:val="00E05529"/>
    <w:rsid w:val="00E05B14"/>
    <w:rsid w:val="00E06AC9"/>
    <w:rsid w:val="00E1007E"/>
    <w:rsid w:val="00E11659"/>
    <w:rsid w:val="00E11E5B"/>
    <w:rsid w:val="00E127CA"/>
    <w:rsid w:val="00E1492B"/>
    <w:rsid w:val="00E154F6"/>
    <w:rsid w:val="00E1551F"/>
    <w:rsid w:val="00E167D9"/>
    <w:rsid w:val="00E16C5B"/>
    <w:rsid w:val="00E20C29"/>
    <w:rsid w:val="00E23543"/>
    <w:rsid w:val="00E2570A"/>
    <w:rsid w:val="00E2775B"/>
    <w:rsid w:val="00E30726"/>
    <w:rsid w:val="00E311D7"/>
    <w:rsid w:val="00E3230A"/>
    <w:rsid w:val="00E3478D"/>
    <w:rsid w:val="00E361BB"/>
    <w:rsid w:val="00E40201"/>
    <w:rsid w:val="00E436A9"/>
    <w:rsid w:val="00E45096"/>
    <w:rsid w:val="00E523F5"/>
    <w:rsid w:val="00E6038C"/>
    <w:rsid w:val="00E6222A"/>
    <w:rsid w:val="00E6599E"/>
    <w:rsid w:val="00E70AD2"/>
    <w:rsid w:val="00E70BBB"/>
    <w:rsid w:val="00E71360"/>
    <w:rsid w:val="00E71609"/>
    <w:rsid w:val="00E71F93"/>
    <w:rsid w:val="00E71FB7"/>
    <w:rsid w:val="00E72E18"/>
    <w:rsid w:val="00E7576F"/>
    <w:rsid w:val="00E75E46"/>
    <w:rsid w:val="00E771CE"/>
    <w:rsid w:val="00E774D3"/>
    <w:rsid w:val="00E822E5"/>
    <w:rsid w:val="00E838F4"/>
    <w:rsid w:val="00E83E08"/>
    <w:rsid w:val="00E86F70"/>
    <w:rsid w:val="00E8765B"/>
    <w:rsid w:val="00E87F48"/>
    <w:rsid w:val="00E917E0"/>
    <w:rsid w:val="00E921C6"/>
    <w:rsid w:val="00E92404"/>
    <w:rsid w:val="00E94190"/>
    <w:rsid w:val="00E9482D"/>
    <w:rsid w:val="00E951C0"/>
    <w:rsid w:val="00E95FCD"/>
    <w:rsid w:val="00E96350"/>
    <w:rsid w:val="00EA49B0"/>
    <w:rsid w:val="00EA5B57"/>
    <w:rsid w:val="00EA5DF0"/>
    <w:rsid w:val="00EB1CC8"/>
    <w:rsid w:val="00EB3DAB"/>
    <w:rsid w:val="00EB532E"/>
    <w:rsid w:val="00EC12B6"/>
    <w:rsid w:val="00EC40BF"/>
    <w:rsid w:val="00EC49BF"/>
    <w:rsid w:val="00EC5B8E"/>
    <w:rsid w:val="00EC6311"/>
    <w:rsid w:val="00EC792E"/>
    <w:rsid w:val="00EC7CBF"/>
    <w:rsid w:val="00ED28DB"/>
    <w:rsid w:val="00ED3186"/>
    <w:rsid w:val="00ED3541"/>
    <w:rsid w:val="00ED40E7"/>
    <w:rsid w:val="00ED57FD"/>
    <w:rsid w:val="00EE14E2"/>
    <w:rsid w:val="00EE3473"/>
    <w:rsid w:val="00EE35B2"/>
    <w:rsid w:val="00EE3A76"/>
    <w:rsid w:val="00EE653C"/>
    <w:rsid w:val="00EE7C1F"/>
    <w:rsid w:val="00EF2785"/>
    <w:rsid w:val="00EF3BF2"/>
    <w:rsid w:val="00EF69BE"/>
    <w:rsid w:val="00EF6B47"/>
    <w:rsid w:val="00EF7231"/>
    <w:rsid w:val="00F0166E"/>
    <w:rsid w:val="00F027B7"/>
    <w:rsid w:val="00F0405E"/>
    <w:rsid w:val="00F04A1A"/>
    <w:rsid w:val="00F06285"/>
    <w:rsid w:val="00F06BA9"/>
    <w:rsid w:val="00F06DFD"/>
    <w:rsid w:val="00F07119"/>
    <w:rsid w:val="00F075FE"/>
    <w:rsid w:val="00F1000F"/>
    <w:rsid w:val="00F13646"/>
    <w:rsid w:val="00F15384"/>
    <w:rsid w:val="00F15430"/>
    <w:rsid w:val="00F159F6"/>
    <w:rsid w:val="00F179C4"/>
    <w:rsid w:val="00F17A15"/>
    <w:rsid w:val="00F212CD"/>
    <w:rsid w:val="00F21610"/>
    <w:rsid w:val="00F21894"/>
    <w:rsid w:val="00F22353"/>
    <w:rsid w:val="00F264B5"/>
    <w:rsid w:val="00F3051D"/>
    <w:rsid w:val="00F32FB4"/>
    <w:rsid w:val="00F33E58"/>
    <w:rsid w:val="00F34435"/>
    <w:rsid w:val="00F3478B"/>
    <w:rsid w:val="00F36779"/>
    <w:rsid w:val="00F438BC"/>
    <w:rsid w:val="00F46843"/>
    <w:rsid w:val="00F46856"/>
    <w:rsid w:val="00F55899"/>
    <w:rsid w:val="00F55D9D"/>
    <w:rsid w:val="00F57B48"/>
    <w:rsid w:val="00F57E46"/>
    <w:rsid w:val="00F57FF7"/>
    <w:rsid w:val="00F60A92"/>
    <w:rsid w:val="00F62E99"/>
    <w:rsid w:val="00F65173"/>
    <w:rsid w:val="00F65B36"/>
    <w:rsid w:val="00F67D59"/>
    <w:rsid w:val="00F719AA"/>
    <w:rsid w:val="00F72B91"/>
    <w:rsid w:val="00F741FC"/>
    <w:rsid w:val="00F746AD"/>
    <w:rsid w:val="00F7603C"/>
    <w:rsid w:val="00F77EFA"/>
    <w:rsid w:val="00F802C1"/>
    <w:rsid w:val="00F8160D"/>
    <w:rsid w:val="00F82676"/>
    <w:rsid w:val="00F8495F"/>
    <w:rsid w:val="00F9219E"/>
    <w:rsid w:val="00F93B35"/>
    <w:rsid w:val="00F94F7D"/>
    <w:rsid w:val="00F96A13"/>
    <w:rsid w:val="00F96DEB"/>
    <w:rsid w:val="00F970BE"/>
    <w:rsid w:val="00F973A0"/>
    <w:rsid w:val="00FA010A"/>
    <w:rsid w:val="00FA0FCF"/>
    <w:rsid w:val="00FA182A"/>
    <w:rsid w:val="00FA23B0"/>
    <w:rsid w:val="00FA290D"/>
    <w:rsid w:val="00FA393E"/>
    <w:rsid w:val="00FA39E4"/>
    <w:rsid w:val="00FA4905"/>
    <w:rsid w:val="00FA7007"/>
    <w:rsid w:val="00FA77F5"/>
    <w:rsid w:val="00FB02FD"/>
    <w:rsid w:val="00FB22FC"/>
    <w:rsid w:val="00FB2F4C"/>
    <w:rsid w:val="00FB327A"/>
    <w:rsid w:val="00FB5989"/>
    <w:rsid w:val="00FB728F"/>
    <w:rsid w:val="00FC14D4"/>
    <w:rsid w:val="00FC383E"/>
    <w:rsid w:val="00FC3CC7"/>
    <w:rsid w:val="00FC3F92"/>
    <w:rsid w:val="00FC7FFB"/>
    <w:rsid w:val="00FD02BF"/>
    <w:rsid w:val="00FD0A97"/>
    <w:rsid w:val="00FD0B5D"/>
    <w:rsid w:val="00FD177B"/>
    <w:rsid w:val="00FD5C35"/>
    <w:rsid w:val="00FD699A"/>
    <w:rsid w:val="00FD6DA4"/>
    <w:rsid w:val="00FE2CF9"/>
    <w:rsid w:val="00FE2D4A"/>
    <w:rsid w:val="00FE43CF"/>
    <w:rsid w:val="00FE624B"/>
    <w:rsid w:val="00FF793A"/>
    <w:rsid w:val="011A52DC"/>
    <w:rsid w:val="0148618E"/>
    <w:rsid w:val="01EF572E"/>
    <w:rsid w:val="02922C89"/>
    <w:rsid w:val="02B369B0"/>
    <w:rsid w:val="02C91AF7"/>
    <w:rsid w:val="03965E35"/>
    <w:rsid w:val="03D942D2"/>
    <w:rsid w:val="04357D05"/>
    <w:rsid w:val="04F44E03"/>
    <w:rsid w:val="050B6D23"/>
    <w:rsid w:val="05D24F9A"/>
    <w:rsid w:val="0616772D"/>
    <w:rsid w:val="064211ED"/>
    <w:rsid w:val="06F200CA"/>
    <w:rsid w:val="07097292"/>
    <w:rsid w:val="070E6657"/>
    <w:rsid w:val="072D11D3"/>
    <w:rsid w:val="083243C8"/>
    <w:rsid w:val="08AD000F"/>
    <w:rsid w:val="08BC754A"/>
    <w:rsid w:val="08C72F61"/>
    <w:rsid w:val="08DF64FD"/>
    <w:rsid w:val="09093579"/>
    <w:rsid w:val="09784B65"/>
    <w:rsid w:val="0983585A"/>
    <w:rsid w:val="09AF4121"/>
    <w:rsid w:val="09E15AC5"/>
    <w:rsid w:val="0AD55A2E"/>
    <w:rsid w:val="0B5E4A42"/>
    <w:rsid w:val="0BF51D33"/>
    <w:rsid w:val="0C006EB6"/>
    <w:rsid w:val="0C1049D2"/>
    <w:rsid w:val="0C2F655A"/>
    <w:rsid w:val="0C4B61B7"/>
    <w:rsid w:val="0C833643"/>
    <w:rsid w:val="0C8A569C"/>
    <w:rsid w:val="0CC954FA"/>
    <w:rsid w:val="0D175CE4"/>
    <w:rsid w:val="0D3A3030"/>
    <w:rsid w:val="0D9D0734"/>
    <w:rsid w:val="0DAE2BEC"/>
    <w:rsid w:val="0E13118B"/>
    <w:rsid w:val="0E1C78AB"/>
    <w:rsid w:val="0E574D87"/>
    <w:rsid w:val="0E772D33"/>
    <w:rsid w:val="0EA43970"/>
    <w:rsid w:val="0EA70AE5"/>
    <w:rsid w:val="0EA710EF"/>
    <w:rsid w:val="0ED232DE"/>
    <w:rsid w:val="0F4D73DE"/>
    <w:rsid w:val="0F956BB3"/>
    <w:rsid w:val="0FAF74CA"/>
    <w:rsid w:val="0FBF2FB7"/>
    <w:rsid w:val="106E3A85"/>
    <w:rsid w:val="10C1473A"/>
    <w:rsid w:val="11034E16"/>
    <w:rsid w:val="11676DD2"/>
    <w:rsid w:val="11FA6155"/>
    <w:rsid w:val="121D4158"/>
    <w:rsid w:val="1255782F"/>
    <w:rsid w:val="12902279"/>
    <w:rsid w:val="133574DA"/>
    <w:rsid w:val="13BA3DEE"/>
    <w:rsid w:val="14513FB8"/>
    <w:rsid w:val="14714917"/>
    <w:rsid w:val="1481490C"/>
    <w:rsid w:val="148C03DE"/>
    <w:rsid w:val="149F165C"/>
    <w:rsid w:val="149F2FE4"/>
    <w:rsid w:val="14C831D3"/>
    <w:rsid w:val="158A77F0"/>
    <w:rsid w:val="15B64A89"/>
    <w:rsid w:val="15D46A1A"/>
    <w:rsid w:val="160C6457"/>
    <w:rsid w:val="16386A6E"/>
    <w:rsid w:val="164D4A3B"/>
    <w:rsid w:val="16F05C47"/>
    <w:rsid w:val="17190604"/>
    <w:rsid w:val="1723614E"/>
    <w:rsid w:val="172B6DB1"/>
    <w:rsid w:val="175B7696"/>
    <w:rsid w:val="17623F24"/>
    <w:rsid w:val="179C6865"/>
    <w:rsid w:val="17E92EF4"/>
    <w:rsid w:val="17FA1BC1"/>
    <w:rsid w:val="17FD4F91"/>
    <w:rsid w:val="1838059A"/>
    <w:rsid w:val="18535FDC"/>
    <w:rsid w:val="18607EB7"/>
    <w:rsid w:val="18C96881"/>
    <w:rsid w:val="192871FB"/>
    <w:rsid w:val="194523AC"/>
    <w:rsid w:val="19505417"/>
    <w:rsid w:val="19C060B2"/>
    <w:rsid w:val="1A5F749D"/>
    <w:rsid w:val="1AA83ACA"/>
    <w:rsid w:val="1AD13FB7"/>
    <w:rsid w:val="1AE17EB2"/>
    <w:rsid w:val="1B4F7C8C"/>
    <w:rsid w:val="1B7E27F3"/>
    <w:rsid w:val="1BFB6841"/>
    <w:rsid w:val="1C0363BD"/>
    <w:rsid w:val="1C077DEC"/>
    <w:rsid w:val="1C151B76"/>
    <w:rsid w:val="1C4F189B"/>
    <w:rsid w:val="1C784846"/>
    <w:rsid w:val="1C832FD9"/>
    <w:rsid w:val="1D216C8C"/>
    <w:rsid w:val="1D2E61D3"/>
    <w:rsid w:val="1D554B87"/>
    <w:rsid w:val="1D743260"/>
    <w:rsid w:val="1DFF1E6A"/>
    <w:rsid w:val="1E7D1D68"/>
    <w:rsid w:val="1E86425F"/>
    <w:rsid w:val="1E9758AC"/>
    <w:rsid w:val="1ED92C1B"/>
    <w:rsid w:val="1F185E1F"/>
    <w:rsid w:val="1F521A61"/>
    <w:rsid w:val="1F73780F"/>
    <w:rsid w:val="1FCF0779"/>
    <w:rsid w:val="20396D4B"/>
    <w:rsid w:val="20711CD8"/>
    <w:rsid w:val="207277FE"/>
    <w:rsid w:val="207500F4"/>
    <w:rsid w:val="20EC6894"/>
    <w:rsid w:val="20F35A9E"/>
    <w:rsid w:val="21442F29"/>
    <w:rsid w:val="21537630"/>
    <w:rsid w:val="224D2B69"/>
    <w:rsid w:val="233D1EA6"/>
    <w:rsid w:val="234731C4"/>
    <w:rsid w:val="235C7D0C"/>
    <w:rsid w:val="236C6787"/>
    <w:rsid w:val="2409256C"/>
    <w:rsid w:val="24575689"/>
    <w:rsid w:val="2469621B"/>
    <w:rsid w:val="24EF141E"/>
    <w:rsid w:val="250E4CBC"/>
    <w:rsid w:val="250F7D12"/>
    <w:rsid w:val="259721E1"/>
    <w:rsid w:val="25A7361D"/>
    <w:rsid w:val="26206977"/>
    <w:rsid w:val="26333CD2"/>
    <w:rsid w:val="26F159B7"/>
    <w:rsid w:val="27473793"/>
    <w:rsid w:val="279F0758"/>
    <w:rsid w:val="27D92B1C"/>
    <w:rsid w:val="27F37169"/>
    <w:rsid w:val="282C4737"/>
    <w:rsid w:val="289730BA"/>
    <w:rsid w:val="28D24ADA"/>
    <w:rsid w:val="290C223E"/>
    <w:rsid w:val="291C2257"/>
    <w:rsid w:val="29256E96"/>
    <w:rsid w:val="297D349C"/>
    <w:rsid w:val="29C275A9"/>
    <w:rsid w:val="2A5C220C"/>
    <w:rsid w:val="2A8D4D62"/>
    <w:rsid w:val="2ABA36EB"/>
    <w:rsid w:val="2ACB6489"/>
    <w:rsid w:val="2B1240B8"/>
    <w:rsid w:val="2B342894"/>
    <w:rsid w:val="2B401E8D"/>
    <w:rsid w:val="2B6951E6"/>
    <w:rsid w:val="2B8E1990"/>
    <w:rsid w:val="2BCF1785"/>
    <w:rsid w:val="2BCF6C22"/>
    <w:rsid w:val="2BE9306B"/>
    <w:rsid w:val="2C2E399E"/>
    <w:rsid w:val="2C332538"/>
    <w:rsid w:val="2CA049C5"/>
    <w:rsid w:val="2D4F5B10"/>
    <w:rsid w:val="2D502C75"/>
    <w:rsid w:val="2D572256"/>
    <w:rsid w:val="2DB651CE"/>
    <w:rsid w:val="2DCA2A28"/>
    <w:rsid w:val="2DDD09AD"/>
    <w:rsid w:val="2E084DFE"/>
    <w:rsid w:val="2E206AEC"/>
    <w:rsid w:val="2E3B56D4"/>
    <w:rsid w:val="2E456552"/>
    <w:rsid w:val="2F044E1C"/>
    <w:rsid w:val="2F3F6162"/>
    <w:rsid w:val="2F776BDF"/>
    <w:rsid w:val="30303B77"/>
    <w:rsid w:val="30377280"/>
    <w:rsid w:val="303D3985"/>
    <w:rsid w:val="30705B08"/>
    <w:rsid w:val="30A47560"/>
    <w:rsid w:val="30A9101A"/>
    <w:rsid w:val="311E4488"/>
    <w:rsid w:val="31203AF7"/>
    <w:rsid w:val="31EC7411"/>
    <w:rsid w:val="32794A1C"/>
    <w:rsid w:val="32C4213C"/>
    <w:rsid w:val="32EC2057"/>
    <w:rsid w:val="32F16C67"/>
    <w:rsid w:val="33C1269F"/>
    <w:rsid w:val="34142C4F"/>
    <w:rsid w:val="34D46CD5"/>
    <w:rsid w:val="351A6043"/>
    <w:rsid w:val="35BF1707"/>
    <w:rsid w:val="35EA2444"/>
    <w:rsid w:val="35F66AB0"/>
    <w:rsid w:val="361F5BEB"/>
    <w:rsid w:val="36714388"/>
    <w:rsid w:val="36A92D3F"/>
    <w:rsid w:val="375720F4"/>
    <w:rsid w:val="38924C06"/>
    <w:rsid w:val="38DE1A7D"/>
    <w:rsid w:val="395A5A35"/>
    <w:rsid w:val="39A14595"/>
    <w:rsid w:val="39CC2A82"/>
    <w:rsid w:val="3A783302"/>
    <w:rsid w:val="3AD04447"/>
    <w:rsid w:val="3B263A9D"/>
    <w:rsid w:val="3B2B37FB"/>
    <w:rsid w:val="3B3662A8"/>
    <w:rsid w:val="3B8C3A2D"/>
    <w:rsid w:val="3BB83EF6"/>
    <w:rsid w:val="3BCB7221"/>
    <w:rsid w:val="3BFF6AF1"/>
    <w:rsid w:val="3C6A5B02"/>
    <w:rsid w:val="3C8965EB"/>
    <w:rsid w:val="3C8E444E"/>
    <w:rsid w:val="3D135C8D"/>
    <w:rsid w:val="3D5357F2"/>
    <w:rsid w:val="3E2D55BB"/>
    <w:rsid w:val="3E812538"/>
    <w:rsid w:val="3EC00240"/>
    <w:rsid w:val="3FCE7FB1"/>
    <w:rsid w:val="3FF87D20"/>
    <w:rsid w:val="402E058A"/>
    <w:rsid w:val="405C1C05"/>
    <w:rsid w:val="40803E2E"/>
    <w:rsid w:val="40AA5894"/>
    <w:rsid w:val="41516629"/>
    <w:rsid w:val="41520BCF"/>
    <w:rsid w:val="415D3E87"/>
    <w:rsid w:val="41906AA3"/>
    <w:rsid w:val="41BB0BAE"/>
    <w:rsid w:val="41CB2592"/>
    <w:rsid w:val="41E970F3"/>
    <w:rsid w:val="42794168"/>
    <w:rsid w:val="428E0070"/>
    <w:rsid w:val="43552C30"/>
    <w:rsid w:val="43C27FD1"/>
    <w:rsid w:val="43C85AEE"/>
    <w:rsid w:val="43F23A58"/>
    <w:rsid w:val="442717C8"/>
    <w:rsid w:val="443E016D"/>
    <w:rsid w:val="44415E48"/>
    <w:rsid w:val="444E4A79"/>
    <w:rsid w:val="44A678F3"/>
    <w:rsid w:val="44DE5603"/>
    <w:rsid w:val="44E53817"/>
    <w:rsid w:val="44FA6A22"/>
    <w:rsid w:val="455A1EFD"/>
    <w:rsid w:val="45790B64"/>
    <w:rsid w:val="457C2D8B"/>
    <w:rsid w:val="45FF375F"/>
    <w:rsid w:val="463F1710"/>
    <w:rsid w:val="46DA3F91"/>
    <w:rsid w:val="46EF578F"/>
    <w:rsid w:val="47220AC2"/>
    <w:rsid w:val="47252A80"/>
    <w:rsid w:val="47AF4D11"/>
    <w:rsid w:val="47C57619"/>
    <w:rsid w:val="47C84024"/>
    <w:rsid w:val="47EF335F"/>
    <w:rsid w:val="482B44DF"/>
    <w:rsid w:val="48334182"/>
    <w:rsid w:val="486A0C38"/>
    <w:rsid w:val="48AA4D31"/>
    <w:rsid w:val="490A126C"/>
    <w:rsid w:val="49317B68"/>
    <w:rsid w:val="495A19E6"/>
    <w:rsid w:val="49706721"/>
    <w:rsid w:val="49801C26"/>
    <w:rsid w:val="498D72D3"/>
    <w:rsid w:val="4A0468A5"/>
    <w:rsid w:val="4AAB52BD"/>
    <w:rsid w:val="4AC31E02"/>
    <w:rsid w:val="4AD06B77"/>
    <w:rsid w:val="4B1E304D"/>
    <w:rsid w:val="4B9A7A86"/>
    <w:rsid w:val="4C1A0830"/>
    <w:rsid w:val="4C60482B"/>
    <w:rsid w:val="4C915048"/>
    <w:rsid w:val="4CD34FFD"/>
    <w:rsid w:val="4CEE1E37"/>
    <w:rsid w:val="4D0F0FCE"/>
    <w:rsid w:val="4DC94652"/>
    <w:rsid w:val="4E365FB1"/>
    <w:rsid w:val="4E6A373F"/>
    <w:rsid w:val="4EBE3A8B"/>
    <w:rsid w:val="4EF85249"/>
    <w:rsid w:val="4F5B4E52"/>
    <w:rsid w:val="4F652159"/>
    <w:rsid w:val="4F7E3039"/>
    <w:rsid w:val="4FA113E3"/>
    <w:rsid w:val="4FD86DCF"/>
    <w:rsid w:val="501D3CF6"/>
    <w:rsid w:val="50623500"/>
    <w:rsid w:val="509A0D48"/>
    <w:rsid w:val="512322CB"/>
    <w:rsid w:val="51331174"/>
    <w:rsid w:val="518C3EDA"/>
    <w:rsid w:val="51C27D36"/>
    <w:rsid w:val="51DE142A"/>
    <w:rsid w:val="51EE28D9"/>
    <w:rsid w:val="520E67ED"/>
    <w:rsid w:val="52E621EA"/>
    <w:rsid w:val="530369D3"/>
    <w:rsid w:val="53962412"/>
    <w:rsid w:val="53AF7E46"/>
    <w:rsid w:val="53B51F37"/>
    <w:rsid w:val="53F341D7"/>
    <w:rsid w:val="55266506"/>
    <w:rsid w:val="556F0E77"/>
    <w:rsid w:val="55F84B33"/>
    <w:rsid w:val="56040230"/>
    <w:rsid w:val="564E1B99"/>
    <w:rsid w:val="56533B87"/>
    <w:rsid w:val="569D042A"/>
    <w:rsid w:val="56A33349"/>
    <w:rsid w:val="56C50FF1"/>
    <w:rsid w:val="56E0115D"/>
    <w:rsid w:val="574865E8"/>
    <w:rsid w:val="576F3679"/>
    <w:rsid w:val="578735B4"/>
    <w:rsid w:val="58013AEE"/>
    <w:rsid w:val="58B54151"/>
    <w:rsid w:val="58F45AF8"/>
    <w:rsid w:val="592D018B"/>
    <w:rsid w:val="59AE2310"/>
    <w:rsid w:val="5A027EB7"/>
    <w:rsid w:val="5A690A56"/>
    <w:rsid w:val="5A7B0469"/>
    <w:rsid w:val="5A8815FF"/>
    <w:rsid w:val="5AB20CAB"/>
    <w:rsid w:val="5ABF4E13"/>
    <w:rsid w:val="5B287E4F"/>
    <w:rsid w:val="5B313966"/>
    <w:rsid w:val="5B645050"/>
    <w:rsid w:val="5BA90D22"/>
    <w:rsid w:val="5BE23F2D"/>
    <w:rsid w:val="5BEF23DA"/>
    <w:rsid w:val="5C133668"/>
    <w:rsid w:val="5C1B076F"/>
    <w:rsid w:val="5C2C472A"/>
    <w:rsid w:val="5C647B82"/>
    <w:rsid w:val="5CD064A5"/>
    <w:rsid w:val="5D1F603D"/>
    <w:rsid w:val="5D731EE5"/>
    <w:rsid w:val="5DB669A1"/>
    <w:rsid w:val="5DF4736A"/>
    <w:rsid w:val="5E9156EC"/>
    <w:rsid w:val="5E9333E0"/>
    <w:rsid w:val="5EA54879"/>
    <w:rsid w:val="5EA657FA"/>
    <w:rsid w:val="5EBF067F"/>
    <w:rsid w:val="5F70492E"/>
    <w:rsid w:val="5FB94CDF"/>
    <w:rsid w:val="5FF160F1"/>
    <w:rsid w:val="608D6FF3"/>
    <w:rsid w:val="61F46FEC"/>
    <w:rsid w:val="61FD3ED8"/>
    <w:rsid w:val="622D2FAA"/>
    <w:rsid w:val="629558F8"/>
    <w:rsid w:val="630E6937"/>
    <w:rsid w:val="63A81A9F"/>
    <w:rsid w:val="63C67212"/>
    <w:rsid w:val="63F07182"/>
    <w:rsid w:val="63FD075A"/>
    <w:rsid w:val="645369A0"/>
    <w:rsid w:val="64772D7F"/>
    <w:rsid w:val="649F2AD9"/>
    <w:rsid w:val="6600182C"/>
    <w:rsid w:val="6612616F"/>
    <w:rsid w:val="66D045C0"/>
    <w:rsid w:val="67114C48"/>
    <w:rsid w:val="678B49FB"/>
    <w:rsid w:val="679715F1"/>
    <w:rsid w:val="68623A2D"/>
    <w:rsid w:val="68996CA3"/>
    <w:rsid w:val="69140A20"/>
    <w:rsid w:val="69766FE4"/>
    <w:rsid w:val="69A73642"/>
    <w:rsid w:val="69B26D1B"/>
    <w:rsid w:val="69BB70ED"/>
    <w:rsid w:val="69F60125"/>
    <w:rsid w:val="6A060785"/>
    <w:rsid w:val="6A221273"/>
    <w:rsid w:val="6A425588"/>
    <w:rsid w:val="6A6652AB"/>
    <w:rsid w:val="6A894B27"/>
    <w:rsid w:val="6AA15C58"/>
    <w:rsid w:val="6B281AAA"/>
    <w:rsid w:val="6B427AC6"/>
    <w:rsid w:val="6BF44EAF"/>
    <w:rsid w:val="6C0B610A"/>
    <w:rsid w:val="6C380117"/>
    <w:rsid w:val="6C7F2654"/>
    <w:rsid w:val="6D6B522D"/>
    <w:rsid w:val="6DCE0390"/>
    <w:rsid w:val="6DD662A4"/>
    <w:rsid w:val="6E031B35"/>
    <w:rsid w:val="6E05302D"/>
    <w:rsid w:val="6E3F44C2"/>
    <w:rsid w:val="6E761849"/>
    <w:rsid w:val="6E87499F"/>
    <w:rsid w:val="6E8E6B7E"/>
    <w:rsid w:val="6E9B4AE8"/>
    <w:rsid w:val="6EB00A58"/>
    <w:rsid w:val="6F575F5D"/>
    <w:rsid w:val="6F857ECA"/>
    <w:rsid w:val="6FAB00BE"/>
    <w:rsid w:val="6FCD1928"/>
    <w:rsid w:val="6FD248BA"/>
    <w:rsid w:val="706D1692"/>
    <w:rsid w:val="70934920"/>
    <w:rsid w:val="7113780F"/>
    <w:rsid w:val="717464FF"/>
    <w:rsid w:val="72225F5B"/>
    <w:rsid w:val="727D7636"/>
    <w:rsid w:val="72A07CF4"/>
    <w:rsid w:val="736E7985"/>
    <w:rsid w:val="73B057E9"/>
    <w:rsid w:val="746611A6"/>
    <w:rsid w:val="75041948"/>
    <w:rsid w:val="755328D0"/>
    <w:rsid w:val="75B2350C"/>
    <w:rsid w:val="762F6E99"/>
    <w:rsid w:val="76856AB9"/>
    <w:rsid w:val="76DD68F5"/>
    <w:rsid w:val="770F2826"/>
    <w:rsid w:val="77367A6F"/>
    <w:rsid w:val="775718F9"/>
    <w:rsid w:val="777036F0"/>
    <w:rsid w:val="777A09B9"/>
    <w:rsid w:val="78000AED"/>
    <w:rsid w:val="784F737E"/>
    <w:rsid w:val="795D3D1D"/>
    <w:rsid w:val="7A440A39"/>
    <w:rsid w:val="7A9E45ED"/>
    <w:rsid w:val="7AD93297"/>
    <w:rsid w:val="7B58479C"/>
    <w:rsid w:val="7B963516"/>
    <w:rsid w:val="7B9E1E63"/>
    <w:rsid w:val="7C6F7FEF"/>
    <w:rsid w:val="7CD24A22"/>
    <w:rsid w:val="7CF34035"/>
    <w:rsid w:val="7D181FBC"/>
    <w:rsid w:val="7D2B7277"/>
    <w:rsid w:val="7D2F3C22"/>
    <w:rsid w:val="7D4D0A26"/>
    <w:rsid w:val="7DAF31EC"/>
    <w:rsid w:val="7DC05674"/>
    <w:rsid w:val="7DFC3B04"/>
    <w:rsid w:val="7E502525"/>
    <w:rsid w:val="7EAA3560"/>
    <w:rsid w:val="7EC42148"/>
    <w:rsid w:val="7EDA5F30"/>
    <w:rsid w:val="7F272E03"/>
    <w:rsid w:val="7F4734A5"/>
    <w:rsid w:val="7F476513"/>
    <w:rsid w:val="7FB0181E"/>
    <w:rsid w:val="7FBD539F"/>
    <w:rsid w:val="7FC66911"/>
    <w:rsid w:val="7FD45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qFormat="1" w:unhideWhenUsed="0"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nhideWhenUsed="0"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43"/>
    <w:autoRedefine/>
    <w:qFormat/>
    <w:uiPriority w:val="0"/>
    <w:pPr>
      <w:keepNext/>
      <w:keepLines/>
      <w:widowControl w:val="0"/>
      <w:spacing w:before="340" w:after="330" w:line="576" w:lineRule="auto"/>
      <w:outlineLvl w:val="0"/>
    </w:pPr>
    <w:rPr>
      <w:b/>
      <w:bCs/>
      <w:kern w:val="44"/>
      <w:sz w:val="44"/>
      <w:szCs w:val="44"/>
    </w:rPr>
  </w:style>
  <w:style w:type="paragraph" w:styleId="3">
    <w:name w:val="heading 2"/>
    <w:basedOn w:val="1"/>
    <w:next w:val="1"/>
    <w:link w:val="44"/>
    <w:autoRedefine/>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4">
    <w:name w:val="heading 3"/>
    <w:basedOn w:val="1"/>
    <w:next w:val="1"/>
    <w:link w:val="45"/>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6"/>
    <w:autoRedefine/>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7"/>
    <w:autoRedefine/>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48"/>
    <w:autoRedefine/>
    <w:unhideWhenUsed/>
    <w:qFormat/>
    <w:uiPriority w:val="0"/>
    <w:pPr>
      <w:keepNext/>
      <w:keepLines/>
      <w:spacing w:before="240" w:after="64" w:line="320" w:lineRule="auto"/>
      <w:outlineLvl w:val="5"/>
    </w:pPr>
    <w:rPr>
      <w:rFonts w:ascii="Cambria" w:hAnsi="Cambria"/>
      <w:b/>
      <w:bCs/>
      <w:sz w:val="24"/>
      <w:szCs w:val="24"/>
    </w:rPr>
  </w:style>
  <w:style w:type="paragraph" w:styleId="8">
    <w:name w:val="heading 9"/>
    <w:basedOn w:val="1"/>
    <w:next w:val="1"/>
    <w:link w:val="49"/>
    <w:autoRedefine/>
    <w:unhideWhenUsed/>
    <w:qFormat/>
    <w:uiPriority w:val="0"/>
    <w:pPr>
      <w:keepNext/>
      <w:keepLines/>
      <w:spacing w:before="240" w:after="64" w:line="320" w:lineRule="auto"/>
      <w:outlineLvl w:val="8"/>
    </w:pPr>
    <w:rPr>
      <w:rFonts w:ascii="Cambria" w:hAnsi="Cambria"/>
      <w:szCs w:val="21"/>
    </w:rPr>
  </w:style>
  <w:style w:type="character" w:default="1" w:styleId="37">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autoRedefine/>
    <w:unhideWhenUsed/>
    <w:qFormat/>
    <w:uiPriority w:val="39"/>
    <w:pPr>
      <w:ind w:left="1260"/>
      <w:jc w:val="left"/>
    </w:pPr>
    <w:rPr>
      <w:rFonts w:ascii="Calibri" w:hAnsi="Calibri" w:cs="Calibri"/>
      <w:sz w:val="18"/>
      <w:szCs w:val="18"/>
    </w:rPr>
  </w:style>
  <w:style w:type="paragraph" w:styleId="10">
    <w:name w:val="envelope address"/>
    <w:basedOn w:val="1"/>
    <w:autoRedefine/>
    <w:semiHidden/>
    <w:qFormat/>
    <w:uiPriority w:val="0"/>
    <w:pPr>
      <w:framePr w:w="7920" w:h="1980" w:hRule="exact" w:hSpace="180" w:wrap="around" w:vAnchor="margin" w:hAnchor="page" w:xAlign="center" w:yAlign="bottom"/>
      <w:widowControl w:val="0"/>
      <w:snapToGrid w:val="0"/>
      <w:ind w:left="100" w:leftChars="1400"/>
    </w:pPr>
    <w:rPr>
      <w:rFonts w:ascii="Arial" w:hAnsi="Arial" w:cs="Arial"/>
      <w:sz w:val="24"/>
      <w:szCs w:val="24"/>
    </w:rPr>
  </w:style>
  <w:style w:type="paragraph" w:styleId="11">
    <w:name w:val="Document Map"/>
    <w:basedOn w:val="1"/>
    <w:link w:val="50"/>
    <w:autoRedefine/>
    <w:unhideWhenUsed/>
    <w:qFormat/>
    <w:uiPriority w:val="0"/>
    <w:rPr>
      <w:rFonts w:ascii="宋体"/>
      <w:sz w:val="18"/>
      <w:szCs w:val="18"/>
    </w:rPr>
  </w:style>
  <w:style w:type="paragraph" w:styleId="12">
    <w:name w:val="annotation text"/>
    <w:basedOn w:val="1"/>
    <w:link w:val="51"/>
    <w:autoRedefine/>
    <w:unhideWhenUsed/>
    <w:qFormat/>
    <w:uiPriority w:val="0"/>
    <w:pPr>
      <w:jc w:val="left"/>
    </w:pPr>
  </w:style>
  <w:style w:type="paragraph" w:styleId="13">
    <w:name w:val="Body Text"/>
    <w:basedOn w:val="1"/>
    <w:link w:val="52"/>
    <w:autoRedefine/>
    <w:unhideWhenUsed/>
    <w:qFormat/>
    <w:uiPriority w:val="0"/>
    <w:pPr>
      <w:spacing w:after="120"/>
    </w:pPr>
  </w:style>
  <w:style w:type="paragraph" w:styleId="14">
    <w:name w:val="Body Text Indent"/>
    <w:basedOn w:val="1"/>
    <w:link w:val="53"/>
    <w:autoRedefine/>
    <w:unhideWhenUsed/>
    <w:qFormat/>
    <w:uiPriority w:val="0"/>
    <w:pPr>
      <w:spacing w:line="360" w:lineRule="auto"/>
      <w:ind w:firstLine="360" w:firstLineChars="150"/>
    </w:pPr>
    <w:rPr>
      <w:sz w:val="24"/>
      <w:szCs w:val="24"/>
    </w:rPr>
  </w:style>
  <w:style w:type="paragraph" w:styleId="15">
    <w:name w:val="toc 5"/>
    <w:basedOn w:val="1"/>
    <w:next w:val="1"/>
    <w:autoRedefine/>
    <w:unhideWhenUsed/>
    <w:qFormat/>
    <w:uiPriority w:val="39"/>
    <w:pPr>
      <w:ind w:left="840"/>
      <w:jc w:val="left"/>
    </w:pPr>
    <w:rPr>
      <w:rFonts w:ascii="Calibri" w:hAnsi="Calibri" w:cs="Calibri"/>
      <w:sz w:val="18"/>
      <w:szCs w:val="18"/>
    </w:rPr>
  </w:style>
  <w:style w:type="paragraph" w:styleId="16">
    <w:name w:val="toc 3"/>
    <w:basedOn w:val="1"/>
    <w:next w:val="1"/>
    <w:autoRedefine/>
    <w:unhideWhenUsed/>
    <w:qFormat/>
    <w:uiPriority w:val="39"/>
    <w:pPr>
      <w:ind w:left="420"/>
      <w:jc w:val="left"/>
    </w:pPr>
    <w:rPr>
      <w:rFonts w:ascii="Calibri" w:hAnsi="Calibri" w:cs="Calibri"/>
      <w:i/>
      <w:iCs/>
      <w:sz w:val="20"/>
    </w:rPr>
  </w:style>
  <w:style w:type="paragraph" w:styleId="17">
    <w:name w:val="Plain Text"/>
    <w:basedOn w:val="1"/>
    <w:link w:val="54"/>
    <w:autoRedefine/>
    <w:unhideWhenUsed/>
    <w:qFormat/>
    <w:uiPriority w:val="0"/>
    <w:pPr>
      <w:widowControl w:val="0"/>
    </w:pPr>
    <w:rPr>
      <w:rFonts w:ascii="宋体" w:hAnsi="Courier New"/>
      <w:kern w:val="0"/>
      <w:sz w:val="20"/>
      <w:szCs w:val="21"/>
    </w:rPr>
  </w:style>
  <w:style w:type="paragraph" w:styleId="18">
    <w:name w:val="toc 8"/>
    <w:basedOn w:val="1"/>
    <w:next w:val="1"/>
    <w:autoRedefine/>
    <w:unhideWhenUsed/>
    <w:qFormat/>
    <w:uiPriority w:val="39"/>
    <w:pPr>
      <w:ind w:left="1470"/>
      <w:jc w:val="left"/>
    </w:pPr>
    <w:rPr>
      <w:rFonts w:ascii="Calibri" w:hAnsi="Calibri" w:cs="Calibri"/>
      <w:sz w:val="18"/>
      <w:szCs w:val="18"/>
    </w:rPr>
  </w:style>
  <w:style w:type="paragraph" w:styleId="19">
    <w:name w:val="Date"/>
    <w:basedOn w:val="1"/>
    <w:next w:val="1"/>
    <w:link w:val="55"/>
    <w:autoRedefine/>
    <w:qFormat/>
    <w:uiPriority w:val="0"/>
    <w:pPr>
      <w:ind w:left="100" w:leftChars="2500"/>
    </w:pPr>
  </w:style>
  <w:style w:type="paragraph" w:styleId="20">
    <w:name w:val="Body Text Indent 2"/>
    <w:basedOn w:val="1"/>
    <w:link w:val="56"/>
    <w:autoRedefine/>
    <w:unhideWhenUsed/>
    <w:qFormat/>
    <w:uiPriority w:val="0"/>
    <w:pPr>
      <w:spacing w:after="120" w:line="480" w:lineRule="auto"/>
      <w:ind w:left="420" w:leftChars="200"/>
    </w:pPr>
  </w:style>
  <w:style w:type="paragraph" w:styleId="21">
    <w:name w:val="Balloon Text"/>
    <w:basedOn w:val="1"/>
    <w:link w:val="57"/>
    <w:autoRedefine/>
    <w:unhideWhenUsed/>
    <w:qFormat/>
    <w:uiPriority w:val="99"/>
    <w:rPr>
      <w:sz w:val="18"/>
      <w:szCs w:val="18"/>
    </w:rPr>
  </w:style>
  <w:style w:type="paragraph" w:styleId="22">
    <w:name w:val="footer"/>
    <w:basedOn w:val="1"/>
    <w:link w:val="58"/>
    <w:autoRedefine/>
    <w:unhideWhenUsed/>
    <w:qFormat/>
    <w:uiPriority w:val="99"/>
    <w:pPr>
      <w:tabs>
        <w:tab w:val="center" w:pos="4153"/>
        <w:tab w:val="right" w:pos="8306"/>
      </w:tabs>
      <w:snapToGrid w:val="0"/>
      <w:jc w:val="left"/>
    </w:pPr>
    <w:rPr>
      <w:sz w:val="18"/>
      <w:szCs w:val="18"/>
    </w:rPr>
  </w:style>
  <w:style w:type="paragraph" w:styleId="23">
    <w:name w:val="header"/>
    <w:basedOn w:val="1"/>
    <w:link w:val="5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unhideWhenUsed/>
    <w:qFormat/>
    <w:uiPriority w:val="39"/>
    <w:pPr>
      <w:spacing w:before="120" w:after="120"/>
      <w:jc w:val="left"/>
    </w:pPr>
    <w:rPr>
      <w:rFonts w:ascii="Calibri" w:hAnsi="Calibri" w:cs="Calibri"/>
      <w:b/>
      <w:bCs/>
      <w:caps/>
      <w:sz w:val="20"/>
    </w:rPr>
  </w:style>
  <w:style w:type="paragraph" w:styleId="25">
    <w:name w:val="toc 4"/>
    <w:basedOn w:val="1"/>
    <w:next w:val="1"/>
    <w:autoRedefine/>
    <w:unhideWhenUsed/>
    <w:qFormat/>
    <w:uiPriority w:val="39"/>
    <w:pPr>
      <w:ind w:left="630"/>
      <w:jc w:val="left"/>
    </w:pPr>
    <w:rPr>
      <w:rFonts w:ascii="Calibri" w:hAnsi="Calibri" w:cs="Calibri"/>
      <w:sz w:val="18"/>
      <w:szCs w:val="18"/>
    </w:rPr>
  </w:style>
  <w:style w:type="paragraph" w:styleId="26">
    <w:name w:val="toc 6"/>
    <w:basedOn w:val="1"/>
    <w:next w:val="1"/>
    <w:autoRedefine/>
    <w:unhideWhenUsed/>
    <w:qFormat/>
    <w:uiPriority w:val="39"/>
    <w:pPr>
      <w:ind w:left="1050"/>
      <w:jc w:val="left"/>
    </w:pPr>
    <w:rPr>
      <w:rFonts w:ascii="Calibri" w:hAnsi="Calibri" w:cs="Calibri"/>
      <w:sz w:val="18"/>
      <w:szCs w:val="18"/>
    </w:rPr>
  </w:style>
  <w:style w:type="paragraph" w:styleId="27">
    <w:name w:val="Body Text Indent 3"/>
    <w:basedOn w:val="1"/>
    <w:link w:val="60"/>
    <w:autoRedefine/>
    <w:qFormat/>
    <w:uiPriority w:val="0"/>
    <w:pPr>
      <w:widowControl w:val="0"/>
      <w:spacing w:line="400" w:lineRule="exact"/>
      <w:ind w:firstLine="630"/>
    </w:pPr>
    <w:rPr>
      <w:rFonts w:ascii="宋体" w:hAnsi="宋体"/>
      <w:szCs w:val="24"/>
    </w:rPr>
  </w:style>
  <w:style w:type="paragraph" w:styleId="28">
    <w:name w:val="toc 2"/>
    <w:basedOn w:val="1"/>
    <w:next w:val="1"/>
    <w:autoRedefine/>
    <w:unhideWhenUsed/>
    <w:qFormat/>
    <w:uiPriority w:val="39"/>
    <w:pPr>
      <w:ind w:left="210"/>
      <w:jc w:val="left"/>
    </w:pPr>
    <w:rPr>
      <w:rFonts w:ascii="Calibri" w:hAnsi="Calibri" w:cs="Calibri"/>
      <w:smallCaps/>
      <w:sz w:val="20"/>
    </w:rPr>
  </w:style>
  <w:style w:type="paragraph" w:styleId="29">
    <w:name w:val="toc 9"/>
    <w:basedOn w:val="1"/>
    <w:next w:val="1"/>
    <w:autoRedefine/>
    <w:unhideWhenUsed/>
    <w:qFormat/>
    <w:uiPriority w:val="39"/>
    <w:pPr>
      <w:ind w:left="1680"/>
      <w:jc w:val="left"/>
    </w:pPr>
    <w:rPr>
      <w:rFonts w:ascii="Calibri" w:hAnsi="Calibri" w:cs="Calibri"/>
      <w:sz w:val="18"/>
      <w:szCs w:val="18"/>
    </w:rPr>
  </w:style>
  <w:style w:type="paragraph" w:styleId="30">
    <w:name w:val="Normal (Web)"/>
    <w:basedOn w:val="1"/>
    <w:autoRedefine/>
    <w:unhideWhenUsed/>
    <w:qFormat/>
    <w:uiPriority w:val="0"/>
    <w:pPr>
      <w:spacing w:before="100" w:beforeAutospacing="1" w:after="100" w:afterAutospacing="1"/>
      <w:jc w:val="left"/>
    </w:pPr>
    <w:rPr>
      <w:rFonts w:ascii="宋体" w:hAnsi="宋体" w:cs="宋体"/>
      <w:kern w:val="0"/>
      <w:sz w:val="24"/>
      <w:szCs w:val="24"/>
    </w:rPr>
  </w:style>
  <w:style w:type="paragraph" w:styleId="31">
    <w:name w:val="index 1"/>
    <w:basedOn w:val="1"/>
    <w:next w:val="1"/>
    <w:autoRedefine/>
    <w:semiHidden/>
    <w:qFormat/>
    <w:uiPriority w:val="0"/>
    <w:pPr>
      <w:widowControl w:val="0"/>
      <w:spacing w:line="360" w:lineRule="auto"/>
    </w:pPr>
    <w:rPr>
      <w:rFonts w:ascii="宋体"/>
      <w:b/>
      <w:color w:val="0000FF"/>
      <w:sz w:val="24"/>
      <w:szCs w:val="24"/>
    </w:rPr>
  </w:style>
  <w:style w:type="paragraph" w:styleId="32">
    <w:name w:val="annotation subject"/>
    <w:basedOn w:val="12"/>
    <w:next w:val="12"/>
    <w:link w:val="61"/>
    <w:autoRedefine/>
    <w:unhideWhenUsed/>
    <w:qFormat/>
    <w:uiPriority w:val="0"/>
    <w:rPr>
      <w:b/>
      <w:bCs/>
    </w:rPr>
  </w:style>
  <w:style w:type="paragraph" w:styleId="33">
    <w:name w:val="Body Text First Indent 2"/>
    <w:basedOn w:val="14"/>
    <w:link w:val="62"/>
    <w:autoRedefine/>
    <w:qFormat/>
    <w:uiPriority w:val="0"/>
    <w:pPr>
      <w:widowControl w:val="0"/>
      <w:ind w:firstLine="420" w:firstLineChars="200"/>
    </w:pPr>
    <w:rPr>
      <w:rFonts w:ascii="宋体"/>
      <w:szCs w:val="20"/>
    </w:rPr>
  </w:style>
  <w:style w:type="table" w:styleId="35">
    <w:name w:val="Table Grid"/>
    <w:basedOn w:val="34"/>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Accent 4"/>
    <w:basedOn w:val="34"/>
    <w:autoRedefine/>
    <w:qFormat/>
    <w:uiPriority w:val="60"/>
    <w:rPr>
      <w:color w:val="5F497A"/>
    </w:rPr>
    <w:tblPr>
      <w:tblBorders>
        <w:top w:val="single" w:color="8064A2" w:sz="8" w:space="0"/>
        <w:bottom w:val="single" w:color="8064A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character" w:styleId="38">
    <w:name w:val="Strong"/>
    <w:basedOn w:val="37"/>
    <w:autoRedefine/>
    <w:qFormat/>
    <w:uiPriority w:val="0"/>
    <w:rPr>
      <w:b/>
      <w:bCs/>
    </w:rPr>
  </w:style>
  <w:style w:type="character" w:styleId="39">
    <w:name w:val="Emphasis"/>
    <w:basedOn w:val="37"/>
    <w:autoRedefine/>
    <w:qFormat/>
    <w:uiPriority w:val="0"/>
    <w:rPr>
      <w:i/>
      <w:iCs/>
    </w:rPr>
  </w:style>
  <w:style w:type="character" w:styleId="40">
    <w:name w:val="Hyperlink"/>
    <w:autoRedefine/>
    <w:unhideWhenUsed/>
    <w:qFormat/>
    <w:uiPriority w:val="99"/>
    <w:rPr>
      <w:color w:val="0000FF"/>
      <w:u w:val="single"/>
    </w:rPr>
  </w:style>
  <w:style w:type="character" w:styleId="41">
    <w:name w:val="annotation reference"/>
    <w:autoRedefine/>
    <w:unhideWhenUsed/>
    <w:qFormat/>
    <w:uiPriority w:val="0"/>
    <w:rPr>
      <w:sz w:val="21"/>
      <w:szCs w:val="21"/>
    </w:rPr>
  </w:style>
  <w:style w:type="character" w:styleId="42">
    <w:name w:val="HTML Sample"/>
    <w:autoRedefine/>
    <w:semiHidden/>
    <w:qFormat/>
    <w:uiPriority w:val="0"/>
    <w:rPr>
      <w:rFonts w:ascii="Courier New" w:hAnsi="Courier New" w:cs="Courier New"/>
    </w:rPr>
  </w:style>
  <w:style w:type="character" w:customStyle="1" w:styleId="43">
    <w:name w:val="标题 1 Char"/>
    <w:link w:val="2"/>
    <w:autoRedefine/>
    <w:qFormat/>
    <w:uiPriority w:val="0"/>
    <w:rPr>
      <w:b/>
      <w:bCs/>
      <w:kern w:val="44"/>
      <w:sz w:val="44"/>
      <w:szCs w:val="44"/>
    </w:rPr>
  </w:style>
  <w:style w:type="character" w:customStyle="1" w:styleId="44">
    <w:name w:val="标题 2 Char"/>
    <w:link w:val="3"/>
    <w:autoRedefine/>
    <w:qFormat/>
    <w:uiPriority w:val="0"/>
    <w:rPr>
      <w:rFonts w:ascii="Arial" w:hAnsi="Arial" w:eastAsia="黑体"/>
      <w:b/>
      <w:sz w:val="32"/>
    </w:rPr>
  </w:style>
  <w:style w:type="character" w:customStyle="1" w:styleId="45">
    <w:name w:val="标题 3 Char"/>
    <w:basedOn w:val="37"/>
    <w:link w:val="4"/>
    <w:autoRedefine/>
    <w:qFormat/>
    <w:uiPriority w:val="0"/>
    <w:rPr>
      <w:b/>
      <w:bCs/>
      <w:kern w:val="2"/>
      <w:sz w:val="32"/>
      <w:szCs w:val="32"/>
    </w:rPr>
  </w:style>
  <w:style w:type="character" w:customStyle="1" w:styleId="46">
    <w:name w:val="标题 4 Char"/>
    <w:basedOn w:val="37"/>
    <w:link w:val="5"/>
    <w:autoRedefine/>
    <w:qFormat/>
    <w:uiPriority w:val="0"/>
    <w:rPr>
      <w:rFonts w:ascii="Cambria" w:hAnsi="Cambria" w:eastAsia="宋体" w:cs="Times New Roman"/>
      <w:b/>
      <w:bCs/>
      <w:kern w:val="2"/>
      <w:sz w:val="28"/>
      <w:szCs w:val="28"/>
    </w:rPr>
  </w:style>
  <w:style w:type="character" w:customStyle="1" w:styleId="47">
    <w:name w:val="标题 5 Char"/>
    <w:basedOn w:val="37"/>
    <w:link w:val="6"/>
    <w:autoRedefine/>
    <w:qFormat/>
    <w:uiPriority w:val="0"/>
    <w:rPr>
      <w:b/>
      <w:bCs/>
      <w:kern w:val="2"/>
      <w:sz w:val="28"/>
      <w:szCs w:val="28"/>
    </w:rPr>
  </w:style>
  <w:style w:type="character" w:customStyle="1" w:styleId="48">
    <w:name w:val="标题 6 Char"/>
    <w:basedOn w:val="37"/>
    <w:link w:val="7"/>
    <w:autoRedefine/>
    <w:qFormat/>
    <w:uiPriority w:val="0"/>
    <w:rPr>
      <w:rFonts w:ascii="Cambria" w:hAnsi="Cambria" w:eastAsia="宋体" w:cs="Times New Roman"/>
      <w:b/>
      <w:bCs/>
      <w:kern w:val="2"/>
      <w:sz w:val="24"/>
      <w:szCs w:val="24"/>
    </w:rPr>
  </w:style>
  <w:style w:type="character" w:customStyle="1" w:styleId="49">
    <w:name w:val="标题 9 Char"/>
    <w:basedOn w:val="37"/>
    <w:link w:val="8"/>
    <w:autoRedefine/>
    <w:semiHidden/>
    <w:qFormat/>
    <w:uiPriority w:val="0"/>
    <w:rPr>
      <w:rFonts w:ascii="Cambria" w:hAnsi="Cambria" w:eastAsia="宋体" w:cs="Times New Roman"/>
      <w:kern w:val="2"/>
      <w:sz w:val="21"/>
      <w:szCs w:val="21"/>
    </w:rPr>
  </w:style>
  <w:style w:type="character" w:customStyle="1" w:styleId="50">
    <w:name w:val="文档结构图 Char"/>
    <w:link w:val="11"/>
    <w:autoRedefine/>
    <w:qFormat/>
    <w:uiPriority w:val="0"/>
    <w:rPr>
      <w:rFonts w:ascii="宋体"/>
      <w:kern w:val="2"/>
      <w:sz w:val="18"/>
      <w:szCs w:val="18"/>
    </w:rPr>
  </w:style>
  <w:style w:type="character" w:customStyle="1" w:styleId="51">
    <w:name w:val="批注文字 Char"/>
    <w:link w:val="12"/>
    <w:autoRedefine/>
    <w:qFormat/>
    <w:uiPriority w:val="0"/>
    <w:rPr>
      <w:kern w:val="2"/>
      <w:sz w:val="21"/>
    </w:rPr>
  </w:style>
  <w:style w:type="character" w:customStyle="1" w:styleId="52">
    <w:name w:val="正文文本 Char"/>
    <w:basedOn w:val="37"/>
    <w:link w:val="13"/>
    <w:autoRedefine/>
    <w:semiHidden/>
    <w:qFormat/>
    <w:uiPriority w:val="0"/>
    <w:rPr>
      <w:kern w:val="2"/>
      <w:sz w:val="21"/>
    </w:rPr>
  </w:style>
  <w:style w:type="character" w:customStyle="1" w:styleId="53">
    <w:name w:val="正文文本缩进 Char"/>
    <w:link w:val="14"/>
    <w:autoRedefine/>
    <w:qFormat/>
    <w:uiPriority w:val="0"/>
    <w:rPr>
      <w:kern w:val="2"/>
      <w:sz w:val="24"/>
      <w:szCs w:val="24"/>
    </w:rPr>
  </w:style>
  <w:style w:type="character" w:customStyle="1" w:styleId="54">
    <w:name w:val="纯文本 Char"/>
    <w:link w:val="17"/>
    <w:autoRedefine/>
    <w:qFormat/>
    <w:locked/>
    <w:uiPriority w:val="0"/>
    <w:rPr>
      <w:rFonts w:ascii="宋体" w:hAnsi="Courier New"/>
      <w:szCs w:val="21"/>
      <w:lang w:bidi="ar-SA"/>
    </w:rPr>
  </w:style>
  <w:style w:type="character" w:customStyle="1" w:styleId="55">
    <w:name w:val="日期 Char"/>
    <w:basedOn w:val="37"/>
    <w:link w:val="19"/>
    <w:autoRedefine/>
    <w:qFormat/>
    <w:uiPriority w:val="0"/>
    <w:rPr>
      <w:kern w:val="2"/>
      <w:sz w:val="21"/>
    </w:rPr>
  </w:style>
  <w:style w:type="character" w:customStyle="1" w:styleId="56">
    <w:name w:val="正文文本缩进 2 Char"/>
    <w:basedOn w:val="37"/>
    <w:link w:val="20"/>
    <w:autoRedefine/>
    <w:semiHidden/>
    <w:qFormat/>
    <w:uiPriority w:val="0"/>
    <w:rPr>
      <w:kern w:val="2"/>
      <w:sz w:val="21"/>
    </w:rPr>
  </w:style>
  <w:style w:type="character" w:customStyle="1" w:styleId="57">
    <w:name w:val="批注框文本 Char"/>
    <w:link w:val="21"/>
    <w:autoRedefine/>
    <w:semiHidden/>
    <w:qFormat/>
    <w:uiPriority w:val="99"/>
    <w:rPr>
      <w:kern w:val="2"/>
      <w:sz w:val="18"/>
      <w:szCs w:val="18"/>
    </w:rPr>
  </w:style>
  <w:style w:type="character" w:customStyle="1" w:styleId="58">
    <w:name w:val="页脚 Char"/>
    <w:link w:val="22"/>
    <w:autoRedefine/>
    <w:qFormat/>
    <w:uiPriority w:val="99"/>
    <w:rPr>
      <w:kern w:val="2"/>
      <w:sz w:val="18"/>
      <w:szCs w:val="18"/>
    </w:rPr>
  </w:style>
  <w:style w:type="character" w:customStyle="1" w:styleId="59">
    <w:name w:val="页眉 Char"/>
    <w:link w:val="23"/>
    <w:autoRedefine/>
    <w:qFormat/>
    <w:uiPriority w:val="99"/>
    <w:rPr>
      <w:kern w:val="2"/>
      <w:sz w:val="18"/>
      <w:szCs w:val="18"/>
    </w:rPr>
  </w:style>
  <w:style w:type="character" w:customStyle="1" w:styleId="60">
    <w:name w:val="正文文本缩进 3 Char"/>
    <w:basedOn w:val="37"/>
    <w:link w:val="27"/>
    <w:autoRedefine/>
    <w:qFormat/>
    <w:uiPriority w:val="0"/>
    <w:rPr>
      <w:rFonts w:ascii="宋体" w:hAnsi="宋体"/>
      <w:kern w:val="2"/>
      <w:sz w:val="21"/>
      <w:szCs w:val="24"/>
    </w:rPr>
  </w:style>
  <w:style w:type="character" w:customStyle="1" w:styleId="61">
    <w:name w:val="批注主题 Char"/>
    <w:link w:val="32"/>
    <w:autoRedefine/>
    <w:qFormat/>
    <w:uiPriority w:val="0"/>
    <w:rPr>
      <w:b/>
      <w:bCs/>
      <w:kern w:val="2"/>
      <w:sz w:val="21"/>
    </w:rPr>
  </w:style>
  <w:style w:type="character" w:customStyle="1" w:styleId="62">
    <w:name w:val="正文首行缩进 2 Char"/>
    <w:basedOn w:val="53"/>
    <w:link w:val="33"/>
    <w:autoRedefine/>
    <w:qFormat/>
    <w:uiPriority w:val="0"/>
    <w:rPr>
      <w:rFonts w:ascii="宋体"/>
      <w:kern w:val="2"/>
      <w:sz w:val="24"/>
      <w:szCs w:val="24"/>
    </w:rPr>
  </w:style>
  <w:style w:type="character" w:customStyle="1" w:styleId="63">
    <w:name w:val="标题 9 字符"/>
    <w:autoRedefine/>
    <w:qFormat/>
    <w:uiPriority w:val="0"/>
    <w:rPr>
      <w:rFonts w:ascii="Arial" w:hAnsi="Arial" w:eastAsia="黑体" w:cs="Times New Roman"/>
      <w:kern w:val="0"/>
      <w:szCs w:val="21"/>
    </w:rPr>
  </w:style>
  <w:style w:type="paragraph" w:customStyle="1" w:styleId="64">
    <w:name w:val="TOC 标题1"/>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5">
    <w:name w:val="修订1"/>
    <w:autoRedefine/>
    <w:semiHidden/>
    <w:qFormat/>
    <w:uiPriority w:val="99"/>
    <w:rPr>
      <w:rFonts w:ascii="Times New Roman" w:hAnsi="Times New Roman" w:eastAsia="宋体" w:cs="Times New Roman"/>
      <w:kern w:val="2"/>
      <w:sz w:val="21"/>
      <w:lang w:val="en-US" w:eastAsia="zh-CN" w:bidi="ar-SA"/>
    </w:rPr>
  </w:style>
  <w:style w:type="paragraph" w:customStyle="1" w:styleId="66">
    <w:name w:val="p0"/>
    <w:basedOn w:val="1"/>
    <w:autoRedefine/>
    <w:qFormat/>
    <w:uiPriority w:val="0"/>
    <w:rPr>
      <w:rFonts w:ascii="Calibri" w:hAnsi="Calibri" w:cs="宋体"/>
      <w:kern w:val="0"/>
      <w:szCs w:val="21"/>
    </w:rPr>
  </w:style>
  <w:style w:type="paragraph" w:customStyle="1" w:styleId="67">
    <w:name w:val="List Paragraph1"/>
    <w:basedOn w:val="1"/>
    <w:autoRedefine/>
    <w:qFormat/>
    <w:uiPriority w:val="99"/>
    <w:pPr>
      <w:ind w:firstLine="420" w:firstLineChars="200"/>
    </w:pPr>
  </w:style>
  <w:style w:type="paragraph" w:customStyle="1" w:styleId="68">
    <w:name w:val="列出段落1"/>
    <w:basedOn w:val="1"/>
    <w:autoRedefine/>
    <w:qFormat/>
    <w:uiPriority w:val="34"/>
    <w:pPr>
      <w:widowControl w:val="0"/>
      <w:ind w:firstLine="420" w:firstLineChars="200"/>
    </w:pPr>
    <w:rPr>
      <w:rFonts w:ascii="Calibri" w:hAnsi="Calibri"/>
      <w:szCs w:val="22"/>
    </w:rPr>
  </w:style>
  <w:style w:type="paragraph" w:styleId="69">
    <w:name w:val="List Paragraph"/>
    <w:basedOn w:val="1"/>
    <w:autoRedefine/>
    <w:qFormat/>
    <w:uiPriority w:val="34"/>
    <w:pPr>
      <w:widowControl w:val="0"/>
      <w:ind w:firstLine="420" w:firstLineChars="200"/>
    </w:pPr>
    <w:rPr>
      <w:szCs w:val="24"/>
    </w:rPr>
  </w:style>
  <w:style w:type="paragraph" w:customStyle="1" w:styleId="70">
    <w:name w:val="Char1 Char Char Char"/>
    <w:basedOn w:val="1"/>
    <w:autoRedefine/>
    <w:qFormat/>
    <w:uiPriority w:val="0"/>
    <w:pPr>
      <w:widowControl w:val="0"/>
      <w:spacing w:line="360" w:lineRule="auto"/>
      <w:ind w:left="230" w:leftChars="230"/>
    </w:pPr>
    <w:rPr>
      <w:rFonts w:ascii="Arial" w:hAnsi="Arial" w:cs="Arial"/>
      <w:sz w:val="20"/>
    </w:rPr>
  </w:style>
  <w:style w:type="paragraph" w:customStyle="1" w:styleId="71">
    <w:name w:val="Char"/>
    <w:basedOn w:val="1"/>
    <w:autoRedefine/>
    <w:qFormat/>
    <w:uiPriority w:val="0"/>
    <w:pPr>
      <w:spacing w:after="160" w:line="240" w:lineRule="exact"/>
      <w:jc w:val="left"/>
    </w:pPr>
    <w:rPr>
      <w:rFonts w:ascii="Verdana" w:hAnsi="Verdana" w:eastAsia="仿宋_GB2312"/>
      <w:spacing w:val="-4"/>
      <w:kern w:val="0"/>
      <w:sz w:val="24"/>
      <w:lang w:eastAsia="en-US"/>
    </w:rPr>
  </w:style>
  <w:style w:type="character" w:customStyle="1" w:styleId="72">
    <w:name w:val="font61"/>
    <w:basedOn w:val="37"/>
    <w:autoRedefine/>
    <w:qFormat/>
    <w:uiPriority w:val="0"/>
    <w:rPr>
      <w:rFonts w:hint="eastAsia" w:ascii="宋体" w:hAnsi="宋体" w:eastAsia="宋体" w:cs="宋体"/>
      <w:b/>
      <w:bCs/>
      <w:color w:val="000000"/>
      <w:sz w:val="18"/>
      <w:szCs w:val="18"/>
      <w:u w:val="none"/>
    </w:rPr>
  </w:style>
  <w:style w:type="character" w:customStyle="1" w:styleId="73">
    <w:name w:val="font41"/>
    <w:basedOn w:val="37"/>
    <w:autoRedefine/>
    <w:qFormat/>
    <w:uiPriority w:val="0"/>
    <w:rPr>
      <w:rFonts w:hint="eastAsia" w:ascii="微软雅黑" w:hAnsi="微软雅黑" w:eastAsia="微软雅黑" w:cs="微软雅黑"/>
      <w:b/>
      <w:bCs/>
      <w:color w:val="000000"/>
      <w:sz w:val="18"/>
      <w:szCs w:val="18"/>
      <w:u w:val="none"/>
    </w:rPr>
  </w:style>
  <w:style w:type="character" w:customStyle="1" w:styleId="74">
    <w:name w:val="font91"/>
    <w:basedOn w:val="37"/>
    <w:autoRedefine/>
    <w:qFormat/>
    <w:uiPriority w:val="0"/>
    <w:rPr>
      <w:rFonts w:hint="eastAsia" w:ascii="宋体" w:hAnsi="宋体" w:eastAsia="宋体" w:cs="宋体"/>
      <w:color w:val="000000"/>
      <w:sz w:val="24"/>
      <w:szCs w:val="24"/>
      <w:u w:val="single"/>
    </w:rPr>
  </w:style>
  <w:style w:type="character" w:customStyle="1" w:styleId="75">
    <w:name w:val="font21"/>
    <w:basedOn w:val="37"/>
    <w:autoRedefine/>
    <w:qFormat/>
    <w:uiPriority w:val="0"/>
    <w:rPr>
      <w:rFonts w:hint="eastAsia" w:ascii="宋体" w:hAnsi="宋体" w:eastAsia="宋体" w:cs="宋体"/>
      <w:color w:val="000000"/>
      <w:sz w:val="24"/>
      <w:szCs w:val="24"/>
      <w:u w:val="none"/>
    </w:rPr>
  </w:style>
  <w:style w:type="paragraph" w:customStyle="1" w:styleId="76">
    <w:name w:val="正文文本缩进 34"/>
    <w:basedOn w:val="1"/>
    <w:autoRedefine/>
    <w:qFormat/>
    <w:uiPriority w:val="0"/>
    <w:pPr>
      <w:spacing w:after="120"/>
      <w:ind w:left="420" w:leftChars="200"/>
    </w:pPr>
    <w:rPr>
      <w:kern w:val="0"/>
      <w:sz w:val="16"/>
      <w:szCs w:val="16"/>
    </w:rPr>
  </w:style>
  <w:style w:type="paragraph" w:customStyle="1" w:styleId="77">
    <w:name w:val="正文文本缩进 31"/>
    <w:basedOn w:val="1"/>
    <w:autoRedefine/>
    <w:qFormat/>
    <w:uiPriority w:val="0"/>
    <w:pPr>
      <w:spacing w:after="120"/>
      <w:ind w:left="420" w:leftChars="200"/>
    </w:pPr>
    <w:rPr>
      <w:sz w:val="16"/>
      <w:szCs w:val="16"/>
    </w:rPr>
  </w:style>
  <w:style w:type="character" w:customStyle="1" w:styleId="78">
    <w:name w:val="font31"/>
    <w:basedOn w:val="37"/>
    <w:autoRedefine/>
    <w:qFormat/>
    <w:uiPriority w:val="0"/>
    <w:rPr>
      <w:rFonts w:hint="eastAsia" w:ascii="宋体" w:hAnsi="宋体" w:eastAsia="宋体" w:cs="宋体"/>
      <w:color w:val="000000"/>
      <w:sz w:val="18"/>
      <w:szCs w:val="18"/>
      <w:u w:val="none"/>
    </w:rPr>
  </w:style>
  <w:style w:type="character" w:customStyle="1" w:styleId="79">
    <w:name w:val="font71"/>
    <w:basedOn w:val="37"/>
    <w:autoRedefine/>
    <w:qFormat/>
    <w:uiPriority w:val="0"/>
    <w:rPr>
      <w:rFonts w:hint="eastAsia" w:ascii="宋体" w:hAnsi="宋体" w:eastAsia="宋体" w:cs="宋体"/>
      <w:color w:val="000000"/>
      <w:sz w:val="20"/>
      <w:szCs w:val="20"/>
      <w:u w:val="none"/>
    </w:rPr>
  </w:style>
  <w:style w:type="character" w:customStyle="1" w:styleId="80">
    <w:name w:val="font11"/>
    <w:basedOn w:val="37"/>
    <w:autoRedefine/>
    <w:qFormat/>
    <w:uiPriority w:val="0"/>
    <w:rPr>
      <w:rFonts w:hint="eastAsia" w:ascii="宋体" w:hAnsi="宋体" w:eastAsia="宋体" w:cs="宋体"/>
      <w:b/>
      <w:bCs/>
      <w:color w:val="000000"/>
      <w:sz w:val="28"/>
      <w:szCs w:val="28"/>
      <w:u w:val="none"/>
    </w:rPr>
  </w:style>
  <w:style w:type="character" w:customStyle="1" w:styleId="81">
    <w:name w:val="font01"/>
    <w:basedOn w:val="37"/>
    <w:qFormat/>
    <w:uiPriority w:val="0"/>
    <w:rPr>
      <w:rFonts w:hint="default" w:ascii="Arial" w:hAnsi="Arial" w:cs="Arial"/>
      <w:color w:val="000000"/>
      <w:sz w:val="24"/>
      <w:szCs w:val="24"/>
      <w:u w:val="none"/>
    </w:rPr>
  </w:style>
  <w:style w:type="paragraph" w:customStyle="1" w:styleId="82">
    <w:name w:val="Table Text"/>
    <w:basedOn w:val="1"/>
    <w:semiHidden/>
    <w:qFormat/>
    <w:uiPriority w:val="0"/>
    <w:rPr>
      <w:rFonts w:ascii="仿宋" w:hAnsi="仿宋" w:eastAsia="仿宋" w:cs="仿宋"/>
      <w:sz w:val="20"/>
      <w:lang w:eastAsia="en-US"/>
    </w:rPr>
  </w:style>
  <w:style w:type="table" w:customStyle="1" w:styleId="83">
    <w:name w:val="Table Normal"/>
    <w:semiHidden/>
    <w:unhideWhenUsed/>
    <w:qFormat/>
    <w:uiPriority w:val="0"/>
    <w:tblPr>
      <w:tblCellMar>
        <w:top w:w="0" w:type="dxa"/>
        <w:left w:w="0" w:type="dxa"/>
        <w:bottom w:w="0" w:type="dxa"/>
        <w:right w:w="0" w:type="dxa"/>
      </w:tblCellMar>
    </w:tbl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microsoft.com/office/2006/relationships/keyMapCustomizations" Target="customizations.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3.emf"/><Relationship Id="rId17" Type="http://schemas.openxmlformats.org/officeDocument/2006/relationships/oleObject" Target="embeddings/oleObject2.bin"/><Relationship Id="rId16" Type="http://schemas.openxmlformats.org/officeDocument/2006/relationships/image" Target="media/image2.png"/><Relationship Id="rId15" Type="http://schemas.openxmlformats.org/officeDocument/2006/relationships/image" Target="media/image1.w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76</Pages>
  <Words>6762</Words>
  <Characters>7091</Characters>
  <Lines>528</Lines>
  <Paragraphs>148</Paragraphs>
  <TotalTime>6</TotalTime>
  <ScaleCrop>false</ScaleCrop>
  <LinksUpToDate>false</LinksUpToDate>
  <CharactersWithSpaces>7483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2024-05-28T02:08:00Z</dcterms:created>
  <dc:creator>Administrator</dc:creator>
  <cp:lastModifiedBy>李家乐</cp:lastModifiedBy>
  <cp:lastPrinted>2026-04-13T09:55:00Z</cp:lastPrinted>
  <dcterms:modified xsi:type="dcterms:W3CDTF">2026-04-22T09:50:37Z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C39FD724533C4179B768CEB00172AB29_13</vt:lpwstr>
  </property>
  <property fmtid="{D5CDD505-2E9C-101B-9397-08002B2CF9AE}" pid="4" name="KSOTemplateDocerSaveRecord">
    <vt:lpwstr>eyJoZGlkIjoiOTJkMjhkMGYxYzA1OGY3N2EzZmJmODFlY2U5NmVlYTUiLCJ1c2VySWQiOiI0NjA0OTI0MDYifQ==</vt:lpwstr>
  </property>
</Properties>
</file>