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outlineLvl w:val="0"/>
        <w:rPr>
          <w:rFonts w:ascii="微软雅黑" w:hAnsi="微软雅黑" w:eastAsia="微软雅黑" w:cs="微软雅黑"/>
          <w:b/>
          <w:color w:val="000000"/>
          <w:sz w:val="32"/>
          <w:szCs w:val="32"/>
        </w:rPr>
      </w:pPr>
      <w:bookmarkStart w:id="18" w:name="_GoBack"/>
      <w:bookmarkEnd w:id="18"/>
      <w:bookmarkStart w:id="0" w:name="_Toc1331"/>
      <w:r>
        <w:rPr>
          <w:rFonts w:hint="eastAsia" w:ascii="微软雅黑" w:hAnsi="微软雅黑" w:eastAsia="微软雅黑" w:cs="微软雅黑"/>
          <w:b/>
          <w:color w:val="000000"/>
          <w:sz w:val="32"/>
          <w:szCs w:val="32"/>
        </w:rPr>
        <w:t>第四章  需求及技术规格</w:t>
      </w:r>
      <w:bookmarkEnd w:id="0"/>
    </w:p>
    <w:p>
      <w:pPr>
        <w:spacing w:line="340" w:lineRule="exact"/>
        <w:ind w:left="-71" w:firstLine="447" w:firstLineChars="212"/>
        <w:rPr>
          <w:rFonts w:ascii="宋体" w:hAnsi="宋体"/>
          <w:b/>
          <w:bCs/>
          <w:color w:val="000000"/>
          <w:szCs w:val="21"/>
        </w:rPr>
      </w:pPr>
    </w:p>
    <w:p>
      <w:pPr>
        <w:jc w:val="center"/>
        <w:outlineLvl w:val="1"/>
        <w:rPr>
          <w:rFonts w:ascii="微软雅黑" w:hAnsi="微软雅黑" w:eastAsia="微软雅黑" w:cs="微软雅黑"/>
          <w:b/>
          <w:color w:val="000000"/>
          <w:sz w:val="24"/>
          <w:szCs w:val="24"/>
        </w:rPr>
      </w:pPr>
      <w:bookmarkStart w:id="1" w:name="_Toc24986"/>
      <w:r>
        <w:rPr>
          <w:rFonts w:hint="eastAsia" w:ascii="微软雅黑" w:hAnsi="微软雅黑" w:eastAsia="微软雅黑" w:cs="微软雅黑"/>
          <w:b/>
          <w:color w:val="000000"/>
          <w:sz w:val="24"/>
          <w:szCs w:val="24"/>
        </w:rPr>
        <w:t>第一节  说明</w:t>
      </w:r>
      <w:bookmarkEnd w:id="1"/>
    </w:p>
    <w:p>
      <w:pPr>
        <w:spacing w:line="440" w:lineRule="exact"/>
        <w:ind w:firstLine="420" w:firstLineChars="200"/>
        <w:rPr>
          <w:rFonts w:ascii="宋体" w:hAnsi="宋体"/>
          <w:b/>
          <w:bCs/>
          <w:szCs w:val="21"/>
        </w:rPr>
      </w:pPr>
      <w:r>
        <w:rPr>
          <w:rFonts w:hint="eastAsia" w:ascii="宋体" w:hAnsi="宋体"/>
          <w:color w:val="000000"/>
          <w:szCs w:val="21"/>
        </w:rPr>
        <w:t>1、</w:t>
      </w:r>
      <w:r>
        <w:rPr>
          <w:rFonts w:hint="eastAsia" w:ascii="宋体" w:hAnsi="宋体"/>
          <w:szCs w:val="21"/>
        </w:rPr>
        <w:t>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pPr>
        <w:spacing w:line="440" w:lineRule="exact"/>
        <w:ind w:firstLine="422" w:firstLineChars="200"/>
        <w:rPr>
          <w:rFonts w:ascii="宋体" w:hAnsi="宋体"/>
          <w:b/>
        </w:rPr>
      </w:pPr>
      <w:r>
        <w:rPr>
          <w:rFonts w:hint="eastAsia" w:ascii="宋体" w:hAnsi="宋体"/>
          <w:b/>
        </w:rPr>
        <w:t>重点说明：偏离表中“偏离度”由投标人自行判断后填写，内容仅供评委参考，</w:t>
      </w:r>
      <w:r>
        <w:rPr>
          <w:rFonts w:ascii="宋体" w:hAnsi="宋体"/>
          <w:b/>
        </w:rPr>
        <w:t>评标委员会将根据</w:t>
      </w:r>
      <w:r>
        <w:rPr>
          <w:rFonts w:hint="eastAsia" w:ascii="宋体" w:hAnsi="宋体"/>
          <w:b/>
        </w:rPr>
        <w:t>具体响应内容</w:t>
      </w:r>
      <w:r>
        <w:rPr>
          <w:rFonts w:ascii="宋体" w:hAnsi="宋体"/>
          <w:b/>
        </w:rPr>
        <w:t>给予是否偏离的认定，并以此</w:t>
      </w:r>
      <w:r>
        <w:rPr>
          <w:rFonts w:hint="eastAsia" w:ascii="宋体" w:hAnsi="宋体"/>
          <w:b/>
        </w:rPr>
        <w:t>作为</w:t>
      </w:r>
      <w:r>
        <w:rPr>
          <w:rFonts w:ascii="宋体" w:hAnsi="宋体"/>
          <w:b/>
        </w:rPr>
        <w:t>最终评判</w:t>
      </w:r>
      <w:r>
        <w:rPr>
          <w:rFonts w:hint="eastAsia" w:ascii="宋体" w:hAnsi="宋体"/>
          <w:b/>
          <w:szCs w:val="22"/>
        </w:rPr>
        <w:t>。</w:t>
      </w:r>
      <w:r>
        <w:rPr>
          <w:rFonts w:hint="eastAsia" w:ascii="宋体" w:hAnsi="宋体"/>
          <w:b/>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pPr>
        <w:spacing w:line="44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w:t>
      </w:r>
      <w:r>
        <w:rPr>
          <w:rFonts w:hint="eastAsia" w:ascii="宋体" w:hAnsi="宋体"/>
          <w:b/>
          <w:bCs/>
          <w:szCs w:val="21"/>
        </w:rPr>
        <w:t>不可偏离条款，</w:t>
      </w:r>
      <w:r>
        <w:rPr>
          <w:rFonts w:ascii="宋体" w:hAnsi="宋体"/>
          <w:b/>
          <w:bCs/>
          <w:szCs w:val="21"/>
        </w:rPr>
        <w:t>投标人要特别加以注意</w:t>
      </w:r>
      <w:r>
        <w:rPr>
          <w:rFonts w:hint="eastAsia" w:ascii="宋体" w:hAnsi="宋体"/>
          <w:b/>
          <w:bCs/>
          <w:szCs w:val="21"/>
        </w:rPr>
        <w:t>并予以响应，</w:t>
      </w:r>
      <w:r>
        <w:rPr>
          <w:rFonts w:ascii="宋体" w:hAnsi="宋体"/>
          <w:b/>
          <w:bCs/>
          <w:szCs w:val="21"/>
        </w:rPr>
        <w:t>否则，若有一项带</w:t>
      </w:r>
      <w:r>
        <w:rPr>
          <w:rFonts w:hint="eastAsia" w:ascii="宋体" w:hAnsi="宋体"/>
          <w:b/>
          <w:bCs/>
          <w:szCs w:val="21"/>
        </w:rPr>
        <w:t>“★”</w:t>
      </w:r>
      <w:r>
        <w:rPr>
          <w:rFonts w:ascii="宋体" w:hAnsi="宋体"/>
          <w:b/>
          <w:bCs/>
          <w:szCs w:val="21"/>
        </w:rPr>
        <w:t>的</w:t>
      </w:r>
      <w:r>
        <w:rPr>
          <w:rFonts w:hint="eastAsia" w:ascii="宋体" w:hAnsi="宋体"/>
          <w:b/>
          <w:bCs/>
          <w:szCs w:val="21"/>
        </w:rPr>
        <w:t>要求</w:t>
      </w:r>
      <w:r>
        <w:rPr>
          <w:rFonts w:ascii="宋体" w:hAnsi="宋体"/>
          <w:b/>
          <w:bCs/>
          <w:szCs w:val="21"/>
        </w:rPr>
        <w:t>未响应或不满足，将按投标无效处理</w:t>
      </w:r>
      <w:r>
        <w:rPr>
          <w:rFonts w:hint="eastAsia" w:ascii="宋体" w:hAnsi="宋体"/>
          <w:b/>
          <w:bCs/>
          <w:szCs w:val="21"/>
        </w:rPr>
        <w:t>；</w:t>
      </w:r>
      <w:r>
        <w:rPr>
          <w:rFonts w:ascii="宋体" w:hAnsi="宋体"/>
          <w:b/>
          <w:bCs/>
          <w:szCs w:val="21"/>
        </w:rPr>
        <w:t>凡标有</w:t>
      </w:r>
      <w:r>
        <w:rPr>
          <w:rFonts w:hint="eastAsia" w:ascii="宋体" w:hAnsi="宋体"/>
          <w:b/>
          <w:bCs/>
          <w:szCs w:val="21"/>
        </w:rPr>
        <w:t xml:space="preserve"> “▲”</w:t>
      </w:r>
      <w:r>
        <w:rPr>
          <w:rFonts w:ascii="宋体" w:hAnsi="宋体"/>
          <w:b/>
          <w:bCs/>
          <w:szCs w:val="21"/>
        </w:rPr>
        <w:t>的地方均被视为重要要求</w:t>
      </w:r>
      <w:r>
        <w:rPr>
          <w:rFonts w:hint="eastAsia" w:ascii="宋体" w:hAnsi="宋体"/>
          <w:b/>
          <w:bCs/>
          <w:szCs w:val="21"/>
        </w:rPr>
        <w:t>，若有带“▲”的要求未响应或不满足的，将按加重扣分处理</w:t>
      </w:r>
      <w:r>
        <w:rPr>
          <w:rFonts w:ascii="宋体" w:hAnsi="宋体"/>
          <w:b/>
          <w:bCs/>
          <w:szCs w:val="21"/>
        </w:rPr>
        <w:t>。</w:t>
      </w:r>
    </w:p>
    <w:p>
      <w:pPr>
        <w:spacing w:line="440" w:lineRule="exact"/>
        <w:jc w:val="center"/>
        <w:rPr>
          <w:rFonts w:ascii="宋体" w:hAnsi="宋体"/>
          <w:b/>
          <w:bCs/>
          <w:color w:val="000000"/>
          <w:szCs w:val="21"/>
        </w:rPr>
      </w:pPr>
    </w:p>
    <w:p>
      <w:pPr>
        <w:jc w:val="center"/>
        <w:outlineLvl w:val="1"/>
        <w:rPr>
          <w:rFonts w:ascii="微软雅黑" w:hAnsi="微软雅黑" w:eastAsia="微软雅黑" w:cs="微软雅黑"/>
          <w:b/>
          <w:color w:val="000000"/>
          <w:sz w:val="24"/>
          <w:szCs w:val="24"/>
        </w:rPr>
      </w:pPr>
      <w:bookmarkStart w:id="2" w:name="_Toc28899"/>
      <w:r>
        <w:rPr>
          <w:rFonts w:hint="eastAsia" w:ascii="微软雅黑" w:hAnsi="微软雅黑" w:eastAsia="微软雅黑" w:cs="微软雅黑"/>
          <w:b/>
          <w:color w:val="000000"/>
          <w:sz w:val="24"/>
          <w:szCs w:val="24"/>
        </w:rPr>
        <w:t>第二节  需求一览表</w:t>
      </w:r>
      <w:bookmarkEnd w:id="2"/>
    </w:p>
    <w:tbl>
      <w:tblPr>
        <w:tblStyle w:val="4"/>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085"/>
        <w:gridCol w:w="1605"/>
        <w:gridCol w:w="1770"/>
        <w:gridCol w:w="885"/>
        <w:gridCol w:w="91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 w:type="dxa"/>
            <w:vAlign w:val="center"/>
          </w:tcPr>
          <w:p>
            <w:pPr>
              <w:jc w:val="center"/>
              <w:rPr>
                <w:b/>
              </w:rPr>
            </w:pPr>
            <w:r>
              <w:rPr>
                <w:b/>
              </w:rPr>
              <w:t>序号</w:t>
            </w:r>
          </w:p>
        </w:tc>
        <w:tc>
          <w:tcPr>
            <w:tcW w:w="2085" w:type="dxa"/>
            <w:vAlign w:val="center"/>
          </w:tcPr>
          <w:p>
            <w:pPr>
              <w:jc w:val="center"/>
              <w:rPr>
                <w:b/>
              </w:rPr>
            </w:pPr>
            <w:r>
              <w:rPr>
                <w:b/>
              </w:rPr>
              <w:t>服务名称</w:t>
            </w:r>
          </w:p>
        </w:tc>
        <w:tc>
          <w:tcPr>
            <w:tcW w:w="1605" w:type="dxa"/>
            <w:vAlign w:val="center"/>
          </w:tcPr>
          <w:p>
            <w:pPr>
              <w:jc w:val="center"/>
              <w:rPr>
                <w:b/>
              </w:rPr>
            </w:pPr>
            <w:r>
              <w:rPr>
                <w:rFonts w:hint="eastAsia"/>
                <w:b/>
                <w:lang w:val="en-US" w:eastAsia="zh-CN"/>
              </w:rPr>
              <w:t>是否专门面向中小企业</w:t>
            </w:r>
          </w:p>
        </w:tc>
        <w:tc>
          <w:tcPr>
            <w:tcW w:w="1770" w:type="dxa"/>
            <w:vAlign w:val="center"/>
          </w:tcPr>
          <w:p>
            <w:pPr>
              <w:jc w:val="center"/>
              <w:rPr>
                <w:b/>
              </w:rPr>
            </w:pPr>
            <w:r>
              <w:rPr>
                <w:rFonts w:hint="eastAsia"/>
                <w:b/>
                <w:lang w:val="en-US" w:eastAsia="zh-CN"/>
              </w:rPr>
              <w:t>标的所属行业</w:t>
            </w:r>
          </w:p>
        </w:tc>
        <w:tc>
          <w:tcPr>
            <w:tcW w:w="885" w:type="dxa"/>
            <w:vAlign w:val="center"/>
          </w:tcPr>
          <w:p>
            <w:pPr>
              <w:jc w:val="center"/>
              <w:rPr>
                <w:b/>
              </w:rPr>
            </w:pPr>
            <w:r>
              <w:rPr>
                <w:b/>
              </w:rPr>
              <w:t>数量</w:t>
            </w:r>
          </w:p>
        </w:tc>
        <w:tc>
          <w:tcPr>
            <w:tcW w:w="915" w:type="dxa"/>
            <w:vAlign w:val="center"/>
          </w:tcPr>
          <w:p>
            <w:pPr>
              <w:jc w:val="center"/>
              <w:rPr>
                <w:b/>
              </w:rPr>
            </w:pPr>
            <w:r>
              <w:rPr>
                <w:b/>
              </w:rPr>
              <w:t>单位</w:t>
            </w:r>
          </w:p>
        </w:tc>
        <w:tc>
          <w:tcPr>
            <w:tcW w:w="1185" w:type="dxa"/>
            <w:vAlign w:val="center"/>
          </w:tcPr>
          <w:p>
            <w:pPr>
              <w:jc w:val="center"/>
              <w:rPr>
                <w:rFonts w:ascii="宋体" w:hAnsi="宋体"/>
                <w:b/>
              </w:rPr>
            </w:pPr>
            <w:r>
              <w:rPr>
                <w:rFonts w:hint="eastAsia"/>
                <w:b/>
                <w:szCs w:val="21"/>
              </w:rPr>
              <w:t>预算控制金额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0" w:type="dxa"/>
            <w:vAlign w:val="center"/>
          </w:tcPr>
          <w:p>
            <w:pPr>
              <w:jc w:val="center"/>
              <w:rPr>
                <w:rFonts w:ascii="宋体" w:hAnsi="宋体"/>
                <w:color w:val="auto"/>
                <w:highlight w:val="none"/>
              </w:rPr>
            </w:pPr>
            <w:r>
              <w:rPr>
                <w:rFonts w:ascii="宋体" w:hAnsi="宋体"/>
                <w:color w:val="auto"/>
                <w:highlight w:val="none"/>
              </w:rPr>
              <w:t>1</w:t>
            </w:r>
          </w:p>
        </w:tc>
        <w:tc>
          <w:tcPr>
            <w:tcW w:w="2085" w:type="dxa"/>
            <w:vAlign w:val="center"/>
          </w:tcPr>
          <w:p>
            <w:pPr>
              <w:rPr>
                <w:rFonts w:ascii="宋体" w:hAnsi="宋体"/>
                <w:color w:val="auto"/>
                <w:highlight w:val="none"/>
              </w:rPr>
            </w:pPr>
            <w:r>
              <w:rPr>
                <w:rFonts w:hint="eastAsia" w:ascii="宋体" w:hAnsi="宋体"/>
                <w:color w:val="auto"/>
                <w:highlight w:val="none"/>
              </w:rPr>
              <w:t>南山区大型游乐设施安全隐患排查</w:t>
            </w:r>
          </w:p>
        </w:tc>
        <w:tc>
          <w:tcPr>
            <w:tcW w:w="1605" w:type="dxa"/>
            <w:vAlign w:val="center"/>
          </w:tcPr>
          <w:p>
            <w:pPr>
              <w:jc w:val="center"/>
              <w:rPr>
                <w:rFonts w:hint="eastAsia" w:ascii="宋体" w:hAnsi="宋体"/>
                <w:color w:val="auto"/>
                <w:highlight w:val="none"/>
              </w:rPr>
            </w:pPr>
            <w:r>
              <w:rPr>
                <w:rFonts w:hint="eastAsia" w:ascii="宋体" w:hAnsi="宋体" w:cs="Times New Roman"/>
                <w:b/>
                <w:bCs/>
                <w:color w:val="0000FF"/>
                <w:highlight w:val="none"/>
                <w:lang w:eastAsia="zh-CN"/>
              </w:rPr>
              <w:t>否</w:t>
            </w:r>
          </w:p>
        </w:tc>
        <w:tc>
          <w:tcPr>
            <w:tcW w:w="1770" w:type="dxa"/>
            <w:vAlign w:val="center"/>
          </w:tcPr>
          <w:p>
            <w:pPr>
              <w:jc w:val="center"/>
              <w:rPr>
                <w:rFonts w:hint="eastAsia" w:ascii="宋体" w:hAnsi="宋体"/>
                <w:color w:val="auto"/>
                <w:highlight w:val="none"/>
              </w:rPr>
            </w:pPr>
            <w:r>
              <w:rPr>
                <w:rFonts w:hint="eastAsia" w:ascii="宋体" w:hAnsi="宋体" w:cs="Times New Roman"/>
                <w:b/>
                <w:bCs/>
                <w:color w:val="0000FF"/>
                <w:highlight w:val="none"/>
                <w:lang w:eastAsia="zh-CN"/>
              </w:rPr>
              <w:t>其他未列明行业</w:t>
            </w:r>
          </w:p>
        </w:tc>
        <w:tc>
          <w:tcPr>
            <w:tcW w:w="885" w:type="dxa"/>
            <w:vAlign w:val="center"/>
          </w:tcPr>
          <w:p>
            <w:pPr>
              <w:jc w:val="center"/>
              <w:rPr>
                <w:rFonts w:ascii="宋体" w:hAnsi="宋体"/>
                <w:color w:val="auto"/>
                <w:highlight w:val="none"/>
              </w:rPr>
            </w:pPr>
            <w:r>
              <w:rPr>
                <w:rFonts w:ascii="宋体" w:hAnsi="宋体"/>
                <w:color w:val="auto"/>
                <w:highlight w:val="none"/>
              </w:rPr>
              <w:t>1</w:t>
            </w:r>
          </w:p>
        </w:tc>
        <w:tc>
          <w:tcPr>
            <w:tcW w:w="915" w:type="dxa"/>
            <w:vAlign w:val="center"/>
          </w:tcPr>
          <w:p>
            <w:pPr>
              <w:jc w:val="center"/>
              <w:rPr>
                <w:rFonts w:ascii="宋体" w:hAnsi="宋体"/>
                <w:color w:val="auto"/>
                <w:highlight w:val="none"/>
              </w:rPr>
            </w:pPr>
            <w:r>
              <w:rPr>
                <w:rFonts w:ascii="宋体" w:hAnsi="宋体"/>
                <w:color w:val="auto"/>
                <w:highlight w:val="none"/>
              </w:rPr>
              <w:t>项</w:t>
            </w:r>
          </w:p>
        </w:tc>
        <w:tc>
          <w:tcPr>
            <w:tcW w:w="1185" w:type="dxa"/>
            <w:vAlign w:val="center"/>
          </w:tcPr>
          <w:p>
            <w:pPr>
              <w:jc w:val="center"/>
              <w:rPr>
                <w:rFonts w:ascii="宋体" w:hAnsi="宋体"/>
                <w:color w:val="auto"/>
                <w:highlight w:val="none"/>
              </w:rPr>
            </w:pPr>
            <w:r>
              <w:rPr>
                <w:rFonts w:hint="eastAsia"/>
                <w:color w:val="auto"/>
                <w:szCs w:val="21"/>
                <w:highlight w:val="none"/>
              </w:rPr>
              <w:t>5</w:t>
            </w:r>
            <w:r>
              <w:rPr>
                <w:rFonts w:hint="eastAsia"/>
                <w:color w:val="auto"/>
                <w:szCs w:val="21"/>
                <w:highlight w:val="none"/>
                <w:lang w:val="en-US" w:eastAsia="zh-CN"/>
              </w:rPr>
              <w:t>1</w:t>
            </w:r>
            <w:r>
              <w:rPr>
                <w:rFonts w:hint="eastAsia"/>
                <w:color w:val="auto"/>
                <w:szCs w:val="21"/>
                <w:highlight w:val="none"/>
              </w:rPr>
              <w:t>万元</w:t>
            </w:r>
          </w:p>
        </w:tc>
      </w:tr>
    </w:tbl>
    <w:p>
      <w:pPr>
        <w:spacing w:line="340" w:lineRule="exact"/>
        <w:ind w:firstLine="422" w:firstLineChars="200"/>
        <w:rPr>
          <w:rFonts w:ascii="宋体" w:hAnsi="宋体"/>
          <w:b/>
          <w:bCs/>
          <w:color w:val="000000"/>
          <w:szCs w:val="21"/>
        </w:rPr>
      </w:pPr>
    </w:p>
    <w:p>
      <w:pPr>
        <w:jc w:val="center"/>
        <w:outlineLvl w:val="1"/>
        <w:rPr>
          <w:rFonts w:ascii="微软雅黑" w:hAnsi="微软雅黑" w:eastAsia="微软雅黑" w:cs="微软雅黑"/>
          <w:b/>
          <w:color w:val="000000"/>
          <w:sz w:val="24"/>
          <w:szCs w:val="24"/>
        </w:rPr>
      </w:pPr>
      <w:bookmarkStart w:id="3" w:name="_Toc5820"/>
      <w:r>
        <w:rPr>
          <w:rFonts w:hint="eastAsia" w:ascii="微软雅黑" w:hAnsi="微软雅黑" w:eastAsia="微软雅黑" w:cs="微软雅黑"/>
          <w:b/>
          <w:color w:val="000000"/>
          <w:sz w:val="24"/>
          <w:szCs w:val="24"/>
        </w:rPr>
        <w:t>第三节  技术需求明细</w:t>
      </w:r>
      <w:bookmarkEnd w:id="3"/>
    </w:p>
    <w:p>
      <w:pPr>
        <w:pStyle w:val="7"/>
        <w:numPr>
          <w:ilvl w:val="0"/>
          <w:numId w:val="0"/>
        </w:numPr>
        <w:ind w:leftChars="0"/>
        <w:rPr>
          <w:rFonts w:hint="eastAsia" w:ascii="宋体" w:hAnsi="宋体"/>
          <w:b/>
          <w:bCs/>
          <w:color w:val="000000"/>
          <w:szCs w:val="21"/>
          <w:lang w:val="en-US" w:eastAsia="zh-CN"/>
        </w:rPr>
      </w:pPr>
      <w:r>
        <w:rPr>
          <w:rFonts w:hint="eastAsia" w:ascii="宋体" w:hAnsi="宋体"/>
          <w:b/>
          <w:bCs/>
          <w:color w:val="000000"/>
          <w:szCs w:val="21"/>
          <w:lang w:val="en-US" w:eastAsia="zh-CN"/>
        </w:rPr>
        <w:t>一、项目概况</w:t>
      </w:r>
    </w:p>
    <w:p>
      <w:pPr>
        <w:spacing w:line="44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000000"/>
          <w:szCs w:val="21"/>
          <w:lang w:eastAsia="zh-CN"/>
        </w:rPr>
        <w:t>为提高南山区大型游乐设施行业安全运营水平，督促企业落实使用安全主体责任，指导协助大型游乐设施使用单位发现消除设备安全隐患、提高自身安全管理能力，深入排查各类游乐设施安全风险和事故隐患，防范遏制游乐场所安全事故再次发生，开展南山区大型游乐设施安全隐患排查工作。</w:t>
      </w:r>
    </w:p>
    <w:p>
      <w:pPr>
        <w:pStyle w:val="7"/>
        <w:numPr>
          <w:ilvl w:val="0"/>
          <w:numId w:val="0"/>
        </w:numPr>
        <w:ind w:leftChars="0"/>
        <w:rPr>
          <w:rFonts w:hint="eastAsia" w:ascii="宋体" w:hAnsi="宋体" w:cs="宋体"/>
          <w:b/>
          <w:bCs/>
          <w:color w:val="auto"/>
          <w:szCs w:val="21"/>
        </w:rPr>
      </w:pPr>
      <w:r>
        <w:rPr>
          <w:rFonts w:hint="eastAsia" w:ascii="宋体" w:hAnsi="宋体" w:eastAsia="宋体" w:cs="宋体"/>
          <w:b/>
          <w:bCs/>
          <w:color w:val="auto"/>
          <w:szCs w:val="21"/>
        </w:rPr>
        <w:t>二、项目服务内容及服务要求</w:t>
      </w:r>
    </w:p>
    <w:p>
      <w:pPr>
        <w:spacing w:line="44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服务总体要求：中标人须根据本项目的实际情况，为本项目指定合格的项目负责人，并配备足够人员和技术力量的专门团队，项目团队人员需具备项目相关的专业能力知识背景及工作经验；为项目配备必要的服务资源及工具设备等；制定科学合理的服务方案及工作计划；负责完成招标要求的全部服务工作；应严格按制定的项目实施方案组织实施，并接受采购人监督，确保项目工作高质量完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2、本项目具体服务要求</w:t>
      </w:r>
      <w:bookmarkStart w:id="4" w:name="OLE_LINK3"/>
      <w:r>
        <w:rPr>
          <w:rFonts w:hint="eastAsia" w:ascii="宋体" w:hAnsi="宋体" w:eastAsia="宋体" w:cs="Times New Roman"/>
          <w:color w:val="auto"/>
          <w:szCs w:val="21"/>
          <w:lang w:val="en-US" w:eastAsia="zh-CN"/>
        </w:rPr>
        <w:t>：</w:t>
      </w:r>
      <w:bookmarkEnd w:id="4"/>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val="0"/>
          <w:bCs w:val="0"/>
          <w:color w:val="auto"/>
          <w:szCs w:val="21"/>
          <w:lang w:val="en-US" w:eastAsia="zh-CN"/>
        </w:rPr>
        <w:t>（1）大型游乐设施安全隐患排查</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1.1.根据《大型游乐设施安全技术规程》（TSG 71-2023）等相关法规的要求，制定大型游乐设施安全隐患排查工作方案，重点核查本年度设备的故障处置情况是否合规。</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1.2.本着项目工作尽量减少对相关单位正常工作的影响以及与法定检验工作和使用单位日常保养工作不冲突的原则，必须合理安排时间以及项目数量。</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1.3.现场排查小组至少由两人组成，组长应具有大型游乐设施检验师资质。排查工作流程应包括：提前一天通知使用单位、资料审查、现场排查、开具《发现隐患项目通知书》等文书告知使用单位设备隐患及整改结果现场核查等步骤。在排查中发现大型游乐设施存在安全隐患项目的，应当现场出具《发现隐患项目通知书》（以下简称《通知书》），交使用管理单位。若安全隐患项目存在严重隐患和重大问题的，还需填写《特种设备重大问题报告单》（以下简称《报告单》），在24小时内与相关证据一并报区特种设备安全监管机构。《通知书》、《报告单》中对安全隐患项目、严重隐患和重大问题的文字表述必须一致。对排查过程发现的安全隐患项目、严重隐患和重大问题，排查单位应当根据责任单位的申请或区特种设备安全监管机构的指令进行复查，并每月汇总一次交报特种设备安全监管机构。《通知书》、《报告单》等文书样式由中标单位按采购人要求统一制订。</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hint="eastAsia" w:ascii="宋体" w:hAnsi="宋体" w:eastAsia="宋体" w:cs="Times New Roman"/>
          <w:b/>
          <w:bCs/>
          <w:color w:val="auto"/>
          <w:szCs w:val="21"/>
          <w:lang w:val="en-US" w:eastAsia="zh-CN"/>
        </w:rPr>
      </w:pPr>
      <w:r>
        <w:rPr>
          <w:rFonts w:hint="eastAsia" w:ascii="宋体" w:hAnsi="宋体" w:eastAsia="宋体" w:cs="Times New Roman"/>
          <w:b w:val="0"/>
          <w:bCs w:val="0"/>
          <w:color w:val="auto"/>
          <w:szCs w:val="21"/>
          <w:lang w:val="en-US" w:eastAsia="zh-CN"/>
        </w:rPr>
        <w:t>1.4.中标单位应在中标后对本年度每个月的故障处置情况进行分析，判断大型游乐设施的故障是否整改到位，按照月度出具分析报告。报告应至少包含整改情况和最终结论。大型游乐设施隐患排查工作全部结束后20个工作日内须对工作情况进行总结、分析并出具分析报告。</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（2）专家协助执法服务</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在特种设备安全监察人员开展大型游乐设施现场安全检查工作时，安排技术人员现场协同检查，协助监察人员了解各类大型游乐设施风险隐患形式、安全检查重点，指导使用单位发现及消除设备问题隐患，检查结束后，技术人员应与监察人员共同制作检查记录并签名。</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（3）人员安全培训和考核</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针对南山区大型游乐设施安全总监、安全员、作业人员开展安全培训，提升区大型游乐设施相关人员的能力水平，主要内容为结合近年大型游乐设施故障及事故教训，宣贯《大型游乐设施使用安全管理规范》（深圳市地方标准）、《大型游乐设施安全技术规程》（TSG 71-2023），培训后有针对性的进行考核评分，对考核不及格的人员，进行再培训和再考核。</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根据南山区使用单位的具体情况，分批次开展现场培训，培训时间不少于1天。</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hint="eastAsia" w:ascii="宋体" w:hAnsi="宋体" w:eastAsia="宋体" w:cs="Times New Roman"/>
          <w:b w:val="0"/>
          <w:bCs w:val="0"/>
          <w:color w:val="auto"/>
          <w:szCs w:val="21"/>
          <w:lang w:val="en-US" w:eastAsia="zh-CN"/>
        </w:rPr>
      </w:pPr>
      <w:r>
        <w:rPr>
          <w:rFonts w:hint="eastAsia" w:ascii="宋体" w:hAnsi="宋体" w:eastAsia="宋体" w:cs="Times New Roman"/>
          <w:b w:val="0"/>
          <w:bCs w:val="0"/>
          <w:color w:val="auto"/>
          <w:szCs w:val="21"/>
          <w:lang w:val="en-US" w:eastAsia="zh-CN"/>
        </w:rPr>
        <w:t>（4）协助开展南山区大型游乐设施应急演练</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25"/>
        <w:textAlignment w:val="auto"/>
        <w:rPr>
          <w:rFonts w:ascii="宋体" w:hAnsi="宋体"/>
          <w:color w:val="000000"/>
          <w:szCs w:val="21"/>
        </w:rPr>
      </w:pPr>
      <w:r>
        <w:rPr>
          <w:rFonts w:hint="eastAsia" w:ascii="宋体" w:hAnsi="宋体" w:eastAsia="宋体" w:cs="Times New Roman"/>
          <w:b w:val="0"/>
          <w:bCs w:val="0"/>
          <w:color w:val="auto"/>
          <w:szCs w:val="21"/>
          <w:lang w:val="en-US" w:eastAsia="zh-CN"/>
        </w:rPr>
        <w:t>中标单位应协助开展南山区大型游乐设施应急演练，提升南山区大型游乐设施使用单位的应急管理水平。协助内容包括但不限于提供演练脚本、指导参演人员进行现场演练等项目。</w:t>
      </w:r>
    </w:p>
    <w:p>
      <w:pPr>
        <w:jc w:val="center"/>
        <w:outlineLvl w:val="9"/>
        <w:rPr>
          <w:rFonts w:hint="eastAsia" w:ascii="微软雅黑" w:hAnsi="微软雅黑" w:eastAsia="微软雅黑" w:cs="微软雅黑"/>
          <w:b/>
          <w:color w:val="000000"/>
          <w:sz w:val="24"/>
          <w:szCs w:val="24"/>
        </w:rPr>
      </w:pPr>
      <w:bookmarkStart w:id="5" w:name="_Toc9861"/>
    </w:p>
    <w:p>
      <w:pPr>
        <w:jc w:val="center"/>
        <w:outlineLvl w:val="1"/>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第四节  商务需求明细</w:t>
      </w:r>
      <w:bookmarkEnd w:id="5"/>
    </w:p>
    <w:p>
      <w:pPr>
        <w:spacing w:line="440" w:lineRule="exact"/>
        <w:ind w:firstLine="422" w:firstLineChars="200"/>
        <w:rPr>
          <w:rFonts w:ascii="宋体" w:hAnsi="宋体"/>
          <w:b/>
          <w:bCs/>
          <w:szCs w:val="21"/>
          <w:highlight w:val="none"/>
        </w:rPr>
      </w:pPr>
      <w:bookmarkStart w:id="6" w:name="OLE_LINK8"/>
      <w:r>
        <w:rPr>
          <w:rFonts w:hint="eastAsia" w:ascii="宋体" w:hAnsi="宋体"/>
          <w:b/>
          <w:bCs/>
          <w:szCs w:val="21"/>
          <w:highlight w:val="none"/>
        </w:rPr>
        <w:t>一、服务期限</w:t>
      </w:r>
    </w:p>
    <w:p>
      <w:pPr>
        <w:spacing w:line="440" w:lineRule="exact"/>
        <w:ind w:firstLine="420" w:firstLineChars="200"/>
        <w:rPr>
          <w:rFonts w:ascii="宋体" w:hAnsi="宋体"/>
          <w:szCs w:val="21"/>
          <w:highlight w:val="none"/>
        </w:rPr>
      </w:pPr>
      <w:r>
        <w:rPr>
          <w:rFonts w:hint="eastAsia" w:ascii="宋体" w:hAnsi="宋体"/>
          <w:szCs w:val="21"/>
          <w:highlight w:val="none"/>
        </w:rPr>
        <w:t>合同签订之日起至 2025 年 11 月 30 日前完成。</w:t>
      </w:r>
    </w:p>
    <w:p>
      <w:pPr>
        <w:spacing w:line="440" w:lineRule="exact"/>
        <w:ind w:firstLine="422" w:firstLineChars="200"/>
        <w:rPr>
          <w:rFonts w:ascii="宋体" w:hAnsi="宋体"/>
          <w:b/>
          <w:bCs/>
          <w:szCs w:val="21"/>
          <w:highlight w:val="none"/>
        </w:rPr>
      </w:pPr>
      <w:r>
        <w:rPr>
          <w:rFonts w:hint="eastAsia" w:ascii="宋体" w:hAnsi="宋体"/>
          <w:b/>
          <w:bCs/>
          <w:szCs w:val="21"/>
          <w:highlight w:val="none"/>
        </w:rPr>
        <w:t>二、付款方式</w:t>
      </w:r>
    </w:p>
    <w:p>
      <w:pPr>
        <w:spacing w:line="440" w:lineRule="exact"/>
        <w:ind w:firstLine="420" w:firstLineChars="200"/>
        <w:rPr>
          <w:rFonts w:ascii="宋体" w:hAnsi="宋体"/>
          <w:szCs w:val="21"/>
          <w:highlight w:val="none"/>
        </w:rPr>
      </w:pPr>
      <w:r>
        <w:rPr>
          <w:rFonts w:hint="eastAsia" w:ascii="宋体" w:hAnsi="宋体"/>
          <w:szCs w:val="21"/>
          <w:highlight w:val="none"/>
        </w:rPr>
        <w:t>采购人在合同签订后，且收到中标人开具的符合国家财税有关规定发票后10个工作日内支付合同总额的 50%</w:t>
      </w:r>
      <w:r>
        <w:rPr>
          <w:rFonts w:hint="eastAsia" w:ascii="宋体" w:hAnsi="宋体"/>
          <w:szCs w:val="21"/>
          <w:highlight w:val="none"/>
          <w:lang w:val="en-US" w:eastAsia="zh-CN"/>
        </w:rPr>
        <w:t xml:space="preserve"> </w:t>
      </w:r>
      <w:r>
        <w:rPr>
          <w:rFonts w:hint="eastAsia" w:ascii="宋体" w:hAnsi="宋体"/>
          <w:szCs w:val="21"/>
          <w:highlight w:val="none"/>
        </w:rPr>
        <w:t>作为首期款，余款按进度验收通过后予以支付。</w:t>
      </w:r>
    </w:p>
    <w:p>
      <w:pPr>
        <w:spacing w:line="440" w:lineRule="exact"/>
        <w:ind w:firstLine="422" w:firstLineChars="200"/>
        <w:rPr>
          <w:rFonts w:ascii="宋体" w:hAnsi="宋体"/>
          <w:b/>
          <w:bCs/>
          <w:szCs w:val="21"/>
        </w:rPr>
      </w:pPr>
      <w:r>
        <w:rPr>
          <w:rFonts w:hint="eastAsia" w:ascii="宋体" w:hAnsi="宋体"/>
          <w:b/>
          <w:bCs/>
          <w:szCs w:val="21"/>
        </w:rPr>
        <w:t>三、</w:t>
      </w:r>
      <w:r>
        <w:rPr>
          <w:rFonts w:hint="eastAsia" w:ascii="宋体" w:hAnsi="宋体"/>
          <w:b/>
          <w:szCs w:val="24"/>
        </w:rPr>
        <w:t>报价要求</w:t>
      </w:r>
    </w:p>
    <w:p>
      <w:pPr>
        <w:spacing w:line="440" w:lineRule="exact"/>
        <w:ind w:firstLine="420" w:firstLineChars="200"/>
        <w:rPr>
          <w:rFonts w:hint="eastAsia" w:ascii="宋体" w:hAnsi="宋体"/>
          <w:szCs w:val="21"/>
        </w:rPr>
      </w:pPr>
      <w:bookmarkStart w:id="7" w:name="OLE_LINK11"/>
      <w:bookmarkStart w:id="8" w:name="OLE_LINK7"/>
      <w:r>
        <w:rPr>
          <w:rFonts w:hint="eastAsia" w:ascii="宋体" w:hAnsi="宋体"/>
          <w:szCs w:val="21"/>
        </w:rPr>
        <w:t>1、</w:t>
      </w:r>
      <w:bookmarkEnd w:id="7"/>
      <w:r>
        <w:rPr>
          <w:rFonts w:hint="eastAsia" w:ascii="宋体" w:hAnsi="宋体"/>
          <w:szCs w:val="21"/>
        </w:rPr>
        <w:t>本项目服务费采用包干制，应包括服务成本、法定税费和利润。由投标人根据采购文件所提供的资料自行测算投标报价；一经中标，报价总作为中标人与采购人签订的合同金额，合同期限内不做调整。</w:t>
      </w:r>
    </w:p>
    <w:p>
      <w:pPr>
        <w:spacing w:line="440" w:lineRule="exact"/>
        <w:ind w:firstLine="420" w:firstLineChars="200"/>
        <w:rPr>
          <w:rFonts w:hint="eastAsia" w:ascii="宋体" w:hAnsi="宋体"/>
          <w:szCs w:val="21"/>
        </w:rPr>
      </w:pPr>
      <w:r>
        <w:rPr>
          <w:rFonts w:hint="eastAsia" w:ascii="宋体" w:hAnsi="宋体"/>
          <w:szCs w:val="21"/>
        </w:rPr>
        <w:t>2、投标人的报价不得超过项目预算金额，否则作投标无效处理。</w:t>
      </w:r>
    </w:p>
    <w:p>
      <w:pPr>
        <w:spacing w:line="440" w:lineRule="exact"/>
        <w:ind w:firstLine="420" w:firstLineChars="200"/>
        <w:rPr>
          <w:rFonts w:ascii="宋体" w:hAnsi="宋体"/>
          <w:szCs w:val="21"/>
        </w:rPr>
      </w:pPr>
      <w:r>
        <w:rPr>
          <w:rFonts w:hint="eastAsia" w:ascii="宋体" w:hAnsi="宋体"/>
          <w:szCs w:val="24"/>
        </w:rPr>
        <w:t>3、</w:t>
      </w:r>
      <w:r>
        <w:rPr>
          <w:rFonts w:hint="eastAsia" w:ascii="宋体" w:hAnsi="宋体"/>
          <w:szCs w:val="21"/>
        </w:rPr>
        <w:t>投标人的报价，应当是本项目采购范围和采购文件及合同条款上所列的各项内容中所述的全部，不得以任何理由予以重复。</w:t>
      </w:r>
      <w:bookmarkEnd w:id="8"/>
    </w:p>
    <w:p>
      <w:pPr>
        <w:spacing w:line="440" w:lineRule="exact"/>
        <w:ind w:firstLine="422" w:firstLineChars="200"/>
        <w:rPr>
          <w:rFonts w:ascii="宋体" w:hAnsi="宋体"/>
          <w:b/>
          <w:bCs/>
          <w:szCs w:val="21"/>
        </w:rPr>
      </w:pPr>
      <w:r>
        <w:rPr>
          <w:rFonts w:hint="eastAsia" w:ascii="宋体" w:hAnsi="宋体"/>
          <w:b/>
          <w:bCs/>
          <w:szCs w:val="21"/>
        </w:rPr>
        <w:t>四、验收内容及标准</w:t>
      </w:r>
    </w:p>
    <w:p>
      <w:pPr>
        <w:spacing w:line="440" w:lineRule="exact"/>
        <w:ind w:firstLine="420" w:firstLineChars="200"/>
        <w:rPr>
          <w:rFonts w:hint="eastAsia" w:ascii="宋体" w:hAnsi="宋体"/>
          <w:szCs w:val="21"/>
        </w:rPr>
      </w:pPr>
      <w:bookmarkStart w:id="9" w:name="OLE_LINK4"/>
      <w:r>
        <w:rPr>
          <w:rFonts w:hint="eastAsia" w:ascii="宋体" w:hAnsi="宋体"/>
          <w:szCs w:val="21"/>
        </w:rPr>
        <w:t>1、</w:t>
      </w:r>
      <w:bookmarkEnd w:id="9"/>
      <w:r>
        <w:rPr>
          <w:rFonts w:hint="eastAsia" w:ascii="宋体" w:hAnsi="宋体"/>
          <w:szCs w:val="21"/>
        </w:rPr>
        <w:t>采购人以采购项目的招标文件、投标文件、采购合同作为验收依据，按照采购合同的约定逐项核对技术、服务、安全标准的履约情况并确认；</w:t>
      </w:r>
    </w:p>
    <w:p>
      <w:pPr>
        <w:spacing w:line="440" w:lineRule="exact"/>
        <w:ind w:firstLine="420" w:firstLineChars="200"/>
        <w:rPr>
          <w:rFonts w:hint="eastAsia" w:ascii="宋体" w:hAnsi="宋体"/>
          <w:szCs w:val="21"/>
        </w:rPr>
      </w:pPr>
      <w:bookmarkStart w:id="10" w:name="OLE_LINK9"/>
      <w:r>
        <w:rPr>
          <w:rFonts w:hint="eastAsia" w:ascii="宋体" w:hAnsi="宋体"/>
          <w:szCs w:val="21"/>
        </w:rPr>
        <w:t>2、</w:t>
      </w:r>
      <w:bookmarkEnd w:id="10"/>
      <w:r>
        <w:rPr>
          <w:rFonts w:hint="eastAsia" w:ascii="宋体" w:hAnsi="宋体"/>
          <w:szCs w:val="21"/>
        </w:rPr>
        <w:t>本项目具体验收内容及标准：</w:t>
      </w:r>
    </w:p>
    <w:p>
      <w:pPr>
        <w:spacing w:line="440" w:lineRule="exact"/>
        <w:ind w:firstLine="420" w:firstLineChars="200"/>
        <w:rPr>
          <w:rFonts w:hint="eastAsia" w:ascii="宋体" w:hAnsi="宋体"/>
          <w:szCs w:val="21"/>
        </w:rPr>
      </w:pPr>
      <w:r>
        <w:rPr>
          <w:rFonts w:hint="eastAsia" w:ascii="宋体" w:hAnsi="宋体"/>
          <w:szCs w:val="21"/>
        </w:rPr>
        <w:t>（1）南山区在用大型游乐设施设备安全隐患排查报告（一设备一报告）；</w:t>
      </w:r>
    </w:p>
    <w:p>
      <w:pPr>
        <w:spacing w:line="440" w:lineRule="exact"/>
        <w:ind w:firstLine="420" w:firstLineChars="200"/>
        <w:rPr>
          <w:rFonts w:hint="eastAsia" w:ascii="宋体" w:hAnsi="宋体"/>
          <w:szCs w:val="21"/>
        </w:rPr>
      </w:pPr>
      <w:r>
        <w:rPr>
          <w:rFonts w:hint="eastAsia" w:ascii="宋体" w:hAnsi="宋体"/>
          <w:szCs w:val="21"/>
        </w:rPr>
        <w:t>（2）南山区在用大型游乐设施故障分析报告（一设备一报告）；</w:t>
      </w:r>
    </w:p>
    <w:p>
      <w:pPr>
        <w:spacing w:line="440" w:lineRule="exact"/>
        <w:ind w:firstLine="420" w:firstLineChars="200"/>
        <w:rPr>
          <w:rFonts w:ascii="宋体" w:hAnsi="宋体"/>
          <w:szCs w:val="21"/>
        </w:rPr>
      </w:pPr>
      <w:r>
        <w:rPr>
          <w:rFonts w:hint="eastAsia" w:ascii="宋体" w:hAnsi="宋体"/>
          <w:szCs w:val="21"/>
        </w:rPr>
        <w:t>（3）南山区大型游乐设施从业人员安全培训和考核。</w:t>
      </w:r>
    </w:p>
    <w:p>
      <w:pPr>
        <w:spacing w:line="440" w:lineRule="exact"/>
        <w:ind w:firstLine="422" w:firstLineChars="200"/>
        <w:rPr>
          <w:rFonts w:ascii="宋体" w:hAnsi="宋体"/>
          <w:b/>
          <w:bCs/>
          <w:szCs w:val="21"/>
        </w:rPr>
      </w:pPr>
      <w:r>
        <w:rPr>
          <w:rFonts w:hint="eastAsia" w:ascii="宋体" w:hAnsi="宋体"/>
          <w:b/>
          <w:bCs/>
          <w:szCs w:val="21"/>
        </w:rPr>
        <w:t>五、违约责任</w:t>
      </w:r>
    </w:p>
    <w:p>
      <w:pPr>
        <w:spacing w:line="440" w:lineRule="exact"/>
        <w:ind w:firstLine="420" w:firstLineChars="200"/>
        <w:rPr>
          <w:rFonts w:hint="eastAsia" w:ascii="宋体" w:hAnsi="宋体"/>
          <w:szCs w:val="21"/>
        </w:rPr>
      </w:pPr>
      <w:r>
        <w:rPr>
          <w:rFonts w:hint="eastAsia" w:ascii="宋体" w:hAnsi="宋体"/>
          <w:szCs w:val="21"/>
        </w:rPr>
        <w:t>1、中标供应商未在约定期限内完成项目内容并提交成果的，每延迟一日按照合同总金额千分之一的标准向采购人支付违约金。延迟超过十日的，采购人有权解除合同并要求中标供应商返还已经支付的款项，未支付的不再支付。</w:t>
      </w:r>
    </w:p>
    <w:p>
      <w:pPr>
        <w:spacing w:line="440" w:lineRule="exact"/>
        <w:ind w:firstLine="420" w:firstLineChars="200"/>
        <w:rPr>
          <w:rFonts w:hint="eastAsia" w:ascii="宋体" w:hAnsi="宋体"/>
          <w:szCs w:val="21"/>
        </w:rPr>
      </w:pPr>
      <w:r>
        <w:rPr>
          <w:rFonts w:hint="eastAsia" w:ascii="宋体" w:hAnsi="宋体"/>
          <w:szCs w:val="21"/>
        </w:rPr>
        <w:t>2</w:t>
      </w:r>
      <w:bookmarkStart w:id="11" w:name="OLE_LINK5"/>
      <w:r>
        <w:rPr>
          <w:rFonts w:hint="eastAsia" w:ascii="宋体" w:hAnsi="宋体"/>
          <w:szCs w:val="21"/>
        </w:rPr>
        <w:t>、</w:t>
      </w:r>
      <w:bookmarkEnd w:id="11"/>
      <w:r>
        <w:rPr>
          <w:rFonts w:hint="eastAsia" w:ascii="宋体" w:hAnsi="宋体"/>
          <w:szCs w:val="21"/>
        </w:rPr>
        <w:t>中标供应商交付的成果验收不合格的，经采购人要求整改再次验收仍不合格的或中标供应商提交的成果存在虚假、违法违规、重大错误的，采购人有权立即解除合同、要求中标供应商返还已经支付的款项并支付合同总额20%的违约金。</w:t>
      </w:r>
    </w:p>
    <w:p>
      <w:pPr>
        <w:spacing w:line="440" w:lineRule="exact"/>
        <w:ind w:firstLine="420" w:firstLineChars="200"/>
        <w:rPr>
          <w:rFonts w:hint="eastAsia" w:ascii="宋体" w:hAnsi="宋体"/>
          <w:szCs w:val="21"/>
        </w:rPr>
      </w:pPr>
      <w:r>
        <w:rPr>
          <w:rFonts w:hint="eastAsia" w:ascii="宋体" w:hAnsi="宋体"/>
          <w:szCs w:val="21"/>
        </w:rPr>
        <w:t>3、因中标供应商实施本项目过程中侵犯第三人合法权益或者违约导致采购人承担赔偿责任的，采购人有权向中标供应商追偿并有权解除合同、要求中标供应商返还已经支付的款项并支付合同总额20%的违约金。</w:t>
      </w:r>
    </w:p>
    <w:p>
      <w:pPr>
        <w:spacing w:line="440" w:lineRule="exact"/>
        <w:ind w:firstLine="420" w:firstLineChars="200"/>
        <w:rPr>
          <w:rFonts w:hint="eastAsia" w:ascii="宋体" w:hAnsi="宋体"/>
          <w:szCs w:val="21"/>
        </w:rPr>
      </w:pPr>
      <w:r>
        <w:rPr>
          <w:rFonts w:hint="eastAsia" w:ascii="宋体" w:hAnsi="宋体"/>
          <w:szCs w:val="21"/>
        </w:rPr>
        <w:t>4、中标供应商签订合同后，实际配备的工作人员与投标文件的承诺不一致的，或实施本项目时已不符合招标文件要求的，采购人有权解除合同，并要求中标供应商返还已经支付的款项并支付合同总额20%的违约金。</w:t>
      </w:r>
    </w:p>
    <w:p>
      <w:pPr>
        <w:spacing w:line="440" w:lineRule="exact"/>
        <w:ind w:firstLine="420" w:firstLineChars="200"/>
        <w:rPr>
          <w:rFonts w:hint="eastAsia" w:ascii="宋体" w:hAnsi="宋体"/>
          <w:szCs w:val="21"/>
        </w:rPr>
      </w:pPr>
      <w:r>
        <w:rPr>
          <w:rFonts w:hint="eastAsia" w:ascii="宋体" w:hAnsi="宋体"/>
          <w:szCs w:val="21"/>
        </w:rPr>
        <w:t>5、中标供应商无正当理由解除合同的，应向采购人支付合同总额20%的违约金。</w:t>
      </w:r>
    </w:p>
    <w:p>
      <w:pPr>
        <w:spacing w:line="440" w:lineRule="exact"/>
        <w:ind w:firstLine="420" w:firstLineChars="200"/>
        <w:rPr>
          <w:rFonts w:hint="eastAsia" w:ascii="宋体" w:hAnsi="宋体"/>
          <w:szCs w:val="21"/>
        </w:rPr>
      </w:pPr>
      <w:r>
        <w:rPr>
          <w:rFonts w:hint="eastAsia" w:ascii="宋体" w:hAnsi="宋体"/>
          <w:szCs w:val="21"/>
        </w:rPr>
        <w:t>6、中标供应商违反本需求知识产权相关内容的，应向采购人支付合同总额20%的违约金。</w:t>
      </w:r>
    </w:p>
    <w:p>
      <w:pPr>
        <w:spacing w:line="440" w:lineRule="exact"/>
        <w:ind w:firstLine="420" w:firstLineChars="200"/>
        <w:rPr>
          <w:rFonts w:hint="eastAsia" w:ascii="宋体" w:hAnsi="宋体"/>
          <w:szCs w:val="21"/>
        </w:rPr>
      </w:pPr>
      <w:r>
        <w:rPr>
          <w:rFonts w:hint="eastAsia" w:ascii="宋体" w:hAnsi="宋体"/>
          <w:szCs w:val="21"/>
        </w:rPr>
        <w:t>7、未经采购人同意，中标供应商将本合同项目的任务全部或者一部分转委托给第三人，采购人有权解除合同、要求中标供应商返还已经支付的款项并支付合同总额20%的违约金。</w:t>
      </w:r>
    </w:p>
    <w:p>
      <w:pPr>
        <w:spacing w:line="440" w:lineRule="exact"/>
        <w:ind w:firstLine="420" w:firstLineChars="200"/>
        <w:rPr>
          <w:rFonts w:ascii="宋体" w:hAnsi="宋体"/>
          <w:b/>
          <w:bCs/>
          <w:szCs w:val="21"/>
        </w:rPr>
      </w:pPr>
      <w:r>
        <w:rPr>
          <w:rFonts w:hint="eastAsia" w:ascii="宋体" w:hAnsi="宋体"/>
          <w:szCs w:val="21"/>
        </w:rPr>
        <w:t>8、采购人违约的，应按照《民法典》有关规定承担违约责任。</w:t>
      </w:r>
    </w:p>
    <w:p>
      <w:pPr>
        <w:spacing w:line="440" w:lineRule="exact"/>
        <w:ind w:firstLine="422" w:firstLineChars="200"/>
        <w:rPr>
          <w:rFonts w:ascii="宋体" w:hAnsi="宋体"/>
          <w:b/>
          <w:szCs w:val="24"/>
        </w:rPr>
      </w:pPr>
      <w:r>
        <w:rPr>
          <w:rFonts w:hint="eastAsia" w:ascii="宋体" w:hAnsi="宋体"/>
          <w:b/>
          <w:szCs w:val="24"/>
        </w:rPr>
        <w:t>六、知识产权</w:t>
      </w:r>
    </w:p>
    <w:p>
      <w:pPr>
        <w:spacing w:line="440" w:lineRule="exact"/>
        <w:ind w:firstLine="420" w:firstLineChars="200"/>
        <w:rPr>
          <w:rFonts w:ascii="宋体" w:hAnsi="宋体"/>
          <w:szCs w:val="24"/>
        </w:rPr>
      </w:pPr>
      <w:r>
        <w:rPr>
          <w:rFonts w:hint="eastAsia" w:ascii="宋体" w:hAnsi="宋体"/>
          <w:szCs w:val="21"/>
        </w:rPr>
        <w:t>1、中标人在项目实施过程中不得侵犯第三人知识产权以及其他权益。需要使用第三人知识产权的，中标人应取得权利人许可或者授权并由中标人承担费用</w:t>
      </w:r>
      <w:r>
        <w:rPr>
          <w:rFonts w:hint="eastAsia" w:ascii="宋体" w:hAnsi="宋体"/>
          <w:szCs w:val="24"/>
        </w:rPr>
        <w:t>。</w:t>
      </w:r>
    </w:p>
    <w:p>
      <w:pPr>
        <w:spacing w:line="440" w:lineRule="exact"/>
        <w:ind w:firstLine="417" w:firstLineChars="199"/>
        <w:rPr>
          <w:rFonts w:hint="eastAsia" w:ascii="宋体" w:hAnsi="宋体"/>
          <w:szCs w:val="24"/>
        </w:rPr>
      </w:pPr>
      <w:r>
        <w:rPr>
          <w:rFonts w:hint="eastAsia" w:ascii="宋体" w:hAnsi="宋体"/>
          <w:szCs w:val="21"/>
        </w:rPr>
        <w:t>2、除第三人依法享有知识产权的除外，中标人实施本项目所形成成果的知识产权归采购人所有，未经采购人许可，中标人不得随意使用</w:t>
      </w:r>
      <w:r>
        <w:rPr>
          <w:rFonts w:hint="eastAsia" w:ascii="宋体" w:hAnsi="宋体"/>
          <w:szCs w:val="24"/>
        </w:rPr>
        <w:t>。</w:t>
      </w:r>
    </w:p>
    <w:p>
      <w:pPr>
        <w:spacing w:line="440" w:lineRule="exact"/>
        <w:ind w:firstLine="422" w:firstLineChars="200"/>
        <w:rPr>
          <w:rFonts w:ascii="宋体" w:hAnsi="宋体"/>
          <w:b/>
          <w:bCs/>
          <w:szCs w:val="21"/>
        </w:rPr>
      </w:pPr>
      <w:r>
        <w:rPr>
          <w:rFonts w:hint="eastAsia" w:ascii="宋体" w:hAnsi="宋体"/>
          <w:b/>
          <w:bCs/>
          <w:szCs w:val="21"/>
        </w:rPr>
        <w:t>七、解决争议的方法</w:t>
      </w:r>
    </w:p>
    <w:p>
      <w:pPr>
        <w:spacing w:line="440" w:lineRule="exact"/>
        <w:ind w:firstLine="420" w:firstLineChars="200"/>
        <w:rPr>
          <w:rFonts w:hint="eastAsia" w:ascii="宋体" w:hAnsi="宋体"/>
          <w:szCs w:val="21"/>
        </w:rPr>
      </w:pPr>
      <w:r>
        <w:rPr>
          <w:rFonts w:hint="eastAsia" w:ascii="宋体" w:hAnsi="宋体"/>
          <w:szCs w:val="21"/>
        </w:rPr>
        <w:t>1、双方因履行本项目发生争议的，可协商解决，无法协商解决的应向采购人住所地有管辖权的人民法院提起诉讼。</w:t>
      </w:r>
    </w:p>
    <w:p>
      <w:pPr>
        <w:spacing w:line="440" w:lineRule="exact"/>
        <w:ind w:firstLine="420" w:firstLineChars="200"/>
        <w:rPr>
          <w:rFonts w:hint="eastAsia" w:ascii="宋体" w:hAnsi="宋体"/>
          <w:szCs w:val="21"/>
        </w:rPr>
      </w:pPr>
      <w:r>
        <w:rPr>
          <w:rFonts w:hint="eastAsia" w:ascii="宋体" w:hAnsi="宋体"/>
          <w:szCs w:val="21"/>
        </w:rPr>
        <w:t>2、诉讼进行过程中，双方将继续履行本项目未涉诉讼的其他部分。</w:t>
      </w:r>
    </w:p>
    <w:bookmarkEnd w:id="6"/>
    <w:p>
      <w:pPr>
        <w:spacing w:line="440" w:lineRule="exact"/>
        <w:ind w:firstLine="420" w:firstLineChars="199"/>
        <w:rPr>
          <w:rFonts w:ascii="宋体" w:hAnsi="宋体"/>
          <w:b/>
          <w:color w:val="000000"/>
          <w:szCs w:val="21"/>
        </w:rPr>
      </w:pPr>
    </w:p>
    <w:p>
      <w:pPr>
        <w:spacing w:line="440" w:lineRule="exact"/>
        <w:ind w:firstLine="420" w:firstLineChars="199"/>
        <w:rPr>
          <w:rFonts w:ascii="宋体" w:hAnsi="宋体"/>
          <w:b/>
          <w:color w:val="000000"/>
          <w:szCs w:val="21"/>
        </w:rPr>
      </w:pPr>
    </w:p>
    <w:p>
      <w:pPr>
        <w:rPr>
          <w:rFonts w:hint="eastAsia" w:ascii="微软雅黑" w:hAnsi="微软雅黑" w:eastAsia="微软雅黑" w:cs="微软雅黑"/>
          <w:b/>
          <w:bCs/>
          <w:caps/>
          <w:color w:val="000000"/>
          <w:sz w:val="24"/>
          <w:szCs w:val="24"/>
        </w:rPr>
      </w:pPr>
      <w:bookmarkStart w:id="12" w:name="_Toc15840"/>
      <w:bookmarkStart w:id="13" w:name="_Toc353262376"/>
      <w:bookmarkStart w:id="14" w:name="_Toc333420706"/>
      <w:r>
        <w:rPr>
          <w:rFonts w:hint="eastAsia" w:ascii="微软雅黑" w:hAnsi="微软雅黑" w:eastAsia="微软雅黑" w:cs="微软雅黑"/>
          <w:b/>
          <w:bCs/>
          <w:caps/>
          <w:color w:val="000000"/>
          <w:sz w:val="24"/>
          <w:szCs w:val="24"/>
        </w:rPr>
        <w:br w:type="page"/>
      </w:r>
    </w:p>
    <w:p>
      <w:pPr>
        <w:jc w:val="center"/>
        <w:outlineLvl w:val="1"/>
        <w:rPr>
          <w:rFonts w:ascii="微软雅黑" w:hAnsi="微软雅黑" w:eastAsia="微软雅黑" w:cs="微软雅黑"/>
          <w:b/>
          <w:bCs/>
          <w:caps/>
          <w:color w:val="000000"/>
          <w:sz w:val="24"/>
          <w:szCs w:val="24"/>
        </w:rPr>
      </w:pPr>
      <w:r>
        <w:rPr>
          <w:rFonts w:hint="eastAsia" w:ascii="微软雅黑" w:hAnsi="微软雅黑" w:eastAsia="微软雅黑" w:cs="微软雅黑"/>
          <w:b/>
          <w:bCs/>
          <w:caps/>
          <w:color w:val="000000"/>
          <w:sz w:val="24"/>
          <w:szCs w:val="24"/>
        </w:rPr>
        <w:t>第五节  投标</w:t>
      </w:r>
      <w:r>
        <w:rPr>
          <w:rFonts w:hint="eastAsia" w:ascii="微软雅黑" w:hAnsi="微软雅黑" w:eastAsia="微软雅黑" w:cs="微软雅黑"/>
          <w:b/>
          <w:bCs/>
          <w:color w:val="000000"/>
          <w:sz w:val="24"/>
          <w:szCs w:val="24"/>
        </w:rPr>
        <w:t>文件</w:t>
      </w:r>
      <w:r>
        <w:rPr>
          <w:rFonts w:hint="eastAsia" w:ascii="微软雅黑" w:hAnsi="微软雅黑" w:eastAsia="微软雅黑" w:cs="微软雅黑"/>
          <w:b/>
          <w:bCs/>
          <w:caps/>
          <w:color w:val="000000"/>
          <w:sz w:val="24"/>
          <w:szCs w:val="24"/>
        </w:rPr>
        <w:t>否决性条款摘要</w:t>
      </w:r>
      <w:bookmarkEnd w:id="12"/>
      <w:bookmarkEnd w:id="13"/>
      <w:bookmarkEnd w:id="14"/>
    </w:p>
    <w:p>
      <w:pPr>
        <w:spacing w:line="440" w:lineRule="exact"/>
        <w:ind w:firstLine="422" w:firstLineChars="200"/>
        <w:rPr>
          <w:rFonts w:ascii="宋体" w:hAnsi="宋体"/>
          <w:b/>
          <w:szCs w:val="21"/>
        </w:rPr>
      </w:pPr>
      <w:r>
        <w:rPr>
          <w:rFonts w:ascii="宋体" w:hAnsi="宋体"/>
          <w:b/>
        </w:rPr>
        <w:t>1、</w:t>
      </w:r>
      <w:r>
        <w:rPr>
          <w:rFonts w:ascii="宋体" w:hAnsi="宋体"/>
          <w:b/>
          <w:szCs w:val="21"/>
        </w:rPr>
        <w:t>投标文件有下列情形之一的，不予受理：</w:t>
      </w:r>
    </w:p>
    <w:p>
      <w:pPr>
        <w:spacing w:line="440" w:lineRule="exact"/>
        <w:ind w:firstLine="420" w:firstLineChars="200"/>
        <w:rPr>
          <w:rFonts w:ascii="宋体" w:hAnsi="宋体"/>
          <w:szCs w:val="21"/>
        </w:rPr>
      </w:pPr>
      <w:r>
        <w:rPr>
          <w:rFonts w:ascii="宋体" w:hAnsi="宋体"/>
        </w:rPr>
        <w:t xml:space="preserve">1.1  </w:t>
      </w:r>
      <w:r>
        <w:rPr>
          <w:rFonts w:ascii="宋体" w:hAnsi="宋体"/>
          <w:szCs w:val="21"/>
        </w:rPr>
        <w:t>在投标截止时间以后送达的，或者未送达指定地点的；</w:t>
      </w:r>
    </w:p>
    <w:p>
      <w:pPr>
        <w:spacing w:line="440" w:lineRule="exact"/>
        <w:ind w:firstLine="420" w:firstLineChars="200"/>
        <w:rPr>
          <w:rFonts w:ascii="宋体" w:hAnsi="宋体"/>
        </w:rPr>
      </w:pPr>
      <w:r>
        <w:rPr>
          <w:rFonts w:ascii="宋体" w:hAnsi="宋体"/>
        </w:rPr>
        <w:t xml:space="preserve">1.2  </w:t>
      </w:r>
      <w:r>
        <w:rPr>
          <w:rFonts w:hint="eastAsia" w:ascii="宋体" w:hAnsi="宋体"/>
        </w:rPr>
        <w:t>投标文件未密封的；</w:t>
      </w:r>
    </w:p>
    <w:p>
      <w:pPr>
        <w:spacing w:line="440" w:lineRule="exact"/>
        <w:ind w:firstLine="420" w:firstLineChars="200"/>
        <w:rPr>
          <w:rFonts w:ascii="宋体" w:hAnsi="宋体"/>
          <w:b/>
          <w:szCs w:val="21"/>
        </w:rPr>
      </w:pPr>
      <w:r>
        <w:rPr>
          <w:rFonts w:hint="eastAsia" w:ascii="宋体" w:hAnsi="宋体"/>
        </w:rPr>
        <w:t xml:space="preserve">1.3  </w:t>
      </w:r>
      <w:r>
        <w:rPr>
          <w:rFonts w:ascii="宋体" w:hAnsi="宋体"/>
          <w:szCs w:val="21"/>
        </w:rPr>
        <w:t>投标人的名称与</w:t>
      </w:r>
      <w:bookmarkStart w:id="15" w:name="_Toc76871384"/>
      <w:r>
        <w:rPr>
          <w:rFonts w:ascii="宋体" w:hAnsi="宋体"/>
          <w:szCs w:val="21"/>
        </w:rPr>
        <w:t>购买招标文件时登记</w:t>
      </w:r>
      <w:bookmarkEnd w:id="15"/>
      <w:r>
        <w:rPr>
          <w:rFonts w:ascii="宋体" w:hAnsi="宋体"/>
          <w:szCs w:val="21"/>
        </w:rPr>
        <w:t>的不一致的。</w:t>
      </w:r>
    </w:p>
    <w:p>
      <w:pPr>
        <w:spacing w:line="440" w:lineRule="exact"/>
        <w:ind w:firstLine="422" w:firstLineChars="200"/>
        <w:rPr>
          <w:rFonts w:ascii="宋体" w:hAnsi="宋体"/>
          <w:b/>
          <w:szCs w:val="21"/>
        </w:rPr>
      </w:pPr>
      <w:r>
        <w:rPr>
          <w:rFonts w:ascii="宋体" w:hAnsi="宋体"/>
          <w:b/>
        </w:rPr>
        <w:t>2</w:t>
      </w:r>
      <w:r>
        <w:rPr>
          <w:rFonts w:hint="eastAsia" w:ascii="宋体" w:hAnsi="宋体"/>
          <w:b/>
        </w:rPr>
        <w:t>、</w:t>
      </w:r>
      <w:r>
        <w:rPr>
          <w:rFonts w:ascii="宋体" w:hAnsi="宋体"/>
          <w:b/>
          <w:szCs w:val="21"/>
        </w:rPr>
        <w:t>投标文件有下列</w:t>
      </w:r>
      <w:r>
        <w:rPr>
          <w:rFonts w:hint="eastAsia" w:ascii="宋体" w:hAnsi="宋体"/>
          <w:b/>
          <w:szCs w:val="21"/>
        </w:rPr>
        <w:t>情形之一的，按无效标处理：</w:t>
      </w:r>
    </w:p>
    <w:p>
      <w:pPr>
        <w:spacing w:line="440" w:lineRule="exact"/>
        <w:ind w:firstLine="420" w:firstLineChars="200"/>
        <w:rPr>
          <w:rFonts w:ascii="宋体" w:hAnsi="宋体"/>
          <w:szCs w:val="21"/>
        </w:rPr>
      </w:pPr>
      <w:r>
        <w:rPr>
          <w:rFonts w:hint="eastAsia" w:ascii="宋体" w:hAnsi="宋体"/>
        </w:rPr>
        <w:t xml:space="preserve">2.1  </w:t>
      </w:r>
      <w:r>
        <w:rPr>
          <w:rFonts w:hint="eastAsia" w:ascii="宋体" w:hAnsi="宋体"/>
          <w:szCs w:val="21"/>
        </w:rPr>
        <w:t>投标人未按照招标文件的要求提供投标保证金的；</w:t>
      </w:r>
      <w:r>
        <w:rPr>
          <w:rFonts w:ascii="宋体" w:hAnsi="宋体"/>
          <w:szCs w:val="21"/>
        </w:rPr>
        <w:t xml:space="preserve"> </w:t>
      </w:r>
    </w:p>
    <w:p>
      <w:pPr>
        <w:spacing w:line="440" w:lineRule="exact"/>
        <w:ind w:firstLine="420" w:firstLineChars="200"/>
        <w:rPr>
          <w:rFonts w:ascii="宋体" w:hAnsi="宋体"/>
          <w:szCs w:val="21"/>
        </w:rPr>
      </w:pPr>
      <w:r>
        <w:rPr>
          <w:rFonts w:hint="eastAsia" w:ascii="宋体" w:hAnsi="宋体"/>
          <w:szCs w:val="21"/>
        </w:rPr>
        <w:t>2.2  投标文件无法定代表人签字或盖章，或签字人无法定代表人有效授权委托书原件的；</w:t>
      </w:r>
    </w:p>
    <w:p>
      <w:pPr>
        <w:spacing w:line="440" w:lineRule="exact"/>
        <w:ind w:firstLine="420" w:firstLineChars="200"/>
        <w:rPr>
          <w:rFonts w:ascii="宋体" w:hAnsi="宋体"/>
          <w:szCs w:val="21"/>
        </w:rPr>
      </w:pPr>
      <w:r>
        <w:rPr>
          <w:rFonts w:hint="eastAsia" w:ascii="宋体" w:hAnsi="宋体"/>
          <w:szCs w:val="21"/>
        </w:rPr>
        <w:t>2.3  投标人资格条件不符合国家有关规定和招标文件要求；</w:t>
      </w:r>
    </w:p>
    <w:p>
      <w:pPr>
        <w:spacing w:line="440" w:lineRule="exact"/>
        <w:ind w:firstLine="420" w:firstLineChars="200"/>
        <w:rPr>
          <w:rFonts w:ascii="宋体" w:hAnsi="宋体"/>
          <w:szCs w:val="21"/>
        </w:rPr>
      </w:pPr>
      <w:r>
        <w:rPr>
          <w:rFonts w:hint="eastAsia" w:ascii="宋体" w:hAnsi="宋体"/>
          <w:szCs w:val="21"/>
        </w:rPr>
        <w:t>2.4  投标总价或分项报价超过预算控制金额的；</w:t>
      </w:r>
      <w:r>
        <w:rPr>
          <w:rFonts w:ascii="宋体" w:hAnsi="宋体"/>
          <w:szCs w:val="21"/>
        </w:rPr>
        <w:t xml:space="preserve"> </w:t>
      </w:r>
    </w:p>
    <w:p>
      <w:pPr>
        <w:spacing w:line="440" w:lineRule="exact"/>
        <w:ind w:firstLine="420" w:firstLineChars="200"/>
        <w:rPr>
          <w:rFonts w:ascii="宋体" w:hAnsi="宋体"/>
          <w:szCs w:val="21"/>
        </w:rPr>
      </w:pPr>
      <w:r>
        <w:rPr>
          <w:rFonts w:hint="eastAsia" w:ascii="宋体" w:hAnsi="宋体"/>
          <w:szCs w:val="21"/>
        </w:rPr>
        <w:t>2.5  开标一览表出现无报价或报价为零或有选择性报价的；</w:t>
      </w:r>
    </w:p>
    <w:p>
      <w:pPr>
        <w:spacing w:line="440" w:lineRule="exact"/>
        <w:ind w:firstLine="420" w:firstLineChars="200"/>
        <w:rPr>
          <w:rFonts w:ascii="宋体" w:hAnsi="宋体"/>
          <w:szCs w:val="21"/>
        </w:rPr>
      </w:pPr>
      <w:r>
        <w:rPr>
          <w:rFonts w:hint="eastAsia" w:ascii="宋体" w:hAnsi="宋体"/>
          <w:szCs w:val="21"/>
        </w:rPr>
        <w:t xml:space="preserve">2.6  </w:t>
      </w:r>
      <w:r>
        <w:rPr>
          <w:rFonts w:hint="eastAsia" w:ascii="宋体" w:hAnsi="宋体"/>
          <w:spacing w:val="-2"/>
          <w:szCs w:val="21"/>
        </w:rPr>
        <w:t>投标人以他人的名义投标、串通投标、以行贿手段谋取中标或者以其他弄虚作假方式投标；</w:t>
      </w:r>
    </w:p>
    <w:p>
      <w:pPr>
        <w:spacing w:line="440" w:lineRule="exact"/>
        <w:ind w:firstLine="420" w:firstLineChars="200"/>
        <w:rPr>
          <w:rFonts w:ascii="宋体" w:hAnsi="宋体"/>
          <w:szCs w:val="21"/>
        </w:rPr>
      </w:pPr>
      <w:r>
        <w:rPr>
          <w:rFonts w:hint="eastAsia" w:ascii="宋体" w:hAnsi="宋体"/>
          <w:szCs w:val="21"/>
        </w:rPr>
        <w:t xml:space="preserve">2.7  </w:t>
      </w:r>
      <w:r>
        <w:rPr>
          <w:rFonts w:hint="eastAsia" w:ascii="宋体" w:hAnsi="宋体"/>
          <w:spacing w:val="-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2.8  投标人拒不按照要求对投标文件进行澄清、说明或者补正的；</w:t>
      </w:r>
    </w:p>
    <w:p>
      <w:pPr>
        <w:spacing w:line="440" w:lineRule="exact"/>
        <w:ind w:firstLine="420" w:firstLineChars="200"/>
        <w:rPr>
          <w:rFonts w:ascii="宋体" w:hAnsi="宋体"/>
          <w:szCs w:val="21"/>
        </w:rPr>
      </w:pPr>
      <w:r>
        <w:rPr>
          <w:rFonts w:hint="eastAsia" w:ascii="宋体" w:hAnsi="宋体"/>
          <w:szCs w:val="21"/>
        </w:rPr>
        <w:t>2.9  文件的关键内容字迹模糊、无法辨认的；</w:t>
      </w:r>
    </w:p>
    <w:p>
      <w:pPr>
        <w:spacing w:line="440" w:lineRule="exact"/>
        <w:ind w:firstLine="420" w:firstLineChars="200"/>
        <w:rPr>
          <w:rFonts w:ascii="宋体" w:hAnsi="宋体"/>
          <w:szCs w:val="21"/>
        </w:rPr>
      </w:pPr>
      <w:r>
        <w:rPr>
          <w:rFonts w:hint="eastAsia" w:ascii="宋体" w:hAnsi="宋体"/>
          <w:szCs w:val="21"/>
        </w:rPr>
        <w:t>2.10  投标函未按规定填写的；</w:t>
      </w:r>
    </w:p>
    <w:p>
      <w:pPr>
        <w:spacing w:line="440" w:lineRule="exact"/>
        <w:ind w:firstLine="420" w:firstLineChars="200"/>
        <w:rPr>
          <w:rFonts w:ascii="宋体" w:hAnsi="宋体"/>
          <w:szCs w:val="21"/>
        </w:rPr>
      </w:pPr>
      <w:r>
        <w:rPr>
          <w:rFonts w:hint="eastAsia" w:ascii="宋体" w:hAnsi="宋体"/>
          <w:szCs w:val="21"/>
        </w:rPr>
        <w:t>2.11  投标有效期不足的；</w:t>
      </w:r>
    </w:p>
    <w:p>
      <w:pPr>
        <w:spacing w:line="440" w:lineRule="exact"/>
        <w:ind w:firstLine="420" w:firstLineChars="200"/>
        <w:rPr>
          <w:rFonts w:ascii="宋体" w:hAnsi="宋体"/>
          <w:szCs w:val="21"/>
        </w:rPr>
      </w:pPr>
      <w:r>
        <w:rPr>
          <w:rFonts w:hint="eastAsia" w:ascii="宋体" w:hAnsi="宋体"/>
          <w:szCs w:val="21"/>
        </w:rPr>
        <w:t xml:space="preserve">2.12  </w:t>
      </w:r>
      <w:r>
        <w:rPr>
          <w:rFonts w:hint="eastAsia" w:ascii="宋体" w:hAnsi="宋体"/>
          <w:spacing w:val="-6"/>
          <w:szCs w:val="21"/>
        </w:rPr>
        <w:t>投标人的投标未能在实质上响应招标文件提出的所有实质性要求和条件（不可偏离条款）的；</w:t>
      </w:r>
    </w:p>
    <w:p>
      <w:pPr>
        <w:spacing w:line="440" w:lineRule="exact"/>
        <w:ind w:firstLine="420" w:firstLineChars="200"/>
        <w:rPr>
          <w:rFonts w:ascii="宋体" w:hAnsi="宋体"/>
          <w:szCs w:val="21"/>
        </w:rPr>
      </w:pPr>
      <w:r>
        <w:rPr>
          <w:rFonts w:hint="eastAsia" w:ascii="宋体" w:hAnsi="宋体"/>
          <w:szCs w:val="21"/>
        </w:rPr>
        <w:t xml:space="preserve">2.13  </w:t>
      </w:r>
      <w:r>
        <w:rPr>
          <w:rFonts w:ascii="宋体" w:hAnsi="宋体"/>
          <w:szCs w:val="21"/>
        </w:rPr>
        <w:t>投标报价有严重缺漏项目的</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2.14  联合体投标未附联合体各方共同投标协议的；联合体成员</w:t>
      </w:r>
      <w:r>
        <w:rPr>
          <w:rFonts w:ascii="宋体" w:hAnsi="宋体"/>
          <w:szCs w:val="21"/>
        </w:rPr>
        <w:t>再以自己名义单独投标，</w:t>
      </w:r>
      <w:r>
        <w:rPr>
          <w:rFonts w:hint="eastAsia" w:ascii="宋体" w:hAnsi="宋体"/>
          <w:szCs w:val="21"/>
        </w:rPr>
        <w:t>及</w:t>
      </w:r>
      <w:r>
        <w:rPr>
          <w:rFonts w:ascii="宋体" w:hAnsi="宋体"/>
          <w:szCs w:val="21"/>
        </w:rPr>
        <w:t>组成或参加其他联合体在同一项目中投标</w:t>
      </w:r>
      <w:r>
        <w:rPr>
          <w:rFonts w:hint="eastAsia" w:ascii="宋体" w:hAnsi="宋体"/>
          <w:szCs w:val="21"/>
        </w:rPr>
        <w:t>的；</w:t>
      </w:r>
    </w:p>
    <w:p>
      <w:pPr>
        <w:spacing w:line="440" w:lineRule="exact"/>
        <w:ind w:firstLine="420" w:firstLineChars="200"/>
        <w:rPr>
          <w:rFonts w:ascii="宋体" w:hAnsi="宋体"/>
          <w:szCs w:val="21"/>
        </w:rPr>
      </w:pPr>
      <w:r>
        <w:rPr>
          <w:rFonts w:hint="eastAsia" w:ascii="宋体" w:hAnsi="宋体"/>
          <w:szCs w:val="21"/>
        </w:rPr>
        <w:t xml:space="preserve">2.15  </w:t>
      </w:r>
      <w:r>
        <w:rPr>
          <w:rFonts w:ascii="宋体" w:hAnsi="宋体"/>
          <w:szCs w:val="21"/>
        </w:rPr>
        <w:t>投标人递交两份或多份内容不同</w:t>
      </w:r>
      <w:r>
        <w:rPr>
          <w:rFonts w:hint="eastAsia" w:ascii="宋体" w:hAnsi="宋体"/>
          <w:szCs w:val="21"/>
        </w:rPr>
        <w:t>投标方案（</w:t>
      </w:r>
      <w:r>
        <w:rPr>
          <w:rFonts w:ascii="宋体" w:hAnsi="宋体"/>
          <w:szCs w:val="21"/>
        </w:rPr>
        <w:t>招标文件规定提交备选投标方案的除外</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hint="eastAsia" w:ascii="宋体" w:hAnsi="宋体"/>
          <w:szCs w:val="21"/>
        </w:rPr>
        <w:t>2.16  投标文件只对</w:t>
      </w:r>
      <w:r>
        <w:rPr>
          <w:rFonts w:ascii="宋体" w:hAnsi="宋体"/>
          <w:szCs w:val="21"/>
        </w:rPr>
        <w:t>同一</w:t>
      </w:r>
      <w:r>
        <w:rPr>
          <w:rFonts w:hint="eastAsia" w:ascii="宋体" w:hAnsi="宋体"/>
          <w:szCs w:val="21"/>
        </w:rPr>
        <w:t>项目</w:t>
      </w:r>
      <w:r>
        <w:rPr>
          <w:rFonts w:ascii="宋体" w:hAnsi="宋体"/>
          <w:szCs w:val="21"/>
        </w:rPr>
        <w:t>包中的</w:t>
      </w:r>
      <w:r>
        <w:rPr>
          <w:rFonts w:hint="eastAsia" w:ascii="宋体" w:hAnsi="宋体"/>
          <w:szCs w:val="21"/>
        </w:rPr>
        <w:t>部分</w:t>
      </w:r>
      <w:r>
        <w:rPr>
          <w:rFonts w:ascii="宋体" w:hAnsi="宋体"/>
          <w:szCs w:val="21"/>
        </w:rPr>
        <w:t>内容</w:t>
      </w:r>
      <w:r>
        <w:rPr>
          <w:rFonts w:hint="eastAsia" w:ascii="宋体" w:hAnsi="宋体"/>
          <w:szCs w:val="21"/>
        </w:rPr>
        <w:t>投标，或把</w:t>
      </w:r>
      <w:r>
        <w:rPr>
          <w:rFonts w:ascii="宋体" w:hAnsi="宋体"/>
          <w:szCs w:val="21"/>
        </w:rPr>
        <w:t>同一</w:t>
      </w:r>
      <w:r>
        <w:rPr>
          <w:rFonts w:hint="eastAsia" w:ascii="宋体" w:hAnsi="宋体"/>
          <w:szCs w:val="21"/>
        </w:rPr>
        <w:t>项目</w:t>
      </w:r>
      <w:r>
        <w:rPr>
          <w:rFonts w:ascii="宋体" w:hAnsi="宋体"/>
          <w:szCs w:val="21"/>
        </w:rPr>
        <w:t>包中</w:t>
      </w:r>
      <w:r>
        <w:rPr>
          <w:rFonts w:hint="eastAsia" w:ascii="宋体" w:hAnsi="宋体"/>
          <w:szCs w:val="21"/>
        </w:rPr>
        <w:t>的内容拆开的投标；</w:t>
      </w:r>
    </w:p>
    <w:p>
      <w:pPr>
        <w:spacing w:line="440" w:lineRule="exact"/>
        <w:ind w:firstLine="420" w:firstLineChars="200"/>
        <w:rPr>
          <w:rFonts w:ascii="宋体" w:hAnsi="宋体"/>
          <w:szCs w:val="21"/>
        </w:rPr>
      </w:pPr>
      <w:r>
        <w:rPr>
          <w:rFonts w:hint="eastAsia" w:ascii="宋体" w:hAnsi="宋体"/>
          <w:szCs w:val="21"/>
        </w:rPr>
        <w:t>2.17  评标委员会根据招标文件的规定对投标文件的计算错误进行修正，投标人不接受修正后的投标报价的；</w:t>
      </w:r>
    </w:p>
    <w:p>
      <w:pPr>
        <w:spacing w:line="440" w:lineRule="exact"/>
        <w:ind w:firstLine="420" w:firstLineChars="200"/>
        <w:rPr>
          <w:rFonts w:ascii="宋体" w:hAnsi="宋体"/>
          <w:szCs w:val="21"/>
        </w:rPr>
      </w:pPr>
      <w:r>
        <w:rPr>
          <w:rFonts w:hint="eastAsia" w:ascii="宋体" w:hAnsi="宋体"/>
          <w:szCs w:val="21"/>
        </w:rPr>
        <w:t>2.18  投标文件符合法律、法规及</w:t>
      </w:r>
      <w:r>
        <w:rPr>
          <w:rFonts w:hint="eastAsia" w:ascii="宋体" w:hAnsi="宋体"/>
        </w:rPr>
        <w:t>招标文件中规定的其他否决因素的。</w:t>
      </w:r>
    </w:p>
    <w:p>
      <w:pPr>
        <w:spacing w:line="440" w:lineRule="exact"/>
        <w:jc w:val="center"/>
        <w:rPr>
          <w:rFonts w:ascii="黑体" w:hAnsi="宋体" w:eastAsia="黑体"/>
          <w:bCs/>
          <w:color w:val="000000"/>
          <w:sz w:val="24"/>
          <w:szCs w:val="24"/>
        </w:rPr>
      </w:pPr>
    </w:p>
    <w:p>
      <w:pPr>
        <w:rPr>
          <w:rFonts w:hint="eastAsia" w:ascii="微软雅黑" w:hAnsi="微软雅黑" w:eastAsia="微软雅黑" w:cs="微软雅黑"/>
          <w:b/>
          <w:color w:val="000000"/>
          <w:sz w:val="24"/>
          <w:szCs w:val="24"/>
        </w:rPr>
      </w:pPr>
      <w:bookmarkStart w:id="16" w:name="_Toc921"/>
      <w:r>
        <w:rPr>
          <w:rFonts w:hint="eastAsia" w:ascii="微软雅黑" w:hAnsi="微软雅黑" w:eastAsia="微软雅黑" w:cs="微软雅黑"/>
          <w:b/>
          <w:color w:val="000000"/>
          <w:sz w:val="24"/>
          <w:szCs w:val="24"/>
        </w:rPr>
        <w:br w:type="page"/>
      </w:r>
    </w:p>
    <w:p>
      <w:pPr>
        <w:jc w:val="center"/>
        <w:outlineLvl w:val="1"/>
        <w:rPr>
          <w:rFonts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第六节  评标方法及程序</w:t>
      </w:r>
      <w:bookmarkEnd w:id="16"/>
    </w:p>
    <w:p>
      <w:pPr>
        <w:spacing w:line="360" w:lineRule="exact"/>
        <w:ind w:firstLine="422" w:firstLineChars="200"/>
        <w:rPr>
          <w:rFonts w:ascii="宋体" w:hAnsi="宋体"/>
          <w:b/>
          <w:bCs/>
          <w:szCs w:val="21"/>
        </w:rPr>
      </w:pPr>
      <w:r>
        <w:rPr>
          <w:rFonts w:hint="eastAsia" w:ascii="宋体" w:hAnsi="宋体"/>
          <w:b/>
          <w:bCs/>
          <w:szCs w:val="21"/>
        </w:rPr>
        <w:t>一、本项目评标及定标方法</w:t>
      </w:r>
    </w:p>
    <w:tbl>
      <w:tblPr>
        <w:tblStyle w:val="5"/>
        <w:tblW w:w="921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5"/>
        <w:gridCol w:w="1770"/>
        <w:gridCol w:w="66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blHeader/>
          <w:jc w:val="center"/>
        </w:trPr>
        <w:tc>
          <w:tcPr>
            <w:tcW w:w="785" w:type="dxa"/>
            <w:vAlign w:val="center"/>
          </w:tcPr>
          <w:p>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序号</w:t>
            </w:r>
          </w:p>
        </w:tc>
        <w:tc>
          <w:tcPr>
            <w:tcW w:w="1770" w:type="dxa"/>
            <w:vAlign w:val="center"/>
          </w:tcPr>
          <w:p>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项目</w:t>
            </w:r>
          </w:p>
        </w:tc>
        <w:tc>
          <w:tcPr>
            <w:tcW w:w="6660" w:type="dxa"/>
            <w:vAlign w:val="center"/>
          </w:tcPr>
          <w:p>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szCs w:val="21"/>
              </w:rPr>
            </w:pPr>
            <w:r>
              <w:rPr>
                <w:rFonts w:hint="eastAsia" w:ascii="宋体" w:hAnsi="宋体" w:eastAsiaTheme="minorEastAsia" w:cstheme="minorBidi"/>
                <w:bCs/>
                <w:szCs w:val="21"/>
              </w:rPr>
              <w:t>1</w:t>
            </w:r>
          </w:p>
        </w:tc>
        <w:tc>
          <w:tcPr>
            <w:tcW w:w="1770" w:type="dxa"/>
            <w:vAlign w:val="center"/>
          </w:tcPr>
          <w:p>
            <w:pPr>
              <w:spacing w:line="440" w:lineRule="exact"/>
              <w:rPr>
                <w:rFonts w:ascii="宋体" w:hAnsi="宋体" w:eastAsiaTheme="minorEastAsia" w:cstheme="minorBidi"/>
                <w:bCs/>
                <w:szCs w:val="21"/>
              </w:rPr>
            </w:pPr>
            <w:r>
              <w:rPr>
                <w:rFonts w:hint="eastAsia" w:ascii="宋体" w:hAnsi="宋体" w:eastAsiaTheme="minorEastAsia" w:cstheme="minorBidi"/>
                <w:bCs/>
                <w:szCs w:val="21"/>
              </w:rPr>
              <w:t>定标方式</w:t>
            </w:r>
          </w:p>
        </w:tc>
        <w:tc>
          <w:tcPr>
            <w:tcW w:w="6660" w:type="dxa"/>
            <w:vAlign w:val="center"/>
          </w:tcPr>
          <w:p>
            <w:pPr>
              <w:spacing w:line="440" w:lineRule="exact"/>
              <w:rPr>
                <w:rFonts w:ascii="宋体" w:hAnsi="宋体" w:eastAsiaTheme="minorEastAsia" w:cstheme="minorBidi"/>
                <w:b/>
                <w:bCs/>
                <w:szCs w:val="21"/>
              </w:rPr>
            </w:pPr>
            <w:r>
              <w:rPr>
                <w:rFonts w:hint="eastAsia" w:ascii="MS Mincho" w:hAnsi="MS Mincho" w:cs="MS Mincho" w:eastAsiaTheme="minorEastAsia"/>
                <w:snapToGrid w:val="0"/>
                <w:kern w:val="0"/>
                <w:szCs w:val="21"/>
              </w:rPr>
              <w:t xml:space="preserve">■ </w:t>
            </w:r>
            <w:r>
              <w:rPr>
                <w:rFonts w:hint="eastAsia" w:ascii="宋体" w:hAnsi="宋体" w:eastAsiaTheme="minorEastAsia" w:cstheme="minorBidi"/>
                <w:szCs w:val="21"/>
              </w:rPr>
              <w:t xml:space="preserve">授权评标委员会确定中标单位   </w:t>
            </w:r>
            <w:r>
              <w:rPr>
                <w:rFonts w:hint="eastAsia" w:ascii="宋体" w:hAnsi="宋体" w:eastAsiaTheme="minorEastAsia" w:cstheme="minorBidi"/>
                <w:snapToGrid w:val="0"/>
                <w:kern w:val="0"/>
                <w:szCs w:val="21"/>
              </w:rPr>
              <w:t xml:space="preserve">□ </w:t>
            </w:r>
            <w:r>
              <w:rPr>
                <w:rFonts w:hint="eastAsia" w:asciiTheme="minorHAnsi" w:hAnsiTheme="minorHAnsi" w:eastAsiaTheme="minorEastAsia" w:cstheme="minorBidi"/>
                <w:szCs w:val="22"/>
              </w:rPr>
              <w:t>评标和定标分离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szCs w:val="21"/>
              </w:rPr>
            </w:pPr>
            <w:r>
              <w:rPr>
                <w:rFonts w:hint="eastAsia" w:ascii="宋体" w:hAnsi="宋体" w:eastAsiaTheme="minorEastAsia" w:cstheme="minorBidi"/>
                <w:bCs/>
                <w:szCs w:val="21"/>
              </w:rPr>
              <w:t>2</w:t>
            </w:r>
          </w:p>
        </w:tc>
        <w:tc>
          <w:tcPr>
            <w:tcW w:w="1770" w:type="dxa"/>
            <w:vAlign w:val="center"/>
          </w:tcPr>
          <w:p>
            <w:pPr>
              <w:spacing w:line="440" w:lineRule="exact"/>
              <w:rPr>
                <w:rFonts w:ascii="宋体" w:hAnsi="宋体" w:eastAsiaTheme="minorEastAsia" w:cstheme="minorBidi"/>
                <w:bCs/>
                <w:szCs w:val="21"/>
              </w:rPr>
            </w:pPr>
            <w:r>
              <w:rPr>
                <w:rFonts w:hint="eastAsia" w:ascii="宋体" w:hAnsi="宋体" w:eastAsiaTheme="minorEastAsia" w:cstheme="minorBidi"/>
                <w:bCs/>
                <w:szCs w:val="21"/>
              </w:rPr>
              <w:t>评标方法</w:t>
            </w:r>
          </w:p>
        </w:tc>
        <w:tc>
          <w:tcPr>
            <w:tcW w:w="6660" w:type="dxa"/>
            <w:vAlign w:val="center"/>
          </w:tcPr>
          <w:p>
            <w:pPr>
              <w:spacing w:line="440" w:lineRule="exact"/>
              <w:rPr>
                <w:rFonts w:ascii="宋体" w:hAnsi="宋体" w:eastAsiaTheme="minorEastAsia" w:cstheme="minorBidi"/>
                <w:b/>
                <w:bCs/>
                <w:szCs w:val="21"/>
              </w:rPr>
            </w:pPr>
            <w:r>
              <w:rPr>
                <w:rFonts w:hint="eastAsia" w:ascii="MS Mincho" w:hAnsi="MS Mincho" w:cs="MS Mincho" w:eastAsiaTheme="minorEastAsia"/>
                <w:snapToGrid w:val="0"/>
                <w:kern w:val="0"/>
                <w:szCs w:val="21"/>
              </w:rPr>
              <w:t xml:space="preserve">■ </w:t>
            </w:r>
            <w:r>
              <w:rPr>
                <w:rFonts w:hint="eastAsia" w:ascii="宋体" w:hAnsi="宋体" w:eastAsiaTheme="minorEastAsia" w:cstheme="minorBidi"/>
                <w:szCs w:val="21"/>
              </w:rPr>
              <w:t xml:space="preserve">综合评分法    </w:t>
            </w:r>
            <w:r>
              <w:rPr>
                <w:rFonts w:ascii="宋体" w:hAnsi="宋体" w:eastAsiaTheme="minorEastAsia" w:cstheme="minorBidi"/>
                <w:szCs w:val="21"/>
              </w:rPr>
              <w:t xml:space="preserve">               </w:t>
            </w:r>
            <w:r>
              <w:rPr>
                <w:rFonts w:hint="eastAsia" w:ascii="宋体" w:hAnsi="宋体" w:eastAsiaTheme="minorEastAsia" w:cstheme="minorBidi"/>
                <w:snapToGrid w:val="0"/>
                <w:kern w:val="0"/>
                <w:szCs w:val="21"/>
              </w:rPr>
              <w:t xml:space="preserve">□ </w:t>
            </w:r>
            <w:r>
              <w:rPr>
                <w:rFonts w:hint="eastAsia" w:ascii="Calibri" w:hAnsi="Calibri" w:eastAsiaTheme="minorEastAsia" w:cstheme="minorBidi"/>
                <w:szCs w:val="21"/>
              </w:rPr>
              <w:t>最低价法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szCs w:val="21"/>
              </w:rPr>
            </w:pPr>
            <w:r>
              <w:rPr>
                <w:rFonts w:ascii="宋体" w:hAnsi="宋体" w:eastAsiaTheme="minorEastAsia" w:cstheme="minorBidi"/>
                <w:bCs/>
                <w:szCs w:val="21"/>
              </w:rPr>
              <w:t>3</w:t>
            </w:r>
          </w:p>
        </w:tc>
        <w:tc>
          <w:tcPr>
            <w:tcW w:w="1770" w:type="dxa"/>
            <w:vAlign w:val="center"/>
          </w:tcPr>
          <w:p>
            <w:pPr>
              <w:spacing w:line="440" w:lineRule="exact"/>
              <w:rPr>
                <w:rFonts w:ascii="宋体" w:hAnsi="宋体" w:eastAsiaTheme="minorEastAsia" w:cstheme="minorBidi"/>
                <w:bCs/>
                <w:szCs w:val="21"/>
              </w:rPr>
            </w:pPr>
            <w:r>
              <w:rPr>
                <w:rFonts w:hint="eastAsia" w:ascii="宋体" w:hAnsi="宋体" w:eastAsiaTheme="minorEastAsia" w:cstheme="minorBidi"/>
                <w:bCs/>
                <w:szCs w:val="21"/>
              </w:rPr>
              <w:t>价格评审优惠政策</w:t>
            </w:r>
          </w:p>
        </w:tc>
        <w:tc>
          <w:tcPr>
            <w:tcW w:w="6660" w:type="dxa"/>
            <w:vAlign w:val="center"/>
          </w:tcPr>
          <w:p>
            <w:pPr>
              <w:spacing w:line="440" w:lineRule="exact"/>
              <w:rPr>
                <w:rFonts w:asciiTheme="majorEastAsia" w:hAnsiTheme="majorEastAsia" w:eastAsiaTheme="majorEastAsia" w:cstheme="majorEastAsia"/>
                <w:szCs w:val="22"/>
                <w:highlight w:val="none"/>
              </w:rPr>
            </w:pPr>
            <w:r>
              <w:rPr>
                <w:rFonts w:hint="eastAsia" w:asciiTheme="majorEastAsia" w:hAnsiTheme="majorEastAsia" w:eastAsiaTheme="majorEastAsia" w:cstheme="majorEastAsia"/>
                <w:szCs w:val="22"/>
              </w:rPr>
              <w:t>1、小型</w:t>
            </w:r>
            <w:r>
              <w:rPr>
                <w:rFonts w:hint="eastAsia" w:asciiTheme="majorEastAsia" w:hAnsiTheme="majorEastAsia" w:eastAsiaTheme="majorEastAsia" w:cstheme="majorEastAsia"/>
                <w:szCs w:val="22"/>
                <w:highlight w:val="none"/>
              </w:rPr>
              <w:t>企业、微型企业、监狱企业、残疾人福利性单位承接服务，对其价格给予</w:t>
            </w:r>
            <w:r>
              <w:rPr>
                <w:rFonts w:hint="eastAsia" w:asciiTheme="majorEastAsia" w:hAnsiTheme="majorEastAsia" w:eastAsiaTheme="majorEastAsia" w:cstheme="majorEastAsia"/>
                <w:szCs w:val="22"/>
                <w:highlight w:val="none"/>
                <w:u w:val="single"/>
                <w:lang w:eastAsia="zh-CN"/>
              </w:rPr>
              <w:t xml:space="preserve"> </w:t>
            </w:r>
            <w:r>
              <w:rPr>
                <w:rFonts w:hint="eastAsia" w:asciiTheme="majorEastAsia" w:hAnsiTheme="majorEastAsia" w:eastAsiaTheme="majorEastAsia" w:cstheme="majorEastAsia"/>
                <w:szCs w:val="22"/>
                <w:highlight w:val="none"/>
                <w:u w:val="single"/>
                <w:lang w:val="en-US" w:eastAsia="zh-CN"/>
              </w:rPr>
              <w:t xml:space="preserve"> 10  </w:t>
            </w:r>
            <w:r>
              <w:rPr>
                <w:rFonts w:hint="eastAsia" w:asciiTheme="majorEastAsia" w:hAnsiTheme="majorEastAsia" w:eastAsiaTheme="majorEastAsia" w:cstheme="majorEastAsia"/>
                <w:szCs w:val="22"/>
                <w:highlight w:val="none"/>
              </w:rPr>
              <w:t>%的扣除，用扣除后的价格参与评审。满足多项优惠政策的企业，不重复享受多项价格扣除政策。</w:t>
            </w:r>
          </w:p>
          <w:p>
            <w:pPr>
              <w:spacing w:line="44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highlight w:val="none"/>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szCs w:val="22"/>
                <w:highlight w:val="none"/>
                <w:lang w:val="en-US" w:eastAsia="zh-CN"/>
              </w:rPr>
              <w:t>4</w:t>
            </w:r>
            <w:r>
              <w:rPr>
                <w:rFonts w:hint="eastAsia" w:asciiTheme="majorEastAsia" w:hAnsiTheme="majorEastAsia" w:eastAsiaTheme="majorEastAsia" w:cstheme="majorEastAsia"/>
                <w:szCs w:val="22"/>
                <w:highlight w:val="none"/>
              </w:rPr>
              <w:t>%扣除，用扣除后的价格参加评审。联合体各方均为小微企业的，价格扣除比例为10%。</w:t>
            </w:r>
            <w:r>
              <w:rPr>
                <w:rFonts w:hint="eastAsia" w:asciiTheme="majorEastAsia" w:hAnsiTheme="majorEastAsia" w:eastAsiaTheme="majorEastAsia" w:cstheme="majorEastAsia"/>
                <w:b/>
                <w:szCs w:val="22"/>
                <w:highlight w:val="none"/>
              </w:rPr>
              <w:t>（</w:t>
            </w:r>
            <w:r>
              <w:rPr>
                <w:rFonts w:hint="eastAsia" w:asciiTheme="majorEastAsia" w:hAnsiTheme="majorEastAsia" w:eastAsiaTheme="majorEastAsia" w:cstheme="majorEastAsia"/>
                <w:b/>
                <w:szCs w:val="22"/>
              </w:rPr>
              <w:t>不接受联合体投标的项目，本条不适用）</w:t>
            </w:r>
            <w:r>
              <w:rPr>
                <w:rFonts w:hint="eastAsia" w:asciiTheme="majorEastAsia" w:hAnsiTheme="majorEastAsia" w:eastAsiaTheme="majorEastAsia" w:cstheme="majorEastAsia"/>
                <w:szCs w:val="22"/>
              </w:rPr>
              <w:t>。</w:t>
            </w:r>
          </w:p>
          <w:p>
            <w:pPr>
              <w:spacing w:line="440" w:lineRule="exact"/>
              <w:rPr>
                <w:rFonts w:ascii="宋体" w:hAnsi="宋体" w:eastAsiaTheme="minorEastAsia" w:cstheme="minorBidi"/>
                <w:b/>
                <w:bCs/>
                <w:szCs w:val="21"/>
              </w:rPr>
            </w:pPr>
            <w:r>
              <w:rPr>
                <w:rFonts w:hint="eastAsia" w:asciiTheme="majorEastAsia" w:hAnsiTheme="majorEastAsia" w:eastAsiaTheme="majorEastAsia" w:cstheme="majorEastAsia"/>
                <w:szCs w:val="22"/>
              </w:rPr>
              <w:t>3、优惠主体资格的认定资料为《中小企业声明函》《残疾人福利性单位声明函》《监狱企业声明函》等承诺性质的资料（声明函样式见“第五章 投标文件格式”）；监狱企业如需享受优惠政策，除上述资料外，还须提供省级以上监狱管理局、戒毒管理局出具的监狱企业证明文件。</w:t>
            </w:r>
          </w:p>
        </w:tc>
      </w:tr>
    </w:tbl>
    <w:p>
      <w:pPr>
        <w:spacing w:line="440" w:lineRule="exact"/>
        <w:ind w:firstLine="422" w:firstLineChars="200"/>
        <w:rPr>
          <w:rFonts w:ascii="宋体" w:hAnsi="宋体"/>
          <w:b/>
          <w:bCs/>
          <w:szCs w:val="21"/>
        </w:rPr>
      </w:pPr>
      <w:r>
        <w:rPr>
          <w:rFonts w:hint="eastAsia" w:ascii="宋体" w:hAnsi="宋体"/>
          <w:b/>
          <w:bCs/>
          <w:szCs w:val="21"/>
        </w:rPr>
        <w:t>备注：</w:t>
      </w:r>
      <w:r>
        <w:rPr>
          <w:rFonts w:hint="eastAsia" w:ascii="宋体" w:hAnsi="宋体"/>
          <w:snapToGrid w:val="0"/>
          <w:kern w:val="0"/>
          <w:szCs w:val="21"/>
        </w:rPr>
        <w:t>用“</w:t>
      </w:r>
      <w:r>
        <w:rPr>
          <w:rFonts w:hint="eastAsia" w:ascii="MS Mincho" w:hAnsi="MS Mincho" w:cs="MS Mincho" w:eastAsiaTheme="minorEastAsia"/>
          <w:snapToGrid w:val="0"/>
          <w:kern w:val="0"/>
          <w:szCs w:val="21"/>
        </w:rPr>
        <w:t>■</w:t>
      </w:r>
      <w:r>
        <w:rPr>
          <w:rFonts w:hint="eastAsia" w:ascii="宋体" w:hAnsi="宋体"/>
          <w:snapToGrid w:val="0"/>
          <w:kern w:val="0"/>
          <w:szCs w:val="21"/>
        </w:rPr>
        <w:t>”标识时表明该选项被采购人选用，用“□”标识时表明该选项未被采购人选用。</w:t>
      </w:r>
    </w:p>
    <w:p>
      <w:pPr>
        <w:spacing w:line="440" w:lineRule="exact"/>
        <w:ind w:firstLine="422" w:firstLineChars="200"/>
        <w:rPr>
          <w:rFonts w:ascii="宋体" w:hAnsi="宋体"/>
          <w:b/>
          <w:bCs/>
          <w:szCs w:val="21"/>
        </w:rPr>
      </w:pPr>
      <w:r>
        <w:rPr>
          <w:rFonts w:hint="eastAsia" w:ascii="宋体" w:hAnsi="宋体"/>
          <w:b/>
          <w:bCs/>
          <w:szCs w:val="21"/>
        </w:rPr>
        <w:t>二、本项目评标信息</w:t>
      </w:r>
    </w:p>
    <w:p>
      <w:pPr>
        <w:spacing w:line="440" w:lineRule="exact"/>
        <w:ind w:firstLine="422" w:firstLineChars="200"/>
        <w:rPr>
          <w:rFonts w:ascii="宋体" w:hAnsi="宋体"/>
          <w:b/>
          <w:bCs/>
          <w:szCs w:val="21"/>
        </w:rPr>
      </w:pPr>
      <w:r>
        <w:rPr>
          <w:rFonts w:hint="eastAsia" w:ascii="宋体" w:hAnsi="宋体"/>
          <w:b/>
          <w:bCs/>
          <w:szCs w:val="21"/>
        </w:rPr>
        <w:t>1、</w:t>
      </w:r>
      <w:r>
        <w:rPr>
          <w:rFonts w:ascii="宋体" w:hAnsi="宋体"/>
          <w:b/>
          <w:bCs/>
          <w:szCs w:val="21"/>
        </w:rPr>
        <w:t>符合性检查表</w:t>
      </w:r>
    </w:p>
    <w:tbl>
      <w:tblPr>
        <w:tblStyle w:val="4"/>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706"/>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012" w:type="dxa"/>
            <w:vAlign w:val="center"/>
          </w:tcPr>
          <w:p>
            <w:pPr>
              <w:spacing w:line="440" w:lineRule="exact"/>
              <w:jc w:val="center"/>
              <w:rPr>
                <w:rFonts w:ascii="宋体" w:hAnsi="宋体"/>
                <w:b/>
              </w:rPr>
            </w:pPr>
            <w:r>
              <w:rPr>
                <w:rFonts w:ascii="宋体" w:hAnsi="宋体"/>
                <w:b/>
              </w:rPr>
              <w:t>序号</w:t>
            </w:r>
          </w:p>
        </w:tc>
        <w:tc>
          <w:tcPr>
            <w:tcW w:w="6706" w:type="dxa"/>
            <w:vAlign w:val="center"/>
          </w:tcPr>
          <w:p>
            <w:pPr>
              <w:spacing w:line="440" w:lineRule="exact"/>
              <w:ind w:left="-828" w:firstLine="828"/>
              <w:jc w:val="center"/>
              <w:rPr>
                <w:rFonts w:ascii="宋体" w:hAnsi="宋体"/>
                <w:b/>
                <w:sz w:val="24"/>
              </w:rPr>
            </w:pPr>
            <w:r>
              <w:rPr>
                <w:rFonts w:ascii="宋体" w:hAnsi="宋体"/>
                <w:b/>
              </w:rPr>
              <w:t>评议内容</w:t>
            </w:r>
          </w:p>
        </w:tc>
        <w:tc>
          <w:tcPr>
            <w:tcW w:w="1497" w:type="dxa"/>
            <w:vAlign w:val="center"/>
          </w:tcPr>
          <w:p>
            <w:pPr>
              <w:spacing w:line="440" w:lineRule="exact"/>
              <w:ind w:left="44" w:hanging="44"/>
              <w:jc w:val="center"/>
              <w:rPr>
                <w:rFonts w:ascii="宋体" w:hAnsi="宋体"/>
                <w:b/>
                <w:sz w:val="24"/>
              </w:rPr>
            </w:pPr>
            <w:r>
              <w:rPr>
                <w:rFonts w:ascii="宋体" w:hAnsi="宋体"/>
                <w:b/>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1</w:t>
            </w:r>
          </w:p>
        </w:tc>
        <w:tc>
          <w:tcPr>
            <w:tcW w:w="6706" w:type="dxa"/>
            <w:vAlign w:val="center"/>
          </w:tcPr>
          <w:p>
            <w:pPr>
              <w:spacing w:line="440" w:lineRule="exact"/>
              <w:rPr>
                <w:rFonts w:ascii="宋体" w:hAnsi="宋体"/>
                <w:sz w:val="24"/>
              </w:rPr>
            </w:pPr>
            <w:r>
              <w:rPr>
                <w:rFonts w:hint="eastAsia" w:hAnsi="宋体"/>
                <w:szCs w:val="21"/>
              </w:rPr>
              <w:t>按照招标文件的格式详细填写“投标函”</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2</w:t>
            </w:r>
          </w:p>
        </w:tc>
        <w:tc>
          <w:tcPr>
            <w:tcW w:w="6706" w:type="dxa"/>
            <w:vAlign w:val="center"/>
          </w:tcPr>
          <w:p>
            <w:pPr>
              <w:spacing w:line="440" w:lineRule="exact"/>
              <w:rPr>
                <w:rFonts w:ascii="宋体" w:hAnsi="宋体"/>
              </w:rPr>
            </w:pPr>
            <w:r>
              <w:rPr>
                <w:rFonts w:hint="eastAsia" w:hAnsi="宋体"/>
                <w:szCs w:val="21"/>
              </w:rPr>
              <w:t>按照招标文件的格式详细填写“</w:t>
            </w:r>
            <w:r>
              <w:rPr>
                <w:rFonts w:hint="eastAsia" w:ascii="宋体" w:hAnsi="宋体"/>
              </w:rPr>
              <w:t>政府采购投标及履约承诺函</w:t>
            </w:r>
            <w:r>
              <w:rPr>
                <w:rFonts w:hint="eastAsia" w:hAnsi="宋体"/>
                <w:szCs w:val="21"/>
              </w:rPr>
              <w:t>”</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3</w:t>
            </w:r>
          </w:p>
        </w:tc>
        <w:tc>
          <w:tcPr>
            <w:tcW w:w="6706" w:type="dxa"/>
            <w:vAlign w:val="center"/>
          </w:tcPr>
          <w:p>
            <w:pPr>
              <w:spacing w:line="440" w:lineRule="exact"/>
              <w:rPr>
                <w:rFonts w:ascii="宋体" w:hAnsi="宋体"/>
              </w:rPr>
            </w:pPr>
            <w:r>
              <w:rPr>
                <w:rFonts w:hint="eastAsia" w:ascii="宋体" w:hAnsi="宋体"/>
              </w:rPr>
              <w:t>开标一览表未出现无报价、报价为零或有选择性报价</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4</w:t>
            </w:r>
          </w:p>
        </w:tc>
        <w:tc>
          <w:tcPr>
            <w:tcW w:w="6706" w:type="dxa"/>
            <w:vAlign w:val="center"/>
          </w:tcPr>
          <w:p>
            <w:pPr>
              <w:spacing w:line="440" w:lineRule="exact"/>
              <w:rPr>
                <w:rFonts w:ascii="宋体" w:hAnsi="宋体"/>
              </w:rPr>
            </w:pPr>
            <w:r>
              <w:rPr>
                <w:rFonts w:hint="eastAsia" w:ascii="宋体" w:hAnsi="宋体"/>
              </w:rPr>
              <w:t>投标总价</w:t>
            </w:r>
            <w:r>
              <w:rPr>
                <w:rFonts w:hint="eastAsia" w:ascii="宋体" w:hAnsi="宋体"/>
                <w:szCs w:val="21"/>
              </w:rPr>
              <w:t>或分项报价</w:t>
            </w:r>
            <w:r>
              <w:rPr>
                <w:rFonts w:hint="eastAsia" w:ascii="宋体" w:hAnsi="宋体"/>
              </w:rPr>
              <w:t>未超过预算控制金额</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5</w:t>
            </w:r>
          </w:p>
        </w:tc>
        <w:tc>
          <w:tcPr>
            <w:tcW w:w="6706" w:type="dxa"/>
            <w:vAlign w:val="center"/>
          </w:tcPr>
          <w:p>
            <w:pPr>
              <w:spacing w:line="440" w:lineRule="exact"/>
              <w:rPr>
                <w:rFonts w:asciiTheme="minorEastAsia" w:hAnsiTheme="minorEastAsia" w:eastAsiaTheme="minorEastAsia"/>
                <w:szCs w:val="21"/>
              </w:rPr>
            </w:pPr>
            <w:r>
              <w:rPr>
                <w:rFonts w:asciiTheme="minorEastAsia" w:hAnsiTheme="minorEastAsia" w:eastAsiaTheme="minorEastAsia"/>
                <w:szCs w:val="21"/>
              </w:rPr>
              <w:t>评标委员会认为投标人的报价明显低于其他通过符合性审查投标人的报价，有可能影响产品质量或者不能诚信履约的，投标人能在</w:t>
            </w:r>
            <w:r>
              <w:rPr>
                <w:rFonts w:hint="eastAsia" w:asciiTheme="minorEastAsia" w:hAnsiTheme="minorEastAsia" w:eastAsiaTheme="minorEastAsia"/>
                <w:szCs w:val="21"/>
              </w:rPr>
              <w:t>评标现场</w:t>
            </w:r>
            <w:r>
              <w:rPr>
                <w:rFonts w:asciiTheme="minorEastAsia" w:hAnsiTheme="minorEastAsia" w:eastAsiaTheme="minorEastAsia"/>
                <w:szCs w:val="21"/>
              </w:rPr>
              <w:t>合理的时间内提供书面说明</w:t>
            </w:r>
            <w:r>
              <w:rPr>
                <w:rFonts w:hint="eastAsia" w:asciiTheme="minorEastAsia" w:hAnsiTheme="minorEastAsia" w:eastAsiaTheme="minorEastAsia"/>
                <w:szCs w:val="21"/>
              </w:rPr>
              <w:t>（必要时提交相关证明材料）</w:t>
            </w:r>
            <w:r>
              <w:rPr>
                <w:rFonts w:asciiTheme="minorEastAsia" w:hAnsiTheme="minorEastAsia" w:eastAsiaTheme="minorEastAsia"/>
                <w:szCs w:val="21"/>
              </w:rPr>
              <w:t>或提交</w:t>
            </w:r>
            <w:r>
              <w:rPr>
                <w:rFonts w:hint="eastAsia" w:asciiTheme="minorEastAsia" w:hAnsiTheme="minorEastAsia" w:eastAsiaTheme="minorEastAsia"/>
                <w:szCs w:val="21"/>
              </w:rPr>
              <w:t>的书面说明</w:t>
            </w:r>
            <w:r>
              <w:rPr>
                <w:rFonts w:asciiTheme="minorEastAsia" w:hAnsiTheme="minorEastAsia" w:eastAsiaTheme="minorEastAsia"/>
                <w:szCs w:val="21"/>
              </w:rPr>
              <w:t>能证明其报价合理性</w:t>
            </w:r>
            <w:r>
              <w:rPr>
                <w:rFonts w:hint="eastAsia" w:asciiTheme="minorEastAsia" w:hAnsiTheme="minorEastAsia" w:eastAsiaTheme="minorEastAsia"/>
                <w:szCs w:val="21"/>
              </w:rPr>
              <w:t>。（若</w:t>
            </w:r>
            <w:r>
              <w:rPr>
                <w:rFonts w:asciiTheme="minorEastAsia" w:hAnsiTheme="minorEastAsia" w:eastAsiaTheme="minorEastAsia"/>
                <w:szCs w:val="21"/>
              </w:rPr>
              <w:t>评标委员会</w:t>
            </w:r>
            <w:r>
              <w:rPr>
                <w:rFonts w:hint="eastAsia" w:asciiTheme="minorEastAsia" w:hAnsiTheme="minorEastAsia" w:eastAsiaTheme="minorEastAsia"/>
                <w:szCs w:val="21"/>
              </w:rPr>
              <w:t>成员对是否须由投标人做出报价合理性说明，以及书面说明是否采纳等判断不一致的，按照“少数服从多数”的原则确定。）</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6</w:t>
            </w:r>
          </w:p>
        </w:tc>
        <w:tc>
          <w:tcPr>
            <w:tcW w:w="6706" w:type="dxa"/>
            <w:vAlign w:val="center"/>
          </w:tcPr>
          <w:p>
            <w:pPr>
              <w:spacing w:line="440" w:lineRule="exact"/>
              <w:rPr>
                <w:rFonts w:ascii="宋体" w:hAnsi="宋体"/>
              </w:rPr>
            </w:pPr>
            <w:r>
              <w:rPr>
                <w:szCs w:val="21"/>
              </w:rPr>
              <w:t>实质性满足招标文件要求</w:t>
            </w:r>
            <w:r>
              <w:rPr>
                <w:rFonts w:hint="eastAsia"/>
                <w:szCs w:val="21"/>
              </w:rPr>
              <w:t>和条件</w:t>
            </w:r>
            <w:r>
              <w:rPr>
                <w:szCs w:val="21"/>
              </w:rPr>
              <w:t>（</w:t>
            </w:r>
            <w:r>
              <w:rPr>
                <w:rFonts w:hint="eastAsia" w:ascii="宋体" w:hAnsi="宋体"/>
              </w:rPr>
              <w:t>不可偏离项检查</w:t>
            </w:r>
            <w:r>
              <w:rPr>
                <w:szCs w:val="21"/>
              </w:rPr>
              <w:t>）</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7</w:t>
            </w:r>
          </w:p>
        </w:tc>
        <w:tc>
          <w:tcPr>
            <w:tcW w:w="6706" w:type="dxa"/>
            <w:vAlign w:val="center"/>
          </w:tcPr>
          <w:p>
            <w:pPr>
              <w:spacing w:line="440" w:lineRule="exact"/>
              <w:rPr>
                <w:szCs w:val="21"/>
              </w:rPr>
            </w:pPr>
            <w:r>
              <w:rPr>
                <w:szCs w:val="21"/>
              </w:rPr>
              <w:t>投标文件载明的项目服务期</w:t>
            </w:r>
            <w:r>
              <w:rPr>
                <w:rFonts w:hint="eastAsia"/>
                <w:szCs w:val="21"/>
              </w:rPr>
              <w:t>符合</w:t>
            </w:r>
            <w:r>
              <w:rPr>
                <w:szCs w:val="21"/>
              </w:rPr>
              <w:t>招标文件规定的期限</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8</w:t>
            </w:r>
          </w:p>
        </w:tc>
        <w:tc>
          <w:tcPr>
            <w:tcW w:w="6706" w:type="dxa"/>
            <w:vAlign w:val="center"/>
          </w:tcPr>
          <w:p>
            <w:pPr>
              <w:spacing w:line="440" w:lineRule="exact"/>
              <w:jc w:val="left"/>
              <w:rPr>
                <w:rFonts w:ascii="宋体" w:hAnsi="宋体"/>
              </w:rPr>
            </w:pPr>
            <w:r>
              <w:rPr>
                <w:rFonts w:hint="eastAsia" w:hAnsi="宋体"/>
                <w:szCs w:val="21"/>
              </w:rPr>
              <w:t>《技术偏离表》和《商务偏离表》已提交</w:t>
            </w:r>
          </w:p>
        </w:tc>
        <w:tc>
          <w:tcPr>
            <w:tcW w:w="1497" w:type="dxa"/>
            <w:vAlign w:val="center"/>
          </w:tcPr>
          <w:p>
            <w:pPr>
              <w:spacing w:line="440" w:lineRule="exact"/>
              <w:ind w:left="57"/>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9</w:t>
            </w:r>
          </w:p>
        </w:tc>
        <w:tc>
          <w:tcPr>
            <w:tcW w:w="6706" w:type="dxa"/>
            <w:vAlign w:val="center"/>
          </w:tcPr>
          <w:p>
            <w:pPr>
              <w:spacing w:line="440" w:lineRule="exact"/>
              <w:rPr>
                <w:rFonts w:ascii="宋体" w:hAnsi="宋体"/>
              </w:rPr>
            </w:pPr>
            <w:r>
              <w:rPr>
                <w:rFonts w:hint="eastAsia" w:ascii="宋体" w:hAnsi="宋体"/>
              </w:rPr>
              <w:t>不存在“否决性条款”列明的其他情况</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10</w:t>
            </w:r>
          </w:p>
        </w:tc>
        <w:tc>
          <w:tcPr>
            <w:tcW w:w="6706" w:type="dxa"/>
            <w:vAlign w:val="center"/>
          </w:tcPr>
          <w:p>
            <w:pPr>
              <w:spacing w:line="440" w:lineRule="exact"/>
              <w:rPr>
                <w:rFonts w:ascii="宋体" w:hAnsi="宋体"/>
                <w:szCs w:val="21"/>
              </w:rPr>
            </w:pPr>
            <w:r>
              <w:rPr>
                <w:rFonts w:ascii="宋体" w:hAnsi="宋体"/>
                <w:szCs w:val="21"/>
              </w:rPr>
              <w:t>结论</w:t>
            </w:r>
          </w:p>
        </w:tc>
        <w:tc>
          <w:tcPr>
            <w:tcW w:w="1497" w:type="dxa"/>
            <w:vAlign w:val="center"/>
          </w:tcPr>
          <w:p>
            <w:pPr>
              <w:spacing w:line="440" w:lineRule="exact"/>
              <w:jc w:val="center"/>
              <w:rPr>
                <w:rFonts w:ascii="宋体" w:hAnsi="宋体"/>
                <w:szCs w:val="21"/>
              </w:rPr>
            </w:pPr>
            <w:r>
              <w:rPr>
                <w:rFonts w:ascii="宋体" w:hAnsi="宋体"/>
                <w:szCs w:val="21"/>
              </w:rPr>
              <w:t>通过/不通过</w:t>
            </w:r>
          </w:p>
        </w:tc>
      </w:tr>
    </w:tbl>
    <w:p>
      <w:pPr>
        <w:spacing w:line="340" w:lineRule="exact"/>
        <w:ind w:firstLine="422" w:firstLineChars="200"/>
        <w:rPr>
          <w:rFonts w:ascii="宋体" w:hAnsi="宋体"/>
          <w:b/>
          <w:color w:val="000000"/>
          <w:szCs w:val="21"/>
        </w:rPr>
      </w:pPr>
      <w:r>
        <w:rPr>
          <w:rFonts w:hint="eastAsia" w:ascii="宋体" w:hAnsi="宋体"/>
          <w:b/>
          <w:color w:val="000000"/>
          <w:szCs w:val="21"/>
        </w:rPr>
        <w:t>2、评分表</w:t>
      </w:r>
    </w:p>
    <w:tbl>
      <w:tblPr>
        <w:tblStyle w:val="4"/>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49"/>
        <w:gridCol w:w="1662"/>
        <w:gridCol w:w="679"/>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2" w:type="dxa"/>
            <w:vAlign w:val="center"/>
          </w:tcPr>
          <w:p>
            <w:pPr>
              <w:spacing w:line="440" w:lineRule="exact"/>
              <w:jc w:val="center"/>
              <w:rPr>
                <w:rFonts w:ascii="宋体" w:hAnsi="宋体"/>
                <w:b/>
                <w:color w:val="auto"/>
                <w:szCs w:val="21"/>
              </w:rPr>
            </w:pPr>
            <w:r>
              <w:rPr>
                <w:rFonts w:hint="eastAsia" w:ascii="宋体" w:hAnsi="宋体"/>
                <w:b/>
                <w:color w:val="auto"/>
                <w:szCs w:val="21"/>
              </w:rPr>
              <w:t>序号</w:t>
            </w:r>
          </w:p>
        </w:tc>
        <w:tc>
          <w:tcPr>
            <w:tcW w:w="3090" w:type="dxa"/>
            <w:gridSpan w:val="3"/>
            <w:vAlign w:val="center"/>
          </w:tcPr>
          <w:p>
            <w:pPr>
              <w:spacing w:line="440" w:lineRule="exact"/>
              <w:jc w:val="center"/>
              <w:rPr>
                <w:rFonts w:ascii="宋体" w:hAnsi="宋体"/>
                <w:b/>
                <w:color w:val="auto"/>
                <w:szCs w:val="21"/>
              </w:rPr>
            </w:pPr>
            <w:r>
              <w:rPr>
                <w:rFonts w:hint="eastAsia" w:ascii="宋体" w:hAnsi="宋体"/>
                <w:b/>
                <w:color w:val="auto"/>
                <w:szCs w:val="21"/>
              </w:rPr>
              <w:t>评分项</w:t>
            </w:r>
          </w:p>
        </w:tc>
        <w:tc>
          <w:tcPr>
            <w:tcW w:w="5413" w:type="dxa"/>
            <w:vAlign w:val="center"/>
          </w:tcPr>
          <w:p>
            <w:pPr>
              <w:spacing w:line="440" w:lineRule="exact"/>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spacing w:line="440" w:lineRule="exact"/>
              <w:jc w:val="center"/>
              <w:rPr>
                <w:rFonts w:ascii="宋体" w:hAnsi="宋体"/>
                <w:b/>
                <w:color w:val="auto"/>
                <w:szCs w:val="21"/>
              </w:rPr>
            </w:pPr>
            <w:r>
              <w:rPr>
                <w:rFonts w:ascii="宋体" w:hAnsi="宋体"/>
                <w:b/>
                <w:color w:val="auto"/>
                <w:szCs w:val="21"/>
              </w:rPr>
              <w:t>1</w:t>
            </w:r>
          </w:p>
        </w:tc>
        <w:tc>
          <w:tcPr>
            <w:tcW w:w="3090" w:type="dxa"/>
            <w:gridSpan w:val="3"/>
            <w:vAlign w:val="center"/>
          </w:tcPr>
          <w:p>
            <w:pPr>
              <w:spacing w:line="440" w:lineRule="exact"/>
              <w:jc w:val="center"/>
              <w:rPr>
                <w:rFonts w:ascii="宋体" w:hAnsi="宋体"/>
                <w:b/>
                <w:color w:val="auto"/>
                <w:szCs w:val="21"/>
              </w:rPr>
            </w:pPr>
            <w:r>
              <w:rPr>
                <w:rFonts w:hint="eastAsia" w:ascii="宋体" w:hAnsi="宋体"/>
                <w:b/>
                <w:color w:val="auto"/>
                <w:szCs w:val="21"/>
              </w:rPr>
              <w:t>价格</w:t>
            </w:r>
          </w:p>
        </w:tc>
        <w:tc>
          <w:tcPr>
            <w:tcW w:w="5413" w:type="dxa"/>
            <w:vAlign w:val="center"/>
          </w:tcPr>
          <w:p>
            <w:pPr>
              <w:spacing w:line="440" w:lineRule="exact"/>
              <w:jc w:val="center"/>
              <w:rPr>
                <w:rFonts w:ascii="宋体" w:hAnsi="宋体"/>
                <w:b/>
                <w:color w:val="auto"/>
                <w:szCs w:val="21"/>
              </w:rPr>
            </w:pPr>
            <w:r>
              <w:rPr>
                <w:rFonts w:hint="eastAsia" w:ascii="宋体" w:hAnsi="宋体"/>
                <w:b/>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spacing w:line="440" w:lineRule="exact"/>
              <w:jc w:val="center"/>
              <w:rPr>
                <w:rFonts w:ascii="宋体" w:hAnsi="宋体"/>
                <w:color w:val="auto"/>
                <w:szCs w:val="21"/>
              </w:rPr>
            </w:pPr>
          </w:p>
        </w:tc>
        <w:tc>
          <w:tcPr>
            <w:tcW w:w="8503" w:type="dxa"/>
            <w:gridSpan w:val="4"/>
            <w:vAlign w:val="center"/>
          </w:tcPr>
          <w:p>
            <w:pPr>
              <w:spacing w:line="440" w:lineRule="exact"/>
              <w:rPr>
                <w:rFonts w:ascii="宋体" w:hAnsi="宋体"/>
                <w:color w:val="auto"/>
                <w:szCs w:val="21"/>
              </w:rPr>
            </w:pPr>
            <w:r>
              <w:rPr>
                <w:rFonts w:hint="eastAsia" w:ascii="宋体" w:hAnsi="宋体"/>
                <w:color w:val="auto"/>
                <w:szCs w:val="21"/>
              </w:rPr>
              <w:t>投标报价价格分=（评标基准价/投标报价）</w:t>
            </w:r>
            <w:r>
              <w:rPr>
                <w:rFonts w:hint="eastAsia" w:ascii="宋体" w:hAnsi="宋体"/>
                <w:color w:val="auto"/>
                <w:szCs w:val="21"/>
                <w:highlight w:val="none"/>
              </w:rPr>
              <w:t>×15</w:t>
            </w:r>
          </w:p>
          <w:p>
            <w:pPr>
              <w:spacing w:line="440" w:lineRule="exact"/>
              <w:jc w:val="left"/>
              <w:rPr>
                <w:rFonts w:ascii="宋体" w:hAnsi="宋体"/>
                <w:color w:val="auto"/>
                <w:szCs w:val="21"/>
              </w:rPr>
            </w:pPr>
            <w:r>
              <w:rPr>
                <w:rFonts w:hint="eastAsia" w:ascii="宋体" w:hAnsi="宋体"/>
                <w:color w:val="auto"/>
                <w:szCs w:val="21"/>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spacing w:line="440" w:lineRule="exact"/>
              <w:jc w:val="center"/>
              <w:rPr>
                <w:rFonts w:ascii="宋体" w:hAnsi="宋体"/>
                <w:b/>
                <w:color w:val="auto"/>
                <w:szCs w:val="21"/>
              </w:rPr>
            </w:pPr>
            <w:r>
              <w:rPr>
                <w:rFonts w:ascii="宋体" w:hAnsi="宋体"/>
                <w:b/>
                <w:color w:val="auto"/>
                <w:szCs w:val="21"/>
              </w:rPr>
              <w:t>2</w:t>
            </w:r>
          </w:p>
        </w:tc>
        <w:tc>
          <w:tcPr>
            <w:tcW w:w="3090" w:type="dxa"/>
            <w:gridSpan w:val="3"/>
            <w:vAlign w:val="center"/>
          </w:tcPr>
          <w:p>
            <w:pPr>
              <w:spacing w:line="440" w:lineRule="exact"/>
              <w:jc w:val="center"/>
              <w:rPr>
                <w:rFonts w:ascii="宋体" w:hAnsi="宋体"/>
                <w:b/>
                <w:color w:val="auto"/>
                <w:szCs w:val="21"/>
              </w:rPr>
            </w:pPr>
            <w:r>
              <w:rPr>
                <w:rFonts w:hint="eastAsia" w:ascii="宋体" w:hAnsi="宋体"/>
                <w:b/>
                <w:color w:val="auto"/>
                <w:szCs w:val="21"/>
              </w:rPr>
              <w:t>技术部分</w:t>
            </w:r>
          </w:p>
        </w:tc>
        <w:tc>
          <w:tcPr>
            <w:tcW w:w="5413" w:type="dxa"/>
            <w:vAlign w:val="center"/>
          </w:tcPr>
          <w:p>
            <w:pPr>
              <w:spacing w:line="440" w:lineRule="exact"/>
              <w:jc w:val="center"/>
              <w:rPr>
                <w:rFonts w:ascii="宋体" w:hAnsi="宋体"/>
                <w:b/>
                <w:color w:val="auto"/>
                <w:szCs w:val="21"/>
              </w:rPr>
            </w:pPr>
            <w:r>
              <w:rPr>
                <w:rFonts w:hint="eastAsia" w:ascii="宋体" w:hAnsi="宋体"/>
                <w:b/>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vAlign w:val="center"/>
          </w:tcPr>
          <w:p>
            <w:pPr>
              <w:spacing w:line="440" w:lineRule="exact"/>
              <w:jc w:val="center"/>
              <w:rPr>
                <w:rFonts w:ascii="宋体" w:hAnsi="宋体"/>
                <w:color w:val="auto"/>
                <w:szCs w:val="21"/>
              </w:rPr>
            </w:pPr>
          </w:p>
        </w:tc>
        <w:tc>
          <w:tcPr>
            <w:tcW w:w="749" w:type="dxa"/>
            <w:vAlign w:val="center"/>
          </w:tcPr>
          <w:p>
            <w:pPr>
              <w:spacing w:line="440" w:lineRule="exact"/>
              <w:jc w:val="center"/>
              <w:rPr>
                <w:rFonts w:ascii="宋体" w:hAnsi="宋体"/>
                <w:b/>
                <w:color w:val="auto"/>
                <w:szCs w:val="21"/>
              </w:rPr>
            </w:pPr>
            <w:r>
              <w:rPr>
                <w:rFonts w:hint="eastAsia" w:ascii="宋体" w:hAnsi="宋体"/>
                <w:b/>
                <w:color w:val="auto"/>
                <w:szCs w:val="21"/>
              </w:rPr>
              <w:t>序号</w:t>
            </w:r>
          </w:p>
        </w:tc>
        <w:tc>
          <w:tcPr>
            <w:tcW w:w="1662" w:type="dxa"/>
            <w:vAlign w:val="center"/>
          </w:tcPr>
          <w:p>
            <w:pPr>
              <w:spacing w:line="440" w:lineRule="exact"/>
              <w:jc w:val="center"/>
              <w:rPr>
                <w:rFonts w:ascii="宋体" w:hAnsi="宋体"/>
                <w:b/>
                <w:color w:val="auto"/>
                <w:szCs w:val="21"/>
              </w:rPr>
            </w:pPr>
            <w:r>
              <w:rPr>
                <w:rFonts w:hint="eastAsia" w:ascii="宋体" w:hAnsi="宋体"/>
                <w:b/>
                <w:color w:val="auto"/>
                <w:szCs w:val="21"/>
              </w:rPr>
              <w:t>评分因素</w:t>
            </w:r>
          </w:p>
        </w:tc>
        <w:tc>
          <w:tcPr>
            <w:tcW w:w="679" w:type="dxa"/>
            <w:vAlign w:val="center"/>
          </w:tcPr>
          <w:p>
            <w:pPr>
              <w:spacing w:line="440" w:lineRule="exact"/>
              <w:jc w:val="center"/>
              <w:rPr>
                <w:rFonts w:ascii="宋体" w:hAnsi="宋体"/>
                <w:b/>
                <w:color w:val="auto"/>
                <w:szCs w:val="21"/>
              </w:rPr>
            </w:pPr>
            <w:r>
              <w:rPr>
                <w:rFonts w:hint="eastAsia" w:ascii="宋体" w:hAnsi="宋体"/>
                <w:b/>
                <w:color w:val="auto"/>
                <w:szCs w:val="21"/>
              </w:rPr>
              <w:t>权重</w:t>
            </w:r>
          </w:p>
        </w:tc>
        <w:tc>
          <w:tcPr>
            <w:tcW w:w="5413" w:type="dxa"/>
            <w:vAlign w:val="center"/>
          </w:tcPr>
          <w:p>
            <w:pPr>
              <w:spacing w:line="440" w:lineRule="exact"/>
              <w:jc w:val="center"/>
              <w:rPr>
                <w:rFonts w:ascii="宋体" w:hAnsi="宋体"/>
                <w:b/>
                <w:color w:val="auto"/>
                <w:szCs w:val="21"/>
              </w:rPr>
            </w:pPr>
            <w:r>
              <w:rPr>
                <w:rFonts w:hint="eastAsia" w:ascii="宋体" w:hAnsi="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0"/>
              <w:rPr>
                <w:rFonts w:ascii="宋体" w:hAnsi="宋体"/>
                <w:color w:val="auto"/>
                <w:szCs w:val="21"/>
              </w:rPr>
            </w:pPr>
          </w:p>
        </w:tc>
        <w:tc>
          <w:tcPr>
            <w:tcW w:w="749" w:type="dxa"/>
            <w:vAlign w:val="center"/>
          </w:tcPr>
          <w:p>
            <w:pPr>
              <w:spacing w:line="440" w:lineRule="exact"/>
              <w:jc w:val="center"/>
              <w:rPr>
                <w:rFonts w:ascii="宋体" w:hAnsi="宋体"/>
                <w:color w:val="auto"/>
                <w:szCs w:val="21"/>
              </w:rPr>
            </w:pPr>
            <w:r>
              <w:rPr>
                <w:rFonts w:ascii="宋体" w:hAnsi="宋体"/>
                <w:color w:val="auto"/>
                <w:szCs w:val="21"/>
              </w:rPr>
              <w:t>1</w:t>
            </w:r>
          </w:p>
        </w:tc>
        <w:tc>
          <w:tcPr>
            <w:tcW w:w="16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eastAsia="宋体" w:cs="宋体"/>
                <w:color w:val="auto"/>
                <w:szCs w:val="21"/>
                <w:highlight w:val="none"/>
              </w:rPr>
              <w:t>实施方案</w:t>
            </w:r>
          </w:p>
        </w:tc>
        <w:tc>
          <w:tcPr>
            <w:tcW w:w="6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cs="宋体"/>
                <w:color w:val="auto"/>
                <w:szCs w:val="21"/>
                <w:highlight w:val="none"/>
                <w:lang w:val="en-US" w:eastAsia="zh-CN"/>
              </w:rPr>
              <w:t>11</w:t>
            </w:r>
          </w:p>
        </w:tc>
        <w:tc>
          <w:tcPr>
            <w:tcW w:w="54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一、评审内容：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rPr>
            </w:pPr>
            <w:r>
              <w:rPr>
                <w:rFonts w:hint="eastAsia" w:ascii="宋体" w:hAnsi="宋体" w:cs="宋体"/>
                <w:b w:val="0"/>
                <w:bCs w:val="0"/>
                <w:color w:val="auto"/>
                <w:sz w:val="21"/>
                <w:szCs w:val="21"/>
                <w:highlight w:val="none"/>
                <w:lang w:eastAsia="zh-CN"/>
              </w:rPr>
              <w:t>投标单位</w:t>
            </w:r>
            <w:r>
              <w:rPr>
                <w:rFonts w:hint="eastAsia" w:ascii="宋体" w:hAnsi="宋体" w:eastAsia="宋体" w:cs="宋体"/>
                <w:color w:val="auto"/>
                <w:szCs w:val="21"/>
                <w:highlight w:val="none"/>
              </w:rPr>
              <w:t>应结合其工作经历及项目需求制定实施方案，具体内容包括但不限于：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项目总体实施方案</w:t>
            </w:r>
            <w:r>
              <w:rPr>
                <w:rFonts w:hint="eastAsia" w:ascii="宋体" w:hAnsi="宋体" w:eastAsia="宋体" w:cs="宋体"/>
                <w:color w:val="auto"/>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项目实施的工作方法；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项目实施的工作措施及各分项目工作流程内容；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项目实施所配备的开展工作的必要条件。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auto"/>
                <w:szCs w:val="21"/>
              </w:rPr>
            </w:pPr>
            <w:r>
              <w:rPr>
                <w:rFonts w:hint="eastAsia" w:ascii="宋体" w:hAnsi="宋体" w:eastAsia="宋体" w:cs="宋体"/>
                <w:b/>
                <w:bCs/>
                <w:color w:val="auto"/>
                <w:szCs w:val="21"/>
                <w:highlight w:val="none"/>
                <w:lang w:val="en" w:eastAsia="zh-CN"/>
              </w:rPr>
              <w:t>二、评审</w:t>
            </w:r>
            <w:r>
              <w:rPr>
                <w:rFonts w:hint="eastAsia" w:ascii="宋体" w:hAnsi="宋体" w:cs="宋体"/>
                <w:b/>
                <w:bCs/>
                <w:color w:val="auto"/>
                <w:szCs w:val="21"/>
                <w:highlight w:val="none"/>
                <w:lang w:val="en" w:eastAsia="zh-CN"/>
              </w:rPr>
              <w:t>依据</w:t>
            </w:r>
            <w:r>
              <w:rPr>
                <w:rFonts w:hint="eastAsia" w:ascii="宋体" w:hAnsi="宋体" w:eastAsia="宋体" w:cs="宋体"/>
                <w:b/>
                <w:bCs/>
                <w:color w:val="auto"/>
                <w:szCs w:val="21"/>
                <w:highlight w:val="none"/>
                <w:lang w:val="en" w:eastAsia="zh-CN"/>
              </w:rPr>
              <w:t>：</w:t>
            </w:r>
            <w:r>
              <w:rPr>
                <w:rFonts w:hint="eastAsia" w:ascii="宋体" w:hAnsi="宋体" w:eastAsia="宋体" w:cs="宋体"/>
                <w:b/>
                <w:bCs/>
                <w:color w:val="auto"/>
                <w:szCs w:val="21"/>
                <w:highlight w:val="none"/>
                <w:lang w:val="en" w:eastAsia="zh-CN"/>
              </w:rPr>
              <w:br w:type="textWrapping"/>
            </w:r>
            <w:r>
              <w:rPr>
                <w:rFonts w:hint="eastAsia" w:ascii="宋体" w:hAnsi="宋体" w:eastAsia="宋体" w:cs="宋体"/>
                <w:color w:val="auto"/>
                <w:szCs w:val="21"/>
                <w:highlight w:val="none"/>
                <w:lang w:val="en" w:eastAsia="zh-CN"/>
              </w:rPr>
              <w:t>满足以上四项要求得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en" w:eastAsia="zh-CN"/>
              </w:rPr>
              <w:t>分；满足以上任意三项要求得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en" w:eastAsia="zh-CN"/>
              </w:rPr>
              <w:t>分；满足以上任意二项要求得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 w:eastAsia="zh-CN"/>
              </w:rPr>
              <w:t>分；其他情况不得分。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cs="宋体"/>
                <w:color w:val="auto"/>
                <w:szCs w:val="21"/>
                <w:highlight w:val="none"/>
                <w:lang w:val="en" w:eastAsia="zh-CN"/>
              </w:rPr>
            </w:pPr>
            <w:r>
              <w:rPr>
                <w:rFonts w:hint="eastAsia" w:ascii="宋体" w:hAnsi="宋体" w:eastAsia="宋体" w:cs="宋体"/>
                <w:color w:val="auto"/>
                <w:szCs w:val="21"/>
                <w:highlight w:val="none"/>
                <w:lang w:val="en" w:eastAsia="zh-CN"/>
              </w:rPr>
              <w:t>在此基础上，</w:t>
            </w:r>
            <w:r>
              <w:rPr>
                <w:rFonts w:hint="eastAsia" w:ascii="宋体" w:hAnsi="宋体" w:cs="宋体"/>
                <w:color w:val="auto"/>
                <w:szCs w:val="21"/>
                <w:highlight w:val="none"/>
                <w:lang w:val="en" w:eastAsia="zh-CN"/>
              </w:rPr>
              <w:t>评审委员会根据各投标供应商的具体响应内容进一步评审：</w:t>
            </w:r>
            <w:r>
              <w:rPr>
                <w:rFonts w:hint="eastAsia" w:ascii="宋体" w:hAnsi="宋体" w:cs="宋体"/>
                <w:color w:val="auto"/>
                <w:szCs w:val="21"/>
                <w:highlight w:val="none"/>
                <w:lang w:val="en" w:eastAsia="zh-CN"/>
              </w:rPr>
              <w:br w:type="textWrapping"/>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 w:eastAsia="zh-CN"/>
              </w:rPr>
              <w:t>项目实施方案内容全面而具体，可操作性很强，工作措施到位，充分满足招标人需求的加</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 w:eastAsia="zh-CN"/>
              </w:rPr>
              <w:t>分</w:t>
            </w:r>
            <w:r>
              <w:rPr>
                <w:rFonts w:hint="eastAsia" w:ascii="宋体" w:hAnsi="宋体" w:cs="宋体"/>
                <w:color w:val="auto"/>
                <w:szCs w:val="21"/>
                <w:highlight w:val="none"/>
                <w:lang w:val="en" w:eastAsia="zh-CN"/>
              </w:rPr>
              <w:t>；</w:t>
            </w:r>
            <w:r>
              <w:rPr>
                <w:rFonts w:hint="eastAsia" w:ascii="宋体" w:hAnsi="宋体" w:eastAsia="宋体" w:cs="宋体"/>
                <w:color w:val="auto"/>
                <w:szCs w:val="21"/>
                <w:highlight w:val="none"/>
                <w:lang w:val="en" w:eastAsia="zh-CN"/>
              </w:rPr>
              <w:br w:type="textWrapping"/>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 w:eastAsia="zh-CN"/>
              </w:rPr>
              <w:t>项目实施方案内容较为全面而具体，可操作性较强，工作措施较到位，比较能够满足招标人需求的加</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 w:eastAsia="zh-CN"/>
              </w:rPr>
              <w:t>分</w:t>
            </w:r>
            <w:r>
              <w:rPr>
                <w:rFonts w:hint="eastAsia" w:ascii="宋体" w:hAnsi="宋体" w:cs="宋体"/>
                <w:color w:val="auto"/>
                <w:szCs w:val="21"/>
                <w:highlight w:val="none"/>
                <w:lang w:val="en" w:eastAsia="zh-CN"/>
              </w:rPr>
              <w:t>；</w:t>
            </w:r>
            <w:r>
              <w:rPr>
                <w:rFonts w:hint="eastAsia" w:ascii="宋体" w:hAnsi="宋体" w:eastAsia="宋体" w:cs="宋体"/>
                <w:color w:val="auto"/>
                <w:szCs w:val="21"/>
                <w:highlight w:val="none"/>
                <w:lang w:val="en" w:eastAsia="zh-CN"/>
              </w:rPr>
              <w:br w:type="textWrapping"/>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 w:eastAsia="zh-CN"/>
              </w:rPr>
              <w:t>项目实施方案内容相对全面，有一定可操作性，有一定的工作措施，相对满足招标人需求的加</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 w:eastAsia="zh-CN"/>
              </w:rPr>
              <w:t>分</w:t>
            </w:r>
            <w:r>
              <w:rPr>
                <w:rFonts w:hint="eastAsia" w:ascii="宋体" w:hAnsi="宋体" w:cs="宋体"/>
                <w:color w:val="auto"/>
                <w:szCs w:val="21"/>
                <w:highlight w:val="none"/>
                <w:lang w:val="en"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rightChars="0"/>
              <w:textAlignment w:val="auto"/>
              <w:rPr>
                <w:rFonts w:ascii="宋体" w:hAnsi="宋体"/>
                <w:color w:val="auto"/>
                <w:szCs w:val="21"/>
              </w:rPr>
            </w:pPr>
            <w:r>
              <w:rPr>
                <w:rFonts w:hint="eastAsia" w:ascii="宋体" w:hAnsi="宋体" w:cs="宋体"/>
                <w:color w:val="auto"/>
                <w:szCs w:val="21"/>
                <w:highlight w:val="none"/>
                <w:lang w:val="en" w:eastAsia="zh-CN"/>
              </w:rPr>
              <w:t>4.其他情况不得分</w:t>
            </w:r>
            <w:r>
              <w:rPr>
                <w:rFonts w:hint="eastAsia" w:ascii="宋体" w:hAnsi="宋体" w:eastAsia="宋体" w:cs="宋体"/>
                <w:color w:val="auto"/>
                <w:szCs w:val="21"/>
                <w:highlight w:val="no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2"/>
              <w:rPr>
                <w:rFonts w:ascii="宋体" w:hAnsi="宋体"/>
                <w:color w:val="auto"/>
                <w:szCs w:val="21"/>
              </w:rPr>
            </w:pPr>
          </w:p>
        </w:tc>
        <w:tc>
          <w:tcPr>
            <w:tcW w:w="749" w:type="dxa"/>
            <w:vAlign w:val="center"/>
          </w:tcPr>
          <w:p>
            <w:pPr>
              <w:spacing w:line="440" w:lineRule="exact"/>
              <w:jc w:val="center"/>
              <w:rPr>
                <w:rFonts w:ascii="宋体" w:hAnsi="宋体"/>
                <w:color w:val="auto"/>
                <w:szCs w:val="21"/>
              </w:rPr>
            </w:pPr>
            <w:r>
              <w:rPr>
                <w:rFonts w:ascii="宋体" w:hAnsi="宋体"/>
                <w:color w:val="auto"/>
                <w:szCs w:val="21"/>
              </w:rPr>
              <w:t>2</w:t>
            </w:r>
          </w:p>
        </w:tc>
        <w:tc>
          <w:tcPr>
            <w:tcW w:w="16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eastAsia="宋体" w:cs="宋体"/>
                <w:color w:val="auto"/>
                <w:szCs w:val="21"/>
                <w:highlight w:val="none"/>
              </w:rPr>
              <w:t>项目重点难点分析、应对措施及相关的合理化建议</w:t>
            </w:r>
          </w:p>
        </w:tc>
        <w:tc>
          <w:tcPr>
            <w:tcW w:w="6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cs="宋体"/>
                <w:color w:val="auto"/>
                <w:szCs w:val="21"/>
                <w:highlight w:val="none"/>
                <w:lang w:val="en-US" w:eastAsia="zh-CN"/>
              </w:rPr>
              <w:t>9</w:t>
            </w:r>
          </w:p>
        </w:tc>
        <w:tc>
          <w:tcPr>
            <w:tcW w:w="541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b/>
                <w:bCs w:val="0"/>
                <w:color w:val="auto"/>
                <w:szCs w:val="21"/>
                <w:highlight w:val="none"/>
                <w:u w:val="none"/>
                <w:lang w:eastAsia="zh-CN"/>
              </w:rPr>
              <w:t>一、评审内容：</w:t>
            </w:r>
            <w:r>
              <w:rPr>
                <w:rFonts w:hint="eastAsia" w:ascii="宋体" w:hAnsi="宋体" w:eastAsia="宋体" w:cs="宋体"/>
                <w:b w:val="0"/>
                <w:bCs/>
                <w:color w:val="auto"/>
                <w:szCs w:val="21"/>
                <w:highlight w:val="none"/>
                <w:u w:val="none"/>
                <w:lang w:eastAsia="zh-CN"/>
              </w:rPr>
              <w:br w:type="textWrapping"/>
            </w:r>
            <w:r>
              <w:rPr>
                <w:rFonts w:hint="eastAsia" w:ascii="宋体" w:hAnsi="宋体" w:cs="宋体"/>
                <w:b w:val="0"/>
                <w:bCs w:val="0"/>
                <w:color w:val="auto"/>
                <w:sz w:val="21"/>
                <w:szCs w:val="21"/>
                <w:highlight w:val="none"/>
                <w:lang w:eastAsia="zh-CN"/>
              </w:rPr>
              <w:t>投标单位</w:t>
            </w:r>
            <w:r>
              <w:rPr>
                <w:rFonts w:hint="eastAsia" w:ascii="宋体" w:hAnsi="宋体" w:eastAsia="宋体" w:cs="宋体"/>
                <w:b w:val="0"/>
                <w:bCs/>
                <w:color w:val="auto"/>
                <w:szCs w:val="21"/>
                <w:highlight w:val="none"/>
                <w:u w:val="none"/>
                <w:lang w:eastAsia="zh-CN"/>
              </w:rPr>
              <w:t>应结合其工作经历及项目需求进行重点难点分析并提出合理化建议，内容包括但不限于</w:t>
            </w:r>
            <w:r>
              <w:rPr>
                <w:rFonts w:hint="eastAsia" w:ascii="宋体" w:hAnsi="宋体" w:eastAsia="宋体" w:cs="宋体"/>
                <w:b w:val="0"/>
                <w:bCs/>
                <w:color w:val="auto"/>
                <w:szCs w:val="21"/>
                <w:highlight w:val="none"/>
                <w:u w:val="none"/>
                <w:lang w:val="en-US" w:eastAsia="zh-CN"/>
              </w:rPr>
              <w:t>:</w:t>
            </w:r>
            <w:r>
              <w:rPr>
                <w:rFonts w:hint="eastAsia" w:ascii="宋体" w:hAnsi="宋体" w:eastAsia="宋体" w:cs="宋体"/>
                <w:b w:val="0"/>
                <w:bCs/>
                <w:color w:val="auto"/>
                <w:szCs w:val="21"/>
                <w:highlight w:val="none"/>
                <w:u w:val="none"/>
                <w:lang w:val="en-US" w:eastAsia="zh-CN"/>
              </w:rPr>
              <w:br w:type="textWrapping"/>
            </w:r>
            <w:r>
              <w:rPr>
                <w:rFonts w:hint="eastAsia" w:ascii="宋体" w:hAnsi="宋体" w:eastAsia="宋体" w:cs="宋体"/>
                <w:color w:val="auto"/>
                <w:szCs w:val="21"/>
                <w:highlight w:val="none"/>
              </w:rPr>
              <w:t>1.项目重点难点分析；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2.项目重点难点应对措施；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3.项目重点难点相关合理化建议。</w:t>
            </w:r>
            <w:r>
              <w:rPr>
                <w:rFonts w:hint="eastAsia" w:ascii="宋体" w:hAnsi="宋体" w:eastAsia="宋体" w:cs="宋体"/>
                <w:b w:val="0"/>
                <w:bCs/>
                <w:color w:val="auto"/>
                <w:szCs w:val="21"/>
                <w:highlight w:val="none"/>
                <w:u w:val="none"/>
                <w:lang w:val="en-US" w:eastAsia="zh-CN"/>
              </w:rPr>
              <w:br w:type="textWrapping"/>
            </w:r>
            <w:r>
              <w:rPr>
                <w:rFonts w:hint="eastAsia" w:eastAsia="宋体"/>
                <w:b/>
                <w:bCs/>
                <w:color w:val="auto"/>
                <w:highlight w:val="none"/>
                <w:lang w:val="en-US" w:eastAsia="zh-CN"/>
              </w:rPr>
              <w:t>二、评审依据</w:t>
            </w:r>
            <w:r>
              <w:rPr>
                <w:rFonts w:hint="eastAsia"/>
                <w:b/>
                <w:bCs/>
                <w:color w:val="auto"/>
                <w:highlight w:val="none"/>
                <w:lang w:val="en-US" w:eastAsia="zh-CN"/>
              </w:rPr>
              <w:t>：</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满足以上</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项要求得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分，满足以上任意</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项要求得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分，满足以上任意</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项要求得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分，其他情况不得分。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cs="宋体"/>
                <w:color w:val="auto"/>
                <w:szCs w:val="21"/>
                <w:highlight w:val="none"/>
                <w:lang w:val="en" w:eastAsia="zh-CN"/>
              </w:rPr>
            </w:pPr>
            <w:r>
              <w:rPr>
                <w:rFonts w:hint="eastAsia" w:ascii="宋体" w:hAnsi="宋体" w:eastAsia="宋体" w:cs="宋体"/>
                <w:color w:val="auto"/>
                <w:szCs w:val="21"/>
                <w:highlight w:val="none"/>
              </w:rPr>
              <w:t>在此基础上，根据</w:t>
            </w:r>
            <w:r>
              <w:rPr>
                <w:rFonts w:hint="eastAsia" w:ascii="宋体" w:hAnsi="宋体" w:eastAsia="宋体" w:cs="宋体"/>
                <w:color w:val="auto"/>
                <w:szCs w:val="21"/>
                <w:highlight w:val="none"/>
                <w:lang w:eastAsia="zh-CN"/>
              </w:rPr>
              <w:t>重难点分析</w:t>
            </w:r>
            <w:r>
              <w:rPr>
                <w:rFonts w:hint="eastAsia" w:ascii="宋体" w:hAnsi="宋体" w:eastAsia="宋体" w:cs="宋体"/>
                <w:color w:val="auto"/>
                <w:szCs w:val="21"/>
                <w:highlight w:val="none"/>
              </w:rPr>
              <w:t>实际内容进一步评审：</w:t>
            </w:r>
            <w:r>
              <w:rPr>
                <w:rFonts w:hint="eastAsia" w:ascii="宋体" w:hAnsi="宋体" w:eastAsia="宋体" w:cs="宋体"/>
                <w:color w:val="auto"/>
                <w:szCs w:val="21"/>
                <w:highlight w:val="none"/>
              </w:rPr>
              <w:br w:type="textWrapping"/>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 w:eastAsia="zh-CN"/>
              </w:rPr>
              <w:t>项目重点难点分析全面到位、应对措施和建议合理、可行的加</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 w:eastAsia="zh-CN"/>
              </w:rPr>
              <w:t>分</w:t>
            </w:r>
            <w:r>
              <w:rPr>
                <w:rFonts w:hint="eastAsia" w:ascii="宋体" w:hAnsi="宋体" w:cs="宋体"/>
                <w:color w:val="auto"/>
                <w:szCs w:val="21"/>
                <w:highlight w:val="none"/>
                <w:lang w:val="en" w:eastAsia="zh-CN"/>
              </w:rPr>
              <w:t>；</w:t>
            </w:r>
            <w:r>
              <w:rPr>
                <w:rFonts w:hint="eastAsia" w:ascii="宋体" w:hAnsi="宋体" w:eastAsia="宋体" w:cs="宋体"/>
                <w:color w:val="auto"/>
                <w:szCs w:val="21"/>
                <w:highlight w:val="none"/>
                <w:lang w:val="en" w:eastAsia="zh-CN"/>
              </w:rPr>
              <w:br w:type="textWrapping"/>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 w:eastAsia="zh-CN"/>
              </w:rPr>
              <w:t>项目重点难点分析比较到位、应对措施和建议较合理、可行的加</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 w:eastAsia="zh-CN"/>
              </w:rPr>
              <w:t>分</w:t>
            </w:r>
            <w:r>
              <w:rPr>
                <w:rFonts w:hint="eastAsia" w:ascii="宋体" w:hAnsi="宋体" w:cs="宋体"/>
                <w:color w:val="auto"/>
                <w:szCs w:val="21"/>
                <w:highlight w:val="none"/>
                <w:lang w:val="en" w:eastAsia="zh-CN"/>
              </w:rPr>
              <w:t>；</w:t>
            </w:r>
            <w:r>
              <w:rPr>
                <w:rFonts w:hint="eastAsia" w:ascii="宋体" w:hAnsi="宋体" w:eastAsia="宋体" w:cs="宋体"/>
                <w:color w:val="auto"/>
                <w:szCs w:val="21"/>
                <w:highlight w:val="none"/>
                <w:lang w:val="en" w:eastAsia="zh-CN"/>
              </w:rPr>
              <w:br w:type="textWrapping"/>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 w:eastAsia="zh-CN"/>
              </w:rPr>
              <w:t>项目重点难点分析相对到位、应对措施和建议有一定可行性的加</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 w:eastAsia="zh-CN"/>
              </w:rPr>
              <w:t>分</w:t>
            </w:r>
            <w:r>
              <w:rPr>
                <w:rFonts w:hint="eastAsia" w:ascii="宋体" w:hAnsi="宋体" w:cs="宋体"/>
                <w:color w:val="auto"/>
                <w:szCs w:val="21"/>
                <w:highlight w:val="none"/>
                <w:lang w:val="en"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rightChars="0"/>
              <w:textAlignment w:val="auto"/>
              <w:rPr>
                <w:rFonts w:ascii="宋体" w:hAnsi="宋体" w:cs="宋体"/>
                <w:color w:val="auto"/>
                <w:szCs w:val="21"/>
              </w:rPr>
            </w:pPr>
            <w:r>
              <w:rPr>
                <w:rFonts w:hint="eastAsia" w:ascii="宋体" w:hAnsi="宋体" w:cs="宋体"/>
                <w:color w:val="auto"/>
                <w:szCs w:val="21"/>
                <w:highlight w:val="none"/>
                <w:lang w:val="en" w:eastAsia="zh-CN"/>
              </w:rPr>
              <w:t>4.其他情况不得分</w:t>
            </w:r>
            <w:r>
              <w:rPr>
                <w:rFonts w:hint="eastAsia" w:ascii="宋体" w:hAnsi="宋体" w:eastAsia="宋体" w:cs="宋体"/>
                <w:color w:val="auto"/>
                <w:szCs w:val="21"/>
                <w:highlight w:val="no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spacing w:line="440" w:lineRule="exact"/>
              <w:jc w:val="center"/>
              <w:rPr>
                <w:rFonts w:ascii="宋体" w:hAnsi="宋体"/>
                <w:color w:val="auto"/>
                <w:szCs w:val="21"/>
              </w:rPr>
            </w:pPr>
          </w:p>
        </w:tc>
        <w:tc>
          <w:tcPr>
            <w:tcW w:w="749" w:type="dxa"/>
            <w:vAlign w:val="center"/>
          </w:tcPr>
          <w:p>
            <w:pPr>
              <w:spacing w:line="440" w:lineRule="exact"/>
              <w:jc w:val="center"/>
              <w:rPr>
                <w:rFonts w:ascii="宋体" w:hAnsi="宋体"/>
                <w:color w:val="auto"/>
                <w:szCs w:val="21"/>
              </w:rPr>
            </w:pPr>
            <w:r>
              <w:rPr>
                <w:rFonts w:ascii="宋体" w:hAnsi="宋体"/>
                <w:color w:val="auto"/>
                <w:szCs w:val="21"/>
              </w:rPr>
              <w:t>3</w:t>
            </w:r>
          </w:p>
        </w:tc>
        <w:tc>
          <w:tcPr>
            <w:tcW w:w="16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eastAsia="宋体" w:cs="宋体"/>
                <w:color w:val="auto"/>
                <w:szCs w:val="21"/>
                <w:highlight w:val="none"/>
              </w:rPr>
              <w:t>质量（完成时间、安全、环保）保障措施及方案</w:t>
            </w:r>
          </w:p>
        </w:tc>
        <w:tc>
          <w:tcPr>
            <w:tcW w:w="6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cs="宋体"/>
                <w:color w:val="auto"/>
                <w:szCs w:val="21"/>
                <w:highlight w:val="none"/>
                <w:lang w:val="en-US" w:eastAsia="zh-CN"/>
              </w:rPr>
              <w:t>8</w:t>
            </w:r>
          </w:p>
        </w:tc>
        <w:tc>
          <w:tcPr>
            <w:tcW w:w="54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lang w:val="en" w:eastAsia="zh-CN"/>
              </w:rPr>
            </w:pPr>
            <w:r>
              <w:rPr>
                <w:rFonts w:hint="eastAsia" w:ascii="宋体" w:hAnsi="宋体" w:eastAsia="宋体" w:cs="宋体"/>
                <w:b/>
                <w:bCs w:val="0"/>
                <w:color w:val="auto"/>
                <w:szCs w:val="21"/>
                <w:highlight w:val="none"/>
                <w:u w:val="none"/>
                <w:lang w:eastAsia="zh-CN"/>
              </w:rPr>
              <w:t>一、评审内容：</w:t>
            </w:r>
            <w:r>
              <w:rPr>
                <w:rFonts w:hint="eastAsia" w:ascii="宋体" w:hAnsi="宋体" w:eastAsia="宋体" w:cs="宋体"/>
                <w:b w:val="0"/>
                <w:bCs/>
                <w:color w:val="auto"/>
                <w:szCs w:val="21"/>
                <w:highlight w:val="none"/>
                <w:u w:val="none"/>
                <w:lang w:eastAsia="zh-CN"/>
              </w:rPr>
              <w:br w:type="textWrapping"/>
            </w:r>
            <w:r>
              <w:rPr>
                <w:rFonts w:hint="eastAsia" w:ascii="宋体" w:hAnsi="宋体" w:cs="宋体"/>
                <w:b w:val="0"/>
                <w:bCs/>
                <w:color w:val="auto"/>
                <w:szCs w:val="21"/>
                <w:highlight w:val="none"/>
                <w:u w:val="none"/>
                <w:lang w:eastAsia="zh-CN"/>
              </w:rPr>
              <w:t>投标单位</w:t>
            </w:r>
            <w:r>
              <w:rPr>
                <w:rFonts w:hint="eastAsia" w:ascii="宋体" w:hAnsi="宋体" w:eastAsia="宋体" w:cs="宋体"/>
                <w:b w:val="0"/>
                <w:bCs/>
                <w:color w:val="auto"/>
                <w:szCs w:val="21"/>
                <w:highlight w:val="none"/>
                <w:u w:val="none"/>
                <w:lang w:eastAsia="zh-CN"/>
              </w:rPr>
              <w:t>应结合其工作经历及项目需求进行质量保障措施及方案，内容包括但不限于：</w:t>
            </w:r>
            <w:r>
              <w:rPr>
                <w:rFonts w:hint="eastAsia" w:ascii="宋体" w:hAnsi="宋体" w:eastAsia="宋体" w:cs="宋体"/>
                <w:b w:val="0"/>
                <w:bCs/>
                <w:color w:val="auto"/>
                <w:szCs w:val="21"/>
                <w:highlight w:val="none"/>
                <w:u w:val="none"/>
                <w:lang w:eastAsia="zh-CN"/>
              </w:rPr>
              <w:br w:type="textWrapping"/>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 w:eastAsia="zh-CN"/>
              </w:rPr>
              <w:t>项目工作进度安排，详细说明各阶段工作安排的时间和项目工作内容完成的时间；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 w:eastAsia="zh-CN"/>
              </w:rPr>
              <w:t>项目管理，包括专家团队、人员及车辆、质量、安全、及疫情应急管理等管理措施；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 w:eastAsia="zh-CN"/>
              </w:rPr>
              <w:t>隐患整改措施、保障措施到位；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cs="宋体"/>
                <w:color w:val="auto"/>
                <w:szCs w:val="21"/>
                <w:highlight w:val="none"/>
                <w:lang w:val="en"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en" w:eastAsia="zh-CN"/>
              </w:rPr>
              <w:t>项目沟通、培训协调机制。</w:t>
            </w:r>
            <w:r>
              <w:rPr>
                <w:rFonts w:hint="eastAsia" w:ascii="宋体" w:hAnsi="宋体" w:eastAsia="宋体" w:cs="宋体"/>
                <w:b w:val="0"/>
                <w:bCs/>
                <w:color w:val="auto"/>
                <w:szCs w:val="21"/>
                <w:highlight w:val="none"/>
                <w:u w:val="none"/>
                <w:lang w:eastAsia="zh-CN"/>
              </w:rPr>
              <w:br w:type="textWrapping"/>
            </w:r>
            <w:r>
              <w:rPr>
                <w:rFonts w:hint="eastAsia" w:eastAsia="宋体"/>
                <w:b/>
                <w:bCs/>
                <w:color w:val="auto"/>
                <w:highlight w:val="none"/>
                <w:lang w:val="en-US" w:eastAsia="zh-CN"/>
              </w:rPr>
              <w:t>二、评审依据</w:t>
            </w:r>
            <w:r>
              <w:rPr>
                <w:rFonts w:hint="eastAsia"/>
                <w:b/>
                <w:bCs/>
                <w:color w:val="auto"/>
                <w:highlight w:val="none"/>
                <w:lang w:val="en-US" w:eastAsia="zh-CN"/>
              </w:rPr>
              <w:t>：</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满足以上</w:t>
            </w:r>
            <w:r>
              <w:rPr>
                <w:rFonts w:hint="eastAsia" w:ascii="宋体" w:hAnsi="宋体" w:cs="宋体"/>
                <w:color w:val="auto"/>
                <w:szCs w:val="21"/>
                <w:highlight w:val="none"/>
                <w:lang w:eastAsia="zh-CN"/>
              </w:rPr>
              <w:t>四</w:t>
            </w:r>
            <w:r>
              <w:rPr>
                <w:rFonts w:hint="eastAsia" w:ascii="宋体" w:hAnsi="宋体" w:eastAsia="宋体" w:cs="宋体"/>
                <w:color w:val="auto"/>
                <w:szCs w:val="21"/>
                <w:highlight w:val="none"/>
              </w:rPr>
              <w:t>项要求得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分，满足以上任意</w:t>
            </w:r>
            <w:r>
              <w:rPr>
                <w:rFonts w:hint="eastAsia" w:ascii="宋体" w:hAnsi="宋体" w:cs="宋体"/>
                <w:color w:val="auto"/>
                <w:szCs w:val="21"/>
                <w:highlight w:val="none"/>
                <w:lang w:eastAsia="zh-CN"/>
              </w:rPr>
              <w:t>三</w:t>
            </w:r>
            <w:r>
              <w:rPr>
                <w:rFonts w:hint="eastAsia" w:ascii="宋体" w:hAnsi="宋体" w:eastAsia="宋体" w:cs="宋体"/>
                <w:color w:val="auto"/>
                <w:szCs w:val="21"/>
                <w:highlight w:val="none"/>
              </w:rPr>
              <w:t>项要求得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分，满足以上任意</w:t>
            </w:r>
            <w:r>
              <w:rPr>
                <w:rFonts w:hint="eastAsia" w:ascii="宋体" w:hAnsi="宋体" w:cs="宋体"/>
                <w:color w:val="auto"/>
                <w:szCs w:val="21"/>
                <w:highlight w:val="none"/>
                <w:lang w:eastAsia="zh-CN"/>
              </w:rPr>
              <w:t>二</w:t>
            </w:r>
            <w:r>
              <w:rPr>
                <w:rFonts w:hint="eastAsia" w:ascii="宋体" w:hAnsi="宋体" w:eastAsia="宋体" w:cs="宋体"/>
                <w:color w:val="auto"/>
                <w:szCs w:val="21"/>
                <w:highlight w:val="none"/>
              </w:rPr>
              <w:t>项要求得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分，其他情况不得分。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在此基础上，根据</w:t>
            </w:r>
            <w:r>
              <w:rPr>
                <w:rFonts w:hint="eastAsia" w:ascii="宋体" w:hAnsi="宋体" w:eastAsia="宋体" w:cs="宋体"/>
                <w:color w:val="auto"/>
                <w:szCs w:val="21"/>
                <w:highlight w:val="none"/>
                <w:lang w:eastAsia="zh-CN"/>
              </w:rPr>
              <w:t>保障措施及方案</w:t>
            </w:r>
            <w:r>
              <w:rPr>
                <w:rFonts w:hint="eastAsia" w:ascii="宋体" w:hAnsi="宋体" w:eastAsia="宋体" w:cs="宋体"/>
                <w:color w:val="auto"/>
                <w:szCs w:val="21"/>
                <w:highlight w:val="none"/>
              </w:rPr>
              <w:t>实际内容进一步评审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eastAsia="zh-CN"/>
              </w:rPr>
              <w:br w:type="textWrapping"/>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 w:eastAsia="zh-CN"/>
              </w:rPr>
              <w:t>完成时间符合招标人要求，质量保障措施及方案完善、可行，专家团队能力优秀，人员及车辆保障有力且安全管理措施完善的加</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 w:eastAsia="zh-CN"/>
              </w:rPr>
              <w:t>分</w:t>
            </w:r>
            <w:r>
              <w:rPr>
                <w:rFonts w:hint="eastAsia" w:ascii="宋体" w:hAnsi="宋体" w:cs="宋体"/>
                <w:color w:val="auto"/>
                <w:szCs w:val="21"/>
                <w:highlight w:val="none"/>
                <w:lang w:val="en" w:eastAsia="zh-CN"/>
              </w:rPr>
              <w:t>；</w:t>
            </w:r>
            <w:r>
              <w:rPr>
                <w:rFonts w:hint="eastAsia" w:ascii="宋体" w:hAnsi="宋体" w:eastAsia="宋体" w:cs="宋体"/>
                <w:color w:val="auto"/>
                <w:szCs w:val="21"/>
                <w:highlight w:val="none"/>
                <w:lang w:val="en" w:eastAsia="zh-CN"/>
              </w:rPr>
              <w:br w:type="textWrapping"/>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 w:eastAsia="zh-CN"/>
              </w:rPr>
              <w:t>完成时间符合招标人要求，质量保障措施及方案比较完善、比较可行，专家团队能力良好，人员及车辆保障比较有力且安全管理措施比较完善的加</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 w:eastAsia="zh-CN"/>
              </w:rPr>
              <w:t>分</w:t>
            </w:r>
            <w:r>
              <w:rPr>
                <w:rFonts w:hint="eastAsia" w:ascii="宋体" w:hAnsi="宋体" w:cs="宋体"/>
                <w:color w:val="auto"/>
                <w:szCs w:val="21"/>
                <w:highlight w:val="none"/>
                <w:lang w:val="en" w:eastAsia="zh-CN"/>
              </w:rPr>
              <w:t>；</w:t>
            </w:r>
            <w:r>
              <w:rPr>
                <w:rFonts w:hint="eastAsia" w:ascii="宋体" w:hAnsi="宋体" w:eastAsia="宋体" w:cs="宋体"/>
                <w:color w:val="auto"/>
                <w:szCs w:val="21"/>
                <w:highlight w:val="none"/>
                <w:lang w:val="en" w:eastAsia="zh-CN"/>
              </w:rPr>
              <w:br w:type="textWrapping"/>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 w:eastAsia="zh-CN"/>
              </w:rPr>
              <w:t>完成时间符合招标人要求，质量保障措施及方案相对完善、相对可行，专家团队能力一般，人员及车辆保障相对有力且安全管理措施相对完善的加</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 w:eastAsia="zh-CN"/>
              </w:rPr>
              <w:t>分</w:t>
            </w:r>
            <w:r>
              <w:rPr>
                <w:rFonts w:hint="eastAsia" w:ascii="宋体" w:hAnsi="宋体" w:cs="宋体"/>
                <w:color w:val="auto"/>
                <w:szCs w:val="21"/>
                <w:highlight w:val="none"/>
                <w:lang w:val="en"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rightChars="0"/>
              <w:textAlignment w:val="auto"/>
              <w:rPr>
                <w:rFonts w:ascii="宋体" w:hAnsi="宋体" w:cs="宋体"/>
                <w:color w:val="auto"/>
                <w:szCs w:val="21"/>
              </w:rPr>
            </w:pPr>
            <w:r>
              <w:rPr>
                <w:rFonts w:hint="eastAsia" w:ascii="宋体" w:hAnsi="宋体" w:cs="宋体"/>
                <w:color w:val="auto"/>
                <w:szCs w:val="21"/>
                <w:highlight w:val="none"/>
                <w:lang w:val="en" w:eastAsia="zh-CN"/>
              </w:rPr>
              <w:t>4.其他情况不得分</w:t>
            </w:r>
            <w:r>
              <w:rPr>
                <w:rFonts w:hint="eastAsia" w:ascii="宋体" w:hAnsi="宋体" w:eastAsia="宋体" w:cs="宋体"/>
                <w:color w:val="auto"/>
                <w:szCs w:val="21"/>
                <w:highlight w:val="no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2"/>
              <w:rPr>
                <w:rFonts w:ascii="宋体" w:hAnsi="宋体"/>
                <w:color w:val="auto"/>
                <w:szCs w:val="21"/>
              </w:rPr>
            </w:pPr>
          </w:p>
        </w:tc>
        <w:tc>
          <w:tcPr>
            <w:tcW w:w="749" w:type="dxa"/>
            <w:vAlign w:val="center"/>
          </w:tcPr>
          <w:p>
            <w:pPr>
              <w:spacing w:line="440" w:lineRule="exact"/>
              <w:jc w:val="center"/>
              <w:rPr>
                <w:rFonts w:ascii="宋体" w:hAnsi="宋体"/>
                <w:color w:val="auto"/>
                <w:szCs w:val="21"/>
              </w:rPr>
            </w:pPr>
            <w:r>
              <w:rPr>
                <w:rFonts w:ascii="宋体" w:hAnsi="宋体"/>
                <w:color w:val="auto"/>
                <w:szCs w:val="21"/>
              </w:rPr>
              <w:t>4</w:t>
            </w:r>
          </w:p>
        </w:tc>
        <w:tc>
          <w:tcPr>
            <w:tcW w:w="16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eastAsia="宋体" w:cs="宋体"/>
                <w:color w:val="auto"/>
                <w:szCs w:val="21"/>
                <w:highlight w:val="none"/>
              </w:rPr>
              <w:t>拟安排的项目负责人情况（仅限一人）</w:t>
            </w:r>
          </w:p>
        </w:tc>
        <w:tc>
          <w:tcPr>
            <w:tcW w:w="6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cs="宋体"/>
                <w:color w:val="auto"/>
                <w:szCs w:val="21"/>
                <w:highlight w:val="none"/>
                <w:lang w:val="en-US" w:eastAsia="zh-CN"/>
              </w:rPr>
              <w:t>10</w:t>
            </w:r>
          </w:p>
        </w:tc>
        <w:tc>
          <w:tcPr>
            <w:tcW w:w="54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评</w:t>
            </w:r>
            <w:r>
              <w:rPr>
                <w:rFonts w:hint="eastAsia" w:ascii="宋体" w:hAnsi="宋体" w:eastAsia="宋体" w:cs="宋体"/>
                <w:b/>
                <w:bCs/>
                <w:color w:val="auto"/>
                <w:szCs w:val="21"/>
                <w:highlight w:val="none"/>
                <w:lang w:eastAsia="zh-CN"/>
              </w:rPr>
              <w:t>审</w:t>
            </w:r>
            <w:r>
              <w:rPr>
                <w:rFonts w:hint="eastAsia" w:ascii="宋体" w:hAnsi="宋体" w:eastAsia="宋体" w:cs="宋体"/>
                <w:b/>
                <w:bCs/>
                <w:color w:val="auto"/>
                <w:szCs w:val="21"/>
                <w:highlight w:val="none"/>
              </w:rPr>
              <w:t>内容</w:t>
            </w:r>
            <w:r>
              <w:rPr>
                <w:rFonts w:hint="eastAsia" w:ascii="宋体" w:hAnsi="宋体" w:cs="宋体"/>
                <w:b/>
                <w:bCs/>
                <w:color w:val="auto"/>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拟安排项目负责人为投标单位员工（以社保为准），否则本项不得分。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 w:eastAsia="zh-CN"/>
              </w:rPr>
              <w:t>负责人具有机电类或质量类副高或以上职称的得</w:t>
            </w:r>
            <w:r>
              <w:rPr>
                <w:rFonts w:hint="default"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 w:eastAsia="zh-CN"/>
              </w:rPr>
              <w:t>分，其他不得分；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 w:eastAsia="zh-CN"/>
              </w:rPr>
              <w:t>负责人参与过与游乐设施相关的特种设备技术规范或标准起草工作的得</w:t>
            </w:r>
            <w:r>
              <w:rPr>
                <w:rFonts w:hint="default"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 w:eastAsia="zh-CN"/>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lang w:val="en" w:eastAsia="zh-CN"/>
              </w:rPr>
              <w:t>3.负责人具有大型游乐设施检验相关工作经历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 w:eastAsia="zh-CN"/>
              </w:rPr>
              <w:t>5年及以上的得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 w:eastAsia="zh-CN"/>
              </w:rPr>
              <w:t>分，其他不得分；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lang w:val="en" w:eastAsia="zh-CN"/>
              </w:rPr>
              <w:t>4.负责人具有游乐设施安全事故相关技术调查工作经验的得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 w:eastAsia="zh-CN"/>
              </w:rPr>
              <w:t>分，其他不得分；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 w:eastAsia="zh-CN"/>
              </w:rPr>
              <w:t>5.</w:t>
            </w:r>
            <w:r>
              <w:rPr>
                <w:rFonts w:hint="eastAsia" w:ascii="宋体" w:hAnsi="宋体" w:eastAsia="宋体" w:cs="宋体"/>
                <w:color w:val="auto"/>
                <w:szCs w:val="21"/>
                <w:highlight w:val="none"/>
                <w:lang w:val="en-US" w:eastAsia="zh-CN"/>
              </w:rPr>
              <w:t>负责人有游乐设施相关发明专利</w:t>
            </w:r>
            <w:r>
              <w:rPr>
                <w:rFonts w:hint="eastAsia" w:ascii="宋体" w:hAnsi="宋体" w:eastAsia="宋体" w:cs="宋体"/>
                <w:color w:val="auto"/>
                <w:szCs w:val="21"/>
                <w:highlight w:val="none"/>
                <w:lang w:val="en" w:eastAsia="zh-CN"/>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 w:eastAsia="zh-CN"/>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b/>
                <w:bCs/>
                <w:color w:val="auto"/>
                <w:szCs w:val="21"/>
                <w:highlight w:val="none"/>
              </w:rPr>
            </w:pP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评</w:t>
            </w:r>
            <w:r>
              <w:rPr>
                <w:rFonts w:hint="eastAsia" w:ascii="宋体" w:hAnsi="宋体" w:eastAsia="宋体" w:cs="宋体"/>
                <w:b/>
                <w:bCs/>
                <w:color w:val="auto"/>
                <w:szCs w:val="21"/>
                <w:highlight w:val="none"/>
                <w:lang w:eastAsia="zh-CN"/>
              </w:rPr>
              <w:t>审</w:t>
            </w:r>
            <w:r>
              <w:rPr>
                <w:rFonts w:hint="eastAsia" w:ascii="宋体" w:hAnsi="宋体" w:eastAsia="宋体" w:cs="宋体"/>
                <w:b/>
                <w:bCs/>
                <w:color w:val="auto"/>
                <w:szCs w:val="21"/>
                <w:highlight w:val="none"/>
              </w:rPr>
              <w:t>依据</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1.要求提供通过</w:t>
            </w:r>
            <w:r>
              <w:rPr>
                <w:rFonts w:hint="eastAsia" w:ascii="宋体" w:hAnsi="宋体" w:cs="宋体"/>
                <w:color w:val="auto"/>
                <w:szCs w:val="21"/>
                <w:highlight w:val="none"/>
                <w:lang w:eastAsia="zh-CN"/>
              </w:rPr>
              <w:t>投标单位</w:t>
            </w:r>
            <w:r>
              <w:rPr>
                <w:rFonts w:hint="eastAsia" w:ascii="宋体" w:hAnsi="宋体" w:eastAsia="宋体" w:cs="宋体"/>
                <w:color w:val="auto"/>
                <w:szCs w:val="21"/>
                <w:highlight w:val="none"/>
              </w:rPr>
              <w:t>缴纳的近三个月的任意一个月的社保证明作为本单位员工的证明依据。若供应商成立不足</w:t>
            </w:r>
            <w:r>
              <w:rPr>
                <w:rFonts w:hint="eastAsia" w:ascii="宋体" w:hAnsi="宋体" w:cs="宋体"/>
                <w:color w:val="auto"/>
                <w:szCs w:val="21"/>
                <w:highlight w:val="none"/>
                <w:lang w:eastAsia="zh-CN"/>
              </w:rPr>
              <w:t>一</w:t>
            </w:r>
            <w:r>
              <w:rPr>
                <w:rFonts w:hint="eastAsia" w:ascii="宋体" w:hAnsi="宋体" w:eastAsia="宋体" w:cs="宋体"/>
                <w:color w:val="auto"/>
                <w:szCs w:val="21"/>
                <w:highlight w:val="none"/>
              </w:rPr>
              <w:t>个月的，需提供成立情况说明函（格式自拟），无需提供相关人员社保，亦可得分；若为退休返聘人员，需提供说明函（格式自拟），无需提供相关人员社保，亦可得分。</w:t>
            </w:r>
          </w:p>
          <w:p>
            <w:pP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rPr>
              <w:t>第1项</w:t>
            </w:r>
            <w:r>
              <w:rPr>
                <w:rFonts w:hint="eastAsia" w:ascii="宋体" w:hAnsi="宋体" w:eastAsia="宋体" w:cs="宋体"/>
                <w:color w:val="auto"/>
                <w:szCs w:val="21"/>
                <w:highlight w:val="none"/>
              </w:rPr>
              <w:t>提供职称证书复印件（或官方网站截图），原件备查。</w:t>
            </w:r>
            <w:r>
              <w:rPr>
                <w:rFonts w:hint="eastAsia" w:ascii="宋体" w:hAnsi="宋体" w:eastAsia="宋体" w:cs="宋体"/>
                <w:b/>
                <w:bCs/>
                <w:color w:val="auto"/>
                <w:szCs w:val="21"/>
                <w:highlight w:val="none"/>
              </w:rPr>
              <w:t>第2项</w:t>
            </w:r>
            <w:r>
              <w:rPr>
                <w:rFonts w:hint="eastAsia" w:ascii="宋体" w:hAnsi="宋体" w:eastAsia="宋体" w:cs="宋体"/>
                <w:color w:val="auto"/>
                <w:szCs w:val="21"/>
                <w:highlight w:val="none"/>
              </w:rPr>
              <w:t>提供参加国家</w:t>
            </w:r>
            <w:r>
              <w:rPr>
                <w:rFonts w:hint="eastAsia" w:ascii="宋体" w:hAnsi="宋体" w:eastAsia="宋体" w:cs="宋体"/>
                <w:color w:val="auto"/>
                <w:szCs w:val="21"/>
                <w:highlight w:val="none"/>
                <w:lang w:val="en-US" w:eastAsia="zh-CN"/>
              </w:rPr>
              <w:t>/地方</w:t>
            </w:r>
            <w:r>
              <w:rPr>
                <w:rFonts w:hint="eastAsia" w:ascii="宋体" w:hAnsi="宋体" w:eastAsia="宋体" w:cs="宋体"/>
                <w:color w:val="auto"/>
                <w:szCs w:val="21"/>
                <w:highlight w:val="none"/>
              </w:rPr>
              <w:t>特种设备技术规范或国家标准起草工作的邀请函或国家</w:t>
            </w:r>
            <w:r>
              <w:rPr>
                <w:rFonts w:hint="eastAsia" w:ascii="宋体" w:hAnsi="宋体" w:eastAsia="宋体" w:cs="宋体"/>
                <w:color w:val="auto"/>
                <w:szCs w:val="21"/>
                <w:highlight w:val="none"/>
                <w:lang w:val="en-US" w:eastAsia="zh-CN"/>
              </w:rPr>
              <w:t>/地方</w:t>
            </w:r>
            <w:r>
              <w:rPr>
                <w:rFonts w:hint="eastAsia" w:ascii="宋体" w:hAnsi="宋体" w:eastAsia="宋体" w:cs="宋体"/>
                <w:color w:val="auto"/>
                <w:szCs w:val="21"/>
                <w:highlight w:val="none"/>
              </w:rPr>
              <w:t>特种设备技术规范或国家标准正式版本复印件（正文可不提供，需体现项目负责人姓名）；</w:t>
            </w:r>
            <w:r>
              <w:rPr>
                <w:rFonts w:hint="eastAsia" w:ascii="宋体" w:hAnsi="宋体" w:eastAsia="宋体" w:cs="宋体"/>
                <w:b/>
                <w:bCs/>
                <w:color w:val="auto"/>
                <w:szCs w:val="21"/>
                <w:highlight w:val="none"/>
              </w:rPr>
              <w:t>第3 项</w:t>
            </w:r>
            <w:r>
              <w:rPr>
                <w:rFonts w:hint="eastAsia" w:ascii="宋体" w:hAnsi="宋体" w:eastAsia="宋体" w:cs="宋体"/>
                <w:color w:val="auto"/>
                <w:szCs w:val="21"/>
                <w:highlight w:val="none"/>
              </w:rPr>
              <w:t>提供大型游乐设施检验师（员）证书复印件，计算时间自大型游乐设施检验师证书发证时间至本项目投标截止时间。</w:t>
            </w:r>
            <w:r>
              <w:rPr>
                <w:rFonts w:hint="eastAsia" w:ascii="宋体" w:hAnsi="宋体" w:eastAsia="宋体" w:cs="宋体"/>
                <w:b/>
                <w:bCs/>
                <w:color w:val="auto"/>
                <w:szCs w:val="21"/>
                <w:highlight w:val="none"/>
              </w:rPr>
              <w:t>第4项</w:t>
            </w:r>
            <w:r>
              <w:rPr>
                <w:rFonts w:hint="eastAsia" w:ascii="宋体" w:hAnsi="宋体" w:eastAsia="宋体" w:cs="宋体"/>
                <w:color w:val="auto"/>
                <w:szCs w:val="21"/>
                <w:highlight w:val="none"/>
              </w:rPr>
              <w:t>提供相关政府部门出具的事故调查邀请函或调查报告或其他证明文件（需体现项目负责人姓名）复印件；</w:t>
            </w:r>
            <w:r>
              <w:rPr>
                <w:rFonts w:hint="eastAsia" w:ascii="宋体" w:hAnsi="宋体" w:eastAsia="宋体" w:cs="宋体"/>
                <w:b/>
                <w:bCs/>
                <w:color w:val="auto"/>
                <w:szCs w:val="21"/>
                <w:highlight w:val="none"/>
              </w:rPr>
              <w:t>第5项</w:t>
            </w:r>
            <w:r>
              <w:rPr>
                <w:rFonts w:hint="eastAsia" w:ascii="宋体" w:hAnsi="宋体" w:eastAsia="宋体" w:cs="宋体"/>
                <w:color w:val="auto"/>
                <w:szCs w:val="21"/>
                <w:highlight w:val="none"/>
              </w:rPr>
              <w:t>提供有效的发明专利证书复印件（需体现项目负责人姓名）。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textAlignment w:val="auto"/>
              <w:rPr>
                <w:rFonts w:ascii="宋体" w:hAnsi="宋体"/>
                <w:color w:val="auto"/>
                <w:szCs w:val="21"/>
              </w:rPr>
            </w:pPr>
            <w:r>
              <w:rPr>
                <w:rFonts w:hint="eastAsia" w:ascii="宋体" w:hAnsi="宋体" w:eastAsia="宋体" w:cs="宋体"/>
                <w:color w:val="auto"/>
                <w:szCs w:val="21"/>
                <w:highlight w:val="none"/>
              </w:rPr>
              <w:t>3.以上资料均要求提供</w:t>
            </w:r>
            <w:r>
              <w:rPr>
                <w:rFonts w:hint="eastAsia" w:ascii="宋体" w:hAnsi="宋体" w:eastAsia="宋体" w:cs="宋体"/>
                <w:color w:val="auto"/>
                <w:szCs w:val="21"/>
                <w:highlight w:val="none"/>
                <w:lang w:eastAsia="zh-CN"/>
              </w:rPr>
              <w:t>复印件或</w:t>
            </w:r>
            <w:r>
              <w:rPr>
                <w:rFonts w:hint="eastAsia" w:ascii="宋体" w:hAnsi="宋体" w:eastAsia="宋体" w:cs="宋体"/>
                <w:color w:val="auto"/>
                <w:szCs w:val="21"/>
                <w:highlight w:val="none"/>
              </w:rPr>
              <w:t>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2"/>
              <w:rPr>
                <w:rFonts w:ascii="宋体" w:hAnsi="宋体"/>
                <w:color w:val="auto"/>
                <w:szCs w:val="21"/>
              </w:rPr>
            </w:pPr>
            <w:bookmarkStart w:id="17" w:name="OLE_LINK6" w:colFirst="2" w:colLast="4"/>
          </w:p>
        </w:tc>
        <w:tc>
          <w:tcPr>
            <w:tcW w:w="749" w:type="dxa"/>
            <w:vAlign w:val="center"/>
          </w:tcPr>
          <w:p>
            <w:pPr>
              <w:spacing w:line="440" w:lineRule="exact"/>
              <w:jc w:val="center"/>
              <w:rPr>
                <w:rFonts w:ascii="宋体" w:hAnsi="宋体"/>
                <w:color w:val="auto"/>
                <w:szCs w:val="21"/>
              </w:rPr>
            </w:pPr>
            <w:r>
              <w:rPr>
                <w:rFonts w:hint="eastAsia" w:ascii="宋体" w:hAnsi="宋体"/>
                <w:color w:val="auto"/>
                <w:szCs w:val="21"/>
              </w:rPr>
              <w:t>5</w:t>
            </w:r>
          </w:p>
        </w:tc>
        <w:tc>
          <w:tcPr>
            <w:tcW w:w="16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eastAsia="宋体" w:cs="宋体"/>
                <w:color w:val="auto"/>
                <w:szCs w:val="21"/>
                <w:highlight w:val="none"/>
              </w:rPr>
              <w:t>拟安排的项目主要团队成员（主要技术人员）情况（项目负责人除外）</w:t>
            </w:r>
          </w:p>
        </w:tc>
        <w:tc>
          <w:tcPr>
            <w:tcW w:w="6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cs="宋体"/>
                <w:color w:val="auto"/>
                <w:szCs w:val="21"/>
                <w:highlight w:val="none"/>
                <w:lang w:val="en-US" w:eastAsia="zh-CN"/>
              </w:rPr>
              <w:t>10</w:t>
            </w:r>
          </w:p>
        </w:tc>
        <w:tc>
          <w:tcPr>
            <w:tcW w:w="54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eastAsia="宋体"/>
                <w:b/>
                <w:bCs/>
                <w:color w:val="auto"/>
                <w:highlight w:val="none"/>
                <w:lang w:eastAsia="zh-CN"/>
              </w:rPr>
            </w:pPr>
            <w:r>
              <w:rPr>
                <w:rFonts w:hint="eastAsia"/>
                <w:b/>
                <w:bCs/>
                <w:color w:val="auto"/>
                <w:highlight w:val="none"/>
                <w:lang w:val="en-US" w:eastAsia="zh-CN"/>
              </w:rPr>
              <w:t>一、</w:t>
            </w:r>
            <w:r>
              <w:rPr>
                <w:rFonts w:hint="eastAsia"/>
                <w:b/>
                <w:bCs/>
                <w:color w:val="auto"/>
                <w:highlight w:val="none"/>
              </w:rPr>
              <w:t>评</w:t>
            </w:r>
            <w:r>
              <w:rPr>
                <w:rFonts w:hint="eastAsia"/>
                <w:b/>
                <w:bCs/>
                <w:color w:val="auto"/>
                <w:highlight w:val="none"/>
                <w:lang w:eastAsia="zh-CN"/>
              </w:rPr>
              <w:t>审</w:t>
            </w:r>
            <w:r>
              <w:rPr>
                <w:rFonts w:hint="eastAsia"/>
                <w:b/>
                <w:bCs/>
                <w:color w:val="auto"/>
                <w:highlight w:val="none"/>
              </w:rPr>
              <w:t>内容</w:t>
            </w:r>
            <w:r>
              <w:rPr>
                <w:rFonts w:hint="eastAsia"/>
                <w:b/>
                <w:bCs/>
                <w:color w:val="auto"/>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color w:val="auto"/>
                <w:highlight w:val="none"/>
              </w:rPr>
            </w:pPr>
            <w:r>
              <w:rPr>
                <w:rFonts w:hint="eastAsia"/>
                <w:color w:val="auto"/>
                <w:highlight w:val="none"/>
              </w:rPr>
              <w:t>拟安排项目主要团队成员为投标单位员工（以社保为准），否则该人员情况不计分。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1.主要团队成员中有不少于</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人持有高级检验师资格的，得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分；有</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人及以上但不足</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人持有高级检验师资格的，得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分；其他不得分；本项最高得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2.主要团队成员中有不少于4人持有大型游乐设施检验师资格的，得</w:t>
            </w:r>
            <w:r>
              <w:rPr>
                <w:rFonts w:hint="default" w:ascii="宋体" w:hAnsi="宋体" w:eastAsia="宋体" w:cs="宋体"/>
                <w:color w:val="auto"/>
                <w:szCs w:val="21"/>
                <w:highlight w:val="none"/>
                <w:lang w:val="en-US"/>
              </w:rPr>
              <w:t>4</w:t>
            </w:r>
            <w:r>
              <w:rPr>
                <w:rFonts w:hint="eastAsia" w:ascii="宋体" w:hAnsi="宋体" w:eastAsia="宋体" w:cs="宋体"/>
                <w:color w:val="auto"/>
                <w:szCs w:val="21"/>
                <w:highlight w:val="none"/>
              </w:rPr>
              <w:t>分；有2人及以上但不足4人的得2分；其他不得分；本项最高得4分。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3.主要团队成员有不少于6人持有大型游乐设施检验员资格的，得1分；其他不得分。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eastAsia="宋体"/>
                <w:b/>
                <w:bCs/>
                <w:color w:val="auto"/>
                <w:highlight w:val="none"/>
                <w:lang w:eastAsia="zh-CN"/>
              </w:rPr>
            </w:pPr>
            <w:r>
              <w:rPr>
                <w:rFonts w:hint="eastAsia"/>
                <w:b/>
                <w:bCs/>
                <w:color w:val="auto"/>
                <w:highlight w:val="none"/>
                <w:lang w:val="en-US" w:eastAsia="zh-CN"/>
              </w:rPr>
              <w:t>二、</w:t>
            </w:r>
            <w:r>
              <w:rPr>
                <w:rFonts w:hint="eastAsia"/>
                <w:b/>
                <w:bCs/>
                <w:color w:val="auto"/>
                <w:highlight w:val="none"/>
              </w:rPr>
              <w:t>评</w:t>
            </w:r>
            <w:r>
              <w:rPr>
                <w:rFonts w:hint="eastAsia"/>
                <w:b/>
                <w:bCs/>
                <w:color w:val="auto"/>
                <w:highlight w:val="none"/>
                <w:lang w:eastAsia="zh-CN"/>
              </w:rPr>
              <w:t>审</w:t>
            </w:r>
            <w:r>
              <w:rPr>
                <w:rFonts w:hint="eastAsia"/>
                <w:b/>
                <w:bCs/>
                <w:color w:val="auto"/>
                <w:highlight w:val="none"/>
              </w:rPr>
              <w:t>依据</w:t>
            </w:r>
            <w:r>
              <w:rPr>
                <w:rFonts w:hint="eastAsia"/>
                <w:b/>
                <w:bCs/>
                <w:color w:val="auto"/>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1. 要求提供通过</w:t>
            </w:r>
            <w:r>
              <w:rPr>
                <w:rFonts w:hint="eastAsia" w:ascii="宋体" w:hAnsi="宋体" w:cs="宋体"/>
                <w:color w:val="auto"/>
                <w:szCs w:val="21"/>
                <w:highlight w:val="none"/>
                <w:lang w:eastAsia="zh-CN"/>
              </w:rPr>
              <w:t>投标单位</w:t>
            </w:r>
            <w:r>
              <w:rPr>
                <w:rFonts w:hint="eastAsia" w:ascii="宋体" w:hAnsi="宋体" w:eastAsia="宋体" w:cs="宋体"/>
                <w:color w:val="auto"/>
                <w:szCs w:val="21"/>
                <w:highlight w:val="none"/>
              </w:rPr>
              <w:t>缴纳的近三个月的任意一个月的社保证明作为本单位员工的证明依据。若供应商成立不足</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个月的，需提供成立情况说明函（格式自拟），无需提供相关人员社保，亦可得分；若为退休返聘人员，需提供说明函（格式自拟），无需提供相关人员社保，亦可得分。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提供《中华人民共和国特种设备检验检测人员证》复印件及大型游乐设施检验师（员）证书复印件（或官方网站截图），原件备查。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同一人持有多项资格证书可重复得分。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textAlignment w:val="auto"/>
              <w:rPr>
                <w:rFonts w:ascii="宋体" w:hAnsi="宋体"/>
                <w:color w:val="auto"/>
                <w:szCs w:val="21"/>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以上资料均要求提供复印件或扫描件，原件备查。评分中出现无证明资料或专家无法凭所提供资料判断是否得分的情况，一律作不得分处理。</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spacing w:line="440" w:lineRule="exact"/>
              <w:jc w:val="center"/>
              <w:outlineLvl w:val="2"/>
              <w:rPr>
                <w:rFonts w:ascii="宋体" w:hAnsi="宋体"/>
                <w:color w:val="auto"/>
                <w:szCs w:val="21"/>
              </w:rPr>
            </w:pPr>
          </w:p>
        </w:tc>
        <w:tc>
          <w:tcPr>
            <w:tcW w:w="7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宋体" w:hAnsi="宋体"/>
                <w:color w:val="auto"/>
                <w:szCs w:val="21"/>
              </w:rPr>
            </w:pPr>
            <w:r>
              <w:rPr>
                <w:rFonts w:hint="eastAsia" w:ascii="宋体" w:hAnsi="宋体" w:cs="宋体"/>
                <w:color w:val="auto"/>
                <w:szCs w:val="21"/>
                <w:highlight w:val="none"/>
                <w:lang w:val="en-US" w:eastAsia="zh-CN"/>
              </w:rPr>
              <w:t>6</w:t>
            </w:r>
          </w:p>
        </w:tc>
        <w:tc>
          <w:tcPr>
            <w:tcW w:w="16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宋体" w:hAnsi="宋体"/>
                <w:color w:val="auto"/>
                <w:szCs w:val="21"/>
              </w:rPr>
            </w:pPr>
            <w:r>
              <w:rPr>
                <w:rFonts w:hint="eastAsia" w:ascii="宋体" w:hAnsi="宋体" w:eastAsia="宋体" w:cs="宋体"/>
                <w:color w:val="auto"/>
                <w:szCs w:val="21"/>
                <w:highlight w:val="none"/>
              </w:rPr>
              <w:t>拟投入的服务资源（车辆、场地、工具、机器等）情况</w:t>
            </w:r>
          </w:p>
        </w:tc>
        <w:tc>
          <w:tcPr>
            <w:tcW w:w="6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宋体" w:hAnsi="宋体"/>
                <w:color w:val="auto"/>
                <w:szCs w:val="21"/>
              </w:rPr>
            </w:pPr>
            <w:r>
              <w:rPr>
                <w:rFonts w:hint="eastAsia" w:ascii="宋体" w:hAnsi="宋体" w:cs="宋体"/>
                <w:color w:val="auto"/>
                <w:szCs w:val="21"/>
                <w:highlight w:val="none"/>
                <w:lang w:val="en-US" w:eastAsia="zh-CN"/>
              </w:rPr>
              <w:t>2</w:t>
            </w:r>
          </w:p>
        </w:tc>
        <w:tc>
          <w:tcPr>
            <w:tcW w:w="54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评</w:t>
            </w:r>
            <w:r>
              <w:rPr>
                <w:rFonts w:hint="eastAsia" w:ascii="宋体" w:hAnsi="宋体" w:eastAsia="宋体" w:cs="宋体"/>
                <w:b/>
                <w:bCs/>
                <w:color w:val="auto"/>
                <w:szCs w:val="21"/>
                <w:highlight w:val="none"/>
                <w:lang w:eastAsia="zh-CN"/>
              </w:rPr>
              <w:t>审</w:t>
            </w:r>
            <w:r>
              <w:rPr>
                <w:rFonts w:hint="eastAsia" w:ascii="宋体" w:hAnsi="宋体" w:eastAsia="宋体" w:cs="宋体"/>
                <w:b/>
                <w:bCs/>
                <w:color w:val="auto"/>
                <w:szCs w:val="21"/>
                <w:highlight w:val="none"/>
              </w:rPr>
              <w:t>内容</w:t>
            </w:r>
            <w:r>
              <w:rPr>
                <w:rFonts w:hint="eastAsia" w:ascii="宋体" w:hAnsi="宋体" w:cs="宋体"/>
                <w:b/>
                <w:bCs/>
                <w:color w:val="auto"/>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1.车辆：投标单位自有或租赁6台及以上小汽车的，得1分；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2.检验仪器设备：投标单位具有足够的大型游乐设施监督检验、定期检验、安全评估所需的仪器设备，得1分；不具有上述仪器设备条件的，不得分。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评</w:t>
            </w:r>
            <w:r>
              <w:rPr>
                <w:rFonts w:hint="eastAsia" w:ascii="宋体" w:hAnsi="宋体" w:eastAsia="宋体" w:cs="宋体"/>
                <w:b/>
                <w:bCs/>
                <w:color w:val="auto"/>
                <w:szCs w:val="21"/>
                <w:highlight w:val="none"/>
                <w:lang w:eastAsia="zh-CN"/>
              </w:rPr>
              <w:t>审</w:t>
            </w:r>
            <w:r>
              <w:rPr>
                <w:rFonts w:hint="eastAsia" w:ascii="宋体" w:hAnsi="宋体" w:eastAsia="宋体" w:cs="宋体"/>
                <w:b/>
                <w:bCs/>
                <w:color w:val="auto"/>
                <w:szCs w:val="21"/>
                <w:highlight w:val="none"/>
              </w:rPr>
              <w:t>依据</w:t>
            </w:r>
            <w:r>
              <w:rPr>
                <w:rFonts w:hint="eastAsia" w:ascii="宋体" w:hAnsi="宋体" w:cs="宋体"/>
                <w:b/>
                <w:bCs/>
                <w:color w:val="auto"/>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left"/>
              <w:textAlignment w:val="auto"/>
              <w:rPr>
                <w:rFonts w:hint="eastAsia" w:ascii="宋体" w:hAnsi="宋体"/>
                <w:color w:val="auto"/>
                <w:szCs w:val="21"/>
              </w:rPr>
            </w:pPr>
            <w:r>
              <w:rPr>
                <w:rFonts w:hint="eastAsia" w:ascii="宋体" w:hAnsi="宋体" w:eastAsia="宋体" w:cs="宋体"/>
                <w:color w:val="auto"/>
                <w:szCs w:val="21"/>
                <w:highlight w:val="none"/>
              </w:rPr>
              <w:t>要求</w:t>
            </w:r>
            <w:r>
              <w:rPr>
                <w:rFonts w:hint="eastAsia" w:ascii="宋体" w:hAnsi="宋体" w:cs="宋体"/>
                <w:color w:val="auto"/>
                <w:szCs w:val="21"/>
                <w:highlight w:val="none"/>
                <w:lang w:eastAsia="zh-CN"/>
              </w:rPr>
              <w:t>投标单位</w:t>
            </w:r>
            <w:r>
              <w:rPr>
                <w:rFonts w:hint="eastAsia" w:ascii="宋体" w:hAnsi="宋体" w:eastAsia="宋体" w:cs="宋体"/>
                <w:color w:val="auto"/>
                <w:szCs w:val="21"/>
                <w:highlight w:val="none"/>
              </w:rPr>
              <w:t>提供承诺（格式自定）作为得分依据。未提供承诺或承诺内容不满足要求均不得分。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spacing w:line="440" w:lineRule="exact"/>
              <w:jc w:val="center"/>
              <w:rPr>
                <w:rFonts w:ascii="宋体" w:hAnsi="宋体"/>
                <w:b/>
                <w:color w:val="auto"/>
                <w:szCs w:val="21"/>
              </w:rPr>
            </w:pPr>
            <w:r>
              <w:rPr>
                <w:rFonts w:ascii="宋体" w:hAnsi="宋体"/>
                <w:b/>
                <w:color w:val="auto"/>
                <w:szCs w:val="21"/>
              </w:rPr>
              <w:t>3</w:t>
            </w:r>
          </w:p>
        </w:tc>
        <w:tc>
          <w:tcPr>
            <w:tcW w:w="3090" w:type="dxa"/>
            <w:gridSpan w:val="3"/>
            <w:vAlign w:val="center"/>
          </w:tcPr>
          <w:p>
            <w:pPr>
              <w:spacing w:line="440" w:lineRule="exact"/>
              <w:jc w:val="center"/>
              <w:rPr>
                <w:rFonts w:ascii="宋体" w:hAnsi="宋体"/>
                <w:b/>
                <w:color w:val="auto"/>
                <w:szCs w:val="21"/>
              </w:rPr>
            </w:pPr>
            <w:r>
              <w:rPr>
                <w:rFonts w:hint="eastAsia" w:ascii="宋体" w:hAnsi="宋体"/>
                <w:b/>
                <w:color w:val="auto"/>
                <w:szCs w:val="21"/>
              </w:rPr>
              <w:t>商务需求</w:t>
            </w:r>
          </w:p>
        </w:tc>
        <w:tc>
          <w:tcPr>
            <w:tcW w:w="5413" w:type="dxa"/>
            <w:vAlign w:val="center"/>
          </w:tcPr>
          <w:p>
            <w:pPr>
              <w:spacing w:line="440" w:lineRule="exact"/>
              <w:jc w:val="center"/>
              <w:rPr>
                <w:rFonts w:ascii="宋体" w:hAnsi="宋体" w:cs="宋体"/>
                <w:b/>
                <w:color w:val="auto"/>
                <w:szCs w:val="21"/>
              </w:rPr>
            </w:pPr>
            <w:r>
              <w:rPr>
                <w:rFonts w:hint="eastAsia" w:ascii="宋体" w:hAnsi="宋体" w:cs="宋体"/>
                <w:b/>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vAlign w:val="center"/>
          </w:tcPr>
          <w:p>
            <w:pPr>
              <w:spacing w:line="440" w:lineRule="exact"/>
              <w:jc w:val="center"/>
              <w:outlineLvl w:val="0"/>
              <w:rPr>
                <w:rFonts w:ascii="宋体" w:hAnsi="宋体"/>
                <w:color w:val="auto"/>
                <w:szCs w:val="21"/>
              </w:rPr>
            </w:pPr>
          </w:p>
        </w:tc>
        <w:tc>
          <w:tcPr>
            <w:tcW w:w="749" w:type="dxa"/>
            <w:vAlign w:val="center"/>
          </w:tcPr>
          <w:p>
            <w:pPr>
              <w:spacing w:line="440" w:lineRule="exact"/>
              <w:jc w:val="center"/>
              <w:rPr>
                <w:rFonts w:ascii="宋体" w:hAnsi="宋体"/>
                <w:b/>
                <w:color w:val="auto"/>
                <w:szCs w:val="21"/>
              </w:rPr>
            </w:pPr>
            <w:r>
              <w:rPr>
                <w:rFonts w:hint="eastAsia" w:ascii="宋体" w:hAnsi="宋体"/>
                <w:b/>
                <w:color w:val="auto"/>
                <w:szCs w:val="21"/>
              </w:rPr>
              <w:t>序号</w:t>
            </w:r>
          </w:p>
        </w:tc>
        <w:tc>
          <w:tcPr>
            <w:tcW w:w="1662" w:type="dxa"/>
            <w:vAlign w:val="center"/>
          </w:tcPr>
          <w:p>
            <w:pPr>
              <w:spacing w:line="440" w:lineRule="exact"/>
              <w:jc w:val="center"/>
              <w:rPr>
                <w:rFonts w:ascii="宋体" w:hAnsi="宋体"/>
                <w:b/>
                <w:color w:val="auto"/>
                <w:szCs w:val="21"/>
              </w:rPr>
            </w:pPr>
            <w:r>
              <w:rPr>
                <w:rFonts w:hint="eastAsia" w:ascii="宋体" w:hAnsi="宋体"/>
                <w:b/>
                <w:color w:val="auto"/>
                <w:szCs w:val="21"/>
              </w:rPr>
              <w:t>评分因素</w:t>
            </w:r>
          </w:p>
        </w:tc>
        <w:tc>
          <w:tcPr>
            <w:tcW w:w="679" w:type="dxa"/>
            <w:vAlign w:val="center"/>
          </w:tcPr>
          <w:p>
            <w:pPr>
              <w:spacing w:line="440" w:lineRule="exact"/>
              <w:jc w:val="center"/>
              <w:rPr>
                <w:rFonts w:ascii="宋体" w:hAnsi="宋体"/>
                <w:b/>
                <w:color w:val="auto"/>
                <w:szCs w:val="21"/>
              </w:rPr>
            </w:pPr>
            <w:r>
              <w:rPr>
                <w:rFonts w:hint="eastAsia" w:ascii="宋体" w:hAnsi="宋体"/>
                <w:b/>
                <w:color w:val="auto"/>
                <w:szCs w:val="21"/>
              </w:rPr>
              <w:t>权重</w:t>
            </w:r>
          </w:p>
        </w:tc>
        <w:tc>
          <w:tcPr>
            <w:tcW w:w="5413" w:type="dxa"/>
            <w:vAlign w:val="center"/>
          </w:tcPr>
          <w:p>
            <w:pPr>
              <w:spacing w:line="440" w:lineRule="exact"/>
              <w:jc w:val="center"/>
              <w:rPr>
                <w:rFonts w:ascii="宋体" w:hAnsi="宋体"/>
                <w:b/>
                <w:color w:val="auto"/>
                <w:szCs w:val="21"/>
              </w:rPr>
            </w:pPr>
            <w:r>
              <w:rPr>
                <w:rFonts w:hint="eastAsia" w:ascii="宋体" w:hAnsi="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0"/>
              <w:rPr>
                <w:rFonts w:ascii="宋体" w:hAnsi="宋体"/>
                <w:color w:val="auto"/>
                <w:szCs w:val="21"/>
              </w:rPr>
            </w:pPr>
          </w:p>
        </w:tc>
        <w:tc>
          <w:tcPr>
            <w:tcW w:w="749" w:type="dxa"/>
            <w:vAlign w:val="center"/>
          </w:tcPr>
          <w:p>
            <w:pPr>
              <w:spacing w:line="440" w:lineRule="exact"/>
              <w:jc w:val="center"/>
              <w:rPr>
                <w:rFonts w:ascii="宋体" w:hAnsi="宋体"/>
                <w:color w:val="auto"/>
                <w:szCs w:val="21"/>
              </w:rPr>
            </w:pPr>
            <w:r>
              <w:rPr>
                <w:rFonts w:ascii="宋体" w:hAnsi="宋体"/>
                <w:color w:val="auto"/>
                <w:szCs w:val="21"/>
              </w:rPr>
              <w:t>1</w:t>
            </w:r>
          </w:p>
        </w:tc>
        <w:tc>
          <w:tcPr>
            <w:tcW w:w="16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eastAsia="宋体" w:cs="Times New Roman"/>
                <w:color w:val="auto"/>
                <w:szCs w:val="21"/>
                <w:highlight w:val="none"/>
              </w:rPr>
              <w:t>供应商</w:t>
            </w:r>
            <w:r>
              <w:rPr>
                <w:rFonts w:hint="eastAsia" w:ascii="宋体" w:hAnsi="宋体" w:cs="Times New Roman"/>
                <w:color w:val="auto"/>
                <w:szCs w:val="21"/>
                <w:highlight w:val="none"/>
                <w:lang w:val="en-US" w:eastAsia="zh-CN"/>
              </w:rPr>
              <w:t>资质</w:t>
            </w:r>
            <w:r>
              <w:rPr>
                <w:rFonts w:hint="eastAsia" w:ascii="宋体" w:hAnsi="宋体" w:eastAsia="宋体" w:cs="Times New Roman"/>
                <w:color w:val="auto"/>
                <w:szCs w:val="21"/>
                <w:highlight w:val="none"/>
              </w:rPr>
              <w:t>情况</w:t>
            </w:r>
          </w:p>
        </w:tc>
        <w:tc>
          <w:tcPr>
            <w:tcW w:w="6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cs="宋体"/>
                <w:color w:val="auto"/>
                <w:szCs w:val="21"/>
                <w:highlight w:val="none"/>
                <w:lang w:val="en-US" w:eastAsia="zh-CN"/>
              </w:rPr>
              <w:t>15</w:t>
            </w:r>
          </w:p>
        </w:tc>
        <w:tc>
          <w:tcPr>
            <w:tcW w:w="54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Times New Roman"/>
                <w:b/>
                <w:bCs/>
                <w:color w:val="auto"/>
                <w:szCs w:val="21"/>
                <w:highlight w:val="none"/>
              </w:rPr>
            </w:pPr>
            <w:r>
              <w:rPr>
                <w:rFonts w:hint="eastAsia" w:ascii="宋体" w:hAnsi="宋体" w:cs="Times New Roman"/>
                <w:b/>
                <w:bCs/>
                <w:color w:val="auto"/>
                <w:szCs w:val="21"/>
                <w:highlight w:val="none"/>
                <w:lang w:val="en-US" w:eastAsia="zh-CN"/>
              </w:rPr>
              <w:t>一、</w:t>
            </w:r>
            <w:r>
              <w:rPr>
                <w:rFonts w:hint="eastAsia" w:ascii="宋体" w:hAnsi="宋体" w:eastAsia="宋体" w:cs="Times New Roman"/>
                <w:b/>
                <w:bCs/>
                <w:color w:val="auto"/>
                <w:szCs w:val="21"/>
                <w:highlight w:val="none"/>
              </w:rPr>
              <w:t>评</w:t>
            </w:r>
            <w:r>
              <w:rPr>
                <w:rFonts w:hint="eastAsia" w:ascii="宋体" w:hAnsi="宋体" w:eastAsia="宋体" w:cs="Times New Roman"/>
                <w:b/>
                <w:bCs/>
                <w:color w:val="auto"/>
                <w:szCs w:val="21"/>
                <w:highlight w:val="none"/>
                <w:lang w:eastAsia="zh-CN"/>
              </w:rPr>
              <w:t>审</w:t>
            </w:r>
            <w:r>
              <w:rPr>
                <w:rFonts w:hint="eastAsia" w:ascii="宋体" w:hAnsi="宋体" w:eastAsia="宋体" w:cs="Times New Roman"/>
                <w:b/>
                <w:bCs/>
                <w:color w:val="auto"/>
                <w:szCs w:val="21"/>
                <w:highlight w:val="none"/>
              </w:rPr>
              <w:t>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1.投标单位具有游乐设施省级或以上检验站的，得</w:t>
            </w:r>
            <w:r>
              <w:rPr>
                <w:rFonts w:hint="default"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rPr>
            </w:pPr>
            <w:r>
              <w:rPr>
                <w:rFonts w:hint="default"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投标单位是</w:t>
            </w:r>
            <w:r>
              <w:rPr>
                <w:rFonts w:hint="eastAsia" w:ascii="宋体" w:hAnsi="宋体" w:cs="宋体"/>
                <w:color w:val="auto"/>
                <w:szCs w:val="21"/>
                <w:highlight w:val="none"/>
                <w:lang w:val="en-US" w:eastAsia="zh-CN"/>
              </w:rPr>
              <w:t>索</w:t>
            </w:r>
            <w:r>
              <w:rPr>
                <w:rFonts w:hint="eastAsia" w:ascii="宋体" w:hAnsi="宋体" w:eastAsia="宋体" w:cs="宋体"/>
                <w:color w:val="auto"/>
                <w:szCs w:val="21"/>
                <w:highlight w:val="none"/>
                <w:lang w:val="en-US" w:eastAsia="zh-CN"/>
              </w:rPr>
              <w:t>游标委</w:t>
            </w:r>
            <w:r>
              <w:rPr>
                <w:rFonts w:hint="eastAsia" w:ascii="宋体" w:hAnsi="宋体" w:cs="宋体"/>
                <w:color w:val="auto"/>
                <w:szCs w:val="21"/>
                <w:highlight w:val="none"/>
                <w:lang w:val="en-US" w:eastAsia="zh-CN"/>
              </w:rPr>
              <w:t>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得</w:t>
            </w:r>
            <w:r>
              <w:rPr>
                <w:rFonts w:hint="default"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textAlignment w:val="auto"/>
              <w:rPr>
                <w:rFonts w:hint="eastAsia" w:ascii="宋体" w:hAnsi="宋体" w:eastAsia="宋体" w:cs="宋体"/>
                <w:color w:val="auto"/>
                <w:szCs w:val="21"/>
                <w:highlight w:val="none"/>
                <w:lang w:eastAsia="zh-CN"/>
              </w:rPr>
            </w:pPr>
            <w:r>
              <w:rPr>
                <w:rFonts w:hint="default" w:ascii="宋体" w:hAnsi="宋体" w:cs="宋体"/>
                <w:color w:val="auto"/>
                <w:szCs w:val="21"/>
                <w:highlight w:val="none"/>
                <w:lang w:val="en-US" w:eastAsia="zh-CN"/>
              </w:rPr>
              <w:t>3</w:t>
            </w:r>
            <w:r>
              <w:rPr>
                <w:rFonts w:hint="eastAsia" w:ascii="宋体" w:hAnsi="宋体" w:eastAsia="宋体" w:cs="宋体"/>
                <w:color w:val="auto"/>
                <w:szCs w:val="21"/>
                <w:highlight w:val="none"/>
              </w:rPr>
              <w:t>.投标单位具有质量管理体系认证、环境管理体系认证、职业健康安全管理体系认证的，每有一项得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分，最高得分不超过</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b/>
                <w:bCs/>
                <w:color w:val="auto"/>
              </w:rPr>
            </w:pPr>
            <w:r>
              <w:rPr>
                <w:rFonts w:hint="eastAsia"/>
                <w:b/>
                <w:bCs/>
                <w:color w:val="auto"/>
                <w:lang w:val="en-US" w:eastAsia="zh-CN"/>
              </w:rPr>
              <w:t>二、</w:t>
            </w:r>
            <w:r>
              <w:rPr>
                <w:rFonts w:hint="eastAsia"/>
                <w:b/>
                <w:bCs/>
                <w:color w:val="auto"/>
              </w:rPr>
              <w:t>评</w:t>
            </w:r>
            <w:r>
              <w:rPr>
                <w:rFonts w:hint="eastAsia"/>
                <w:b/>
                <w:bCs/>
                <w:color w:val="auto"/>
                <w:lang w:eastAsia="zh-CN"/>
              </w:rPr>
              <w:t>审</w:t>
            </w:r>
            <w:r>
              <w:rPr>
                <w:rFonts w:hint="eastAsia"/>
                <w:b/>
                <w:bCs/>
                <w:color w:val="auto"/>
              </w:rPr>
              <w:t>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1.第1项提供省级或以上检验站的批准成立的文件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项提供</w:t>
            </w:r>
            <w:r>
              <w:rPr>
                <w:rFonts w:hint="eastAsia" w:ascii="宋体" w:hAnsi="宋体" w:cs="宋体"/>
                <w:color w:val="auto"/>
                <w:szCs w:val="21"/>
                <w:highlight w:val="none"/>
                <w:lang w:val="en-US" w:eastAsia="zh-CN"/>
              </w:rPr>
              <w:t>索</w:t>
            </w:r>
            <w:r>
              <w:rPr>
                <w:rFonts w:hint="eastAsia" w:ascii="宋体" w:hAnsi="宋体" w:eastAsia="宋体" w:cs="宋体"/>
                <w:color w:val="auto"/>
                <w:szCs w:val="21"/>
                <w:highlight w:val="none"/>
                <w:lang w:val="en-US" w:eastAsia="zh-CN"/>
              </w:rPr>
              <w:t>游标委</w:t>
            </w:r>
            <w:r>
              <w:rPr>
                <w:rFonts w:hint="eastAsia" w:ascii="宋体" w:hAnsi="宋体" w:cs="宋体"/>
                <w:color w:val="auto"/>
                <w:szCs w:val="21"/>
                <w:highlight w:val="none"/>
                <w:lang w:val="en-US" w:eastAsia="zh-CN"/>
              </w:rPr>
              <w:t>会</w:t>
            </w:r>
            <w:r>
              <w:rPr>
                <w:rFonts w:hint="eastAsia" w:ascii="宋体" w:hAnsi="宋体" w:eastAsia="宋体" w:cs="宋体"/>
                <w:color w:val="auto"/>
                <w:szCs w:val="21"/>
                <w:highlight w:val="none"/>
                <w:lang w:val="en-US" w:eastAsia="zh-CN"/>
              </w:rPr>
              <w:t>的成员名单</w:t>
            </w:r>
            <w:r>
              <w:rPr>
                <w:rFonts w:hint="eastAsia" w:ascii="宋体" w:hAnsi="宋体" w:eastAsia="宋体" w:cs="宋体"/>
                <w:color w:val="auto"/>
                <w:szCs w:val="21"/>
                <w:highlight w:val="none"/>
              </w:rPr>
              <w:t>作为得分依据。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textAlignment w:val="auto"/>
              <w:rPr>
                <w:rFonts w:ascii="宋体" w:hAnsi="宋体"/>
                <w:color w:val="auto"/>
                <w:szCs w:val="21"/>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.以上资料均要求提供复印件或扫描件，原件备查。评分中出现无证明资料或专家无法凭所提供资料判断是否得分的情况，一律作不得分处理。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2"/>
              <w:rPr>
                <w:rFonts w:ascii="宋体" w:hAnsi="宋体"/>
                <w:color w:val="auto"/>
                <w:szCs w:val="21"/>
              </w:rPr>
            </w:pPr>
          </w:p>
        </w:tc>
        <w:tc>
          <w:tcPr>
            <w:tcW w:w="749" w:type="dxa"/>
            <w:vAlign w:val="center"/>
          </w:tcPr>
          <w:p>
            <w:pPr>
              <w:spacing w:line="440" w:lineRule="exact"/>
              <w:jc w:val="center"/>
              <w:rPr>
                <w:rFonts w:ascii="宋体" w:hAnsi="宋体"/>
                <w:color w:val="auto"/>
                <w:szCs w:val="21"/>
              </w:rPr>
            </w:pPr>
            <w:r>
              <w:rPr>
                <w:rFonts w:ascii="宋体" w:hAnsi="宋体"/>
                <w:color w:val="auto"/>
                <w:szCs w:val="21"/>
              </w:rPr>
              <w:t>2</w:t>
            </w:r>
          </w:p>
        </w:tc>
        <w:tc>
          <w:tcPr>
            <w:tcW w:w="16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s="宋体"/>
                <w:color w:val="auto"/>
                <w:szCs w:val="21"/>
              </w:rPr>
            </w:pPr>
            <w:r>
              <w:rPr>
                <w:rFonts w:hint="eastAsia" w:ascii="宋体" w:hAnsi="宋体" w:eastAsia="宋体" w:cs="宋体"/>
                <w:color w:val="auto"/>
                <w:szCs w:val="21"/>
                <w:highlight w:val="none"/>
              </w:rPr>
              <w:t>供应商同类项目业绩情况</w:t>
            </w:r>
          </w:p>
        </w:tc>
        <w:tc>
          <w:tcPr>
            <w:tcW w:w="6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cs="宋体"/>
                <w:color w:val="auto"/>
                <w:szCs w:val="21"/>
                <w:highlight w:val="none"/>
                <w:lang w:val="en-US" w:eastAsia="zh-CN"/>
              </w:rPr>
              <w:t>15</w:t>
            </w:r>
          </w:p>
        </w:tc>
        <w:tc>
          <w:tcPr>
            <w:tcW w:w="54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b/>
                <w:bCs/>
                <w:color w:val="auto"/>
                <w:szCs w:val="21"/>
                <w:highlight w:val="none"/>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评</w:t>
            </w:r>
            <w:r>
              <w:rPr>
                <w:rFonts w:hint="eastAsia" w:ascii="宋体" w:hAnsi="宋体" w:eastAsia="宋体" w:cs="宋体"/>
                <w:b/>
                <w:bCs/>
                <w:color w:val="auto"/>
                <w:szCs w:val="21"/>
                <w:highlight w:val="none"/>
                <w:lang w:eastAsia="zh-CN"/>
              </w:rPr>
              <w:t>审</w:t>
            </w:r>
            <w:r>
              <w:rPr>
                <w:rFonts w:hint="eastAsia" w:ascii="宋体" w:hAnsi="宋体" w:eastAsia="宋体" w:cs="宋体"/>
                <w:b/>
                <w:bCs/>
                <w:color w:val="auto"/>
                <w:szCs w:val="21"/>
                <w:highlight w:val="none"/>
              </w:rPr>
              <w:t>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1. </w:t>
            </w:r>
            <w:r>
              <w:rPr>
                <w:rFonts w:hint="eastAsia" w:ascii="宋体" w:hAnsi="宋体" w:eastAsia="宋体" w:cs="宋体"/>
                <w:color w:val="auto"/>
                <w:szCs w:val="21"/>
                <w:highlight w:val="none"/>
                <w:lang w:val="en-US" w:eastAsia="zh-CN"/>
              </w:rPr>
              <w:t>投标单位202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年1月1日至本项目投标截止时间（以评估报告中评估时间为准）承接大型游乐设施安全评估项目且完成大型游乐设施安全评估项目总数量不少于10个，得6分</w:t>
            </w:r>
            <w:r>
              <w:rPr>
                <w:rFonts w:hint="eastAsia" w:ascii="宋体" w:hAnsi="宋体" w:eastAsia="宋体" w:cs="宋体"/>
                <w:color w:val="auto"/>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2.投标单位2023年1月1日至投标截止时间（以合同签订时间为准）承接过政府机关</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lang w:eastAsia="zh-CN"/>
              </w:rPr>
              <w:t>事业单位或团体组织委托的大型游乐设施安全评估或监督抽查相关委托工作的，每提供1项得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分，本项最高得分不超过</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right="0"/>
              <w:jc w:val="left"/>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投标单位2023年1月1日至本项目投标截止时间（以检验报告台账列明时间为准）开展过大型游乐设施检验工作的：大型游乐设施检验总数量达到100台及以上的，每100台得1分，最高得</w:t>
            </w:r>
            <w:r>
              <w:rPr>
                <w:rFonts w:hint="default"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分；没有或总数量不足100台则不得分</w:t>
            </w:r>
            <w:r>
              <w:rPr>
                <w:rFonts w:hint="eastAsia" w:ascii="宋体" w:hAnsi="宋体" w:cs="宋体"/>
                <w:color w:val="auto"/>
                <w:szCs w:val="21"/>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b/>
                <w:bCs/>
                <w:color w:val="auto"/>
                <w:szCs w:val="21"/>
                <w:highlight w:val="none"/>
              </w:rPr>
            </w:pP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rPr>
              <w:t>评</w:t>
            </w:r>
            <w:r>
              <w:rPr>
                <w:rFonts w:hint="eastAsia" w:ascii="宋体" w:hAnsi="宋体" w:eastAsia="宋体" w:cs="宋体"/>
                <w:b/>
                <w:bCs/>
                <w:color w:val="auto"/>
                <w:szCs w:val="21"/>
                <w:highlight w:val="none"/>
                <w:lang w:eastAsia="zh-CN"/>
              </w:rPr>
              <w:t>审</w:t>
            </w:r>
            <w:r>
              <w:rPr>
                <w:rFonts w:hint="eastAsia" w:ascii="宋体" w:hAnsi="宋体" w:eastAsia="宋体" w:cs="宋体"/>
                <w:b/>
                <w:bCs/>
                <w:color w:val="auto"/>
                <w:szCs w:val="21"/>
                <w:highlight w:val="none"/>
              </w:rPr>
              <w:t>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bCs/>
                <w:color w:val="auto"/>
                <w:kern w:val="0"/>
                <w:szCs w:val="21"/>
                <w:lang w:bidi="en-US"/>
              </w:rPr>
              <w:t>第1项</w:t>
            </w:r>
            <w:r>
              <w:rPr>
                <w:rFonts w:hint="eastAsia" w:ascii="宋体" w:hAnsi="宋体" w:eastAsia="宋体" w:cs="宋体"/>
                <w:color w:val="auto"/>
                <w:szCs w:val="21"/>
                <w:highlight w:val="none"/>
              </w:rPr>
              <w:t>要求同时提供合同关键信息和已完成，且履约评价合格</w:t>
            </w:r>
            <w:r>
              <w:rPr>
                <w:rFonts w:hint="eastAsia" w:ascii="宋体" w:hAnsi="宋体" w:cs="宋体"/>
                <w:color w:val="auto"/>
                <w:szCs w:val="21"/>
                <w:highlight w:val="none"/>
                <w:lang w:eastAsia="zh-CN"/>
              </w:rPr>
              <w:t>或以上</w:t>
            </w:r>
            <w:r>
              <w:rPr>
                <w:rFonts w:hint="eastAsia" w:ascii="宋体" w:hAnsi="宋体" w:eastAsia="宋体" w:cs="宋体"/>
                <w:color w:val="auto"/>
                <w:szCs w:val="21"/>
                <w:highlight w:val="none"/>
              </w:rPr>
              <w:t>或者验收合格证明文件作为得分依据，履约评价合格</w:t>
            </w:r>
            <w:r>
              <w:rPr>
                <w:rFonts w:hint="eastAsia" w:ascii="宋体" w:hAnsi="宋体" w:cs="宋体"/>
                <w:color w:val="auto"/>
                <w:szCs w:val="21"/>
                <w:highlight w:val="none"/>
                <w:lang w:eastAsia="zh-CN"/>
              </w:rPr>
              <w:t>或以上</w:t>
            </w:r>
            <w:r>
              <w:rPr>
                <w:rFonts w:hint="eastAsia" w:ascii="宋体" w:hAnsi="宋体" w:eastAsia="宋体" w:cs="宋体"/>
                <w:color w:val="auto"/>
                <w:szCs w:val="21"/>
                <w:highlight w:val="none"/>
              </w:rPr>
              <w:t>或者验收合格证明文件需加盖合同甲方公章（或甲方业务章）。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宋体" w:hAnsi="宋体" w:cs="宋体"/>
                <w:bCs/>
                <w:color w:val="auto"/>
                <w:kern w:val="0"/>
                <w:szCs w:val="21"/>
                <w:lang w:bidi="en-US"/>
              </w:rPr>
            </w:pPr>
            <w:r>
              <w:rPr>
                <w:rFonts w:hint="eastAsia" w:ascii="宋体" w:hAnsi="宋体" w:eastAsia="宋体" w:cs="宋体"/>
                <w:color w:val="auto"/>
                <w:szCs w:val="21"/>
                <w:highlight w:val="none"/>
              </w:rPr>
              <w:t>2.</w:t>
            </w:r>
            <w:r>
              <w:rPr>
                <w:rFonts w:hint="eastAsia" w:ascii="宋体" w:hAnsi="宋体" w:cs="宋体"/>
                <w:bCs/>
                <w:color w:val="auto"/>
                <w:kern w:val="0"/>
                <w:szCs w:val="21"/>
                <w:lang w:bidi="en-US"/>
              </w:rPr>
              <w:t>第2项要求提供业绩合同关键信息作为得分依据，通过合同关键信息无法判断是否得分的，还须同时提供合同甲方出具的证明文件。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eastAsia" w:ascii="宋体" w:hAnsi="宋体" w:cs="宋体"/>
                <w:bCs/>
                <w:color w:val="auto"/>
                <w:kern w:val="0"/>
                <w:szCs w:val="21"/>
                <w:lang w:bidi="en-US"/>
              </w:rPr>
            </w:pPr>
            <w:r>
              <w:rPr>
                <w:rFonts w:hint="eastAsia" w:ascii="宋体" w:hAnsi="宋体" w:cs="宋体"/>
                <w:bCs/>
                <w:color w:val="auto"/>
                <w:kern w:val="0"/>
                <w:szCs w:val="21"/>
                <w:lang w:bidi="en-US"/>
              </w:rPr>
              <w:t>3.第3项要求</w:t>
            </w:r>
            <w:r>
              <w:rPr>
                <w:rFonts w:hint="eastAsia" w:ascii="宋体" w:hAnsi="宋体" w:cs="宋体"/>
                <w:bCs/>
                <w:color w:val="auto"/>
                <w:kern w:val="0"/>
                <w:szCs w:val="21"/>
                <w:lang w:eastAsia="zh-CN" w:bidi="en-US"/>
              </w:rPr>
              <w:t>投标单位</w:t>
            </w:r>
            <w:r>
              <w:rPr>
                <w:rFonts w:hint="eastAsia" w:ascii="宋体" w:hAnsi="宋体" w:cs="宋体"/>
                <w:bCs/>
                <w:color w:val="auto"/>
                <w:kern w:val="0"/>
                <w:szCs w:val="21"/>
                <w:lang w:bidi="en-US"/>
              </w:rPr>
              <w:t>提供游乐设施监督检验报告（或游乐设施定期检验报告）</w:t>
            </w:r>
            <w:r>
              <w:rPr>
                <w:rFonts w:hint="eastAsia" w:ascii="宋体" w:hAnsi="宋体" w:cs="宋体"/>
                <w:b/>
                <w:bCs w:val="0"/>
                <w:color w:val="auto"/>
                <w:kern w:val="0"/>
                <w:szCs w:val="21"/>
                <w:lang w:bidi="en-US"/>
              </w:rPr>
              <w:t>台账</w:t>
            </w:r>
            <w:r>
              <w:rPr>
                <w:rFonts w:hint="eastAsia" w:ascii="宋体" w:hAnsi="宋体" w:cs="宋体"/>
                <w:bCs/>
                <w:color w:val="auto"/>
                <w:kern w:val="0"/>
                <w:szCs w:val="21"/>
                <w:lang w:bidi="en-US"/>
              </w:rPr>
              <w:t>（台账需列出满足招标文件评分要求的内容，无须提供检验报告）、真实性承诺（格式自定）及合同（提供复印件，原件备查）作为得分依据。通过合同关键信息无法判断是否得分的，还须同时提供合同甲方出具的证明文件。未提供承诺或承诺内容不满足要求均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0"/>
              <w:jc w:val="left"/>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4.通过合同关键信息无法判断是否得分的，还须同时提供能证明得分的其</w:t>
            </w:r>
            <w:r>
              <w:rPr>
                <w:rFonts w:hint="eastAsia" w:ascii="宋体" w:hAnsi="宋体" w:cs="宋体"/>
                <w:color w:val="auto"/>
                <w:szCs w:val="21"/>
                <w:highlight w:val="none"/>
                <w:lang w:val="en-US" w:eastAsia="zh-CN"/>
              </w:rPr>
              <w:t>他</w:t>
            </w:r>
            <w:r>
              <w:rPr>
                <w:rFonts w:hint="eastAsia" w:ascii="宋体" w:hAnsi="宋体" w:eastAsia="宋体" w:cs="宋体"/>
                <w:color w:val="auto"/>
                <w:szCs w:val="21"/>
                <w:highlight w:val="none"/>
              </w:rPr>
              <w:t>证明资料，如项目报告或合同甲方出具的证明文件等。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left"/>
              <w:textAlignment w:val="auto"/>
              <w:rPr>
                <w:rFonts w:ascii="宋体" w:hAnsi="宋体" w:cs="宋体"/>
                <w:color w:val="auto"/>
                <w:szCs w:val="21"/>
              </w:rPr>
            </w:pPr>
            <w:r>
              <w:rPr>
                <w:rFonts w:hint="eastAsia" w:ascii="宋体" w:hAnsi="宋体" w:eastAsia="宋体" w:cs="宋体"/>
                <w:color w:val="auto"/>
                <w:szCs w:val="21"/>
                <w:highlight w:val="none"/>
              </w:rPr>
              <w:t>5.以上资料均要求提供复印件或扫描件，原件备查。评分中出现无证明资料或专家无法凭所提供资料判断是否得分的情况，一律作不得分处理。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Align w:val="center"/>
          </w:tcPr>
          <w:p>
            <w:pPr>
              <w:spacing w:line="440" w:lineRule="exact"/>
              <w:jc w:val="center"/>
              <w:rPr>
                <w:rFonts w:ascii="宋体" w:hAnsi="宋体"/>
                <w:b/>
                <w:color w:val="auto"/>
                <w:szCs w:val="21"/>
              </w:rPr>
            </w:pPr>
            <w:r>
              <w:rPr>
                <w:rFonts w:ascii="宋体" w:hAnsi="宋体"/>
                <w:b/>
                <w:color w:val="auto"/>
                <w:szCs w:val="21"/>
              </w:rPr>
              <w:t>4</w:t>
            </w:r>
          </w:p>
        </w:tc>
        <w:tc>
          <w:tcPr>
            <w:tcW w:w="3090" w:type="dxa"/>
            <w:gridSpan w:val="3"/>
            <w:vAlign w:val="center"/>
          </w:tcPr>
          <w:p>
            <w:pPr>
              <w:spacing w:line="440" w:lineRule="exact"/>
              <w:jc w:val="center"/>
              <w:rPr>
                <w:rFonts w:ascii="宋体" w:hAnsi="宋体"/>
                <w:b/>
                <w:color w:val="auto"/>
                <w:szCs w:val="21"/>
              </w:rPr>
            </w:pPr>
            <w:r>
              <w:rPr>
                <w:rFonts w:hint="eastAsia" w:ascii="宋体" w:hAnsi="宋体"/>
                <w:b/>
                <w:color w:val="auto"/>
                <w:szCs w:val="21"/>
              </w:rPr>
              <w:t>诚信情况</w:t>
            </w:r>
          </w:p>
        </w:tc>
        <w:tc>
          <w:tcPr>
            <w:tcW w:w="5413" w:type="dxa"/>
            <w:vAlign w:val="center"/>
          </w:tcPr>
          <w:p>
            <w:pPr>
              <w:pStyle w:val="3"/>
              <w:numPr>
                <w:ilvl w:val="12"/>
                <w:numId w:val="0"/>
              </w:numPr>
              <w:pBdr>
                <w:bottom w:val="none" w:color="auto" w:sz="0" w:space="0"/>
              </w:pBdr>
              <w:tabs>
                <w:tab w:val="clear" w:pos="4153"/>
                <w:tab w:val="clear" w:pos="8306"/>
              </w:tabs>
              <w:spacing w:line="440" w:lineRule="exact"/>
              <w:rPr>
                <w:rFonts w:hAnsi="宋体"/>
                <w:b/>
                <w:color w:val="auto"/>
                <w:sz w:val="21"/>
                <w:szCs w:val="21"/>
              </w:rPr>
            </w:pPr>
            <w:r>
              <w:rPr>
                <w:rFonts w:hint="eastAsia" w:asciiTheme="minorEastAsia" w:hAnsiTheme="minorEastAsia" w:eastAsiaTheme="minorEastAsia"/>
                <w:b/>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vAlign w:val="center"/>
          </w:tcPr>
          <w:p>
            <w:pPr>
              <w:spacing w:line="440" w:lineRule="exact"/>
              <w:jc w:val="center"/>
              <w:rPr>
                <w:rFonts w:ascii="宋体" w:hAnsi="宋体"/>
                <w:b/>
                <w:color w:val="auto"/>
                <w:szCs w:val="21"/>
              </w:rPr>
            </w:pPr>
          </w:p>
        </w:tc>
        <w:tc>
          <w:tcPr>
            <w:tcW w:w="749" w:type="dxa"/>
            <w:vAlign w:val="center"/>
          </w:tcPr>
          <w:p>
            <w:pPr>
              <w:spacing w:line="440" w:lineRule="exact"/>
              <w:jc w:val="center"/>
              <w:rPr>
                <w:rFonts w:ascii="宋体" w:hAnsi="宋体"/>
                <w:b/>
                <w:color w:val="auto"/>
                <w:szCs w:val="21"/>
              </w:rPr>
            </w:pPr>
            <w:r>
              <w:rPr>
                <w:rFonts w:hint="eastAsia" w:ascii="宋体" w:hAnsi="宋体"/>
                <w:b/>
                <w:color w:val="auto"/>
                <w:szCs w:val="21"/>
              </w:rPr>
              <w:t>序号</w:t>
            </w:r>
          </w:p>
        </w:tc>
        <w:tc>
          <w:tcPr>
            <w:tcW w:w="1662" w:type="dxa"/>
            <w:vAlign w:val="center"/>
          </w:tcPr>
          <w:p>
            <w:pPr>
              <w:spacing w:line="440" w:lineRule="exact"/>
              <w:jc w:val="center"/>
              <w:rPr>
                <w:rFonts w:ascii="宋体" w:hAnsi="宋体"/>
                <w:b/>
                <w:color w:val="auto"/>
                <w:szCs w:val="21"/>
              </w:rPr>
            </w:pPr>
            <w:r>
              <w:rPr>
                <w:rFonts w:hint="eastAsia" w:ascii="宋体" w:hAnsi="宋体"/>
                <w:b/>
                <w:color w:val="auto"/>
                <w:szCs w:val="21"/>
              </w:rPr>
              <w:t>评分因素</w:t>
            </w:r>
          </w:p>
        </w:tc>
        <w:tc>
          <w:tcPr>
            <w:tcW w:w="679" w:type="dxa"/>
            <w:vAlign w:val="center"/>
          </w:tcPr>
          <w:p>
            <w:pPr>
              <w:spacing w:line="440" w:lineRule="exact"/>
              <w:jc w:val="center"/>
              <w:rPr>
                <w:rFonts w:ascii="宋体" w:hAnsi="宋体"/>
                <w:b/>
                <w:color w:val="auto"/>
                <w:szCs w:val="21"/>
              </w:rPr>
            </w:pPr>
            <w:r>
              <w:rPr>
                <w:rFonts w:hint="eastAsia" w:ascii="宋体" w:hAnsi="宋体"/>
                <w:b/>
                <w:color w:val="auto"/>
                <w:szCs w:val="21"/>
              </w:rPr>
              <w:t>权重</w:t>
            </w:r>
          </w:p>
        </w:tc>
        <w:tc>
          <w:tcPr>
            <w:tcW w:w="5413" w:type="dxa"/>
            <w:vAlign w:val="center"/>
          </w:tcPr>
          <w:p>
            <w:pPr>
              <w:spacing w:line="440" w:lineRule="exact"/>
              <w:jc w:val="center"/>
              <w:rPr>
                <w:rFonts w:ascii="宋体" w:hAnsi="宋体"/>
                <w:b/>
                <w:color w:val="auto"/>
                <w:szCs w:val="21"/>
              </w:rPr>
            </w:pPr>
            <w:r>
              <w:rPr>
                <w:rFonts w:hint="eastAsia" w:ascii="宋体" w:hAnsi="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0"/>
              <w:rPr>
                <w:rFonts w:ascii="宋体" w:hAnsi="宋体"/>
                <w:color w:val="auto"/>
                <w:szCs w:val="21"/>
              </w:rPr>
            </w:pPr>
          </w:p>
        </w:tc>
        <w:tc>
          <w:tcPr>
            <w:tcW w:w="749" w:type="dxa"/>
            <w:vAlign w:val="center"/>
          </w:tcPr>
          <w:p>
            <w:pPr>
              <w:spacing w:line="440" w:lineRule="exact"/>
              <w:jc w:val="center"/>
              <w:rPr>
                <w:rFonts w:ascii="宋体" w:hAnsi="宋体"/>
                <w:color w:val="auto"/>
                <w:szCs w:val="21"/>
              </w:rPr>
            </w:pPr>
            <w:r>
              <w:rPr>
                <w:rFonts w:ascii="宋体" w:hAnsi="宋体"/>
                <w:color w:val="auto"/>
                <w:szCs w:val="21"/>
              </w:rPr>
              <w:t>1</w:t>
            </w:r>
          </w:p>
        </w:tc>
        <w:tc>
          <w:tcPr>
            <w:tcW w:w="16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eastAsia="宋体" w:cs="宋体"/>
                <w:color w:val="auto"/>
                <w:szCs w:val="21"/>
                <w:highlight w:val="none"/>
              </w:rPr>
              <w:t>诚信情况</w:t>
            </w:r>
          </w:p>
        </w:tc>
        <w:tc>
          <w:tcPr>
            <w:tcW w:w="6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ascii="宋体" w:hAnsi="宋体"/>
                <w:color w:val="auto"/>
                <w:szCs w:val="21"/>
              </w:rPr>
            </w:pPr>
            <w:r>
              <w:rPr>
                <w:rFonts w:hint="eastAsia" w:ascii="宋体" w:hAnsi="宋体" w:cs="宋体"/>
                <w:color w:val="auto"/>
                <w:szCs w:val="21"/>
                <w:highlight w:val="none"/>
                <w:lang w:val="en-US" w:eastAsia="zh-CN"/>
              </w:rPr>
              <w:t>5</w:t>
            </w:r>
          </w:p>
        </w:tc>
        <w:tc>
          <w:tcPr>
            <w:tcW w:w="5413" w:type="dxa"/>
            <w:vAlign w:val="top"/>
          </w:tcPr>
          <w:p>
            <w:pPr>
              <w:pStyle w:val="2"/>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投标单位</w:t>
            </w:r>
            <w:r>
              <w:rPr>
                <w:rFonts w:hint="eastAsia" w:ascii="宋体" w:hAnsi="宋体" w:eastAsia="宋体" w:cs="宋体"/>
                <w:b w:val="0"/>
                <w:bCs w:val="0"/>
                <w:color w:val="auto"/>
                <w:sz w:val="21"/>
                <w:szCs w:val="21"/>
                <w:highlight w:val="none"/>
              </w:rPr>
              <w:t>存在《深圳市财政局政府采购供应商信用信息管理办法》（深财规〔2023〕3号）列明的一般行政处罚信息、一般违法失信记录信息的，本项不得分，不存在上述情形的本项得满分。</w:t>
            </w:r>
            <w:r>
              <w:rPr>
                <w:rFonts w:hint="eastAsia" w:ascii="宋体" w:hAnsi="宋体" w:cs="宋体"/>
                <w:b w:val="0"/>
                <w:bCs w:val="0"/>
                <w:color w:val="auto"/>
                <w:sz w:val="21"/>
                <w:szCs w:val="21"/>
                <w:highlight w:val="none"/>
                <w:lang w:eastAsia="zh-CN"/>
              </w:rPr>
              <w:t>投标单位</w:t>
            </w:r>
            <w:r>
              <w:rPr>
                <w:rFonts w:hint="eastAsia" w:ascii="宋体" w:hAnsi="宋体" w:eastAsia="宋体" w:cs="宋体"/>
                <w:b w:val="0"/>
                <w:bCs w:val="0"/>
                <w:color w:val="auto"/>
                <w:sz w:val="21"/>
                <w:szCs w:val="21"/>
                <w:highlight w:val="none"/>
              </w:rPr>
              <w:t>无需提供任何证明材料，评标过程中由工作人员向评审委员会提供有关供应商诚信查询结果。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leftChars="0" w:right="0" w:rightChars="0"/>
              <w:textAlignment w:val="auto"/>
              <w:rPr>
                <w:rFonts w:ascii="宋体" w:hAnsi="宋体"/>
                <w:color w:val="auto"/>
                <w:szCs w:val="21"/>
              </w:rPr>
            </w:pPr>
            <w:r>
              <w:rPr>
                <w:rFonts w:hint="eastAsia" w:ascii="宋体" w:hAnsi="宋体" w:eastAsia="宋体" w:cs="宋体"/>
                <w:b w:val="0"/>
                <w:bCs w:val="0"/>
                <w:color w:val="auto"/>
                <w:sz w:val="21"/>
                <w:szCs w:val="21"/>
                <w:highlight w:val="none"/>
              </w:rPr>
              <w:t>查询渠道：通过“信用中国”（www.creditchina.gov.cn，下载信用信息报告）、“中国政府采购网”（www.ccgp.gov.cn）、以及“深圳市政府采购监管网”（http://zfcg.sz.gov.cn）查询供应商信用信息，信用信息以开标当日的查询结果为准。</w:t>
            </w:r>
          </w:p>
        </w:tc>
      </w:tr>
    </w:tbl>
    <w:p>
      <w:pPr>
        <w:spacing w:line="440" w:lineRule="exact"/>
        <w:ind w:firstLine="422" w:firstLineChars="200"/>
        <w:rPr>
          <w:rFonts w:ascii="宋体" w:hAnsi="宋体"/>
          <w:szCs w:val="21"/>
        </w:rPr>
      </w:pPr>
      <w:r>
        <w:rPr>
          <w:rFonts w:hint="eastAsia" w:ascii="宋体" w:hAnsi="宋体"/>
          <w:b/>
          <w:szCs w:val="21"/>
        </w:rPr>
        <w:t>说明：</w:t>
      </w:r>
      <w:r>
        <w:rPr>
          <w:rFonts w:hint="eastAsia" w:ascii="宋体" w:hAnsi="宋体"/>
          <w:szCs w:val="21"/>
        </w:rPr>
        <w:t>1、本评分表中每一栏的得分最高不得超过该项评审指标的分值。2、表中要求提供相关计分证明文件的内容，投标文件中须明确加以说明，未按要求提供相关文件或说明不清楚的按不符合要求处理。</w:t>
      </w:r>
    </w:p>
    <w:p>
      <w:pPr>
        <w:spacing w:line="440" w:lineRule="exact"/>
        <w:ind w:firstLine="422" w:firstLineChars="200"/>
        <w:rPr>
          <w:rFonts w:ascii="宋体" w:hAnsi="宋体"/>
          <w:b/>
          <w:szCs w:val="21"/>
        </w:rPr>
      </w:pPr>
      <w:r>
        <w:rPr>
          <w:rFonts w:hint="eastAsia" w:ascii="宋体" w:hAnsi="宋体"/>
          <w:b/>
          <w:szCs w:val="21"/>
        </w:rPr>
        <w:t>三、评标及定标程序</w:t>
      </w:r>
    </w:p>
    <w:p>
      <w:pPr>
        <w:spacing w:line="440" w:lineRule="exact"/>
        <w:ind w:firstLine="422" w:firstLineChars="200"/>
        <w:rPr>
          <w:rFonts w:ascii="宋体" w:hAnsi="宋体"/>
          <w:b/>
          <w:szCs w:val="21"/>
        </w:rPr>
      </w:pPr>
      <w:r>
        <w:rPr>
          <w:rFonts w:hint="eastAsia" w:ascii="宋体" w:hAnsi="宋体"/>
          <w:b/>
          <w:szCs w:val="21"/>
        </w:rPr>
        <w:t>（一）授权评标委员会确定中标单位的方式</w:t>
      </w:r>
    </w:p>
    <w:p>
      <w:pPr>
        <w:pStyle w:val="7"/>
        <w:numPr>
          <w:ilvl w:val="0"/>
          <w:numId w:val="1"/>
        </w:numPr>
        <w:spacing w:line="440" w:lineRule="exact"/>
        <w:ind w:firstLineChars="0"/>
        <w:rPr>
          <w:rFonts w:ascii="宋体" w:hAnsi="宋体"/>
          <w:b/>
          <w:szCs w:val="21"/>
        </w:rPr>
      </w:pPr>
      <w:r>
        <w:rPr>
          <w:rFonts w:ascii="宋体" w:hAnsi="宋体"/>
          <w:b/>
          <w:szCs w:val="21"/>
        </w:rPr>
        <w:t>综合评分法</w:t>
      </w:r>
    </w:p>
    <w:p>
      <w:pPr>
        <w:spacing w:line="440" w:lineRule="exact"/>
        <w:ind w:firstLine="422" w:firstLineChars="200"/>
        <w:rPr>
          <w:rFonts w:ascii="Calibri" w:hAnsi="Calibri"/>
          <w:b/>
          <w:szCs w:val="21"/>
        </w:rPr>
      </w:pPr>
      <w:r>
        <w:rPr>
          <w:rFonts w:hint="eastAsia" w:ascii="宋体" w:hAnsi="宋体"/>
          <w:b/>
          <w:szCs w:val="21"/>
        </w:rPr>
        <w:t>1、</w:t>
      </w:r>
      <w:r>
        <w:rPr>
          <w:rFonts w:ascii="Calibri" w:hAnsi="宋体"/>
          <w:b/>
          <w:szCs w:val="21"/>
        </w:rPr>
        <w:t>符合性检查</w:t>
      </w:r>
    </w:p>
    <w:p>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pPr>
        <w:spacing w:line="440" w:lineRule="exact"/>
        <w:ind w:firstLine="422" w:firstLineChars="200"/>
        <w:rPr>
          <w:rFonts w:ascii="宋体" w:hAnsi="宋体"/>
          <w:b/>
          <w:szCs w:val="21"/>
        </w:rPr>
      </w:pPr>
      <w:r>
        <w:rPr>
          <w:rFonts w:hint="eastAsia" w:ascii="宋体" w:hAnsi="宋体"/>
          <w:b/>
          <w:szCs w:val="21"/>
        </w:rPr>
        <w:t>2、</w:t>
      </w:r>
      <w:r>
        <w:rPr>
          <w:rFonts w:ascii="宋体" w:hAnsi="宋体"/>
          <w:b/>
          <w:szCs w:val="21"/>
        </w:rPr>
        <w:t>商务</w:t>
      </w:r>
      <w:r>
        <w:rPr>
          <w:rFonts w:hint="eastAsia" w:ascii="宋体" w:hAnsi="宋体"/>
          <w:b/>
          <w:szCs w:val="21"/>
        </w:rPr>
        <w:t>、</w:t>
      </w:r>
      <w:r>
        <w:rPr>
          <w:rFonts w:ascii="宋体" w:hAnsi="宋体"/>
          <w:b/>
          <w:szCs w:val="21"/>
        </w:rPr>
        <w:t>技术及价格评议</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评标委员会根据《</w:t>
      </w:r>
      <w:r>
        <w:rPr>
          <w:rFonts w:hint="eastAsia" w:ascii="宋体" w:hAnsi="宋体"/>
          <w:szCs w:val="21"/>
        </w:rPr>
        <w:t>评分表</w:t>
      </w:r>
      <w:r>
        <w:rPr>
          <w:rFonts w:ascii="宋体" w:hAnsi="宋体"/>
          <w:szCs w:val="21"/>
        </w:rPr>
        <w:t>》的内容和标准，对通过</w:t>
      </w:r>
      <w:r>
        <w:rPr>
          <w:rFonts w:hint="eastAsia" w:ascii="宋体" w:hAnsi="宋体"/>
          <w:bCs/>
          <w:szCs w:val="21"/>
        </w:rPr>
        <w:t>资格性和</w:t>
      </w:r>
      <w:r>
        <w:rPr>
          <w:rFonts w:ascii="宋体" w:hAnsi="宋体"/>
          <w:bCs/>
          <w:szCs w:val="21"/>
        </w:rPr>
        <w:t>符合性</w:t>
      </w:r>
      <w:r>
        <w:rPr>
          <w:rFonts w:ascii="宋体" w:hAnsi="宋体"/>
          <w:szCs w:val="21"/>
        </w:rPr>
        <w:t>检查的投标进行商务</w:t>
      </w:r>
      <w:r>
        <w:rPr>
          <w:rFonts w:hint="eastAsia" w:ascii="宋体" w:hAnsi="宋体"/>
          <w:szCs w:val="21"/>
        </w:rPr>
        <w:t>、</w:t>
      </w:r>
      <w:r>
        <w:rPr>
          <w:rFonts w:ascii="宋体" w:hAnsi="宋体"/>
          <w:szCs w:val="21"/>
        </w:rPr>
        <w:t>技术</w:t>
      </w:r>
      <w:r>
        <w:rPr>
          <w:rFonts w:hint="eastAsia" w:ascii="宋体" w:hAnsi="宋体"/>
          <w:szCs w:val="21"/>
        </w:rPr>
        <w:t>及价格</w:t>
      </w:r>
      <w:r>
        <w:rPr>
          <w:rFonts w:ascii="宋体" w:hAnsi="宋体"/>
          <w:szCs w:val="21"/>
        </w:rPr>
        <w:t>评议。</w:t>
      </w:r>
    </w:p>
    <w:p>
      <w:pPr>
        <w:spacing w:line="440" w:lineRule="exact"/>
        <w:ind w:firstLine="420" w:firstLineChars="200"/>
        <w:rPr>
          <w:rFonts w:ascii="Calibri" w:hAnsi="Calibri"/>
          <w:szCs w:val="21"/>
        </w:rPr>
      </w:pPr>
      <w:r>
        <w:rPr>
          <w:rFonts w:hint="eastAsia" w:ascii="宋体" w:hAnsi="宋体"/>
          <w:szCs w:val="21"/>
        </w:rPr>
        <w:t>（2）</w:t>
      </w:r>
      <w:r>
        <w:rPr>
          <w:rFonts w:ascii="宋体" w:hAnsi="宋体"/>
          <w:szCs w:val="21"/>
        </w:rPr>
        <w:t>评</w:t>
      </w:r>
      <w:r>
        <w:rPr>
          <w:rFonts w:ascii="Calibri" w:hAnsi="宋体"/>
          <w:szCs w:val="21"/>
        </w:rPr>
        <w:t>标委员会将对照招标文件中的商务、技术需求条款和投标文件中的商务、技术条款响应进行评议</w:t>
      </w:r>
      <w:r>
        <w:rPr>
          <w:rFonts w:hint="eastAsia" w:ascii="Calibri" w:hAnsi="宋体"/>
          <w:szCs w:val="21"/>
        </w:rPr>
        <w:t>；</w:t>
      </w:r>
      <w:r>
        <w:rPr>
          <w:rFonts w:ascii="Calibri" w:hAnsi="宋体"/>
          <w:szCs w:val="21"/>
        </w:rPr>
        <w:t>评标委员会成员将按照《</w:t>
      </w:r>
      <w:r>
        <w:rPr>
          <w:rFonts w:hint="eastAsia" w:ascii="Calibri" w:hAnsi="宋体"/>
          <w:szCs w:val="21"/>
        </w:rPr>
        <w:t>评分表</w:t>
      </w:r>
      <w:r>
        <w:rPr>
          <w:rFonts w:ascii="Calibri" w:hAnsi="宋体"/>
          <w:szCs w:val="21"/>
        </w:rPr>
        <w:t>》确定的</w:t>
      </w:r>
      <w:r>
        <w:rPr>
          <w:rFonts w:hint="eastAsia" w:ascii="Calibri" w:hAnsi="宋体"/>
          <w:szCs w:val="21"/>
        </w:rPr>
        <w:t>分值</w:t>
      </w:r>
      <w:r>
        <w:rPr>
          <w:rFonts w:ascii="Calibri" w:hAnsi="宋体"/>
          <w:szCs w:val="21"/>
        </w:rPr>
        <w:t>独立对每个投标的商务</w:t>
      </w:r>
      <w:r>
        <w:rPr>
          <w:rFonts w:hint="eastAsia" w:ascii="Calibri" w:hAnsi="宋体"/>
          <w:szCs w:val="21"/>
        </w:rPr>
        <w:t>、</w:t>
      </w:r>
      <w:r>
        <w:rPr>
          <w:rFonts w:ascii="Calibri" w:hAnsi="宋体"/>
          <w:szCs w:val="21"/>
        </w:rPr>
        <w:t>技术</w:t>
      </w:r>
      <w:r>
        <w:rPr>
          <w:rFonts w:hint="eastAsia" w:ascii="Calibri" w:hAnsi="宋体"/>
          <w:szCs w:val="21"/>
        </w:rPr>
        <w:t>及价格</w:t>
      </w:r>
      <w:r>
        <w:rPr>
          <w:rFonts w:ascii="Calibri" w:hAnsi="宋体"/>
          <w:szCs w:val="21"/>
        </w:rPr>
        <w:t>部分以打分的方式进行评议。</w:t>
      </w:r>
    </w:p>
    <w:p>
      <w:pPr>
        <w:spacing w:line="440" w:lineRule="exact"/>
        <w:ind w:firstLine="422" w:firstLineChars="200"/>
        <w:rPr>
          <w:rFonts w:ascii="Calibri" w:hAnsi="Calibri"/>
          <w:b/>
          <w:szCs w:val="21"/>
        </w:rPr>
      </w:pPr>
      <w:r>
        <w:rPr>
          <w:rFonts w:hint="eastAsia" w:ascii="宋体" w:hAnsi="宋体"/>
          <w:b/>
          <w:szCs w:val="21"/>
        </w:rPr>
        <w:t>3、</w:t>
      </w:r>
      <w:r>
        <w:rPr>
          <w:rFonts w:ascii="Calibri" w:hAnsi="宋体"/>
          <w:b/>
          <w:szCs w:val="21"/>
        </w:rPr>
        <w:t>中标</w:t>
      </w:r>
      <w:r>
        <w:rPr>
          <w:rFonts w:hint="eastAsia" w:ascii="Calibri" w:hAnsi="宋体"/>
          <w:b/>
          <w:szCs w:val="21"/>
        </w:rPr>
        <w:t>单位</w:t>
      </w:r>
      <w:r>
        <w:rPr>
          <w:rFonts w:ascii="Calibri" w:hAnsi="宋体"/>
          <w:b/>
          <w:szCs w:val="21"/>
        </w:rPr>
        <w:t>的确定</w:t>
      </w:r>
    </w:p>
    <w:p>
      <w:pPr>
        <w:spacing w:line="440" w:lineRule="exact"/>
        <w:ind w:firstLine="422" w:firstLineChars="200"/>
        <w:rPr>
          <w:rFonts w:ascii="宋体" w:hAnsi="宋体"/>
          <w:b/>
          <w:szCs w:val="21"/>
        </w:rPr>
      </w:pPr>
      <w:r>
        <w:rPr>
          <w:rFonts w:hint="eastAsia" w:ascii="宋体" w:hAnsi="宋体"/>
          <w:b/>
          <w:szCs w:val="21"/>
        </w:rPr>
        <w:t xml:space="preserve">3.1  </w:t>
      </w:r>
      <w:r>
        <w:rPr>
          <w:rFonts w:hint="eastAsia" w:ascii="宋体" w:hAnsi="宋体"/>
          <w:b/>
          <w:bCs/>
          <w:szCs w:val="21"/>
        </w:rPr>
        <w:t>候选中标供应商推荐</w:t>
      </w:r>
    </w:p>
    <w:p>
      <w:pPr>
        <w:spacing w:line="440" w:lineRule="exact"/>
        <w:ind w:firstLine="420" w:firstLineChars="200"/>
        <w:rPr>
          <w:rFonts w:ascii="宋体" w:hAnsi="宋体"/>
          <w:bCs/>
          <w:szCs w:val="21"/>
        </w:rPr>
      </w:pPr>
      <w:r>
        <w:rPr>
          <w:rFonts w:hint="eastAsia" w:ascii="宋体" w:hAnsi="宋体"/>
          <w:bCs/>
          <w:szCs w:val="21"/>
        </w:rPr>
        <w:t>（1）每个投标单位的评标总得分以</w:t>
      </w:r>
      <w:r>
        <w:rPr>
          <w:rFonts w:hint="eastAsia" w:ascii="宋体" w:hAnsi="宋体"/>
          <w:szCs w:val="21"/>
        </w:rPr>
        <w:t>所有评标委员会成员的独立评分汇总</w:t>
      </w:r>
      <w:r>
        <w:rPr>
          <w:rFonts w:hint="eastAsia" w:ascii="宋体" w:hAnsi="宋体"/>
          <w:bCs/>
          <w:szCs w:val="21"/>
        </w:rPr>
        <w:t>后确定，</w:t>
      </w:r>
      <w:r>
        <w:rPr>
          <w:rFonts w:ascii="宋体" w:hAnsi="宋体"/>
          <w:bCs/>
          <w:szCs w:val="21"/>
        </w:rPr>
        <w:t>评标总得分相同的，按投标报价由低到高顺序排列；评标总得分且投标报价相同的，按技术指标</w:t>
      </w:r>
      <w:r>
        <w:rPr>
          <w:rFonts w:hint="eastAsia" w:ascii="宋体" w:hAnsi="宋体"/>
          <w:bCs/>
          <w:szCs w:val="21"/>
        </w:rPr>
        <w:t>（技术部分）</w:t>
      </w:r>
      <w:r>
        <w:rPr>
          <w:rFonts w:ascii="宋体" w:hAnsi="宋体"/>
          <w:bCs/>
          <w:szCs w:val="21"/>
        </w:rPr>
        <w:t>得分优劣顺序排列</w:t>
      </w:r>
      <w:r>
        <w:rPr>
          <w:rFonts w:hint="eastAsia" w:ascii="Calibri" w:hAnsi="宋体"/>
          <w:szCs w:val="21"/>
        </w:rPr>
        <w:t>；如</w:t>
      </w:r>
      <w:r>
        <w:rPr>
          <w:rFonts w:ascii="Calibri" w:hAnsi="宋体"/>
          <w:szCs w:val="21"/>
        </w:rPr>
        <w:t>技术指标</w:t>
      </w:r>
      <w:r>
        <w:rPr>
          <w:rFonts w:hint="eastAsia" w:ascii="Calibri" w:hAnsi="宋体"/>
          <w:szCs w:val="21"/>
        </w:rPr>
        <w:t>（技术部分）</w:t>
      </w:r>
      <w:r>
        <w:rPr>
          <w:rFonts w:ascii="Calibri" w:hAnsi="宋体"/>
          <w:szCs w:val="21"/>
        </w:rPr>
        <w:t>得分</w:t>
      </w:r>
      <w:r>
        <w:rPr>
          <w:rFonts w:hint="eastAsia" w:ascii="Calibri" w:hAnsi="宋体"/>
          <w:szCs w:val="21"/>
        </w:rPr>
        <w:t>仍然相同的，则采用抽签方式确定排序，</w:t>
      </w:r>
      <w:r>
        <w:rPr>
          <w:rFonts w:hint="eastAsia" w:asciiTheme="minorEastAsia" w:hAnsiTheme="minorEastAsia" w:eastAsiaTheme="minorEastAsia"/>
          <w:szCs w:val="21"/>
        </w:rPr>
        <w:t>具体操作办法及流程由评标委员会确定</w:t>
      </w:r>
      <w:r>
        <w:rPr>
          <w:rFonts w:ascii="宋体" w:hAnsi="宋体"/>
          <w:bCs/>
          <w:szCs w:val="21"/>
        </w:rPr>
        <w:t>。</w:t>
      </w:r>
    </w:p>
    <w:p>
      <w:pPr>
        <w:spacing w:line="440" w:lineRule="exact"/>
        <w:ind w:firstLine="420" w:firstLineChars="200"/>
        <w:rPr>
          <w:szCs w:val="21"/>
        </w:rPr>
      </w:pPr>
      <w:r>
        <w:rPr>
          <w:rFonts w:hint="eastAsia" w:ascii="宋体" w:hAnsi="宋体"/>
          <w:bCs/>
          <w:szCs w:val="21"/>
        </w:rPr>
        <w:t>（2）评标委员会按照综合评分的排名结果推荐中标候选供应商，</w:t>
      </w:r>
      <w:r>
        <w:rPr>
          <w:rFonts w:hint="eastAsia" w:ascii="宋体" w:hAnsi="宋体"/>
          <w:szCs w:val="21"/>
        </w:rPr>
        <w:t>排名</w:t>
      </w:r>
      <w:r>
        <w:rPr>
          <w:rFonts w:hint="eastAsia" w:ascii="宋体" w:hAnsi="宋体"/>
          <w:szCs w:val="21"/>
          <w:highlight w:val="yellow"/>
        </w:rPr>
        <w:t>前三</w:t>
      </w:r>
      <w:r>
        <w:rPr>
          <w:rFonts w:hint="eastAsia" w:ascii="宋体" w:hAnsi="宋体"/>
          <w:szCs w:val="21"/>
        </w:rPr>
        <w:t>的投标单位</w:t>
      </w:r>
      <w:r>
        <w:rPr>
          <w:rFonts w:hint="eastAsia" w:ascii="宋体" w:hAnsi="宋体"/>
          <w:bCs/>
          <w:szCs w:val="21"/>
        </w:rPr>
        <w:t>作为推荐的候选中标供应商。</w:t>
      </w:r>
    </w:p>
    <w:p>
      <w:pPr>
        <w:spacing w:line="440" w:lineRule="exact"/>
        <w:ind w:firstLine="422" w:firstLineChars="200"/>
        <w:rPr>
          <w:rFonts w:ascii="宋体" w:hAnsi="宋体"/>
          <w:b/>
          <w:bCs/>
          <w:szCs w:val="21"/>
        </w:rPr>
      </w:pPr>
      <w:r>
        <w:rPr>
          <w:rFonts w:hint="eastAsia" w:ascii="宋体" w:hAnsi="宋体"/>
          <w:b/>
          <w:bCs/>
          <w:szCs w:val="21"/>
        </w:rPr>
        <w:t>3.2  定标</w:t>
      </w:r>
    </w:p>
    <w:p>
      <w:pPr>
        <w:spacing w:line="440" w:lineRule="exact"/>
        <w:ind w:firstLine="420" w:firstLineChars="200"/>
        <w:rPr>
          <w:rFonts w:ascii="Calibri" w:hAnsi="Calibri"/>
          <w:szCs w:val="21"/>
        </w:rPr>
      </w:pPr>
      <w:r>
        <w:rPr>
          <w:rFonts w:hint="eastAsia" w:ascii="宋体" w:hAnsi="宋体"/>
          <w:bCs/>
          <w:szCs w:val="21"/>
        </w:rPr>
        <w:t>采购方授权评标委员会确定中标单位，确定评标总得分最高且</w:t>
      </w:r>
      <w:r>
        <w:rPr>
          <w:rFonts w:ascii="宋体" w:hAnsi="宋体"/>
          <w:bCs/>
          <w:szCs w:val="21"/>
        </w:rPr>
        <w:t>排名第一</w:t>
      </w:r>
      <w:r>
        <w:rPr>
          <w:rFonts w:hint="eastAsia" w:ascii="宋体" w:hAnsi="宋体"/>
          <w:bCs/>
          <w:szCs w:val="21"/>
        </w:rPr>
        <w:t>的投标人为中标单位。</w:t>
      </w:r>
    </w:p>
    <w:p>
      <w:pPr>
        <w:pStyle w:val="7"/>
        <w:numPr>
          <w:ilvl w:val="0"/>
          <w:numId w:val="1"/>
        </w:numPr>
        <w:spacing w:line="440" w:lineRule="exact"/>
        <w:ind w:firstLineChars="0"/>
        <w:rPr>
          <w:rFonts w:ascii="宋体" w:hAnsi="宋体"/>
          <w:b/>
          <w:szCs w:val="21"/>
        </w:rPr>
      </w:pPr>
      <w:r>
        <w:rPr>
          <w:b/>
          <w:szCs w:val="21"/>
        </w:rPr>
        <w:t>最低价法</w:t>
      </w:r>
    </w:p>
    <w:p>
      <w:pPr>
        <w:spacing w:line="440" w:lineRule="exact"/>
        <w:ind w:firstLine="422" w:firstLineChars="200"/>
        <w:rPr>
          <w:rFonts w:ascii="宋体" w:hAnsi="宋体"/>
          <w:b/>
          <w:szCs w:val="21"/>
        </w:rPr>
      </w:pPr>
      <w:r>
        <w:rPr>
          <w:rFonts w:hint="eastAsia" w:ascii="宋体" w:hAnsi="宋体"/>
          <w:b/>
          <w:szCs w:val="21"/>
        </w:rPr>
        <w:t>1、</w:t>
      </w:r>
      <w:r>
        <w:rPr>
          <w:rFonts w:ascii="宋体" w:hAnsi="宋体"/>
          <w:b/>
          <w:szCs w:val="21"/>
        </w:rPr>
        <w:t>符合性检查</w:t>
      </w:r>
    </w:p>
    <w:p>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pPr>
        <w:spacing w:line="440" w:lineRule="exact"/>
        <w:ind w:firstLine="422" w:firstLineChars="200"/>
        <w:rPr>
          <w:rFonts w:ascii="Calibri" w:hAnsi="Calibri"/>
          <w:b/>
          <w:szCs w:val="21"/>
        </w:rPr>
      </w:pPr>
      <w:r>
        <w:rPr>
          <w:rFonts w:hint="eastAsia" w:ascii="宋体" w:hAnsi="宋体"/>
          <w:b/>
          <w:szCs w:val="21"/>
        </w:rPr>
        <w:t>2、</w:t>
      </w:r>
      <w:r>
        <w:rPr>
          <w:rFonts w:ascii="Calibri" w:hAnsi="宋体"/>
          <w:b/>
          <w:szCs w:val="21"/>
        </w:rPr>
        <w:t>中标</w:t>
      </w:r>
      <w:r>
        <w:rPr>
          <w:rFonts w:hint="eastAsia" w:ascii="Calibri" w:hAnsi="宋体"/>
          <w:b/>
          <w:szCs w:val="21"/>
        </w:rPr>
        <w:t>单位</w:t>
      </w:r>
      <w:r>
        <w:rPr>
          <w:rFonts w:ascii="Calibri" w:hAnsi="宋体"/>
          <w:b/>
          <w:szCs w:val="21"/>
        </w:rPr>
        <w:t>的确定</w:t>
      </w:r>
    </w:p>
    <w:p>
      <w:pPr>
        <w:spacing w:line="440" w:lineRule="exact"/>
        <w:ind w:firstLine="422" w:firstLineChars="200"/>
        <w:rPr>
          <w:rFonts w:ascii="宋体" w:hAnsi="宋体"/>
          <w:b/>
          <w:szCs w:val="21"/>
        </w:rPr>
      </w:pPr>
      <w:r>
        <w:rPr>
          <w:rFonts w:ascii="宋体" w:hAnsi="宋体"/>
          <w:b/>
          <w:szCs w:val="21"/>
        </w:rPr>
        <w:t>2</w:t>
      </w:r>
      <w:r>
        <w:rPr>
          <w:rFonts w:hint="eastAsia" w:ascii="宋体" w:hAnsi="宋体"/>
          <w:b/>
          <w:szCs w:val="21"/>
        </w:rPr>
        <w:t xml:space="preserve">.1  </w:t>
      </w:r>
      <w:r>
        <w:rPr>
          <w:rFonts w:hint="eastAsia" w:ascii="宋体" w:hAnsi="宋体"/>
          <w:b/>
          <w:bCs/>
          <w:szCs w:val="21"/>
        </w:rPr>
        <w:t>候选中标供应商推荐</w:t>
      </w:r>
    </w:p>
    <w:p>
      <w:pPr>
        <w:spacing w:line="440" w:lineRule="exact"/>
        <w:ind w:firstLine="435"/>
        <w:rPr>
          <w:rFonts w:ascii="宋体" w:hAnsi="宋体"/>
          <w:szCs w:val="21"/>
        </w:rPr>
      </w:pPr>
      <w:r>
        <w:rPr>
          <w:rFonts w:hint="eastAsia" w:ascii="宋体" w:hAnsi="宋体"/>
          <w:szCs w:val="21"/>
        </w:rPr>
        <w:t>（1）</w:t>
      </w:r>
      <w:r>
        <w:rPr>
          <w:rFonts w:ascii="宋体" w:hAnsi="宋体"/>
          <w:szCs w:val="21"/>
        </w:rPr>
        <w:t>评标委员会对通过上述检查且最终报价不超过预算控制金额</w:t>
      </w:r>
      <w:r>
        <w:rPr>
          <w:rFonts w:hint="eastAsia" w:ascii="宋体" w:hAnsi="宋体"/>
          <w:szCs w:val="21"/>
        </w:rPr>
        <w:t>的投标单位进行审查，并</w:t>
      </w:r>
      <w:r>
        <w:rPr>
          <w:rFonts w:ascii="Calibri" w:hAnsi="宋体"/>
          <w:szCs w:val="21"/>
        </w:rPr>
        <w:t>按投标报价由低到高</w:t>
      </w:r>
      <w:r>
        <w:rPr>
          <w:rFonts w:hint="eastAsia" w:ascii="Calibri" w:hAnsi="宋体"/>
          <w:szCs w:val="21"/>
        </w:rPr>
        <w:t>排序；</w:t>
      </w:r>
      <w:r>
        <w:rPr>
          <w:rFonts w:ascii="Calibri" w:hAnsi="宋体"/>
          <w:szCs w:val="21"/>
        </w:rPr>
        <w:t>投标报价相同的，按技术指标优劣顺序排列</w:t>
      </w:r>
      <w:r>
        <w:rPr>
          <w:rFonts w:hint="eastAsia" w:ascii="Calibri" w:hAnsi="宋体"/>
          <w:szCs w:val="21"/>
        </w:rPr>
        <w:t>；技术指标仍然相同的，则采用抽签方式确定排序，</w:t>
      </w:r>
      <w:r>
        <w:rPr>
          <w:rFonts w:hint="eastAsia" w:asciiTheme="minorEastAsia" w:hAnsiTheme="minorEastAsia" w:eastAsiaTheme="minorEastAsia"/>
          <w:szCs w:val="21"/>
        </w:rPr>
        <w:t>具体操作办法及流程由评标委员会确定</w:t>
      </w:r>
      <w:r>
        <w:rPr>
          <w:rFonts w:ascii="Calibri" w:hAnsi="宋体"/>
          <w:szCs w:val="21"/>
        </w:rPr>
        <w:t>。</w:t>
      </w:r>
      <w:r>
        <w:rPr>
          <w:rFonts w:hint="eastAsia" w:ascii="宋体" w:hAnsi="宋体"/>
          <w:szCs w:val="21"/>
        </w:rPr>
        <w:t>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pPr>
        <w:spacing w:line="440" w:lineRule="exact"/>
        <w:ind w:firstLine="435"/>
        <w:rPr>
          <w:rFonts w:ascii="宋体" w:hAnsi="宋体"/>
          <w:b/>
          <w:bCs/>
          <w:color w:val="FF00FF"/>
          <w:szCs w:val="21"/>
        </w:rPr>
      </w:pPr>
      <w:r>
        <w:rPr>
          <w:rFonts w:hint="eastAsia" w:ascii="宋体" w:hAnsi="宋体"/>
          <w:bCs/>
          <w:szCs w:val="21"/>
        </w:rPr>
        <w:t>（2）评标委员会按照上述投标</w:t>
      </w:r>
      <w:r>
        <w:rPr>
          <w:rFonts w:ascii="宋体" w:hAnsi="宋体"/>
          <w:bCs/>
          <w:szCs w:val="21"/>
        </w:rPr>
        <w:t>报价的</w:t>
      </w:r>
      <w:r>
        <w:rPr>
          <w:rFonts w:hint="eastAsia" w:ascii="宋体" w:hAnsi="宋体"/>
          <w:bCs/>
          <w:szCs w:val="21"/>
        </w:rPr>
        <w:t>排序结果推荐中标候选供应商，</w:t>
      </w:r>
      <w:r>
        <w:rPr>
          <w:rFonts w:hint="eastAsia" w:ascii="宋体" w:hAnsi="宋体"/>
          <w:szCs w:val="21"/>
        </w:rPr>
        <w:t>排名</w:t>
      </w:r>
      <w:r>
        <w:rPr>
          <w:rFonts w:hint="eastAsia" w:ascii="宋体" w:hAnsi="宋体"/>
          <w:szCs w:val="21"/>
          <w:highlight w:val="yellow"/>
        </w:rPr>
        <w:t>前三</w:t>
      </w:r>
      <w:r>
        <w:rPr>
          <w:rFonts w:hint="eastAsia" w:ascii="宋体" w:hAnsi="宋体"/>
          <w:szCs w:val="21"/>
        </w:rPr>
        <w:t>的投标单位</w:t>
      </w:r>
      <w:r>
        <w:rPr>
          <w:rFonts w:hint="eastAsia" w:ascii="宋体" w:hAnsi="宋体"/>
          <w:bCs/>
          <w:szCs w:val="21"/>
        </w:rPr>
        <w:t>作为推荐的候选中标供应商。</w:t>
      </w:r>
    </w:p>
    <w:p>
      <w:pPr>
        <w:spacing w:line="440" w:lineRule="exact"/>
        <w:ind w:firstLine="435"/>
        <w:rPr>
          <w:rFonts w:ascii="宋体" w:hAnsi="宋体"/>
          <w:b/>
          <w:szCs w:val="21"/>
        </w:rPr>
      </w:pPr>
      <w:r>
        <w:rPr>
          <w:rFonts w:hint="eastAsia" w:ascii="宋体" w:hAnsi="宋体"/>
          <w:b/>
          <w:szCs w:val="21"/>
        </w:rPr>
        <w:t>2</w:t>
      </w:r>
      <w:r>
        <w:rPr>
          <w:rFonts w:ascii="宋体" w:hAnsi="宋体"/>
          <w:b/>
          <w:szCs w:val="21"/>
        </w:rPr>
        <w:t xml:space="preserve">.2  </w:t>
      </w:r>
      <w:r>
        <w:rPr>
          <w:rFonts w:hint="eastAsia" w:ascii="宋体" w:hAnsi="宋体"/>
          <w:b/>
          <w:szCs w:val="21"/>
        </w:rPr>
        <w:t>定标</w:t>
      </w:r>
    </w:p>
    <w:p>
      <w:pPr>
        <w:spacing w:line="440" w:lineRule="exact"/>
        <w:ind w:firstLine="435"/>
        <w:rPr>
          <w:rFonts w:ascii="宋体" w:hAnsi="宋体"/>
          <w:szCs w:val="21"/>
        </w:rPr>
      </w:pPr>
      <w:r>
        <w:rPr>
          <w:rFonts w:ascii="宋体" w:hAnsi="宋体"/>
          <w:szCs w:val="21"/>
        </w:rPr>
        <w:t>采购方授权评标委员会确定中标单位，</w:t>
      </w:r>
      <w:r>
        <w:rPr>
          <w:rFonts w:hint="eastAsia" w:ascii="宋体" w:hAnsi="宋体"/>
          <w:szCs w:val="21"/>
        </w:rPr>
        <w:t>确定</w:t>
      </w:r>
      <w:r>
        <w:rPr>
          <w:rFonts w:ascii="宋体" w:hAnsi="宋体"/>
          <w:szCs w:val="21"/>
        </w:rPr>
        <w:t>投标</w:t>
      </w:r>
      <w:r>
        <w:rPr>
          <w:rFonts w:hint="eastAsia" w:ascii="宋体" w:hAnsi="宋体"/>
          <w:szCs w:val="21"/>
        </w:rPr>
        <w:t>报价</w:t>
      </w:r>
      <w:r>
        <w:rPr>
          <w:rFonts w:ascii="宋体" w:hAnsi="宋体"/>
          <w:szCs w:val="21"/>
        </w:rPr>
        <w:t>最低</w:t>
      </w:r>
      <w:r>
        <w:rPr>
          <w:rFonts w:hint="eastAsia" w:ascii="宋体" w:hAnsi="宋体"/>
          <w:szCs w:val="21"/>
        </w:rPr>
        <w:t>且</w:t>
      </w:r>
      <w:r>
        <w:rPr>
          <w:rFonts w:ascii="宋体" w:hAnsi="宋体"/>
          <w:szCs w:val="21"/>
        </w:rPr>
        <w:t>排名第一的投标供应商为中标</w:t>
      </w:r>
      <w:r>
        <w:rPr>
          <w:rFonts w:hint="eastAsia" w:ascii="宋体" w:hAnsi="宋体"/>
          <w:szCs w:val="21"/>
        </w:rPr>
        <w:t>单位。</w:t>
      </w:r>
    </w:p>
    <w:p>
      <w:pPr>
        <w:spacing w:line="440" w:lineRule="exact"/>
        <w:ind w:firstLine="422" w:firstLineChars="200"/>
        <w:rPr>
          <w:b/>
        </w:rPr>
      </w:pPr>
      <w:r>
        <w:rPr>
          <w:rFonts w:hint="eastAsia"/>
          <w:b/>
        </w:rPr>
        <w:t>（二）评标和定标分离的方式</w:t>
      </w:r>
    </w:p>
    <w:p>
      <w:pPr>
        <w:spacing w:line="440" w:lineRule="exact"/>
        <w:ind w:firstLine="422" w:firstLineChars="200"/>
        <w:rPr>
          <w:rFonts w:ascii="宋体" w:hAnsi="宋体"/>
          <w:b/>
          <w:szCs w:val="21"/>
        </w:rPr>
      </w:pPr>
      <w:r>
        <w:rPr>
          <w:rFonts w:hint="eastAsia" w:ascii="宋体" w:hAnsi="宋体"/>
          <w:b/>
          <w:szCs w:val="21"/>
        </w:rPr>
        <w:t>1、</w:t>
      </w:r>
      <w:r>
        <w:rPr>
          <w:rFonts w:ascii="宋体" w:hAnsi="宋体"/>
          <w:b/>
          <w:szCs w:val="21"/>
        </w:rPr>
        <w:t>符合性检查</w:t>
      </w:r>
    </w:p>
    <w:p>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pPr>
        <w:spacing w:line="440" w:lineRule="exact"/>
        <w:ind w:firstLine="422" w:firstLineChars="200"/>
        <w:rPr>
          <w:rFonts w:ascii="宋体" w:hAnsi="宋体"/>
          <w:b/>
          <w:szCs w:val="21"/>
        </w:rPr>
      </w:pPr>
      <w:r>
        <w:rPr>
          <w:rFonts w:hint="eastAsia" w:ascii="宋体" w:hAnsi="宋体"/>
          <w:b/>
          <w:szCs w:val="21"/>
        </w:rPr>
        <w:t>2、</w:t>
      </w:r>
      <w:r>
        <w:rPr>
          <w:rFonts w:ascii="宋体" w:hAnsi="宋体"/>
          <w:b/>
          <w:szCs w:val="21"/>
        </w:rPr>
        <w:t>商务</w:t>
      </w:r>
      <w:r>
        <w:rPr>
          <w:rFonts w:hint="eastAsia" w:ascii="宋体" w:hAnsi="宋体"/>
          <w:b/>
          <w:szCs w:val="21"/>
        </w:rPr>
        <w:t>、</w:t>
      </w:r>
      <w:r>
        <w:rPr>
          <w:rFonts w:ascii="宋体" w:hAnsi="宋体"/>
          <w:b/>
          <w:szCs w:val="21"/>
        </w:rPr>
        <w:t>技术及价格评议</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评标委员会根据《</w:t>
      </w:r>
      <w:r>
        <w:rPr>
          <w:rFonts w:hint="eastAsia" w:ascii="宋体" w:hAnsi="宋体"/>
          <w:szCs w:val="21"/>
        </w:rPr>
        <w:t>评分表</w:t>
      </w:r>
      <w:r>
        <w:rPr>
          <w:rFonts w:ascii="宋体" w:hAnsi="宋体"/>
          <w:szCs w:val="21"/>
        </w:rPr>
        <w:t>》的内容和标准，对通过</w:t>
      </w:r>
      <w:r>
        <w:rPr>
          <w:rFonts w:hint="eastAsia" w:ascii="宋体" w:hAnsi="宋体"/>
          <w:bCs/>
          <w:szCs w:val="21"/>
        </w:rPr>
        <w:t>资格性和</w:t>
      </w:r>
      <w:r>
        <w:rPr>
          <w:rFonts w:ascii="宋体" w:hAnsi="宋体"/>
          <w:bCs/>
          <w:szCs w:val="21"/>
        </w:rPr>
        <w:t>符合性</w:t>
      </w:r>
      <w:r>
        <w:rPr>
          <w:rFonts w:ascii="宋体" w:hAnsi="宋体"/>
          <w:szCs w:val="21"/>
        </w:rPr>
        <w:t>检查的投标进行商务</w:t>
      </w:r>
      <w:r>
        <w:rPr>
          <w:rFonts w:hint="eastAsia" w:ascii="宋体" w:hAnsi="宋体"/>
          <w:szCs w:val="21"/>
        </w:rPr>
        <w:t>、</w:t>
      </w:r>
      <w:r>
        <w:rPr>
          <w:rFonts w:ascii="宋体" w:hAnsi="宋体"/>
          <w:szCs w:val="21"/>
        </w:rPr>
        <w:t>技术</w:t>
      </w:r>
      <w:r>
        <w:rPr>
          <w:rFonts w:hint="eastAsia" w:ascii="宋体" w:hAnsi="宋体"/>
          <w:szCs w:val="21"/>
        </w:rPr>
        <w:t>及价格</w:t>
      </w:r>
      <w:r>
        <w:rPr>
          <w:rFonts w:ascii="宋体" w:hAnsi="宋体"/>
          <w:szCs w:val="21"/>
        </w:rPr>
        <w:t>评议。</w:t>
      </w:r>
    </w:p>
    <w:p>
      <w:pPr>
        <w:spacing w:line="440" w:lineRule="exact"/>
        <w:ind w:firstLine="420" w:firstLineChars="200"/>
        <w:rPr>
          <w:rFonts w:ascii="Calibri" w:hAnsi="Calibri"/>
          <w:szCs w:val="21"/>
        </w:rPr>
      </w:pPr>
      <w:r>
        <w:rPr>
          <w:rFonts w:hint="eastAsia" w:ascii="宋体" w:hAnsi="宋体"/>
          <w:szCs w:val="21"/>
        </w:rPr>
        <w:t>（2）</w:t>
      </w:r>
      <w:r>
        <w:rPr>
          <w:rFonts w:ascii="宋体" w:hAnsi="宋体"/>
          <w:szCs w:val="21"/>
        </w:rPr>
        <w:t>评</w:t>
      </w:r>
      <w:r>
        <w:rPr>
          <w:rFonts w:ascii="Calibri" w:hAnsi="宋体"/>
          <w:szCs w:val="21"/>
        </w:rPr>
        <w:t>标委员会将对照招标文件中的商务、技术需求条款和投标文件中的商务、技术条款响应进行评议</w:t>
      </w:r>
      <w:r>
        <w:rPr>
          <w:rFonts w:hint="eastAsia" w:ascii="Calibri" w:hAnsi="宋体"/>
          <w:szCs w:val="21"/>
        </w:rPr>
        <w:t>；</w:t>
      </w:r>
      <w:r>
        <w:rPr>
          <w:rFonts w:ascii="Calibri" w:hAnsi="宋体"/>
          <w:szCs w:val="21"/>
        </w:rPr>
        <w:t>评标委员会成员将按照《</w:t>
      </w:r>
      <w:r>
        <w:rPr>
          <w:rFonts w:hint="eastAsia" w:ascii="Calibri" w:hAnsi="宋体"/>
          <w:szCs w:val="21"/>
        </w:rPr>
        <w:t>评分表</w:t>
      </w:r>
      <w:r>
        <w:rPr>
          <w:rFonts w:ascii="Calibri" w:hAnsi="宋体"/>
          <w:szCs w:val="21"/>
        </w:rPr>
        <w:t>》确定的</w:t>
      </w:r>
      <w:r>
        <w:rPr>
          <w:rFonts w:hint="eastAsia" w:ascii="Calibri" w:hAnsi="宋体"/>
          <w:szCs w:val="21"/>
        </w:rPr>
        <w:t>分值</w:t>
      </w:r>
      <w:r>
        <w:rPr>
          <w:rFonts w:ascii="Calibri" w:hAnsi="宋体"/>
          <w:szCs w:val="21"/>
        </w:rPr>
        <w:t>独立对每个投标的商务</w:t>
      </w:r>
      <w:r>
        <w:rPr>
          <w:rFonts w:hint="eastAsia" w:ascii="Calibri" w:hAnsi="宋体"/>
          <w:szCs w:val="21"/>
        </w:rPr>
        <w:t>、</w:t>
      </w:r>
      <w:r>
        <w:rPr>
          <w:rFonts w:ascii="Calibri" w:hAnsi="宋体"/>
          <w:szCs w:val="21"/>
        </w:rPr>
        <w:t>技术</w:t>
      </w:r>
      <w:r>
        <w:rPr>
          <w:rFonts w:hint="eastAsia" w:ascii="Calibri" w:hAnsi="宋体"/>
          <w:szCs w:val="21"/>
        </w:rPr>
        <w:t>及价格</w:t>
      </w:r>
      <w:r>
        <w:rPr>
          <w:rFonts w:ascii="Calibri" w:hAnsi="宋体"/>
          <w:szCs w:val="21"/>
        </w:rPr>
        <w:t>部分以打分的方式进行评议。</w:t>
      </w:r>
    </w:p>
    <w:p>
      <w:pPr>
        <w:spacing w:line="440" w:lineRule="exact"/>
        <w:ind w:firstLine="422" w:firstLineChars="200"/>
        <w:rPr>
          <w:rFonts w:ascii="Calibri" w:hAnsi="Calibri"/>
          <w:b/>
          <w:szCs w:val="21"/>
        </w:rPr>
      </w:pPr>
      <w:r>
        <w:rPr>
          <w:rFonts w:hint="eastAsia" w:ascii="宋体" w:hAnsi="宋体"/>
          <w:b/>
          <w:szCs w:val="21"/>
        </w:rPr>
        <w:t>3、</w:t>
      </w:r>
      <w:r>
        <w:rPr>
          <w:rFonts w:ascii="Calibri" w:hAnsi="宋体"/>
          <w:b/>
          <w:szCs w:val="21"/>
        </w:rPr>
        <w:t>中标</w:t>
      </w:r>
      <w:r>
        <w:rPr>
          <w:rFonts w:hint="eastAsia" w:ascii="Calibri" w:hAnsi="宋体"/>
          <w:b/>
          <w:szCs w:val="21"/>
        </w:rPr>
        <w:t>单位</w:t>
      </w:r>
      <w:r>
        <w:rPr>
          <w:rFonts w:ascii="Calibri" w:hAnsi="宋体"/>
          <w:b/>
          <w:szCs w:val="21"/>
        </w:rPr>
        <w:t>的确定</w:t>
      </w:r>
    </w:p>
    <w:p>
      <w:pPr>
        <w:spacing w:line="440" w:lineRule="exact"/>
        <w:ind w:firstLine="422" w:firstLineChars="200"/>
        <w:rPr>
          <w:rFonts w:ascii="宋体" w:hAnsi="宋体"/>
          <w:b/>
          <w:szCs w:val="21"/>
        </w:rPr>
      </w:pPr>
      <w:r>
        <w:rPr>
          <w:rFonts w:hint="eastAsia" w:ascii="宋体" w:hAnsi="宋体"/>
          <w:b/>
          <w:szCs w:val="21"/>
        </w:rPr>
        <w:t xml:space="preserve">3.1  </w:t>
      </w:r>
      <w:r>
        <w:rPr>
          <w:rFonts w:hint="eastAsia" w:ascii="宋体" w:hAnsi="宋体"/>
          <w:b/>
          <w:bCs/>
          <w:szCs w:val="21"/>
        </w:rPr>
        <w:t>候选中标供应商推荐</w:t>
      </w:r>
    </w:p>
    <w:p>
      <w:pPr>
        <w:spacing w:line="440" w:lineRule="exact"/>
        <w:ind w:firstLine="420" w:firstLineChars="200"/>
        <w:rPr>
          <w:rFonts w:ascii="宋体" w:hAnsi="宋体"/>
          <w:bCs/>
          <w:szCs w:val="21"/>
        </w:rPr>
      </w:pPr>
      <w:r>
        <w:rPr>
          <w:rFonts w:hint="eastAsia" w:ascii="宋体" w:hAnsi="宋体"/>
          <w:bCs/>
          <w:szCs w:val="21"/>
        </w:rPr>
        <w:t>（1）每个投标单位的评标总得分以</w:t>
      </w:r>
      <w:r>
        <w:rPr>
          <w:rFonts w:hint="eastAsia" w:ascii="宋体" w:hAnsi="宋体"/>
          <w:szCs w:val="21"/>
        </w:rPr>
        <w:t>所有评标委员会成员的独立评分汇总</w:t>
      </w:r>
      <w:r>
        <w:rPr>
          <w:rFonts w:hint="eastAsia" w:ascii="宋体" w:hAnsi="宋体"/>
          <w:bCs/>
          <w:szCs w:val="21"/>
        </w:rPr>
        <w:t>后确定，</w:t>
      </w:r>
      <w:r>
        <w:rPr>
          <w:rFonts w:ascii="宋体" w:hAnsi="宋体"/>
          <w:bCs/>
          <w:szCs w:val="21"/>
        </w:rPr>
        <w:t>评标总得分相同的，按投标报价由低到高顺序排列；评标总得分且投标报价相同的，按技术指标</w:t>
      </w:r>
      <w:r>
        <w:rPr>
          <w:rFonts w:hint="eastAsia" w:ascii="宋体" w:hAnsi="宋体"/>
          <w:bCs/>
          <w:szCs w:val="21"/>
        </w:rPr>
        <w:t>（技术部分）</w:t>
      </w:r>
      <w:r>
        <w:rPr>
          <w:rFonts w:ascii="宋体" w:hAnsi="宋体"/>
          <w:bCs/>
          <w:szCs w:val="21"/>
        </w:rPr>
        <w:t>得分优劣顺序排列</w:t>
      </w:r>
      <w:r>
        <w:rPr>
          <w:rFonts w:hint="eastAsia" w:ascii="Calibri" w:hAnsi="宋体"/>
          <w:szCs w:val="21"/>
        </w:rPr>
        <w:t>；如</w:t>
      </w:r>
      <w:r>
        <w:rPr>
          <w:rFonts w:ascii="Calibri" w:hAnsi="宋体"/>
          <w:szCs w:val="21"/>
        </w:rPr>
        <w:t>技术指标</w:t>
      </w:r>
      <w:r>
        <w:rPr>
          <w:rFonts w:hint="eastAsia" w:ascii="Calibri" w:hAnsi="宋体"/>
          <w:szCs w:val="21"/>
        </w:rPr>
        <w:t>（技术部分）</w:t>
      </w:r>
      <w:r>
        <w:rPr>
          <w:rFonts w:ascii="Calibri" w:hAnsi="宋体"/>
          <w:szCs w:val="21"/>
        </w:rPr>
        <w:t>得分</w:t>
      </w:r>
      <w:r>
        <w:rPr>
          <w:rFonts w:hint="eastAsia" w:ascii="Calibri" w:hAnsi="宋体"/>
          <w:szCs w:val="21"/>
        </w:rPr>
        <w:t>仍然相同的，则采用抽签方式确定排序，</w:t>
      </w:r>
      <w:r>
        <w:rPr>
          <w:rFonts w:hint="eastAsia" w:asciiTheme="minorEastAsia" w:hAnsiTheme="minorEastAsia" w:eastAsiaTheme="minorEastAsia"/>
          <w:szCs w:val="21"/>
        </w:rPr>
        <w:t>具体操作办法及流程由评标委员会确定</w:t>
      </w:r>
      <w:r>
        <w:rPr>
          <w:rFonts w:ascii="宋体" w:hAnsi="宋体"/>
          <w:bCs/>
          <w:szCs w:val="21"/>
        </w:rPr>
        <w:t>。</w:t>
      </w:r>
    </w:p>
    <w:p>
      <w:pPr>
        <w:spacing w:line="440" w:lineRule="exact"/>
        <w:ind w:firstLine="420" w:firstLineChars="200"/>
        <w:rPr>
          <w:szCs w:val="21"/>
        </w:rPr>
      </w:pPr>
      <w:r>
        <w:rPr>
          <w:rFonts w:hint="eastAsia" w:ascii="宋体" w:hAnsi="宋体"/>
          <w:bCs/>
          <w:szCs w:val="21"/>
        </w:rPr>
        <w:t>（2）评标委员会按照综合评分的排名结果推荐中标候选供应商，</w:t>
      </w:r>
      <w:r>
        <w:rPr>
          <w:rFonts w:hint="eastAsia" w:ascii="宋体" w:hAnsi="宋体"/>
          <w:szCs w:val="21"/>
        </w:rPr>
        <w:t>排名前三的投标单位</w:t>
      </w:r>
      <w:r>
        <w:rPr>
          <w:rFonts w:hint="eastAsia" w:ascii="宋体" w:hAnsi="宋体"/>
          <w:bCs/>
          <w:szCs w:val="21"/>
        </w:rPr>
        <w:t>作为推荐的候选中标供应商（排名不分先后）。</w:t>
      </w:r>
    </w:p>
    <w:p>
      <w:pPr>
        <w:spacing w:line="440" w:lineRule="exact"/>
        <w:ind w:firstLine="422" w:firstLineChars="200"/>
        <w:rPr>
          <w:rFonts w:ascii="宋体" w:hAnsi="宋体"/>
          <w:b/>
          <w:bCs/>
          <w:szCs w:val="21"/>
        </w:rPr>
      </w:pPr>
      <w:r>
        <w:rPr>
          <w:rFonts w:hint="eastAsia" w:ascii="宋体" w:hAnsi="宋体"/>
          <w:b/>
          <w:bCs/>
          <w:szCs w:val="21"/>
        </w:rPr>
        <w:t>3.2  定标</w:t>
      </w:r>
    </w:p>
    <w:p>
      <w:pPr>
        <w:spacing w:line="440" w:lineRule="exact"/>
        <w:ind w:firstLine="420" w:firstLineChars="200"/>
        <w:rPr>
          <w:rFonts w:ascii="宋体" w:hAnsi="宋体"/>
          <w:bCs/>
          <w:szCs w:val="21"/>
        </w:rPr>
      </w:pPr>
      <w:r>
        <w:rPr>
          <w:rFonts w:hint="eastAsia" w:ascii="宋体" w:hAnsi="宋体"/>
          <w:bCs/>
          <w:szCs w:val="21"/>
        </w:rPr>
        <w:t>采购单位从评标委员会推荐的候选中标供应商中，</w:t>
      </w:r>
      <w:r>
        <w:rPr>
          <w:rFonts w:ascii="宋体" w:hAnsi="宋体"/>
          <w:bCs/>
          <w:szCs w:val="21"/>
        </w:rPr>
        <w:t>采用</w:t>
      </w:r>
      <w:r>
        <w:rPr>
          <w:rFonts w:ascii="宋体" w:hAnsi="宋体"/>
          <w:b/>
          <w:bCs/>
          <w:szCs w:val="21"/>
        </w:rPr>
        <w:t>自定法</w:t>
      </w:r>
      <w:r>
        <w:rPr>
          <w:rFonts w:hint="eastAsia" w:ascii="宋体" w:hAnsi="宋体"/>
          <w:bCs/>
          <w:szCs w:val="21"/>
        </w:rPr>
        <w:t>自行选择确定一名中标单位，具体操作程序按照《深圳市政府采购评标定标分离管理办法》要求执行。</w:t>
      </w:r>
    </w:p>
    <w:p>
      <w:pPr>
        <w:spacing w:line="440" w:lineRule="exact"/>
        <w:ind w:firstLine="386" w:firstLineChars="183"/>
        <w:rPr>
          <w:rFonts w:ascii="宋体" w:hAnsi="宋体"/>
          <w:b/>
          <w:szCs w:val="21"/>
        </w:rPr>
      </w:pPr>
      <w:r>
        <w:rPr>
          <w:rFonts w:hint="eastAsia" w:ascii="宋体" w:hAnsi="宋体"/>
          <w:b/>
          <w:szCs w:val="21"/>
        </w:rPr>
        <w:t>4、质疑投诉处理：</w:t>
      </w:r>
      <w:r>
        <w:rPr>
          <w:rFonts w:hint="eastAsia" w:ascii="宋体" w:hAnsi="宋体"/>
          <w:szCs w:val="21"/>
        </w:rPr>
        <w:t>确定中标单位后出现质疑投诉的，按照以下程序进行处理：</w:t>
      </w:r>
      <w:r>
        <w:rPr>
          <w:rFonts w:hint="eastAsia" w:ascii="宋体" w:hAnsi="宋体"/>
          <w:szCs w:val="21"/>
          <w:highlight w:val="none"/>
        </w:rPr>
        <w:t>（1）中标单位因质疑、投诉等问题被取消或</w:t>
      </w:r>
      <w:r>
        <w:rPr>
          <w:rFonts w:ascii="宋体" w:hAnsi="宋体"/>
          <w:szCs w:val="21"/>
          <w:highlight w:val="none"/>
        </w:rPr>
        <w:t>放弃</w:t>
      </w:r>
      <w:r>
        <w:rPr>
          <w:rFonts w:hint="eastAsia" w:ascii="宋体" w:hAnsi="宋体"/>
          <w:szCs w:val="21"/>
          <w:highlight w:val="none"/>
        </w:rPr>
        <w:t>候选中标资格，候选</w:t>
      </w:r>
      <w:r>
        <w:rPr>
          <w:rFonts w:ascii="宋体" w:hAnsi="宋体"/>
          <w:szCs w:val="21"/>
          <w:highlight w:val="none"/>
        </w:rPr>
        <w:t>中标</w:t>
      </w:r>
      <w:r>
        <w:rPr>
          <w:rFonts w:hint="eastAsia" w:ascii="宋体" w:hAnsi="宋体"/>
          <w:szCs w:val="21"/>
          <w:highlight w:val="none"/>
        </w:rPr>
        <w:t>供应商</w:t>
      </w:r>
      <w:r>
        <w:rPr>
          <w:rFonts w:ascii="宋体" w:hAnsi="宋体"/>
          <w:szCs w:val="21"/>
          <w:highlight w:val="none"/>
        </w:rPr>
        <w:t>不再</w:t>
      </w:r>
      <w:r>
        <w:rPr>
          <w:rFonts w:hint="eastAsia" w:ascii="宋体" w:hAnsi="宋体"/>
          <w:szCs w:val="21"/>
          <w:highlight w:val="none"/>
        </w:rPr>
        <w:t>替补</w:t>
      </w:r>
      <w:r>
        <w:rPr>
          <w:rFonts w:ascii="宋体" w:hAnsi="宋体"/>
          <w:szCs w:val="21"/>
          <w:highlight w:val="none"/>
        </w:rPr>
        <w:t>，</w:t>
      </w:r>
      <w:r>
        <w:rPr>
          <w:rFonts w:hint="eastAsia" w:ascii="宋体" w:hAnsi="宋体"/>
          <w:szCs w:val="21"/>
          <w:highlight w:val="none"/>
        </w:rPr>
        <w:t>如有效</w:t>
      </w:r>
      <w:r>
        <w:rPr>
          <w:rFonts w:ascii="宋体" w:hAnsi="宋体"/>
          <w:szCs w:val="21"/>
          <w:highlight w:val="none"/>
        </w:rPr>
        <w:t>投标</w:t>
      </w:r>
      <w:r>
        <w:rPr>
          <w:rFonts w:hint="eastAsia" w:ascii="宋体" w:hAnsi="宋体"/>
          <w:szCs w:val="21"/>
          <w:highlight w:val="none"/>
        </w:rPr>
        <w:t>供应商满足</w:t>
      </w:r>
      <w:r>
        <w:rPr>
          <w:rFonts w:ascii="宋体" w:hAnsi="宋体"/>
          <w:szCs w:val="21"/>
          <w:highlight w:val="none"/>
        </w:rPr>
        <w:t>法定数量</w:t>
      </w:r>
      <w:r>
        <w:rPr>
          <w:rFonts w:hint="eastAsia" w:ascii="宋体" w:hAnsi="宋体"/>
          <w:szCs w:val="21"/>
          <w:highlight w:val="none"/>
        </w:rPr>
        <w:t>，可按</w:t>
      </w:r>
      <w:r>
        <w:rPr>
          <w:rFonts w:ascii="宋体" w:hAnsi="宋体"/>
          <w:szCs w:val="21"/>
          <w:highlight w:val="none"/>
        </w:rPr>
        <w:t>相关规定</w:t>
      </w:r>
      <w:r>
        <w:rPr>
          <w:rFonts w:hint="eastAsia" w:ascii="宋体" w:hAnsi="宋体"/>
          <w:szCs w:val="21"/>
          <w:highlight w:val="none"/>
        </w:rPr>
        <w:t>在</w:t>
      </w:r>
      <w:r>
        <w:rPr>
          <w:rFonts w:ascii="宋体" w:hAnsi="宋体"/>
          <w:szCs w:val="21"/>
          <w:highlight w:val="none"/>
        </w:rPr>
        <w:t>其他</w:t>
      </w:r>
      <w:r>
        <w:rPr>
          <w:rFonts w:hint="eastAsia" w:ascii="宋体" w:hAnsi="宋体"/>
          <w:szCs w:val="21"/>
          <w:highlight w:val="none"/>
        </w:rPr>
        <w:t>候选</w:t>
      </w:r>
      <w:r>
        <w:rPr>
          <w:rFonts w:ascii="宋体" w:hAnsi="宋体"/>
          <w:szCs w:val="21"/>
          <w:highlight w:val="none"/>
        </w:rPr>
        <w:t>中标</w:t>
      </w:r>
      <w:r>
        <w:rPr>
          <w:rFonts w:hint="eastAsia" w:ascii="宋体" w:hAnsi="宋体"/>
          <w:szCs w:val="21"/>
          <w:highlight w:val="none"/>
        </w:rPr>
        <w:t>供应商中另行</w:t>
      </w:r>
      <w:r>
        <w:rPr>
          <w:rFonts w:ascii="宋体" w:hAnsi="宋体"/>
          <w:szCs w:val="21"/>
          <w:highlight w:val="none"/>
        </w:rPr>
        <w:t>确定中标</w:t>
      </w:r>
      <w:r>
        <w:rPr>
          <w:rFonts w:hint="eastAsia" w:ascii="宋体" w:hAnsi="宋体"/>
          <w:szCs w:val="21"/>
          <w:highlight w:val="none"/>
        </w:rPr>
        <w:t>单位</w:t>
      </w:r>
      <w:r>
        <w:rPr>
          <w:rFonts w:ascii="宋体" w:hAnsi="宋体"/>
          <w:szCs w:val="21"/>
          <w:highlight w:val="none"/>
        </w:rPr>
        <w:t>，或者</w:t>
      </w:r>
      <w:r>
        <w:rPr>
          <w:rFonts w:hint="eastAsia" w:ascii="宋体" w:hAnsi="宋体"/>
          <w:szCs w:val="21"/>
          <w:highlight w:val="none"/>
        </w:rPr>
        <w:t>重新组织招标；（2）候选中标供应商因质疑、投诉等问题被取消候选中标资格，如有效</w:t>
      </w:r>
      <w:r>
        <w:rPr>
          <w:rFonts w:ascii="宋体" w:hAnsi="宋体"/>
          <w:szCs w:val="21"/>
          <w:highlight w:val="none"/>
        </w:rPr>
        <w:t>投标</w:t>
      </w:r>
      <w:r>
        <w:rPr>
          <w:rFonts w:hint="eastAsia" w:ascii="宋体" w:hAnsi="宋体"/>
          <w:szCs w:val="21"/>
          <w:highlight w:val="none"/>
        </w:rPr>
        <w:t>供应商满足</w:t>
      </w:r>
      <w:r>
        <w:rPr>
          <w:rFonts w:ascii="宋体" w:hAnsi="宋体"/>
          <w:szCs w:val="21"/>
          <w:highlight w:val="none"/>
        </w:rPr>
        <w:t>法定数量</w:t>
      </w:r>
      <w:r>
        <w:rPr>
          <w:rFonts w:hint="eastAsia" w:ascii="宋体" w:hAnsi="宋体"/>
          <w:szCs w:val="21"/>
          <w:highlight w:val="none"/>
        </w:rPr>
        <w:t>，则维持原中标结果；如有效</w:t>
      </w:r>
      <w:r>
        <w:rPr>
          <w:rFonts w:ascii="宋体" w:hAnsi="宋体"/>
          <w:szCs w:val="21"/>
          <w:highlight w:val="none"/>
        </w:rPr>
        <w:t>投标</w:t>
      </w:r>
      <w:r>
        <w:rPr>
          <w:rFonts w:hint="eastAsia" w:ascii="宋体" w:hAnsi="宋体"/>
          <w:szCs w:val="21"/>
          <w:highlight w:val="none"/>
        </w:rPr>
        <w:t>供应商不足</w:t>
      </w:r>
      <w:r>
        <w:rPr>
          <w:rFonts w:ascii="宋体" w:hAnsi="宋体"/>
          <w:szCs w:val="21"/>
          <w:highlight w:val="none"/>
        </w:rPr>
        <w:t>法定数量</w:t>
      </w:r>
      <w:r>
        <w:rPr>
          <w:rFonts w:hint="eastAsia" w:ascii="宋体" w:hAnsi="宋体"/>
          <w:szCs w:val="21"/>
          <w:highlight w:val="none"/>
        </w:rPr>
        <w:t>，则该项目作废标处理，重新组织招标。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A216A"/>
    <w:multiLevelType w:val="multilevel"/>
    <w:tmpl w:val="2A8A216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C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rPr>
  </w:style>
  <w:style w:type="table" w:styleId="5">
    <w:name w:val="Table Grid"/>
    <w:basedOn w:val="4"/>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2025-06-19T06:28:17Z</dcterms:created>
  <dc:creator>Administrator</dc:creator>
  <cp:lastModifiedBy>Administrator</cp:lastModifiedBy>
  <dcterms:modified xsi:type="dcterms:W3CDTF">2025-06-19T06:28:36Z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