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outlineLvl w:val="0"/>
        <w:rPr>
          <w:rFonts w:ascii="微软雅黑" w:hAnsi="微软雅黑" w:eastAsia="微软雅黑" w:cs="微软雅黑"/>
          <w:b/>
          <w:color w:val="auto"/>
          <w:sz w:val="32"/>
          <w:szCs w:val="32"/>
          <w:highlight w:val="none"/>
        </w:rPr>
      </w:pPr>
      <w:r>
        <w:rPr>
          <w:rFonts w:hint="eastAsia" w:ascii="微软雅黑" w:hAnsi="微软雅黑" w:eastAsia="微软雅黑" w:cs="微软雅黑"/>
          <w:b/>
          <w:color w:val="auto"/>
          <w:sz w:val="32"/>
          <w:szCs w:val="32"/>
          <w:highlight w:val="none"/>
        </w:rPr>
        <w:t>第四章  需求及技术规格</w:t>
      </w:r>
    </w:p>
    <w:p>
      <w:pPr>
        <w:spacing w:line="340" w:lineRule="exact"/>
        <w:ind w:left="-71" w:firstLine="447" w:firstLineChars="212"/>
        <w:rPr>
          <w:rFonts w:ascii="宋体" w:hAnsi="宋体"/>
          <w:b/>
          <w:bCs/>
          <w:color w:val="auto"/>
          <w:szCs w:val="21"/>
          <w:highlight w:val="none"/>
        </w:rPr>
      </w:pPr>
    </w:p>
    <w:p>
      <w:pPr>
        <w:jc w:val="center"/>
        <w:outlineLvl w:val="1"/>
        <w:rPr>
          <w:rFonts w:ascii="微软雅黑" w:hAnsi="微软雅黑" w:eastAsia="微软雅黑" w:cs="微软雅黑"/>
          <w:b/>
          <w:color w:val="auto"/>
          <w:sz w:val="24"/>
          <w:szCs w:val="24"/>
          <w:highlight w:val="none"/>
        </w:rPr>
      </w:pPr>
      <w:bookmarkStart w:id="0" w:name="_Toc24986"/>
      <w:r>
        <w:rPr>
          <w:rFonts w:hint="eastAsia" w:ascii="微软雅黑" w:hAnsi="微软雅黑" w:eastAsia="微软雅黑" w:cs="微软雅黑"/>
          <w:b/>
          <w:color w:val="auto"/>
          <w:sz w:val="24"/>
          <w:szCs w:val="24"/>
          <w:highlight w:val="none"/>
        </w:rPr>
        <w:t>第一节  说明</w:t>
      </w:r>
      <w:bookmarkEnd w:id="0"/>
    </w:p>
    <w:p>
      <w:pPr>
        <w:spacing w:line="440" w:lineRule="exact"/>
        <w:ind w:firstLine="420" w:firstLineChars="200"/>
        <w:rPr>
          <w:rFonts w:ascii="宋体" w:hAnsi="宋体"/>
          <w:b/>
          <w:bCs/>
          <w:color w:val="auto"/>
          <w:szCs w:val="21"/>
          <w:highlight w:val="none"/>
        </w:rPr>
      </w:pPr>
      <w:r>
        <w:rPr>
          <w:rFonts w:hint="eastAsia" w:ascii="宋体" w:hAnsi="宋体"/>
          <w:color w:val="auto"/>
          <w:szCs w:val="21"/>
          <w:highlight w:val="none"/>
        </w:rPr>
        <w:t>1、投标人必须对本招标文件所列的所有采购内容进行投标，不得将项目中的内容拆开投标，如果项目有分包的，投标人也可以只对其中一个或几个分包进行投标，但不得将一个包中的内容拆开投标，否则将导致其投标被拒绝。投标人须认真填写第五章的偏离表，偏离表将作为重要的评标依据。</w:t>
      </w:r>
    </w:p>
    <w:p>
      <w:pPr>
        <w:spacing w:line="440" w:lineRule="exact"/>
        <w:ind w:firstLine="422" w:firstLineChars="200"/>
        <w:rPr>
          <w:rFonts w:ascii="宋体" w:hAnsi="宋体"/>
          <w:b/>
          <w:color w:val="auto"/>
          <w:highlight w:val="none"/>
        </w:rPr>
      </w:pPr>
      <w:r>
        <w:rPr>
          <w:rFonts w:hint="eastAsia" w:ascii="宋体" w:hAnsi="宋体"/>
          <w:b/>
          <w:color w:val="auto"/>
          <w:highlight w:val="none"/>
        </w:rPr>
        <w:t>重点说明：偏离表中“偏离度”由投标人自行判断后填写，内容仅供评委参考，</w:t>
      </w:r>
      <w:r>
        <w:rPr>
          <w:rFonts w:ascii="宋体" w:hAnsi="宋体"/>
          <w:b/>
          <w:color w:val="auto"/>
          <w:highlight w:val="none"/>
        </w:rPr>
        <w:t>评标委员会将根据</w:t>
      </w:r>
      <w:r>
        <w:rPr>
          <w:rFonts w:hint="eastAsia" w:ascii="宋体" w:hAnsi="宋体"/>
          <w:b/>
          <w:color w:val="auto"/>
          <w:highlight w:val="none"/>
        </w:rPr>
        <w:t>具体响应内容</w:t>
      </w:r>
      <w:r>
        <w:rPr>
          <w:rFonts w:ascii="宋体" w:hAnsi="宋体"/>
          <w:b/>
          <w:color w:val="auto"/>
          <w:highlight w:val="none"/>
        </w:rPr>
        <w:t>给予是否偏离的认定，并以此</w:t>
      </w:r>
      <w:r>
        <w:rPr>
          <w:rFonts w:hint="eastAsia" w:ascii="宋体" w:hAnsi="宋体"/>
          <w:b/>
          <w:color w:val="auto"/>
          <w:highlight w:val="none"/>
        </w:rPr>
        <w:t>作为</w:t>
      </w:r>
      <w:r>
        <w:rPr>
          <w:rFonts w:ascii="宋体" w:hAnsi="宋体"/>
          <w:b/>
          <w:color w:val="auto"/>
          <w:highlight w:val="none"/>
        </w:rPr>
        <w:t>最终评判</w:t>
      </w:r>
      <w:r>
        <w:rPr>
          <w:rFonts w:hint="eastAsia" w:ascii="宋体" w:hAnsi="宋体"/>
          <w:b/>
          <w:color w:val="auto"/>
          <w:szCs w:val="22"/>
          <w:highlight w:val="none"/>
        </w:rPr>
        <w:t>。</w:t>
      </w:r>
      <w:r>
        <w:rPr>
          <w:rFonts w:hint="eastAsia" w:ascii="宋体" w:hAnsi="宋体"/>
          <w:b/>
          <w:color w:val="auto"/>
          <w:highlight w:val="none"/>
        </w:rPr>
        <w:t>需求中要求提供证书、检测报告、承诺函或其他证明文件的，如投标人未按要求提供或提供的文件无法证明对应事项的，该项要求的响应偏离度评委会有权认定为“负偏离”，若该项要求为不可偏离项或实质性要求，做无效标处理；若该项要求非不可偏离项，则按评分标准做相应扣分处理。</w:t>
      </w:r>
    </w:p>
    <w:p>
      <w:pPr>
        <w:spacing w:line="44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2、</w:t>
      </w:r>
      <w:r>
        <w:rPr>
          <w:rFonts w:ascii="宋体" w:hAnsi="宋体"/>
          <w:b/>
          <w:bCs/>
          <w:color w:val="auto"/>
          <w:szCs w:val="21"/>
          <w:highlight w:val="none"/>
        </w:rPr>
        <w:t>本招标文件要求中，凡标有</w:t>
      </w:r>
      <w:r>
        <w:rPr>
          <w:rFonts w:hint="eastAsia" w:ascii="宋体" w:hAnsi="宋体"/>
          <w:b/>
          <w:bCs/>
          <w:color w:val="auto"/>
          <w:szCs w:val="21"/>
          <w:highlight w:val="none"/>
        </w:rPr>
        <w:t>“★”</w:t>
      </w:r>
      <w:r>
        <w:rPr>
          <w:rFonts w:ascii="宋体" w:hAnsi="宋体"/>
          <w:b/>
          <w:bCs/>
          <w:color w:val="auto"/>
          <w:szCs w:val="21"/>
          <w:highlight w:val="none"/>
        </w:rPr>
        <w:t>的地方均被视为</w:t>
      </w:r>
      <w:r>
        <w:rPr>
          <w:rFonts w:hint="eastAsia" w:ascii="宋体" w:hAnsi="宋体"/>
          <w:b/>
          <w:bCs/>
          <w:color w:val="auto"/>
          <w:szCs w:val="21"/>
          <w:highlight w:val="none"/>
        </w:rPr>
        <w:t>不可偏离条款，</w:t>
      </w:r>
      <w:r>
        <w:rPr>
          <w:rFonts w:ascii="宋体" w:hAnsi="宋体"/>
          <w:b/>
          <w:bCs/>
          <w:color w:val="auto"/>
          <w:szCs w:val="21"/>
          <w:highlight w:val="none"/>
        </w:rPr>
        <w:t>投标人要特别加以注意</w:t>
      </w:r>
      <w:r>
        <w:rPr>
          <w:rFonts w:hint="eastAsia" w:ascii="宋体" w:hAnsi="宋体"/>
          <w:b/>
          <w:bCs/>
          <w:color w:val="auto"/>
          <w:szCs w:val="21"/>
          <w:highlight w:val="none"/>
        </w:rPr>
        <w:t>并予以响应，</w:t>
      </w:r>
      <w:r>
        <w:rPr>
          <w:rFonts w:ascii="宋体" w:hAnsi="宋体"/>
          <w:b/>
          <w:bCs/>
          <w:color w:val="auto"/>
          <w:szCs w:val="21"/>
          <w:highlight w:val="none"/>
        </w:rPr>
        <w:t>否则，若有一项带</w:t>
      </w:r>
      <w:r>
        <w:rPr>
          <w:rFonts w:hint="eastAsia" w:ascii="宋体" w:hAnsi="宋体"/>
          <w:b/>
          <w:bCs/>
          <w:color w:val="auto"/>
          <w:szCs w:val="21"/>
          <w:highlight w:val="none"/>
        </w:rPr>
        <w:t>“★”</w:t>
      </w:r>
      <w:r>
        <w:rPr>
          <w:rFonts w:ascii="宋体" w:hAnsi="宋体"/>
          <w:b/>
          <w:bCs/>
          <w:color w:val="auto"/>
          <w:szCs w:val="21"/>
          <w:highlight w:val="none"/>
        </w:rPr>
        <w:t>的</w:t>
      </w:r>
      <w:r>
        <w:rPr>
          <w:rFonts w:hint="eastAsia" w:ascii="宋体" w:hAnsi="宋体"/>
          <w:b/>
          <w:bCs/>
          <w:color w:val="auto"/>
          <w:szCs w:val="21"/>
          <w:highlight w:val="none"/>
        </w:rPr>
        <w:t>要求</w:t>
      </w:r>
      <w:r>
        <w:rPr>
          <w:rFonts w:ascii="宋体" w:hAnsi="宋体"/>
          <w:b/>
          <w:bCs/>
          <w:color w:val="auto"/>
          <w:szCs w:val="21"/>
          <w:highlight w:val="none"/>
        </w:rPr>
        <w:t>未响应或不满足，将按投标无效处理</w:t>
      </w:r>
      <w:r>
        <w:rPr>
          <w:rFonts w:hint="eastAsia" w:ascii="宋体" w:hAnsi="宋体"/>
          <w:b/>
          <w:bCs/>
          <w:color w:val="auto"/>
          <w:szCs w:val="21"/>
          <w:highlight w:val="none"/>
        </w:rPr>
        <w:t>；</w:t>
      </w:r>
      <w:r>
        <w:rPr>
          <w:rFonts w:ascii="宋体" w:hAnsi="宋体"/>
          <w:b/>
          <w:bCs/>
          <w:color w:val="auto"/>
          <w:szCs w:val="21"/>
          <w:highlight w:val="none"/>
        </w:rPr>
        <w:t>凡标有</w:t>
      </w:r>
      <w:r>
        <w:rPr>
          <w:rFonts w:hint="eastAsia" w:ascii="宋体" w:hAnsi="宋体"/>
          <w:b/>
          <w:bCs/>
          <w:color w:val="auto"/>
          <w:szCs w:val="21"/>
          <w:highlight w:val="none"/>
        </w:rPr>
        <w:t xml:space="preserve"> “▲”</w:t>
      </w:r>
      <w:r>
        <w:rPr>
          <w:rFonts w:ascii="宋体" w:hAnsi="宋体"/>
          <w:b/>
          <w:bCs/>
          <w:color w:val="auto"/>
          <w:szCs w:val="21"/>
          <w:highlight w:val="none"/>
        </w:rPr>
        <w:t>的地方均被视为重要要求</w:t>
      </w:r>
      <w:r>
        <w:rPr>
          <w:rFonts w:hint="eastAsia" w:ascii="宋体" w:hAnsi="宋体"/>
          <w:b/>
          <w:bCs/>
          <w:color w:val="auto"/>
          <w:szCs w:val="21"/>
          <w:highlight w:val="none"/>
        </w:rPr>
        <w:t>，若有带“▲”的要求未响应或不满足的，将按加重扣分处理</w:t>
      </w:r>
      <w:r>
        <w:rPr>
          <w:rFonts w:ascii="宋体" w:hAnsi="宋体"/>
          <w:b/>
          <w:bCs/>
          <w:color w:val="auto"/>
          <w:szCs w:val="21"/>
          <w:highlight w:val="none"/>
        </w:rPr>
        <w:t>。</w:t>
      </w:r>
    </w:p>
    <w:p>
      <w:pPr>
        <w:spacing w:line="440" w:lineRule="exact"/>
        <w:jc w:val="center"/>
        <w:rPr>
          <w:rFonts w:ascii="宋体" w:hAnsi="宋体"/>
          <w:b/>
          <w:bCs/>
          <w:color w:val="auto"/>
          <w:szCs w:val="21"/>
          <w:highlight w:val="none"/>
        </w:rPr>
      </w:pPr>
    </w:p>
    <w:p>
      <w:pPr>
        <w:jc w:val="center"/>
        <w:outlineLvl w:val="1"/>
        <w:rPr>
          <w:rFonts w:ascii="微软雅黑" w:hAnsi="微软雅黑" w:eastAsia="微软雅黑" w:cs="微软雅黑"/>
          <w:b/>
          <w:color w:val="auto"/>
          <w:sz w:val="24"/>
          <w:szCs w:val="24"/>
          <w:highlight w:val="none"/>
        </w:rPr>
      </w:pPr>
      <w:bookmarkStart w:id="1" w:name="_Toc28899"/>
      <w:r>
        <w:rPr>
          <w:rFonts w:hint="eastAsia" w:ascii="微软雅黑" w:hAnsi="微软雅黑" w:eastAsia="微软雅黑" w:cs="微软雅黑"/>
          <w:b/>
          <w:color w:val="auto"/>
          <w:sz w:val="24"/>
          <w:szCs w:val="24"/>
          <w:highlight w:val="none"/>
        </w:rPr>
        <w:t>第二节  需求一览表</w:t>
      </w:r>
      <w:bookmarkEnd w:id="1"/>
    </w:p>
    <w:tbl>
      <w:tblPr>
        <w:tblStyle w:val="5"/>
        <w:tblW w:w="92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4138"/>
        <w:gridCol w:w="922"/>
        <w:gridCol w:w="1073"/>
        <w:gridCol w:w="1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2" w:type="dxa"/>
            <w:noWrap w:val="0"/>
            <w:vAlign w:val="center"/>
          </w:tcPr>
          <w:p>
            <w:pPr>
              <w:jc w:val="center"/>
              <w:rPr>
                <w:b/>
                <w:color w:val="auto"/>
                <w:highlight w:val="none"/>
              </w:rPr>
            </w:pPr>
            <w:r>
              <w:rPr>
                <w:b/>
                <w:color w:val="auto"/>
                <w:highlight w:val="none"/>
              </w:rPr>
              <w:t>序号</w:t>
            </w:r>
          </w:p>
        </w:tc>
        <w:tc>
          <w:tcPr>
            <w:tcW w:w="4138" w:type="dxa"/>
            <w:noWrap w:val="0"/>
            <w:vAlign w:val="center"/>
          </w:tcPr>
          <w:p>
            <w:pPr>
              <w:jc w:val="center"/>
              <w:rPr>
                <w:b/>
                <w:color w:val="auto"/>
                <w:highlight w:val="none"/>
              </w:rPr>
            </w:pPr>
            <w:r>
              <w:rPr>
                <w:b/>
                <w:color w:val="auto"/>
                <w:highlight w:val="none"/>
              </w:rPr>
              <w:t>服务名称</w:t>
            </w:r>
          </w:p>
        </w:tc>
        <w:tc>
          <w:tcPr>
            <w:tcW w:w="922" w:type="dxa"/>
            <w:noWrap w:val="0"/>
            <w:vAlign w:val="center"/>
          </w:tcPr>
          <w:p>
            <w:pPr>
              <w:jc w:val="center"/>
              <w:rPr>
                <w:b/>
                <w:color w:val="auto"/>
                <w:highlight w:val="none"/>
              </w:rPr>
            </w:pPr>
            <w:r>
              <w:rPr>
                <w:b/>
                <w:color w:val="auto"/>
                <w:highlight w:val="none"/>
              </w:rPr>
              <w:t>数量</w:t>
            </w:r>
          </w:p>
        </w:tc>
        <w:tc>
          <w:tcPr>
            <w:tcW w:w="1073" w:type="dxa"/>
            <w:noWrap w:val="0"/>
            <w:vAlign w:val="center"/>
          </w:tcPr>
          <w:p>
            <w:pPr>
              <w:jc w:val="center"/>
              <w:rPr>
                <w:b/>
                <w:color w:val="auto"/>
                <w:highlight w:val="none"/>
              </w:rPr>
            </w:pPr>
            <w:r>
              <w:rPr>
                <w:b/>
                <w:color w:val="auto"/>
                <w:highlight w:val="none"/>
              </w:rPr>
              <w:t>单位</w:t>
            </w:r>
          </w:p>
        </w:tc>
        <w:tc>
          <w:tcPr>
            <w:tcW w:w="1900" w:type="dxa"/>
            <w:noWrap w:val="0"/>
            <w:vAlign w:val="center"/>
          </w:tcPr>
          <w:p>
            <w:pPr>
              <w:jc w:val="center"/>
              <w:rPr>
                <w:rFonts w:ascii="宋体" w:hAnsi="宋体"/>
                <w:b/>
                <w:color w:val="auto"/>
                <w:highlight w:val="none"/>
              </w:rPr>
            </w:pPr>
            <w:r>
              <w:rPr>
                <w:rFonts w:hint="eastAsia"/>
                <w:b/>
                <w:color w:val="auto"/>
                <w:szCs w:val="21"/>
                <w:highlight w:val="none"/>
              </w:rPr>
              <w:t>预算控制金额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2" w:type="dxa"/>
            <w:noWrap w:val="0"/>
            <w:vAlign w:val="center"/>
          </w:tcPr>
          <w:p>
            <w:pPr>
              <w:jc w:val="center"/>
              <w:rPr>
                <w:rFonts w:ascii="宋体" w:hAnsi="宋体"/>
                <w:color w:val="auto"/>
                <w:highlight w:val="none"/>
              </w:rPr>
            </w:pPr>
            <w:r>
              <w:rPr>
                <w:rFonts w:ascii="宋体" w:hAnsi="宋体"/>
                <w:color w:val="auto"/>
                <w:highlight w:val="none"/>
              </w:rPr>
              <w:t>1</w:t>
            </w:r>
          </w:p>
        </w:tc>
        <w:tc>
          <w:tcPr>
            <w:tcW w:w="4138" w:type="dxa"/>
            <w:noWrap w:val="0"/>
            <w:vAlign w:val="center"/>
          </w:tcPr>
          <w:p>
            <w:pPr>
              <w:rPr>
                <w:rFonts w:hint="eastAsia" w:ascii="宋体" w:hAnsi="宋体" w:eastAsia="宋体"/>
                <w:color w:val="auto"/>
                <w:highlight w:val="none"/>
                <w:lang w:eastAsia="zh-CN"/>
              </w:rPr>
            </w:pPr>
            <w:r>
              <w:rPr>
                <w:rFonts w:hint="eastAsia"/>
                <w:color w:val="auto"/>
                <w:highlight w:val="none"/>
                <w:lang w:eastAsia="zh-CN"/>
              </w:rPr>
              <w:t>沙头角口岸重建工程交通仿真模拟</w:t>
            </w:r>
          </w:p>
        </w:tc>
        <w:tc>
          <w:tcPr>
            <w:tcW w:w="922" w:type="dxa"/>
            <w:noWrap w:val="0"/>
            <w:vAlign w:val="center"/>
          </w:tcPr>
          <w:p>
            <w:pPr>
              <w:jc w:val="center"/>
              <w:rPr>
                <w:rFonts w:ascii="宋体" w:hAnsi="宋体"/>
                <w:color w:val="auto"/>
                <w:highlight w:val="none"/>
              </w:rPr>
            </w:pPr>
            <w:r>
              <w:rPr>
                <w:rFonts w:ascii="宋体" w:hAnsi="宋体"/>
                <w:color w:val="auto"/>
                <w:highlight w:val="none"/>
              </w:rPr>
              <w:t>1</w:t>
            </w:r>
          </w:p>
        </w:tc>
        <w:tc>
          <w:tcPr>
            <w:tcW w:w="1073" w:type="dxa"/>
            <w:noWrap w:val="0"/>
            <w:vAlign w:val="center"/>
          </w:tcPr>
          <w:p>
            <w:pPr>
              <w:jc w:val="center"/>
              <w:rPr>
                <w:rFonts w:ascii="宋体" w:hAnsi="宋体"/>
                <w:color w:val="auto"/>
                <w:highlight w:val="none"/>
              </w:rPr>
            </w:pPr>
            <w:r>
              <w:rPr>
                <w:rFonts w:ascii="宋体" w:hAnsi="宋体"/>
                <w:color w:val="auto"/>
                <w:highlight w:val="none"/>
              </w:rPr>
              <w:t>项</w:t>
            </w:r>
          </w:p>
        </w:tc>
        <w:tc>
          <w:tcPr>
            <w:tcW w:w="1900" w:type="dxa"/>
            <w:noWrap w:val="0"/>
            <w:vAlign w:val="center"/>
          </w:tcPr>
          <w:p>
            <w:pPr>
              <w:jc w:val="center"/>
              <w:rPr>
                <w:rFonts w:ascii="宋体" w:hAnsi="宋体"/>
                <w:color w:val="auto"/>
                <w:highlight w:val="none"/>
              </w:rPr>
            </w:pPr>
            <w:r>
              <w:rPr>
                <w:rFonts w:hint="eastAsia"/>
                <w:color w:val="auto"/>
                <w:szCs w:val="21"/>
                <w:highlight w:val="none"/>
                <w:lang w:val="en-US" w:eastAsia="zh-CN"/>
              </w:rPr>
              <w:t>80</w:t>
            </w:r>
            <w:r>
              <w:rPr>
                <w:rFonts w:hint="eastAsia"/>
                <w:color w:val="auto"/>
                <w:szCs w:val="21"/>
                <w:highlight w:val="none"/>
              </w:rPr>
              <w:t>万元</w:t>
            </w:r>
          </w:p>
        </w:tc>
      </w:tr>
    </w:tbl>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b/>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outlineLvl w:val="1"/>
        <w:rPr>
          <w:rFonts w:ascii="宋体" w:hAnsi="宋体"/>
          <w:b/>
          <w:bCs/>
          <w:color w:val="auto"/>
          <w:sz w:val="24"/>
          <w:szCs w:val="24"/>
          <w:highlight w:val="none"/>
        </w:rPr>
      </w:pPr>
      <w:r>
        <w:rPr>
          <w:rFonts w:hint="eastAsia" w:ascii="宋体" w:hAnsi="宋体"/>
          <w:b/>
          <w:bCs/>
          <w:color w:val="auto"/>
          <w:sz w:val="24"/>
          <w:szCs w:val="24"/>
          <w:highlight w:val="none"/>
        </w:rPr>
        <w:t>第三节 技术需求明细</w:t>
      </w:r>
    </w:p>
    <w:p>
      <w:pPr>
        <w:spacing w:line="440" w:lineRule="exact"/>
        <w:ind w:firstLine="420" w:firstLineChars="199"/>
        <w:rPr>
          <w:rFonts w:hint="default" w:ascii="宋体" w:hAnsi="宋体" w:eastAsia="宋体" w:cs="Times New Roman"/>
          <w:b/>
          <w:color w:val="auto"/>
          <w:szCs w:val="21"/>
          <w:highlight w:val="none"/>
          <w:lang w:val="en-US" w:eastAsia="zh-CN"/>
        </w:rPr>
      </w:pPr>
      <w:r>
        <w:rPr>
          <w:rFonts w:hint="eastAsia" w:ascii="宋体" w:hAnsi="宋体" w:eastAsia="宋体" w:cs="Times New Roman"/>
          <w:b/>
          <w:color w:val="auto"/>
          <w:szCs w:val="21"/>
          <w:highlight w:val="none"/>
          <w:lang w:val="en-US" w:eastAsia="zh-CN"/>
        </w:rPr>
        <w:t>一、项目背景及概况</w:t>
      </w:r>
    </w:p>
    <w:p>
      <w:pPr>
        <w:spacing w:line="44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沙头角口岸位于</w:t>
      </w:r>
      <w:r>
        <w:rPr>
          <w:rFonts w:hint="eastAsia" w:ascii="宋体" w:hAnsi="宋体" w:eastAsia="宋体" w:cs="Times New Roman"/>
          <w:color w:val="auto"/>
          <w:szCs w:val="21"/>
          <w:highlight w:val="none"/>
          <w:lang w:val="en-US" w:eastAsia="zh-CN"/>
        </w:rPr>
        <w:t>深圳</w:t>
      </w:r>
      <w:r>
        <w:rPr>
          <w:rFonts w:hint="eastAsia" w:ascii="宋体" w:hAnsi="宋体" w:eastAsia="宋体" w:cs="Times New Roman"/>
          <w:color w:val="auto"/>
          <w:szCs w:val="21"/>
          <w:highlight w:val="none"/>
        </w:rPr>
        <w:t>市盐田区沙头角片区，是主要服务于盐田区、龙岗区及珠江三角洲东部地区的辅助性客货综合性口岸。为加快落实深港跨界货运交通组织“东进东出、西进西出”格局，优化深港口岸功能布局，</w:t>
      </w:r>
      <w:r>
        <w:rPr>
          <w:rFonts w:hint="eastAsia" w:ascii="宋体" w:hAnsi="宋体" w:eastAsia="宋体" w:cs="Times New Roman"/>
          <w:color w:val="auto"/>
          <w:szCs w:val="21"/>
          <w:highlight w:val="none"/>
          <w:lang w:val="en-US" w:eastAsia="zh-CN"/>
        </w:rPr>
        <w:t>支撑沙头角深港国际消费合作区建设，</w:t>
      </w:r>
      <w:r>
        <w:rPr>
          <w:rFonts w:hint="eastAsia" w:ascii="宋体" w:hAnsi="宋体" w:eastAsia="宋体" w:cs="Times New Roman"/>
          <w:color w:val="auto"/>
          <w:szCs w:val="21"/>
          <w:highlight w:val="none"/>
        </w:rPr>
        <w:t>促进香港与内地之间人员、要素更加高效便捷流动，</w:t>
      </w:r>
      <w:r>
        <w:rPr>
          <w:rFonts w:hint="eastAsia" w:ascii="宋体" w:hAnsi="宋体" w:eastAsia="宋体" w:cs="Times New Roman"/>
          <w:color w:val="auto"/>
          <w:szCs w:val="21"/>
          <w:highlight w:val="none"/>
          <w:lang w:val="en-US" w:eastAsia="zh-CN"/>
        </w:rPr>
        <w:t>正开展</w:t>
      </w:r>
      <w:r>
        <w:rPr>
          <w:rFonts w:hint="eastAsia" w:ascii="宋体" w:hAnsi="宋体" w:eastAsia="宋体" w:cs="Times New Roman"/>
          <w:color w:val="auto"/>
          <w:szCs w:val="21"/>
          <w:highlight w:val="none"/>
        </w:rPr>
        <w:t>沙头角口岸重建</w:t>
      </w:r>
      <w:r>
        <w:rPr>
          <w:rFonts w:hint="eastAsia" w:ascii="宋体" w:hAnsi="宋体" w:eastAsia="宋体" w:cs="Times New Roman"/>
          <w:color w:val="auto"/>
          <w:szCs w:val="21"/>
          <w:highlight w:val="none"/>
          <w:lang w:val="en-US" w:eastAsia="zh-CN"/>
        </w:rPr>
        <w:t>工作</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考虑到沙头角口岸通关功能立体复合，设计十分复杂，为充分评估沙头角口岸未来交通运行情况，拟开展交通仿真模拟工作。</w:t>
      </w:r>
    </w:p>
    <w:p>
      <w:pPr>
        <w:spacing w:line="440" w:lineRule="exact"/>
        <w:ind w:firstLine="420" w:firstLineChars="200"/>
        <w:rPr>
          <w:rFonts w:hint="default" w:ascii="宋体" w:hAnsi="宋体" w:eastAsia="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沙头角口岸总用地面积约2.98万平方米，采用“跨河建”模式，口岸内外部流线及交通极为复杂。一是人车接驳及查验功能立体分层布局，旅客、车辆交通接驳均需围绕交通集散空间来组织，口岸内部车辆、旅客流线及与市政道路接驳面临较大的考验。因此需要对口岸内部人、车交通情况进行评估，以便掌握并解决交通拥堵点。二是口岸外部道路仅沙深路和深盐路两条道路，且口岸东南方向为中英街，人车密集，需要对口岸外周边市政道路交通承载能力进行相应分析。三是沙头角口岸采用“跨河建”并研究在河道分界线实施“合作查验、一次放行”通关查验模式。需要充分评估车检层和旅检层中车辆、旅客通行畅顺度，验证查验单位有关业务空间布局和业务安排的合理性。</w:t>
      </w:r>
    </w:p>
    <w:p>
      <w:pPr>
        <w:numPr>
          <w:ilvl w:val="0"/>
          <w:numId w:val="0"/>
        </w:numPr>
        <w:spacing w:line="440" w:lineRule="exact"/>
        <w:ind w:firstLine="420" w:firstLineChars="199"/>
        <w:rPr>
          <w:rFonts w:hint="default"/>
          <w:color w:val="auto"/>
          <w:highlight w:val="none"/>
          <w:lang w:val="en-US" w:eastAsia="zh-CN"/>
        </w:rPr>
      </w:pPr>
      <w:r>
        <w:rPr>
          <w:rFonts w:hint="eastAsia" w:ascii="宋体" w:hAnsi="宋体"/>
          <w:b/>
          <w:bCs/>
          <w:color w:val="auto"/>
          <w:szCs w:val="21"/>
          <w:highlight w:val="none"/>
        </w:rPr>
        <w:t>★</w:t>
      </w:r>
      <w:r>
        <w:rPr>
          <w:rFonts w:hint="eastAsia" w:ascii="Times New Roman" w:hAnsi="Times New Roman" w:eastAsia="宋体" w:cs="Times New Roman"/>
          <w:color w:val="auto"/>
          <w:kern w:val="2"/>
          <w:sz w:val="21"/>
          <w:highlight w:val="none"/>
          <w:lang w:val="en-US" w:eastAsia="zh-CN" w:bidi="ar-SA"/>
        </w:rPr>
        <w:t>二、</w:t>
      </w:r>
      <w:r>
        <w:rPr>
          <w:rFonts w:hint="eastAsia" w:ascii="宋体" w:hAnsi="宋体" w:eastAsia="宋体" w:cs="Times New Roman"/>
          <w:b/>
          <w:color w:val="auto"/>
          <w:szCs w:val="21"/>
          <w:highlight w:val="none"/>
          <w:lang w:val="en-US" w:eastAsia="zh-CN"/>
        </w:rPr>
        <w:t>工作内容要求</w:t>
      </w:r>
    </w:p>
    <w:p>
      <w:pPr>
        <w:spacing w:line="56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项目工作内容要求包括但不限于以下方面：</w:t>
      </w:r>
    </w:p>
    <w:p>
      <w:pPr>
        <w:spacing w:line="440" w:lineRule="exact"/>
        <w:ind w:left="0" w:leftChars="0"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1.开展相关调研，搭建行人、机动车和非机动车三维交通仿真模型，并根据调研参数对模型中各项运行参数进行标定，提升仿真模型的拟合程度。</w:t>
      </w:r>
    </w:p>
    <w:p>
      <w:pPr>
        <w:spacing w:line="440" w:lineRule="exact"/>
        <w:ind w:left="0" w:leftChars="0"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2.在多情景仿真下，对口岸用地内部交通体系（行人/机动车/人车混行）相关设施和通道的通行能力、服务水平</w:t>
      </w:r>
      <w:r>
        <w:rPr>
          <w:rFonts w:hint="eastAsia" w:ascii="宋体" w:hAnsi="宋体" w:eastAsia="宋体" w:cs="宋体"/>
          <w:strike w:val="0"/>
          <w:dstrike w:val="0"/>
          <w:color w:val="auto"/>
          <w:szCs w:val="21"/>
          <w:highlight w:val="none"/>
          <w:lang w:val="en-US" w:eastAsia="zh-CN"/>
        </w:rPr>
        <w:t>，以及口岸和市政道路的衔接能力进行量化评估，提出优化策略及建议</w:t>
      </w:r>
      <w:r>
        <w:rPr>
          <w:rFonts w:hint="eastAsia" w:ascii="宋体" w:hAnsi="宋体" w:eastAsia="宋体" w:cs="宋体"/>
          <w:color w:val="auto"/>
          <w:szCs w:val="21"/>
          <w:highlight w:val="none"/>
          <w:lang w:val="en-US" w:eastAsia="zh-CN"/>
        </w:rPr>
        <w:t>。其中行人包含但不限于通关旅客、口岸工作人员；机动车包含但不限于通关车辆、深港工作人员车辆、深港非跨境公共交通接驳车辆;多情景</w:t>
      </w:r>
      <w:r>
        <w:rPr>
          <w:rFonts w:hint="eastAsia" w:ascii="宋体" w:hAnsi="宋体" w:eastAsia="宋体" w:cs="宋体"/>
          <w:color w:val="auto"/>
          <w:szCs w:val="21"/>
          <w:highlight w:val="none"/>
          <w:lang w:val="en-US" w:eastAsia="zh"/>
        </w:rPr>
        <w:t>包含但不限于通关平峰和高峰期、正常运行状态和</w:t>
      </w:r>
      <w:r>
        <w:rPr>
          <w:rFonts w:hint="eastAsia" w:ascii="宋体" w:hAnsi="宋体" w:eastAsia="宋体" w:cs="宋体"/>
          <w:color w:val="auto"/>
          <w:szCs w:val="21"/>
          <w:highlight w:val="none"/>
          <w:lang w:val="en-US" w:eastAsia="zh-CN"/>
        </w:rPr>
        <w:t>消防</w:t>
      </w:r>
      <w:r>
        <w:rPr>
          <w:rFonts w:hint="eastAsia" w:ascii="宋体" w:hAnsi="宋体" w:eastAsia="宋体" w:cs="宋体"/>
          <w:color w:val="auto"/>
          <w:szCs w:val="21"/>
          <w:highlight w:val="none"/>
          <w:lang w:val="en-US" w:eastAsia="zh"/>
        </w:rPr>
        <w:t>应急救援状态，以及交通繁忙状态</w:t>
      </w:r>
      <w:r>
        <w:rPr>
          <w:rFonts w:hint="eastAsia" w:ascii="宋体" w:hAnsi="宋体" w:eastAsia="宋体" w:cs="宋体"/>
          <w:color w:val="auto"/>
          <w:szCs w:val="21"/>
          <w:highlight w:val="none"/>
          <w:lang w:val="en-US" w:eastAsia="zh-CN"/>
        </w:rPr>
        <w:t>等</w:t>
      </w:r>
      <w:r>
        <w:rPr>
          <w:rFonts w:hint="eastAsia" w:ascii="宋体" w:hAnsi="宋体" w:eastAsia="宋体" w:cs="宋体"/>
          <w:color w:val="auto"/>
          <w:szCs w:val="21"/>
          <w:highlight w:val="none"/>
          <w:lang w:val="en-US" w:eastAsia="zh"/>
        </w:rPr>
        <w:t>。</w:t>
      </w:r>
    </w:p>
    <w:p>
      <w:pPr>
        <w:spacing w:line="440" w:lineRule="exact"/>
        <w:ind w:left="0" w:leftChars="0"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针对行人体系相关的设施设备布置方案，进行多方案交通仿真模拟和评估，提出优化策略及建议，为改善交通布局和流线设计提供依据，提高通关效率。相关设施包含但不限于通道、楼梯、扶梯、电梯、闸机、候车厅、站台、安全门、指示标识。</w:t>
      </w:r>
    </w:p>
    <w:p>
      <w:pPr>
        <w:spacing w:line="440" w:lineRule="exact"/>
        <w:ind w:left="0" w:leftChars="0"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4.针对联检大楼社会停车场的车位布局、出入口布置等进行多方案交通仿真模拟和评估，提出优化策略及建议。</w:t>
      </w:r>
    </w:p>
    <w:p>
      <w:pPr>
        <w:spacing w:line="440" w:lineRule="exact"/>
        <w:ind w:left="0" w:leftChars="0"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5.针对口岸周边道路网络的行人、非机动车和机动车交通体系进行多方案交通仿真模拟和评估，需要对口岸周边市政道路交通承载能力进行相应分析，找出可能的瓶颈路段和节点，提出优化策略及建议。</w:t>
      </w:r>
    </w:p>
    <w:p>
      <w:pPr>
        <w:spacing w:line="440" w:lineRule="exact"/>
        <w:ind w:left="0" w:leftChars="0"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6.优化模型稳定性和可视化水平，对沙头角口岸内部及对外衔接交通仿真模拟、联检大楼内部人流组织等进行渲染，输出流媒体文件，提供直观反映枢纽运营状态的仿真模拟研究视频。</w:t>
      </w:r>
    </w:p>
    <w:p>
      <w:pPr>
        <w:pStyle w:val="4"/>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7.</w:t>
      </w:r>
      <w:r>
        <w:rPr>
          <w:rFonts w:hint="eastAsia" w:ascii="宋体" w:hAnsi="宋体" w:eastAsia="宋体" w:cs="宋体"/>
          <w:color w:val="auto"/>
          <w:kern w:val="2"/>
          <w:sz w:val="21"/>
          <w:szCs w:val="21"/>
          <w:highlight w:val="none"/>
          <w:u w:val="none"/>
          <w:lang w:val="en-US" w:eastAsia="zh-CN"/>
        </w:rPr>
        <w:t>后续跟踪服务：本项目成果通过最终验收程序后1年内，投标人仍应配合采购人就本项目成果汇报，并提供必要的解释和咨询等服务。</w:t>
      </w:r>
    </w:p>
    <w:p>
      <w:pPr>
        <w:numPr>
          <w:ilvl w:val="0"/>
          <w:numId w:val="0"/>
        </w:numPr>
        <w:spacing w:line="440" w:lineRule="exact"/>
        <w:ind w:firstLine="422" w:firstLineChars="200"/>
        <w:rPr>
          <w:rFonts w:hint="default" w:ascii="宋体" w:hAnsi="宋体" w:eastAsia="宋体" w:cs="Times New Roman"/>
          <w:b/>
          <w:color w:val="auto"/>
          <w:szCs w:val="21"/>
          <w:highlight w:val="none"/>
          <w:lang w:val="en-US" w:eastAsia="zh-CN"/>
        </w:rPr>
      </w:pPr>
      <w:r>
        <w:rPr>
          <w:rFonts w:hint="eastAsia" w:ascii="宋体" w:hAnsi="宋体" w:eastAsia="宋体" w:cs="Times New Roman"/>
          <w:b/>
          <w:color w:val="auto"/>
          <w:szCs w:val="21"/>
          <w:highlight w:val="none"/>
          <w:lang w:val="en-US" w:eastAsia="zh-CN"/>
        </w:rPr>
        <w:t>三、成果要求</w:t>
      </w:r>
    </w:p>
    <w:p>
      <w:pPr>
        <w:spacing w:line="44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1.三维交通仿真BIM模型文件（含模型信息）；</w:t>
      </w:r>
    </w:p>
    <w:p>
      <w:pPr>
        <w:spacing w:line="44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en-US" w:eastAsia="zh"/>
        </w:rPr>
        <w:t>中期成果及最终成果</w:t>
      </w:r>
      <w:r>
        <w:rPr>
          <w:rFonts w:hint="eastAsia" w:ascii="宋体" w:hAnsi="宋体" w:eastAsia="宋体" w:cs="宋体"/>
          <w:color w:val="auto"/>
          <w:szCs w:val="21"/>
          <w:highlight w:val="none"/>
          <w:lang w:val="en-US" w:eastAsia="zh-CN"/>
        </w:rPr>
        <w:t xml:space="preserve"> （纸质和电子</w:t>
      </w:r>
      <w:r>
        <w:rPr>
          <w:rFonts w:hint="eastAsia" w:ascii="宋体" w:hAnsi="宋体" w:eastAsia="宋体" w:cs="宋体"/>
          <w:color w:val="auto"/>
          <w:szCs w:val="21"/>
          <w:highlight w:val="none"/>
          <w:lang w:val="en-US" w:eastAsia="zh"/>
        </w:rPr>
        <w:t>文件)</w:t>
      </w:r>
      <w:r>
        <w:rPr>
          <w:rFonts w:hint="eastAsia" w:ascii="宋体" w:hAnsi="宋体" w:eastAsia="宋体" w:cs="宋体"/>
          <w:color w:val="auto"/>
          <w:szCs w:val="21"/>
          <w:highlight w:val="none"/>
          <w:lang w:val="en-US" w:eastAsia="zh-CN"/>
        </w:rPr>
        <w:t>；</w:t>
      </w:r>
    </w:p>
    <w:p>
      <w:pPr>
        <w:spacing w:line="44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3.提供基于BIM模型优化策略及建议综合系统解决方案（含建筑平面、室外场地）、组织流线图等（纸质和电子</w:t>
      </w:r>
      <w:r>
        <w:rPr>
          <w:rFonts w:hint="eastAsia" w:ascii="宋体" w:hAnsi="宋体" w:eastAsia="宋体" w:cs="宋体"/>
          <w:color w:val="auto"/>
          <w:szCs w:val="21"/>
          <w:highlight w:val="none"/>
          <w:lang w:val="en-US" w:eastAsia="zh"/>
        </w:rPr>
        <w:t>文件）</w:t>
      </w:r>
      <w:r>
        <w:rPr>
          <w:rFonts w:hint="eastAsia" w:ascii="宋体" w:hAnsi="宋体" w:eastAsia="宋体" w:cs="宋体"/>
          <w:color w:val="auto"/>
          <w:szCs w:val="21"/>
          <w:highlight w:val="none"/>
          <w:lang w:val="en-US" w:eastAsia="zh-CN"/>
        </w:rPr>
        <w:t>；</w:t>
      </w:r>
    </w:p>
    <w:p>
      <w:pPr>
        <w:spacing w:line="440" w:lineRule="exact"/>
        <w:ind w:firstLine="420" w:firstLineChars="200"/>
        <w:rPr>
          <w:rFonts w:hint="eastAsia" w:ascii="宋体" w:hAnsi="宋体" w:eastAsia="宋体" w:cs="宋体"/>
          <w:color w:val="auto"/>
          <w:szCs w:val="21"/>
          <w:highlight w:val="none"/>
          <w:lang w:val="en-US" w:eastAsia="zh"/>
        </w:rPr>
      </w:pPr>
      <w:r>
        <w:rPr>
          <w:rFonts w:hint="eastAsia" w:ascii="宋体" w:hAnsi="宋体" w:eastAsia="宋体" w:cs="宋体"/>
          <w:color w:val="auto"/>
          <w:szCs w:val="21"/>
          <w:highlight w:val="none"/>
          <w:lang w:val="en-US" w:eastAsia="zh-CN"/>
        </w:rPr>
        <w:t>4.可视化汇报材料，包括不限于效果图、漫游动画、浏览模型、流媒体视频等文件（电子文件）</w:t>
      </w:r>
      <w:r>
        <w:rPr>
          <w:rFonts w:hint="eastAsia" w:ascii="宋体" w:hAnsi="宋体" w:eastAsia="宋体" w:cs="宋体"/>
          <w:color w:val="auto"/>
          <w:szCs w:val="21"/>
          <w:highlight w:val="none"/>
          <w:lang w:val="en-US" w:eastAsia="zh"/>
        </w:rPr>
        <w:t>；</w:t>
      </w:r>
    </w:p>
    <w:p>
      <w:pPr>
        <w:spacing w:line="44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以上各阶段提供</w:t>
      </w:r>
      <w:r>
        <w:rPr>
          <w:rFonts w:hint="eastAsia" w:ascii="宋体" w:hAnsi="宋体" w:eastAsia="宋体" w:cs="宋体"/>
          <w:color w:val="auto"/>
          <w:szCs w:val="21"/>
          <w:highlight w:val="none"/>
          <w:lang w:val="en-US" w:eastAsia="zh"/>
        </w:rPr>
        <w:t>文件不少于8套，</w:t>
      </w:r>
      <w:r>
        <w:rPr>
          <w:rFonts w:hint="eastAsia" w:ascii="宋体" w:hAnsi="宋体" w:eastAsia="宋体" w:cs="宋体"/>
          <w:color w:val="auto"/>
          <w:szCs w:val="21"/>
          <w:highlight w:val="none"/>
          <w:lang w:val="en-US" w:eastAsia="zh-CN"/>
        </w:rPr>
        <w:t>电子文档格式必须是可编辑文件（包括cad文件、word文件</w:t>
      </w:r>
      <w:r>
        <w:rPr>
          <w:rFonts w:hint="eastAsia" w:ascii="宋体" w:hAnsi="宋体" w:eastAsia="宋体" w:cs="宋体"/>
          <w:color w:val="auto"/>
          <w:szCs w:val="21"/>
          <w:highlight w:val="none"/>
          <w:lang w:val="en-US" w:eastAsia="zh"/>
        </w:rPr>
        <w:t>、PPT文件</w:t>
      </w:r>
      <w:r>
        <w:rPr>
          <w:rFonts w:hint="eastAsia" w:ascii="宋体" w:hAnsi="宋体" w:eastAsia="宋体" w:cs="宋体"/>
          <w:color w:val="auto"/>
          <w:szCs w:val="21"/>
          <w:highlight w:val="none"/>
          <w:lang w:val="en-US" w:eastAsia="zh-CN"/>
        </w:rPr>
        <w:t>等）或采购人要求的其他格式。</w:t>
      </w:r>
    </w:p>
    <w:p>
      <w:pPr>
        <w:spacing w:line="440" w:lineRule="exact"/>
        <w:ind w:firstLine="420" w:firstLineChars="200"/>
        <w:rPr>
          <w:rFonts w:hint="eastAsia" w:ascii="宋体" w:hAnsi="宋体" w:eastAsia="宋体" w:cs="宋体"/>
          <w:color w:val="auto"/>
          <w:szCs w:val="21"/>
          <w:highlight w:val="none"/>
          <w:lang w:val="en-US" w:eastAsia="zh-CN"/>
        </w:rPr>
      </w:pPr>
    </w:p>
    <w:p>
      <w:pPr>
        <w:spacing w:line="440" w:lineRule="exact"/>
        <w:ind w:firstLine="3122" w:firstLineChars="1300"/>
        <w:jc w:val="left"/>
        <w:outlineLvl w:val="1"/>
        <w:rPr>
          <w:rFonts w:ascii="微软雅黑" w:hAnsi="微软雅黑" w:eastAsia="微软雅黑" w:cs="微软雅黑"/>
          <w:b/>
          <w:color w:val="auto"/>
          <w:sz w:val="24"/>
          <w:szCs w:val="24"/>
          <w:highlight w:val="none"/>
        </w:rPr>
      </w:pPr>
      <w:bookmarkStart w:id="2" w:name="_Toc16342"/>
      <w:r>
        <w:rPr>
          <w:rFonts w:hint="eastAsia" w:ascii="微软雅黑" w:hAnsi="微软雅黑" w:eastAsia="微软雅黑" w:cs="微软雅黑"/>
          <w:b/>
          <w:color w:val="auto"/>
          <w:sz w:val="24"/>
          <w:szCs w:val="24"/>
          <w:highlight w:val="none"/>
        </w:rPr>
        <w:t>第四节  商务需求明细</w:t>
      </w:r>
      <w:bookmarkEnd w:id="2"/>
    </w:p>
    <w:p>
      <w:pPr>
        <w:spacing w:line="440" w:lineRule="exact"/>
        <w:ind w:firstLine="420" w:firstLineChars="199"/>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一、服务期限</w:t>
      </w:r>
    </w:p>
    <w:p>
      <w:pPr>
        <w:spacing w:line="440" w:lineRule="exact"/>
        <w:ind w:firstLine="417" w:firstLineChars="19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自合同签订之日起1年。</w:t>
      </w:r>
    </w:p>
    <w:p>
      <w:pPr>
        <w:spacing w:line="440" w:lineRule="exact"/>
        <w:ind w:firstLine="420" w:firstLineChars="199"/>
        <w:rPr>
          <w:rFonts w:hint="eastAsia" w:ascii="宋体" w:hAnsi="宋体" w:eastAsia="宋体" w:cs="宋体"/>
          <w:color w:val="auto"/>
          <w:szCs w:val="21"/>
          <w:highlight w:val="none"/>
          <w:lang w:eastAsia="zh-CN"/>
        </w:rPr>
      </w:pPr>
      <w:r>
        <w:rPr>
          <w:rFonts w:hint="eastAsia" w:ascii="宋体" w:hAnsi="宋体" w:eastAsia="宋体" w:cs="宋体"/>
          <w:b/>
          <w:color w:val="auto"/>
          <w:szCs w:val="21"/>
          <w:highlight w:val="none"/>
          <w:lang w:val="en-US" w:eastAsia="zh-CN"/>
        </w:rPr>
        <w:t>二</w:t>
      </w:r>
      <w:r>
        <w:rPr>
          <w:rFonts w:hint="eastAsia" w:ascii="宋体" w:hAnsi="宋体" w:eastAsia="宋体" w:cs="宋体"/>
          <w:b/>
          <w:color w:val="auto"/>
          <w:szCs w:val="21"/>
          <w:highlight w:val="none"/>
        </w:rPr>
        <w:t>、服务</w:t>
      </w:r>
      <w:r>
        <w:rPr>
          <w:rFonts w:hint="eastAsia" w:ascii="宋体" w:hAnsi="宋体" w:eastAsia="宋体" w:cs="宋体"/>
          <w:b/>
          <w:color w:val="auto"/>
          <w:szCs w:val="21"/>
          <w:highlight w:val="none"/>
          <w:lang w:val="en-US" w:eastAsia="zh-CN"/>
        </w:rPr>
        <w:t>计划</w:t>
      </w:r>
    </w:p>
    <w:p>
      <w:pPr>
        <w:spacing w:line="44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1.本项目要求在合同签订后12个月内完成。具体工作安排为：</w:t>
      </w:r>
    </w:p>
    <w:p>
      <w:pPr>
        <w:spacing w:line="44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（1）现状调研与完成初步模拟模型；</w:t>
      </w:r>
    </w:p>
    <w:p>
      <w:pPr>
        <w:spacing w:line="44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（2）基于模拟模型分析研究，提出优化策略及解决方案，并</w:t>
      </w:r>
      <w:r>
        <w:rPr>
          <w:rFonts w:hint="eastAsia" w:ascii="宋体" w:hAnsi="宋体" w:eastAsia="宋体" w:cs="宋体"/>
          <w:color w:val="auto"/>
          <w:szCs w:val="21"/>
          <w:highlight w:val="none"/>
          <w:lang w:val="en-US" w:eastAsia="zh"/>
        </w:rPr>
        <w:t>与</w:t>
      </w:r>
      <w:r>
        <w:rPr>
          <w:rFonts w:hint="eastAsia" w:ascii="宋体" w:hAnsi="宋体" w:eastAsia="宋体" w:cs="宋体"/>
          <w:color w:val="auto"/>
          <w:szCs w:val="21"/>
          <w:highlight w:val="none"/>
          <w:lang w:val="en-US" w:eastAsia="zh-CN"/>
        </w:rPr>
        <w:t>建设单位、设计单位等有关单位沟通，将解决方案落实到沙头角口岸重建工程项目中，完成中期成果；</w:t>
      </w:r>
    </w:p>
    <w:p>
      <w:pPr>
        <w:spacing w:line="44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（3）基于模拟模型，研究沙头角口岸物理空间设计上无法解决的交通拥堵情况，提出在管理等方面的可行性建议，改善拥堵情况；</w:t>
      </w:r>
    </w:p>
    <w:p>
      <w:pPr>
        <w:spacing w:line="44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（4）确定最终成果；</w:t>
      </w:r>
    </w:p>
    <w:p>
      <w:pPr>
        <w:spacing w:line="44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（5）后续跟踪服务：本项目成果通过最终验收程序后1年内，投标人仍应配合采购人就本项目成果汇报，并提供必要的解释和咨询等服务。</w:t>
      </w:r>
    </w:p>
    <w:p>
      <w:pPr>
        <w:spacing w:line="440" w:lineRule="exact"/>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r>
        <w:rPr>
          <w:rFonts w:hint="eastAsia" w:ascii="宋体" w:hAnsi="宋体"/>
          <w:b w:val="0"/>
          <w:bCs/>
          <w:color w:val="auto"/>
          <w:szCs w:val="21"/>
          <w:highlight w:val="none"/>
          <w:lang w:val="en-US" w:eastAsia="zh-CN"/>
        </w:rPr>
        <w:t>如双方认为有必要，可对相关期限要求进行调整，并将最终成果提交日期顺延。</w:t>
      </w:r>
    </w:p>
    <w:p>
      <w:pPr>
        <w:numPr>
          <w:ilvl w:val="0"/>
          <w:numId w:val="0"/>
        </w:numPr>
        <w:spacing w:line="440" w:lineRule="exact"/>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kern w:val="2"/>
          <w:sz w:val="21"/>
          <w:highlight w:val="none"/>
          <w:lang w:val="en-US" w:eastAsia="zh-CN" w:bidi="ar-SA"/>
        </w:rPr>
        <w:t>三、</w:t>
      </w:r>
      <w:r>
        <w:rPr>
          <w:rFonts w:hint="eastAsia" w:ascii="宋体" w:hAnsi="宋体" w:eastAsia="宋体" w:cs="宋体"/>
          <w:b/>
          <w:color w:val="auto"/>
          <w:szCs w:val="21"/>
          <w:highlight w:val="none"/>
          <w:lang w:val="en-US" w:eastAsia="zh-CN"/>
        </w:rPr>
        <w:t>服务地点</w:t>
      </w:r>
    </w:p>
    <w:p>
      <w:pPr>
        <w:spacing w:line="44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采购人指定地点。</w:t>
      </w:r>
    </w:p>
    <w:p>
      <w:pPr>
        <w:numPr>
          <w:ilvl w:val="0"/>
          <w:numId w:val="0"/>
        </w:numPr>
        <w:spacing w:line="440" w:lineRule="exact"/>
        <w:ind w:firstLine="420" w:firstLineChars="199"/>
        <w:rPr>
          <w:rFonts w:hint="default" w:ascii="宋体" w:hAnsi="宋体" w:eastAsia="宋体" w:cs="Times New Roman"/>
          <w:b/>
          <w:color w:val="auto"/>
          <w:szCs w:val="21"/>
          <w:highlight w:val="none"/>
          <w:lang w:val="en-US" w:eastAsia="zh-CN"/>
        </w:rPr>
      </w:pPr>
      <w:r>
        <w:rPr>
          <w:rFonts w:hint="eastAsia" w:ascii="宋体" w:hAnsi="宋体" w:eastAsia="宋体" w:cs="Times New Roman"/>
          <w:b/>
          <w:color w:val="auto"/>
          <w:szCs w:val="21"/>
          <w:highlight w:val="none"/>
          <w:lang w:val="en-US" w:eastAsia="zh-CN"/>
        </w:rPr>
        <w:t>四、人员要求</w:t>
      </w:r>
    </w:p>
    <w:p>
      <w:pPr>
        <w:spacing w:line="44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1.本项目团队成员不得少于10个人。</w:t>
      </w:r>
    </w:p>
    <w:p>
      <w:pPr>
        <w:keepNext w:val="0"/>
        <w:keepLines w:val="0"/>
        <w:widowControl w:val="0"/>
        <w:suppressLineNumbers w:val="0"/>
        <w:spacing w:before="0" w:beforeAutospacing="0" w:after="0" w:afterAutospacing="0" w:line="440" w:lineRule="exact"/>
        <w:ind w:left="0" w:right="0" w:firstLine="422" w:firstLineChars="200"/>
        <w:jc w:val="both"/>
        <w:rPr>
          <w:rFonts w:hint="eastAsia" w:ascii="宋体" w:hAnsi="宋体" w:eastAsia="宋体" w:cs="宋体"/>
          <w:color w:val="auto"/>
          <w:szCs w:val="21"/>
          <w:highlight w:val="none"/>
          <w:lang w:val="en-US" w:eastAsia="zh-CN"/>
        </w:rPr>
      </w:pPr>
      <w:r>
        <w:rPr>
          <w:rFonts w:hint="eastAsia" w:ascii="宋体" w:hAnsi="宋体"/>
          <w:b/>
          <w:bCs/>
          <w:color w:val="auto"/>
          <w:szCs w:val="21"/>
          <w:highlight w:val="none"/>
        </w:rPr>
        <w:t>★</w:t>
      </w:r>
      <w:r>
        <w:rPr>
          <w:rFonts w:hint="eastAsia" w:ascii="宋体" w:hAnsi="宋体" w:eastAsia="宋体" w:cs="宋体"/>
          <w:color w:val="auto"/>
          <w:szCs w:val="21"/>
          <w:highlight w:val="none"/>
          <w:lang w:val="en-US" w:eastAsia="zh-CN"/>
        </w:rPr>
        <w:t>2.中标人必须独立设置项目组，有固定的项目负责人和联系人。项目联系人须在项目合同期内驻场，与建设单位、设计单位等有关单位沟通对接，确保交通模拟仿真工作顺利开展，相关建议有效落实。</w:t>
      </w:r>
    </w:p>
    <w:p>
      <w:pPr>
        <w:spacing w:line="44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3.中标人应配备采购人认可、行业高水平专业团队，团队应明确人员配置和分工，在团队名单中应说明核心成员及其职责范围，在项目执行过程中，中标人提供的项目团队核心人员未经采购人允许，不得更换。</w:t>
      </w:r>
    </w:p>
    <w:p>
      <w:pPr>
        <w:spacing w:line="44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4.采购人遇重大活动需临时增派人员时，投标人应积极配合采购人安排相关人员。</w:t>
      </w:r>
    </w:p>
    <w:p>
      <w:pPr>
        <w:spacing w:line="44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5.如服务人员相关工作未能达到要求或不满足相应工作要求，采购人有权对服务人员提出更换要求，投标人须全力配合并作出人员调整。</w:t>
      </w:r>
    </w:p>
    <w:p>
      <w:pPr>
        <w:spacing w:line="44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6.在合同期内，投标人不能随意变更服务人员，如不得已需变更，需提前一个月书面申请采购人，说明变更原因</w:t>
      </w:r>
      <w:r>
        <w:rPr>
          <w:rFonts w:hint="eastAsia" w:ascii="宋体" w:hAnsi="宋体" w:eastAsia="宋体" w:cs="宋体"/>
          <w:color w:val="auto"/>
          <w:szCs w:val="21"/>
          <w:highlight w:val="none"/>
          <w:lang w:val="en-US" w:eastAsia="zh"/>
        </w:rPr>
        <w:t>；</w:t>
      </w:r>
      <w:r>
        <w:rPr>
          <w:rFonts w:hint="eastAsia" w:ascii="宋体" w:hAnsi="宋体" w:eastAsia="宋体" w:cs="宋体"/>
          <w:color w:val="auto"/>
          <w:szCs w:val="21"/>
          <w:highlight w:val="none"/>
          <w:lang w:val="en-US" w:eastAsia="zh-CN"/>
        </w:rPr>
        <w:t>并</w:t>
      </w:r>
      <w:r>
        <w:rPr>
          <w:rFonts w:hint="eastAsia" w:ascii="宋体" w:hAnsi="宋体" w:eastAsia="宋体" w:cs="宋体"/>
          <w:color w:val="auto"/>
          <w:szCs w:val="21"/>
          <w:highlight w:val="none"/>
          <w:lang w:val="en-US" w:eastAsia="zh"/>
        </w:rPr>
        <w:t>在</w:t>
      </w:r>
      <w:r>
        <w:rPr>
          <w:rFonts w:hint="eastAsia" w:ascii="宋体" w:hAnsi="宋体" w:eastAsia="宋体" w:cs="宋体"/>
          <w:color w:val="auto"/>
          <w:szCs w:val="21"/>
          <w:highlight w:val="none"/>
          <w:lang w:val="en-US" w:eastAsia="zh-CN"/>
        </w:rPr>
        <w:t>采购人同意的</w:t>
      </w:r>
      <w:r>
        <w:rPr>
          <w:rFonts w:hint="eastAsia" w:ascii="宋体" w:hAnsi="宋体" w:eastAsia="宋体" w:cs="宋体"/>
          <w:color w:val="auto"/>
          <w:szCs w:val="21"/>
          <w:highlight w:val="none"/>
          <w:lang w:val="en-US" w:eastAsia="zh"/>
        </w:rPr>
        <w:t>情况下重新补充相应数量、素质能力及专业资格的服务人员，补充人员上岗前须报</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lang w:val="en-US" w:eastAsia="zh"/>
        </w:rPr>
        <w:t>审核同意。</w:t>
      </w:r>
    </w:p>
    <w:p>
      <w:pPr>
        <w:spacing w:line="440" w:lineRule="exact"/>
        <w:ind w:firstLine="417" w:firstLineChars="199"/>
        <w:rPr>
          <w:rFonts w:hint="eastAsia" w:ascii="宋体" w:hAnsi="宋体" w:eastAsia="宋体" w:cs="宋体"/>
          <w:b/>
          <w:color w:val="auto"/>
          <w:szCs w:val="21"/>
          <w:highlight w:val="none"/>
          <w:lang w:val="en-US" w:eastAsia="zh-CN"/>
        </w:rPr>
      </w:pPr>
      <w:r>
        <w:rPr>
          <w:rFonts w:hint="eastAsia" w:ascii="宋体" w:hAnsi="宋体" w:eastAsia="宋体" w:cs="宋体"/>
          <w:color w:val="auto"/>
          <w:szCs w:val="21"/>
          <w:highlight w:val="none"/>
          <w:lang w:val="en-US" w:eastAsia="zh-CN"/>
        </w:rPr>
        <w:t>7.投标人中标后，如团队人员安排与综合实力达不到投标承诺与采购人要求，采购人有权中止项目合作，并将中标人纳入不诚信供应商。</w:t>
      </w:r>
    </w:p>
    <w:p>
      <w:pPr>
        <w:spacing w:line="440" w:lineRule="exact"/>
        <w:ind w:firstLine="420" w:firstLineChars="199"/>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五、验收标准</w:t>
      </w:r>
    </w:p>
    <w:p>
      <w:pPr>
        <w:keepNext w:val="0"/>
        <w:keepLines w:val="0"/>
        <w:pageBreakBefore w:val="0"/>
        <w:widowControl w:val="0"/>
        <w:kinsoku/>
        <w:wordWrap/>
        <w:overflowPunct/>
        <w:topLinePunct w:val="0"/>
        <w:autoSpaceDE/>
        <w:autoSpaceDN/>
        <w:bidi w:val="0"/>
        <w:adjustRightInd/>
        <w:snapToGrid/>
        <w:spacing w:line="440" w:lineRule="exact"/>
        <w:ind w:firstLine="417" w:firstLineChars="199"/>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1.中标人按照采购人需求编制形成项目中期成果，按以下方式进行确认：采购人对中期成果进行书面确认。</w:t>
      </w:r>
    </w:p>
    <w:p>
      <w:pPr>
        <w:keepNext w:val="0"/>
        <w:keepLines w:val="0"/>
        <w:pageBreakBefore w:val="0"/>
        <w:widowControl w:val="0"/>
        <w:kinsoku/>
        <w:wordWrap/>
        <w:overflowPunct/>
        <w:topLinePunct w:val="0"/>
        <w:autoSpaceDE/>
        <w:autoSpaceDN/>
        <w:bidi w:val="0"/>
        <w:adjustRightInd/>
        <w:snapToGrid/>
        <w:spacing w:line="440" w:lineRule="exact"/>
        <w:ind w:firstLine="417" w:firstLineChars="199"/>
        <w:textAlignment w:val="auto"/>
        <w:rPr>
          <w:rFonts w:hint="eastAsia"/>
          <w:color w:val="auto"/>
          <w:highlight w:val="none"/>
        </w:rPr>
      </w:pP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lang w:eastAsia="zh-CN"/>
        </w:rPr>
        <w:t>中标人按照采购人需求编制形成项目最终成果，按以下方式进行验收：通过采购人组织的专家评审会。</w:t>
      </w:r>
    </w:p>
    <w:p>
      <w:pPr>
        <w:spacing w:line="440" w:lineRule="exact"/>
        <w:ind w:firstLine="420" w:firstLineChars="199"/>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六、付款条件</w:t>
      </w:r>
    </w:p>
    <w:p>
      <w:pPr>
        <w:spacing w:line="440" w:lineRule="exact"/>
        <w:ind w:firstLine="417" w:firstLineChars="199"/>
        <w:rPr>
          <w:rFonts w:hint="default" w:ascii="宋体" w:hAnsi="宋体" w:eastAsia="宋体" w:cs="宋体"/>
          <w:bCs/>
          <w:color w:val="auto"/>
          <w:szCs w:val="21"/>
          <w:highlight w:val="none"/>
          <w:lang w:val="en-US" w:eastAsia="zh-CN"/>
        </w:rPr>
      </w:pPr>
      <w:r>
        <w:rPr>
          <w:rFonts w:hint="eastAsia" w:ascii="宋体" w:hAnsi="宋体" w:eastAsia="宋体" w:cs="宋体"/>
          <w:bCs/>
          <w:color w:val="auto"/>
          <w:sz w:val="21"/>
          <w:szCs w:val="21"/>
          <w:highlight w:val="none"/>
          <w:lang w:val="en-US" w:eastAsia="zh-CN"/>
        </w:rPr>
        <w:t>详见合同条款。</w:t>
      </w:r>
    </w:p>
    <w:p>
      <w:pPr>
        <w:spacing w:line="440" w:lineRule="exact"/>
        <w:ind w:firstLine="420" w:firstLineChars="199"/>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七、</w:t>
      </w:r>
      <w:r>
        <w:rPr>
          <w:rFonts w:hint="eastAsia" w:ascii="宋体" w:hAnsi="宋体"/>
          <w:b/>
          <w:color w:val="auto"/>
          <w:szCs w:val="21"/>
          <w:highlight w:val="none"/>
        </w:rPr>
        <w:t>报价要求</w:t>
      </w:r>
    </w:p>
    <w:p>
      <w:pPr>
        <w:spacing w:line="440" w:lineRule="exact"/>
        <w:ind w:firstLine="417" w:firstLineChars="199"/>
        <w:rPr>
          <w:rFonts w:hint="default" w:ascii="宋体" w:hAnsi="宋体"/>
          <w:color w:val="auto"/>
          <w:szCs w:val="21"/>
          <w:highlight w:val="none"/>
          <w:lang w:val="en-US"/>
        </w:rPr>
      </w:pPr>
      <w:r>
        <w:rPr>
          <w:rFonts w:hint="eastAsia" w:ascii="宋体" w:hAnsi="宋体"/>
          <w:color w:val="auto"/>
          <w:szCs w:val="21"/>
          <w:highlight w:val="none"/>
        </w:rPr>
        <w:t>1</w:t>
      </w:r>
      <w:r>
        <w:rPr>
          <w:rFonts w:hint="eastAsia" w:ascii="宋体" w:hAnsi="宋体"/>
          <w:color w:val="auto"/>
          <w:szCs w:val="21"/>
          <w:highlight w:val="none"/>
          <w:lang w:val="en-US" w:eastAsia="zh-CN"/>
        </w:rPr>
        <w:t>.</w:t>
      </w:r>
      <w:r>
        <w:rPr>
          <w:rFonts w:hint="eastAsia" w:ascii="宋体" w:hAnsi="宋体"/>
          <w:color w:val="auto"/>
          <w:szCs w:val="21"/>
          <w:highlight w:val="none"/>
        </w:rPr>
        <w:t>本项目总服务费用采用包干价，包含但不限于项目的服务内容、设备、人员、住宿、交通和保险费用等本项目涉及的一切费用。本项目投标报价采用包干制，应包括成本、法定税费和相应的利润，应涵盖本项目招标范围和招标文件所列的各项内容中所述的全部。由投标人根据招标需求自行测算投标报价；</w:t>
      </w:r>
      <w:r>
        <w:rPr>
          <w:rFonts w:hint="eastAsia" w:ascii="宋体" w:hAnsi="宋体"/>
          <w:color w:val="auto"/>
          <w:szCs w:val="21"/>
          <w:highlight w:val="none"/>
          <w:lang w:val="en-US" w:eastAsia="zh-CN"/>
        </w:rPr>
        <w:t>中标价即为合同暂定价，结算费用以项目财政评审审定为准，最终结算价控制在80万元以内。</w:t>
      </w:r>
    </w:p>
    <w:p>
      <w:pPr>
        <w:spacing w:line="440" w:lineRule="exact"/>
        <w:ind w:firstLine="417" w:firstLineChars="199"/>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w:t>
      </w:r>
      <w:r>
        <w:rPr>
          <w:rFonts w:hint="eastAsia" w:ascii="宋体" w:hAnsi="宋体"/>
          <w:color w:val="auto"/>
          <w:szCs w:val="21"/>
          <w:highlight w:val="none"/>
        </w:rPr>
        <w:t>投标人应充分了解项目的位置、情况、道路及任何其它足以影响投标报价的情况，任何因忽视或误解项目情况而导致的索赔或服务期限延长申请将不获批准。</w:t>
      </w:r>
    </w:p>
    <w:p>
      <w:pPr>
        <w:spacing w:line="440" w:lineRule="exact"/>
        <w:ind w:firstLine="417" w:firstLineChars="199"/>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“信用中国”、“中国政府采购网”、“深圳信用网”以及“深圳市政府采购监管网”为供应商信用信息的查询渠道，相关信息以开标当日的查询结果为准。</w:t>
      </w:r>
    </w:p>
    <w:p>
      <w:pPr>
        <w:ind w:firstLine="422" w:firstLineChars="200"/>
        <w:rPr>
          <w:color w:val="auto"/>
          <w:highlight w:val="none"/>
        </w:rPr>
      </w:pPr>
      <w:r>
        <w:rPr>
          <w:rFonts w:ascii="宋体" w:hAnsi="宋体"/>
          <w:b/>
          <w:color w:val="auto"/>
          <w:szCs w:val="21"/>
          <w:highlight w:val="none"/>
        </w:rPr>
        <w:br w:type="page"/>
      </w:r>
    </w:p>
    <w:p>
      <w:pPr>
        <w:jc w:val="center"/>
        <w:outlineLvl w:val="1"/>
        <w:rPr>
          <w:rFonts w:ascii="微软雅黑" w:hAnsi="微软雅黑" w:eastAsia="微软雅黑" w:cs="微软雅黑"/>
          <w:b/>
          <w:bCs/>
          <w:caps/>
          <w:color w:val="auto"/>
          <w:sz w:val="24"/>
          <w:szCs w:val="24"/>
          <w:highlight w:val="none"/>
        </w:rPr>
      </w:pPr>
      <w:bookmarkStart w:id="3" w:name="_Toc353262376"/>
      <w:bookmarkStart w:id="4" w:name="_Toc15840"/>
      <w:bookmarkStart w:id="5" w:name="_Toc333420706"/>
      <w:r>
        <w:rPr>
          <w:rFonts w:hint="eastAsia" w:ascii="微软雅黑" w:hAnsi="微软雅黑" w:eastAsia="微软雅黑" w:cs="微软雅黑"/>
          <w:b/>
          <w:bCs/>
          <w:caps/>
          <w:color w:val="auto"/>
          <w:sz w:val="24"/>
          <w:szCs w:val="24"/>
          <w:highlight w:val="none"/>
        </w:rPr>
        <w:t>第五节  投标</w:t>
      </w:r>
      <w:r>
        <w:rPr>
          <w:rFonts w:hint="eastAsia" w:ascii="微软雅黑" w:hAnsi="微软雅黑" w:eastAsia="微软雅黑" w:cs="微软雅黑"/>
          <w:b/>
          <w:bCs/>
          <w:color w:val="auto"/>
          <w:sz w:val="24"/>
          <w:szCs w:val="24"/>
          <w:highlight w:val="none"/>
        </w:rPr>
        <w:t>文件</w:t>
      </w:r>
      <w:r>
        <w:rPr>
          <w:rFonts w:hint="eastAsia" w:ascii="微软雅黑" w:hAnsi="微软雅黑" w:eastAsia="微软雅黑" w:cs="微软雅黑"/>
          <w:b/>
          <w:bCs/>
          <w:caps/>
          <w:color w:val="auto"/>
          <w:sz w:val="24"/>
          <w:szCs w:val="24"/>
          <w:highlight w:val="none"/>
        </w:rPr>
        <w:t>否决性条款摘要</w:t>
      </w:r>
      <w:bookmarkEnd w:id="3"/>
      <w:bookmarkEnd w:id="4"/>
      <w:bookmarkEnd w:id="5"/>
    </w:p>
    <w:p>
      <w:pPr>
        <w:spacing w:line="440" w:lineRule="exact"/>
        <w:ind w:firstLine="422" w:firstLineChars="200"/>
        <w:rPr>
          <w:rFonts w:ascii="宋体" w:hAnsi="宋体"/>
          <w:b/>
          <w:color w:val="auto"/>
          <w:szCs w:val="21"/>
          <w:highlight w:val="none"/>
        </w:rPr>
      </w:pPr>
      <w:r>
        <w:rPr>
          <w:rFonts w:ascii="宋体" w:hAnsi="宋体"/>
          <w:b/>
          <w:color w:val="auto"/>
          <w:highlight w:val="none"/>
        </w:rPr>
        <w:t>1、</w:t>
      </w:r>
      <w:r>
        <w:rPr>
          <w:rFonts w:ascii="宋体" w:hAnsi="宋体"/>
          <w:b/>
          <w:color w:val="auto"/>
          <w:szCs w:val="21"/>
          <w:highlight w:val="none"/>
        </w:rPr>
        <w:t>投标文件有下列情形之一的，不予受理：</w:t>
      </w:r>
    </w:p>
    <w:p>
      <w:pPr>
        <w:spacing w:line="440" w:lineRule="exact"/>
        <w:ind w:firstLine="420" w:firstLineChars="200"/>
        <w:rPr>
          <w:rFonts w:ascii="宋体" w:hAnsi="宋体"/>
          <w:color w:val="auto"/>
          <w:szCs w:val="21"/>
          <w:highlight w:val="none"/>
        </w:rPr>
      </w:pPr>
      <w:r>
        <w:rPr>
          <w:rFonts w:ascii="宋体" w:hAnsi="宋体"/>
          <w:color w:val="auto"/>
          <w:highlight w:val="none"/>
        </w:rPr>
        <w:t xml:space="preserve">1.1  </w:t>
      </w:r>
      <w:r>
        <w:rPr>
          <w:rFonts w:ascii="宋体" w:hAnsi="宋体"/>
          <w:color w:val="auto"/>
          <w:szCs w:val="21"/>
          <w:highlight w:val="none"/>
        </w:rPr>
        <w:t>在投标截止时间以后送达的，或者未送达指定地点的；</w:t>
      </w:r>
    </w:p>
    <w:p>
      <w:pPr>
        <w:spacing w:line="440" w:lineRule="exact"/>
        <w:ind w:firstLine="420" w:firstLineChars="200"/>
        <w:rPr>
          <w:rFonts w:ascii="宋体" w:hAnsi="宋体"/>
          <w:color w:val="auto"/>
          <w:highlight w:val="none"/>
        </w:rPr>
      </w:pPr>
      <w:r>
        <w:rPr>
          <w:rFonts w:ascii="宋体" w:hAnsi="宋体"/>
          <w:color w:val="auto"/>
          <w:highlight w:val="none"/>
        </w:rPr>
        <w:t xml:space="preserve">1.2  </w:t>
      </w:r>
      <w:r>
        <w:rPr>
          <w:rFonts w:hint="eastAsia" w:ascii="宋体" w:hAnsi="宋体"/>
          <w:color w:val="auto"/>
          <w:highlight w:val="none"/>
        </w:rPr>
        <w:t>投标文件未密封的；</w:t>
      </w:r>
    </w:p>
    <w:p>
      <w:pPr>
        <w:spacing w:line="440" w:lineRule="exact"/>
        <w:ind w:firstLine="420" w:firstLineChars="200"/>
        <w:rPr>
          <w:rFonts w:ascii="宋体" w:hAnsi="宋体"/>
          <w:b/>
          <w:color w:val="auto"/>
          <w:szCs w:val="21"/>
          <w:highlight w:val="none"/>
        </w:rPr>
      </w:pPr>
      <w:r>
        <w:rPr>
          <w:rFonts w:hint="eastAsia" w:ascii="宋体" w:hAnsi="宋体"/>
          <w:color w:val="auto"/>
          <w:highlight w:val="none"/>
        </w:rPr>
        <w:t xml:space="preserve">1.3  </w:t>
      </w:r>
      <w:r>
        <w:rPr>
          <w:rFonts w:ascii="宋体" w:hAnsi="宋体"/>
          <w:color w:val="auto"/>
          <w:szCs w:val="21"/>
          <w:highlight w:val="none"/>
        </w:rPr>
        <w:t>投标人的名称与</w:t>
      </w:r>
      <w:bookmarkStart w:id="6" w:name="_Toc76871384"/>
      <w:r>
        <w:rPr>
          <w:rFonts w:ascii="宋体" w:hAnsi="宋体"/>
          <w:color w:val="auto"/>
          <w:szCs w:val="21"/>
          <w:highlight w:val="none"/>
        </w:rPr>
        <w:t>购买招标文件时登记</w:t>
      </w:r>
      <w:bookmarkEnd w:id="6"/>
      <w:r>
        <w:rPr>
          <w:rFonts w:ascii="宋体" w:hAnsi="宋体"/>
          <w:color w:val="auto"/>
          <w:szCs w:val="21"/>
          <w:highlight w:val="none"/>
        </w:rPr>
        <w:t>的不一致的</w:t>
      </w:r>
      <w:r>
        <w:rPr>
          <w:rFonts w:hint="eastAsia" w:ascii="宋体" w:hAnsi="宋体"/>
          <w:color w:val="auto"/>
          <w:szCs w:val="21"/>
          <w:highlight w:val="none"/>
        </w:rPr>
        <w:t>或未在深咨电子交易系统登记下载招标文件的</w:t>
      </w:r>
      <w:r>
        <w:rPr>
          <w:rFonts w:ascii="宋体" w:hAnsi="宋体"/>
          <w:color w:val="auto"/>
          <w:szCs w:val="21"/>
          <w:highlight w:val="none"/>
        </w:rPr>
        <w:t>。</w:t>
      </w:r>
    </w:p>
    <w:p>
      <w:pPr>
        <w:spacing w:line="440" w:lineRule="exact"/>
        <w:ind w:firstLine="422" w:firstLineChars="200"/>
        <w:rPr>
          <w:rFonts w:ascii="宋体" w:hAnsi="宋体"/>
          <w:b/>
          <w:color w:val="auto"/>
          <w:szCs w:val="21"/>
          <w:highlight w:val="none"/>
        </w:rPr>
      </w:pPr>
      <w:r>
        <w:rPr>
          <w:rFonts w:ascii="宋体" w:hAnsi="宋体"/>
          <w:b/>
          <w:color w:val="auto"/>
          <w:highlight w:val="none"/>
        </w:rPr>
        <w:t>2</w:t>
      </w:r>
      <w:r>
        <w:rPr>
          <w:rFonts w:hint="eastAsia" w:ascii="宋体" w:hAnsi="宋体"/>
          <w:b/>
          <w:color w:val="auto"/>
          <w:highlight w:val="none"/>
        </w:rPr>
        <w:t>、</w:t>
      </w:r>
      <w:r>
        <w:rPr>
          <w:rFonts w:ascii="宋体" w:hAnsi="宋体"/>
          <w:b/>
          <w:color w:val="auto"/>
          <w:szCs w:val="21"/>
          <w:highlight w:val="none"/>
        </w:rPr>
        <w:t>投标文件有下列</w:t>
      </w:r>
      <w:r>
        <w:rPr>
          <w:rFonts w:hint="eastAsia" w:ascii="宋体" w:hAnsi="宋体"/>
          <w:b/>
          <w:color w:val="auto"/>
          <w:szCs w:val="21"/>
          <w:highlight w:val="none"/>
        </w:rPr>
        <w:t>情形之一的，按无效标处理：</w:t>
      </w:r>
    </w:p>
    <w:p>
      <w:pPr>
        <w:spacing w:line="440" w:lineRule="exact"/>
        <w:ind w:firstLine="420" w:firstLineChars="200"/>
        <w:rPr>
          <w:rFonts w:ascii="宋体" w:hAnsi="宋体"/>
          <w:color w:val="auto"/>
          <w:szCs w:val="21"/>
          <w:highlight w:val="none"/>
        </w:rPr>
      </w:pPr>
      <w:r>
        <w:rPr>
          <w:rFonts w:hint="eastAsia" w:ascii="宋体" w:hAnsi="宋体"/>
          <w:color w:val="auto"/>
          <w:highlight w:val="none"/>
        </w:rPr>
        <w:t xml:space="preserve">2.1  </w:t>
      </w:r>
      <w:r>
        <w:rPr>
          <w:rFonts w:hint="eastAsia" w:ascii="宋体" w:hAnsi="宋体"/>
          <w:color w:val="auto"/>
          <w:szCs w:val="21"/>
          <w:highlight w:val="none"/>
        </w:rPr>
        <w:t>投标人未按照招标文件的要求提供投标保证金的；</w:t>
      </w:r>
      <w:r>
        <w:rPr>
          <w:rFonts w:ascii="宋体" w:hAnsi="宋体"/>
          <w:color w:val="auto"/>
          <w:szCs w:val="21"/>
          <w:highlight w:val="none"/>
        </w:rPr>
        <w:t xml:space="preserve"> </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2.2  投标文件无法定代表人签字或盖章，或签字人无法定代表人有效授权委托书原件的；</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2.3  投标人资格条件不符合国家有关规定和招标文件要求；</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2.4  投标总价或分项报价超过预算控制金额的；</w:t>
      </w:r>
      <w:r>
        <w:rPr>
          <w:rFonts w:ascii="宋体" w:hAnsi="宋体"/>
          <w:color w:val="auto"/>
          <w:szCs w:val="21"/>
          <w:highlight w:val="none"/>
        </w:rPr>
        <w:t xml:space="preserve"> </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2.5  开标一览表出现无报价或报价为零或有选择性报价的；</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2.6  </w:t>
      </w:r>
      <w:r>
        <w:rPr>
          <w:rFonts w:hint="eastAsia" w:ascii="宋体" w:hAnsi="宋体"/>
          <w:color w:val="auto"/>
          <w:spacing w:val="-2"/>
          <w:szCs w:val="21"/>
          <w:highlight w:val="none"/>
        </w:rPr>
        <w:t>投标人以他人的名义投标、串通投标、以行贿手段谋取中标或者以其他弄虚作假方式投标；</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2.7  </w:t>
      </w:r>
      <w:r>
        <w:rPr>
          <w:rFonts w:hint="eastAsia" w:ascii="宋体" w:hAnsi="宋体"/>
          <w:color w:val="auto"/>
          <w:spacing w:val="-2"/>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2.8  投标人拒不按照要求对投标文件进行澄清、说明或者补正的；</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2.9  文件的关键内容字迹模糊、无法辨认的；</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2.10  投标函未按规定填写的；</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2.11  投标有效期不足的；</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2.12  </w:t>
      </w:r>
      <w:r>
        <w:rPr>
          <w:rFonts w:hint="eastAsia" w:ascii="宋体" w:hAnsi="宋体"/>
          <w:color w:val="auto"/>
          <w:spacing w:val="-6"/>
          <w:szCs w:val="21"/>
          <w:highlight w:val="none"/>
        </w:rPr>
        <w:t>投标人的投标未能在实质上响应招标文件提出的所有实质性要求和条件（不可偏离条款）的；</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2.13  </w:t>
      </w:r>
      <w:r>
        <w:rPr>
          <w:rFonts w:ascii="宋体" w:hAnsi="宋体"/>
          <w:color w:val="auto"/>
          <w:szCs w:val="21"/>
          <w:highlight w:val="none"/>
        </w:rPr>
        <w:t>投标报价有严重缺漏项目的</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2.14  联合体投标未附联合体各方共同投标协议的；联合体成员</w:t>
      </w:r>
      <w:r>
        <w:rPr>
          <w:rFonts w:ascii="宋体" w:hAnsi="宋体"/>
          <w:color w:val="auto"/>
          <w:szCs w:val="21"/>
          <w:highlight w:val="none"/>
        </w:rPr>
        <w:t>再以自己名义单独投标，</w:t>
      </w:r>
      <w:r>
        <w:rPr>
          <w:rFonts w:hint="eastAsia" w:ascii="宋体" w:hAnsi="宋体"/>
          <w:color w:val="auto"/>
          <w:szCs w:val="21"/>
          <w:highlight w:val="none"/>
        </w:rPr>
        <w:t>及</w:t>
      </w:r>
      <w:r>
        <w:rPr>
          <w:rFonts w:ascii="宋体" w:hAnsi="宋体"/>
          <w:color w:val="auto"/>
          <w:szCs w:val="21"/>
          <w:highlight w:val="none"/>
        </w:rPr>
        <w:t>组成或参加其他联合体在同一项目中投标</w:t>
      </w:r>
      <w:r>
        <w:rPr>
          <w:rFonts w:hint="eastAsia" w:ascii="宋体" w:hAnsi="宋体"/>
          <w:color w:val="auto"/>
          <w:szCs w:val="21"/>
          <w:highlight w:val="none"/>
        </w:rPr>
        <w:t>的；</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2.15  </w:t>
      </w:r>
      <w:r>
        <w:rPr>
          <w:rFonts w:ascii="宋体" w:hAnsi="宋体"/>
          <w:color w:val="auto"/>
          <w:szCs w:val="21"/>
          <w:highlight w:val="none"/>
        </w:rPr>
        <w:t>投标人递交两份或多份内容不同</w:t>
      </w:r>
      <w:r>
        <w:rPr>
          <w:rFonts w:hint="eastAsia" w:ascii="宋体" w:hAnsi="宋体"/>
          <w:color w:val="auto"/>
          <w:szCs w:val="21"/>
          <w:highlight w:val="none"/>
        </w:rPr>
        <w:t>投标方案（</w:t>
      </w:r>
      <w:r>
        <w:rPr>
          <w:rFonts w:ascii="宋体" w:hAnsi="宋体"/>
          <w:color w:val="auto"/>
          <w:szCs w:val="21"/>
          <w:highlight w:val="none"/>
        </w:rPr>
        <w:t>招标文件规定提交备选投标方案的除外</w:t>
      </w:r>
      <w:r>
        <w:rPr>
          <w:rFonts w:hint="eastAsia" w:ascii="宋体" w:hAnsi="宋体"/>
          <w:color w:val="auto"/>
          <w:szCs w:val="21"/>
          <w:highlight w:val="none"/>
        </w:rPr>
        <w:t>）</w:t>
      </w:r>
      <w:r>
        <w:rPr>
          <w:rFonts w:ascii="宋体" w:hAnsi="宋体"/>
          <w:color w:val="auto"/>
          <w:szCs w:val="21"/>
          <w:highlight w:val="none"/>
        </w:rPr>
        <w:t>；</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2.16  投标文件只对</w:t>
      </w:r>
      <w:r>
        <w:rPr>
          <w:rFonts w:ascii="宋体" w:hAnsi="宋体"/>
          <w:color w:val="auto"/>
          <w:szCs w:val="21"/>
          <w:highlight w:val="none"/>
        </w:rPr>
        <w:t>同一</w:t>
      </w:r>
      <w:r>
        <w:rPr>
          <w:rFonts w:hint="eastAsia" w:ascii="宋体" w:hAnsi="宋体"/>
          <w:color w:val="auto"/>
          <w:szCs w:val="21"/>
          <w:highlight w:val="none"/>
        </w:rPr>
        <w:t>项目</w:t>
      </w:r>
      <w:r>
        <w:rPr>
          <w:rFonts w:ascii="宋体" w:hAnsi="宋体"/>
          <w:color w:val="auto"/>
          <w:szCs w:val="21"/>
          <w:highlight w:val="none"/>
        </w:rPr>
        <w:t>包中的</w:t>
      </w:r>
      <w:r>
        <w:rPr>
          <w:rFonts w:hint="eastAsia" w:ascii="宋体" w:hAnsi="宋体"/>
          <w:color w:val="auto"/>
          <w:szCs w:val="21"/>
          <w:highlight w:val="none"/>
        </w:rPr>
        <w:t>部分</w:t>
      </w:r>
      <w:r>
        <w:rPr>
          <w:rFonts w:ascii="宋体" w:hAnsi="宋体"/>
          <w:color w:val="auto"/>
          <w:szCs w:val="21"/>
          <w:highlight w:val="none"/>
        </w:rPr>
        <w:t>内容</w:t>
      </w:r>
      <w:r>
        <w:rPr>
          <w:rFonts w:hint="eastAsia" w:ascii="宋体" w:hAnsi="宋体"/>
          <w:color w:val="auto"/>
          <w:szCs w:val="21"/>
          <w:highlight w:val="none"/>
        </w:rPr>
        <w:t>投标，或把</w:t>
      </w:r>
      <w:r>
        <w:rPr>
          <w:rFonts w:ascii="宋体" w:hAnsi="宋体"/>
          <w:color w:val="auto"/>
          <w:szCs w:val="21"/>
          <w:highlight w:val="none"/>
        </w:rPr>
        <w:t>同一</w:t>
      </w:r>
      <w:r>
        <w:rPr>
          <w:rFonts w:hint="eastAsia" w:ascii="宋体" w:hAnsi="宋体"/>
          <w:color w:val="auto"/>
          <w:szCs w:val="21"/>
          <w:highlight w:val="none"/>
        </w:rPr>
        <w:t>项目</w:t>
      </w:r>
      <w:r>
        <w:rPr>
          <w:rFonts w:ascii="宋体" w:hAnsi="宋体"/>
          <w:color w:val="auto"/>
          <w:szCs w:val="21"/>
          <w:highlight w:val="none"/>
        </w:rPr>
        <w:t>包中</w:t>
      </w:r>
      <w:r>
        <w:rPr>
          <w:rFonts w:hint="eastAsia" w:ascii="宋体" w:hAnsi="宋体"/>
          <w:color w:val="auto"/>
          <w:szCs w:val="21"/>
          <w:highlight w:val="none"/>
        </w:rPr>
        <w:t>的内容拆开的投标；</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2.17  评标委员会根据招标文件的规定对投标文件的计算错误进行修正，投标人不接受修正后的投标报价的；</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2.18  投标文件符合法律、法规及</w:t>
      </w:r>
      <w:r>
        <w:rPr>
          <w:rFonts w:hint="eastAsia" w:ascii="宋体" w:hAnsi="宋体"/>
          <w:color w:val="auto"/>
          <w:highlight w:val="none"/>
        </w:rPr>
        <w:t>招标文件中规定的其他否决因素的。</w:t>
      </w:r>
    </w:p>
    <w:p>
      <w:pPr>
        <w:rPr>
          <w:color w:val="auto"/>
          <w:highlight w:val="none"/>
        </w:rPr>
      </w:pPr>
      <w:r>
        <w:rPr>
          <w:rFonts w:ascii="黑体" w:hAnsi="宋体" w:eastAsia="黑体"/>
          <w:bCs/>
          <w:color w:val="auto"/>
          <w:sz w:val="24"/>
          <w:szCs w:val="24"/>
          <w:highlight w:val="none"/>
        </w:rPr>
        <w:br w:type="page"/>
      </w:r>
    </w:p>
    <w:p>
      <w:pPr>
        <w:jc w:val="center"/>
        <w:outlineLvl w:val="1"/>
        <w:rPr>
          <w:rFonts w:ascii="微软雅黑" w:hAnsi="微软雅黑" w:eastAsia="微软雅黑" w:cs="微软雅黑"/>
          <w:b/>
          <w:color w:val="auto"/>
          <w:sz w:val="24"/>
          <w:szCs w:val="24"/>
          <w:highlight w:val="none"/>
        </w:rPr>
      </w:pPr>
      <w:bookmarkStart w:id="7" w:name="_Toc921"/>
      <w:r>
        <w:rPr>
          <w:rFonts w:hint="eastAsia" w:ascii="微软雅黑" w:hAnsi="微软雅黑" w:eastAsia="微软雅黑" w:cs="微软雅黑"/>
          <w:b/>
          <w:color w:val="auto"/>
          <w:sz w:val="24"/>
          <w:szCs w:val="24"/>
          <w:highlight w:val="none"/>
        </w:rPr>
        <w:t>第六节  评标方法及程序</w:t>
      </w:r>
      <w:bookmarkEnd w:id="7"/>
    </w:p>
    <w:p>
      <w:pPr>
        <w:spacing w:line="36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一、本项目评标及定标方法</w:t>
      </w:r>
    </w:p>
    <w:tbl>
      <w:tblPr>
        <w:tblStyle w:val="5"/>
        <w:tblW w:w="921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5"/>
        <w:gridCol w:w="1770"/>
        <w:gridCol w:w="6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tblHeader/>
          <w:jc w:val="center"/>
        </w:trPr>
        <w:tc>
          <w:tcPr>
            <w:tcW w:w="785" w:type="dxa"/>
            <w:noWrap w:val="0"/>
            <w:vAlign w:val="center"/>
          </w:tcPr>
          <w:p>
            <w:pPr>
              <w:spacing w:line="440" w:lineRule="exact"/>
              <w:jc w:val="center"/>
              <w:rPr>
                <w:rFonts w:ascii="宋体" w:hAnsi="宋体"/>
                <w:b/>
                <w:bCs/>
                <w:color w:val="auto"/>
                <w:szCs w:val="21"/>
                <w:highlight w:val="none"/>
              </w:rPr>
            </w:pPr>
            <w:r>
              <w:rPr>
                <w:rFonts w:hint="eastAsia" w:ascii="宋体" w:hAnsi="宋体"/>
                <w:b/>
                <w:bCs/>
                <w:color w:val="auto"/>
                <w:szCs w:val="21"/>
                <w:highlight w:val="none"/>
              </w:rPr>
              <w:t>序号</w:t>
            </w:r>
          </w:p>
        </w:tc>
        <w:tc>
          <w:tcPr>
            <w:tcW w:w="1770" w:type="dxa"/>
            <w:noWrap w:val="0"/>
            <w:vAlign w:val="center"/>
          </w:tcPr>
          <w:p>
            <w:pPr>
              <w:spacing w:line="440" w:lineRule="exact"/>
              <w:jc w:val="center"/>
              <w:rPr>
                <w:rFonts w:ascii="宋体" w:hAnsi="宋体"/>
                <w:b/>
                <w:bCs/>
                <w:color w:val="auto"/>
                <w:szCs w:val="21"/>
                <w:highlight w:val="none"/>
              </w:rPr>
            </w:pPr>
            <w:r>
              <w:rPr>
                <w:rFonts w:hint="eastAsia" w:ascii="宋体" w:hAnsi="宋体"/>
                <w:b/>
                <w:bCs/>
                <w:color w:val="auto"/>
                <w:szCs w:val="21"/>
                <w:highlight w:val="none"/>
              </w:rPr>
              <w:t>项目</w:t>
            </w:r>
          </w:p>
        </w:tc>
        <w:tc>
          <w:tcPr>
            <w:tcW w:w="6660" w:type="dxa"/>
            <w:noWrap w:val="0"/>
            <w:vAlign w:val="center"/>
          </w:tcPr>
          <w:p>
            <w:pPr>
              <w:spacing w:line="440" w:lineRule="exact"/>
              <w:jc w:val="center"/>
              <w:rPr>
                <w:rFonts w:ascii="宋体" w:hAnsi="宋体"/>
                <w:b/>
                <w:bCs/>
                <w:color w:val="auto"/>
                <w:szCs w:val="21"/>
                <w:highlight w:val="none"/>
              </w:rPr>
            </w:pPr>
            <w:r>
              <w:rPr>
                <w:rFonts w:hint="eastAsia" w:ascii="宋体" w:hAnsi="宋体"/>
                <w:b/>
                <w:bCs/>
                <w:color w:val="auto"/>
                <w:szCs w:val="21"/>
                <w:highlight w:val="none"/>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785" w:type="dxa"/>
            <w:noWrap w:val="0"/>
            <w:vAlign w:val="center"/>
          </w:tcPr>
          <w:p>
            <w:pPr>
              <w:spacing w:line="440" w:lineRule="exact"/>
              <w:jc w:val="center"/>
              <w:rPr>
                <w:rFonts w:ascii="宋体" w:hAnsi="宋体"/>
                <w:bCs/>
                <w:color w:val="auto"/>
                <w:szCs w:val="21"/>
                <w:highlight w:val="none"/>
              </w:rPr>
            </w:pPr>
            <w:r>
              <w:rPr>
                <w:rFonts w:hint="eastAsia" w:ascii="宋体" w:hAnsi="宋体"/>
                <w:bCs/>
                <w:color w:val="auto"/>
                <w:szCs w:val="21"/>
                <w:highlight w:val="none"/>
              </w:rPr>
              <w:t>1</w:t>
            </w:r>
          </w:p>
        </w:tc>
        <w:tc>
          <w:tcPr>
            <w:tcW w:w="1770" w:type="dxa"/>
            <w:noWrap w:val="0"/>
            <w:vAlign w:val="center"/>
          </w:tcPr>
          <w:p>
            <w:pPr>
              <w:spacing w:line="440" w:lineRule="exact"/>
              <w:rPr>
                <w:rFonts w:ascii="宋体" w:hAnsi="宋体"/>
                <w:bCs/>
                <w:color w:val="auto"/>
                <w:szCs w:val="21"/>
                <w:highlight w:val="none"/>
              </w:rPr>
            </w:pPr>
            <w:r>
              <w:rPr>
                <w:rFonts w:hint="eastAsia" w:ascii="宋体" w:hAnsi="宋体"/>
                <w:bCs/>
                <w:color w:val="auto"/>
                <w:szCs w:val="21"/>
                <w:highlight w:val="none"/>
              </w:rPr>
              <w:t>定标方式</w:t>
            </w:r>
          </w:p>
        </w:tc>
        <w:tc>
          <w:tcPr>
            <w:tcW w:w="6660" w:type="dxa"/>
            <w:noWrap w:val="0"/>
            <w:vAlign w:val="center"/>
          </w:tcPr>
          <w:p>
            <w:pPr>
              <w:spacing w:line="440" w:lineRule="exact"/>
              <w:rPr>
                <w:rFonts w:ascii="宋体" w:hAnsi="宋体"/>
                <w:b/>
                <w:bCs/>
                <w:color w:val="auto"/>
                <w:szCs w:val="21"/>
                <w:highlight w:val="none"/>
              </w:rPr>
            </w:pPr>
            <w:r>
              <w:rPr>
                <w:rFonts w:hint="eastAsia" w:ascii="MS Mincho" w:hAnsi="MS Mincho" w:cs="MS Mincho"/>
                <w:snapToGrid w:val="0"/>
                <w:color w:val="auto"/>
                <w:kern w:val="0"/>
                <w:szCs w:val="21"/>
                <w:highlight w:val="none"/>
              </w:rPr>
              <w:t xml:space="preserve">■ </w:t>
            </w:r>
            <w:r>
              <w:rPr>
                <w:rFonts w:hint="eastAsia" w:ascii="宋体" w:hAnsi="宋体"/>
                <w:color w:val="auto"/>
                <w:szCs w:val="21"/>
                <w:highlight w:val="none"/>
              </w:rPr>
              <w:t xml:space="preserve">授权评标委员会确定中标单位   </w:t>
            </w:r>
            <w:r>
              <w:rPr>
                <w:rFonts w:hint="eastAsia" w:ascii="宋体" w:hAnsi="宋体"/>
                <w:snapToGrid w:val="0"/>
                <w:color w:val="auto"/>
                <w:kern w:val="0"/>
                <w:szCs w:val="21"/>
                <w:highlight w:val="none"/>
              </w:rPr>
              <w:t xml:space="preserve">□ </w:t>
            </w:r>
            <w:r>
              <w:rPr>
                <w:rFonts w:hint="eastAsia" w:ascii="Calibri" w:hAnsi="Calibri"/>
                <w:color w:val="auto"/>
                <w:szCs w:val="22"/>
                <w:highlight w:val="none"/>
              </w:rPr>
              <w:t>评标和定标分离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785" w:type="dxa"/>
            <w:noWrap w:val="0"/>
            <w:vAlign w:val="center"/>
          </w:tcPr>
          <w:p>
            <w:pPr>
              <w:spacing w:line="440" w:lineRule="exact"/>
              <w:jc w:val="center"/>
              <w:rPr>
                <w:rFonts w:ascii="宋体" w:hAnsi="宋体"/>
                <w:bCs/>
                <w:color w:val="auto"/>
                <w:szCs w:val="21"/>
                <w:highlight w:val="none"/>
              </w:rPr>
            </w:pPr>
            <w:r>
              <w:rPr>
                <w:rFonts w:hint="eastAsia" w:ascii="宋体" w:hAnsi="宋体"/>
                <w:bCs/>
                <w:color w:val="auto"/>
                <w:szCs w:val="21"/>
                <w:highlight w:val="none"/>
              </w:rPr>
              <w:t>2</w:t>
            </w:r>
          </w:p>
        </w:tc>
        <w:tc>
          <w:tcPr>
            <w:tcW w:w="1770" w:type="dxa"/>
            <w:noWrap w:val="0"/>
            <w:vAlign w:val="center"/>
          </w:tcPr>
          <w:p>
            <w:pPr>
              <w:spacing w:line="440" w:lineRule="exact"/>
              <w:rPr>
                <w:rFonts w:ascii="宋体" w:hAnsi="宋体"/>
                <w:bCs/>
                <w:color w:val="auto"/>
                <w:szCs w:val="21"/>
                <w:highlight w:val="none"/>
              </w:rPr>
            </w:pPr>
            <w:r>
              <w:rPr>
                <w:rFonts w:hint="eastAsia" w:ascii="宋体" w:hAnsi="宋体"/>
                <w:bCs/>
                <w:color w:val="auto"/>
                <w:szCs w:val="21"/>
                <w:highlight w:val="none"/>
              </w:rPr>
              <w:t>评标方法</w:t>
            </w:r>
          </w:p>
        </w:tc>
        <w:tc>
          <w:tcPr>
            <w:tcW w:w="6660" w:type="dxa"/>
            <w:noWrap w:val="0"/>
            <w:vAlign w:val="center"/>
          </w:tcPr>
          <w:p>
            <w:pPr>
              <w:spacing w:line="440" w:lineRule="exact"/>
              <w:rPr>
                <w:rFonts w:ascii="宋体" w:hAnsi="宋体"/>
                <w:b/>
                <w:bCs/>
                <w:color w:val="auto"/>
                <w:szCs w:val="21"/>
                <w:highlight w:val="none"/>
              </w:rPr>
            </w:pPr>
            <w:r>
              <w:rPr>
                <w:rFonts w:hint="eastAsia" w:ascii="MS Mincho" w:hAnsi="MS Mincho" w:cs="MS Mincho"/>
                <w:snapToGrid w:val="0"/>
                <w:color w:val="auto"/>
                <w:kern w:val="0"/>
                <w:szCs w:val="21"/>
                <w:highlight w:val="none"/>
              </w:rPr>
              <w:t xml:space="preserve">■ </w:t>
            </w:r>
            <w:r>
              <w:rPr>
                <w:rFonts w:hint="eastAsia" w:ascii="宋体" w:hAnsi="宋体"/>
                <w:color w:val="auto"/>
                <w:szCs w:val="21"/>
                <w:highlight w:val="none"/>
              </w:rPr>
              <w:t xml:space="preserve">综合评分法    </w:t>
            </w:r>
            <w:r>
              <w:rPr>
                <w:rFonts w:ascii="宋体" w:hAnsi="宋体"/>
                <w:color w:val="auto"/>
                <w:szCs w:val="21"/>
                <w:highlight w:val="none"/>
              </w:rPr>
              <w:t xml:space="preserve">               </w:t>
            </w:r>
            <w:r>
              <w:rPr>
                <w:rFonts w:hint="eastAsia" w:ascii="宋体" w:hAnsi="宋体"/>
                <w:snapToGrid w:val="0"/>
                <w:color w:val="auto"/>
                <w:kern w:val="0"/>
                <w:szCs w:val="21"/>
                <w:highlight w:val="none"/>
              </w:rPr>
              <w:t xml:space="preserve">□ </w:t>
            </w:r>
            <w:r>
              <w:rPr>
                <w:rFonts w:hint="eastAsia" w:ascii="Calibri" w:hAnsi="Calibri"/>
                <w:color w:val="auto"/>
                <w:szCs w:val="21"/>
                <w:highlight w:val="none"/>
              </w:rPr>
              <w:t>最低价法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785" w:type="dxa"/>
            <w:noWrap w:val="0"/>
            <w:vAlign w:val="center"/>
          </w:tcPr>
          <w:p>
            <w:pPr>
              <w:spacing w:line="440" w:lineRule="exact"/>
              <w:jc w:val="center"/>
              <w:rPr>
                <w:rFonts w:ascii="宋体" w:hAnsi="宋体"/>
                <w:bCs/>
                <w:color w:val="auto"/>
                <w:szCs w:val="21"/>
                <w:highlight w:val="none"/>
              </w:rPr>
            </w:pPr>
            <w:r>
              <w:rPr>
                <w:rFonts w:ascii="宋体" w:hAnsi="宋体"/>
                <w:bCs/>
                <w:color w:val="auto"/>
                <w:szCs w:val="21"/>
                <w:highlight w:val="none"/>
              </w:rPr>
              <w:t>3</w:t>
            </w:r>
          </w:p>
        </w:tc>
        <w:tc>
          <w:tcPr>
            <w:tcW w:w="1770" w:type="dxa"/>
            <w:noWrap w:val="0"/>
            <w:vAlign w:val="center"/>
          </w:tcPr>
          <w:p>
            <w:pPr>
              <w:spacing w:line="440" w:lineRule="exact"/>
              <w:rPr>
                <w:rFonts w:ascii="宋体" w:hAnsi="宋体"/>
                <w:bCs/>
                <w:color w:val="auto"/>
                <w:szCs w:val="21"/>
                <w:highlight w:val="none"/>
              </w:rPr>
            </w:pPr>
            <w:r>
              <w:rPr>
                <w:rFonts w:hint="eastAsia" w:ascii="宋体" w:hAnsi="宋体"/>
                <w:bCs/>
                <w:color w:val="auto"/>
                <w:szCs w:val="21"/>
                <w:highlight w:val="none"/>
              </w:rPr>
              <w:t>价格评审优惠政策</w:t>
            </w:r>
          </w:p>
        </w:tc>
        <w:tc>
          <w:tcPr>
            <w:tcW w:w="6660" w:type="dxa"/>
            <w:noWrap w:val="0"/>
            <w:vAlign w:val="center"/>
          </w:tcPr>
          <w:p>
            <w:pPr>
              <w:spacing w:line="440" w:lineRule="exact"/>
              <w:rPr>
                <w:rFonts w:ascii="宋体" w:hAnsi="宋体" w:cs="宋体"/>
                <w:color w:val="auto"/>
                <w:szCs w:val="22"/>
                <w:highlight w:val="none"/>
              </w:rPr>
            </w:pPr>
            <w:r>
              <w:rPr>
                <w:rFonts w:hint="eastAsia" w:ascii="宋体" w:hAnsi="宋体" w:cs="宋体"/>
                <w:color w:val="auto"/>
                <w:szCs w:val="22"/>
                <w:highlight w:val="none"/>
              </w:rPr>
              <w:t>1、小型企业、微型企业、监狱企业、残疾人福利性单位承接服务，对其价格给予</w:t>
            </w:r>
            <w:r>
              <w:rPr>
                <w:rFonts w:hint="eastAsia" w:ascii="宋体" w:hAnsi="宋体" w:cs="宋体"/>
                <w:color w:val="auto"/>
                <w:szCs w:val="22"/>
                <w:highlight w:val="none"/>
                <w:u w:val="single"/>
              </w:rPr>
              <w:t xml:space="preserve"> 10 </w:t>
            </w:r>
            <w:r>
              <w:rPr>
                <w:rFonts w:hint="eastAsia" w:ascii="宋体" w:hAnsi="宋体" w:cs="宋体"/>
                <w:color w:val="auto"/>
                <w:szCs w:val="22"/>
                <w:highlight w:val="none"/>
              </w:rPr>
              <w:t>%（10%-20%）的扣除，用扣除后的价格参与评审。满足多项优惠政策的企业，不重复享受多项价格扣除政策。</w:t>
            </w:r>
          </w:p>
          <w:p>
            <w:pPr>
              <w:spacing w:line="440" w:lineRule="exact"/>
              <w:rPr>
                <w:rFonts w:ascii="宋体" w:hAnsi="宋体" w:cs="宋体"/>
                <w:color w:val="auto"/>
                <w:szCs w:val="22"/>
                <w:highlight w:val="none"/>
              </w:rPr>
            </w:pPr>
            <w:r>
              <w:rPr>
                <w:rFonts w:hint="eastAsia" w:ascii="宋体" w:hAnsi="宋体" w:cs="宋体"/>
                <w:color w:val="auto"/>
                <w:szCs w:val="22"/>
                <w:highlight w:val="none"/>
              </w:rPr>
              <w:t>2、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扣除，用扣除后的价格参加评审。联合体各方均为小微企业的，价格扣除比例为10%。</w:t>
            </w:r>
          </w:p>
          <w:p>
            <w:pPr>
              <w:spacing w:line="440" w:lineRule="exact"/>
              <w:rPr>
                <w:rFonts w:ascii="宋体" w:hAnsi="宋体"/>
                <w:b/>
                <w:bCs/>
                <w:color w:val="auto"/>
                <w:szCs w:val="21"/>
                <w:highlight w:val="none"/>
              </w:rPr>
            </w:pPr>
            <w:r>
              <w:rPr>
                <w:rFonts w:hint="eastAsia" w:ascii="宋体" w:hAnsi="宋体" w:cs="宋体"/>
                <w:color w:val="auto"/>
                <w:szCs w:val="22"/>
                <w:highlight w:val="none"/>
              </w:rPr>
              <w:t>3、优惠主体资格的认定资料为《中小企业声明函》《残疾人福利性单位声明函》《监狱企业声明函》等承诺性质的资料（声明函样式见“第五章 投标文件格式”）；监狱企业如需享受优惠政策，除上述资料外，还须提供省级以上监狱管理局、戒毒管理局出具的监狱企业证明文件。</w:t>
            </w:r>
          </w:p>
        </w:tc>
      </w:tr>
    </w:tbl>
    <w:p>
      <w:pPr>
        <w:spacing w:line="44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备注：</w:t>
      </w:r>
      <w:r>
        <w:rPr>
          <w:rFonts w:hint="eastAsia" w:ascii="宋体" w:hAnsi="宋体"/>
          <w:snapToGrid w:val="0"/>
          <w:color w:val="auto"/>
          <w:kern w:val="0"/>
          <w:szCs w:val="21"/>
          <w:highlight w:val="none"/>
        </w:rPr>
        <w:t>用“</w:t>
      </w:r>
      <w:r>
        <w:rPr>
          <w:rFonts w:hint="eastAsia" w:ascii="MS Mincho" w:hAnsi="MS Mincho" w:cs="MS Mincho"/>
          <w:snapToGrid w:val="0"/>
          <w:color w:val="auto"/>
          <w:kern w:val="0"/>
          <w:szCs w:val="21"/>
          <w:highlight w:val="none"/>
        </w:rPr>
        <w:t>■</w:t>
      </w:r>
      <w:r>
        <w:rPr>
          <w:rFonts w:hint="eastAsia" w:ascii="宋体" w:hAnsi="宋体"/>
          <w:snapToGrid w:val="0"/>
          <w:color w:val="auto"/>
          <w:kern w:val="0"/>
          <w:szCs w:val="21"/>
          <w:highlight w:val="none"/>
        </w:rPr>
        <w:t>”标识时表明该选项被采购人选用，用“□”标识时表明该选项未被采购人选用。</w:t>
      </w:r>
    </w:p>
    <w:p>
      <w:pPr>
        <w:spacing w:line="44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二、本项目评标信息</w:t>
      </w:r>
    </w:p>
    <w:p>
      <w:pPr>
        <w:spacing w:line="44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1、</w:t>
      </w:r>
      <w:r>
        <w:rPr>
          <w:rFonts w:ascii="宋体" w:hAnsi="宋体"/>
          <w:b/>
          <w:bCs/>
          <w:color w:val="auto"/>
          <w:szCs w:val="21"/>
          <w:highlight w:val="none"/>
        </w:rPr>
        <w:t>符合性检查表</w:t>
      </w:r>
    </w:p>
    <w:tbl>
      <w:tblPr>
        <w:tblStyle w:val="5"/>
        <w:tblW w:w="92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6706"/>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1012" w:type="dxa"/>
            <w:noWrap w:val="0"/>
            <w:vAlign w:val="center"/>
          </w:tcPr>
          <w:p>
            <w:pPr>
              <w:spacing w:line="440" w:lineRule="exact"/>
              <w:jc w:val="center"/>
              <w:rPr>
                <w:rFonts w:ascii="宋体" w:hAnsi="宋体"/>
                <w:b/>
                <w:color w:val="auto"/>
                <w:highlight w:val="none"/>
              </w:rPr>
            </w:pPr>
            <w:r>
              <w:rPr>
                <w:rFonts w:ascii="宋体" w:hAnsi="宋体"/>
                <w:b/>
                <w:color w:val="auto"/>
                <w:highlight w:val="none"/>
              </w:rPr>
              <w:t>序号</w:t>
            </w:r>
          </w:p>
        </w:tc>
        <w:tc>
          <w:tcPr>
            <w:tcW w:w="6706" w:type="dxa"/>
            <w:noWrap w:val="0"/>
            <w:vAlign w:val="center"/>
          </w:tcPr>
          <w:p>
            <w:pPr>
              <w:spacing w:line="440" w:lineRule="exact"/>
              <w:ind w:left="-828" w:firstLine="828"/>
              <w:jc w:val="center"/>
              <w:rPr>
                <w:rFonts w:ascii="宋体" w:hAnsi="宋体"/>
                <w:b/>
                <w:color w:val="auto"/>
                <w:sz w:val="24"/>
                <w:highlight w:val="none"/>
              </w:rPr>
            </w:pPr>
            <w:r>
              <w:rPr>
                <w:rFonts w:ascii="宋体" w:hAnsi="宋体"/>
                <w:b/>
                <w:color w:val="auto"/>
                <w:highlight w:val="none"/>
              </w:rPr>
              <w:t>评议内容</w:t>
            </w:r>
          </w:p>
        </w:tc>
        <w:tc>
          <w:tcPr>
            <w:tcW w:w="1497" w:type="dxa"/>
            <w:noWrap w:val="0"/>
            <w:vAlign w:val="center"/>
          </w:tcPr>
          <w:p>
            <w:pPr>
              <w:spacing w:line="440" w:lineRule="exact"/>
              <w:ind w:left="44" w:hanging="44"/>
              <w:jc w:val="center"/>
              <w:rPr>
                <w:rFonts w:ascii="宋体" w:hAnsi="宋体"/>
                <w:b/>
                <w:color w:val="auto"/>
                <w:sz w:val="24"/>
                <w:highlight w:val="none"/>
              </w:rPr>
            </w:pPr>
            <w:r>
              <w:rPr>
                <w:rFonts w:ascii="宋体" w:hAnsi="宋体"/>
                <w:b/>
                <w:color w:val="auto"/>
                <w:highlight w:val="none"/>
              </w:rPr>
              <w:t>评议结果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12" w:type="dxa"/>
            <w:noWrap w:val="0"/>
            <w:vAlign w:val="center"/>
          </w:tcPr>
          <w:p>
            <w:pPr>
              <w:spacing w:line="440" w:lineRule="exact"/>
              <w:ind w:left="57"/>
              <w:jc w:val="center"/>
              <w:rPr>
                <w:rFonts w:ascii="宋体" w:hAnsi="宋体"/>
                <w:color w:val="auto"/>
                <w:highlight w:val="none"/>
              </w:rPr>
            </w:pPr>
            <w:r>
              <w:rPr>
                <w:rFonts w:hint="eastAsia" w:ascii="宋体" w:hAnsi="宋体"/>
                <w:color w:val="auto"/>
                <w:highlight w:val="none"/>
              </w:rPr>
              <w:t>1</w:t>
            </w:r>
          </w:p>
        </w:tc>
        <w:tc>
          <w:tcPr>
            <w:tcW w:w="6706" w:type="dxa"/>
            <w:noWrap w:val="0"/>
            <w:vAlign w:val="center"/>
          </w:tcPr>
          <w:p>
            <w:pPr>
              <w:spacing w:line="440" w:lineRule="exact"/>
              <w:rPr>
                <w:rFonts w:ascii="宋体" w:hAnsi="宋体"/>
                <w:color w:val="auto"/>
                <w:sz w:val="24"/>
                <w:highlight w:val="none"/>
              </w:rPr>
            </w:pPr>
            <w:r>
              <w:rPr>
                <w:rFonts w:hint="eastAsia" w:hAnsi="宋体"/>
                <w:color w:val="auto"/>
                <w:szCs w:val="21"/>
                <w:highlight w:val="none"/>
              </w:rPr>
              <w:t>按照招标文件的格式详细填写“投标函”</w:t>
            </w:r>
          </w:p>
        </w:tc>
        <w:tc>
          <w:tcPr>
            <w:tcW w:w="1497" w:type="dxa"/>
            <w:noWrap w:val="0"/>
            <w:vAlign w:val="center"/>
          </w:tcPr>
          <w:p>
            <w:pPr>
              <w:spacing w:line="440" w:lineRule="exact"/>
              <w:jc w:val="center"/>
              <w:rPr>
                <w:rFonts w:ascii="宋体" w:hAnsi="宋体"/>
                <w:color w:val="auto"/>
                <w:szCs w:val="21"/>
                <w:highlight w:val="none"/>
              </w:rPr>
            </w:pPr>
            <w:r>
              <w:rPr>
                <w:rFonts w:ascii="宋体" w:hAnsi="宋体"/>
                <w:color w:val="auto"/>
                <w:szCs w:val="21"/>
                <w:highlight w:val="none"/>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12" w:type="dxa"/>
            <w:noWrap w:val="0"/>
            <w:vAlign w:val="center"/>
          </w:tcPr>
          <w:p>
            <w:pPr>
              <w:spacing w:line="440" w:lineRule="exact"/>
              <w:ind w:left="57"/>
              <w:jc w:val="center"/>
              <w:rPr>
                <w:rFonts w:ascii="宋体" w:hAnsi="宋体"/>
                <w:color w:val="auto"/>
                <w:highlight w:val="none"/>
              </w:rPr>
            </w:pPr>
            <w:r>
              <w:rPr>
                <w:rFonts w:hint="eastAsia" w:ascii="宋体" w:hAnsi="宋体"/>
                <w:color w:val="auto"/>
                <w:highlight w:val="none"/>
              </w:rPr>
              <w:t>2</w:t>
            </w:r>
          </w:p>
        </w:tc>
        <w:tc>
          <w:tcPr>
            <w:tcW w:w="6706" w:type="dxa"/>
            <w:noWrap w:val="0"/>
            <w:vAlign w:val="center"/>
          </w:tcPr>
          <w:p>
            <w:pPr>
              <w:spacing w:line="440" w:lineRule="exact"/>
              <w:rPr>
                <w:rFonts w:ascii="宋体" w:hAnsi="宋体"/>
                <w:color w:val="auto"/>
                <w:highlight w:val="none"/>
              </w:rPr>
            </w:pPr>
            <w:r>
              <w:rPr>
                <w:rFonts w:hint="eastAsia" w:hAnsi="宋体"/>
                <w:color w:val="auto"/>
                <w:szCs w:val="21"/>
                <w:highlight w:val="none"/>
              </w:rPr>
              <w:t>按照招标文件的格式详细填写“</w:t>
            </w:r>
            <w:r>
              <w:rPr>
                <w:rFonts w:hint="eastAsia" w:ascii="宋体" w:hAnsi="宋体"/>
                <w:color w:val="auto"/>
                <w:highlight w:val="none"/>
              </w:rPr>
              <w:t>政府采购投标及履约承诺函</w:t>
            </w:r>
            <w:r>
              <w:rPr>
                <w:rFonts w:hint="eastAsia" w:hAnsi="宋体"/>
                <w:color w:val="auto"/>
                <w:szCs w:val="21"/>
                <w:highlight w:val="none"/>
              </w:rPr>
              <w:t>”</w:t>
            </w:r>
          </w:p>
        </w:tc>
        <w:tc>
          <w:tcPr>
            <w:tcW w:w="1497" w:type="dxa"/>
            <w:noWrap w:val="0"/>
            <w:vAlign w:val="center"/>
          </w:tcPr>
          <w:p>
            <w:pPr>
              <w:spacing w:line="440" w:lineRule="exact"/>
              <w:jc w:val="center"/>
              <w:rPr>
                <w:rFonts w:ascii="宋体" w:hAnsi="宋体"/>
                <w:color w:val="auto"/>
                <w:szCs w:val="21"/>
                <w:highlight w:val="none"/>
              </w:rPr>
            </w:pPr>
            <w:r>
              <w:rPr>
                <w:rFonts w:ascii="宋体" w:hAnsi="宋体"/>
                <w:color w:val="auto"/>
                <w:szCs w:val="21"/>
                <w:highlight w:val="none"/>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12" w:type="dxa"/>
            <w:noWrap w:val="0"/>
            <w:vAlign w:val="center"/>
          </w:tcPr>
          <w:p>
            <w:pPr>
              <w:spacing w:line="440" w:lineRule="exact"/>
              <w:ind w:left="57"/>
              <w:jc w:val="center"/>
              <w:rPr>
                <w:rFonts w:ascii="宋体" w:hAnsi="宋体"/>
                <w:color w:val="auto"/>
                <w:highlight w:val="none"/>
              </w:rPr>
            </w:pPr>
            <w:r>
              <w:rPr>
                <w:rFonts w:hint="eastAsia" w:ascii="宋体" w:hAnsi="宋体"/>
                <w:color w:val="auto"/>
                <w:highlight w:val="none"/>
              </w:rPr>
              <w:t>3</w:t>
            </w:r>
          </w:p>
        </w:tc>
        <w:tc>
          <w:tcPr>
            <w:tcW w:w="6706" w:type="dxa"/>
            <w:noWrap w:val="0"/>
            <w:vAlign w:val="center"/>
          </w:tcPr>
          <w:p>
            <w:pPr>
              <w:spacing w:line="440" w:lineRule="exact"/>
              <w:rPr>
                <w:rFonts w:ascii="宋体" w:hAnsi="宋体"/>
                <w:color w:val="auto"/>
                <w:highlight w:val="none"/>
              </w:rPr>
            </w:pPr>
            <w:r>
              <w:rPr>
                <w:rFonts w:hint="eastAsia" w:ascii="宋体" w:hAnsi="宋体"/>
                <w:color w:val="auto"/>
                <w:highlight w:val="none"/>
              </w:rPr>
              <w:t>开标一览表未出现无报价、报价为零或有选择性报价</w:t>
            </w:r>
          </w:p>
        </w:tc>
        <w:tc>
          <w:tcPr>
            <w:tcW w:w="1497" w:type="dxa"/>
            <w:noWrap w:val="0"/>
            <w:vAlign w:val="center"/>
          </w:tcPr>
          <w:p>
            <w:pPr>
              <w:spacing w:line="440" w:lineRule="exact"/>
              <w:jc w:val="center"/>
              <w:rPr>
                <w:rFonts w:ascii="宋体" w:hAnsi="宋体"/>
                <w:color w:val="auto"/>
                <w:szCs w:val="21"/>
                <w:highlight w:val="none"/>
              </w:rPr>
            </w:pPr>
            <w:r>
              <w:rPr>
                <w:rFonts w:ascii="宋体" w:hAnsi="宋体"/>
                <w:color w:val="auto"/>
                <w:szCs w:val="21"/>
                <w:highlight w:val="none"/>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12" w:type="dxa"/>
            <w:noWrap w:val="0"/>
            <w:vAlign w:val="center"/>
          </w:tcPr>
          <w:p>
            <w:pPr>
              <w:spacing w:line="440" w:lineRule="exact"/>
              <w:ind w:left="57"/>
              <w:jc w:val="center"/>
              <w:rPr>
                <w:rFonts w:ascii="宋体" w:hAnsi="宋体"/>
                <w:color w:val="auto"/>
                <w:highlight w:val="none"/>
              </w:rPr>
            </w:pPr>
            <w:r>
              <w:rPr>
                <w:rFonts w:hint="eastAsia" w:ascii="宋体" w:hAnsi="宋体"/>
                <w:color w:val="auto"/>
                <w:highlight w:val="none"/>
              </w:rPr>
              <w:t>4</w:t>
            </w:r>
          </w:p>
        </w:tc>
        <w:tc>
          <w:tcPr>
            <w:tcW w:w="6706" w:type="dxa"/>
            <w:noWrap w:val="0"/>
            <w:vAlign w:val="center"/>
          </w:tcPr>
          <w:p>
            <w:pPr>
              <w:spacing w:line="440" w:lineRule="exact"/>
              <w:rPr>
                <w:rFonts w:ascii="宋体" w:hAnsi="宋体"/>
                <w:color w:val="auto"/>
                <w:highlight w:val="none"/>
              </w:rPr>
            </w:pPr>
            <w:r>
              <w:rPr>
                <w:rFonts w:hint="eastAsia" w:ascii="宋体" w:hAnsi="宋体"/>
                <w:color w:val="auto"/>
                <w:highlight w:val="none"/>
              </w:rPr>
              <w:t>投标总价</w:t>
            </w:r>
            <w:r>
              <w:rPr>
                <w:rFonts w:hint="eastAsia" w:ascii="宋体" w:hAnsi="宋体"/>
                <w:color w:val="auto"/>
                <w:szCs w:val="21"/>
                <w:highlight w:val="none"/>
              </w:rPr>
              <w:t>或分项报价</w:t>
            </w:r>
            <w:r>
              <w:rPr>
                <w:rFonts w:hint="eastAsia" w:ascii="宋体" w:hAnsi="宋体"/>
                <w:color w:val="auto"/>
                <w:highlight w:val="none"/>
              </w:rPr>
              <w:t>未超过预算控制金额</w:t>
            </w:r>
          </w:p>
        </w:tc>
        <w:tc>
          <w:tcPr>
            <w:tcW w:w="1497" w:type="dxa"/>
            <w:noWrap w:val="0"/>
            <w:vAlign w:val="center"/>
          </w:tcPr>
          <w:p>
            <w:pPr>
              <w:spacing w:line="440" w:lineRule="exact"/>
              <w:jc w:val="center"/>
              <w:rPr>
                <w:rFonts w:ascii="宋体" w:hAnsi="宋体"/>
                <w:color w:val="auto"/>
                <w:szCs w:val="21"/>
                <w:highlight w:val="none"/>
              </w:rPr>
            </w:pPr>
            <w:r>
              <w:rPr>
                <w:rFonts w:ascii="宋体" w:hAnsi="宋体"/>
                <w:color w:val="auto"/>
                <w:szCs w:val="21"/>
                <w:highlight w:val="none"/>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12" w:type="dxa"/>
            <w:noWrap w:val="0"/>
            <w:vAlign w:val="center"/>
          </w:tcPr>
          <w:p>
            <w:pPr>
              <w:spacing w:line="440" w:lineRule="exact"/>
              <w:ind w:left="57"/>
              <w:jc w:val="center"/>
              <w:rPr>
                <w:rFonts w:ascii="宋体" w:hAnsi="宋体"/>
                <w:color w:val="auto"/>
                <w:highlight w:val="none"/>
              </w:rPr>
            </w:pPr>
            <w:r>
              <w:rPr>
                <w:rFonts w:hint="eastAsia" w:ascii="宋体" w:hAnsi="宋体"/>
                <w:color w:val="auto"/>
                <w:highlight w:val="none"/>
              </w:rPr>
              <w:t>5</w:t>
            </w:r>
          </w:p>
        </w:tc>
        <w:tc>
          <w:tcPr>
            <w:tcW w:w="6706" w:type="dxa"/>
            <w:noWrap w:val="0"/>
            <w:vAlign w:val="center"/>
          </w:tcPr>
          <w:p>
            <w:pPr>
              <w:spacing w:line="440" w:lineRule="exact"/>
              <w:rPr>
                <w:rFonts w:ascii="宋体" w:hAnsi="宋体"/>
                <w:color w:val="auto"/>
                <w:szCs w:val="21"/>
                <w:highlight w:val="none"/>
              </w:rPr>
            </w:pPr>
            <w:r>
              <w:rPr>
                <w:rFonts w:ascii="宋体" w:hAnsi="宋体"/>
                <w:color w:val="auto"/>
                <w:szCs w:val="21"/>
                <w:highlight w:val="none"/>
              </w:rPr>
              <w:t>评标委员会认为投标人的报价明显低于其他通过符合性审查投标人的报价，有可能影响产品质量或者不能诚信履约的，投标人能在</w:t>
            </w:r>
            <w:r>
              <w:rPr>
                <w:rFonts w:hint="eastAsia" w:ascii="宋体" w:hAnsi="宋体"/>
                <w:color w:val="auto"/>
                <w:szCs w:val="21"/>
                <w:highlight w:val="none"/>
              </w:rPr>
              <w:t>评标现场</w:t>
            </w:r>
            <w:r>
              <w:rPr>
                <w:rFonts w:ascii="宋体" w:hAnsi="宋体"/>
                <w:color w:val="auto"/>
                <w:szCs w:val="21"/>
                <w:highlight w:val="none"/>
              </w:rPr>
              <w:t>合理的时间内提供书面说明</w:t>
            </w:r>
            <w:r>
              <w:rPr>
                <w:rFonts w:hint="eastAsia" w:ascii="宋体" w:hAnsi="宋体"/>
                <w:color w:val="auto"/>
                <w:szCs w:val="21"/>
                <w:highlight w:val="none"/>
              </w:rPr>
              <w:t>（必要时提交相关证明材料）</w:t>
            </w:r>
            <w:r>
              <w:rPr>
                <w:rFonts w:ascii="宋体" w:hAnsi="宋体"/>
                <w:color w:val="auto"/>
                <w:szCs w:val="21"/>
                <w:highlight w:val="none"/>
              </w:rPr>
              <w:t>或提交</w:t>
            </w:r>
            <w:r>
              <w:rPr>
                <w:rFonts w:hint="eastAsia" w:ascii="宋体" w:hAnsi="宋体"/>
                <w:color w:val="auto"/>
                <w:szCs w:val="21"/>
                <w:highlight w:val="none"/>
              </w:rPr>
              <w:t>的书面说明</w:t>
            </w:r>
            <w:r>
              <w:rPr>
                <w:rFonts w:ascii="宋体" w:hAnsi="宋体"/>
                <w:color w:val="auto"/>
                <w:szCs w:val="21"/>
                <w:highlight w:val="none"/>
              </w:rPr>
              <w:t>能证明其报价合理性</w:t>
            </w:r>
            <w:r>
              <w:rPr>
                <w:rFonts w:hint="eastAsia" w:ascii="宋体" w:hAnsi="宋体"/>
                <w:color w:val="auto"/>
                <w:szCs w:val="21"/>
                <w:highlight w:val="none"/>
              </w:rPr>
              <w:t>。（若</w:t>
            </w:r>
            <w:r>
              <w:rPr>
                <w:rFonts w:ascii="宋体" w:hAnsi="宋体"/>
                <w:color w:val="auto"/>
                <w:szCs w:val="21"/>
                <w:highlight w:val="none"/>
              </w:rPr>
              <w:t>评标委员会</w:t>
            </w:r>
            <w:r>
              <w:rPr>
                <w:rFonts w:hint="eastAsia" w:ascii="宋体" w:hAnsi="宋体"/>
                <w:color w:val="auto"/>
                <w:szCs w:val="21"/>
                <w:highlight w:val="none"/>
              </w:rPr>
              <w:t>成员对是否须由投标人做出报价合理性说明，以及书面说明是否采纳等判断不一致的，按照“少数服从多数”的原则确定。）</w:t>
            </w:r>
          </w:p>
        </w:tc>
        <w:tc>
          <w:tcPr>
            <w:tcW w:w="1497" w:type="dxa"/>
            <w:noWrap w:val="0"/>
            <w:vAlign w:val="center"/>
          </w:tcPr>
          <w:p>
            <w:pPr>
              <w:spacing w:line="440" w:lineRule="exact"/>
              <w:jc w:val="center"/>
              <w:rPr>
                <w:rFonts w:ascii="宋体" w:hAnsi="宋体"/>
                <w:color w:val="auto"/>
                <w:szCs w:val="21"/>
                <w:highlight w:val="none"/>
              </w:rPr>
            </w:pPr>
            <w:r>
              <w:rPr>
                <w:rFonts w:ascii="宋体" w:hAnsi="宋体"/>
                <w:color w:val="auto"/>
                <w:szCs w:val="21"/>
                <w:highlight w:val="none"/>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12" w:type="dxa"/>
            <w:noWrap w:val="0"/>
            <w:vAlign w:val="center"/>
          </w:tcPr>
          <w:p>
            <w:pPr>
              <w:spacing w:line="440" w:lineRule="exact"/>
              <w:ind w:left="57"/>
              <w:jc w:val="center"/>
              <w:rPr>
                <w:rFonts w:ascii="宋体" w:hAnsi="宋体"/>
                <w:color w:val="auto"/>
                <w:highlight w:val="none"/>
              </w:rPr>
            </w:pPr>
            <w:r>
              <w:rPr>
                <w:rFonts w:hint="eastAsia" w:ascii="宋体" w:hAnsi="宋体"/>
                <w:color w:val="auto"/>
                <w:highlight w:val="none"/>
              </w:rPr>
              <w:t>6</w:t>
            </w:r>
          </w:p>
        </w:tc>
        <w:tc>
          <w:tcPr>
            <w:tcW w:w="6706" w:type="dxa"/>
            <w:noWrap w:val="0"/>
            <w:vAlign w:val="center"/>
          </w:tcPr>
          <w:p>
            <w:pPr>
              <w:spacing w:line="440" w:lineRule="exact"/>
              <w:rPr>
                <w:rFonts w:ascii="宋体" w:hAnsi="宋体"/>
                <w:color w:val="auto"/>
                <w:highlight w:val="none"/>
              </w:rPr>
            </w:pPr>
            <w:r>
              <w:rPr>
                <w:color w:val="auto"/>
                <w:szCs w:val="21"/>
                <w:highlight w:val="none"/>
              </w:rPr>
              <w:t>实质性满足招标文件要求</w:t>
            </w:r>
            <w:r>
              <w:rPr>
                <w:rFonts w:hint="eastAsia"/>
                <w:color w:val="auto"/>
                <w:szCs w:val="21"/>
                <w:highlight w:val="none"/>
              </w:rPr>
              <w:t>和条件</w:t>
            </w:r>
            <w:r>
              <w:rPr>
                <w:color w:val="auto"/>
                <w:szCs w:val="21"/>
                <w:highlight w:val="none"/>
              </w:rPr>
              <w:t>（</w:t>
            </w:r>
            <w:r>
              <w:rPr>
                <w:rFonts w:hint="eastAsia" w:ascii="宋体" w:hAnsi="宋体"/>
                <w:color w:val="auto"/>
                <w:highlight w:val="none"/>
              </w:rPr>
              <w:t>不可偏离项检查</w:t>
            </w:r>
            <w:r>
              <w:rPr>
                <w:color w:val="auto"/>
                <w:szCs w:val="21"/>
                <w:highlight w:val="none"/>
              </w:rPr>
              <w:t>）</w:t>
            </w:r>
          </w:p>
        </w:tc>
        <w:tc>
          <w:tcPr>
            <w:tcW w:w="1497" w:type="dxa"/>
            <w:noWrap w:val="0"/>
            <w:vAlign w:val="center"/>
          </w:tcPr>
          <w:p>
            <w:pPr>
              <w:spacing w:line="440" w:lineRule="exact"/>
              <w:jc w:val="center"/>
              <w:rPr>
                <w:rFonts w:ascii="宋体" w:hAnsi="宋体"/>
                <w:color w:val="auto"/>
                <w:szCs w:val="21"/>
                <w:highlight w:val="none"/>
              </w:rPr>
            </w:pPr>
            <w:r>
              <w:rPr>
                <w:rFonts w:ascii="宋体" w:hAnsi="宋体"/>
                <w:color w:val="auto"/>
                <w:szCs w:val="21"/>
                <w:highlight w:val="none"/>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12" w:type="dxa"/>
            <w:noWrap w:val="0"/>
            <w:vAlign w:val="center"/>
          </w:tcPr>
          <w:p>
            <w:pPr>
              <w:spacing w:line="440" w:lineRule="exact"/>
              <w:ind w:left="57"/>
              <w:jc w:val="center"/>
              <w:rPr>
                <w:rFonts w:ascii="宋体" w:hAnsi="宋体"/>
                <w:color w:val="auto"/>
                <w:highlight w:val="none"/>
              </w:rPr>
            </w:pPr>
            <w:r>
              <w:rPr>
                <w:rFonts w:hint="eastAsia" w:ascii="宋体" w:hAnsi="宋体"/>
                <w:color w:val="auto"/>
                <w:highlight w:val="none"/>
              </w:rPr>
              <w:t>7</w:t>
            </w:r>
          </w:p>
        </w:tc>
        <w:tc>
          <w:tcPr>
            <w:tcW w:w="6706" w:type="dxa"/>
            <w:noWrap w:val="0"/>
            <w:vAlign w:val="center"/>
          </w:tcPr>
          <w:p>
            <w:pPr>
              <w:spacing w:line="440" w:lineRule="exact"/>
              <w:rPr>
                <w:color w:val="auto"/>
                <w:szCs w:val="21"/>
                <w:highlight w:val="none"/>
              </w:rPr>
            </w:pPr>
            <w:r>
              <w:rPr>
                <w:color w:val="auto"/>
                <w:szCs w:val="21"/>
                <w:highlight w:val="none"/>
              </w:rPr>
              <w:t>投标文件载明的项目服务期</w:t>
            </w:r>
            <w:r>
              <w:rPr>
                <w:rFonts w:hint="eastAsia"/>
                <w:color w:val="auto"/>
                <w:szCs w:val="21"/>
                <w:highlight w:val="none"/>
              </w:rPr>
              <w:t>符合</w:t>
            </w:r>
            <w:r>
              <w:rPr>
                <w:color w:val="auto"/>
                <w:szCs w:val="21"/>
                <w:highlight w:val="none"/>
              </w:rPr>
              <w:t>招标文件规定的期限</w:t>
            </w:r>
          </w:p>
        </w:tc>
        <w:tc>
          <w:tcPr>
            <w:tcW w:w="1497" w:type="dxa"/>
            <w:noWrap w:val="0"/>
            <w:vAlign w:val="center"/>
          </w:tcPr>
          <w:p>
            <w:pPr>
              <w:spacing w:line="440" w:lineRule="exact"/>
              <w:jc w:val="center"/>
              <w:rPr>
                <w:rFonts w:ascii="宋体" w:hAnsi="宋体"/>
                <w:color w:val="auto"/>
                <w:szCs w:val="21"/>
                <w:highlight w:val="none"/>
              </w:rPr>
            </w:pPr>
            <w:r>
              <w:rPr>
                <w:rFonts w:ascii="宋体" w:hAnsi="宋体"/>
                <w:color w:val="auto"/>
                <w:szCs w:val="21"/>
                <w:highlight w:val="none"/>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12" w:type="dxa"/>
            <w:noWrap w:val="0"/>
            <w:vAlign w:val="center"/>
          </w:tcPr>
          <w:p>
            <w:pPr>
              <w:spacing w:line="440" w:lineRule="exact"/>
              <w:ind w:left="57"/>
              <w:jc w:val="center"/>
              <w:rPr>
                <w:rFonts w:ascii="宋体" w:hAnsi="宋体"/>
                <w:color w:val="auto"/>
                <w:highlight w:val="none"/>
              </w:rPr>
            </w:pPr>
            <w:r>
              <w:rPr>
                <w:rFonts w:hint="eastAsia" w:ascii="宋体" w:hAnsi="宋体"/>
                <w:color w:val="auto"/>
                <w:highlight w:val="none"/>
              </w:rPr>
              <w:t>8</w:t>
            </w:r>
          </w:p>
        </w:tc>
        <w:tc>
          <w:tcPr>
            <w:tcW w:w="6706" w:type="dxa"/>
            <w:noWrap w:val="0"/>
            <w:vAlign w:val="center"/>
          </w:tcPr>
          <w:p>
            <w:pPr>
              <w:spacing w:line="440" w:lineRule="exact"/>
              <w:jc w:val="left"/>
              <w:rPr>
                <w:rFonts w:ascii="宋体" w:hAnsi="宋体"/>
                <w:color w:val="auto"/>
                <w:highlight w:val="none"/>
              </w:rPr>
            </w:pPr>
            <w:r>
              <w:rPr>
                <w:rFonts w:hint="eastAsia" w:hAnsi="宋体"/>
                <w:color w:val="auto"/>
                <w:szCs w:val="21"/>
                <w:highlight w:val="none"/>
              </w:rPr>
              <w:t>《技术偏离表》和《商务偏离表》已提交</w:t>
            </w:r>
          </w:p>
        </w:tc>
        <w:tc>
          <w:tcPr>
            <w:tcW w:w="1497" w:type="dxa"/>
            <w:noWrap w:val="0"/>
            <w:vAlign w:val="center"/>
          </w:tcPr>
          <w:p>
            <w:pPr>
              <w:spacing w:line="440" w:lineRule="exact"/>
              <w:ind w:left="57"/>
              <w:jc w:val="center"/>
              <w:rPr>
                <w:rFonts w:ascii="宋体" w:hAnsi="宋体"/>
                <w:color w:val="auto"/>
                <w:szCs w:val="21"/>
                <w:highlight w:val="none"/>
              </w:rPr>
            </w:pPr>
            <w:r>
              <w:rPr>
                <w:rFonts w:ascii="宋体" w:hAnsi="宋体"/>
                <w:color w:val="auto"/>
                <w:szCs w:val="21"/>
                <w:highlight w:val="none"/>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12" w:type="dxa"/>
            <w:noWrap w:val="0"/>
            <w:vAlign w:val="center"/>
          </w:tcPr>
          <w:p>
            <w:pPr>
              <w:spacing w:line="440" w:lineRule="exact"/>
              <w:ind w:left="57"/>
              <w:jc w:val="center"/>
              <w:rPr>
                <w:rFonts w:ascii="宋体" w:hAnsi="宋体"/>
                <w:color w:val="auto"/>
                <w:highlight w:val="none"/>
              </w:rPr>
            </w:pPr>
            <w:r>
              <w:rPr>
                <w:rFonts w:hint="eastAsia" w:ascii="宋体" w:hAnsi="宋体"/>
                <w:color w:val="auto"/>
                <w:highlight w:val="none"/>
              </w:rPr>
              <w:t>9</w:t>
            </w:r>
          </w:p>
        </w:tc>
        <w:tc>
          <w:tcPr>
            <w:tcW w:w="6706" w:type="dxa"/>
            <w:noWrap w:val="0"/>
            <w:vAlign w:val="center"/>
          </w:tcPr>
          <w:p>
            <w:pPr>
              <w:spacing w:line="440" w:lineRule="exact"/>
              <w:rPr>
                <w:rFonts w:ascii="宋体" w:hAnsi="宋体"/>
                <w:color w:val="auto"/>
                <w:highlight w:val="none"/>
              </w:rPr>
            </w:pPr>
            <w:r>
              <w:rPr>
                <w:rFonts w:hint="eastAsia" w:ascii="宋体" w:hAnsi="宋体"/>
                <w:color w:val="auto"/>
                <w:highlight w:val="none"/>
              </w:rPr>
              <w:t>不存在“否决性条款”列明的其他情况</w:t>
            </w:r>
          </w:p>
        </w:tc>
        <w:tc>
          <w:tcPr>
            <w:tcW w:w="1497" w:type="dxa"/>
            <w:noWrap w:val="0"/>
            <w:vAlign w:val="center"/>
          </w:tcPr>
          <w:p>
            <w:pPr>
              <w:spacing w:line="440" w:lineRule="exact"/>
              <w:jc w:val="center"/>
              <w:rPr>
                <w:rFonts w:ascii="宋体" w:hAnsi="宋体"/>
                <w:color w:val="auto"/>
                <w:szCs w:val="21"/>
                <w:highlight w:val="none"/>
              </w:rPr>
            </w:pPr>
            <w:r>
              <w:rPr>
                <w:rFonts w:ascii="宋体" w:hAnsi="宋体"/>
                <w:color w:val="auto"/>
                <w:szCs w:val="21"/>
                <w:highlight w:val="none"/>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12" w:type="dxa"/>
            <w:noWrap w:val="0"/>
            <w:vAlign w:val="center"/>
          </w:tcPr>
          <w:p>
            <w:pPr>
              <w:spacing w:line="440" w:lineRule="exact"/>
              <w:ind w:left="57"/>
              <w:jc w:val="center"/>
              <w:rPr>
                <w:rFonts w:ascii="宋体" w:hAnsi="宋体"/>
                <w:color w:val="auto"/>
                <w:highlight w:val="none"/>
              </w:rPr>
            </w:pPr>
            <w:r>
              <w:rPr>
                <w:rFonts w:hint="eastAsia" w:ascii="宋体" w:hAnsi="宋体"/>
                <w:color w:val="auto"/>
                <w:highlight w:val="none"/>
              </w:rPr>
              <w:t>10</w:t>
            </w:r>
          </w:p>
        </w:tc>
        <w:tc>
          <w:tcPr>
            <w:tcW w:w="6706" w:type="dxa"/>
            <w:noWrap w:val="0"/>
            <w:vAlign w:val="center"/>
          </w:tcPr>
          <w:p>
            <w:pPr>
              <w:spacing w:line="440" w:lineRule="exact"/>
              <w:rPr>
                <w:rFonts w:ascii="宋体" w:hAnsi="宋体"/>
                <w:color w:val="auto"/>
                <w:szCs w:val="21"/>
                <w:highlight w:val="none"/>
              </w:rPr>
            </w:pPr>
            <w:r>
              <w:rPr>
                <w:rFonts w:ascii="宋体" w:hAnsi="宋体"/>
                <w:color w:val="auto"/>
                <w:szCs w:val="21"/>
                <w:highlight w:val="none"/>
              </w:rPr>
              <w:t>结论</w:t>
            </w:r>
          </w:p>
        </w:tc>
        <w:tc>
          <w:tcPr>
            <w:tcW w:w="1497" w:type="dxa"/>
            <w:noWrap w:val="0"/>
            <w:vAlign w:val="center"/>
          </w:tcPr>
          <w:p>
            <w:pPr>
              <w:spacing w:line="440" w:lineRule="exact"/>
              <w:jc w:val="center"/>
              <w:rPr>
                <w:rFonts w:ascii="宋体" w:hAnsi="宋体"/>
                <w:color w:val="auto"/>
                <w:szCs w:val="21"/>
                <w:highlight w:val="none"/>
              </w:rPr>
            </w:pPr>
            <w:r>
              <w:rPr>
                <w:rFonts w:ascii="宋体" w:hAnsi="宋体"/>
                <w:color w:val="auto"/>
                <w:szCs w:val="21"/>
                <w:highlight w:val="none"/>
              </w:rPr>
              <w:t>通过/不通过</w:t>
            </w:r>
          </w:p>
        </w:tc>
      </w:tr>
    </w:tbl>
    <w:p>
      <w:pPr>
        <w:spacing w:line="340" w:lineRule="exact"/>
        <w:ind w:firstLine="422" w:firstLineChars="200"/>
        <w:rPr>
          <w:rFonts w:ascii="宋体" w:hAnsi="宋体"/>
          <w:b/>
          <w:color w:val="auto"/>
          <w:szCs w:val="21"/>
          <w:highlight w:val="none"/>
        </w:rPr>
      </w:pPr>
      <w:r>
        <w:rPr>
          <w:rFonts w:hint="eastAsia" w:ascii="宋体" w:hAnsi="宋体"/>
          <w:b/>
          <w:color w:val="auto"/>
          <w:szCs w:val="21"/>
          <w:highlight w:val="none"/>
        </w:rPr>
        <w:t>2、评分表</w:t>
      </w:r>
    </w:p>
    <w:tbl>
      <w:tblPr>
        <w:tblStyle w:val="5"/>
        <w:tblpPr w:leftFromText="180" w:rightFromText="180" w:vertAnchor="text" w:horzAnchor="page" w:tblpX="1524" w:tblpY="291"/>
        <w:tblOverlap w:val="never"/>
        <w:tblW w:w="9072"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56"/>
        <w:gridCol w:w="750"/>
        <w:gridCol w:w="1504"/>
        <w:gridCol w:w="768"/>
        <w:gridCol w:w="539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c>
          <w:tcPr>
            <w:tcW w:w="656"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3022" w:type="dxa"/>
            <w:gridSpan w:val="3"/>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评分项</w:t>
            </w:r>
          </w:p>
        </w:tc>
        <w:tc>
          <w:tcPr>
            <w:tcW w:w="5394"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trHeight w:val="184" w:hRule="atLeast"/>
        </w:trPr>
        <w:tc>
          <w:tcPr>
            <w:tcW w:w="656"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w:t>
            </w:r>
          </w:p>
        </w:tc>
        <w:tc>
          <w:tcPr>
            <w:tcW w:w="3022" w:type="dxa"/>
            <w:gridSpan w:val="3"/>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价格</w:t>
            </w:r>
          </w:p>
        </w:tc>
        <w:tc>
          <w:tcPr>
            <w:tcW w:w="539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trHeight w:val="90" w:hRule="atLeast"/>
        </w:trPr>
        <w:tc>
          <w:tcPr>
            <w:tcW w:w="656" w:type="dxa"/>
            <w:vMerge w:val="restart"/>
            <w:tcBorders>
              <w:top w:val="single" w:color="000000" w:sz="8" w:space="0"/>
              <w:left w:val="single" w:color="000000" w:sz="8" w:space="0"/>
              <w:right w:val="single" w:color="000000" w:sz="8" w:space="0"/>
            </w:tcBorders>
            <w:noWrap w:val="0"/>
            <w:vAlign w:val="top"/>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p>
        </w:tc>
        <w:tc>
          <w:tcPr>
            <w:tcW w:w="3022" w:type="dxa"/>
            <w:gridSpan w:val="3"/>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技术部分</w:t>
            </w:r>
          </w:p>
        </w:tc>
        <w:tc>
          <w:tcPr>
            <w:tcW w:w="539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auto"/>
                <w:szCs w:val="21"/>
                <w:highlight w:val="none"/>
                <w:lang w:val="en"/>
              </w:rPr>
            </w:pP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c>
          <w:tcPr>
            <w:tcW w:w="656" w:type="dxa"/>
            <w:vMerge w:val="continue"/>
            <w:tcBorders>
              <w:left w:val="single" w:color="000000" w:sz="8" w:space="0"/>
              <w:right w:val="single" w:color="000000" w:sz="8" w:space="0"/>
            </w:tcBorders>
            <w:shd w:val="clear" w:color="auto" w:fill="E6EFFA"/>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b/>
                <w:bCs/>
                <w:color w:val="auto"/>
                <w:szCs w:val="21"/>
                <w:highlight w:val="none"/>
              </w:rPr>
            </w:pPr>
          </w:p>
        </w:tc>
        <w:tc>
          <w:tcPr>
            <w:tcW w:w="750"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504"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评分因素</w:t>
            </w:r>
          </w:p>
        </w:tc>
        <w:tc>
          <w:tcPr>
            <w:tcW w:w="768"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分值</w:t>
            </w:r>
          </w:p>
        </w:tc>
        <w:tc>
          <w:tcPr>
            <w:tcW w:w="5394"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c>
          <w:tcPr>
            <w:tcW w:w="656" w:type="dxa"/>
            <w:vMerge w:val="continue"/>
            <w:tcBorders>
              <w:left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b/>
                <w:bCs/>
                <w:color w:val="auto"/>
                <w:szCs w:val="21"/>
                <w:highlight w:val="none"/>
              </w:rPr>
            </w:pPr>
          </w:p>
        </w:tc>
        <w:tc>
          <w:tcPr>
            <w:tcW w:w="75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0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kern w:val="0"/>
                <w:highlight w:val="none"/>
              </w:rPr>
              <w:t>对项目的理解和总体思路</w:t>
            </w:r>
          </w:p>
        </w:tc>
        <w:tc>
          <w:tcPr>
            <w:tcW w:w="76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w:t>
            </w:r>
          </w:p>
        </w:tc>
        <w:tc>
          <w:tcPr>
            <w:tcW w:w="539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一、评分内容:</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1.对项目背景、</w:t>
            </w:r>
            <w:r>
              <w:rPr>
                <w:rFonts w:hint="eastAsia" w:ascii="宋体" w:hAnsi="宋体" w:eastAsia="宋体" w:cs="宋体"/>
                <w:color w:val="auto"/>
                <w:highlight w:val="none"/>
                <w:lang w:val="en-US" w:eastAsia="zh-CN"/>
              </w:rPr>
              <w:t>工作任务</w:t>
            </w:r>
            <w:r>
              <w:rPr>
                <w:rFonts w:hint="eastAsia" w:ascii="宋体" w:hAnsi="宋体" w:eastAsia="宋体" w:cs="宋体"/>
                <w:color w:val="auto"/>
                <w:highlight w:val="none"/>
              </w:rPr>
              <w:t>的理解；</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2.对项目</w:t>
            </w:r>
            <w:r>
              <w:rPr>
                <w:rFonts w:hint="eastAsia" w:ascii="宋体" w:hAnsi="宋体" w:eastAsia="宋体" w:cs="宋体"/>
                <w:color w:val="auto"/>
                <w:highlight w:val="none"/>
                <w:lang w:val="en-US" w:eastAsia="zh-CN"/>
              </w:rPr>
              <w:t>工作开展</w:t>
            </w:r>
            <w:r>
              <w:rPr>
                <w:rFonts w:hint="eastAsia" w:ascii="宋体" w:hAnsi="宋体" w:eastAsia="宋体" w:cs="宋体"/>
                <w:color w:val="auto"/>
                <w:highlight w:val="none"/>
              </w:rPr>
              <w:t>总体思路</w:t>
            </w:r>
            <w:r>
              <w:rPr>
                <w:rFonts w:hint="eastAsia" w:ascii="宋体" w:hAnsi="宋体" w:eastAsia="宋体" w:cs="宋体"/>
                <w:color w:val="auto"/>
                <w:highlight w:val="none"/>
                <w:lang w:val="en-US" w:eastAsia="zh-CN"/>
              </w:rPr>
              <w:t>的把握与理解</w:t>
            </w:r>
            <w:r>
              <w:rPr>
                <w:rFonts w:hint="eastAsia" w:ascii="宋体" w:hAnsi="宋体" w:eastAsia="宋体" w:cs="宋体"/>
                <w:color w:val="auto"/>
                <w:highlight w:val="none"/>
              </w:rPr>
              <w:t xml:space="preserve">； </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3.对</w:t>
            </w:r>
            <w:r>
              <w:rPr>
                <w:rFonts w:hint="eastAsia" w:ascii="宋体" w:hAnsi="宋体" w:eastAsia="宋体" w:cs="宋体"/>
                <w:color w:val="auto"/>
                <w:highlight w:val="none"/>
                <w:lang w:val="en-US" w:eastAsia="zh-CN"/>
              </w:rPr>
              <w:t>相关</w:t>
            </w:r>
            <w:r>
              <w:rPr>
                <w:rFonts w:hint="eastAsia" w:ascii="宋体" w:hAnsi="宋体" w:eastAsia="宋体" w:cs="宋体"/>
                <w:color w:val="auto"/>
                <w:highlight w:val="none"/>
              </w:rPr>
              <w:t>政策背景、发展趋势</w:t>
            </w:r>
            <w:r>
              <w:rPr>
                <w:rFonts w:hint="eastAsia" w:ascii="宋体" w:hAnsi="宋体" w:eastAsia="宋体" w:cs="宋体"/>
                <w:color w:val="auto"/>
                <w:highlight w:val="none"/>
                <w:lang w:val="en-US" w:eastAsia="zh-CN"/>
              </w:rPr>
              <w:t>的理解</w:t>
            </w:r>
            <w:r>
              <w:rPr>
                <w:rFonts w:hint="eastAsia" w:ascii="宋体" w:hAnsi="宋体" w:eastAsia="宋体" w:cs="宋体"/>
                <w:color w:val="auto"/>
                <w:highlight w:val="none"/>
                <w:lang w:eastAsia="zh-CN"/>
              </w:rPr>
              <w:t>。</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二、评分依据: </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提供三个方面得</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分，提供两个方面得</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分，提供一个方面得</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分，其他情况不得分。</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在以上评审要求基础上，专家根据各供应商的具体响应内容进行进一步评审：</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1.对项目理解准确全面；</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2.对上述考察内容有针对性地透彻、详细分析；</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3.理解和响应详细且贴合项目实际；</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满足上述三项得</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分，满足两项得</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分，满足一项得</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分。未提供不得分。</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本项累计最高得分1</w:t>
            </w: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c>
          <w:tcPr>
            <w:tcW w:w="656" w:type="dxa"/>
            <w:vMerge w:val="continue"/>
            <w:tcBorders>
              <w:left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b/>
                <w:bCs/>
                <w:color w:val="auto"/>
                <w:szCs w:val="21"/>
                <w:highlight w:val="none"/>
              </w:rPr>
            </w:pPr>
          </w:p>
        </w:tc>
        <w:tc>
          <w:tcPr>
            <w:tcW w:w="75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0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对项目的特点、</w:t>
            </w:r>
            <w:r>
              <w:rPr>
                <w:rFonts w:hint="eastAsia" w:ascii="宋体" w:hAnsi="宋体" w:eastAsia="宋体" w:cs="宋体"/>
                <w:color w:val="auto"/>
                <w:szCs w:val="21"/>
                <w:highlight w:val="none"/>
                <w:lang w:val="en-US" w:eastAsia="zh-CN"/>
              </w:rPr>
              <w:t>重难点及</w:t>
            </w:r>
            <w:r>
              <w:rPr>
                <w:rFonts w:hint="eastAsia" w:ascii="宋体" w:hAnsi="宋体" w:eastAsia="宋体" w:cs="宋体"/>
                <w:color w:val="auto"/>
                <w:szCs w:val="21"/>
                <w:highlight w:val="none"/>
              </w:rPr>
              <w:t>关键技术问题的</w:t>
            </w:r>
            <w:r>
              <w:rPr>
                <w:rFonts w:hint="eastAsia" w:ascii="宋体" w:hAnsi="宋体" w:eastAsia="宋体" w:cs="宋体"/>
                <w:color w:val="auto"/>
                <w:szCs w:val="21"/>
                <w:highlight w:val="none"/>
                <w:lang w:val="en-US" w:eastAsia="zh-CN"/>
              </w:rPr>
              <w:t>理解</w:t>
            </w:r>
            <w:r>
              <w:rPr>
                <w:rFonts w:hint="eastAsia" w:ascii="宋体" w:hAnsi="宋体" w:eastAsia="宋体" w:cs="宋体"/>
                <w:color w:val="auto"/>
                <w:szCs w:val="21"/>
                <w:highlight w:val="none"/>
              </w:rPr>
              <w:t>及对策措施</w:t>
            </w:r>
          </w:p>
        </w:tc>
        <w:tc>
          <w:tcPr>
            <w:tcW w:w="76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lang w:val="en" w:eastAsia="zh-CN"/>
              </w:rPr>
            </w:pPr>
            <w:r>
              <w:rPr>
                <w:rFonts w:hint="eastAsia" w:ascii="宋体" w:hAnsi="宋体" w:eastAsia="宋体" w:cs="宋体"/>
                <w:color w:val="auto"/>
                <w:szCs w:val="21"/>
                <w:highlight w:val="none"/>
                <w:lang w:val="en"/>
              </w:rPr>
              <w:t>1</w:t>
            </w:r>
            <w:r>
              <w:rPr>
                <w:rFonts w:hint="eastAsia" w:ascii="宋体" w:hAnsi="宋体" w:eastAsia="宋体" w:cs="宋体"/>
                <w:color w:val="auto"/>
                <w:szCs w:val="21"/>
                <w:highlight w:val="none"/>
                <w:lang w:val="en-US" w:eastAsia="zh-CN"/>
              </w:rPr>
              <w:t>4</w:t>
            </w:r>
          </w:p>
        </w:tc>
        <w:tc>
          <w:tcPr>
            <w:tcW w:w="539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一、评分内容： </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1.对本项目特点、</w:t>
            </w:r>
            <w:r>
              <w:rPr>
                <w:rFonts w:hint="eastAsia" w:ascii="宋体" w:hAnsi="宋体" w:eastAsia="宋体" w:cs="宋体"/>
                <w:color w:val="auto"/>
                <w:highlight w:val="none"/>
                <w:lang w:val="en-US" w:eastAsia="zh-CN"/>
              </w:rPr>
              <w:t>重难点及</w:t>
            </w:r>
            <w:r>
              <w:rPr>
                <w:rFonts w:hint="eastAsia" w:ascii="宋体" w:hAnsi="宋体" w:eastAsia="宋体" w:cs="宋体"/>
                <w:color w:val="auto"/>
                <w:highlight w:val="none"/>
              </w:rPr>
              <w:t>关键技术问题的</w:t>
            </w:r>
            <w:r>
              <w:rPr>
                <w:rFonts w:hint="eastAsia" w:ascii="宋体" w:hAnsi="宋体" w:eastAsia="宋体" w:cs="宋体"/>
                <w:color w:val="auto"/>
                <w:highlight w:val="none"/>
                <w:lang w:val="en-US" w:eastAsia="zh-CN"/>
              </w:rPr>
              <w:t>理解</w:t>
            </w:r>
            <w:r>
              <w:rPr>
                <w:rFonts w:hint="eastAsia" w:ascii="宋体" w:hAnsi="宋体" w:eastAsia="宋体" w:cs="宋体"/>
                <w:color w:val="auto"/>
                <w:highlight w:val="none"/>
              </w:rPr>
              <w:t>；</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2.对项目特点、</w:t>
            </w:r>
            <w:r>
              <w:rPr>
                <w:rFonts w:hint="eastAsia" w:ascii="宋体" w:hAnsi="宋体" w:eastAsia="宋体" w:cs="宋体"/>
                <w:color w:val="auto"/>
                <w:highlight w:val="none"/>
                <w:lang w:val="en-US" w:eastAsia="zh-CN"/>
              </w:rPr>
              <w:t>重难点及</w:t>
            </w:r>
            <w:r>
              <w:rPr>
                <w:rFonts w:hint="eastAsia" w:ascii="宋体" w:hAnsi="宋体" w:eastAsia="宋体" w:cs="宋体"/>
                <w:color w:val="auto"/>
                <w:highlight w:val="none"/>
              </w:rPr>
              <w:t>关键技术问题提出合理化建议</w:t>
            </w:r>
            <w:r>
              <w:rPr>
                <w:rFonts w:hint="eastAsia" w:ascii="宋体" w:hAnsi="宋体" w:eastAsia="宋体" w:cs="宋体"/>
                <w:color w:val="auto"/>
                <w:highlight w:val="none"/>
                <w:lang w:val="en-US" w:eastAsia="zh-CN"/>
              </w:rPr>
              <w:t>和</w:t>
            </w:r>
            <w:r>
              <w:rPr>
                <w:rFonts w:hint="eastAsia" w:ascii="宋体" w:hAnsi="宋体" w:eastAsia="宋体" w:cs="宋体"/>
                <w:color w:val="auto"/>
                <w:highlight w:val="none"/>
              </w:rPr>
              <w:t>应对措施；</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二、评分依据： </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提供以上</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个方面得</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分，提供</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个方面得</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分，其他情况不得分。</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在以上评审要求基础上，专家根据各供应商的具体响应内容进行进一步评审：</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对本项目的特点、</w:t>
            </w:r>
            <w:r>
              <w:rPr>
                <w:rFonts w:hint="eastAsia" w:ascii="宋体" w:hAnsi="宋体" w:eastAsia="宋体" w:cs="宋体"/>
                <w:color w:val="auto"/>
                <w:highlight w:val="none"/>
                <w:lang w:val="en-US" w:eastAsia="zh-CN"/>
              </w:rPr>
              <w:t>重难点及</w:t>
            </w:r>
            <w:r>
              <w:rPr>
                <w:rFonts w:hint="eastAsia" w:ascii="宋体" w:hAnsi="宋体" w:eastAsia="宋体" w:cs="宋体"/>
                <w:color w:val="auto"/>
                <w:highlight w:val="none"/>
              </w:rPr>
              <w:t>关键技术问题</w:t>
            </w:r>
            <w:r>
              <w:rPr>
                <w:rFonts w:hint="eastAsia" w:ascii="宋体" w:hAnsi="宋体" w:eastAsia="宋体" w:cs="宋体"/>
                <w:color w:val="auto"/>
                <w:highlight w:val="none"/>
                <w:lang w:val="en-US" w:eastAsia="zh-CN"/>
              </w:rPr>
              <w:t>理解准确、</w:t>
            </w:r>
            <w:r>
              <w:rPr>
                <w:rFonts w:hint="eastAsia" w:ascii="宋体" w:hAnsi="宋体" w:eastAsia="宋体" w:cs="Times New Roman"/>
                <w:color w:val="auto"/>
                <w:szCs w:val="21"/>
                <w:highlight w:val="none"/>
                <w:lang w:eastAsia="zh-CN"/>
              </w:rPr>
              <w:t>考虑全面，</w:t>
            </w:r>
            <w:r>
              <w:rPr>
                <w:rFonts w:hint="eastAsia" w:ascii="宋体" w:hAnsi="宋体" w:eastAsia="宋体" w:cs="Times New Roman"/>
                <w:color w:val="auto"/>
                <w:szCs w:val="21"/>
                <w:highlight w:val="none"/>
                <w:lang w:val="en-US" w:eastAsia="zh-CN"/>
              </w:rPr>
              <w:t>建议措施</w:t>
            </w:r>
            <w:r>
              <w:rPr>
                <w:rFonts w:hint="eastAsia" w:ascii="宋体" w:hAnsi="宋体" w:eastAsia="宋体" w:cs="Times New Roman"/>
                <w:color w:val="auto"/>
                <w:szCs w:val="21"/>
                <w:highlight w:val="none"/>
                <w:lang w:eastAsia="zh-CN"/>
              </w:rPr>
              <w:t>分析</w:t>
            </w:r>
            <w:r>
              <w:rPr>
                <w:rFonts w:hint="eastAsia" w:ascii="宋体" w:hAnsi="宋体" w:eastAsia="宋体" w:cs="Times New Roman"/>
                <w:color w:val="auto"/>
                <w:szCs w:val="21"/>
                <w:highlight w:val="none"/>
                <w:lang w:val="en-US" w:eastAsia="zh-CN"/>
              </w:rPr>
              <w:t>详细</w:t>
            </w:r>
            <w:r>
              <w:rPr>
                <w:rFonts w:hint="eastAsia" w:ascii="宋体" w:hAnsi="宋体" w:eastAsia="宋体" w:cs="宋体"/>
                <w:color w:val="auto"/>
                <w:highlight w:val="none"/>
                <w:lang w:val="en-US" w:eastAsia="zh-CN"/>
              </w:rPr>
              <w:t>且具备可行性</w:t>
            </w:r>
            <w:r>
              <w:rPr>
                <w:rFonts w:hint="eastAsia" w:ascii="宋体" w:hAnsi="宋体" w:eastAsia="宋体" w:cs="宋体"/>
                <w:color w:val="auto"/>
                <w:highlight w:val="none"/>
                <w:lang w:eastAsia="zh-CN"/>
              </w:rPr>
              <w:t>；</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Times New Roman"/>
                <w:color w:val="auto"/>
                <w:szCs w:val="21"/>
                <w:highlight w:val="none"/>
              </w:rPr>
              <w:t>有针对性详细分析，能提出符合实际情况</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可行</w:t>
            </w:r>
            <w:r>
              <w:rPr>
                <w:rFonts w:hint="eastAsia" w:ascii="宋体" w:hAnsi="宋体" w:eastAsia="宋体" w:cs="Times New Roman"/>
                <w:color w:val="auto"/>
                <w:szCs w:val="21"/>
                <w:highlight w:val="none"/>
              </w:rPr>
              <w:t>的应对措施</w:t>
            </w:r>
            <w:r>
              <w:rPr>
                <w:rFonts w:hint="eastAsia" w:ascii="宋体" w:hAnsi="宋体" w:eastAsia="宋体" w:cs="Times New Roman"/>
                <w:color w:val="auto"/>
                <w:szCs w:val="21"/>
                <w:highlight w:val="none"/>
                <w:lang w:eastAsia="zh-CN"/>
              </w:rPr>
              <w:t>。</w:t>
            </w:r>
            <w:r>
              <w:rPr>
                <w:rFonts w:hint="eastAsia" w:ascii="宋体" w:hAnsi="宋体" w:eastAsia="宋体" w:cs="宋体"/>
                <w:color w:val="auto"/>
                <w:highlight w:val="none"/>
              </w:rPr>
              <w:t xml:space="preserve"> </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b/>
                <w:bCs/>
                <w:color w:val="auto"/>
                <w:highlight w:val="none"/>
              </w:rPr>
            </w:pPr>
            <w:r>
              <w:rPr>
                <w:rFonts w:hint="eastAsia" w:ascii="宋体" w:hAnsi="宋体" w:eastAsia="宋体" w:cs="宋体"/>
                <w:color w:val="auto"/>
                <w:highlight w:val="none"/>
                <w:lang w:val="en-US" w:eastAsia="zh-CN"/>
              </w:rPr>
              <w:t>满足上述两项得6分，满足一项得3分。未提供不得分。</w:t>
            </w:r>
            <w:r>
              <w:rPr>
                <w:rFonts w:hint="eastAsia" w:ascii="宋体" w:hAnsi="宋体" w:eastAsia="宋体" w:cs="宋体"/>
                <w:b/>
                <w:bCs/>
                <w:color w:val="auto"/>
                <w:highlight w:val="none"/>
              </w:rPr>
              <w:t>本项累计最高得分1</w:t>
            </w: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c>
          <w:tcPr>
            <w:tcW w:w="656" w:type="dxa"/>
            <w:vMerge w:val="continue"/>
            <w:tcBorders>
              <w:left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b/>
                <w:bCs/>
                <w:color w:val="auto"/>
                <w:szCs w:val="21"/>
                <w:highlight w:val="none"/>
              </w:rPr>
            </w:pPr>
          </w:p>
        </w:tc>
        <w:tc>
          <w:tcPr>
            <w:tcW w:w="75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0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kern w:val="0"/>
                <w:highlight w:val="none"/>
              </w:rPr>
              <w:t>工作计划、质量保证措施、进度保证措施</w:t>
            </w:r>
          </w:p>
        </w:tc>
        <w:tc>
          <w:tcPr>
            <w:tcW w:w="76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539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一、评分内容： </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1.本项目的工作量及工作计划；</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2.质量保证措施；</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3.进度保证措施。</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二、评分依据： </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提供以上3个方面得</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分，提供2个方面得</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分，提供一个方面得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分，其他情况不得分。</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在以上评审要求基础上，专家根据各供应商的具体响应内容进行进一步评审：</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1.对本项目的工作量及工作计划、质量保证措施、进度保证措施全面完善，得</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w:t>
            </w:r>
            <w:r>
              <w:rPr>
                <w:rFonts w:hint="eastAsia" w:ascii="宋体" w:hAnsi="宋体" w:eastAsia="宋体" w:cs="宋体"/>
                <w:color w:val="auto"/>
                <w:kern w:val="0"/>
                <w:szCs w:val="21"/>
                <w:highlight w:val="none"/>
              </w:rPr>
              <w:t>；</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2.对本项目的工作量及工作计划、质量保证措施、进度保证措施合理可行，得</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w:t>
            </w:r>
            <w:r>
              <w:rPr>
                <w:rFonts w:hint="eastAsia" w:ascii="宋体" w:hAnsi="宋体" w:eastAsia="宋体" w:cs="宋体"/>
                <w:color w:val="auto"/>
                <w:kern w:val="0"/>
                <w:szCs w:val="21"/>
                <w:highlight w:val="none"/>
              </w:rPr>
              <w:t>；</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3.对本项目的工作量及工作计划、质量保证措施、进度保证措施基本合理可行，得2分；</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4.未提出本项目的工作量及工作计划、质量保证措施、</w:t>
            </w:r>
            <w:r>
              <w:rPr>
                <w:rFonts w:hint="eastAsia" w:ascii="宋体" w:hAnsi="宋体" w:eastAsia="宋体" w:cs="宋体"/>
                <w:color w:val="auto"/>
                <w:szCs w:val="21"/>
                <w:highlight w:val="none"/>
              </w:rPr>
              <w:t>进度保证不合理或不可行的，得 0 分。</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
                <w:bCs/>
                <w:color w:val="auto"/>
                <w:szCs w:val="24"/>
                <w:highlight w:val="none"/>
              </w:rPr>
            </w:pPr>
            <w:r>
              <w:rPr>
                <w:rFonts w:hint="eastAsia" w:ascii="宋体" w:hAnsi="宋体" w:eastAsia="宋体" w:cs="宋体"/>
                <w:b/>
                <w:bCs/>
                <w:color w:val="auto"/>
                <w:szCs w:val="21"/>
                <w:highlight w:val="none"/>
              </w:rPr>
              <w:t>本项累计最高得1</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c>
          <w:tcPr>
            <w:tcW w:w="656" w:type="dxa"/>
            <w:vMerge w:val="continue"/>
            <w:tcBorders>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b/>
                <w:bCs/>
                <w:color w:val="auto"/>
                <w:szCs w:val="21"/>
                <w:highlight w:val="none"/>
              </w:rPr>
            </w:pPr>
          </w:p>
        </w:tc>
        <w:tc>
          <w:tcPr>
            <w:tcW w:w="75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0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highlight w:val="none"/>
              </w:rPr>
            </w:pPr>
            <w:r>
              <w:rPr>
                <w:rFonts w:hint="eastAsia" w:ascii="宋体" w:hAnsi="宋体" w:eastAsia="宋体" w:cs="宋体"/>
                <w:color w:val="auto"/>
                <w:szCs w:val="21"/>
                <w:highlight w:val="none"/>
              </w:rPr>
              <w:t>后续服务的安排及保证措施</w:t>
            </w:r>
          </w:p>
        </w:tc>
        <w:tc>
          <w:tcPr>
            <w:tcW w:w="76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w:t>
            </w:r>
          </w:p>
        </w:tc>
        <w:tc>
          <w:tcPr>
            <w:tcW w:w="539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一、评分内容： </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1.售后服务计划</w:t>
            </w:r>
            <w:r>
              <w:rPr>
                <w:rFonts w:hint="eastAsia" w:ascii="宋体" w:hAnsi="宋体" w:eastAsia="宋体" w:cs="宋体"/>
                <w:color w:val="auto"/>
                <w:kern w:val="0"/>
                <w:szCs w:val="21"/>
                <w:highlight w:val="none"/>
              </w:rPr>
              <w:t>；</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2.服务承诺</w:t>
            </w:r>
            <w:r>
              <w:rPr>
                <w:rFonts w:hint="eastAsia" w:ascii="宋体" w:hAnsi="宋体" w:eastAsia="宋体" w:cs="宋体"/>
                <w:color w:val="auto"/>
                <w:kern w:val="0"/>
                <w:szCs w:val="21"/>
                <w:highlight w:val="none"/>
              </w:rPr>
              <w:t>；</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3.保障措施。</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二、评分依据： </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提供以上三个方面</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分，提供两个方面得</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分，其他情况不得分。</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在以上评审要求基础上，专家根据各供应商的具体响应内容进行进一步评审：</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1.售后服务计划完善</w:t>
            </w:r>
            <w:r>
              <w:rPr>
                <w:rFonts w:hint="eastAsia" w:ascii="宋体" w:hAnsi="宋体" w:eastAsia="宋体" w:cs="宋体"/>
                <w:color w:val="auto"/>
                <w:kern w:val="0"/>
                <w:szCs w:val="21"/>
                <w:highlight w:val="none"/>
              </w:rPr>
              <w:t>；</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2.服务承诺全面周到</w:t>
            </w:r>
            <w:r>
              <w:rPr>
                <w:rFonts w:hint="eastAsia" w:ascii="宋体" w:hAnsi="宋体" w:eastAsia="宋体" w:cs="宋体"/>
                <w:color w:val="auto"/>
                <w:kern w:val="0"/>
                <w:szCs w:val="21"/>
                <w:highlight w:val="none"/>
              </w:rPr>
              <w:t>；</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3.保障措施具体、可行。 </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满足上述三项得</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分，满足两项得</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满足一项得2分，</w:t>
            </w:r>
            <w:r>
              <w:rPr>
                <w:rFonts w:hint="eastAsia" w:ascii="宋体" w:hAnsi="宋体" w:eastAsia="宋体" w:cs="宋体"/>
                <w:color w:val="auto"/>
                <w:szCs w:val="21"/>
                <w:highlight w:val="none"/>
              </w:rPr>
              <w:t>其他不得分。</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
                <w:bCs/>
                <w:color w:val="auto"/>
                <w:szCs w:val="24"/>
                <w:highlight w:val="none"/>
              </w:rPr>
            </w:pPr>
            <w:r>
              <w:rPr>
                <w:rFonts w:hint="eastAsia" w:ascii="宋体" w:hAnsi="宋体" w:eastAsia="宋体" w:cs="宋体"/>
                <w:b/>
                <w:bCs/>
                <w:color w:val="auto"/>
                <w:szCs w:val="21"/>
                <w:highlight w:val="none"/>
              </w:rPr>
              <w:t>本项累计最高得</w:t>
            </w:r>
            <w:r>
              <w:rPr>
                <w:rFonts w:hint="eastAsia" w:ascii="宋体" w:hAnsi="宋体" w:eastAsia="宋体" w:cs="宋体"/>
                <w:b/>
                <w:bCs/>
                <w:color w:val="auto"/>
                <w:szCs w:val="21"/>
                <w:highlight w:val="none"/>
                <w:lang w:val="en-US" w:eastAsia="zh-CN"/>
              </w:rPr>
              <w:t>12</w:t>
            </w:r>
            <w:r>
              <w:rPr>
                <w:rFonts w:hint="eastAsia" w:ascii="宋体" w:hAnsi="宋体" w:eastAsia="宋体" w:cs="宋体"/>
                <w:b/>
                <w:bCs/>
                <w:color w:val="auto"/>
                <w:szCs w:val="21"/>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trHeight w:val="307" w:hRule="atLeast"/>
        </w:trPr>
        <w:tc>
          <w:tcPr>
            <w:tcW w:w="656" w:type="dxa"/>
            <w:vMerge w:val="restart"/>
            <w:tcBorders>
              <w:top w:val="single" w:color="000000" w:sz="8" w:space="0"/>
              <w:left w:val="single" w:color="000000" w:sz="8" w:space="0"/>
              <w:right w:val="single" w:color="000000" w:sz="8" w:space="0"/>
            </w:tcBorders>
            <w:noWrap w:val="0"/>
            <w:vAlign w:val="top"/>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w:t>
            </w:r>
          </w:p>
        </w:tc>
        <w:tc>
          <w:tcPr>
            <w:tcW w:w="3022" w:type="dxa"/>
            <w:gridSpan w:val="3"/>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商务部分</w:t>
            </w:r>
          </w:p>
        </w:tc>
        <w:tc>
          <w:tcPr>
            <w:tcW w:w="539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trHeight w:val="375" w:hRule="atLeast"/>
        </w:trPr>
        <w:tc>
          <w:tcPr>
            <w:tcW w:w="656" w:type="dxa"/>
            <w:vMerge w:val="continue"/>
            <w:tcBorders>
              <w:left w:val="single" w:color="000000" w:sz="8" w:space="0"/>
              <w:right w:val="single" w:color="000000" w:sz="8" w:space="0"/>
            </w:tcBorders>
            <w:shd w:val="clear" w:color="auto" w:fill="E6EFFA"/>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b/>
                <w:bCs/>
                <w:color w:val="auto"/>
                <w:szCs w:val="21"/>
                <w:highlight w:val="none"/>
              </w:rPr>
            </w:pPr>
          </w:p>
        </w:tc>
        <w:tc>
          <w:tcPr>
            <w:tcW w:w="750"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504"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评分因素</w:t>
            </w:r>
          </w:p>
        </w:tc>
        <w:tc>
          <w:tcPr>
            <w:tcW w:w="768"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分值</w:t>
            </w:r>
          </w:p>
        </w:tc>
        <w:tc>
          <w:tcPr>
            <w:tcW w:w="5394"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trHeight w:val="90" w:hRule="atLeast"/>
        </w:trPr>
        <w:tc>
          <w:tcPr>
            <w:tcW w:w="656" w:type="dxa"/>
            <w:vMerge w:val="continue"/>
            <w:tcBorders>
              <w:left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b/>
                <w:bCs/>
                <w:color w:val="auto"/>
                <w:szCs w:val="21"/>
                <w:highlight w:val="none"/>
              </w:rPr>
            </w:pPr>
          </w:p>
        </w:tc>
        <w:tc>
          <w:tcPr>
            <w:tcW w:w="75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0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投标人通过相关认证情况</w:t>
            </w:r>
          </w:p>
        </w:tc>
        <w:tc>
          <w:tcPr>
            <w:tcW w:w="76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539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Cs w:val="21"/>
                <w:highlight w:val="none"/>
              </w:rPr>
            </w:pPr>
            <w:r>
              <w:rPr>
                <w:rFonts w:hint="eastAsia" w:ascii="宋体" w:hAnsi="宋体" w:eastAsia="宋体" w:cs="宋体"/>
                <w:b/>
                <w:bCs/>
                <w:color w:val="auto"/>
                <w:highlight w:val="none"/>
              </w:rPr>
              <w:t>一、</w:t>
            </w:r>
            <w:r>
              <w:rPr>
                <w:rFonts w:hint="eastAsia" w:ascii="宋体" w:hAnsi="宋体" w:eastAsia="宋体" w:cs="宋体"/>
                <w:b/>
                <w:color w:val="auto"/>
                <w:szCs w:val="21"/>
                <w:highlight w:val="none"/>
              </w:rPr>
              <w:t>评分内容：</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投标人具有质量管理体系认证、环境管理体系认证和职业健康安全管理体系认证。每个得</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分，本项累计最多得3分。</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二、评分依据：</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要求提供有效的认证证书复印件</w:t>
            </w:r>
            <w:r>
              <w:rPr>
                <w:rFonts w:hint="eastAsia" w:ascii="宋体" w:hAnsi="宋体" w:eastAsia="宋体" w:cs="宋体"/>
                <w:color w:val="auto"/>
                <w:highlight w:val="none"/>
                <w:lang w:val="en-US" w:eastAsia="zh-CN"/>
              </w:rPr>
              <w:t>或扫描件</w:t>
            </w:r>
            <w:r>
              <w:rPr>
                <w:rFonts w:hint="eastAsia" w:ascii="宋体" w:hAnsi="宋体" w:eastAsia="宋体" w:cs="宋体"/>
                <w:color w:val="auto"/>
                <w:highlight w:val="none"/>
              </w:rPr>
              <w:t>加盖公章</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同时需提供</w:t>
            </w:r>
            <w:r>
              <w:rPr>
                <w:rFonts w:hint="eastAsia" w:ascii="宋体" w:hAnsi="宋体" w:eastAsia="宋体" w:cs="宋体"/>
                <w:color w:val="auto"/>
                <w:szCs w:val="21"/>
                <w:highlight w:val="none"/>
              </w:rPr>
              <w:t>在全国认证认可信息公共服务平台（认e云）（http://cx.cnca.cn/CertECloud/index/index/page）查询有效的截图</w:t>
            </w:r>
            <w:r>
              <w:rPr>
                <w:rFonts w:hint="eastAsia" w:ascii="宋体" w:hAnsi="宋体" w:eastAsia="宋体" w:cs="宋体"/>
                <w:color w:val="auto"/>
                <w:szCs w:val="21"/>
                <w:highlight w:val="none"/>
                <w:lang w:eastAsia="zh-CN"/>
              </w:rPr>
              <w:t>，</w:t>
            </w:r>
            <w:r>
              <w:rPr>
                <w:rFonts w:hint="eastAsia" w:ascii="宋体" w:hAnsi="宋体" w:eastAsia="宋体" w:cs="宋体"/>
                <w:color w:val="auto"/>
                <w:highlight w:val="none"/>
              </w:rPr>
              <w:t>作为得分依据，原件备查。评分中出现无证明资料或专家无法凭所提供资料判断是否得分的情况，一律作不得分处理。</w:t>
            </w:r>
            <w:r>
              <w:rPr>
                <w:rFonts w:hint="eastAsia" w:ascii="宋体" w:hAnsi="宋体" w:eastAsia="宋体" w:cs="宋体"/>
                <w:color w:val="auto"/>
                <w:highlight w:val="none"/>
                <w:lang w:val="en-US" w:eastAsia="zh-CN"/>
              </w:rPr>
              <w:t>由于成立时间不足三个月导致不能办理相应认证证书的，须提供“成立时间不足三个月，不能办理认证”的书面证明材料，并提供承诺中标后三个月内完成相应认证证书的办理的承诺函，格式自拟。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c>
          <w:tcPr>
            <w:tcW w:w="656" w:type="dxa"/>
            <w:vMerge w:val="continue"/>
            <w:tcBorders>
              <w:left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b/>
                <w:bCs/>
                <w:color w:val="auto"/>
                <w:szCs w:val="21"/>
                <w:highlight w:val="none"/>
              </w:rPr>
            </w:pPr>
          </w:p>
        </w:tc>
        <w:tc>
          <w:tcPr>
            <w:tcW w:w="75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0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投标供应商同类项目业绩情况</w:t>
            </w:r>
          </w:p>
        </w:tc>
        <w:tc>
          <w:tcPr>
            <w:tcW w:w="76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w:t>
            </w:r>
          </w:p>
        </w:tc>
        <w:tc>
          <w:tcPr>
            <w:tcW w:w="539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一、评分内容：</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1.提供</w:t>
            </w:r>
            <w:r>
              <w:rPr>
                <w:rFonts w:hint="eastAsia" w:ascii="宋体" w:hAnsi="宋体" w:eastAsia="宋体" w:cs="宋体"/>
                <w:color w:val="auto"/>
                <w:szCs w:val="21"/>
                <w:highlight w:val="none"/>
                <w:lang w:val="en-US" w:eastAsia="zh-CN"/>
              </w:rPr>
              <w:t>自2020年1月1日至</w:t>
            </w:r>
            <w:r>
              <w:rPr>
                <w:rFonts w:hint="eastAsia" w:ascii="宋体" w:hAnsi="宋体" w:eastAsia="宋体" w:cs="宋体"/>
                <w:color w:val="auto"/>
                <w:szCs w:val="21"/>
                <w:highlight w:val="none"/>
              </w:rPr>
              <w:t>本项目投标截止之日前</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以合同签订时间为准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承担过的</w:t>
            </w:r>
            <w:r>
              <w:rPr>
                <w:rFonts w:hint="eastAsia" w:ascii="宋体" w:hAnsi="宋体" w:eastAsia="宋体" w:cs="宋体"/>
                <w:color w:val="auto"/>
                <w:szCs w:val="21"/>
                <w:highlight w:val="none"/>
                <w:lang w:val="en-US" w:eastAsia="zh-CN"/>
              </w:rPr>
              <w:t>涉及口岸的交通类项目（包括交通仿真、交通改善、交通整治等项目），</w:t>
            </w:r>
            <w:r>
              <w:rPr>
                <w:rFonts w:hint="eastAsia" w:ascii="宋体" w:hAnsi="宋体" w:eastAsia="宋体" w:cs="宋体"/>
                <w:color w:val="auto"/>
                <w:szCs w:val="21"/>
                <w:highlight w:val="none"/>
              </w:rPr>
              <w:t>每提供一个得2分，同一项目续签不重复计算，本项最高得</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提供</w:t>
            </w:r>
            <w:r>
              <w:rPr>
                <w:rFonts w:hint="eastAsia" w:ascii="宋体" w:hAnsi="宋体" w:eastAsia="宋体" w:cs="宋体"/>
                <w:color w:val="auto"/>
                <w:szCs w:val="21"/>
                <w:highlight w:val="none"/>
                <w:lang w:val="en-US" w:eastAsia="zh-CN"/>
              </w:rPr>
              <w:t>自2020年1月1日至</w:t>
            </w:r>
            <w:r>
              <w:rPr>
                <w:rFonts w:hint="eastAsia" w:ascii="宋体" w:hAnsi="宋体" w:eastAsia="宋体" w:cs="宋体"/>
                <w:color w:val="auto"/>
                <w:szCs w:val="21"/>
                <w:highlight w:val="none"/>
              </w:rPr>
              <w:t>本项目投标截止之日前</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以合同签订时间为准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承担过的</w:t>
            </w:r>
            <w:r>
              <w:rPr>
                <w:rFonts w:hint="eastAsia" w:ascii="宋体" w:hAnsi="宋体" w:eastAsia="宋体" w:cs="宋体"/>
                <w:color w:val="auto"/>
                <w:szCs w:val="21"/>
                <w:highlight w:val="none"/>
                <w:lang w:val="en-US" w:eastAsia="zh-CN"/>
              </w:rPr>
              <w:t>综合</w:t>
            </w:r>
            <w:r>
              <w:rPr>
                <w:rFonts w:hint="eastAsia" w:ascii="宋体" w:hAnsi="宋体" w:eastAsia="宋体" w:cs="宋体"/>
                <w:color w:val="auto"/>
                <w:szCs w:val="21"/>
                <w:highlight w:val="none"/>
              </w:rPr>
              <w:t>交通</w:t>
            </w:r>
            <w:r>
              <w:rPr>
                <w:rFonts w:hint="eastAsia" w:ascii="宋体" w:hAnsi="宋体" w:eastAsia="宋体" w:cs="宋体"/>
                <w:color w:val="auto"/>
                <w:szCs w:val="21"/>
                <w:highlight w:val="none"/>
                <w:lang w:val="en-US" w:eastAsia="zh-CN"/>
              </w:rPr>
              <w:t>枢纽</w:t>
            </w:r>
            <w:r>
              <w:rPr>
                <w:rFonts w:hint="eastAsia" w:ascii="宋体" w:hAnsi="宋体" w:eastAsia="宋体" w:cs="宋体"/>
                <w:color w:val="auto"/>
                <w:szCs w:val="21"/>
                <w:highlight w:val="none"/>
              </w:rPr>
              <w:t>仿真相关项目，每提供一个得2分，同一项目续签不重复计算，本项最高得</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提供</w:t>
            </w:r>
            <w:r>
              <w:rPr>
                <w:rFonts w:hint="eastAsia" w:ascii="宋体" w:hAnsi="宋体" w:eastAsia="宋体" w:cs="宋体"/>
                <w:color w:val="auto"/>
                <w:szCs w:val="21"/>
                <w:highlight w:val="none"/>
                <w:lang w:val="en-US" w:eastAsia="zh-CN"/>
              </w:rPr>
              <w:t>自2020年1月1日至</w:t>
            </w:r>
            <w:r>
              <w:rPr>
                <w:rFonts w:hint="eastAsia" w:ascii="宋体" w:hAnsi="宋体" w:eastAsia="宋体" w:cs="宋体"/>
                <w:color w:val="auto"/>
                <w:szCs w:val="21"/>
                <w:highlight w:val="none"/>
              </w:rPr>
              <w:t>本项目投标截止之日前</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以合同签订时间为准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承担过的交通改善、整治相关研究项目，每提供一个得2分，同一项目续签不重复计算，本项最高得4分。</w:t>
            </w:r>
          </w:p>
          <w:p>
            <w:pPr>
              <w:pStyle w:val="3"/>
              <w:pageBreakBefore w:val="0"/>
              <w:kinsoku/>
              <w:wordWrap/>
              <w:overflowPunct/>
              <w:topLinePunct w:val="0"/>
              <w:autoSpaceDE/>
              <w:autoSpaceDN/>
              <w:bidi w:val="0"/>
              <w:adjustRightInd/>
              <w:spacing w:before="0" w:after="0" w:line="240" w:lineRule="auto"/>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以上1、2、3项累计最高得12分。</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注：同一合同含以上多项内容不重复得分，以得分高项计分。</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二、评分依据：</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须提供业绩汇总表（汇总表</w:t>
            </w:r>
            <w:r>
              <w:rPr>
                <w:rFonts w:hint="eastAsia" w:ascii="宋体" w:hAnsi="宋体" w:eastAsia="宋体" w:cs="宋体"/>
                <w:color w:val="auto"/>
                <w:szCs w:val="21"/>
                <w:highlight w:val="none"/>
                <w:lang w:val="en-US" w:eastAsia="zh-CN"/>
              </w:rPr>
              <w:t>须按以上评分标准涉及口岸的交通类、交通仿真类、交通改善研究类三类分别</w:t>
            </w:r>
            <w:r>
              <w:rPr>
                <w:rFonts w:hint="eastAsia" w:ascii="宋体" w:hAnsi="宋体" w:eastAsia="宋体" w:cs="宋体"/>
                <w:color w:val="auto"/>
                <w:szCs w:val="21"/>
                <w:highlight w:val="none"/>
                <w:lang w:eastAsia="zh-CN"/>
              </w:rPr>
              <w:t>列明项目名称、合同期限、服务对象），并附相应项目合同关键页（</w:t>
            </w:r>
            <w:r>
              <w:rPr>
                <w:rFonts w:hint="eastAsia" w:ascii="宋体" w:hAnsi="宋体" w:eastAsia="宋体" w:cs="宋体"/>
                <w:color w:val="auto"/>
                <w:szCs w:val="21"/>
                <w:highlight w:val="none"/>
                <w:lang w:val="en-US" w:eastAsia="zh-CN"/>
              </w:rPr>
              <w:t>包括但不限于</w:t>
            </w:r>
            <w:r>
              <w:rPr>
                <w:rFonts w:hint="eastAsia" w:ascii="宋体" w:hAnsi="宋体" w:eastAsia="宋体" w:cs="宋体"/>
                <w:color w:val="auto"/>
                <w:szCs w:val="21"/>
                <w:highlight w:val="none"/>
                <w:lang w:eastAsia="zh-CN"/>
              </w:rPr>
              <w:t>服务内容页、合同签订时间页、甲乙方签字盖章页）复印件</w:t>
            </w:r>
            <w:r>
              <w:rPr>
                <w:rFonts w:hint="eastAsia" w:ascii="宋体" w:hAnsi="宋体" w:eastAsia="宋体" w:cs="宋体"/>
                <w:color w:val="auto"/>
                <w:szCs w:val="21"/>
                <w:highlight w:val="none"/>
                <w:lang w:val="en-US" w:eastAsia="zh-CN"/>
              </w:rPr>
              <w:t>或扫描件</w:t>
            </w:r>
            <w:r>
              <w:rPr>
                <w:rFonts w:hint="eastAsia" w:ascii="宋体" w:hAnsi="宋体" w:eastAsia="宋体" w:cs="宋体"/>
                <w:color w:val="auto"/>
                <w:szCs w:val="21"/>
                <w:highlight w:val="none"/>
                <w:lang w:eastAsia="zh-CN"/>
              </w:rPr>
              <w:t>加盖投标人公章，原件备查。项目合同无法证明相关情况的可提供合同甲方出具的证明材料（需加盖合同甲方公章）。同一项目续签合同不重复计分。</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、投标人应确保提供的资料</w:t>
            </w:r>
            <w:r>
              <w:rPr>
                <w:rFonts w:hint="eastAsia" w:ascii="宋体" w:hAnsi="宋体" w:eastAsia="宋体" w:cs="宋体"/>
                <w:color w:val="auto"/>
                <w:szCs w:val="21"/>
                <w:highlight w:val="none"/>
                <w:lang w:val="en-US" w:eastAsia="zh-CN"/>
              </w:rPr>
              <w:t>清晰完整，</w:t>
            </w:r>
            <w:r>
              <w:rPr>
                <w:rFonts w:hint="eastAsia" w:ascii="宋体" w:hAnsi="宋体" w:eastAsia="宋体" w:cs="宋体"/>
                <w:color w:val="auto"/>
                <w:szCs w:val="21"/>
                <w:highlight w:val="none"/>
              </w:rPr>
              <w:t>足以使评标委员会做出判断。上述信息缺少任何一项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未提供及提供材料</w:t>
            </w:r>
            <w:r>
              <w:rPr>
                <w:rFonts w:hint="eastAsia" w:ascii="宋体" w:hAnsi="宋体" w:eastAsia="宋体" w:cs="宋体"/>
                <w:color w:val="auto"/>
                <w:szCs w:val="21"/>
                <w:highlight w:val="none"/>
                <w:lang w:val="en-US" w:eastAsia="zh-CN"/>
              </w:rPr>
              <w:t>不清晰导致专家无法判断的</w:t>
            </w:r>
            <w:r>
              <w:rPr>
                <w:rFonts w:hint="eastAsia" w:ascii="宋体" w:hAnsi="宋体" w:eastAsia="宋体" w:cs="宋体"/>
                <w:color w:val="auto"/>
                <w:szCs w:val="21"/>
                <w:highlight w:val="none"/>
              </w:rPr>
              <w:t>的本项案例不得分。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c>
          <w:tcPr>
            <w:tcW w:w="656" w:type="dxa"/>
            <w:vMerge w:val="continue"/>
            <w:tcBorders>
              <w:left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b/>
                <w:bCs/>
                <w:color w:val="auto"/>
                <w:szCs w:val="21"/>
                <w:highlight w:val="none"/>
              </w:rPr>
            </w:pPr>
          </w:p>
        </w:tc>
        <w:tc>
          <w:tcPr>
            <w:tcW w:w="75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0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拟安排的项目负责人情况（仅限一人）</w:t>
            </w:r>
          </w:p>
        </w:tc>
        <w:tc>
          <w:tcPr>
            <w:tcW w:w="76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539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一、评分内容：</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拟安排的项目负责人取得的相关资质情况：</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1.项目负责人具备交通运输类正高级职称证书的，得2分。具备交通运输类副高级职称证书的，得1分。多职称证书仅计算一份最高职称证书。本项最高得2分。</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highlight w:val="none"/>
              </w:rPr>
              <w:t>项目负责人主持过</w:t>
            </w:r>
            <w:r>
              <w:rPr>
                <w:rFonts w:hint="eastAsia" w:ascii="宋体" w:hAnsi="宋体" w:eastAsia="宋体" w:cs="宋体"/>
                <w:color w:val="auto"/>
                <w:szCs w:val="21"/>
                <w:highlight w:val="none"/>
                <w:lang w:val="en-US" w:eastAsia="zh-CN"/>
              </w:rPr>
              <w:t>涉及口岸的交通类项目（包括交通仿真、交通改善、交通整治等项目）</w:t>
            </w:r>
            <w:r>
              <w:rPr>
                <w:rFonts w:hint="eastAsia" w:ascii="宋体" w:hAnsi="宋体" w:eastAsia="宋体" w:cs="宋体"/>
                <w:color w:val="auto"/>
                <w:highlight w:val="none"/>
              </w:rPr>
              <w:t>，每个项目得</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w:t>
            </w:r>
            <w:r>
              <w:rPr>
                <w:rFonts w:hint="eastAsia" w:ascii="宋体" w:hAnsi="宋体" w:eastAsia="宋体" w:cs="宋体"/>
                <w:color w:val="auto"/>
                <w:szCs w:val="21"/>
                <w:highlight w:val="none"/>
              </w:rPr>
              <w:t>同一项目续签不重复计算</w:t>
            </w:r>
            <w:r>
              <w:rPr>
                <w:rFonts w:hint="eastAsia" w:ascii="宋体" w:hAnsi="宋体" w:eastAsia="宋体" w:cs="宋体"/>
                <w:color w:val="auto"/>
                <w:szCs w:val="21"/>
                <w:highlight w:val="none"/>
                <w:lang w:eastAsia="zh-CN"/>
              </w:rPr>
              <w:t>，</w:t>
            </w:r>
            <w:r>
              <w:rPr>
                <w:rFonts w:hint="eastAsia" w:ascii="宋体" w:hAnsi="宋体" w:eastAsia="宋体" w:cs="宋体"/>
                <w:color w:val="auto"/>
                <w:highlight w:val="none"/>
              </w:rPr>
              <w:t>本项得分最高得</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分。</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3.项目负责人主持过综合交通枢纽仿真相关项目、</w:t>
            </w:r>
            <w:r>
              <w:rPr>
                <w:rFonts w:hint="eastAsia" w:ascii="宋体" w:hAnsi="宋体" w:eastAsia="宋体" w:cs="宋体"/>
                <w:color w:val="auto"/>
                <w:szCs w:val="21"/>
                <w:highlight w:val="none"/>
              </w:rPr>
              <w:t>交通改善、</w:t>
            </w:r>
            <w:r>
              <w:rPr>
                <w:rFonts w:hint="eastAsia" w:ascii="宋体" w:hAnsi="宋体" w:eastAsia="宋体" w:cs="宋体"/>
                <w:color w:val="auto"/>
                <w:szCs w:val="21"/>
                <w:highlight w:val="none"/>
                <w:lang w:val="en-US" w:eastAsia="zh-CN"/>
              </w:rPr>
              <w:t>交通</w:t>
            </w:r>
            <w:r>
              <w:rPr>
                <w:rFonts w:hint="eastAsia" w:ascii="宋体" w:hAnsi="宋体" w:eastAsia="宋体" w:cs="宋体"/>
                <w:color w:val="auto"/>
                <w:szCs w:val="21"/>
                <w:highlight w:val="none"/>
              </w:rPr>
              <w:t>整治相关研究项目</w:t>
            </w:r>
            <w:r>
              <w:rPr>
                <w:rFonts w:hint="eastAsia" w:ascii="宋体" w:hAnsi="宋体" w:eastAsia="宋体" w:cs="宋体"/>
                <w:color w:val="auto"/>
                <w:szCs w:val="21"/>
                <w:highlight w:val="none"/>
                <w:lang w:val="en-US" w:eastAsia="zh-CN"/>
              </w:rPr>
              <w:t>的，每提供一个项目得1分，同一项目续签不重复计算，本小项最高得4分。</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以上1、2</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项累计最高得</w:t>
            </w:r>
            <w:r>
              <w:rPr>
                <w:rFonts w:hint="eastAsia" w:ascii="宋体" w:hAnsi="宋体" w:eastAsia="宋体" w:cs="宋体"/>
                <w:b/>
                <w:bCs/>
                <w:color w:val="auto"/>
                <w:szCs w:val="21"/>
                <w:highlight w:val="none"/>
                <w:lang w:val="en-US" w:eastAsia="zh-CN"/>
              </w:rPr>
              <w:t>10</w:t>
            </w:r>
            <w:r>
              <w:rPr>
                <w:rFonts w:hint="eastAsia" w:ascii="宋体" w:hAnsi="宋体" w:eastAsia="宋体" w:cs="宋体"/>
                <w:b/>
                <w:bCs/>
                <w:color w:val="auto"/>
                <w:szCs w:val="21"/>
                <w:highlight w:val="none"/>
              </w:rPr>
              <w:t>分。</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二、评分依据：</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1.投标人需提供</w:t>
            </w:r>
            <w:r>
              <w:rPr>
                <w:rFonts w:hint="eastAsia" w:ascii="宋体" w:hAnsi="宋体" w:eastAsia="宋体" w:cs="宋体"/>
                <w:color w:val="auto"/>
                <w:szCs w:val="21"/>
                <w:highlight w:val="none"/>
              </w:rPr>
              <w:t>为项目负责人购买社保的证明（投标截止日前近三个月内任意一个月的社保证明清单， 并加盖人社局印章或税务部门公章。成立不足一个月的，提供情况说明）。已退休返聘人员可提供聘用合同。</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2.提供职称证书。</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以上类似案例需提供清晰的合同关键页（至少包含双方印章和签字页、能够证明案例符合本次招标要求的项目合同页、服务名称、签订时间、合同正文）加盖公章，原件备查。通过项目合同无法证明相关情况的可提供合同甲方出具的证明材料（需加盖合同甲方公章）。同一项目续签合同不重复计分。</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以上资料均要求提供复印件</w:t>
            </w:r>
            <w:r>
              <w:rPr>
                <w:rFonts w:hint="eastAsia" w:ascii="宋体" w:hAnsi="宋体" w:eastAsia="宋体" w:cs="宋体"/>
                <w:color w:val="auto"/>
                <w:szCs w:val="21"/>
                <w:highlight w:val="none"/>
                <w:lang w:val="en-US" w:eastAsia="zh-CN"/>
              </w:rPr>
              <w:t>或扫描件</w:t>
            </w:r>
            <w:r>
              <w:rPr>
                <w:rFonts w:hint="eastAsia" w:ascii="宋体" w:hAnsi="宋体" w:eastAsia="宋体" w:cs="宋体"/>
                <w:color w:val="auto"/>
                <w:szCs w:val="21"/>
                <w:highlight w:val="none"/>
              </w:rPr>
              <w:t>（或官方网站截图）</w:t>
            </w:r>
            <w:r>
              <w:rPr>
                <w:rFonts w:hint="eastAsia" w:ascii="宋体" w:hAnsi="宋体" w:eastAsia="宋体" w:cs="宋体"/>
                <w:color w:val="auto"/>
                <w:szCs w:val="21"/>
                <w:highlight w:val="none"/>
                <w:lang w:val="en-US" w:eastAsia="zh-CN"/>
              </w:rPr>
              <w:t>加盖公章</w:t>
            </w:r>
            <w:r>
              <w:rPr>
                <w:rFonts w:hint="eastAsia" w:ascii="宋体" w:hAnsi="宋体" w:eastAsia="宋体" w:cs="宋体"/>
                <w:color w:val="auto"/>
                <w:szCs w:val="21"/>
                <w:highlight w:val="none"/>
              </w:rPr>
              <w:t>，原件备查。评分中出现无证明资料或专家无法凭所提供资料判断是否得分的情况，一律作不得分处理。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trHeight w:val="626" w:hRule="atLeast"/>
        </w:trPr>
        <w:tc>
          <w:tcPr>
            <w:tcW w:w="656" w:type="dxa"/>
            <w:vMerge w:val="continue"/>
            <w:tcBorders>
              <w:left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b/>
                <w:bCs/>
                <w:color w:val="auto"/>
                <w:szCs w:val="21"/>
                <w:highlight w:val="none"/>
              </w:rPr>
            </w:pPr>
          </w:p>
        </w:tc>
        <w:tc>
          <w:tcPr>
            <w:tcW w:w="75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0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拟安排的项目主要团队成员（主要技术人员）情况（项目负责人除外）</w:t>
            </w:r>
          </w:p>
        </w:tc>
        <w:tc>
          <w:tcPr>
            <w:tcW w:w="76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539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一、</w:t>
            </w:r>
            <w:r>
              <w:rPr>
                <w:rFonts w:hint="eastAsia" w:ascii="宋体" w:hAnsi="宋体" w:eastAsia="宋体" w:cs="宋体"/>
                <w:b/>
                <w:bCs/>
                <w:color w:val="auto"/>
                <w:szCs w:val="21"/>
                <w:highlight w:val="none"/>
              </w:rPr>
              <w:t>评分内容：</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拟安排得项目团队成员不得少于10人，否则此项不得分，在此基础上：</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具有</w:t>
            </w:r>
            <w:r>
              <w:rPr>
                <w:rFonts w:hint="eastAsia" w:ascii="宋体" w:hAnsi="宋体" w:eastAsia="宋体" w:cs="宋体"/>
                <w:color w:val="auto"/>
                <w:szCs w:val="21"/>
                <w:highlight w:val="none"/>
                <w:lang w:val="en-US" w:eastAsia="zh-CN"/>
              </w:rPr>
              <w:t>交通运输类</w:t>
            </w:r>
            <w:r>
              <w:rPr>
                <w:rFonts w:hint="eastAsia" w:ascii="宋体" w:hAnsi="宋体" w:eastAsia="宋体" w:cs="宋体"/>
                <w:color w:val="auto"/>
                <w:highlight w:val="none"/>
              </w:rPr>
              <w:t>专业副高级或以上职称的，每提供一名得</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分，本项最高得</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分。</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2.具有</w:t>
            </w:r>
            <w:r>
              <w:rPr>
                <w:rFonts w:hint="eastAsia" w:ascii="宋体" w:hAnsi="宋体" w:eastAsia="宋体" w:cs="宋体"/>
                <w:color w:val="auto"/>
                <w:szCs w:val="21"/>
                <w:highlight w:val="none"/>
                <w:lang w:val="en-US" w:eastAsia="zh-CN"/>
              </w:rPr>
              <w:t>交通运输类</w:t>
            </w:r>
            <w:r>
              <w:rPr>
                <w:rFonts w:hint="eastAsia" w:ascii="宋体" w:hAnsi="宋体" w:eastAsia="宋体" w:cs="宋体"/>
                <w:color w:val="auto"/>
                <w:highlight w:val="none"/>
                <w:lang w:val="en-US" w:eastAsia="zh-CN"/>
              </w:rPr>
              <w:t>中级或以上职称的，每提供一名得1分，本项最高得6分。</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以上两项同一人不可重复得分。</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二、</w:t>
            </w:r>
            <w:r>
              <w:rPr>
                <w:rFonts w:hint="eastAsia" w:ascii="宋体" w:hAnsi="宋体" w:eastAsia="宋体" w:cs="宋体"/>
                <w:b/>
                <w:bCs/>
                <w:color w:val="auto"/>
                <w:szCs w:val="21"/>
                <w:highlight w:val="none"/>
              </w:rPr>
              <w:t>评分依据：</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.投标人需提供</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val="en-US" w:eastAsia="zh-CN"/>
              </w:rPr>
              <w:t>项目团队成员</w:t>
            </w:r>
            <w:r>
              <w:rPr>
                <w:rFonts w:hint="eastAsia" w:ascii="宋体" w:hAnsi="宋体" w:eastAsia="宋体" w:cs="宋体"/>
                <w:color w:val="auto"/>
                <w:szCs w:val="21"/>
                <w:highlight w:val="none"/>
              </w:rPr>
              <w:t>购买社保的证明（投标截止日前近三个月内任意一个月的社保证明清单， 并加盖人社局印章或税务部门公章。成立不足一个月的，提供情况说明）。已退休返聘人员可提供聘用合同。</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2.提供职称证书。</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以上资料均要求提供复印件</w:t>
            </w:r>
            <w:r>
              <w:rPr>
                <w:rFonts w:hint="eastAsia" w:ascii="宋体" w:hAnsi="宋体" w:eastAsia="宋体" w:cs="宋体"/>
                <w:color w:val="auto"/>
                <w:szCs w:val="21"/>
                <w:highlight w:val="none"/>
                <w:lang w:val="en-US" w:eastAsia="zh-CN"/>
              </w:rPr>
              <w:t>或扫描件</w:t>
            </w:r>
            <w:r>
              <w:rPr>
                <w:rFonts w:hint="eastAsia" w:ascii="宋体" w:hAnsi="宋体" w:eastAsia="宋体" w:cs="宋体"/>
                <w:color w:val="auto"/>
                <w:szCs w:val="21"/>
                <w:highlight w:val="none"/>
              </w:rPr>
              <w:t>（或官方网站截图）</w:t>
            </w:r>
            <w:r>
              <w:rPr>
                <w:rFonts w:hint="eastAsia" w:ascii="宋体" w:hAnsi="宋体" w:eastAsia="宋体" w:cs="宋体"/>
                <w:color w:val="auto"/>
                <w:szCs w:val="21"/>
                <w:highlight w:val="none"/>
                <w:lang w:val="en-US" w:eastAsia="zh-CN"/>
              </w:rPr>
              <w:t>加盖公章</w:t>
            </w:r>
            <w:r>
              <w:rPr>
                <w:rFonts w:hint="eastAsia" w:ascii="宋体" w:hAnsi="宋体" w:eastAsia="宋体" w:cs="宋体"/>
                <w:color w:val="auto"/>
                <w:szCs w:val="21"/>
                <w:highlight w:val="none"/>
              </w:rPr>
              <w:t>，原件备查。评分中出现无证明资料或专家无法凭所提供资料判断是否得分的情况，一律作不得分处理。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c>
          <w:tcPr>
            <w:tcW w:w="656" w:type="dxa"/>
            <w:tcBorders>
              <w:top w:val="single" w:color="000000" w:sz="8" w:space="0"/>
              <w:left w:val="single" w:color="000000" w:sz="8" w:space="0"/>
              <w:bottom w:val="single" w:color="auto" w:sz="4" w:space="0"/>
              <w:right w:val="single" w:color="000000" w:sz="8" w:space="0"/>
            </w:tcBorders>
            <w:noWrap w:val="0"/>
            <w:vAlign w:val="top"/>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4</w:t>
            </w:r>
          </w:p>
        </w:tc>
        <w:tc>
          <w:tcPr>
            <w:tcW w:w="3022" w:type="dxa"/>
            <w:gridSpan w:val="3"/>
            <w:tcBorders>
              <w:top w:val="single" w:color="000000" w:sz="8" w:space="0"/>
              <w:left w:val="single" w:color="000000" w:sz="8" w:space="0"/>
              <w:bottom w:val="single" w:color="auto" w:sz="4" w:space="0"/>
              <w:right w:val="single" w:color="000000" w:sz="8" w:space="0"/>
            </w:tcBorders>
            <w:noWrap w:val="0"/>
            <w:vAlign w:val="top"/>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诚信情况</w:t>
            </w:r>
          </w:p>
        </w:tc>
        <w:tc>
          <w:tcPr>
            <w:tcW w:w="5394" w:type="dxa"/>
            <w:tcBorders>
              <w:top w:val="single" w:color="000000" w:sz="8" w:space="0"/>
              <w:left w:val="single" w:color="000000" w:sz="8" w:space="0"/>
              <w:bottom w:val="single" w:color="auto" w:sz="4" w:space="0"/>
              <w:right w:val="single" w:color="000000" w:sz="8" w:space="0"/>
            </w:tcBorders>
            <w:noWrap w:val="0"/>
            <w:vAlign w:val="top"/>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c>
          <w:tcPr>
            <w:tcW w:w="656" w:type="dxa"/>
            <w:vMerge w:val="restart"/>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b/>
                <w:bCs/>
                <w:color w:val="auto"/>
                <w:szCs w:val="21"/>
                <w:highlight w:val="none"/>
              </w:rPr>
            </w:pPr>
          </w:p>
        </w:tc>
        <w:tc>
          <w:tcPr>
            <w:tcW w:w="750"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504"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评分因素</w:t>
            </w:r>
          </w:p>
        </w:tc>
        <w:tc>
          <w:tcPr>
            <w:tcW w:w="768"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分值</w:t>
            </w:r>
          </w:p>
        </w:tc>
        <w:tc>
          <w:tcPr>
            <w:tcW w:w="5394"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trHeight w:val="3026" w:hRule="atLeast"/>
        </w:trPr>
        <w:tc>
          <w:tcPr>
            <w:tcW w:w="656"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b/>
                <w:bCs/>
                <w:color w:val="auto"/>
                <w:szCs w:val="21"/>
                <w:highlight w:val="none"/>
              </w:rPr>
            </w:pPr>
          </w:p>
        </w:tc>
        <w:tc>
          <w:tcPr>
            <w:tcW w:w="75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0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诚信情况</w:t>
            </w:r>
          </w:p>
        </w:tc>
        <w:tc>
          <w:tcPr>
            <w:tcW w:w="76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5394" w:type="dxa"/>
            <w:tcBorders>
              <w:top w:val="single" w:color="000000" w:sz="8" w:space="0"/>
              <w:left w:val="single" w:color="000000" w:sz="8" w:space="0"/>
              <w:bottom w:val="single" w:color="000000" w:sz="8" w:space="0"/>
              <w:right w:val="single" w:color="000000" w:sz="8" w:space="0"/>
            </w:tcBorders>
            <w:noWrap w:val="0"/>
            <w:vAlign w:val="top"/>
          </w:tcPr>
          <w:p>
            <w:pPr>
              <w:snapToGrid w:val="0"/>
              <w:spacing w:after="0" w:line="240" w:lineRule="atLeast"/>
              <w:rPr>
                <w:color w:val="auto"/>
                <w:szCs w:val="21"/>
                <w:highlight w:val="none"/>
              </w:rPr>
            </w:pPr>
            <w:r>
              <w:rPr>
                <w:rFonts w:hint="eastAsia"/>
                <w:color w:val="auto"/>
                <w:szCs w:val="21"/>
                <w:highlight w:val="none"/>
              </w:rPr>
              <w:t>投标人存在《深圳市财政局政府采购供应商信用信息管理办法》（深财规〔2023〕3号）列明的一般行政处罚信息、一般违法失信记录信息的，本项不得分，不存在上述情形的本项得满分。投标人无需提供任何证明材料，评标过程中由工作人员向评审委员会提供有关供应商诚信查询结果。</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lang w:val="en-US" w:eastAsia="zh-CN"/>
              </w:rPr>
            </w:pPr>
            <w:r>
              <w:rPr>
                <w:rFonts w:hint="eastAsia"/>
                <w:color w:val="auto"/>
                <w:szCs w:val="21"/>
                <w:highlight w:val="none"/>
              </w:rPr>
              <w:t>查询渠道：通过“信用中国”（www.creditchina.gov.cn，下载信用信息报告）、“中国政府采购网”（www.ccgp.gov.cn）、以及“深圳市政府采购监管网”（http://zfcg.sz.gov.cn）查询供应商信用信息，信用信息以开标当日的查询结果为准。</w:t>
            </w:r>
          </w:p>
        </w:tc>
      </w:tr>
    </w:tbl>
    <w:p>
      <w:pPr>
        <w:spacing w:line="440" w:lineRule="exact"/>
        <w:ind w:firstLine="422" w:firstLineChars="200"/>
        <w:rPr>
          <w:rFonts w:ascii="宋体" w:hAnsi="宋体"/>
          <w:color w:val="auto"/>
          <w:szCs w:val="21"/>
          <w:highlight w:val="none"/>
        </w:rPr>
      </w:pPr>
      <w:r>
        <w:rPr>
          <w:rFonts w:hint="eastAsia" w:ascii="宋体" w:hAnsi="宋体"/>
          <w:b/>
          <w:color w:val="auto"/>
          <w:szCs w:val="21"/>
          <w:highlight w:val="none"/>
        </w:rPr>
        <w:t>说明：</w:t>
      </w:r>
      <w:r>
        <w:rPr>
          <w:rFonts w:hint="eastAsia" w:ascii="宋体" w:hAnsi="宋体"/>
          <w:color w:val="auto"/>
          <w:szCs w:val="21"/>
          <w:highlight w:val="none"/>
        </w:rPr>
        <w:t>1、本评分表中每一栏的得分最高不得超过该项评审指标的分值。2、表中要求提供相关计分证明文件的内容，投标文件中须明确加以说明，未按要求提供相关文件或说明不清楚的按不符合要求处理。</w:t>
      </w:r>
    </w:p>
    <w:p>
      <w:pPr>
        <w:spacing w:line="440" w:lineRule="exact"/>
        <w:ind w:firstLine="422" w:firstLineChars="200"/>
        <w:rPr>
          <w:rFonts w:ascii="宋体" w:hAnsi="宋体"/>
          <w:b/>
          <w:color w:val="auto"/>
          <w:szCs w:val="21"/>
          <w:highlight w:val="none"/>
        </w:rPr>
      </w:pPr>
      <w:r>
        <w:rPr>
          <w:rFonts w:hint="eastAsia" w:ascii="宋体" w:hAnsi="宋体"/>
          <w:b/>
          <w:color w:val="auto"/>
          <w:szCs w:val="21"/>
          <w:highlight w:val="none"/>
        </w:rPr>
        <w:t>三、评标及定标程序</w:t>
      </w:r>
    </w:p>
    <w:p>
      <w:pPr>
        <w:spacing w:line="440" w:lineRule="exact"/>
        <w:ind w:firstLine="422" w:firstLineChars="200"/>
        <w:rPr>
          <w:rFonts w:ascii="宋体" w:hAnsi="宋体"/>
          <w:b/>
          <w:color w:val="auto"/>
          <w:szCs w:val="21"/>
          <w:highlight w:val="none"/>
        </w:rPr>
      </w:pPr>
      <w:r>
        <w:rPr>
          <w:rFonts w:hint="eastAsia" w:ascii="宋体" w:hAnsi="宋体"/>
          <w:b/>
          <w:color w:val="auto"/>
          <w:szCs w:val="21"/>
          <w:highlight w:val="none"/>
        </w:rPr>
        <w:t>（一）授权评标委员会确定中标单位的方式</w:t>
      </w:r>
    </w:p>
    <w:p>
      <w:pPr>
        <w:pStyle w:val="7"/>
        <w:numPr>
          <w:ilvl w:val="0"/>
          <w:numId w:val="1"/>
        </w:numPr>
        <w:spacing w:line="440" w:lineRule="exact"/>
        <w:ind w:firstLineChars="0"/>
        <w:rPr>
          <w:rFonts w:ascii="宋体" w:hAnsi="宋体"/>
          <w:b/>
          <w:color w:val="auto"/>
          <w:szCs w:val="21"/>
          <w:highlight w:val="none"/>
        </w:rPr>
      </w:pPr>
      <w:r>
        <w:rPr>
          <w:rFonts w:ascii="宋体" w:hAnsi="宋体"/>
          <w:b/>
          <w:color w:val="auto"/>
          <w:szCs w:val="21"/>
          <w:highlight w:val="none"/>
        </w:rPr>
        <w:t>综合评分法</w:t>
      </w:r>
    </w:p>
    <w:p>
      <w:pPr>
        <w:spacing w:line="440" w:lineRule="exact"/>
        <w:ind w:firstLine="422" w:firstLineChars="200"/>
        <w:rPr>
          <w:rFonts w:ascii="Calibri" w:hAnsi="Calibri"/>
          <w:b/>
          <w:color w:val="auto"/>
          <w:szCs w:val="21"/>
          <w:highlight w:val="none"/>
        </w:rPr>
      </w:pPr>
      <w:r>
        <w:rPr>
          <w:rFonts w:hint="eastAsia" w:ascii="宋体" w:hAnsi="宋体"/>
          <w:b/>
          <w:color w:val="auto"/>
          <w:szCs w:val="21"/>
          <w:highlight w:val="none"/>
        </w:rPr>
        <w:t>1、</w:t>
      </w:r>
      <w:r>
        <w:rPr>
          <w:rFonts w:ascii="Calibri" w:hAnsi="宋体"/>
          <w:b/>
          <w:color w:val="auto"/>
          <w:szCs w:val="21"/>
          <w:highlight w:val="none"/>
        </w:rPr>
        <w:t>符合性检查</w:t>
      </w:r>
    </w:p>
    <w:p>
      <w:pPr>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评标委员会根据</w:t>
      </w:r>
      <w:r>
        <w:rPr>
          <w:rFonts w:hint="eastAsia" w:ascii="宋体" w:hAnsi="宋体"/>
          <w:bCs/>
          <w:color w:val="auto"/>
          <w:szCs w:val="21"/>
          <w:highlight w:val="none"/>
        </w:rPr>
        <w:t>《</w:t>
      </w:r>
      <w:r>
        <w:rPr>
          <w:rFonts w:ascii="宋体" w:hAnsi="宋体"/>
          <w:bCs/>
          <w:color w:val="auto"/>
          <w:szCs w:val="21"/>
          <w:highlight w:val="none"/>
        </w:rPr>
        <w:t>符合性检查表》的内容和标准，对所有</w:t>
      </w:r>
      <w:r>
        <w:rPr>
          <w:rFonts w:hint="eastAsia" w:ascii="宋体" w:hAnsi="宋体"/>
          <w:bCs/>
          <w:color w:val="auto"/>
          <w:szCs w:val="21"/>
          <w:highlight w:val="none"/>
        </w:rPr>
        <w:t>通过资格性核查的</w:t>
      </w:r>
      <w:r>
        <w:rPr>
          <w:rFonts w:ascii="宋体" w:hAnsi="宋体"/>
          <w:bCs/>
          <w:color w:val="auto"/>
          <w:szCs w:val="21"/>
          <w:highlight w:val="none"/>
        </w:rPr>
        <w:t>投标</w:t>
      </w:r>
      <w:r>
        <w:rPr>
          <w:rFonts w:hint="eastAsia" w:ascii="宋体" w:hAnsi="宋体"/>
          <w:bCs/>
          <w:color w:val="auto"/>
          <w:szCs w:val="21"/>
          <w:highlight w:val="none"/>
        </w:rPr>
        <w:t>文件</w:t>
      </w:r>
      <w:r>
        <w:rPr>
          <w:rFonts w:ascii="宋体" w:hAnsi="宋体"/>
          <w:bCs/>
          <w:color w:val="auto"/>
          <w:szCs w:val="21"/>
          <w:highlight w:val="none"/>
        </w:rPr>
        <w:t>进行</w:t>
      </w:r>
      <w:r>
        <w:rPr>
          <w:rFonts w:hint="eastAsia" w:ascii="宋体" w:hAnsi="宋体"/>
          <w:bCs/>
          <w:color w:val="auto"/>
          <w:szCs w:val="21"/>
          <w:highlight w:val="none"/>
        </w:rPr>
        <w:t>审</w:t>
      </w:r>
      <w:r>
        <w:rPr>
          <w:rFonts w:ascii="宋体" w:hAnsi="宋体"/>
          <w:bCs/>
          <w:color w:val="auto"/>
          <w:szCs w:val="21"/>
          <w:highlight w:val="none"/>
        </w:rPr>
        <w:t>查。</w:t>
      </w:r>
    </w:p>
    <w:p>
      <w:pPr>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（2）</w:t>
      </w:r>
      <w:r>
        <w:rPr>
          <w:rFonts w:ascii="宋体" w:hAnsi="宋体"/>
          <w:bCs/>
          <w:color w:val="auto"/>
          <w:szCs w:val="21"/>
          <w:highlight w:val="none"/>
        </w:rPr>
        <w:t>符合性检查的对象是投标人提交的投标文件，评标委员会只就投标文件中所载明的情况进行</w:t>
      </w:r>
      <w:r>
        <w:rPr>
          <w:rFonts w:hint="eastAsia" w:ascii="宋体" w:hAnsi="宋体"/>
          <w:bCs/>
          <w:color w:val="auto"/>
          <w:szCs w:val="21"/>
          <w:highlight w:val="none"/>
        </w:rPr>
        <w:t>审</w:t>
      </w:r>
      <w:r>
        <w:rPr>
          <w:rFonts w:ascii="宋体" w:hAnsi="宋体"/>
          <w:bCs/>
          <w:color w:val="auto"/>
          <w:szCs w:val="21"/>
          <w:highlight w:val="none"/>
        </w:rPr>
        <w:t>查。</w:t>
      </w:r>
    </w:p>
    <w:p>
      <w:pPr>
        <w:spacing w:line="440" w:lineRule="exact"/>
        <w:ind w:firstLine="420" w:firstLineChars="200"/>
        <w:rPr>
          <w:rFonts w:ascii="Calibri" w:hAnsi="Calibri"/>
          <w:color w:val="auto"/>
          <w:szCs w:val="21"/>
          <w:highlight w:val="none"/>
        </w:rPr>
      </w:pPr>
      <w:r>
        <w:rPr>
          <w:rFonts w:hint="eastAsia" w:ascii="宋体" w:hAnsi="宋体"/>
          <w:bCs/>
          <w:color w:val="auto"/>
          <w:szCs w:val="21"/>
          <w:highlight w:val="none"/>
        </w:rPr>
        <w:t>（3）</w:t>
      </w:r>
      <w:r>
        <w:rPr>
          <w:rFonts w:ascii="宋体" w:hAnsi="宋体"/>
          <w:bCs/>
          <w:color w:val="auto"/>
          <w:szCs w:val="21"/>
          <w:highlight w:val="none"/>
        </w:rPr>
        <w:t>符</w:t>
      </w:r>
      <w:r>
        <w:rPr>
          <w:rFonts w:ascii="Calibri" w:hAnsi="宋体"/>
          <w:color w:val="auto"/>
          <w:szCs w:val="21"/>
          <w:highlight w:val="none"/>
        </w:rPr>
        <w:t>合性检查的结果是</w:t>
      </w:r>
      <w:r>
        <w:rPr>
          <w:rFonts w:ascii="Calibri" w:hAnsi="Calibri"/>
          <w:color w:val="auto"/>
          <w:szCs w:val="21"/>
          <w:highlight w:val="none"/>
        </w:rPr>
        <w:t>“</w:t>
      </w:r>
      <w:r>
        <w:rPr>
          <w:rFonts w:ascii="Calibri" w:hAnsi="宋体"/>
          <w:color w:val="auto"/>
          <w:szCs w:val="21"/>
          <w:highlight w:val="none"/>
        </w:rPr>
        <w:t>通过</w:t>
      </w:r>
      <w:r>
        <w:rPr>
          <w:rFonts w:ascii="Calibri" w:hAnsi="Calibri"/>
          <w:color w:val="auto"/>
          <w:szCs w:val="21"/>
          <w:highlight w:val="none"/>
        </w:rPr>
        <w:t>”</w:t>
      </w:r>
      <w:r>
        <w:rPr>
          <w:rFonts w:ascii="Calibri" w:hAnsi="宋体"/>
          <w:color w:val="auto"/>
          <w:szCs w:val="21"/>
          <w:highlight w:val="none"/>
        </w:rPr>
        <w:t>或</w:t>
      </w:r>
      <w:r>
        <w:rPr>
          <w:rFonts w:ascii="Calibri" w:hAnsi="Calibri"/>
          <w:color w:val="auto"/>
          <w:szCs w:val="21"/>
          <w:highlight w:val="none"/>
        </w:rPr>
        <w:t>“</w:t>
      </w:r>
      <w:r>
        <w:rPr>
          <w:rFonts w:ascii="Calibri" w:hAnsi="宋体"/>
          <w:color w:val="auto"/>
          <w:szCs w:val="21"/>
          <w:highlight w:val="none"/>
        </w:rPr>
        <w:t>不通过</w:t>
      </w:r>
      <w:r>
        <w:rPr>
          <w:rFonts w:ascii="Calibri" w:hAnsi="Calibri"/>
          <w:color w:val="auto"/>
          <w:szCs w:val="21"/>
          <w:highlight w:val="none"/>
        </w:rPr>
        <w:t>”</w:t>
      </w:r>
      <w:r>
        <w:rPr>
          <w:rFonts w:ascii="Calibri" w:hAnsi="宋体"/>
          <w:color w:val="auto"/>
          <w:szCs w:val="21"/>
          <w:highlight w:val="none"/>
        </w:rPr>
        <w:t>，只有逐条通过</w:t>
      </w:r>
      <w:r>
        <w:rPr>
          <w:rFonts w:ascii="宋体" w:hAnsi="宋体"/>
          <w:bCs/>
          <w:color w:val="auto"/>
          <w:szCs w:val="21"/>
          <w:highlight w:val="none"/>
        </w:rPr>
        <w:t>《符合性检查表》</w:t>
      </w:r>
      <w:r>
        <w:rPr>
          <w:rFonts w:ascii="Calibri" w:hAnsi="宋体"/>
          <w:color w:val="auto"/>
          <w:szCs w:val="21"/>
          <w:highlight w:val="none"/>
        </w:rPr>
        <w:t>各项检查的投标方能进入下一阶段的评标，否则将导致其投标被废标。</w:t>
      </w:r>
    </w:p>
    <w:p>
      <w:pPr>
        <w:spacing w:line="440" w:lineRule="exact"/>
        <w:ind w:firstLine="422" w:firstLineChars="200"/>
        <w:rPr>
          <w:rFonts w:ascii="宋体" w:hAnsi="宋体"/>
          <w:b/>
          <w:color w:val="auto"/>
          <w:szCs w:val="21"/>
          <w:highlight w:val="none"/>
        </w:rPr>
      </w:pPr>
      <w:r>
        <w:rPr>
          <w:rFonts w:hint="eastAsia" w:ascii="宋体" w:hAnsi="宋体"/>
          <w:b/>
          <w:color w:val="auto"/>
          <w:szCs w:val="21"/>
          <w:highlight w:val="none"/>
        </w:rPr>
        <w:t>2、</w:t>
      </w:r>
      <w:r>
        <w:rPr>
          <w:rFonts w:ascii="宋体" w:hAnsi="宋体"/>
          <w:b/>
          <w:color w:val="auto"/>
          <w:szCs w:val="21"/>
          <w:highlight w:val="none"/>
        </w:rPr>
        <w:t>商务</w:t>
      </w:r>
      <w:r>
        <w:rPr>
          <w:rFonts w:hint="eastAsia" w:ascii="宋体" w:hAnsi="宋体"/>
          <w:b/>
          <w:color w:val="auto"/>
          <w:szCs w:val="21"/>
          <w:highlight w:val="none"/>
        </w:rPr>
        <w:t>、</w:t>
      </w:r>
      <w:r>
        <w:rPr>
          <w:rFonts w:ascii="宋体" w:hAnsi="宋体"/>
          <w:b/>
          <w:color w:val="auto"/>
          <w:szCs w:val="21"/>
          <w:highlight w:val="none"/>
        </w:rPr>
        <w:t>技术及价格评议</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评标委员会根据《</w:t>
      </w:r>
      <w:r>
        <w:rPr>
          <w:rFonts w:hint="eastAsia" w:ascii="宋体" w:hAnsi="宋体"/>
          <w:color w:val="auto"/>
          <w:szCs w:val="21"/>
          <w:highlight w:val="none"/>
        </w:rPr>
        <w:t>评分表</w:t>
      </w:r>
      <w:r>
        <w:rPr>
          <w:rFonts w:ascii="宋体" w:hAnsi="宋体"/>
          <w:color w:val="auto"/>
          <w:szCs w:val="21"/>
          <w:highlight w:val="none"/>
        </w:rPr>
        <w:t>》的内容和标准，对通过</w:t>
      </w:r>
      <w:r>
        <w:rPr>
          <w:rFonts w:hint="eastAsia" w:ascii="宋体" w:hAnsi="宋体"/>
          <w:bCs/>
          <w:color w:val="auto"/>
          <w:szCs w:val="21"/>
          <w:highlight w:val="none"/>
        </w:rPr>
        <w:t>资格性和</w:t>
      </w:r>
      <w:r>
        <w:rPr>
          <w:rFonts w:ascii="宋体" w:hAnsi="宋体"/>
          <w:bCs/>
          <w:color w:val="auto"/>
          <w:szCs w:val="21"/>
          <w:highlight w:val="none"/>
        </w:rPr>
        <w:t>符合性</w:t>
      </w:r>
      <w:r>
        <w:rPr>
          <w:rFonts w:ascii="宋体" w:hAnsi="宋体"/>
          <w:color w:val="auto"/>
          <w:szCs w:val="21"/>
          <w:highlight w:val="none"/>
        </w:rPr>
        <w:t>检查的投标进行商务</w:t>
      </w:r>
      <w:r>
        <w:rPr>
          <w:rFonts w:hint="eastAsia" w:ascii="宋体" w:hAnsi="宋体"/>
          <w:color w:val="auto"/>
          <w:szCs w:val="21"/>
          <w:highlight w:val="none"/>
        </w:rPr>
        <w:t>、</w:t>
      </w:r>
      <w:r>
        <w:rPr>
          <w:rFonts w:ascii="宋体" w:hAnsi="宋体"/>
          <w:color w:val="auto"/>
          <w:szCs w:val="21"/>
          <w:highlight w:val="none"/>
        </w:rPr>
        <w:t>技术</w:t>
      </w:r>
      <w:r>
        <w:rPr>
          <w:rFonts w:hint="eastAsia" w:ascii="宋体" w:hAnsi="宋体"/>
          <w:color w:val="auto"/>
          <w:szCs w:val="21"/>
          <w:highlight w:val="none"/>
        </w:rPr>
        <w:t>及价格</w:t>
      </w:r>
      <w:r>
        <w:rPr>
          <w:rFonts w:ascii="宋体" w:hAnsi="宋体"/>
          <w:color w:val="auto"/>
          <w:szCs w:val="21"/>
          <w:highlight w:val="none"/>
        </w:rPr>
        <w:t>评议。</w:t>
      </w:r>
    </w:p>
    <w:p>
      <w:pPr>
        <w:spacing w:line="440" w:lineRule="exact"/>
        <w:ind w:firstLine="420" w:firstLineChars="200"/>
        <w:rPr>
          <w:rFonts w:ascii="Calibri" w:hAnsi="Calibri"/>
          <w:color w:val="auto"/>
          <w:szCs w:val="21"/>
          <w:highlight w:val="none"/>
        </w:rPr>
      </w:pPr>
      <w:r>
        <w:rPr>
          <w:rFonts w:hint="eastAsia" w:ascii="宋体" w:hAnsi="宋体"/>
          <w:color w:val="auto"/>
          <w:szCs w:val="21"/>
          <w:highlight w:val="none"/>
        </w:rPr>
        <w:t>（2）</w:t>
      </w:r>
      <w:r>
        <w:rPr>
          <w:rFonts w:ascii="宋体" w:hAnsi="宋体"/>
          <w:color w:val="auto"/>
          <w:szCs w:val="21"/>
          <w:highlight w:val="none"/>
        </w:rPr>
        <w:t>评</w:t>
      </w:r>
      <w:r>
        <w:rPr>
          <w:rFonts w:ascii="Calibri" w:hAnsi="宋体"/>
          <w:color w:val="auto"/>
          <w:szCs w:val="21"/>
          <w:highlight w:val="none"/>
        </w:rPr>
        <w:t>标委员会将对照招标文件中的商务、技术需求条款和投标文件中的商务、技术条款响应进行评议</w:t>
      </w:r>
      <w:r>
        <w:rPr>
          <w:rFonts w:hint="eastAsia" w:ascii="Calibri" w:hAnsi="宋体"/>
          <w:color w:val="auto"/>
          <w:szCs w:val="21"/>
          <w:highlight w:val="none"/>
        </w:rPr>
        <w:t>；</w:t>
      </w:r>
      <w:r>
        <w:rPr>
          <w:rFonts w:ascii="Calibri" w:hAnsi="宋体"/>
          <w:color w:val="auto"/>
          <w:szCs w:val="21"/>
          <w:highlight w:val="none"/>
        </w:rPr>
        <w:t>评标委员会成员将按照《</w:t>
      </w:r>
      <w:r>
        <w:rPr>
          <w:rFonts w:hint="eastAsia" w:ascii="Calibri" w:hAnsi="宋体"/>
          <w:color w:val="auto"/>
          <w:szCs w:val="21"/>
          <w:highlight w:val="none"/>
        </w:rPr>
        <w:t>评分表</w:t>
      </w:r>
      <w:r>
        <w:rPr>
          <w:rFonts w:ascii="Calibri" w:hAnsi="宋体"/>
          <w:color w:val="auto"/>
          <w:szCs w:val="21"/>
          <w:highlight w:val="none"/>
        </w:rPr>
        <w:t>》确定的</w:t>
      </w:r>
      <w:r>
        <w:rPr>
          <w:rFonts w:hint="eastAsia" w:ascii="Calibri" w:hAnsi="宋体"/>
          <w:color w:val="auto"/>
          <w:szCs w:val="21"/>
          <w:highlight w:val="none"/>
        </w:rPr>
        <w:t>分值</w:t>
      </w:r>
      <w:r>
        <w:rPr>
          <w:rFonts w:ascii="Calibri" w:hAnsi="宋体"/>
          <w:color w:val="auto"/>
          <w:szCs w:val="21"/>
          <w:highlight w:val="none"/>
        </w:rPr>
        <w:t>独立对每个投标的商务</w:t>
      </w:r>
      <w:r>
        <w:rPr>
          <w:rFonts w:hint="eastAsia" w:ascii="Calibri" w:hAnsi="宋体"/>
          <w:color w:val="auto"/>
          <w:szCs w:val="21"/>
          <w:highlight w:val="none"/>
        </w:rPr>
        <w:t>、</w:t>
      </w:r>
      <w:r>
        <w:rPr>
          <w:rFonts w:ascii="Calibri" w:hAnsi="宋体"/>
          <w:color w:val="auto"/>
          <w:szCs w:val="21"/>
          <w:highlight w:val="none"/>
        </w:rPr>
        <w:t>技术</w:t>
      </w:r>
      <w:r>
        <w:rPr>
          <w:rFonts w:hint="eastAsia" w:ascii="Calibri" w:hAnsi="宋体"/>
          <w:color w:val="auto"/>
          <w:szCs w:val="21"/>
          <w:highlight w:val="none"/>
        </w:rPr>
        <w:t>及价格</w:t>
      </w:r>
      <w:r>
        <w:rPr>
          <w:rFonts w:ascii="Calibri" w:hAnsi="宋体"/>
          <w:color w:val="auto"/>
          <w:szCs w:val="21"/>
          <w:highlight w:val="none"/>
        </w:rPr>
        <w:t>部分以打分的方式进行评议。</w:t>
      </w:r>
    </w:p>
    <w:p>
      <w:pPr>
        <w:spacing w:line="440" w:lineRule="exact"/>
        <w:ind w:firstLine="422" w:firstLineChars="200"/>
        <w:rPr>
          <w:rFonts w:ascii="Calibri" w:hAnsi="Calibri"/>
          <w:b/>
          <w:color w:val="auto"/>
          <w:szCs w:val="21"/>
          <w:highlight w:val="none"/>
        </w:rPr>
      </w:pPr>
      <w:r>
        <w:rPr>
          <w:rFonts w:hint="eastAsia" w:ascii="宋体" w:hAnsi="宋体"/>
          <w:b/>
          <w:color w:val="auto"/>
          <w:szCs w:val="21"/>
          <w:highlight w:val="none"/>
        </w:rPr>
        <w:t>3、</w:t>
      </w:r>
      <w:r>
        <w:rPr>
          <w:rFonts w:ascii="Calibri" w:hAnsi="宋体"/>
          <w:b/>
          <w:color w:val="auto"/>
          <w:szCs w:val="21"/>
          <w:highlight w:val="none"/>
        </w:rPr>
        <w:t>中标</w:t>
      </w:r>
      <w:r>
        <w:rPr>
          <w:rFonts w:hint="eastAsia" w:ascii="Calibri" w:hAnsi="宋体"/>
          <w:b/>
          <w:color w:val="auto"/>
          <w:szCs w:val="21"/>
          <w:highlight w:val="none"/>
        </w:rPr>
        <w:t>单位</w:t>
      </w:r>
      <w:r>
        <w:rPr>
          <w:rFonts w:ascii="Calibri" w:hAnsi="宋体"/>
          <w:b/>
          <w:color w:val="auto"/>
          <w:szCs w:val="21"/>
          <w:highlight w:val="none"/>
        </w:rPr>
        <w:t>的确定</w:t>
      </w:r>
    </w:p>
    <w:p>
      <w:pPr>
        <w:spacing w:line="440" w:lineRule="exact"/>
        <w:ind w:firstLine="422" w:firstLineChars="200"/>
        <w:rPr>
          <w:rFonts w:ascii="宋体" w:hAnsi="宋体"/>
          <w:b/>
          <w:color w:val="auto"/>
          <w:szCs w:val="21"/>
          <w:highlight w:val="none"/>
        </w:rPr>
      </w:pPr>
      <w:r>
        <w:rPr>
          <w:rFonts w:hint="eastAsia" w:ascii="宋体" w:hAnsi="宋体"/>
          <w:b/>
          <w:color w:val="auto"/>
          <w:szCs w:val="21"/>
          <w:highlight w:val="none"/>
        </w:rPr>
        <w:t xml:space="preserve">3.1  </w:t>
      </w:r>
      <w:r>
        <w:rPr>
          <w:rFonts w:hint="eastAsia" w:ascii="宋体" w:hAnsi="宋体"/>
          <w:b/>
          <w:bCs/>
          <w:color w:val="auto"/>
          <w:szCs w:val="21"/>
          <w:highlight w:val="none"/>
        </w:rPr>
        <w:t>候选中标供应商推荐</w:t>
      </w:r>
    </w:p>
    <w:p>
      <w:pPr>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（1）每个投标单位的评标总得分以</w:t>
      </w:r>
      <w:r>
        <w:rPr>
          <w:rFonts w:hint="eastAsia" w:ascii="宋体" w:hAnsi="宋体"/>
          <w:color w:val="auto"/>
          <w:szCs w:val="21"/>
          <w:highlight w:val="none"/>
        </w:rPr>
        <w:t>所有评标委员会成员的独立评分汇总</w:t>
      </w:r>
      <w:r>
        <w:rPr>
          <w:rFonts w:hint="eastAsia" w:ascii="宋体" w:hAnsi="宋体"/>
          <w:bCs/>
          <w:color w:val="auto"/>
          <w:szCs w:val="21"/>
          <w:highlight w:val="none"/>
        </w:rPr>
        <w:t>后确定，</w:t>
      </w:r>
      <w:r>
        <w:rPr>
          <w:rFonts w:ascii="宋体" w:hAnsi="宋体"/>
          <w:bCs/>
          <w:color w:val="auto"/>
          <w:szCs w:val="21"/>
          <w:highlight w:val="none"/>
        </w:rPr>
        <w:t>评标总得分相同的，按投标报价由低到高顺序排列；评标总得分且投标报价相同的，按技术指标</w:t>
      </w:r>
      <w:r>
        <w:rPr>
          <w:rFonts w:hint="eastAsia" w:ascii="宋体" w:hAnsi="宋体"/>
          <w:bCs/>
          <w:color w:val="auto"/>
          <w:szCs w:val="21"/>
          <w:highlight w:val="none"/>
        </w:rPr>
        <w:t>（技术部分）</w:t>
      </w:r>
      <w:r>
        <w:rPr>
          <w:rFonts w:ascii="宋体" w:hAnsi="宋体"/>
          <w:bCs/>
          <w:color w:val="auto"/>
          <w:szCs w:val="21"/>
          <w:highlight w:val="none"/>
        </w:rPr>
        <w:t>得分优劣顺序排列</w:t>
      </w:r>
      <w:r>
        <w:rPr>
          <w:rFonts w:hint="eastAsia" w:ascii="Calibri" w:hAnsi="宋体"/>
          <w:color w:val="auto"/>
          <w:szCs w:val="21"/>
          <w:highlight w:val="none"/>
        </w:rPr>
        <w:t>；如</w:t>
      </w:r>
      <w:r>
        <w:rPr>
          <w:rFonts w:ascii="Calibri" w:hAnsi="宋体"/>
          <w:color w:val="auto"/>
          <w:szCs w:val="21"/>
          <w:highlight w:val="none"/>
        </w:rPr>
        <w:t>技术指标</w:t>
      </w:r>
      <w:r>
        <w:rPr>
          <w:rFonts w:hint="eastAsia" w:ascii="Calibri" w:hAnsi="宋体"/>
          <w:color w:val="auto"/>
          <w:szCs w:val="21"/>
          <w:highlight w:val="none"/>
        </w:rPr>
        <w:t>（技术部分）</w:t>
      </w:r>
      <w:r>
        <w:rPr>
          <w:rFonts w:ascii="Calibri" w:hAnsi="宋体"/>
          <w:color w:val="auto"/>
          <w:szCs w:val="21"/>
          <w:highlight w:val="none"/>
        </w:rPr>
        <w:t>得分</w:t>
      </w:r>
      <w:r>
        <w:rPr>
          <w:rFonts w:hint="eastAsia" w:ascii="Calibri" w:hAnsi="宋体"/>
          <w:color w:val="auto"/>
          <w:szCs w:val="21"/>
          <w:highlight w:val="none"/>
        </w:rPr>
        <w:t>仍然相同的，则采用抽签方式确定排序，</w:t>
      </w:r>
      <w:r>
        <w:rPr>
          <w:rFonts w:hint="eastAsia" w:ascii="宋体" w:hAnsi="宋体"/>
          <w:color w:val="auto"/>
          <w:szCs w:val="21"/>
          <w:highlight w:val="none"/>
        </w:rPr>
        <w:t>具体操作办法及流程由评标委员会确定</w:t>
      </w:r>
      <w:r>
        <w:rPr>
          <w:rFonts w:ascii="宋体" w:hAnsi="宋体"/>
          <w:bCs/>
          <w:color w:val="auto"/>
          <w:szCs w:val="21"/>
          <w:highlight w:val="none"/>
        </w:rPr>
        <w:t>。</w:t>
      </w:r>
    </w:p>
    <w:p>
      <w:pPr>
        <w:spacing w:line="440" w:lineRule="exact"/>
        <w:ind w:firstLine="420" w:firstLineChars="200"/>
        <w:rPr>
          <w:color w:val="auto"/>
          <w:szCs w:val="21"/>
          <w:highlight w:val="none"/>
        </w:rPr>
      </w:pPr>
      <w:r>
        <w:rPr>
          <w:rFonts w:hint="eastAsia" w:ascii="宋体" w:hAnsi="宋体"/>
          <w:bCs/>
          <w:color w:val="auto"/>
          <w:szCs w:val="21"/>
          <w:highlight w:val="none"/>
        </w:rPr>
        <w:t>（2）评标委员会按照综合评分的排名结果推荐中标候选供应商，</w:t>
      </w:r>
      <w:r>
        <w:rPr>
          <w:rFonts w:hint="eastAsia" w:ascii="宋体" w:hAnsi="宋体"/>
          <w:color w:val="auto"/>
          <w:szCs w:val="21"/>
          <w:highlight w:val="none"/>
        </w:rPr>
        <w:t>排名前三的投标单位</w:t>
      </w:r>
      <w:r>
        <w:rPr>
          <w:rFonts w:hint="eastAsia" w:ascii="宋体" w:hAnsi="宋体"/>
          <w:bCs/>
          <w:color w:val="auto"/>
          <w:szCs w:val="21"/>
          <w:highlight w:val="none"/>
        </w:rPr>
        <w:t>作为推荐的候选中标供应商。</w:t>
      </w:r>
    </w:p>
    <w:p>
      <w:pPr>
        <w:spacing w:line="44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3.2  定标</w:t>
      </w:r>
    </w:p>
    <w:p>
      <w:pPr>
        <w:spacing w:line="440" w:lineRule="exact"/>
        <w:ind w:firstLine="420" w:firstLineChars="200"/>
        <w:rPr>
          <w:rFonts w:ascii="Calibri" w:hAnsi="Calibri"/>
          <w:color w:val="auto"/>
          <w:szCs w:val="21"/>
          <w:highlight w:val="none"/>
        </w:rPr>
      </w:pPr>
      <w:r>
        <w:rPr>
          <w:rFonts w:hint="eastAsia" w:ascii="宋体" w:hAnsi="宋体"/>
          <w:bCs/>
          <w:color w:val="auto"/>
          <w:szCs w:val="21"/>
          <w:highlight w:val="none"/>
        </w:rPr>
        <w:t>采购方授权评标委员会确定中标单位，确定评标总得分最高且</w:t>
      </w:r>
      <w:r>
        <w:rPr>
          <w:rFonts w:ascii="宋体" w:hAnsi="宋体"/>
          <w:bCs/>
          <w:color w:val="auto"/>
          <w:szCs w:val="21"/>
          <w:highlight w:val="none"/>
        </w:rPr>
        <w:t>排名第一</w:t>
      </w:r>
      <w:r>
        <w:rPr>
          <w:rFonts w:hint="eastAsia" w:ascii="宋体" w:hAnsi="宋体"/>
          <w:bCs/>
          <w:color w:val="auto"/>
          <w:szCs w:val="21"/>
          <w:highlight w:val="none"/>
        </w:rPr>
        <w:t>的投标人为中标单位。</w:t>
      </w:r>
    </w:p>
    <w:p>
      <w:pPr>
        <w:pStyle w:val="7"/>
        <w:numPr>
          <w:ilvl w:val="0"/>
          <w:numId w:val="1"/>
        </w:numPr>
        <w:spacing w:line="440" w:lineRule="exact"/>
        <w:ind w:firstLineChars="0"/>
        <w:rPr>
          <w:rFonts w:ascii="宋体" w:hAnsi="宋体"/>
          <w:b/>
          <w:color w:val="auto"/>
          <w:szCs w:val="21"/>
          <w:highlight w:val="none"/>
        </w:rPr>
      </w:pPr>
      <w:r>
        <w:rPr>
          <w:b/>
          <w:color w:val="auto"/>
          <w:szCs w:val="21"/>
          <w:highlight w:val="none"/>
        </w:rPr>
        <w:t>最低价法</w:t>
      </w:r>
    </w:p>
    <w:p>
      <w:pPr>
        <w:spacing w:line="440" w:lineRule="exact"/>
        <w:ind w:firstLine="422" w:firstLineChars="200"/>
        <w:rPr>
          <w:rFonts w:ascii="宋体" w:hAnsi="宋体"/>
          <w:b/>
          <w:color w:val="auto"/>
          <w:szCs w:val="21"/>
          <w:highlight w:val="none"/>
        </w:rPr>
      </w:pPr>
      <w:r>
        <w:rPr>
          <w:rFonts w:hint="eastAsia" w:ascii="宋体" w:hAnsi="宋体"/>
          <w:b/>
          <w:color w:val="auto"/>
          <w:szCs w:val="21"/>
          <w:highlight w:val="none"/>
        </w:rPr>
        <w:t>1、</w:t>
      </w:r>
      <w:r>
        <w:rPr>
          <w:rFonts w:ascii="宋体" w:hAnsi="宋体"/>
          <w:b/>
          <w:color w:val="auto"/>
          <w:szCs w:val="21"/>
          <w:highlight w:val="none"/>
        </w:rPr>
        <w:t>符合性检查</w:t>
      </w:r>
    </w:p>
    <w:p>
      <w:pPr>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评标委员会根据</w:t>
      </w:r>
      <w:r>
        <w:rPr>
          <w:rFonts w:hint="eastAsia" w:ascii="宋体" w:hAnsi="宋体"/>
          <w:bCs/>
          <w:color w:val="auto"/>
          <w:szCs w:val="21"/>
          <w:highlight w:val="none"/>
        </w:rPr>
        <w:t>《</w:t>
      </w:r>
      <w:r>
        <w:rPr>
          <w:rFonts w:ascii="宋体" w:hAnsi="宋体"/>
          <w:bCs/>
          <w:color w:val="auto"/>
          <w:szCs w:val="21"/>
          <w:highlight w:val="none"/>
        </w:rPr>
        <w:t>符合性检查表》的内容和标准，对所有</w:t>
      </w:r>
      <w:r>
        <w:rPr>
          <w:rFonts w:hint="eastAsia" w:ascii="宋体" w:hAnsi="宋体"/>
          <w:bCs/>
          <w:color w:val="auto"/>
          <w:szCs w:val="21"/>
          <w:highlight w:val="none"/>
        </w:rPr>
        <w:t>通过资格性核查的</w:t>
      </w:r>
      <w:r>
        <w:rPr>
          <w:rFonts w:ascii="宋体" w:hAnsi="宋体"/>
          <w:bCs/>
          <w:color w:val="auto"/>
          <w:szCs w:val="21"/>
          <w:highlight w:val="none"/>
        </w:rPr>
        <w:t>投标</w:t>
      </w:r>
      <w:r>
        <w:rPr>
          <w:rFonts w:hint="eastAsia" w:ascii="宋体" w:hAnsi="宋体"/>
          <w:bCs/>
          <w:color w:val="auto"/>
          <w:szCs w:val="21"/>
          <w:highlight w:val="none"/>
        </w:rPr>
        <w:t>文件</w:t>
      </w:r>
      <w:r>
        <w:rPr>
          <w:rFonts w:ascii="宋体" w:hAnsi="宋体"/>
          <w:bCs/>
          <w:color w:val="auto"/>
          <w:szCs w:val="21"/>
          <w:highlight w:val="none"/>
        </w:rPr>
        <w:t>进行</w:t>
      </w:r>
      <w:r>
        <w:rPr>
          <w:rFonts w:hint="eastAsia" w:ascii="宋体" w:hAnsi="宋体"/>
          <w:bCs/>
          <w:color w:val="auto"/>
          <w:szCs w:val="21"/>
          <w:highlight w:val="none"/>
        </w:rPr>
        <w:t>审</w:t>
      </w:r>
      <w:r>
        <w:rPr>
          <w:rFonts w:ascii="宋体" w:hAnsi="宋体"/>
          <w:bCs/>
          <w:color w:val="auto"/>
          <w:szCs w:val="21"/>
          <w:highlight w:val="none"/>
        </w:rPr>
        <w:t>查。</w:t>
      </w:r>
    </w:p>
    <w:p>
      <w:pPr>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（2）</w:t>
      </w:r>
      <w:r>
        <w:rPr>
          <w:rFonts w:ascii="宋体" w:hAnsi="宋体"/>
          <w:bCs/>
          <w:color w:val="auto"/>
          <w:szCs w:val="21"/>
          <w:highlight w:val="none"/>
        </w:rPr>
        <w:t>符合性检查的对象是投标人提交的投标文件，评标委员会只就投标文件中所载明的情况进行</w:t>
      </w:r>
      <w:r>
        <w:rPr>
          <w:rFonts w:hint="eastAsia" w:ascii="宋体" w:hAnsi="宋体"/>
          <w:bCs/>
          <w:color w:val="auto"/>
          <w:szCs w:val="21"/>
          <w:highlight w:val="none"/>
        </w:rPr>
        <w:t>审</w:t>
      </w:r>
      <w:r>
        <w:rPr>
          <w:rFonts w:ascii="宋体" w:hAnsi="宋体"/>
          <w:bCs/>
          <w:color w:val="auto"/>
          <w:szCs w:val="21"/>
          <w:highlight w:val="none"/>
        </w:rPr>
        <w:t>查。</w:t>
      </w:r>
    </w:p>
    <w:p>
      <w:pPr>
        <w:spacing w:line="440" w:lineRule="exact"/>
        <w:ind w:firstLine="420" w:firstLineChars="200"/>
        <w:rPr>
          <w:rFonts w:ascii="Calibri" w:hAnsi="Calibri"/>
          <w:color w:val="auto"/>
          <w:szCs w:val="21"/>
          <w:highlight w:val="none"/>
        </w:rPr>
      </w:pPr>
      <w:r>
        <w:rPr>
          <w:rFonts w:hint="eastAsia" w:ascii="宋体" w:hAnsi="宋体"/>
          <w:bCs/>
          <w:color w:val="auto"/>
          <w:szCs w:val="21"/>
          <w:highlight w:val="none"/>
        </w:rPr>
        <w:t>（3）</w:t>
      </w:r>
      <w:r>
        <w:rPr>
          <w:rFonts w:ascii="宋体" w:hAnsi="宋体"/>
          <w:bCs/>
          <w:color w:val="auto"/>
          <w:szCs w:val="21"/>
          <w:highlight w:val="none"/>
        </w:rPr>
        <w:t>符</w:t>
      </w:r>
      <w:r>
        <w:rPr>
          <w:rFonts w:ascii="Calibri" w:hAnsi="宋体"/>
          <w:color w:val="auto"/>
          <w:szCs w:val="21"/>
          <w:highlight w:val="none"/>
        </w:rPr>
        <w:t>合性检查的结果是</w:t>
      </w:r>
      <w:r>
        <w:rPr>
          <w:rFonts w:ascii="Calibri" w:hAnsi="Calibri"/>
          <w:color w:val="auto"/>
          <w:szCs w:val="21"/>
          <w:highlight w:val="none"/>
        </w:rPr>
        <w:t>“</w:t>
      </w:r>
      <w:r>
        <w:rPr>
          <w:rFonts w:ascii="Calibri" w:hAnsi="宋体"/>
          <w:color w:val="auto"/>
          <w:szCs w:val="21"/>
          <w:highlight w:val="none"/>
        </w:rPr>
        <w:t>通过</w:t>
      </w:r>
      <w:r>
        <w:rPr>
          <w:rFonts w:ascii="Calibri" w:hAnsi="Calibri"/>
          <w:color w:val="auto"/>
          <w:szCs w:val="21"/>
          <w:highlight w:val="none"/>
        </w:rPr>
        <w:t>”</w:t>
      </w:r>
      <w:r>
        <w:rPr>
          <w:rFonts w:ascii="Calibri" w:hAnsi="宋体"/>
          <w:color w:val="auto"/>
          <w:szCs w:val="21"/>
          <w:highlight w:val="none"/>
        </w:rPr>
        <w:t>或</w:t>
      </w:r>
      <w:r>
        <w:rPr>
          <w:rFonts w:ascii="Calibri" w:hAnsi="Calibri"/>
          <w:color w:val="auto"/>
          <w:szCs w:val="21"/>
          <w:highlight w:val="none"/>
        </w:rPr>
        <w:t>“</w:t>
      </w:r>
      <w:r>
        <w:rPr>
          <w:rFonts w:ascii="Calibri" w:hAnsi="宋体"/>
          <w:color w:val="auto"/>
          <w:szCs w:val="21"/>
          <w:highlight w:val="none"/>
        </w:rPr>
        <w:t>不通过</w:t>
      </w:r>
      <w:r>
        <w:rPr>
          <w:rFonts w:ascii="Calibri" w:hAnsi="Calibri"/>
          <w:color w:val="auto"/>
          <w:szCs w:val="21"/>
          <w:highlight w:val="none"/>
        </w:rPr>
        <w:t>”</w:t>
      </w:r>
      <w:r>
        <w:rPr>
          <w:rFonts w:ascii="Calibri" w:hAnsi="宋体"/>
          <w:color w:val="auto"/>
          <w:szCs w:val="21"/>
          <w:highlight w:val="none"/>
        </w:rPr>
        <w:t>，只有逐条通过</w:t>
      </w:r>
      <w:r>
        <w:rPr>
          <w:rFonts w:ascii="宋体" w:hAnsi="宋体"/>
          <w:bCs/>
          <w:color w:val="auto"/>
          <w:szCs w:val="21"/>
          <w:highlight w:val="none"/>
        </w:rPr>
        <w:t>《符合性检查表》</w:t>
      </w:r>
      <w:r>
        <w:rPr>
          <w:rFonts w:ascii="Calibri" w:hAnsi="宋体"/>
          <w:color w:val="auto"/>
          <w:szCs w:val="21"/>
          <w:highlight w:val="none"/>
        </w:rPr>
        <w:t>各项检查的投标方能进入下一阶段的评标，否则将导致其投标被废标。</w:t>
      </w:r>
    </w:p>
    <w:p>
      <w:pPr>
        <w:spacing w:line="440" w:lineRule="exact"/>
        <w:ind w:firstLine="422" w:firstLineChars="200"/>
        <w:rPr>
          <w:rFonts w:ascii="Calibri" w:hAnsi="Calibri"/>
          <w:b/>
          <w:color w:val="auto"/>
          <w:szCs w:val="21"/>
          <w:highlight w:val="none"/>
        </w:rPr>
      </w:pPr>
      <w:r>
        <w:rPr>
          <w:rFonts w:hint="eastAsia" w:ascii="宋体" w:hAnsi="宋体"/>
          <w:b/>
          <w:color w:val="auto"/>
          <w:szCs w:val="21"/>
          <w:highlight w:val="none"/>
        </w:rPr>
        <w:t>2、</w:t>
      </w:r>
      <w:r>
        <w:rPr>
          <w:rFonts w:ascii="Calibri" w:hAnsi="宋体"/>
          <w:b/>
          <w:color w:val="auto"/>
          <w:szCs w:val="21"/>
          <w:highlight w:val="none"/>
        </w:rPr>
        <w:t>中标</w:t>
      </w:r>
      <w:r>
        <w:rPr>
          <w:rFonts w:hint="eastAsia" w:ascii="Calibri" w:hAnsi="宋体"/>
          <w:b/>
          <w:color w:val="auto"/>
          <w:szCs w:val="21"/>
          <w:highlight w:val="none"/>
        </w:rPr>
        <w:t>单位</w:t>
      </w:r>
      <w:r>
        <w:rPr>
          <w:rFonts w:ascii="Calibri" w:hAnsi="宋体"/>
          <w:b/>
          <w:color w:val="auto"/>
          <w:szCs w:val="21"/>
          <w:highlight w:val="none"/>
        </w:rPr>
        <w:t>的确定</w:t>
      </w:r>
    </w:p>
    <w:p>
      <w:pPr>
        <w:spacing w:line="440" w:lineRule="exact"/>
        <w:ind w:firstLine="422" w:firstLineChars="200"/>
        <w:rPr>
          <w:rFonts w:ascii="宋体" w:hAnsi="宋体"/>
          <w:b/>
          <w:color w:val="auto"/>
          <w:szCs w:val="21"/>
          <w:highlight w:val="none"/>
        </w:rPr>
      </w:pPr>
      <w:r>
        <w:rPr>
          <w:rFonts w:ascii="宋体" w:hAnsi="宋体"/>
          <w:b/>
          <w:color w:val="auto"/>
          <w:szCs w:val="21"/>
          <w:highlight w:val="none"/>
        </w:rPr>
        <w:t>2</w:t>
      </w:r>
      <w:r>
        <w:rPr>
          <w:rFonts w:hint="eastAsia" w:ascii="宋体" w:hAnsi="宋体"/>
          <w:b/>
          <w:color w:val="auto"/>
          <w:szCs w:val="21"/>
          <w:highlight w:val="none"/>
        </w:rPr>
        <w:t xml:space="preserve">.1  </w:t>
      </w:r>
      <w:r>
        <w:rPr>
          <w:rFonts w:hint="eastAsia" w:ascii="宋体" w:hAnsi="宋体"/>
          <w:b/>
          <w:bCs/>
          <w:color w:val="auto"/>
          <w:szCs w:val="21"/>
          <w:highlight w:val="none"/>
        </w:rPr>
        <w:t>候选中标供应商推荐</w:t>
      </w:r>
    </w:p>
    <w:p>
      <w:pPr>
        <w:spacing w:line="440" w:lineRule="exact"/>
        <w:ind w:firstLine="435"/>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评标委员会对通过上述检查且最终报价不超过预算控制金额</w:t>
      </w:r>
      <w:r>
        <w:rPr>
          <w:rFonts w:hint="eastAsia" w:ascii="宋体" w:hAnsi="宋体"/>
          <w:color w:val="auto"/>
          <w:szCs w:val="21"/>
          <w:highlight w:val="none"/>
        </w:rPr>
        <w:t>的投标单位进行审查，并</w:t>
      </w:r>
      <w:r>
        <w:rPr>
          <w:rFonts w:ascii="Calibri" w:hAnsi="宋体"/>
          <w:color w:val="auto"/>
          <w:szCs w:val="21"/>
          <w:highlight w:val="none"/>
        </w:rPr>
        <w:t>按投标报价由低到高</w:t>
      </w:r>
      <w:r>
        <w:rPr>
          <w:rFonts w:hint="eastAsia" w:ascii="Calibri" w:hAnsi="宋体"/>
          <w:color w:val="auto"/>
          <w:szCs w:val="21"/>
          <w:highlight w:val="none"/>
        </w:rPr>
        <w:t>排序；</w:t>
      </w:r>
      <w:r>
        <w:rPr>
          <w:rFonts w:ascii="Calibri" w:hAnsi="宋体"/>
          <w:color w:val="auto"/>
          <w:szCs w:val="21"/>
          <w:highlight w:val="none"/>
        </w:rPr>
        <w:t>投标报价相同的，按技术指标优劣顺序排列</w:t>
      </w:r>
      <w:r>
        <w:rPr>
          <w:rFonts w:hint="eastAsia" w:ascii="Calibri" w:hAnsi="宋体"/>
          <w:color w:val="auto"/>
          <w:szCs w:val="21"/>
          <w:highlight w:val="none"/>
        </w:rPr>
        <w:t>；技术指标仍然相同的，则采用抽签方式确定排序，</w:t>
      </w:r>
      <w:r>
        <w:rPr>
          <w:rFonts w:hint="eastAsia" w:ascii="宋体" w:hAnsi="宋体"/>
          <w:color w:val="auto"/>
          <w:szCs w:val="21"/>
          <w:highlight w:val="none"/>
        </w:rPr>
        <w:t>具体操作办法及流程由评标委员会确定</w:t>
      </w:r>
      <w:r>
        <w:rPr>
          <w:rFonts w:ascii="Calibri" w:hAnsi="宋体"/>
          <w:color w:val="auto"/>
          <w:szCs w:val="21"/>
          <w:highlight w:val="none"/>
        </w:rPr>
        <w:t>。</w:t>
      </w:r>
      <w:r>
        <w:rPr>
          <w:rFonts w:hint="eastAsia" w:ascii="宋体" w:hAnsi="宋体"/>
          <w:color w:val="auto"/>
          <w:szCs w:val="21"/>
          <w:highlight w:val="none"/>
        </w:rPr>
        <w:t>投标人在参与政府采购活动中存在诚信相关问题且在主管部门相关处理措施实施期限内的，在该企业投标报价的基础上上浮10%后参与价格评比。投标人无需提供任何证明材料，由本项目评审委员会在评标时通过深圳市政府采购网系统查询。</w:t>
      </w:r>
    </w:p>
    <w:p>
      <w:pPr>
        <w:spacing w:line="440" w:lineRule="exact"/>
        <w:ind w:firstLine="435"/>
        <w:rPr>
          <w:rFonts w:ascii="宋体" w:hAnsi="宋体"/>
          <w:b/>
          <w:bCs/>
          <w:color w:val="auto"/>
          <w:szCs w:val="21"/>
          <w:highlight w:val="none"/>
        </w:rPr>
      </w:pPr>
      <w:r>
        <w:rPr>
          <w:rFonts w:hint="eastAsia" w:ascii="宋体" w:hAnsi="宋体"/>
          <w:bCs/>
          <w:color w:val="auto"/>
          <w:szCs w:val="21"/>
          <w:highlight w:val="none"/>
        </w:rPr>
        <w:t>（2）评标委员会按照上述投标</w:t>
      </w:r>
      <w:r>
        <w:rPr>
          <w:rFonts w:ascii="宋体" w:hAnsi="宋体"/>
          <w:bCs/>
          <w:color w:val="auto"/>
          <w:szCs w:val="21"/>
          <w:highlight w:val="none"/>
        </w:rPr>
        <w:t>报价的</w:t>
      </w:r>
      <w:r>
        <w:rPr>
          <w:rFonts w:hint="eastAsia" w:ascii="宋体" w:hAnsi="宋体"/>
          <w:bCs/>
          <w:color w:val="auto"/>
          <w:szCs w:val="21"/>
          <w:highlight w:val="none"/>
        </w:rPr>
        <w:t>排序结果推荐中标候选供应商，</w:t>
      </w:r>
      <w:r>
        <w:rPr>
          <w:rFonts w:hint="eastAsia" w:ascii="宋体" w:hAnsi="宋体"/>
          <w:color w:val="auto"/>
          <w:szCs w:val="21"/>
          <w:highlight w:val="none"/>
        </w:rPr>
        <w:t>排名前三的投标单位</w:t>
      </w:r>
      <w:r>
        <w:rPr>
          <w:rFonts w:hint="eastAsia" w:ascii="宋体" w:hAnsi="宋体"/>
          <w:bCs/>
          <w:color w:val="auto"/>
          <w:szCs w:val="21"/>
          <w:highlight w:val="none"/>
        </w:rPr>
        <w:t>作为推荐的候选中标供应商。</w:t>
      </w:r>
    </w:p>
    <w:p>
      <w:pPr>
        <w:spacing w:line="440" w:lineRule="exact"/>
        <w:ind w:firstLine="435"/>
        <w:rPr>
          <w:rFonts w:ascii="宋体" w:hAnsi="宋体"/>
          <w:b/>
          <w:color w:val="auto"/>
          <w:szCs w:val="21"/>
          <w:highlight w:val="none"/>
        </w:rPr>
      </w:pPr>
      <w:r>
        <w:rPr>
          <w:rFonts w:hint="eastAsia" w:ascii="宋体" w:hAnsi="宋体"/>
          <w:b/>
          <w:color w:val="auto"/>
          <w:szCs w:val="21"/>
          <w:highlight w:val="none"/>
        </w:rPr>
        <w:t>2</w:t>
      </w:r>
      <w:r>
        <w:rPr>
          <w:rFonts w:ascii="宋体" w:hAnsi="宋体"/>
          <w:b/>
          <w:color w:val="auto"/>
          <w:szCs w:val="21"/>
          <w:highlight w:val="none"/>
        </w:rPr>
        <w:t xml:space="preserve">.2  </w:t>
      </w:r>
      <w:r>
        <w:rPr>
          <w:rFonts w:hint="eastAsia" w:ascii="宋体" w:hAnsi="宋体"/>
          <w:b/>
          <w:color w:val="auto"/>
          <w:szCs w:val="21"/>
          <w:highlight w:val="none"/>
        </w:rPr>
        <w:t>定标</w:t>
      </w:r>
    </w:p>
    <w:p>
      <w:pPr>
        <w:spacing w:line="440" w:lineRule="exact"/>
        <w:ind w:firstLine="435"/>
        <w:rPr>
          <w:rFonts w:ascii="宋体" w:hAnsi="宋体"/>
          <w:color w:val="auto"/>
          <w:szCs w:val="21"/>
          <w:highlight w:val="none"/>
        </w:rPr>
      </w:pPr>
      <w:r>
        <w:rPr>
          <w:rFonts w:ascii="宋体" w:hAnsi="宋体"/>
          <w:color w:val="auto"/>
          <w:szCs w:val="21"/>
          <w:highlight w:val="none"/>
        </w:rPr>
        <w:t>采购方授权评标委员会确定中标单位，</w:t>
      </w:r>
      <w:r>
        <w:rPr>
          <w:rFonts w:hint="eastAsia" w:ascii="宋体" w:hAnsi="宋体"/>
          <w:color w:val="auto"/>
          <w:szCs w:val="21"/>
          <w:highlight w:val="none"/>
        </w:rPr>
        <w:t>确定</w:t>
      </w:r>
      <w:r>
        <w:rPr>
          <w:rFonts w:ascii="宋体" w:hAnsi="宋体"/>
          <w:color w:val="auto"/>
          <w:szCs w:val="21"/>
          <w:highlight w:val="none"/>
        </w:rPr>
        <w:t>投标</w:t>
      </w:r>
      <w:r>
        <w:rPr>
          <w:rFonts w:hint="eastAsia" w:ascii="宋体" w:hAnsi="宋体"/>
          <w:color w:val="auto"/>
          <w:szCs w:val="21"/>
          <w:highlight w:val="none"/>
        </w:rPr>
        <w:t>报价</w:t>
      </w:r>
      <w:r>
        <w:rPr>
          <w:rFonts w:ascii="宋体" w:hAnsi="宋体"/>
          <w:color w:val="auto"/>
          <w:szCs w:val="21"/>
          <w:highlight w:val="none"/>
        </w:rPr>
        <w:t>最低</w:t>
      </w:r>
      <w:r>
        <w:rPr>
          <w:rFonts w:hint="eastAsia" w:ascii="宋体" w:hAnsi="宋体"/>
          <w:color w:val="auto"/>
          <w:szCs w:val="21"/>
          <w:highlight w:val="none"/>
        </w:rPr>
        <w:t>且</w:t>
      </w:r>
      <w:r>
        <w:rPr>
          <w:rFonts w:ascii="宋体" w:hAnsi="宋体"/>
          <w:color w:val="auto"/>
          <w:szCs w:val="21"/>
          <w:highlight w:val="none"/>
        </w:rPr>
        <w:t>排名第一的投标供应商为中标</w:t>
      </w:r>
      <w:r>
        <w:rPr>
          <w:rFonts w:hint="eastAsia" w:ascii="宋体" w:hAnsi="宋体"/>
          <w:color w:val="auto"/>
          <w:szCs w:val="21"/>
          <w:highlight w:val="none"/>
        </w:rPr>
        <w:t>单位。</w:t>
      </w:r>
    </w:p>
    <w:p>
      <w:pPr>
        <w:spacing w:line="440" w:lineRule="exact"/>
        <w:ind w:firstLine="422" w:firstLineChars="200"/>
        <w:rPr>
          <w:b/>
          <w:color w:val="auto"/>
          <w:highlight w:val="none"/>
        </w:rPr>
      </w:pPr>
      <w:r>
        <w:rPr>
          <w:rFonts w:hint="eastAsia"/>
          <w:b/>
          <w:color w:val="auto"/>
          <w:highlight w:val="none"/>
        </w:rPr>
        <w:t>（二）评标和定标分离的方式</w:t>
      </w:r>
    </w:p>
    <w:p>
      <w:pPr>
        <w:spacing w:line="440" w:lineRule="exact"/>
        <w:ind w:firstLine="422" w:firstLineChars="200"/>
        <w:rPr>
          <w:rFonts w:ascii="宋体" w:hAnsi="宋体"/>
          <w:b/>
          <w:color w:val="auto"/>
          <w:szCs w:val="21"/>
          <w:highlight w:val="none"/>
        </w:rPr>
      </w:pPr>
      <w:r>
        <w:rPr>
          <w:rFonts w:hint="eastAsia" w:ascii="宋体" w:hAnsi="宋体"/>
          <w:b/>
          <w:color w:val="auto"/>
          <w:szCs w:val="21"/>
          <w:highlight w:val="none"/>
        </w:rPr>
        <w:t>1、</w:t>
      </w:r>
      <w:r>
        <w:rPr>
          <w:rFonts w:ascii="宋体" w:hAnsi="宋体"/>
          <w:b/>
          <w:color w:val="auto"/>
          <w:szCs w:val="21"/>
          <w:highlight w:val="none"/>
        </w:rPr>
        <w:t>符合性检查</w:t>
      </w:r>
    </w:p>
    <w:p>
      <w:pPr>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评标委员会根据</w:t>
      </w:r>
      <w:r>
        <w:rPr>
          <w:rFonts w:hint="eastAsia" w:ascii="宋体" w:hAnsi="宋体"/>
          <w:bCs/>
          <w:color w:val="auto"/>
          <w:szCs w:val="21"/>
          <w:highlight w:val="none"/>
        </w:rPr>
        <w:t>《</w:t>
      </w:r>
      <w:r>
        <w:rPr>
          <w:rFonts w:ascii="宋体" w:hAnsi="宋体"/>
          <w:bCs/>
          <w:color w:val="auto"/>
          <w:szCs w:val="21"/>
          <w:highlight w:val="none"/>
        </w:rPr>
        <w:t>符合性检查表》的内容和标准，对所有</w:t>
      </w:r>
      <w:r>
        <w:rPr>
          <w:rFonts w:hint="eastAsia" w:ascii="宋体" w:hAnsi="宋体"/>
          <w:bCs/>
          <w:color w:val="auto"/>
          <w:szCs w:val="21"/>
          <w:highlight w:val="none"/>
        </w:rPr>
        <w:t>通过资格性核查的</w:t>
      </w:r>
      <w:r>
        <w:rPr>
          <w:rFonts w:ascii="宋体" w:hAnsi="宋体"/>
          <w:bCs/>
          <w:color w:val="auto"/>
          <w:szCs w:val="21"/>
          <w:highlight w:val="none"/>
        </w:rPr>
        <w:t>投标</w:t>
      </w:r>
      <w:r>
        <w:rPr>
          <w:rFonts w:hint="eastAsia" w:ascii="宋体" w:hAnsi="宋体"/>
          <w:bCs/>
          <w:color w:val="auto"/>
          <w:szCs w:val="21"/>
          <w:highlight w:val="none"/>
        </w:rPr>
        <w:t>文件</w:t>
      </w:r>
      <w:r>
        <w:rPr>
          <w:rFonts w:ascii="宋体" w:hAnsi="宋体"/>
          <w:bCs/>
          <w:color w:val="auto"/>
          <w:szCs w:val="21"/>
          <w:highlight w:val="none"/>
        </w:rPr>
        <w:t>进行</w:t>
      </w:r>
      <w:r>
        <w:rPr>
          <w:rFonts w:hint="eastAsia" w:ascii="宋体" w:hAnsi="宋体"/>
          <w:bCs/>
          <w:color w:val="auto"/>
          <w:szCs w:val="21"/>
          <w:highlight w:val="none"/>
        </w:rPr>
        <w:t>审</w:t>
      </w:r>
      <w:r>
        <w:rPr>
          <w:rFonts w:ascii="宋体" w:hAnsi="宋体"/>
          <w:bCs/>
          <w:color w:val="auto"/>
          <w:szCs w:val="21"/>
          <w:highlight w:val="none"/>
        </w:rPr>
        <w:t>查。</w:t>
      </w:r>
    </w:p>
    <w:p>
      <w:pPr>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（2）</w:t>
      </w:r>
      <w:r>
        <w:rPr>
          <w:rFonts w:ascii="宋体" w:hAnsi="宋体"/>
          <w:bCs/>
          <w:color w:val="auto"/>
          <w:szCs w:val="21"/>
          <w:highlight w:val="none"/>
        </w:rPr>
        <w:t>符合性检查的对象是投标人提交的投标文件，评标委员会只就投标文件中所载明的情况进行</w:t>
      </w:r>
      <w:r>
        <w:rPr>
          <w:rFonts w:hint="eastAsia" w:ascii="宋体" w:hAnsi="宋体"/>
          <w:bCs/>
          <w:color w:val="auto"/>
          <w:szCs w:val="21"/>
          <w:highlight w:val="none"/>
        </w:rPr>
        <w:t>审</w:t>
      </w:r>
      <w:r>
        <w:rPr>
          <w:rFonts w:ascii="宋体" w:hAnsi="宋体"/>
          <w:bCs/>
          <w:color w:val="auto"/>
          <w:szCs w:val="21"/>
          <w:highlight w:val="none"/>
        </w:rPr>
        <w:t>查。</w:t>
      </w:r>
    </w:p>
    <w:p>
      <w:pPr>
        <w:spacing w:line="440" w:lineRule="exact"/>
        <w:ind w:firstLine="420" w:firstLineChars="200"/>
        <w:rPr>
          <w:rFonts w:ascii="Calibri" w:hAnsi="Calibri"/>
          <w:color w:val="auto"/>
          <w:szCs w:val="21"/>
          <w:highlight w:val="none"/>
        </w:rPr>
      </w:pPr>
      <w:r>
        <w:rPr>
          <w:rFonts w:hint="eastAsia" w:ascii="宋体" w:hAnsi="宋体"/>
          <w:bCs/>
          <w:color w:val="auto"/>
          <w:szCs w:val="21"/>
          <w:highlight w:val="none"/>
        </w:rPr>
        <w:t>（3）</w:t>
      </w:r>
      <w:r>
        <w:rPr>
          <w:rFonts w:ascii="宋体" w:hAnsi="宋体"/>
          <w:bCs/>
          <w:color w:val="auto"/>
          <w:szCs w:val="21"/>
          <w:highlight w:val="none"/>
        </w:rPr>
        <w:t>符</w:t>
      </w:r>
      <w:r>
        <w:rPr>
          <w:rFonts w:ascii="Calibri" w:hAnsi="宋体"/>
          <w:color w:val="auto"/>
          <w:szCs w:val="21"/>
          <w:highlight w:val="none"/>
        </w:rPr>
        <w:t>合性检查的结果是</w:t>
      </w:r>
      <w:r>
        <w:rPr>
          <w:rFonts w:ascii="Calibri" w:hAnsi="Calibri"/>
          <w:color w:val="auto"/>
          <w:szCs w:val="21"/>
          <w:highlight w:val="none"/>
        </w:rPr>
        <w:t>“</w:t>
      </w:r>
      <w:r>
        <w:rPr>
          <w:rFonts w:ascii="Calibri" w:hAnsi="宋体"/>
          <w:color w:val="auto"/>
          <w:szCs w:val="21"/>
          <w:highlight w:val="none"/>
        </w:rPr>
        <w:t>通过</w:t>
      </w:r>
      <w:r>
        <w:rPr>
          <w:rFonts w:ascii="Calibri" w:hAnsi="Calibri"/>
          <w:color w:val="auto"/>
          <w:szCs w:val="21"/>
          <w:highlight w:val="none"/>
        </w:rPr>
        <w:t>”</w:t>
      </w:r>
      <w:r>
        <w:rPr>
          <w:rFonts w:ascii="Calibri" w:hAnsi="宋体"/>
          <w:color w:val="auto"/>
          <w:szCs w:val="21"/>
          <w:highlight w:val="none"/>
        </w:rPr>
        <w:t>或</w:t>
      </w:r>
      <w:r>
        <w:rPr>
          <w:rFonts w:ascii="Calibri" w:hAnsi="Calibri"/>
          <w:color w:val="auto"/>
          <w:szCs w:val="21"/>
          <w:highlight w:val="none"/>
        </w:rPr>
        <w:t>“</w:t>
      </w:r>
      <w:r>
        <w:rPr>
          <w:rFonts w:ascii="Calibri" w:hAnsi="宋体"/>
          <w:color w:val="auto"/>
          <w:szCs w:val="21"/>
          <w:highlight w:val="none"/>
        </w:rPr>
        <w:t>不通过</w:t>
      </w:r>
      <w:r>
        <w:rPr>
          <w:rFonts w:ascii="Calibri" w:hAnsi="Calibri"/>
          <w:color w:val="auto"/>
          <w:szCs w:val="21"/>
          <w:highlight w:val="none"/>
        </w:rPr>
        <w:t>”</w:t>
      </w:r>
      <w:r>
        <w:rPr>
          <w:rFonts w:ascii="Calibri" w:hAnsi="宋体"/>
          <w:color w:val="auto"/>
          <w:szCs w:val="21"/>
          <w:highlight w:val="none"/>
        </w:rPr>
        <w:t>，只有逐条通过</w:t>
      </w:r>
      <w:r>
        <w:rPr>
          <w:rFonts w:ascii="宋体" w:hAnsi="宋体"/>
          <w:bCs/>
          <w:color w:val="auto"/>
          <w:szCs w:val="21"/>
          <w:highlight w:val="none"/>
        </w:rPr>
        <w:t>《符合性检查表》</w:t>
      </w:r>
      <w:r>
        <w:rPr>
          <w:rFonts w:ascii="Calibri" w:hAnsi="宋体"/>
          <w:color w:val="auto"/>
          <w:szCs w:val="21"/>
          <w:highlight w:val="none"/>
        </w:rPr>
        <w:t>各项检查的投标方能进入下一阶段的评标，否则将导致其投标被废标。</w:t>
      </w:r>
    </w:p>
    <w:p>
      <w:pPr>
        <w:spacing w:line="440" w:lineRule="exact"/>
        <w:ind w:firstLine="422" w:firstLineChars="200"/>
        <w:rPr>
          <w:rFonts w:ascii="宋体" w:hAnsi="宋体"/>
          <w:b/>
          <w:color w:val="auto"/>
          <w:szCs w:val="21"/>
          <w:highlight w:val="none"/>
        </w:rPr>
      </w:pPr>
      <w:r>
        <w:rPr>
          <w:rFonts w:hint="eastAsia" w:ascii="宋体" w:hAnsi="宋体"/>
          <w:b/>
          <w:color w:val="auto"/>
          <w:szCs w:val="21"/>
          <w:highlight w:val="none"/>
        </w:rPr>
        <w:t>2、</w:t>
      </w:r>
      <w:r>
        <w:rPr>
          <w:rFonts w:ascii="宋体" w:hAnsi="宋体"/>
          <w:b/>
          <w:color w:val="auto"/>
          <w:szCs w:val="21"/>
          <w:highlight w:val="none"/>
        </w:rPr>
        <w:t>商务</w:t>
      </w:r>
      <w:r>
        <w:rPr>
          <w:rFonts w:hint="eastAsia" w:ascii="宋体" w:hAnsi="宋体"/>
          <w:b/>
          <w:color w:val="auto"/>
          <w:szCs w:val="21"/>
          <w:highlight w:val="none"/>
        </w:rPr>
        <w:t>、</w:t>
      </w:r>
      <w:r>
        <w:rPr>
          <w:rFonts w:ascii="宋体" w:hAnsi="宋体"/>
          <w:b/>
          <w:color w:val="auto"/>
          <w:szCs w:val="21"/>
          <w:highlight w:val="none"/>
        </w:rPr>
        <w:t>技术及价格评议</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评标委员会根据《</w:t>
      </w:r>
      <w:r>
        <w:rPr>
          <w:rFonts w:hint="eastAsia" w:ascii="宋体" w:hAnsi="宋体"/>
          <w:color w:val="auto"/>
          <w:szCs w:val="21"/>
          <w:highlight w:val="none"/>
        </w:rPr>
        <w:t>评分表</w:t>
      </w:r>
      <w:r>
        <w:rPr>
          <w:rFonts w:ascii="宋体" w:hAnsi="宋体"/>
          <w:color w:val="auto"/>
          <w:szCs w:val="21"/>
          <w:highlight w:val="none"/>
        </w:rPr>
        <w:t>》的内容和标准，对通过</w:t>
      </w:r>
      <w:r>
        <w:rPr>
          <w:rFonts w:hint="eastAsia" w:ascii="宋体" w:hAnsi="宋体"/>
          <w:bCs/>
          <w:color w:val="auto"/>
          <w:szCs w:val="21"/>
          <w:highlight w:val="none"/>
        </w:rPr>
        <w:t>资格性和</w:t>
      </w:r>
      <w:r>
        <w:rPr>
          <w:rFonts w:ascii="宋体" w:hAnsi="宋体"/>
          <w:bCs/>
          <w:color w:val="auto"/>
          <w:szCs w:val="21"/>
          <w:highlight w:val="none"/>
        </w:rPr>
        <w:t>符合性</w:t>
      </w:r>
      <w:r>
        <w:rPr>
          <w:rFonts w:ascii="宋体" w:hAnsi="宋体"/>
          <w:color w:val="auto"/>
          <w:szCs w:val="21"/>
          <w:highlight w:val="none"/>
        </w:rPr>
        <w:t>检查的投标进行商务</w:t>
      </w:r>
      <w:r>
        <w:rPr>
          <w:rFonts w:hint="eastAsia" w:ascii="宋体" w:hAnsi="宋体"/>
          <w:color w:val="auto"/>
          <w:szCs w:val="21"/>
          <w:highlight w:val="none"/>
        </w:rPr>
        <w:t>、</w:t>
      </w:r>
      <w:r>
        <w:rPr>
          <w:rFonts w:ascii="宋体" w:hAnsi="宋体"/>
          <w:color w:val="auto"/>
          <w:szCs w:val="21"/>
          <w:highlight w:val="none"/>
        </w:rPr>
        <w:t>技术</w:t>
      </w:r>
      <w:r>
        <w:rPr>
          <w:rFonts w:hint="eastAsia" w:ascii="宋体" w:hAnsi="宋体"/>
          <w:color w:val="auto"/>
          <w:szCs w:val="21"/>
          <w:highlight w:val="none"/>
        </w:rPr>
        <w:t>及价格</w:t>
      </w:r>
      <w:r>
        <w:rPr>
          <w:rFonts w:ascii="宋体" w:hAnsi="宋体"/>
          <w:color w:val="auto"/>
          <w:szCs w:val="21"/>
          <w:highlight w:val="none"/>
        </w:rPr>
        <w:t>评议。</w:t>
      </w:r>
    </w:p>
    <w:p>
      <w:pPr>
        <w:spacing w:line="440" w:lineRule="exact"/>
        <w:ind w:firstLine="420" w:firstLineChars="200"/>
        <w:rPr>
          <w:rFonts w:ascii="Calibri" w:hAnsi="Calibri"/>
          <w:color w:val="auto"/>
          <w:szCs w:val="21"/>
          <w:highlight w:val="none"/>
        </w:rPr>
      </w:pPr>
      <w:r>
        <w:rPr>
          <w:rFonts w:hint="eastAsia" w:ascii="宋体" w:hAnsi="宋体"/>
          <w:color w:val="auto"/>
          <w:szCs w:val="21"/>
          <w:highlight w:val="none"/>
        </w:rPr>
        <w:t>（2）</w:t>
      </w:r>
      <w:r>
        <w:rPr>
          <w:rFonts w:ascii="宋体" w:hAnsi="宋体"/>
          <w:color w:val="auto"/>
          <w:szCs w:val="21"/>
          <w:highlight w:val="none"/>
        </w:rPr>
        <w:t>评</w:t>
      </w:r>
      <w:r>
        <w:rPr>
          <w:rFonts w:ascii="Calibri" w:hAnsi="宋体"/>
          <w:color w:val="auto"/>
          <w:szCs w:val="21"/>
          <w:highlight w:val="none"/>
        </w:rPr>
        <w:t>标委员会将对照招标文件中的商务、技术需求条款和投标文件中的商务、技术条款响应进行评议</w:t>
      </w:r>
      <w:r>
        <w:rPr>
          <w:rFonts w:hint="eastAsia" w:ascii="Calibri" w:hAnsi="宋体"/>
          <w:color w:val="auto"/>
          <w:szCs w:val="21"/>
          <w:highlight w:val="none"/>
        </w:rPr>
        <w:t>；</w:t>
      </w:r>
      <w:r>
        <w:rPr>
          <w:rFonts w:ascii="Calibri" w:hAnsi="宋体"/>
          <w:color w:val="auto"/>
          <w:szCs w:val="21"/>
          <w:highlight w:val="none"/>
        </w:rPr>
        <w:t>评标委员会成员将按照《</w:t>
      </w:r>
      <w:r>
        <w:rPr>
          <w:rFonts w:hint="eastAsia" w:ascii="Calibri" w:hAnsi="宋体"/>
          <w:color w:val="auto"/>
          <w:szCs w:val="21"/>
          <w:highlight w:val="none"/>
        </w:rPr>
        <w:t>评分表</w:t>
      </w:r>
      <w:r>
        <w:rPr>
          <w:rFonts w:ascii="Calibri" w:hAnsi="宋体"/>
          <w:color w:val="auto"/>
          <w:szCs w:val="21"/>
          <w:highlight w:val="none"/>
        </w:rPr>
        <w:t>》确定的</w:t>
      </w:r>
      <w:r>
        <w:rPr>
          <w:rFonts w:hint="eastAsia" w:ascii="Calibri" w:hAnsi="宋体"/>
          <w:color w:val="auto"/>
          <w:szCs w:val="21"/>
          <w:highlight w:val="none"/>
        </w:rPr>
        <w:t>分值</w:t>
      </w:r>
      <w:r>
        <w:rPr>
          <w:rFonts w:ascii="Calibri" w:hAnsi="宋体"/>
          <w:color w:val="auto"/>
          <w:szCs w:val="21"/>
          <w:highlight w:val="none"/>
        </w:rPr>
        <w:t>独立对每个投标的商务</w:t>
      </w:r>
      <w:r>
        <w:rPr>
          <w:rFonts w:hint="eastAsia" w:ascii="Calibri" w:hAnsi="宋体"/>
          <w:color w:val="auto"/>
          <w:szCs w:val="21"/>
          <w:highlight w:val="none"/>
        </w:rPr>
        <w:t>、</w:t>
      </w:r>
      <w:r>
        <w:rPr>
          <w:rFonts w:ascii="Calibri" w:hAnsi="宋体"/>
          <w:color w:val="auto"/>
          <w:szCs w:val="21"/>
          <w:highlight w:val="none"/>
        </w:rPr>
        <w:t>技术</w:t>
      </w:r>
      <w:r>
        <w:rPr>
          <w:rFonts w:hint="eastAsia" w:ascii="Calibri" w:hAnsi="宋体"/>
          <w:color w:val="auto"/>
          <w:szCs w:val="21"/>
          <w:highlight w:val="none"/>
        </w:rPr>
        <w:t>及价格</w:t>
      </w:r>
      <w:r>
        <w:rPr>
          <w:rFonts w:ascii="Calibri" w:hAnsi="宋体"/>
          <w:color w:val="auto"/>
          <w:szCs w:val="21"/>
          <w:highlight w:val="none"/>
        </w:rPr>
        <w:t>部分以打分的方式进行评议。</w:t>
      </w:r>
    </w:p>
    <w:p>
      <w:pPr>
        <w:spacing w:line="440" w:lineRule="exact"/>
        <w:ind w:firstLine="422" w:firstLineChars="200"/>
        <w:rPr>
          <w:rFonts w:ascii="Calibri" w:hAnsi="Calibri"/>
          <w:b/>
          <w:color w:val="auto"/>
          <w:szCs w:val="21"/>
          <w:highlight w:val="none"/>
        </w:rPr>
      </w:pPr>
      <w:r>
        <w:rPr>
          <w:rFonts w:hint="eastAsia" w:ascii="宋体" w:hAnsi="宋体"/>
          <w:b/>
          <w:color w:val="auto"/>
          <w:szCs w:val="21"/>
          <w:highlight w:val="none"/>
        </w:rPr>
        <w:t>3、</w:t>
      </w:r>
      <w:r>
        <w:rPr>
          <w:rFonts w:ascii="Calibri" w:hAnsi="宋体"/>
          <w:b/>
          <w:color w:val="auto"/>
          <w:szCs w:val="21"/>
          <w:highlight w:val="none"/>
        </w:rPr>
        <w:t>中标</w:t>
      </w:r>
      <w:r>
        <w:rPr>
          <w:rFonts w:hint="eastAsia" w:ascii="Calibri" w:hAnsi="宋体"/>
          <w:b/>
          <w:color w:val="auto"/>
          <w:szCs w:val="21"/>
          <w:highlight w:val="none"/>
        </w:rPr>
        <w:t>单位</w:t>
      </w:r>
      <w:r>
        <w:rPr>
          <w:rFonts w:ascii="Calibri" w:hAnsi="宋体"/>
          <w:b/>
          <w:color w:val="auto"/>
          <w:szCs w:val="21"/>
          <w:highlight w:val="none"/>
        </w:rPr>
        <w:t>的确定</w:t>
      </w:r>
    </w:p>
    <w:p>
      <w:pPr>
        <w:spacing w:line="440" w:lineRule="exact"/>
        <w:ind w:firstLine="422" w:firstLineChars="200"/>
        <w:rPr>
          <w:rFonts w:ascii="宋体" w:hAnsi="宋体"/>
          <w:b/>
          <w:color w:val="auto"/>
          <w:szCs w:val="21"/>
          <w:highlight w:val="none"/>
        </w:rPr>
      </w:pPr>
      <w:r>
        <w:rPr>
          <w:rFonts w:hint="eastAsia" w:ascii="宋体" w:hAnsi="宋体"/>
          <w:b/>
          <w:color w:val="auto"/>
          <w:szCs w:val="21"/>
          <w:highlight w:val="none"/>
        </w:rPr>
        <w:t xml:space="preserve">3.1  </w:t>
      </w:r>
      <w:r>
        <w:rPr>
          <w:rFonts w:hint="eastAsia" w:ascii="宋体" w:hAnsi="宋体"/>
          <w:b/>
          <w:bCs/>
          <w:color w:val="auto"/>
          <w:szCs w:val="21"/>
          <w:highlight w:val="none"/>
        </w:rPr>
        <w:t>候选中标供应商推荐</w:t>
      </w:r>
    </w:p>
    <w:p>
      <w:pPr>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（1）每个投标单位的评标总得分以</w:t>
      </w:r>
      <w:r>
        <w:rPr>
          <w:rFonts w:hint="eastAsia" w:ascii="宋体" w:hAnsi="宋体"/>
          <w:color w:val="auto"/>
          <w:szCs w:val="21"/>
          <w:highlight w:val="none"/>
        </w:rPr>
        <w:t>所有评标委员会成员的独立评分汇总</w:t>
      </w:r>
      <w:r>
        <w:rPr>
          <w:rFonts w:hint="eastAsia" w:ascii="宋体" w:hAnsi="宋体"/>
          <w:bCs/>
          <w:color w:val="auto"/>
          <w:szCs w:val="21"/>
          <w:highlight w:val="none"/>
        </w:rPr>
        <w:t>后确定，</w:t>
      </w:r>
      <w:r>
        <w:rPr>
          <w:rFonts w:ascii="宋体" w:hAnsi="宋体"/>
          <w:bCs/>
          <w:color w:val="auto"/>
          <w:szCs w:val="21"/>
          <w:highlight w:val="none"/>
        </w:rPr>
        <w:t>评标总得分相同的，按投标报价由低到高顺序排列；评标总得分且投标报价相同的，按技术指标</w:t>
      </w:r>
      <w:r>
        <w:rPr>
          <w:rFonts w:hint="eastAsia" w:ascii="宋体" w:hAnsi="宋体"/>
          <w:bCs/>
          <w:color w:val="auto"/>
          <w:szCs w:val="21"/>
          <w:highlight w:val="none"/>
        </w:rPr>
        <w:t>（技术部分）</w:t>
      </w:r>
      <w:r>
        <w:rPr>
          <w:rFonts w:ascii="宋体" w:hAnsi="宋体"/>
          <w:bCs/>
          <w:color w:val="auto"/>
          <w:szCs w:val="21"/>
          <w:highlight w:val="none"/>
        </w:rPr>
        <w:t>得分优劣顺序排列</w:t>
      </w:r>
      <w:r>
        <w:rPr>
          <w:rFonts w:hint="eastAsia" w:ascii="Calibri" w:hAnsi="宋体"/>
          <w:color w:val="auto"/>
          <w:szCs w:val="21"/>
          <w:highlight w:val="none"/>
        </w:rPr>
        <w:t>；如</w:t>
      </w:r>
      <w:r>
        <w:rPr>
          <w:rFonts w:ascii="Calibri" w:hAnsi="宋体"/>
          <w:color w:val="auto"/>
          <w:szCs w:val="21"/>
          <w:highlight w:val="none"/>
        </w:rPr>
        <w:t>技术指标</w:t>
      </w:r>
      <w:r>
        <w:rPr>
          <w:rFonts w:hint="eastAsia" w:ascii="Calibri" w:hAnsi="宋体"/>
          <w:color w:val="auto"/>
          <w:szCs w:val="21"/>
          <w:highlight w:val="none"/>
        </w:rPr>
        <w:t>（技术部分）</w:t>
      </w:r>
      <w:r>
        <w:rPr>
          <w:rFonts w:ascii="Calibri" w:hAnsi="宋体"/>
          <w:color w:val="auto"/>
          <w:szCs w:val="21"/>
          <w:highlight w:val="none"/>
        </w:rPr>
        <w:t>得分</w:t>
      </w:r>
      <w:r>
        <w:rPr>
          <w:rFonts w:hint="eastAsia" w:ascii="Calibri" w:hAnsi="宋体"/>
          <w:color w:val="auto"/>
          <w:szCs w:val="21"/>
          <w:highlight w:val="none"/>
        </w:rPr>
        <w:t>仍然相同的，则采用抽签方式确定排序，</w:t>
      </w:r>
      <w:r>
        <w:rPr>
          <w:rFonts w:hint="eastAsia" w:ascii="宋体" w:hAnsi="宋体"/>
          <w:color w:val="auto"/>
          <w:szCs w:val="21"/>
          <w:highlight w:val="none"/>
        </w:rPr>
        <w:t>具体操作办法及流程由评标委员会确定</w:t>
      </w:r>
      <w:r>
        <w:rPr>
          <w:rFonts w:ascii="宋体" w:hAnsi="宋体"/>
          <w:bCs/>
          <w:color w:val="auto"/>
          <w:szCs w:val="21"/>
          <w:highlight w:val="none"/>
        </w:rPr>
        <w:t>。</w:t>
      </w:r>
    </w:p>
    <w:p>
      <w:pPr>
        <w:spacing w:line="440" w:lineRule="exact"/>
        <w:ind w:firstLine="420" w:firstLineChars="200"/>
        <w:rPr>
          <w:color w:val="auto"/>
          <w:szCs w:val="21"/>
          <w:highlight w:val="none"/>
        </w:rPr>
      </w:pPr>
      <w:r>
        <w:rPr>
          <w:rFonts w:hint="eastAsia" w:ascii="宋体" w:hAnsi="宋体"/>
          <w:bCs/>
          <w:color w:val="auto"/>
          <w:szCs w:val="21"/>
          <w:highlight w:val="none"/>
        </w:rPr>
        <w:t>（2）评标委员会按照综合评分的排名结果推荐中标候选供应商，</w:t>
      </w:r>
      <w:r>
        <w:rPr>
          <w:rFonts w:hint="eastAsia" w:ascii="宋体" w:hAnsi="宋体"/>
          <w:color w:val="auto"/>
          <w:szCs w:val="21"/>
          <w:highlight w:val="none"/>
        </w:rPr>
        <w:t>排名前三的投标单位</w:t>
      </w:r>
      <w:r>
        <w:rPr>
          <w:rFonts w:hint="eastAsia" w:ascii="宋体" w:hAnsi="宋体"/>
          <w:bCs/>
          <w:color w:val="auto"/>
          <w:szCs w:val="21"/>
          <w:highlight w:val="none"/>
        </w:rPr>
        <w:t>作为推荐的候选中标供应商（排名不分先后）。</w:t>
      </w:r>
    </w:p>
    <w:p>
      <w:pPr>
        <w:spacing w:line="44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3.2  定标</w:t>
      </w:r>
    </w:p>
    <w:p>
      <w:pPr>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采购单位从评标委员会推荐的候选中标供应商中，</w:t>
      </w:r>
      <w:r>
        <w:rPr>
          <w:rFonts w:ascii="宋体" w:hAnsi="宋体"/>
          <w:bCs/>
          <w:color w:val="auto"/>
          <w:szCs w:val="21"/>
          <w:highlight w:val="none"/>
        </w:rPr>
        <w:t>采用</w:t>
      </w:r>
      <w:r>
        <w:rPr>
          <w:rFonts w:ascii="宋体" w:hAnsi="宋体"/>
          <w:b/>
          <w:bCs/>
          <w:color w:val="auto"/>
          <w:szCs w:val="21"/>
          <w:highlight w:val="none"/>
        </w:rPr>
        <w:t>自定法</w:t>
      </w:r>
      <w:r>
        <w:rPr>
          <w:rFonts w:hint="eastAsia" w:ascii="宋体" w:hAnsi="宋体"/>
          <w:bCs/>
          <w:color w:val="auto"/>
          <w:szCs w:val="21"/>
          <w:highlight w:val="none"/>
        </w:rPr>
        <w:t>自行选择确定一名中标单位，具体操作程序按照《深圳市政府采购评标定标分离管理办法》要求执行。</w:t>
      </w:r>
    </w:p>
    <w:p>
      <w:pPr>
        <w:spacing w:line="440" w:lineRule="exact"/>
        <w:ind w:firstLine="386" w:firstLineChars="183"/>
        <w:rPr>
          <w:rFonts w:ascii="宋体" w:hAnsi="宋体"/>
          <w:b/>
          <w:color w:val="auto"/>
          <w:szCs w:val="21"/>
          <w:highlight w:val="none"/>
        </w:rPr>
      </w:pPr>
      <w:r>
        <w:rPr>
          <w:rFonts w:hint="eastAsia" w:ascii="宋体" w:hAnsi="宋体"/>
          <w:b/>
          <w:color w:val="auto"/>
          <w:szCs w:val="21"/>
          <w:highlight w:val="none"/>
        </w:rPr>
        <w:t>4、质疑投诉处理：</w:t>
      </w:r>
      <w:r>
        <w:rPr>
          <w:rFonts w:hint="eastAsia" w:ascii="宋体" w:hAnsi="宋体"/>
          <w:color w:val="auto"/>
          <w:szCs w:val="21"/>
          <w:highlight w:val="none"/>
        </w:rPr>
        <w:t>确定中标单位后出现质疑投诉的，按照以下程序进行处理：（1）中标单位因质疑、投诉等问题被取消或</w:t>
      </w:r>
      <w:r>
        <w:rPr>
          <w:rFonts w:ascii="宋体" w:hAnsi="宋体"/>
          <w:color w:val="auto"/>
          <w:szCs w:val="21"/>
          <w:highlight w:val="none"/>
        </w:rPr>
        <w:t>放弃</w:t>
      </w:r>
      <w:r>
        <w:rPr>
          <w:rFonts w:hint="eastAsia" w:ascii="宋体" w:hAnsi="宋体"/>
          <w:color w:val="auto"/>
          <w:szCs w:val="21"/>
          <w:highlight w:val="none"/>
        </w:rPr>
        <w:t>候选中标资格，候选</w:t>
      </w:r>
      <w:r>
        <w:rPr>
          <w:rFonts w:ascii="宋体" w:hAnsi="宋体"/>
          <w:color w:val="auto"/>
          <w:szCs w:val="21"/>
          <w:highlight w:val="none"/>
        </w:rPr>
        <w:t>中标</w:t>
      </w:r>
      <w:r>
        <w:rPr>
          <w:rFonts w:hint="eastAsia" w:ascii="宋体" w:hAnsi="宋体"/>
          <w:color w:val="auto"/>
          <w:szCs w:val="21"/>
          <w:highlight w:val="none"/>
        </w:rPr>
        <w:t>供应商</w:t>
      </w:r>
      <w:r>
        <w:rPr>
          <w:rFonts w:ascii="宋体" w:hAnsi="宋体"/>
          <w:color w:val="auto"/>
          <w:szCs w:val="21"/>
          <w:highlight w:val="none"/>
        </w:rPr>
        <w:t>不再</w:t>
      </w:r>
      <w:r>
        <w:rPr>
          <w:rFonts w:hint="eastAsia" w:ascii="宋体" w:hAnsi="宋体"/>
          <w:color w:val="auto"/>
          <w:szCs w:val="21"/>
          <w:highlight w:val="none"/>
        </w:rPr>
        <w:t>替补</w:t>
      </w:r>
      <w:r>
        <w:rPr>
          <w:rFonts w:ascii="宋体" w:hAnsi="宋体"/>
          <w:color w:val="auto"/>
          <w:szCs w:val="21"/>
          <w:highlight w:val="none"/>
        </w:rPr>
        <w:t>，</w:t>
      </w:r>
      <w:r>
        <w:rPr>
          <w:rFonts w:hint="eastAsia" w:ascii="宋体" w:hAnsi="宋体"/>
          <w:color w:val="auto"/>
          <w:szCs w:val="21"/>
          <w:highlight w:val="none"/>
        </w:rPr>
        <w:t>如有效</w:t>
      </w:r>
      <w:r>
        <w:rPr>
          <w:rFonts w:ascii="宋体" w:hAnsi="宋体"/>
          <w:color w:val="auto"/>
          <w:szCs w:val="21"/>
          <w:highlight w:val="none"/>
        </w:rPr>
        <w:t>投标</w:t>
      </w:r>
      <w:r>
        <w:rPr>
          <w:rFonts w:hint="eastAsia" w:ascii="宋体" w:hAnsi="宋体"/>
          <w:color w:val="auto"/>
          <w:szCs w:val="21"/>
          <w:highlight w:val="none"/>
        </w:rPr>
        <w:t>供应商满足</w:t>
      </w:r>
      <w:r>
        <w:rPr>
          <w:rFonts w:ascii="宋体" w:hAnsi="宋体"/>
          <w:color w:val="auto"/>
          <w:szCs w:val="21"/>
          <w:highlight w:val="none"/>
        </w:rPr>
        <w:t>法定数量</w:t>
      </w:r>
      <w:r>
        <w:rPr>
          <w:rFonts w:hint="eastAsia" w:ascii="宋体" w:hAnsi="宋体"/>
          <w:color w:val="auto"/>
          <w:szCs w:val="21"/>
          <w:highlight w:val="none"/>
        </w:rPr>
        <w:t>，可按</w:t>
      </w:r>
      <w:r>
        <w:rPr>
          <w:rFonts w:ascii="宋体" w:hAnsi="宋体"/>
          <w:color w:val="auto"/>
          <w:szCs w:val="21"/>
          <w:highlight w:val="none"/>
        </w:rPr>
        <w:t>相关规定</w:t>
      </w:r>
      <w:r>
        <w:rPr>
          <w:rFonts w:hint="eastAsia" w:ascii="宋体" w:hAnsi="宋体"/>
          <w:color w:val="auto"/>
          <w:szCs w:val="21"/>
          <w:highlight w:val="none"/>
        </w:rPr>
        <w:t>在</w:t>
      </w:r>
      <w:r>
        <w:rPr>
          <w:rFonts w:ascii="宋体" w:hAnsi="宋体"/>
          <w:color w:val="auto"/>
          <w:szCs w:val="21"/>
          <w:highlight w:val="none"/>
        </w:rPr>
        <w:t>其他</w:t>
      </w:r>
      <w:r>
        <w:rPr>
          <w:rFonts w:hint="eastAsia" w:ascii="宋体" w:hAnsi="宋体"/>
          <w:color w:val="auto"/>
          <w:szCs w:val="21"/>
          <w:highlight w:val="none"/>
        </w:rPr>
        <w:t>候选</w:t>
      </w:r>
      <w:r>
        <w:rPr>
          <w:rFonts w:ascii="宋体" w:hAnsi="宋体"/>
          <w:color w:val="auto"/>
          <w:szCs w:val="21"/>
          <w:highlight w:val="none"/>
        </w:rPr>
        <w:t>中标</w:t>
      </w:r>
      <w:r>
        <w:rPr>
          <w:rFonts w:hint="eastAsia" w:ascii="宋体" w:hAnsi="宋体"/>
          <w:color w:val="auto"/>
          <w:szCs w:val="21"/>
          <w:highlight w:val="none"/>
        </w:rPr>
        <w:t>供应商中另行</w:t>
      </w:r>
      <w:r>
        <w:rPr>
          <w:rFonts w:ascii="宋体" w:hAnsi="宋体"/>
          <w:color w:val="auto"/>
          <w:szCs w:val="21"/>
          <w:highlight w:val="none"/>
        </w:rPr>
        <w:t>确定中标</w:t>
      </w:r>
      <w:r>
        <w:rPr>
          <w:rFonts w:hint="eastAsia" w:ascii="宋体" w:hAnsi="宋体"/>
          <w:color w:val="auto"/>
          <w:szCs w:val="21"/>
          <w:highlight w:val="none"/>
        </w:rPr>
        <w:t>单位</w:t>
      </w:r>
      <w:r>
        <w:rPr>
          <w:rFonts w:ascii="宋体" w:hAnsi="宋体"/>
          <w:color w:val="auto"/>
          <w:szCs w:val="21"/>
          <w:highlight w:val="none"/>
        </w:rPr>
        <w:t>，或者</w:t>
      </w:r>
      <w:r>
        <w:rPr>
          <w:rFonts w:hint="eastAsia" w:ascii="宋体" w:hAnsi="宋体"/>
          <w:color w:val="auto"/>
          <w:szCs w:val="21"/>
          <w:highlight w:val="none"/>
        </w:rPr>
        <w:t>重新组织招标；（2）候选中标供应商因质疑、投诉等问题被取消候选中标资格，如有效</w:t>
      </w:r>
      <w:r>
        <w:rPr>
          <w:rFonts w:ascii="宋体" w:hAnsi="宋体"/>
          <w:color w:val="auto"/>
          <w:szCs w:val="21"/>
          <w:highlight w:val="none"/>
        </w:rPr>
        <w:t>投标</w:t>
      </w:r>
      <w:r>
        <w:rPr>
          <w:rFonts w:hint="eastAsia" w:ascii="宋体" w:hAnsi="宋体"/>
          <w:color w:val="auto"/>
          <w:szCs w:val="21"/>
          <w:highlight w:val="none"/>
        </w:rPr>
        <w:t>供应商满足</w:t>
      </w:r>
      <w:r>
        <w:rPr>
          <w:rFonts w:ascii="宋体" w:hAnsi="宋体"/>
          <w:color w:val="auto"/>
          <w:szCs w:val="21"/>
          <w:highlight w:val="none"/>
        </w:rPr>
        <w:t>法定数量</w:t>
      </w:r>
      <w:r>
        <w:rPr>
          <w:rFonts w:hint="eastAsia" w:ascii="宋体" w:hAnsi="宋体"/>
          <w:color w:val="auto"/>
          <w:szCs w:val="21"/>
          <w:highlight w:val="none"/>
        </w:rPr>
        <w:t>，则维持原中标结果；如有效</w:t>
      </w:r>
      <w:r>
        <w:rPr>
          <w:rFonts w:ascii="宋体" w:hAnsi="宋体"/>
          <w:color w:val="auto"/>
          <w:szCs w:val="21"/>
          <w:highlight w:val="none"/>
        </w:rPr>
        <w:t>投标</w:t>
      </w:r>
      <w:r>
        <w:rPr>
          <w:rFonts w:hint="eastAsia" w:ascii="宋体" w:hAnsi="宋体"/>
          <w:color w:val="auto"/>
          <w:szCs w:val="21"/>
          <w:highlight w:val="none"/>
        </w:rPr>
        <w:t>供应商不足</w:t>
      </w:r>
      <w:r>
        <w:rPr>
          <w:rFonts w:ascii="宋体" w:hAnsi="宋体"/>
          <w:color w:val="auto"/>
          <w:szCs w:val="21"/>
          <w:highlight w:val="none"/>
        </w:rPr>
        <w:t>法定数量</w:t>
      </w:r>
      <w:r>
        <w:rPr>
          <w:rFonts w:hint="eastAsia" w:ascii="宋体" w:hAnsi="宋体"/>
          <w:color w:val="auto"/>
          <w:szCs w:val="21"/>
          <w:highlight w:val="none"/>
        </w:rPr>
        <w:t>，则该项目作废标处理，重新组织招标。</w:t>
      </w:r>
    </w:p>
    <w:p>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0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A216A"/>
    <w:multiLevelType w:val="multilevel"/>
    <w:tmpl w:val="2A8A216A"/>
    <w:lvl w:ilvl="0" w:tentative="0">
      <w:start w:val="1"/>
      <w:numFmt w:val="bullet"/>
      <w:lvlText w:val=""/>
      <w:lvlJc w:val="left"/>
      <w:pPr>
        <w:ind w:left="842" w:hanging="420"/>
      </w:pPr>
      <w:rPr>
        <w:rFonts w:hint="default" w:ascii="Wingdings" w:hAnsi="Wingdings"/>
      </w:rPr>
    </w:lvl>
    <w:lvl w:ilvl="1" w:tentative="0">
      <w:start w:val="1"/>
      <w:numFmt w:val="bullet"/>
      <w:lvlText w:val=""/>
      <w:lvlJc w:val="left"/>
      <w:pPr>
        <w:ind w:left="1262" w:hanging="420"/>
      </w:pPr>
      <w:rPr>
        <w:rFonts w:hint="default" w:ascii="Wingdings" w:hAnsi="Wingdings"/>
      </w:rPr>
    </w:lvl>
    <w:lvl w:ilvl="2" w:tentative="0">
      <w:start w:val="1"/>
      <w:numFmt w:val="bullet"/>
      <w:lvlText w:val=""/>
      <w:lvlJc w:val="left"/>
      <w:pPr>
        <w:ind w:left="1682" w:hanging="420"/>
      </w:pPr>
      <w:rPr>
        <w:rFonts w:hint="default" w:ascii="Wingdings" w:hAnsi="Wingdings"/>
      </w:rPr>
    </w:lvl>
    <w:lvl w:ilvl="3" w:tentative="0">
      <w:start w:val="1"/>
      <w:numFmt w:val="bullet"/>
      <w:lvlText w:val=""/>
      <w:lvlJc w:val="left"/>
      <w:pPr>
        <w:ind w:left="2102" w:hanging="420"/>
      </w:pPr>
      <w:rPr>
        <w:rFonts w:hint="default" w:ascii="Wingdings" w:hAnsi="Wingdings"/>
      </w:rPr>
    </w:lvl>
    <w:lvl w:ilvl="4" w:tentative="0">
      <w:start w:val="1"/>
      <w:numFmt w:val="bullet"/>
      <w:lvlText w:val=""/>
      <w:lvlJc w:val="left"/>
      <w:pPr>
        <w:ind w:left="2522" w:hanging="420"/>
      </w:pPr>
      <w:rPr>
        <w:rFonts w:hint="default" w:ascii="Wingdings" w:hAnsi="Wingdings"/>
      </w:rPr>
    </w:lvl>
    <w:lvl w:ilvl="5" w:tentative="0">
      <w:start w:val="1"/>
      <w:numFmt w:val="bullet"/>
      <w:lvlText w:val=""/>
      <w:lvlJc w:val="left"/>
      <w:pPr>
        <w:ind w:left="2942" w:hanging="420"/>
      </w:pPr>
      <w:rPr>
        <w:rFonts w:hint="default" w:ascii="Wingdings" w:hAnsi="Wingdings"/>
      </w:rPr>
    </w:lvl>
    <w:lvl w:ilvl="6" w:tentative="0">
      <w:start w:val="1"/>
      <w:numFmt w:val="bullet"/>
      <w:lvlText w:val=""/>
      <w:lvlJc w:val="left"/>
      <w:pPr>
        <w:ind w:left="3362" w:hanging="420"/>
      </w:pPr>
      <w:rPr>
        <w:rFonts w:hint="default" w:ascii="Wingdings" w:hAnsi="Wingdings"/>
      </w:rPr>
    </w:lvl>
    <w:lvl w:ilvl="7" w:tentative="0">
      <w:start w:val="1"/>
      <w:numFmt w:val="bullet"/>
      <w:lvlText w:val=""/>
      <w:lvlJc w:val="left"/>
      <w:pPr>
        <w:ind w:left="3782" w:hanging="420"/>
      </w:pPr>
      <w:rPr>
        <w:rFonts w:hint="default" w:ascii="Wingdings" w:hAnsi="Wingdings"/>
      </w:rPr>
    </w:lvl>
    <w:lvl w:ilvl="8" w:tentative="0">
      <w:start w:val="1"/>
      <w:numFmt w:val="bullet"/>
      <w:lvlText w:val=""/>
      <w:lvlJc w:val="left"/>
      <w:pPr>
        <w:ind w:left="4202"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EB2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keepLines/>
      <w:spacing w:before="260" w:after="260" w:line="415" w:lineRule="auto"/>
      <w:outlineLvl w:val="1"/>
    </w:pPr>
    <w:rPr>
      <w:rFonts w:ascii="Cambria" w:hAnsi="Cambria" w:cs="宋体"/>
      <w:b/>
      <w:bCs/>
      <w:sz w:val="32"/>
      <w:szCs w:val="32"/>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rPr>
      <w:szCs w:val="24"/>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7">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2025-12-05T10:09:12Z</dcterms:created>
  <dc:creator>Administrator</dc:creator>
  <cp:lastModifiedBy>Administrator</cp:lastModifiedBy>
  <dcterms:modified xsi:type="dcterms:W3CDTF">2025-12-05T10:09:17Z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