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158F2">
      <w:pPr>
        <w:spacing w:line="0" w:lineRule="atLeast"/>
        <w:jc w:val="center"/>
        <w:outlineLvl w:val="0"/>
        <w:rPr>
          <w:rFonts w:ascii="微软雅黑" w:hAnsi="微软雅黑" w:eastAsia="微软雅黑" w:cs="微软雅黑"/>
          <w:b/>
          <w:color w:val="000000"/>
          <w:sz w:val="32"/>
          <w:szCs w:val="32"/>
        </w:rPr>
      </w:pPr>
      <w:bookmarkStart w:id="0" w:name="_Toc1331"/>
      <w:r>
        <w:rPr>
          <w:rFonts w:hint="eastAsia" w:ascii="微软雅黑" w:hAnsi="微软雅黑" w:eastAsia="微软雅黑" w:cs="微软雅黑"/>
          <w:b/>
          <w:color w:val="000000"/>
          <w:sz w:val="32"/>
          <w:szCs w:val="32"/>
        </w:rPr>
        <w:t>第四章  需求及技术规格</w:t>
      </w:r>
      <w:bookmarkEnd w:id="0"/>
    </w:p>
    <w:p w14:paraId="768044CA">
      <w:pPr>
        <w:spacing w:line="340" w:lineRule="exact"/>
        <w:ind w:left="-71" w:firstLine="447" w:firstLineChars="212"/>
        <w:rPr>
          <w:rFonts w:ascii="宋体" w:hAnsi="宋体"/>
          <w:b/>
          <w:bCs/>
          <w:color w:val="000000"/>
          <w:szCs w:val="21"/>
        </w:rPr>
      </w:pPr>
    </w:p>
    <w:p w14:paraId="0F8A5FC5">
      <w:pPr>
        <w:jc w:val="center"/>
        <w:outlineLvl w:val="1"/>
        <w:rPr>
          <w:rFonts w:ascii="微软雅黑" w:hAnsi="微软雅黑" w:eastAsia="微软雅黑" w:cs="微软雅黑"/>
          <w:b/>
          <w:color w:val="000000"/>
          <w:sz w:val="24"/>
          <w:szCs w:val="24"/>
        </w:rPr>
      </w:pPr>
      <w:bookmarkStart w:id="1" w:name="_Toc24986"/>
      <w:r>
        <w:rPr>
          <w:rFonts w:hint="eastAsia" w:ascii="微软雅黑" w:hAnsi="微软雅黑" w:eastAsia="微软雅黑" w:cs="微软雅黑"/>
          <w:b/>
          <w:color w:val="000000"/>
          <w:sz w:val="24"/>
          <w:szCs w:val="24"/>
        </w:rPr>
        <w:t>第一节  说明</w:t>
      </w:r>
      <w:bookmarkEnd w:id="1"/>
    </w:p>
    <w:p w14:paraId="1E5E82B4">
      <w:pPr>
        <w:spacing w:line="440" w:lineRule="exact"/>
        <w:ind w:firstLine="420" w:firstLineChars="200"/>
        <w:rPr>
          <w:rFonts w:ascii="宋体" w:hAnsi="宋体"/>
          <w:b/>
          <w:bCs/>
          <w:szCs w:val="21"/>
        </w:rPr>
      </w:pPr>
      <w:r>
        <w:rPr>
          <w:rFonts w:hint="eastAsia" w:ascii="宋体" w:hAnsi="宋体"/>
          <w:color w:val="000000"/>
          <w:szCs w:val="21"/>
        </w:rPr>
        <w:t>1、</w:t>
      </w:r>
      <w:r>
        <w:rPr>
          <w:rFonts w:hint="eastAsia" w:ascii="宋体" w:hAnsi="宋体"/>
          <w:szCs w:val="21"/>
        </w:rPr>
        <w:t>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14:paraId="237DBDD6">
      <w:pPr>
        <w:spacing w:line="440" w:lineRule="exact"/>
        <w:ind w:firstLine="422" w:firstLineChars="200"/>
        <w:rPr>
          <w:rFonts w:ascii="宋体" w:hAnsi="宋体"/>
          <w:b/>
        </w:rPr>
      </w:pPr>
      <w:r>
        <w:rPr>
          <w:rFonts w:hint="eastAsia" w:ascii="宋体" w:hAnsi="宋体"/>
          <w:b/>
        </w:rPr>
        <w:t>重点说明：偏离表中“偏离度”由投标人自行判断后填写，内容仅供评委参考，</w:t>
      </w:r>
      <w:r>
        <w:rPr>
          <w:rFonts w:ascii="宋体" w:hAnsi="宋体"/>
          <w:b/>
        </w:rPr>
        <w:t>评标委员会将根据</w:t>
      </w:r>
      <w:r>
        <w:rPr>
          <w:rFonts w:hint="eastAsia" w:ascii="宋体" w:hAnsi="宋体"/>
          <w:b/>
        </w:rPr>
        <w:t>具体响应内容</w:t>
      </w:r>
      <w:r>
        <w:rPr>
          <w:rFonts w:ascii="宋体" w:hAnsi="宋体"/>
          <w:b/>
        </w:rPr>
        <w:t>给予是否偏离的认定，并以此</w:t>
      </w:r>
      <w:r>
        <w:rPr>
          <w:rFonts w:hint="eastAsia" w:ascii="宋体" w:hAnsi="宋体"/>
          <w:b/>
        </w:rPr>
        <w:t>作为</w:t>
      </w:r>
      <w:r>
        <w:rPr>
          <w:rFonts w:ascii="宋体" w:hAnsi="宋体"/>
          <w:b/>
        </w:rPr>
        <w:t>最终评判</w:t>
      </w:r>
      <w:r>
        <w:rPr>
          <w:rFonts w:hint="eastAsia" w:ascii="宋体" w:hAnsi="宋体"/>
          <w:b/>
          <w:szCs w:val="22"/>
        </w:rPr>
        <w:t>。</w:t>
      </w:r>
      <w:r>
        <w:rPr>
          <w:rFonts w:hint="eastAsia" w:ascii="宋体" w:hAnsi="宋体"/>
          <w:b/>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14:paraId="44997CA5">
      <w:pPr>
        <w:spacing w:line="44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w:t>
      </w:r>
      <w:r>
        <w:rPr>
          <w:rFonts w:hint="eastAsia" w:ascii="宋体" w:hAnsi="宋体"/>
          <w:b/>
          <w:bCs/>
          <w:szCs w:val="21"/>
        </w:rPr>
        <w:t>不可偏离条款，</w:t>
      </w:r>
      <w:r>
        <w:rPr>
          <w:rFonts w:ascii="宋体" w:hAnsi="宋体"/>
          <w:b/>
          <w:bCs/>
          <w:szCs w:val="21"/>
        </w:rPr>
        <w:t>投标人要特别加以注意</w:t>
      </w:r>
      <w:r>
        <w:rPr>
          <w:rFonts w:hint="eastAsia" w:ascii="宋体" w:hAnsi="宋体"/>
          <w:b/>
          <w:bCs/>
          <w:szCs w:val="21"/>
        </w:rPr>
        <w:t>并予以响应，</w:t>
      </w:r>
      <w:r>
        <w:rPr>
          <w:rFonts w:ascii="宋体" w:hAnsi="宋体"/>
          <w:b/>
          <w:bCs/>
          <w:szCs w:val="21"/>
        </w:rPr>
        <w:t>否则，若有一项带</w:t>
      </w:r>
      <w:r>
        <w:rPr>
          <w:rFonts w:hint="eastAsia" w:ascii="宋体" w:hAnsi="宋体"/>
          <w:b/>
          <w:bCs/>
          <w:szCs w:val="21"/>
        </w:rPr>
        <w:t>“★”</w:t>
      </w:r>
      <w:r>
        <w:rPr>
          <w:rFonts w:ascii="宋体" w:hAnsi="宋体"/>
          <w:b/>
          <w:bCs/>
          <w:szCs w:val="21"/>
        </w:rPr>
        <w:t>的</w:t>
      </w:r>
      <w:r>
        <w:rPr>
          <w:rFonts w:hint="eastAsia" w:ascii="宋体" w:hAnsi="宋体"/>
          <w:b/>
          <w:bCs/>
          <w:szCs w:val="21"/>
        </w:rPr>
        <w:t>要求</w:t>
      </w:r>
      <w:r>
        <w:rPr>
          <w:rFonts w:ascii="宋体" w:hAnsi="宋体"/>
          <w:b/>
          <w:bCs/>
          <w:szCs w:val="21"/>
        </w:rPr>
        <w:t>未响应或不满足，将按投标无效处理</w:t>
      </w:r>
      <w:r>
        <w:rPr>
          <w:rFonts w:hint="eastAsia" w:ascii="宋体" w:hAnsi="宋体"/>
          <w:b/>
          <w:bCs/>
          <w:szCs w:val="21"/>
        </w:rPr>
        <w:t>；</w:t>
      </w:r>
      <w:r>
        <w:rPr>
          <w:rFonts w:ascii="宋体" w:hAnsi="宋体"/>
          <w:b/>
          <w:bCs/>
          <w:szCs w:val="21"/>
        </w:rPr>
        <w:t>凡标有</w:t>
      </w:r>
      <w:r>
        <w:rPr>
          <w:rFonts w:hint="eastAsia" w:ascii="宋体" w:hAnsi="宋体"/>
          <w:b/>
          <w:bCs/>
          <w:szCs w:val="21"/>
        </w:rPr>
        <w:t xml:space="preserve"> “▲”</w:t>
      </w:r>
      <w:r>
        <w:rPr>
          <w:rFonts w:ascii="宋体" w:hAnsi="宋体"/>
          <w:b/>
          <w:bCs/>
          <w:szCs w:val="21"/>
        </w:rPr>
        <w:t>的地方均被视为重要要求</w:t>
      </w:r>
      <w:r>
        <w:rPr>
          <w:rFonts w:hint="eastAsia" w:ascii="宋体" w:hAnsi="宋体"/>
          <w:b/>
          <w:bCs/>
          <w:szCs w:val="21"/>
        </w:rPr>
        <w:t>，若有带“▲”的要求未响应或不满足的，将按加重扣分处理</w:t>
      </w:r>
      <w:r>
        <w:rPr>
          <w:rFonts w:ascii="宋体" w:hAnsi="宋体"/>
          <w:b/>
          <w:bCs/>
          <w:szCs w:val="21"/>
        </w:rPr>
        <w:t>。</w:t>
      </w:r>
    </w:p>
    <w:p w14:paraId="33130B3C">
      <w:pPr>
        <w:spacing w:line="440" w:lineRule="exact"/>
        <w:jc w:val="center"/>
        <w:rPr>
          <w:rFonts w:ascii="宋体" w:hAnsi="宋体"/>
          <w:b/>
          <w:bCs/>
          <w:color w:val="000000"/>
          <w:szCs w:val="21"/>
        </w:rPr>
      </w:pPr>
    </w:p>
    <w:p w14:paraId="1E66F8F1">
      <w:pPr>
        <w:jc w:val="center"/>
        <w:outlineLvl w:val="1"/>
        <w:rPr>
          <w:rFonts w:ascii="微软雅黑" w:hAnsi="微软雅黑" w:eastAsia="微软雅黑" w:cs="微软雅黑"/>
          <w:b/>
          <w:color w:val="000000"/>
          <w:sz w:val="24"/>
          <w:szCs w:val="24"/>
        </w:rPr>
      </w:pPr>
      <w:bookmarkStart w:id="2" w:name="_Toc28899"/>
      <w:r>
        <w:rPr>
          <w:rFonts w:hint="eastAsia" w:ascii="微软雅黑" w:hAnsi="微软雅黑" w:eastAsia="微软雅黑" w:cs="微软雅黑"/>
          <w:b/>
          <w:color w:val="000000"/>
          <w:sz w:val="24"/>
          <w:szCs w:val="24"/>
        </w:rPr>
        <w:t>第二节  需求一览表</w:t>
      </w:r>
      <w:bookmarkEnd w:id="2"/>
    </w:p>
    <w:tbl>
      <w:tblPr>
        <w:tblStyle w:val="7"/>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4138"/>
        <w:gridCol w:w="922"/>
        <w:gridCol w:w="1073"/>
        <w:gridCol w:w="1900"/>
      </w:tblGrid>
      <w:tr w14:paraId="6B03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2" w:type="dxa"/>
            <w:vAlign w:val="center"/>
          </w:tcPr>
          <w:p w14:paraId="2F139BB6">
            <w:pPr>
              <w:jc w:val="center"/>
              <w:rPr>
                <w:b/>
              </w:rPr>
            </w:pPr>
            <w:r>
              <w:rPr>
                <w:b/>
              </w:rPr>
              <w:t>序号</w:t>
            </w:r>
          </w:p>
        </w:tc>
        <w:tc>
          <w:tcPr>
            <w:tcW w:w="4138" w:type="dxa"/>
            <w:vAlign w:val="center"/>
          </w:tcPr>
          <w:p w14:paraId="45060FB7">
            <w:pPr>
              <w:jc w:val="center"/>
              <w:rPr>
                <w:b/>
              </w:rPr>
            </w:pPr>
            <w:r>
              <w:rPr>
                <w:b/>
              </w:rPr>
              <w:t>服务名称</w:t>
            </w:r>
          </w:p>
        </w:tc>
        <w:tc>
          <w:tcPr>
            <w:tcW w:w="922" w:type="dxa"/>
            <w:vAlign w:val="center"/>
          </w:tcPr>
          <w:p w14:paraId="31D15B2A">
            <w:pPr>
              <w:jc w:val="center"/>
              <w:rPr>
                <w:b/>
              </w:rPr>
            </w:pPr>
            <w:r>
              <w:rPr>
                <w:b/>
              </w:rPr>
              <w:t>数量</w:t>
            </w:r>
          </w:p>
        </w:tc>
        <w:tc>
          <w:tcPr>
            <w:tcW w:w="1073" w:type="dxa"/>
            <w:vAlign w:val="center"/>
          </w:tcPr>
          <w:p w14:paraId="319E02EF">
            <w:pPr>
              <w:jc w:val="center"/>
              <w:rPr>
                <w:b/>
              </w:rPr>
            </w:pPr>
            <w:r>
              <w:rPr>
                <w:b/>
              </w:rPr>
              <w:t>单位</w:t>
            </w:r>
          </w:p>
        </w:tc>
        <w:tc>
          <w:tcPr>
            <w:tcW w:w="1900" w:type="dxa"/>
            <w:vAlign w:val="center"/>
          </w:tcPr>
          <w:p w14:paraId="3679CEED">
            <w:pPr>
              <w:jc w:val="center"/>
              <w:rPr>
                <w:rFonts w:ascii="宋体" w:hAnsi="宋体"/>
                <w:b/>
              </w:rPr>
            </w:pPr>
            <w:r>
              <w:rPr>
                <w:rFonts w:hint="eastAsia"/>
                <w:b/>
                <w:szCs w:val="21"/>
              </w:rPr>
              <w:t>预算控制金额</w:t>
            </w:r>
          </w:p>
        </w:tc>
      </w:tr>
      <w:tr w14:paraId="423E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2" w:type="dxa"/>
            <w:vAlign w:val="center"/>
          </w:tcPr>
          <w:p w14:paraId="59E04441">
            <w:pPr>
              <w:jc w:val="center"/>
              <w:rPr>
                <w:rFonts w:ascii="宋体" w:hAnsi="宋体" w:eastAsia="宋体" w:cs="Times New Roman"/>
                <w:color w:val="auto"/>
              </w:rPr>
            </w:pPr>
            <w:r>
              <w:rPr>
                <w:rFonts w:ascii="宋体" w:hAnsi="宋体" w:eastAsia="宋体" w:cs="Times New Roman"/>
                <w:color w:val="auto"/>
              </w:rPr>
              <w:t>1</w:t>
            </w:r>
          </w:p>
        </w:tc>
        <w:tc>
          <w:tcPr>
            <w:tcW w:w="4138" w:type="dxa"/>
            <w:vAlign w:val="center"/>
          </w:tcPr>
          <w:p w14:paraId="280DE420">
            <w:pPr>
              <w:jc w:val="center"/>
              <w:rPr>
                <w:rFonts w:ascii="宋体" w:hAnsi="宋体" w:eastAsia="宋体" w:cs="Times New Roman"/>
                <w:color w:val="auto"/>
              </w:rPr>
            </w:pPr>
            <w:r>
              <w:rPr>
                <w:rFonts w:hint="eastAsia" w:ascii="宋体" w:hAnsi="宋体" w:eastAsia="宋体" w:cs="Times New Roman"/>
                <w:color w:val="auto"/>
              </w:rPr>
              <w:t>深圳市重点环保设备设施环境安全现状调查与管控技术服务项目</w:t>
            </w:r>
          </w:p>
        </w:tc>
        <w:tc>
          <w:tcPr>
            <w:tcW w:w="922" w:type="dxa"/>
            <w:vAlign w:val="center"/>
          </w:tcPr>
          <w:p w14:paraId="7F5B5F4A">
            <w:pPr>
              <w:jc w:val="center"/>
              <w:rPr>
                <w:rFonts w:ascii="宋体" w:hAnsi="宋体" w:eastAsia="宋体" w:cs="Times New Roman"/>
                <w:color w:val="auto"/>
              </w:rPr>
            </w:pPr>
            <w:r>
              <w:rPr>
                <w:rFonts w:ascii="宋体" w:hAnsi="宋体" w:eastAsia="宋体" w:cs="Times New Roman"/>
                <w:color w:val="auto"/>
              </w:rPr>
              <w:t>1</w:t>
            </w:r>
          </w:p>
        </w:tc>
        <w:tc>
          <w:tcPr>
            <w:tcW w:w="1073" w:type="dxa"/>
            <w:vAlign w:val="center"/>
          </w:tcPr>
          <w:p w14:paraId="4867CB56">
            <w:pPr>
              <w:jc w:val="center"/>
              <w:rPr>
                <w:rFonts w:ascii="宋体" w:hAnsi="宋体" w:eastAsia="宋体" w:cs="Times New Roman"/>
                <w:color w:val="auto"/>
              </w:rPr>
            </w:pPr>
            <w:r>
              <w:rPr>
                <w:rFonts w:ascii="宋体" w:hAnsi="宋体" w:eastAsia="宋体" w:cs="Times New Roman"/>
                <w:color w:val="auto"/>
              </w:rPr>
              <w:t>项</w:t>
            </w:r>
          </w:p>
        </w:tc>
        <w:tc>
          <w:tcPr>
            <w:tcW w:w="1900" w:type="dxa"/>
            <w:vAlign w:val="center"/>
          </w:tcPr>
          <w:p w14:paraId="07993723">
            <w:pPr>
              <w:jc w:val="center"/>
              <w:rPr>
                <w:rFonts w:ascii="宋体" w:hAnsi="宋体" w:eastAsia="宋体" w:cs="Times New Roman"/>
                <w:color w:val="auto"/>
              </w:rPr>
            </w:pPr>
            <w:r>
              <w:rPr>
                <w:rFonts w:hint="eastAsia" w:ascii="宋体" w:hAnsi="宋体" w:eastAsia="宋体" w:cs="Times New Roman"/>
                <w:color w:val="auto"/>
                <w:lang w:val="en-US" w:eastAsia="zh-CN"/>
              </w:rPr>
              <w:t>84</w:t>
            </w:r>
            <w:r>
              <w:rPr>
                <w:rFonts w:hint="eastAsia" w:ascii="宋体" w:hAnsi="宋体" w:eastAsia="宋体" w:cs="Times New Roman"/>
                <w:color w:val="auto"/>
              </w:rPr>
              <w:t>万元</w:t>
            </w:r>
          </w:p>
        </w:tc>
      </w:tr>
    </w:tbl>
    <w:p w14:paraId="7D4A9161">
      <w:pPr>
        <w:spacing w:line="340" w:lineRule="exact"/>
        <w:ind w:firstLine="422" w:firstLineChars="200"/>
        <w:rPr>
          <w:rFonts w:ascii="宋体" w:hAnsi="宋体"/>
          <w:b/>
          <w:bCs/>
          <w:color w:val="000000"/>
          <w:szCs w:val="21"/>
        </w:rPr>
      </w:pPr>
    </w:p>
    <w:p w14:paraId="3FCAFEB1">
      <w:pPr>
        <w:jc w:val="center"/>
        <w:outlineLvl w:val="1"/>
        <w:rPr>
          <w:rFonts w:ascii="微软雅黑" w:hAnsi="微软雅黑" w:eastAsia="微软雅黑" w:cs="微软雅黑"/>
          <w:b/>
          <w:color w:val="000000"/>
          <w:sz w:val="24"/>
          <w:szCs w:val="24"/>
        </w:rPr>
      </w:pPr>
      <w:bookmarkStart w:id="3" w:name="_Toc5820"/>
      <w:r>
        <w:rPr>
          <w:rFonts w:hint="eastAsia" w:ascii="微软雅黑" w:hAnsi="微软雅黑" w:eastAsia="微软雅黑" w:cs="微软雅黑"/>
          <w:b/>
          <w:color w:val="000000"/>
          <w:sz w:val="24"/>
          <w:szCs w:val="24"/>
        </w:rPr>
        <w:t>第三节  技术需求明细</w:t>
      </w:r>
      <w:bookmarkEnd w:id="3"/>
    </w:p>
    <w:p w14:paraId="0BEB414D">
      <w:pPr>
        <w:pStyle w:val="11"/>
        <w:numPr>
          <w:ilvl w:val="0"/>
          <w:numId w:val="1"/>
        </w:numPr>
        <w:ind w:firstLineChars="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项目背景</w:t>
      </w:r>
    </w:p>
    <w:p w14:paraId="2E32DB43">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《中共中央 国务院关于深入打好污染防治攻坚战的意见》明确要以精准治污、科学治污、依法治污为工作方针，提高生态环境治理现代化水平，切实维护生态环境安全。</w:t>
      </w:r>
    </w:p>
    <w:p w14:paraId="30522B0D">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2022年底，国务院安委会办公室、生态环境部、应急管理部印发《关于进一步加强环保设备设施安全生产工作的通知》，要求各地从落实属地责任、落实部门监管指导责任、建立健全联动机制、落实企业主体责等方面，进一步加强环保设备设施安全生产工作，坚决防范遏制重特大事故发生。</w:t>
      </w:r>
    </w:p>
    <w:p w14:paraId="3F762E57">
      <w:pPr>
        <w:spacing w:line="44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val="en-US" w:eastAsia="zh-CN"/>
        </w:rPr>
        <w:t>2023年12月，深圳市安全管理委员会印发《部分新业态新领域安全生产工作职责》</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明确生态环境部门要加强具有脱硫脱硝、挥发性有机物回收、污水处理、粉尘治理、蓄热式焚烧炉 5 类重点环保设备设施安全管理的统筹协调工作。</w:t>
      </w:r>
    </w:p>
    <w:p w14:paraId="1AC913A6">
      <w:pPr>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鉴于上述原</w:t>
      </w:r>
      <w:r>
        <w:rPr>
          <w:rFonts w:hint="eastAsia" w:ascii="宋体" w:hAnsi="宋体" w:eastAsia="宋体" w:cs="Times New Roman"/>
          <w:szCs w:val="21"/>
          <w:lang w:val="en-US" w:eastAsia="zh-CN"/>
        </w:rPr>
        <w:t>因，有必要结合当前全市污染防治攻坚重点和环境安全管理的需求，通过提供环保设备设施重大隐患参照标准的技术支持；</w:t>
      </w:r>
      <w:r>
        <w:rPr>
          <w:rFonts w:hint="eastAsia" w:ascii="宋体" w:hAnsi="宋体" w:eastAsia="宋体" w:cs="Times New Roman"/>
          <w:szCs w:val="21"/>
        </w:rPr>
        <w:t>评估</w:t>
      </w:r>
      <w:r>
        <w:rPr>
          <w:rFonts w:hint="eastAsia" w:ascii="宋体" w:hAnsi="宋体" w:eastAsia="宋体" w:cs="Times New Roman"/>
          <w:szCs w:val="21"/>
          <w:lang w:val="en-US" w:eastAsia="zh-CN"/>
        </w:rPr>
        <w:t>重点环保设备设施本质</w:t>
      </w:r>
      <w:r>
        <w:rPr>
          <w:rFonts w:hint="eastAsia" w:ascii="宋体" w:hAnsi="宋体" w:eastAsia="宋体" w:cs="Times New Roman"/>
          <w:szCs w:val="21"/>
        </w:rPr>
        <w:t>安全风险；排查</w:t>
      </w:r>
      <w:r>
        <w:rPr>
          <w:rFonts w:hint="eastAsia" w:ascii="宋体" w:hAnsi="宋体" w:eastAsia="宋体" w:cs="Times New Roman"/>
          <w:szCs w:val="21"/>
          <w:lang w:val="en-US" w:eastAsia="zh-CN"/>
        </w:rPr>
        <w:t>环保设备设施生产安全和突发环境事件</w:t>
      </w:r>
      <w:r>
        <w:rPr>
          <w:rFonts w:hint="eastAsia" w:ascii="宋体" w:hAnsi="宋体" w:eastAsia="宋体" w:cs="Times New Roman"/>
          <w:szCs w:val="21"/>
        </w:rPr>
        <w:t>隐患；协助提升环保设备设施安全运行能力；提出环保设备设施环境安全管理优化提升建议等工作，切实加强全市重点环保设备设施的环境安全风险管控，保障环境质量。</w:t>
      </w:r>
    </w:p>
    <w:p w14:paraId="4CF85EC1">
      <w:pPr>
        <w:pStyle w:val="11"/>
        <w:numPr>
          <w:ilvl w:val="0"/>
          <w:numId w:val="1"/>
        </w:numPr>
        <w:ind w:firstLineChars="0"/>
        <w:rPr>
          <w:rFonts w:hint="eastAsia" w:ascii="宋体" w:hAnsi="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rPr>
        <w:t>服务内容</w:t>
      </w:r>
    </w:p>
    <w:p w14:paraId="102EF6AA">
      <w:pPr>
        <w:widowControl/>
        <w:numPr>
          <w:ilvl w:val="0"/>
          <w:numId w:val="2"/>
        </w:numPr>
        <w:adjustRightInd w:val="0"/>
        <w:snapToGrid w:val="0"/>
        <w:spacing w:line="360" w:lineRule="auto"/>
        <w:rPr>
          <w:b/>
          <w:color w:val="auto"/>
          <w:kern w:val="0"/>
          <w:highlight w:val="none"/>
          <w:shd w:val="clear" w:color="auto" w:fill="FFFFFF"/>
        </w:rPr>
      </w:pPr>
      <w:r>
        <w:rPr>
          <w:rFonts w:hint="eastAsia"/>
          <w:b/>
          <w:color w:val="auto"/>
          <w:kern w:val="0"/>
          <w:highlight w:val="none"/>
          <w:shd w:val="clear" w:color="auto" w:fill="FFFFFF"/>
          <w:lang w:val="en-US" w:eastAsia="zh-CN"/>
        </w:rPr>
        <w:t>提供环保设备设施重大隐患参照标准的技术支持</w:t>
      </w:r>
    </w:p>
    <w:p w14:paraId="6301219E">
      <w:pPr>
        <w:widowControl/>
        <w:adjustRightInd w:val="0"/>
        <w:snapToGrid w:val="0"/>
        <w:spacing w:line="360" w:lineRule="auto"/>
        <w:ind w:firstLine="420" w:firstLineChars="200"/>
        <w:rPr>
          <w:rFonts w:hint="eastAsia" w:ascii="宋体" w:hAnsi="宋体" w:cs="宋体"/>
          <w:color w:val="auto"/>
          <w:kern w:val="0"/>
          <w:highlight w:val="none"/>
          <w:shd w:val="clear" w:color="auto" w:fill="FFFFFF"/>
        </w:rPr>
      </w:pPr>
      <w:r>
        <w:rPr>
          <w:rFonts w:hint="eastAsia" w:ascii="宋体" w:hAnsi="宋体" w:cs="宋体"/>
          <w:color w:val="auto"/>
          <w:kern w:val="0"/>
          <w:highlight w:val="none"/>
          <w:shd w:val="clear" w:color="auto" w:fill="FFFFFF"/>
        </w:rPr>
        <w:t>根据</w:t>
      </w:r>
      <w:r>
        <w:rPr>
          <w:rFonts w:hint="eastAsia" w:ascii="宋体" w:hAnsi="宋体" w:cs="宋体"/>
          <w:color w:val="auto"/>
          <w:kern w:val="0"/>
          <w:highlight w:val="none"/>
          <w:shd w:val="clear" w:color="auto" w:fill="FFFFFF"/>
          <w:lang w:eastAsia="zh-CN"/>
        </w:rPr>
        <w:t>《</w:t>
      </w:r>
      <w:r>
        <w:rPr>
          <w:rFonts w:hint="eastAsia" w:ascii="宋体" w:hAnsi="宋体" w:cs="宋体"/>
          <w:color w:val="auto"/>
          <w:kern w:val="0"/>
          <w:highlight w:val="none"/>
          <w:shd w:val="clear" w:color="auto" w:fill="FFFFFF"/>
          <w:lang w:val="en-US" w:eastAsia="zh-CN"/>
        </w:rPr>
        <w:t>工贸企业重大事故隐患判定标准</w:t>
      </w:r>
      <w:r>
        <w:rPr>
          <w:rFonts w:hint="eastAsia" w:ascii="宋体" w:hAnsi="宋体" w:cs="宋体"/>
          <w:color w:val="auto"/>
          <w:kern w:val="0"/>
          <w:highlight w:val="none"/>
          <w:shd w:val="clear" w:color="auto" w:fill="FFFFFF"/>
          <w:lang w:eastAsia="zh-CN"/>
        </w:rPr>
        <w:t>》《化工和危险化学品生产经营单位重大生产安全事故隐患判定标</w:t>
      </w:r>
      <w:r>
        <w:rPr>
          <w:rFonts w:hint="eastAsia" w:ascii="宋体" w:hAnsi="宋体" w:eastAsia="宋体" w:cs="宋体"/>
          <w:color w:val="auto"/>
          <w:kern w:val="0"/>
          <w:highlight w:val="none"/>
          <w:shd w:val="clear" w:color="auto" w:fill="FFFFFF"/>
          <w:lang w:eastAsia="zh-CN"/>
        </w:rPr>
        <w:t>准》《</w:t>
      </w:r>
      <w:r>
        <w:rPr>
          <w:rFonts w:hint="eastAsia" w:ascii="宋体" w:hAnsi="宋体" w:eastAsia="宋体" w:cs="宋体"/>
          <w:i w:val="0"/>
          <w:iCs w:val="0"/>
          <w:caps w:val="0"/>
          <w:color w:val="auto"/>
          <w:spacing w:val="0"/>
          <w:kern w:val="0"/>
          <w:sz w:val="21"/>
          <w:szCs w:val="24"/>
          <w:highlight w:val="none"/>
          <w:shd w:val="clear" w:color="auto" w:fill="auto"/>
        </w:rPr>
        <w:t>企业突发环境事件隐患排查和治理工作指南</w:t>
      </w:r>
      <w:r>
        <w:rPr>
          <w:rFonts w:hint="eastAsia" w:ascii="宋体" w:hAnsi="宋体" w:eastAsia="宋体" w:cs="宋体"/>
          <w:color w:val="auto"/>
          <w:kern w:val="0"/>
          <w:highlight w:val="none"/>
          <w:shd w:val="clear" w:color="auto" w:fill="FFFFFF"/>
          <w:lang w:eastAsia="zh-CN"/>
        </w:rPr>
        <w:t>》</w:t>
      </w:r>
      <w:r>
        <w:rPr>
          <w:rFonts w:hint="eastAsia" w:ascii="宋体" w:hAnsi="宋体" w:eastAsia="宋体" w:cs="宋体"/>
          <w:color w:val="auto"/>
          <w:kern w:val="0"/>
          <w:highlight w:val="none"/>
          <w:shd w:val="clear" w:color="auto" w:fill="FFFFFF"/>
          <w:lang w:val="en-US" w:eastAsia="zh-CN"/>
        </w:rPr>
        <w:t>等技术规范</w:t>
      </w:r>
      <w:r>
        <w:rPr>
          <w:rFonts w:hint="eastAsia" w:ascii="宋体" w:hAnsi="宋体" w:cs="宋体"/>
          <w:color w:val="auto"/>
          <w:kern w:val="0"/>
          <w:highlight w:val="none"/>
          <w:shd w:val="clear" w:color="auto" w:fill="FFFFFF"/>
          <w:lang w:eastAsia="zh-CN"/>
        </w:rPr>
        <w:t>，</w:t>
      </w:r>
      <w:r>
        <w:rPr>
          <w:rFonts w:hint="eastAsia" w:ascii="宋体" w:hAnsi="宋体" w:cs="宋体"/>
          <w:color w:val="auto"/>
          <w:kern w:val="0"/>
          <w:highlight w:val="none"/>
          <w:shd w:val="clear" w:color="auto" w:fill="FFFFFF"/>
        </w:rPr>
        <w:t>结合我市实情，</w:t>
      </w:r>
      <w:r>
        <w:rPr>
          <w:rFonts w:hint="eastAsia" w:ascii="宋体" w:hAnsi="宋体" w:cs="宋体"/>
          <w:color w:val="auto"/>
          <w:kern w:val="0"/>
          <w:highlight w:val="none"/>
          <w:shd w:val="clear" w:color="auto" w:fill="FFFFFF"/>
          <w:lang w:val="en-US" w:eastAsia="zh-CN"/>
        </w:rPr>
        <w:t>从环保设备设施生产安全和突发环境事件风险防范维度，提供环保设备设施重大隐患参照标准的技术支持，协助指导全市企业事业单位环保设备设施生产安全和突发环境事件隐患精准排查和深度治理</w:t>
      </w:r>
      <w:r>
        <w:rPr>
          <w:rFonts w:hint="eastAsia" w:ascii="宋体" w:hAnsi="宋体" w:cs="宋体"/>
          <w:color w:val="auto"/>
          <w:kern w:val="0"/>
          <w:highlight w:val="none"/>
          <w:shd w:val="clear" w:color="auto" w:fill="FFFFFF"/>
        </w:rPr>
        <w:t>。</w:t>
      </w:r>
    </w:p>
    <w:p w14:paraId="770BCFD6">
      <w:pPr>
        <w:widowControl/>
        <w:numPr>
          <w:ilvl w:val="0"/>
          <w:numId w:val="2"/>
        </w:numPr>
        <w:adjustRightInd w:val="0"/>
        <w:snapToGrid w:val="0"/>
        <w:spacing w:line="360" w:lineRule="auto"/>
        <w:rPr>
          <w:b/>
          <w:color w:val="auto"/>
          <w:kern w:val="0"/>
          <w:highlight w:val="none"/>
          <w:shd w:val="clear" w:color="auto" w:fill="FFFFFF"/>
        </w:rPr>
      </w:pPr>
      <w:r>
        <w:rPr>
          <w:rFonts w:hint="eastAsia"/>
          <w:b/>
          <w:color w:val="auto"/>
          <w:kern w:val="0"/>
          <w:highlight w:val="none"/>
          <w:shd w:val="clear" w:color="auto" w:fill="FFFFFF"/>
        </w:rPr>
        <w:t>评估</w:t>
      </w:r>
      <w:r>
        <w:rPr>
          <w:rFonts w:hint="eastAsia"/>
          <w:b/>
          <w:color w:val="auto"/>
          <w:kern w:val="0"/>
          <w:highlight w:val="none"/>
          <w:shd w:val="clear" w:color="auto" w:fill="FFFFFF"/>
          <w:lang w:val="en-US" w:eastAsia="zh-CN"/>
        </w:rPr>
        <w:t>重点</w:t>
      </w:r>
      <w:r>
        <w:rPr>
          <w:rFonts w:hint="eastAsia"/>
          <w:b/>
          <w:color w:val="auto"/>
          <w:kern w:val="0"/>
          <w:highlight w:val="none"/>
          <w:shd w:val="clear" w:color="auto" w:fill="FFFFFF"/>
        </w:rPr>
        <w:t>环保设备设施</w:t>
      </w:r>
      <w:r>
        <w:rPr>
          <w:rFonts w:hint="eastAsia"/>
          <w:b/>
          <w:color w:val="auto"/>
          <w:kern w:val="0"/>
          <w:highlight w:val="none"/>
          <w:shd w:val="clear" w:color="auto" w:fill="FFFFFF"/>
          <w:lang w:val="en-US" w:eastAsia="zh-CN"/>
        </w:rPr>
        <w:t>本质</w:t>
      </w:r>
      <w:r>
        <w:rPr>
          <w:rFonts w:hint="eastAsia"/>
          <w:b/>
          <w:color w:val="auto"/>
          <w:kern w:val="0"/>
          <w:highlight w:val="none"/>
          <w:shd w:val="clear" w:color="auto" w:fill="FFFFFF"/>
        </w:rPr>
        <w:t>安全风险</w:t>
      </w:r>
    </w:p>
    <w:p w14:paraId="4B961302">
      <w:pPr>
        <w:widowControl/>
        <w:adjustRightInd w:val="0"/>
        <w:snapToGrid w:val="0"/>
        <w:spacing w:line="360" w:lineRule="auto"/>
        <w:ind w:firstLine="420" w:firstLineChars="200"/>
        <w:rPr>
          <w:rFonts w:hint="eastAsia" w:ascii="宋体" w:hAnsi="宋体" w:cs="宋体"/>
          <w:color w:val="auto"/>
          <w:kern w:val="0"/>
          <w:highlight w:val="none"/>
          <w:shd w:val="clear" w:color="auto" w:fill="FFFFFF"/>
        </w:rPr>
      </w:pPr>
      <w:r>
        <w:rPr>
          <w:rFonts w:hint="eastAsia" w:ascii="宋体" w:hAnsi="宋体" w:cs="宋体"/>
          <w:color w:val="auto"/>
          <w:kern w:val="0"/>
          <w:highlight w:val="none"/>
          <w:shd w:val="clear" w:color="auto" w:fill="FFFFFF"/>
          <w:lang w:eastAsia="zh-CN"/>
        </w:rPr>
        <w:t>选</w:t>
      </w:r>
      <w:r>
        <w:rPr>
          <w:rFonts w:hint="eastAsia" w:ascii="宋体" w:hAnsi="宋体" w:cs="宋体"/>
          <w:color w:val="auto"/>
          <w:kern w:val="0"/>
          <w:highlight w:val="none"/>
          <w:shd w:val="clear" w:color="auto" w:fill="FFFFFF"/>
        </w:rPr>
        <w:t>取1</w:t>
      </w:r>
      <w:r>
        <w:rPr>
          <w:rFonts w:hint="eastAsia" w:ascii="宋体" w:hAnsi="宋体" w:cs="宋体"/>
          <w:color w:val="auto"/>
          <w:kern w:val="0"/>
          <w:highlight w:val="none"/>
          <w:shd w:val="clear" w:color="auto" w:fill="FFFFFF"/>
          <w:lang w:val="en-US" w:eastAsia="zh-CN"/>
        </w:rPr>
        <w:t>50套运行20年以上的重点环保设备设施</w:t>
      </w:r>
      <w:r>
        <w:rPr>
          <w:rFonts w:hint="eastAsia" w:ascii="宋体" w:hAnsi="宋体" w:cs="宋体"/>
          <w:color w:val="auto"/>
          <w:kern w:val="0"/>
          <w:highlight w:val="none"/>
          <w:shd w:val="clear" w:color="auto" w:fill="FFFFFF"/>
        </w:rPr>
        <w:t>，调研分析环保设备设施发生故障或不正常运行的相关因素（如工艺可靠性；设备相容性；物料合理性；装置压力、温度调节情况等），评估不同类型环保设备设施的</w:t>
      </w:r>
      <w:r>
        <w:rPr>
          <w:rFonts w:hint="eastAsia" w:ascii="宋体" w:hAnsi="宋体" w:cs="宋体"/>
          <w:color w:val="auto"/>
          <w:kern w:val="0"/>
          <w:highlight w:val="none"/>
          <w:shd w:val="clear" w:color="auto" w:fill="FFFFFF"/>
          <w:lang w:val="en-US" w:eastAsia="zh-CN"/>
        </w:rPr>
        <w:t>本质</w:t>
      </w:r>
      <w:r>
        <w:rPr>
          <w:rFonts w:hint="eastAsia" w:ascii="宋体" w:hAnsi="宋体" w:cs="宋体"/>
          <w:color w:val="auto"/>
          <w:kern w:val="0"/>
          <w:highlight w:val="none"/>
          <w:shd w:val="clear" w:color="auto" w:fill="FFFFFF"/>
        </w:rPr>
        <w:t>安全风险。</w:t>
      </w:r>
    </w:p>
    <w:p w14:paraId="5C16EC82">
      <w:pPr>
        <w:widowControl/>
        <w:numPr>
          <w:ilvl w:val="0"/>
          <w:numId w:val="2"/>
        </w:numPr>
        <w:adjustRightInd w:val="0"/>
        <w:snapToGrid w:val="0"/>
        <w:spacing w:line="360" w:lineRule="auto"/>
        <w:rPr>
          <w:b/>
          <w:color w:val="auto"/>
          <w:kern w:val="0"/>
          <w:highlight w:val="none"/>
          <w:shd w:val="clear" w:color="auto" w:fill="FFFFFF"/>
        </w:rPr>
      </w:pPr>
      <w:r>
        <w:rPr>
          <w:rFonts w:hint="eastAsia"/>
          <w:b/>
          <w:color w:val="auto"/>
          <w:kern w:val="0"/>
          <w:highlight w:val="none"/>
          <w:shd w:val="clear" w:color="auto" w:fill="FFFFFF"/>
        </w:rPr>
        <w:t>排查</w:t>
      </w:r>
      <w:r>
        <w:rPr>
          <w:rFonts w:hint="eastAsia"/>
          <w:b/>
          <w:color w:val="auto"/>
          <w:kern w:val="0"/>
          <w:highlight w:val="none"/>
          <w:shd w:val="clear" w:color="auto" w:fill="FFFFFF"/>
          <w:lang w:val="en-US" w:eastAsia="zh-CN"/>
        </w:rPr>
        <w:t>重点环保设备设施生产安全和突发环境事件</w:t>
      </w:r>
      <w:r>
        <w:rPr>
          <w:rFonts w:hint="eastAsia"/>
          <w:b/>
          <w:color w:val="auto"/>
          <w:kern w:val="0"/>
          <w:highlight w:val="none"/>
          <w:shd w:val="clear" w:color="auto" w:fill="FFFFFF"/>
        </w:rPr>
        <w:t>隐患</w:t>
      </w:r>
    </w:p>
    <w:p w14:paraId="64503523">
      <w:pPr>
        <w:widowControl/>
        <w:adjustRightInd w:val="0"/>
        <w:snapToGrid w:val="0"/>
        <w:spacing w:line="360" w:lineRule="auto"/>
        <w:ind w:firstLine="420" w:firstLineChars="200"/>
        <w:rPr>
          <w:rFonts w:hint="eastAsia" w:ascii="宋体" w:hAnsi="宋体" w:cs="宋体"/>
          <w:color w:val="auto"/>
          <w:kern w:val="0"/>
          <w:highlight w:val="none"/>
          <w:shd w:val="clear" w:color="auto" w:fill="FFFFFF"/>
        </w:rPr>
      </w:pPr>
      <w:r>
        <w:rPr>
          <w:rFonts w:hint="eastAsia" w:ascii="宋体" w:hAnsi="宋体" w:cs="宋体"/>
          <w:color w:val="auto"/>
          <w:kern w:val="0"/>
          <w:highlight w:val="none"/>
          <w:shd w:val="clear" w:color="auto" w:fill="FFFFFF"/>
        </w:rPr>
        <w:t>组织开展上述1</w:t>
      </w:r>
      <w:r>
        <w:rPr>
          <w:rFonts w:hint="eastAsia" w:ascii="宋体" w:hAnsi="宋体" w:cs="宋体"/>
          <w:color w:val="auto"/>
          <w:kern w:val="0"/>
          <w:highlight w:val="none"/>
          <w:shd w:val="clear" w:color="auto" w:fill="FFFFFF"/>
          <w:lang w:val="en-US" w:eastAsia="zh-CN"/>
        </w:rPr>
        <w:t>50套重点环保设备设施</w:t>
      </w:r>
      <w:r>
        <w:rPr>
          <w:rFonts w:hint="eastAsia"/>
          <w:bCs/>
          <w:color w:val="auto"/>
          <w:kern w:val="0"/>
          <w:highlight w:val="none"/>
          <w:shd w:val="clear" w:color="auto" w:fill="FFFFFF"/>
        </w:rPr>
        <w:t>的</w:t>
      </w:r>
      <w:r>
        <w:rPr>
          <w:rFonts w:hint="eastAsia"/>
          <w:bCs/>
          <w:color w:val="auto"/>
          <w:kern w:val="0"/>
          <w:highlight w:val="none"/>
          <w:shd w:val="clear" w:color="auto" w:fill="FFFFFF"/>
          <w:lang w:val="en-US" w:eastAsia="zh-CN"/>
        </w:rPr>
        <w:t>环境安全和安全生产</w:t>
      </w:r>
      <w:r>
        <w:rPr>
          <w:rFonts w:hint="eastAsia" w:ascii="宋体" w:hAnsi="宋体" w:cs="宋体"/>
          <w:color w:val="auto"/>
          <w:kern w:val="0"/>
          <w:highlight w:val="none"/>
          <w:shd w:val="clear" w:color="auto" w:fill="FFFFFF"/>
        </w:rPr>
        <w:t>隐患排查。重点内容包括环境安全管理职责是否落实到位；</w:t>
      </w:r>
      <w:r>
        <w:rPr>
          <w:rFonts w:hint="eastAsia" w:ascii="宋体" w:hAnsi="宋体" w:cs="宋体"/>
          <w:color w:val="auto"/>
          <w:kern w:val="0"/>
          <w:highlight w:val="none"/>
          <w:shd w:val="clear" w:color="auto" w:fill="FFFFFF"/>
          <w:lang w:val="en-US" w:eastAsia="zh-CN"/>
        </w:rPr>
        <w:t>环境风险防控措施是否合理有效；</w:t>
      </w:r>
      <w:r>
        <w:rPr>
          <w:rFonts w:hint="eastAsia" w:ascii="宋体" w:hAnsi="宋体" w:cs="宋体"/>
          <w:color w:val="auto"/>
          <w:kern w:val="0"/>
          <w:highlight w:val="none"/>
          <w:shd w:val="clear" w:color="auto" w:fill="FFFFFF"/>
        </w:rPr>
        <w:t>是否存在设备设施故障、不正常运行或带病运行的现象；消防、电气、危化品、有毒气体、临时作业等是否存在重大隐患；是否对现有隐患实施有效治理；是否配备与风险实际相符的应急能力等。</w:t>
      </w:r>
    </w:p>
    <w:p w14:paraId="7EABB2F6">
      <w:pPr>
        <w:widowControl/>
        <w:adjustRightInd w:val="0"/>
        <w:snapToGrid w:val="0"/>
        <w:spacing w:line="360" w:lineRule="auto"/>
        <w:ind w:firstLine="420" w:firstLineChars="200"/>
        <w:rPr>
          <w:rFonts w:hint="eastAsia" w:ascii="宋体" w:hAnsi="宋体" w:cs="宋体"/>
          <w:color w:val="auto"/>
          <w:kern w:val="0"/>
          <w:highlight w:val="none"/>
          <w:shd w:val="clear" w:color="auto" w:fill="FFFFFF"/>
        </w:rPr>
      </w:pPr>
      <w:r>
        <w:rPr>
          <w:rFonts w:hint="eastAsia" w:ascii="宋体" w:hAnsi="宋体" w:cs="宋体"/>
          <w:color w:val="auto"/>
          <w:kern w:val="0"/>
          <w:highlight w:val="none"/>
          <w:shd w:val="clear" w:color="auto" w:fill="FFFFFF"/>
          <w:lang w:val="en-US" w:eastAsia="zh-CN"/>
        </w:rPr>
        <w:t>对</w:t>
      </w:r>
      <w:r>
        <w:rPr>
          <w:rFonts w:hint="eastAsia" w:ascii="宋体" w:hAnsi="宋体" w:cs="宋体"/>
          <w:color w:val="auto"/>
          <w:kern w:val="0"/>
          <w:highlight w:val="none"/>
          <w:shd w:val="clear" w:color="auto" w:fill="FFFFFF"/>
        </w:rPr>
        <w:t>于个别作业环境、生产工况异常复杂，有毒有害气体未收集或难以扩散的企业，必要时采取现场测定、遥感遥测的手段辅助抽查，量化评估其环境安全风险与隐患程度。</w:t>
      </w:r>
    </w:p>
    <w:p w14:paraId="6D0D6E09">
      <w:pPr>
        <w:widowControl/>
        <w:numPr>
          <w:ilvl w:val="0"/>
          <w:numId w:val="2"/>
        </w:numPr>
        <w:adjustRightInd w:val="0"/>
        <w:snapToGrid w:val="0"/>
        <w:spacing w:line="360" w:lineRule="auto"/>
        <w:rPr>
          <w:b/>
          <w:color w:val="auto"/>
          <w:kern w:val="0"/>
          <w:highlight w:val="none"/>
          <w:shd w:val="clear" w:color="auto" w:fill="FFFFFF"/>
        </w:rPr>
      </w:pPr>
      <w:r>
        <w:rPr>
          <w:rFonts w:hint="eastAsia"/>
          <w:b/>
          <w:color w:val="auto"/>
          <w:kern w:val="0"/>
          <w:highlight w:val="none"/>
          <w:shd w:val="clear" w:color="auto" w:fill="FFFFFF"/>
        </w:rPr>
        <w:t>协助提升环保设备设施安全运行能力</w:t>
      </w:r>
    </w:p>
    <w:p w14:paraId="2DD59A4B">
      <w:pPr>
        <w:widowControl/>
        <w:adjustRightInd w:val="0"/>
        <w:snapToGrid w:val="0"/>
        <w:spacing w:line="360" w:lineRule="auto"/>
        <w:ind w:firstLine="420" w:firstLineChars="200"/>
        <w:rPr>
          <w:rFonts w:hint="eastAsia" w:ascii="宋体" w:hAnsi="宋体" w:cs="宋体"/>
          <w:color w:val="auto"/>
          <w:kern w:val="0"/>
          <w:highlight w:val="none"/>
          <w:shd w:val="clear" w:color="auto" w:fill="FFFFFF"/>
        </w:rPr>
      </w:pPr>
      <w:r>
        <w:rPr>
          <w:rFonts w:hint="eastAsia" w:ascii="宋体" w:hAnsi="宋体" w:cs="宋体"/>
          <w:color w:val="auto"/>
          <w:kern w:val="0"/>
          <w:highlight w:val="none"/>
          <w:shd w:val="clear" w:color="auto" w:fill="FFFFFF"/>
        </w:rPr>
        <w:t>提出环境安全隐患的治理思路或环保设备设施优化升级的技术路线，</w:t>
      </w:r>
      <w:r>
        <w:rPr>
          <w:rFonts w:hint="eastAsia" w:ascii="宋体" w:hAnsi="宋体" w:cs="宋体"/>
          <w:color w:val="auto"/>
          <w:kern w:val="0"/>
          <w:highlight w:val="none"/>
          <w:shd w:val="clear" w:color="auto" w:fill="FFFFFF"/>
          <w:lang w:val="en-US" w:eastAsia="zh-CN"/>
        </w:rPr>
        <w:t>协助跟进隐患闭环整治，</w:t>
      </w:r>
      <w:r>
        <w:rPr>
          <w:rFonts w:hint="eastAsia" w:ascii="宋体" w:hAnsi="宋体" w:cs="宋体"/>
          <w:color w:val="auto"/>
          <w:kern w:val="0"/>
          <w:highlight w:val="none"/>
          <w:shd w:val="clear" w:color="auto" w:fill="FFFFFF"/>
        </w:rPr>
        <w:t>切实提升环保设备设施安全运行能力。</w:t>
      </w:r>
    </w:p>
    <w:p w14:paraId="5BEE1AFA">
      <w:pPr>
        <w:widowControl/>
        <w:numPr>
          <w:ilvl w:val="0"/>
          <w:numId w:val="2"/>
        </w:numPr>
        <w:adjustRightInd w:val="0"/>
        <w:snapToGrid w:val="0"/>
        <w:spacing w:line="360" w:lineRule="auto"/>
        <w:rPr>
          <w:rFonts w:hint="eastAsia"/>
          <w:b/>
          <w:color w:val="auto"/>
          <w:kern w:val="0"/>
          <w:highlight w:val="none"/>
          <w:shd w:val="clear" w:color="auto" w:fill="FFFFFF"/>
        </w:rPr>
      </w:pPr>
      <w:r>
        <w:rPr>
          <w:rFonts w:hint="eastAsia"/>
          <w:b/>
          <w:color w:val="auto"/>
          <w:kern w:val="0"/>
          <w:highlight w:val="none"/>
          <w:shd w:val="clear" w:color="auto" w:fill="FFFFFF"/>
        </w:rPr>
        <w:t>提出环保设备设施环境安全管理优化提升建议</w:t>
      </w:r>
    </w:p>
    <w:p w14:paraId="00979DDB">
      <w:pPr>
        <w:widowControl/>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kern w:val="0"/>
          <w:highlight w:val="none"/>
          <w:shd w:val="clear" w:color="auto" w:fill="FFFFFF"/>
        </w:rPr>
        <w:t>根据抽查情况协助开展重点环保设备设施环境安全总体形势分析与行动成效技术评估工作，提出环保设备设施环境安全管理优化提升的技术建议。</w:t>
      </w:r>
    </w:p>
    <w:p w14:paraId="72967288">
      <w:pPr>
        <w:pStyle w:val="11"/>
        <w:numPr>
          <w:ilvl w:val="0"/>
          <w:numId w:val="1"/>
        </w:numPr>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服务方式</w:t>
      </w:r>
    </w:p>
    <w:p w14:paraId="17D7B446">
      <w:pPr>
        <w:spacing w:line="44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按照合同内容和进度要求提供相关服务。</w:t>
      </w:r>
    </w:p>
    <w:p w14:paraId="165674E6">
      <w:pPr>
        <w:pStyle w:val="11"/>
        <w:numPr>
          <w:ilvl w:val="0"/>
          <w:numId w:val="1"/>
        </w:numPr>
        <w:ind w:firstLineChars="0"/>
        <w:rPr>
          <w:rFonts w:hint="eastAsia" w:ascii="宋体" w:hAnsi="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rPr>
        <w:t>提交成果</w:t>
      </w:r>
    </w:p>
    <w:p w14:paraId="4F5D8DFF">
      <w:pPr>
        <w:spacing w:line="44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（一）环保设备设施重大隐患参照标准</w:t>
      </w:r>
    </w:p>
    <w:p w14:paraId="75B63DD3">
      <w:pPr>
        <w:spacing w:line="44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（二）150套重点环保设备设施的本质安全风险评估台账</w:t>
      </w:r>
    </w:p>
    <w:p w14:paraId="133718FA">
      <w:pPr>
        <w:spacing w:line="44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（三）150套重点环保设备设施的环境安全和安全生产隐患排查治理台账</w:t>
      </w:r>
    </w:p>
    <w:p w14:paraId="73130829">
      <w:pPr>
        <w:spacing w:line="44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（四）环保设备设施环境安全总体形势分析与行动成效技术评估报告</w:t>
      </w:r>
    </w:p>
    <w:p w14:paraId="3DB56CB7">
      <w:pPr>
        <w:spacing w:line="44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注：本项目产生的所有成果报告版权归采购人所有。</w:t>
      </w:r>
    </w:p>
    <w:p w14:paraId="2A1B23AD">
      <w:pPr>
        <w:pStyle w:val="11"/>
        <w:numPr>
          <w:ilvl w:val="0"/>
          <w:numId w:val="1"/>
        </w:numPr>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人员要求</w:t>
      </w:r>
    </w:p>
    <w:p w14:paraId="4580C73E">
      <w:pPr>
        <w:spacing w:line="44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 w:eastAsia="zh-CN"/>
        </w:rPr>
        <w:t>确保本项目顺利、有序开展，中标单位应成立一支具有丰富经验的项目工作团队，具有环境、安全类学科背景的人员。项目组人员分工明确、责任到人，严格按照各项规章制度制定或工作流程开展工作。</w:t>
      </w:r>
    </w:p>
    <w:p w14:paraId="4AE3F57A">
      <w:pPr>
        <w:pStyle w:val="11"/>
        <w:numPr>
          <w:ilvl w:val="0"/>
          <w:numId w:val="1"/>
        </w:numPr>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项目拟使用的车辆、场地、工具、机器等要求</w:t>
      </w:r>
    </w:p>
    <w:p w14:paraId="3CA0689C">
      <w:pPr>
        <w:spacing w:line="440" w:lineRule="exact"/>
        <w:ind w:firstLine="420" w:firstLineChars="200"/>
        <w:rPr>
          <w:rFonts w:hint="eastAsia" w:ascii="宋体" w:hAnsi="宋体" w:eastAsia="宋体" w:cs="Times New Roman"/>
          <w:szCs w:val="21"/>
          <w:lang w:val="en" w:eastAsia="zh-CN"/>
        </w:rPr>
      </w:pPr>
      <w:r>
        <w:rPr>
          <w:rFonts w:hint="eastAsia" w:ascii="宋体" w:hAnsi="宋体" w:eastAsia="宋体" w:cs="Times New Roman"/>
          <w:szCs w:val="21"/>
          <w:lang w:val="en-US" w:eastAsia="zh-CN"/>
        </w:rPr>
        <w:t>自备（自有或租赁均可）数据传输、储存、应用等工作配套的设备及外出工作保障所需车辆以保证项目顺利实施。</w:t>
      </w:r>
      <w:r>
        <w:rPr>
          <w:rFonts w:hint="eastAsia" w:ascii="宋体" w:hAnsi="宋体" w:eastAsia="宋体" w:cs="Times New Roman"/>
          <w:szCs w:val="21"/>
          <w:lang w:val="en" w:eastAsia="zh-CN"/>
        </w:rPr>
        <w:t>项目需在合同签订后，根据环境安全排查需要提供免接触、自动化、高精度、高性能的气体分析仪器。</w:t>
      </w:r>
    </w:p>
    <w:p w14:paraId="62A16F43">
      <w:pPr>
        <w:pStyle w:val="11"/>
        <w:numPr>
          <w:ilvl w:val="0"/>
          <w:numId w:val="1"/>
        </w:numPr>
        <w:ind w:firstLineChars="0"/>
        <w:rPr>
          <w:rFonts w:hint="eastAsia" w:ascii="宋体" w:hAnsi="宋体" w:cs="宋体"/>
          <w:b/>
          <w:bCs/>
          <w:color w:val="auto"/>
          <w:szCs w:val="21"/>
          <w:highlight w:val="none"/>
        </w:rPr>
      </w:pPr>
      <w:r>
        <w:rPr>
          <w:rFonts w:hint="eastAsia" w:ascii="宋体" w:hAnsi="宋体" w:cs="宋体"/>
          <w:b/>
          <w:bCs/>
          <w:color w:val="auto"/>
          <w:szCs w:val="21"/>
          <w:highlight w:val="none"/>
        </w:rPr>
        <w:t>验收要求</w:t>
      </w:r>
    </w:p>
    <w:p w14:paraId="050A7E9F">
      <w:pPr>
        <w:spacing w:line="44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单位行政验收。</w:t>
      </w:r>
    </w:p>
    <w:p w14:paraId="747C33A2">
      <w:pPr>
        <w:jc w:val="center"/>
        <w:outlineLvl w:val="1"/>
        <w:rPr>
          <w:rFonts w:ascii="微软雅黑" w:hAnsi="微软雅黑" w:eastAsia="微软雅黑" w:cs="微软雅黑"/>
          <w:b/>
          <w:color w:val="000000"/>
          <w:sz w:val="24"/>
          <w:szCs w:val="24"/>
        </w:rPr>
      </w:pPr>
      <w:bookmarkStart w:id="4" w:name="_Toc9861"/>
      <w:r>
        <w:rPr>
          <w:rFonts w:hint="eastAsia" w:ascii="微软雅黑" w:hAnsi="微软雅黑" w:eastAsia="微软雅黑" w:cs="微软雅黑"/>
          <w:b/>
          <w:color w:val="000000"/>
          <w:sz w:val="24"/>
          <w:szCs w:val="24"/>
        </w:rPr>
        <w:t>第四节  商务需求明细</w:t>
      </w:r>
      <w:bookmarkEnd w:id="4"/>
    </w:p>
    <w:p w14:paraId="43178D40">
      <w:pPr>
        <w:spacing w:line="440" w:lineRule="exact"/>
        <w:ind w:firstLine="420" w:firstLineChars="199"/>
        <w:rPr>
          <w:rFonts w:hint="eastAsia" w:ascii="宋体" w:hAnsi="宋体"/>
          <w:b/>
          <w:szCs w:val="21"/>
        </w:rPr>
      </w:pPr>
    </w:p>
    <w:p w14:paraId="329C283F">
      <w:pPr>
        <w:numPr>
          <w:ilvl w:val="0"/>
          <w:numId w:val="3"/>
        </w:numPr>
        <w:tabs>
          <w:tab w:val="left" w:pos="54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支付要求</w:t>
      </w:r>
    </w:p>
    <w:p w14:paraId="5086C652">
      <w:pPr>
        <w:pStyle w:val="5"/>
        <w:numPr>
          <w:ilvl w:val="1"/>
          <w:numId w:val="3"/>
        </w:numPr>
        <w:tabs>
          <w:tab w:val="left" w:pos="0"/>
        </w:tabs>
        <w:adjustRightInd w:val="0"/>
        <w:snapToGrid w:val="0"/>
        <w:spacing w:line="360" w:lineRule="auto"/>
        <w:ind w:left="0" w:leftChars="0" w:firstLine="420" w:firstLineChars="0"/>
        <w:rPr>
          <w:rFonts w:hint="eastAsia" w:hAnsi="宋体" w:cs="宋体"/>
          <w:color w:val="auto"/>
          <w:kern w:val="0"/>
          <w:szCs w:val="21"/>
          <w:highlight w:val="none"/>
        </w:rPr>
      </w:pPr>
      <w:r>
        <w:rPr>
          <w:rFonts w:hint="eastAsia" w:hAnsi="宋体" w:cs="宋体"/>
          <w:color w:val="auto"/>
          <w:szCs w:val="21"/>
          <w:highlight w:val="none"/>
        </w:rPr>
        <w:t>签订合同后，采购人在收到发票后</w:t>
      </w:r>
      <w:r>
        <w:rPr>
          <w:rFonts w:hint="eastAsia" w:hAnsi="宋体" w:cs="宋体"/>
          <w:color w:val="auto"/>
          <w:szCs w:val="21"/>
          <w:highlight w:val="none"/>
          <w:u w:val="single"/>
          <w:lang w:val="en-US" w:eastAsia="zh-CN"/>
        </w:rPr>
        <w:t>10个工作日</w:t>
      </w:r>
      <w:r>
        <w:rPr>
          <w:rFonts w:hint="eastAsia" w:hAnsi="宋体" w:cs="宋体"/>
          <w:color w:val="auto"/>
          <w:szCs w:val="21"/>
          <w:highlight w:val="none"/>
        </w:rPr>
        <w:t>内向中标人支付合同总价的</w:t>
      </w:r>
      <w:r>
        <w:rPr>
          <w:rFonts w:hint="eastAsia" w:hAnsi="宋体" w:cs="宋体"/>
          <w:color w:val="auto"/>
          <w:szCs w:val="21"/>
          <w:highlight w:val="none"/>
          <w:u w:val="single"/>
          <w:lang w:val="en-US" w:eastAsia="zh-CN"/>
        </w:rPr>
        <w:t xml:space="preserve"> 50 </w:t>
      </w:r>
      <w:r>
        <w:rPr>
          <w:rFonts w:hint="eastAsia" w:hAnsi="宋体" w:cs="宋体"/>
          <w:color w:val="auto"/>
          <w:szCs w:val="21"/>
          <w:highlight w:val="none"/>
        </w:rPr>
        <w:t>%。</w:t>
      </w:r>
    </w:p>
    <w:p w14:paraId="538AFCE3">
      <w:pPr>
        <w:pStyle w:val="5"/>
        <w:numPr>
          <w:ilvl w:val="1"/>
          <w:numId w:val="3"/>
        </w:numPr>
        <w:tabs>
          <w:tab w:val="left" w:pos="0"/>
        </w:tabs>
        <w:adjustRightInd w:val="0"/>
        <w:snapToGrid w:val="0"/>
        <w:spacing w:line="360" w:lineRule="auto"/>
        <w:ind w:left="0" w:leftChars="0" w:firstLine="420" w:firstLineChars="0"/>
        <w:rPr>
          <w:rFonts w:hint="eastAsia" w:hAnsi="宋体" w:cs="宋体"/>
          <w:color w:val="auto"/>
          <w:szCs w:val="21"/>
          <w:highlight w:val="none"/>
        </w:rPr>
      </w:pPr>
      <w:r>
        <w:rPr>
          <w:rFonts w:hint="eastAsia" w:hAnsi="宋体" w:cs="宋体"/>
          <w:color w:val="auto"/>
          <w:szCs w:val="21"/>
          <w:highlight w:val="none"/>
          <w:lang w:val="en-US" w:eastAsia="zh-CN"/>
        </w:rPr>
        <w:t>通过采购人验收且</w:t>
      </w:r>
      <w:r>
        <w:rPr>
          <w:rFonts w:hint="eastAsia" w:hAnsi="宋体" w:cs="宋体"/>
          <w:color w:val="auto"/>
          <w:szCs w:val="21"/>
          <w:highlight w:val="none"/>
        </w:rPr>
        <w:t>采购人在收到发票后</w:t>
      </w:r>
      <w:r>
        <w:rPr>
          <w:rFonts w:hint="eastAsia" w:hAnsi="宋体" w:cs="宋体"/>
          <w:color w:val="auto"/>
          <w:szCs w:val="21"/>
          <w:highlight w:val="none"/>
          <w:u w:val="single"/>
          <w:lang w:val="en-US" w:eastAsia="zh-CN"/>
        </w:rPr>
        <w:t>10个工作日</w:t>
      </w:r>
      <w:r>
        <w:rPr>
          <w:rFonts w:hint="eastAsia" w:hAnsi="宋体" w:cs="宋体"/>
          <w:color w:val="auto"/>
          <w:szCs w:val="21"/>
          <w:highlight w:val="none"/>
        </w:rPr>
        <w:t>内向中标人支付合同总价的</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50</w:t>
      </w:r>
      <w:r>
        <w:rPr>
          <w:rFonts w:hint="eastAsia" w:hAnsi="宋体" w:cs="宋体"/>
          <w:color w:val="auto"/>
          <w:szCs w:val="21"/>
          <w:highlight w:val="none"/>
          <w:u w:val="single"/>
        </w:rPr>
        <w:t xml:space="preserve">  </w:t>
      </w:r>
      <w:r>
        <w:rPr>
          <w:rFonts w:hint="eastAsia" w:hAnsi="宋体" w:cs="宋体"/>
          <w:color w:val="auto"/>
          <w:szCs w:val="21"/>
          <w:highlight w:val="none"/>
        </w:rPr>
        <w:t>%。</w:t>
      </w:r>
    </w:p>
    <w:p w14:paraId="1740F284">
      <w:pPr>
        <w:pStyle w:val="5"/>
        <w:numPr>
          <w:ilvl w:val="1"/>
          <w:numId w:val="3"/>
        </w:numPr>
        <w:tabs>
          <w:tab w:val="left" w:pos="0"/>
        </w:tabs>
        <w:adjustRightInd w:val="0"/>
        <w:snapToGrid w:val="0"/>
        <w:spacing w:line="360" w:lineRule="auto"/>
        <w:ind w:left="0" w:leftChars="0" w:firstLine="420" w:firstLineChars="0"/>
        <w:rPr>
          <w:rFonts w:hint="eastAsia" w:hAnsi="宋体" w:cs="宋体"/>
          <w:color w:val="auto"/>
          <w:szCs w:val="21"/>
          <w:highlight w:val="none"/>
        </w:rPr>
      </w:pPr>
      <w:r>
        <w:rPr>
          <w:rFonts w:hint="eastAsia" w:hAnsi="宋体" w:cs="宋体"/>
          <w:color w:val="auto"/>
          <w:szCs w:val="21"/>
          <w:highlight w:val="none"/>
        </w:rPr>
        <w:t>每次</w:t>
      </w:r>
      <w:r>
        <w:rPr>
          <w:rFonts w:hint="eastAsia" w:hAnsi="宋体" w:cs="宋体"/>
          <w:color w:val="auto"/>
          <w:szCs w:val="21"/>
          <w:highlight w:val="none"/>
          <w:lang w:eastAsia="zh-TW"/>
        </w:rPr>
        <w:t>按合同支付款项前，中标人</w:t>
      </w:r>
      <w:r>
        <w:rPr>
          <w:rFonts w:hint="eastAsia" w:hAnsi="宋体" w:cs="宋体"/>
          <w:color w:val="auto"/>
          <w:szCs w:val="21"/>
          <w:highlight w:val="none"/>
        </w:rPr>
        <w:t>应</w:t>
      </w:r>
      <w:r>
        <w:rPr>
          <w:rFonts w:hint="eastAsia" w:hAnsi="宋体" w:cs="宋体"/>
          <w:color w:val="auto"/>
          <w:szCs w:val="21"/>
          <w:highlight w:val="none"/>
          <w:lang w:eastAsia="zh-TW"/>
        </w:rPr>
        <w:t>向采购人提供与支付金额相符的有效发票，且收款方、出具发票方、合同乙方均必须与中标人名称一致；</w:t>
      </w:r>
    </w:p>
    <w:p w14:paraId="7ECEBA72">
      <w:pPr>
        <w:numPr>
          <w:ilvl w:val="0"/>
          <w:numId w:val="3"/>
        </w:numPr>
        <w:tabs>
          <w:tab w:val="left" w:pos="540"/>
        </w:tabs>
        <w:adjustRightInd w:val="0"/>
        <w:snapToGrid w:val="0"/>
        <w:spacing w:line="360" w:lineRule="auto"/>
        <w:rPr>
          <w:rFonts w:hint="eastAsia" w:ascii="宋体" w:hAnsi="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rPr>
        <w:t>合同服务期限</w:t>
      </w:r>
    </w:p>
    <w:p w14:paraId="06FB29A1">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项目服务期限：本项目服务期自合同签订之日起</w:t>
      </w:r>
      <w:r>
        <w:rPr>
          <w:rFonts w:hint="eastAsia" w:ascii="宋体" w:hAnsi="宋体" w:eastAsia="宋体" w:cs="宋体"/>
          <w:color w:val="auto"/>
          <w:szCs w:val="21"/>
          <w:highlight w:val="none"/>
          <w:lang w:val="en-US" w:eastAsia="zh-CN"/>
        </w:rPr>
        <w:t xml:space="preserve"> 2026年3月25日前完成。</w:t>
      </w:r>
    </w:p>
    <w:p w14:paraId="63797E66">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售后服务期限：项目完成由采购人验收通过后进入售后服务期1年，中标人要在售后服务期限内提供相关咨询、协调和项目审查等技术支持。</w:t>
      </w:r>
    </w:p>
    <w:p w14:paraId="1BB22757">
      <w:pPr>
        <w:numPr>
          <w:ilvl w:val="0"/>
          <w:numId w:val="3"/>
        </w:numPr>
        <w:tabs>
          <w:tab w:val="left" w:pos="54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★合同</w:t>
      </w:r>
      <w:r>
        <w:rPr>
          <w:rFonts w:hint="eastAsia" w:ascii="宋体" w:hAnsi="宋体" w:cs="宋体"/>
          <w:b/>
          <w:bCs/>
          <w:color w:val="auto"/>
          <w:szCs w:val="21"/>
          <w:highlight w:val="none"/>
          <w:lang w:eastAsia="zh-CN"/>
        </w:rPr>
        <w:t>转包和</w:t>
      </w:r>
      <w:r>
        <w:rPr>
          <w:rFonts w:hint="eastAsia" w:ascii="宋体" w:hAnsi="宋体" w:cs="宋体"/>
          <w:b/>
          <w:bCs/>
          <w:color w:val="auto"/>
          <w:szCs w:val="21"/>
          <w:highlight w:val="none"/>
        </w:rPr>
        <w:t>分包</w:t>
      </w:r>
    </w:p>
    <w:p w14:paraId="571E24BE">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本项目不允许转包，不允许分包。</w:t>
      </w:r>
    </w:p>
    <w:p w14:paraId="5BB4BDC0">
      <w:pPr>
        <w:numPr>
          <w:ilvl w:val="0"/>
          <w:numId w:val="3"/>
        </w:numPr>
        <w:tabs>
          <w:tab w:val="left" w:pos="540"/>
        </w:tabs>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保密要求</w:t>
      </w:r>
    </w:p>
    <w:p w14:paraId="72451CE3">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69073931">
      <w:pPr>
        <w:numPr>
          <w:ilvl w:val="0"/>
          <w:numId w:val="3"/>
        </w:numPr>
        <w:tabs>
          <w:tab w:val="left" w:pos="540"/>
        </w:tabs>
        <w:adjustRightInd w:val="0"/>
        <w:snapToGrid w:val="0"/>
        <w:spacing w:line="360" w:lineRule="auto"/>
        <w:rPr>
          <w:rFonts w:hint="eastAsia" w:ascii="宋体" w:hAnsi="宋体" w:cs="宋体"/>
          <w:color w:val="auto"/>
          <w:kern w:val="0"/>
          <w:szCs w:val="21"/>
          <w:highlight w:val="none"/>
        </w:rPr>
      </w:pPr>
      <w:r>
        <w:rPr>
          <w:rFonts w:hint="eastAsia" w:ascii="宋体" w:hAnsi="宋体" w:cs="宋体"/>
          <w:b/>
          <w:bCs/>
          <w:color w:val="auto"/>
          <w:szCs w:val="21"/>
          <w:highlight w:val="none"/>
        </w:rPr>
        <w:t>★违约责任</w:t>
      </w:r>
      <w:r>
        <w:rPr>
          <w:rFonts w:hint="eastAsia" w:ascii="宋体" w:hAnsi="宋体" w:cs="宋体"/>
          <w:b/>
          <w:bCs/>
          <w:color w:val="auto"/>
          <w:szCs w:val="21"/>
          <w:highlight w:val="none"/>
        </w:rPr>
        <w:tab/>
      </w:r>
    </w:p>
    <w:p w14:paraId="47C19A79">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35F4FD99">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646E49D8">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如中标人违反保密义务或提供的项目服务或项目成果侵犯第三方知识产权的，采购人有权解除合同，中标人应当返还采购人已支付款项并向采购人支付采购合同总价款20%的违约金；</w:t>
      </w:r>
    </w:p>
    <w:p w14:paraId="5F782CA6">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未经采购人同意，中标人不得将项目转包或分包给其他第三方，如若违反，采购人有权解除合同，中标人应当返还采购人已支付的款项并向采购人支付采购合同总价款20%的违约金。</w:t>
      </w:r>
    </w:p>
    <w:p w14:paraId="5062C00B">
      <w:pPr>
        <w:numPr>
          <w:ilvl w:val="0"/>
          <w:numId w:val="3"/>
        </w:numPr>
        <w:tabs>
          <w:tab w:val="left" w:pos="540"/>
        </w:tabs>
        <w:adjustRightInd w:val="0"/>
        <w:snapToGrid w:val="0"/>
        <w:spacing w:line="360" w:lineRule="auto"/>
        <w:rPr>
          <w:rFonts w:hAnsi="宋体"/>
          <w:b/>
          <w:color w:val="auto"/>
          <w:kern w:val="0"/>
          <w:szCs w:val="21"/>
          <w:highlight w:val="none"/>
        </w:rPr>
      </w:pPr>
      <w:r>
        <w:rPr>
          <w:rFonts w:hint="eastAsia" w:hAnsi="宋体"/>
          <w:b/>
          <w:color w:val="auto"/>
          <w:kern w:val="0"/>
          <w:szCs w:val="21"/>
          <w:highlight w:val="none"/>
        </w:rPr>
        <w:t>履约保证金：</w:t>
      </w:r>
    </w:p>
    <w:p w14:paraId="39B4C770">
      <w:pPr>
        <w:pStyle w:val="2"/>
        <w:rPr>
          <w:rFonts w:hint="eastAsia" w:eastAsia="宋体"/>
          <w:color w:val="auto"/>
          <w:highlight w:val="none"/>
          <w:lang w:val="en-US" w:eastAsia="zh-CN"/>
        </w:rPr>
      </w:pPr>
      <w:r>
        <w:rPr>
          <w:rStyle w:val="10"/>
          <w:rFonts w:hint="eastAsia" w:ascii="Calibri" w:hAnsi="Calibri"/>
          <w:color w:val="auto"/>
          <w:highlight w:val="none"/>
          <w:lang w:val="en-US" w:eastAsia="zh-CN"/>
        </w:rPr>
        <w:t>无</w:t>
      </w:r>
    </w:p>
    <w:p w14:paraId="0B2BDDB4">
      <w:pPr>
        <w:numPr>
          <w:ilvl w:val="0"/>
          <w:numId w:val="3"/>
        </w:numPr>
        <w:tabs>
          <w:tab w:val="left" w:pos="540"/>
        </w:tabs>
        <w:adjustRightInd w:val="0"/>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合同的变更</w:t>
      </w:r>
    </w:p>
    <w:p w14:paraId="66A68BD6">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在合同履行过程中，采购人、中标人双方可就合同履行的时间、地点和方式等协商进行变更。协商一致后，双方应签订书面的补充协议。</w:t>
      </w:r>
    </w:p>
    <w:p w14:paraId="75E47421">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在不改变合同其他条款的前提下，采购人有权在合同价款改变百分之十的范围内追加与合同标的相同的货物或服务，并就此与中标人签订补充合同，中标人不得拒绝。</w:t>
      </w:r>
    </w:p>
    <w:p w14:paraId="7D081C25">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除了双方签署书面协议，并成为合同不可分割的一部分之外，合同条件不得有任何变更。</w:t>
      </w:r>
    </w:p>
    <w:p w14:paraId="6353FFBB">
      <w:pPr>
        <w:numPr>
          <w:ilvl w:val="0"/>
          <w:numId w:val="3"/>
        </w:numPr>
        <w:tabs>
          <w:tab w:val="left" w:pos="54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解决争议的方法</w:t>
      </w:r>
      <w:r>
        <w:rPr>
          <w:rFonts w:hint="eastAsia" w:ascii="宋体" w:hAnsi="宋体" w:cs="宋体"/>
          <w:b/>
          <w:bCs/>
          <w:color w:val="auto"/>
          <w:szCs w:val="21"/>
          <w:highlight w:val="none"/>
        </w:rPr>
        <w:tab/>
      </w:r>
    </w:p>
    <w:p w14:paraId="64202A20">
      <w:pPr>
        <w:numPr>
          <w:ilvl w:val="1"/>
          <w:numId w:val="3"/>
        </w:numPr>
        <w:tabs>
          <w:tab w:val="left" w:pos="780"/>
        </w:tabs>
        <w:adjustRightInd w:val="0"/>
        <w:snapToGrid w:val="0"/>
        <w:spacing w:line="360" w:lineRule="auto"/>
        <w:ind w:left="780" w:hanging="360"/>
        <w:rPr>
          <w:rFonts w:hint="eastAsia" w:ascii="宋体" w:hAnsi="宋体" w:cs="宋体"/>
          <w:color w:val="auto"/>
          <w:kern w:val="0"/>
          <w:szCs w:val="21"/>
          <w:highlight w:val="none"/>
        </w:rPr>
      </w:pPr>
      <w:r>
        <w:rPr>
          <w:rFonts w:hint="eastAsia" w:ascii="宋体" w:hAnsi="宋体" w:cs="宋体"/>
          <w:color w:val="auto"/>
          <w:kern w:val="0"/>
          <w:szCs w:val="21"/>
          <w:highlight w:val="none"/>
        </w:rPr>
        <w:t>合同各方应通过友好协商，解决在执行合同过程中所发生的或与合同有关的一切争端。</w:t>
      </w:r>
    </w:p>
    <w:p w14:paraId="3EB86E95">
      <w:pPr>
        <w:numPr>
          <w:ilvl w:val="1"/>
          <w:numId w:val="3"/>
        </w:numPr>
        <w:tabs>
          <w:tab w:val="left" w:pos="780"/>
        </w:tabs>
        <w:adjustRightInd w:val="0"/>
        <w:snapToGrid w:val="0"/>
        <w:spacing w:line="360" w:lineRule="auto"/>
        <w:ind w:left="780" w:hanging="360"/>
        <w:rPr>
          <w:rFonts w:hint="eastAsia" w:ascii="宋体" w:hAnsi="宋体" w:cs="宋体"/>
          <w:color w:val="auto"/>
          <w:kern w:val="0"/>
          <w:szCs w:val="21"/>
          <w:highlight w:val="none"/>
        </w:rPr>
      </w:pPr>
      <w:r>
        <w:rPr>
          <w:rFonts w:hint="eastAsia" w:ascii="宋体" w:hAnsi="宋体" w:cs="宋体"/>
          <w:color w:val="auto"/>
          <w:kern w:val="0"/>
          <w:szCs w:val="21"/>
          <w:highlight w:val="none"/>
        </w:rPr>
        <w:t>如从协商开始28天内仍不能解决，任一方可向采购人所在地的人民法院提起诉讼。</w:t>
      </w:r>
    </w:p>
    <w:p w14:paraId="74FEE595">
      <w:pPr>
        <w:numPr>
          <w:ilvl w:val="1"/>
          <w:numId w:val="3"/>
        </w:numPr>
        <w:tabs>
          <w:tab w:val="left" w:pos="780"/>
        </w:tabs>
        <w:adjustRightInd w:val="0"/>
        <w:snapToGrid w:val="0"/>
        <w:spacing w:line="360" w:lineRule="auto"/>
        <w:ind w:left="780" w:hanging="360"/>
        <w:rPr>
          <w:rFonts w:hint="eastAsia" w:ascii="宋体" w:hAnsi="宋体" w:cs="宋体"/>
          <w:color w:val="auto"/>
          <w:kern w:val="0"/>
          <w:szCs w:val="21"/>
          <w:highlight w:val="none"/>
        </w:rPr>
      </w:pPr>
      <w:r>
        <w:rPr>
          <w:rFonts w:hint="eastAsia" w:ascii="宋体" w:hAnsi="宋体" w:cs="宋体"/>
          <w:color w:val="auto"/>
          <w:kern w:val="0"/>
          <w:szCs w:val="21"/>
          <w:highlight w:val="none"/>
        </w:rPr>
        <w:t>在诉讼期间，除正在进行诉讼的部分外，合同的其他部分应继续执行。</w:t>
      </w:r>
    </w:p>
    <w:p w14:paraId="68541705">
      <w:pPr>
        <w:numPr>
          <w:ilvl w:val="0"/>
          <w:numId w:val="3"/>
        </w:numPr>
        <w:tabs>
          <w:tab w:val="left" w:pos="54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合同语言</w:t>
      </w:r>
      <w:r>
        <w:rPr>
          <w:rFonts w:hint="eastAsia" w:ascii="宋体" w:hAnsi="宋体" w:cs="宋体"/>
          <w:b/>
          <w:bCs/>
          <w:color w:val="auto"/>
          <w:szCs w:val="21"/>
          <w:highlight w:val="none"/>
        </w:rPr>
        <w:tab/>
      </w:r>
    </w:p>
    <w:p w14:paraId="52F8C6B5">
      <w:pPr>
        <w:numPr>
          <w:ilvl w:val="0"/>
          <w:numId w:val="0"/>
        </w:numPr>
        <w:tabs>
          <w:tab w:val="left" w:pos="780"/>
        </w:tabs>
        <w:adjustRightInd w:val="0"/>
        <w:snapToGrid w:val="0"/>
        <w:spacing w:line="360" w:lineRule="auto"/>
        <w:ind w:left="420" w:leftChars="0"/>
        <w:rPr>
          <w:rFonts w:hint="eastAsia" w:ascii="宋体" w:hAnsi="宋体" w:cs="宋体"/>
          <w:color w:val="auto"/>
          <w:kern w:val="0"/>
          <w:szCs w:val="21"/>
          <w:highlight w:val="none"/>
        </w:rPr>
      </w:pPr>
      <w:r>
        <w:rPr>
          <w:rFonts w:hint="eastAsia" w:ascii="宋体" w:hAnsi="宋体" w:cs="宋体"/>
          <w:color w:val="auto"/>
          <w:kern w:val="0"/>
          <w:szCs w:val="21"/>
          <w:highlight w:val="none"/>
        </w:rPr>
        <w:t>合同以及双方来住的与合同有关的信件、传真和其它文件应用中文书写。</w:t>
      </w:r>
    </w:p>
    <w:p w14:paraId="6A12945E">
      <w:pPr>
        <w:numPr>
          <w:ilvl w:val="0"/>
          <w:numId w:val="3"/>
        </w:numPr>
        <w:tabs>
          <w:tab w:val="left" w:pos="54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法律适用</w:t>
      </w:r>
      <w:r>
        <w:rPr>
          <w:rFonts w:hint="eastAsia" w:ascii="宋体" w:hAnsi="宋体" w:cs="宋体"/>
          <w:b/>
          <w:bCs/>
          <w:color w:val="auto"/>
          <w:szCs w:val="21"/>
          <w:highlight w:val="none"/>
        </w:rPr>
        <w:tab/>
      </w:r>
    </w:p>
    <w:p w14:paraId="66082E22">
      <w:pPr>
        <w:numPr>
          <w:ilvl w:val="0"/>
          <w:numId w:val="0"/>
        </w:numPr>
        <w:tabs>
          <w:tab w:val="left" w:pos="780"/>
        </w:tabs>
        <w:adjustRightInd w:val="0"/>
        <w:snapToGrid w:val="0"/>
        <w:spacing w:line="360" w:lineRule="auto"/>
        <w:ind w:left="420" w:leftChars="0"/>
        <w:rPr>
          <w:rFonts w:hint="eastAsia" w:ascii="宋体" w:hAnsi="宋体" w:cs="宋体"/>
          <w:color w:val="auto"/>
          <w:kern w:val="0"/>
          <w:szCs w:val="21"/>
          <w:highlight w:val="none"/>
        </w:rPr>
      </w:pPr>
      <w:r>
        <w:rPr>
          <w:rFonts w:hint="eastAsia" w:ascii="宋体" w:hAnsi="宋体" w:cs="宋体"/>
          <w:color w:val="auto"/>
          <w:kern w:val="0"/>
          <w:szCs w:val="21"/>
          <w:highlight w:val="none"/>
        </w:rPr>
        <w:t>合同适用中华人民共和国现行法律、行政法规和规章，如合同条款与法律、行政法规和规章不一致的，按照法律、行政法规和规章修改合同。</w:t>
      </w:r>
    </w:p>
    <w:p w14:paraId="7D4C49FC">
      <w:pPr>
        <w:numPr>
          <w:ilvl w:val="0"/>
          <w:numId w:val="3"/>
        </w:numPr>
        <w:tabs>
          <w:tab w:val="left" w:pos="54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通知</w:t>
      </w:r>
      <w:r>
        <w:rPr>
          <w:rFonts w:hint="eastAsia" w:ascii="宋体" w:hAnsi="宋体" w:cs="宋体"/>
          <w:b/>
          <w:bCs/>
          <w:color w:val="auto"/>
          <w:szCs w:val="21"/>
          <w:highlight w:val="none"/>
        </w:rPr>
        <w:tab/>
      </w:r>
    </w:p>
    <w:p w14:paraId="5891B1E6">
      <w:pPr>
        <w:numPr>
          <w:ilvl w:val="1"/>
          <w:numId w:val="3"/>
        </w:numPr>
        <w:tabs>
          <w:tab w:val="left" w:pos="780"/>
        </w:tabs>
        <w:adjustRightInd w:val="0"/>
        <w:snapToGrid w:val="0"/>
        <w:spacing w:line="360" w:lineRule="auto"/>
        <w:ind w:left="780" w:hanging="360"/>
        <w:rPr>
          <w:rFonts w:hint="eastAsia" w:ascii="宋体" w:hAnsi="宋体" w:cs="宋体"/>
          <w:color w:val="auto"/>
          <w:kern w:val="0"/>
          <w:szCs w:val="21"/>
          <w:highlight w:val="none"/>
        </w:rPr>
      </w:pPr>
      <w:r>
        <w:rPr>
          <w:rFonts w:hint="eastAsia" w:ascii="宋体" w:hAnsi="宋体" w:cs="宋体"/>
          <w:color w:val="auto"/>
          <w:kern w:val="0"/>
          <w:szCs w:val="21"/>
          <w:highlight w:val="none"/>
        </w:rPr>
        <w:t>合同一方给另一方的通知均应采用书面形式，传真或快递送到对方的地址和办理签收手续。</w:t>
      </w:r>
    </w:p>
    <w:p w14:paraId="02056EEA">
      <w:pPr>
        <w:numPr>
          <w:ilvl w:val="1"/>
          <w:numId w:val="3"/>
        </w:numPr>
        <w:tabs>
          <w:tab w:val="left" w:pos="780"/>
        </w:tabs>
        <w:adjustRightInd w:val="0"/>
        <w:snapToGrid w:val="0"/>
        <w:spacing w:line="360" w:lineRule="auto"/>
        <w:ind w:left="780" w:hanging="360"/>
        <w:rPr>
          <w:rFonts w:hint="eastAsia" w:ascii="宋体" w:hAnsi="宋体" w:cs="宋体"/>
          <w:color w:val="auto"/>
          <w:kern w:val="0"/>
          <w:szCs w:val="21"/>
          <w:highlight w:val="none"/>
        </w:rPr>
      </w:pPr>
      <w:r>
        <w:rPr>
          <w:rFonts w:hint="eastAsia" w:ascii="宋体" w:hAnsi="宋体" w:cs="宋体"/>
          <w:color w:val="auto"/>
          <w:kern w:val="0"/>
          <w:szCs w:val="21"/>
          <w:highlight w:val="none"/>
        </w:rPr>
        <w:t>通知以送到之日或通知书中规定的生效之日起生效，两者中以较迟之日为准。</w:t>
      </w:r>
    </w:p>
    <w:p w14:paraId="12A4BADB">
      <w:pPr>
        <w:numPr>
          <w:ilvl w:val="0"/>
          <w:numId w:val="3"/>
        </w:numPr>
        <w:tabs>
          <w:tab w:val="left" w:pos="54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★知识产权</w:t>
      </w:r>
    </w:p>
    <w:p w14:paraId="43633C59">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中标人在履行合同的过程中不得侵犯他人知识产权，不得提供虚假知识产权申请材料或者违背知识产权合规性承诺，否则依法追究其违约等责任，并将其失信违法信息依法纳入公共信用信息系统。</w:t>
      </w:r>
    </w:p>
    <w:p w14:paraId="52842C99">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7F2A923E">
      <w:pPr>
        <w:pStyle w:val="5"/>
        <w:numPr>
          <w:ilvl w:val="1"/>
          <w:numId w:val="3"/>
        </w:numPr>
        <w:tabs>
          <w:tab w:val="left" w:pos="0"/>
        </w:tabs>
        <w:adjustRightInd w:val="0"/>
        <w:snapToGrid w:val="0"/>
        <w:spacing w:line="360" w:lineRule="auto"/>
        <w:ind w:left="0" w:leftChars="0" w:firstLine="420" w:firstLineChars="0"/>
        <w:rPr>
          <w:rFonts w:hint="eastAsia" w:hAnsi="宋体" w:cs="宋体"/>
          <w:color w:val="auto"/>
          <w:kern w:val="0"/>
          <w:szCs w:val="21"/>
          <w:highlight w:val="none"/>
        </w:rPr>
      </w:pPr>
      <w:r>
        <w:rPr>
          <w:rFonts w:hint="eastAsia" w:ascii="宋体" w:hAnsi="宋体" w:eastAsia="宋体" w:cs="宋体"/>
          <w:color w:val="auto"/>
          <w:szCs w:val="21"/>
          <w:highlight w:val="none"/>
          <w:lang w:val="en-US" w:eastAsia="zh-CN"/>
        </w:rPr>
        <w:t>中标人实</w:t>
      </w:r>
      <w:r>
        <w:rPr>
          <w:rFonts w:hint="eastAsia" w:hAnsi="宋体" w:cs="宋体"/>
          <w:bCs/>
          <w:color w:val="auto"/>
          <w:kern w:val="0"/>
          <w:szCs w:val="21"/>
          <w:highlight w:val="none"/>
        </w:rPr>
        <w:t>施本项目所形成成果的知识产权归采购人所有，未经采购人许可，中标人不得随意使用。</w:t>
      </w:r>
    </w:p>
    <w:p w14:paraId="0DF85FB0">
      <w:pPr>
        <w:numPr>
          <w:ilvl w:val="0"/>
          <w:numId w:val="3"/>
        </w:numPr>
        <w:tabs>
          <w:tab w:val="left" w:pos="540"/>
        </w:tabs>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合同解除和终止</w:t>
      </w:r>
      <w:r>
        <w:rPr>
          <w:rFonts w:hint="eastAsia" w:ascii="宋体" w:hAnsi="宋体" w:cs="宋体"/>
          <w:b/>
          <w:bCs/>
          <w:color w:val="auto"/>
          <w:szCs w:val="21"/>
          <w:highlight w:val="none"/>
        </w:rPr>
        <w:tab/>
      </w:r>
    </w:p>
    <w:p w14:paraId="3EA6F98A">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0BD5D4AD">
      <w:pPr>
        <w:numPr>
          <w:ilvl w:val="0"/>
          <w:numId w:val="3"/>
        </w:numPr>
        <w:tabs>
          <w:tab w:val="left" w:pos="540"/>
        </w:tabs>
        <w:adjustRightInd w:val="0"/>
        <w:snapToGrid w:val="0"/>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税费</w:t>
      </w:r>
      <w:r>
        <w:rPr>
          <w:rFonts w:hint="eastAsia" w:ascii="宋体" w:hAnsi="宋体" w:cs="宋体"/>
          <w:b/>
          <w:bCs/>
          <w:color w:val="auto"/>
          <w:kern w:val="0"/>
          <w:szCs w:val="21"/>
          <w:highlight w:val="none"/>
        </w:rPr>
        <w:tab/>
      </w:r>
    </w:p>
    <w:p w14:paraId="4464C248">
      <w:pPr>
        <w:pStyle w:val="5"/>
        <w:numPr>
          <w:ilvl w:val="1"/>
          <w:numId w:val="3"/>
        </w:numPr>
        <w:tabs>
          <w:tab w:val="left" w:pos="0"/>
        </w:tabs>
        <w:adjustRightInd w:val="0"/>
        <w:snapToGrid w:val="0"/>
        <w:spacing w:line="360" w:lineRule="auto"/>
        <w:ind w:left="0" w:leftChars="0" w:firstLine="420" w:firstLineChars="0"/>
        <w:rPr>
          <w:rFonts w:hint="eastAsia" w:ascii="宋体" w:hAnsi="宋体"/>
          <w:b/>
          <w:szCs w:val="21"/>
        </w:rPr>
      </w:pPr>
      <w:r>
        <w:rPr>
          <w:rFonts w:hint="eastAsia" w:ascii="宋体" w:hAnsi="宋体" w:cs="宋体"/>
          <w:color w:val="auto"/>
          <w:kern w:val="0"/>
          <w:szCs w:val="21"/>
          <w:highlight w:val="none"/>
        </w:rPr>
        <w:t>中国政府根据现行税法向中标人征收的与合同有关的一切税费均由中标人负责。</w:t>
      </w:r>
    </w:p>
    <w:p w14:paraId="62172694">
      <w:pPr>
        <w:numPr>
          <w:ilvl w:val="0"/>
          <w:numId w:val="3"/>
        </w:numPr>
        <w:tabs>
          <w:tab w:val="left" w:pos="540"/>
        </w:tabs>
        <w:adjustRightInd w:val="0"/>
        <w:snapToGrid w:val="0"/>
        <w:spacing w:line="360" w:lineRule="auto"/>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报价要求</w:t>
      </w:r>
    </w:p>
    <w:p w14:paraId="01C4C7C9">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6818C1">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投标人的投标报价，应是本项目招标范围和招标文件及合同条款上所列的各项内容中所述的全部，不得以任何理由予以重复，并以投标人在投标文件中提出的综合单价或总价为依据。</w:t>
      </w:r>
    </w:p>
    <w:p w14:paraId="5C5703FC">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除非</w:t>
      </w:r>
      <w:r>
        <w:rPr>
          <w:rFonts w:hint="eastAsia" w:ascii="宋体" w:hAnsi="宋体" w:eastAsia="宋体" w:cs="宋体"/>
          <w:color w:val="auto"/>
          <w:kern w:val="0"/>
          <w:szCs w:val="21"/>
          <w:highlight w:val="none"/>
          <w:lang w:eastAsia="zh-CN"/>
        </w:rPr>
        <w:t>招标代理机构</w:t>
      </w:r>
      <w:r>
        <w:rPr>
          <w:rFonts w:hint="eastAsia" w:ascii="宋体" w:hAnsi="宋体" w:eastAsia="宋体" w:cs="宋体"/>
          <w:color w:val="auto"/>
          <w:kern w:val="0"/>
          <w:szCs w:val="21"/>
          <w:highlight w:val="none"/>
        </w:rPr>
        <w:t>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79A168DC">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投标人应充分了解项目的位置、情况、道路及任何其它足以影响投标报价的情况，任何因忽视或误解项目情况而导致的索赔或服务期限延长申请将不获批准。</w:t>
      </w:r>
    </w:p>
    <w:p w14:paraId="131CF182">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E61E331">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投标人须考虑本项目在实施期间的一切可能产生的费用。在项目实施过程中，如项目工作范围发生变更，由中标人和采购人双方协商解决；其余情况下，投标总价均不予调整。</w:t>
      </w:r>
    </w:p>
    <w:p w14:paraId="75EDF228">
      <w:pPr>
        <w:pStyle w:val="5"/>
        <w:numPr>
          <w:ilvl w:val="1"/>
          <w:numId w:val="3"/>
        </w:numPr>
        <w:tabs>
          <w:tab w:val="left" w:pos="0"/>
        </w:tabs>
        <w:adjustRightInd w:val="0"/>
        <w:snapToGrid w:val="0"/>
        <w:spacing w:line="360" w:lineRule="auto"/>
        <w:ind w:left="0" w:leftChars="0" w:firstLine="420" w:firstLineChars="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★投标人按照招标文件要求，提供《投标分项报价表》，按照每一项服务内分别进行报价，说明其投标报价的组成。</w:t>
      </w:r>
    </w:p>
    <w:p w14:paraId="3661A9D6">
      <w:pPr>
        <w:spacing w:line="440" w:lineRule="exact"/>
        <w:ind w:firstLine="420" w:firstLineChars="199"/>
        <w:rPr>
          <w:rFonts w:ascii="宋体" w:hAnsi="宋体"/>
          <w:b/>
          <w:color w:val="000000"/>
          <w:szCs w:val="21"/>
        </w:rPr>
      </w:pPr>
    </w:p>
    <w:p w14:paraId="2BA959CA">
      <w:pPr>
        <w:jc w:val="center"/>
        <w:outlineLvl w:val="1"/>
        <w:rPr>
          <w:rFonts w:ascii="微软雅黑" w:hAnsi="微软雅黑" w:eastAsia="微软雅黑" w:cs="微软雅黑"/>
          <w:b/>
          <w:bCs/>
          <w:caps/>
          <w:color w:val="000000"/>
          <w:sz w:val="24"/>
          <w:szCs w:val="24"/>
        </w:rPr>
      </w:pPr>
      <w:bookmarkStart w:id="5" w:name="_Toc333420706"/>
      <w:bookmarkStart w:id="6" w:name="_Toc15840"/>
      <w:bookmarkStart w:id="7" w:name="_Toc353262376"/>
      <w:r>
        <w:rPr>
          <w:rFonts w:hint="eastAsia" w:ascii="微软雅黑" w:hAnsi="微软雅黑" w:eastAsia="微软雅黑" w:cs="微软雅黑"/>
          <w:b/>
          <w:bCs/>
          <w:caps/>
          <w:color w:val="000000"/>
          <w:sz w:val="24"/>
          <w:szCs w:val="24"/>
        </w:rPr>
        <w:t>第五节  投标</w:t>
      </w:r>
      <w:r>
        <w:rPr>
          <w:rFonts w:hint="eastAsia" w:ascii="微软雅黑" w:hAnsi="微软雅黑" w:eastAsia="微软雅黑" w:cs="微软雅黑"/>
          <w:b/>
          <w:bCs/>
          <w:color w:val="000000"/>
          <w:sz w:val="24"/>
          <w:szCs w:val="24"/>
        </w:rPr>
        <w:t>文件</w:t>
      </w:r>
      <w:r>
        <w:rPr>
          <w:rFonts w:hint="eastAsia" w:ascii="微软雅黑" w:hAnsi="微软雅黑" w:eastAsia="微软雅黑" w:cs="微软雅黑"/>
          <w:b/>
          <w:bCs/>
          <w:caps/>
          <w:color w:val="000000"/>
          <w:sz w:val="24"/>
          <w:szCs w:val="24"/>
        </w:rPr>
        <w:t>否决性条款摘要</w:t>
      </w:r>
      <w:bookmarkEnd w:id="5"/>
      <w:bookmarkEnd w:id="6"/>
      <w:bookmarkEnd w:id="7"/>
    </w:p>
    <w:p w14:paraId="09D50D0A">
      <w:pPr>
        <w:spacing w:line="440" w:lineRule="exact"/>
        <w:ind w:firstLine="422" w:firstLineChars="200"/>
        <w:rPr>
          <w:rFonts w:ascii="宋体" w:hAnsi="宋体"/>
          <w:b/>
          <w:szCs w:val="21"/>
        </w:rPr>
      </w:pPr>
      <w:r>
        <w:rPr>
          <w:rFonts w:ascii="宋体" w:hAnsi="宋体"/>
          <w:b/>
        </w:rPr>
        <w:t>1、</w:t>
      </w:r>
      <w:r>
        <w:rPr>
          <w:rFonts w:ascii="宋体" w:hAnsi="宋体"/>
          <w:b/>
          <w:szCs w:val="21"/>
        </w:rPr>
        <w:t>投标文件有下列情形之一的，不予受理：</w:t>
      </w:r>
    </w:p>
    <w:p w14:paraId="06151165">
      <w:pPr>
        <w:spacing w:line="440" w:lineRule="exact"/>
        <w:ind w:firstLine="420" w:firstLineChars="200"/>
        <w:rPr>
          <w:rFonts w:ascii="宋体" w:hAnsi="宋体"/>
          <w:szCs w:val="21"/>
        </w:rPr>
      </w:pPr>
      <w:r>
        <w:rPr>
          <w:rFonts w:ascii="宋体" w:hAnsi="宋体"/>
        </w:rPr>
        <w:t xml:space="preserve">1.1  </w:t>
      </w:r>
      <w:r>
        <w:rPr>
          <w:rFonts w:ascii="宋体" w:hAnsi="宋体"/>
          <w:szCs w:val="21"/>
        </w:rPr>
        <w:t>在投标截止时间以后送达的，或者未送达指定地点的；</w:t>
      </w:r>
    </w:p>
    <w:p w14:paraId="33C8AB85">
      <w:pPr>
        <w:spacing w:line="440" w:lineRule="exact"/>
        <w:ind w:firstLine="420" w:firstLineChars="200"/>
        <w:rPr>
          <w:rFonts w:ascii="宋体" w:hAnsi="宋体"/>
        </w:rPr>
      </w:pPr>
      <w:r>
        <w:rPr>
          <w:rFonts w:ascii="宋体" w:hAnsi="宋体"/>
        </w:rPr>
        <w:t xml:space="preserve">1.2  </w:t>
      </w:r>
      <w:r>
        <w:rPr>
          <w:rFonts w:hint="eastAsia" w:ascii="宋体" w:hAnsi="宋体"/>
        </w:rPr>
        <w:t>投标文件未密封的；</w:t>
      </w:r>
    </w:p>
    <w:p w14:paraId="6861954D">
      <w:pPr>
        <w:spacing w:line="440" w:lineRule="exact"/>
        <w:ind w:firstLine="420" w:firstLineChars="200"/>
        <w:rPr>
          <w:rFonts w:ascii="宋体" w:hAnsi="宋体"/>
          <w:b/>
          <w:szCs w:val="21"/>
        </w:rPr>
      </w:pPr>
      <w:r>
        <w:rPr>
          <w:rFonts w:hint="eastAsia" w:ascii="宋体" w:hAnsi="宋体"/>
        </w:rPr>
        <w:t xml:space="preserve">1.3  </w:t>
      </w:r>
      <w:r>
        <w:rPr>
          <w:rFonts w:ascii="宋体" w:hAnsi="宋体"/>
          <w:szCs w:val="21"/>
        </w:rPr>
        <w:t>投标人的名称与</w:t>
      </w:r>
      <w:bookmarkStart w:id="8" w:name="_Toc76871384"/>
      <w:r>
        <w:rPr>
          <w:rFonts w:ascii="宋体" w:hAnsi="宋体"/>
          <w:szCs w:val="21"/>
        </w:rPr>
        <w:t>购买招标文件时登记</w:t>
      </w:r>
      <w:bookmarkEnd w:id="8"/>
      <w:r>
        <w:rPr>
          <w:rFonts w:ascii="宋体" w:hAnsi="宋体"/>
          <w:szCs w:val="21"/>
        </w:rPr>
        <w:t>的不一致的。</w:t>
      </w:r>
    </w:p>
    <w:p w14:paraId="3D640D2F">
      <w:pPr>
        <w:spacing w:line="440" w:lineRule="exact"/>
        <w:ind w:firstLine="422" w:firstLineChars="200"/>
        <w:rPr>
          <w:rFonts w:ascii="宋体" w:hAnsi="宋体"/>
          <w:b/>
          <w:szCs w:val="21"/>
        </w:rPr>
      </w:pPr>
      <w:r>
        <w:rPr>
          <w:rFonts w:ascii="宋体" w:hAnsi="宋体"/>
          <w:b/>
        </w:rPr>
        <w:t>2</w:t>
      </w:r>
      <w:r>
        <w:rPr>
          <w:rFonts w:hint="eastAsia" w:ascii="宋体" w:hAnsi="宋体"/>
          <w:b/>
        </w:rPr>
        <w:t>、</w:t>
      </w:r>
      <w:r>
        <w:rPr>
          <w:rFonts w:ascii="宋体" w:hAnsi="宋体"/>
          <w:b/>
          <w:szCs w:val="21"/>
        </w:rPr>
        <w:t>投标文件有下列</w:t>
      </w:r>
      <w:r>
        <w:rPr>
          <w:rFonts w:hint="eastAsia" w:ascii="宋体" w:hAnsi="宋体"/>
          <w:b/>
          <w:szCs w:val="21"/>
        </w:rPr>
        <w:t>情形之一的，按无效标处理：</w:t>
      </w:r>
    </w:p>
    <w:p w14:paraId="0F57F9A8">
      <w:pPr>
        <w:spacing w:line="440" w:lineRule="exact"/>
        <w:ind w:firstLine="420" w:firstLineChars="200"/>
        <w:rPr>
          <w:rFonts w:ascii="宋体" w:hAnsi="宋体"/>
          <w:szCs w:val="21"/>
        </w:rPr>
      </w:pPr>
      <w:r>
        <w:rPr>
          <w:rFonts w:hint="eastAsia" w:ascii="宋体" w:hAnsi="宋体"/>
        </w:rPr>
        <w:t xml:space="preserve">2.1  </w:t>
      </w:r>
      <w:r>
        <w:rPr>
          <w:rFonts w:hint="eastAsia" w:ascii="宋体" w:hAnsi="宋体"/>
          <w:szCs w:val="21"/>
        </w:rPr>
        <w:t>投标人未按照招标文件的要求提供投标保证金的；</w:t>
      </w:r>
      <w:r>
        <w:rPr>
          <w:rFonts w:ascii="宋体" w:hAnsi="宋体"/>
          <w:szCs w:val="21"/>
        </w:rPr>
        <w:t xml:space="preserve"> </w:t>
      </w:r>
    </w:p>
    <w:p w14:paraId="3C06D36A">
      <w:pPr>
        <w:spacing w:line="440" w:lineRule="exact"/>
        <w:ind w:firstLine="420" w:firstLineChars="200"/>
        <w:rPr>
          <w:rFonts w:ascii="宋体" w:hAnsi="宋体"/>
          <w:szCs w:val="21"/>
        </w:rPr>
      </w:pPr>
      <w:r>
        <w:rPr>
          <w:rFonts w:hint="eastAsia" w:ascii="宋体" w:hAnsi="宋体"/>
          <w:szCs w:val="21"/>
        </w:rPr>
        <w:t>2.2  投标文件无法定代表人签字或盖章，或签字人无法定代表人有效授权委托书原件的；</w:t>
      </w:r>
    </w:p>
    <w:p w14:paraId="57A8397E">
      <w:pPr>
        <w:spacing w:line="440" w:lineRule="exact"/>
        <w:ind w:firstLine="420" w:firstLineChars="200"/>
        <w:rPr>
          <w:rFonts w:ascii="宋体" w:hAnsi="宋体"/>
          <w:szCs w:val="21"/>
        </w:rPr>
      </w:pPr>
      <w:r>
        <w:rPr>
          <w:rFonts w:hint="eastAsia" w:ascii="宋体" w:hAnsi="宋体"/>
          <w:szCs w:val="21"/>
        </w:rPr>
        <w:t>2.3  投标人资格条件不符合国家有关规定和招标文件要求；</w:t>
      </w:r>
    </w:p>
    <w:p w14:paraId="746A8A6C">
      <w:pPr>
        <w:spacing w:line="440" w:lineRule="exact"/>
        <w:ind w:firstLine="420" w:firstLineChars="200"/>
        <w:rPr>
          <w:rFonts w:ascii="宋体" w:hAnsi="宋体"/>
          <w:szCs w:val="21"/>
        </w:rPr>
      </w:pPr>
      <w:r>
        <w:rPr>
          <w:rFonts w:hint="eastAsia" w:ascii="宋体" w:hAnsi="宋体"/>
          <w:szCs w:val="21"/>
        </w:rPr>
        <w:t>2.4  投标总价或分项报价超过预算控制金额的；</w:t>
      </w:r>
      <w:r>
        <w:rPr>
          <w:rFonts w:ascii="宋体" w:hAnsi="宋体"/>
          <w:szCs w:val="21"/>
        </w:rPr>
        <w:t xml:space="preserve"> </w:t>
      </w:r>
    </w:p>
    <w:p w14:paraId="2136B555">
      <w:pPr>
        <w:spacing w:line="440" w:lineRule="exact"/>
        <w:ind w:firstLine="420" w:firstLineChars="200"/>
        <w:rPr>
          <w:rFonts w:ascii="宋体" w:hAnsi="宋体"/>
          <w:szCs w:val="21"/>
        </w:rPr>
      </w:pPr>
      <w:r>
        <w:rPr>
          <w:rFonts w:hint="eastAsia" w:ascii="宋体" w:hAnsi="宋体"/>
          <w:szCs w:val="21"/>
        </w:rPr>
        <w:t>2.5  开标一览表出现无报价或报价为零或有选择性报价的；</w:t>
      </w:r>
    </w:p>
    <w:p w14:paraId="32B67484">
      <w:pPr>
        <w:spacing w:line="440" w:lineRule="exact"/>
        <w:ind w:firstLine="420" w:firstLineChars="200"/>
        <w:rPr>
          <w:rFonts w:ascii="宋体" w:hAnsi="宋体"/>
          <w:szCs w:val="21"/>
        </w:rPr>
      </w:pPr>
      <w:r>
        <w:rPr>
          <w:rFonts w:hint="eastAsia" w:ascii="宋体" w:hAnsi="宋体"/>
          <w:szCs w:val="21"/>
        </w:rPr>
        <w:t xml:space="preserve">2.6  </w:t>
      </w:r>
      <w:r>
        <w:rPr>
          <w:rFonts w:hint="eastAsia" w:ascii="宋体" w:hAnsi="宋体"/>
          <w:spacing w:val="-2"/>
          <w:szCs w:val="21"/>
        </w:rPr>
        <w:t>投标人以他人的名义投标、串通投标、以行贿手段谋取中标或者以其他弄虚作假方式投标；</w:t>
      </w:r>
    </w:p>
    <w:p w14:paraId="7B286C4D">
      <w:pPr>
        <w:spacing w:line="440" w:lineRule="exact"/>
        <w:ind w:firstLine="420" w:firstLineChars="200"/>
        <w:rPr>
          <w:rFonts w:ascii="宋体" w:hAnsi="宋体"/>
          <w:szCs w:val="21"/>
        </w:rPr>
      </w:pPr>
      <w:r>
        <w:rPr>
          <w:rFonts w:hint="eastAsia" w:ascii="宋体" w:hAnsi="宋体"/>
          <w:szCs w:val="21"/>
        </w:rPr>
        <w:t xml:space="preserve">2.7  </w:t>
      </w:r>
      <w:r>
        <w:rPr>
          <w:rFonts w:hint="eastAsia" w:ascii="宋体" w:hAnsi="宋体"/>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szCs w:val="21"/>
        </w:rPr>
        <w:t>；</w:t>
      </w:r>
    </w:p>
    <w:p w14:paraId="4C9E7244">
      <w:pPr>
        <w:spacing w:line="440" w:lineRule="exact"/>
        <w:ind w:firstLine="420" w:firstLineChars="200"/>
        <w:rPr>
          <w:rFonts w:ascii="宋体" w:hAnsi="宋体"/>
          <w:szCs w:val="21"/>
        </w:rPr>
      </w:pPr>
      <w:r>
        <w:rPr>
          <w:rFonts w:hint="eastAsia" w:ascii="宋体" w:hAnsi="宋体"/>
          <w:szCs w:val="21"/>
        </w:rPr>
        <w:t>2.8  投标人拒不按照要求对投标文件进行澄清、说明或者补正的；</w:t>
      </w:r>
    </w:p>
    <w:p w14:paraId="473D1055">
      <w:pPr>
        <w:spacing w:line="440" w:lineRule="exact"/>
        <w:ind w:firstLine="420" w:firstLineChars="200"/>
        <w:rPr>
          <w:rFonts w:ascii="宋体" w:hAnsi="宋体"/>
          <w:szCs w:val="21"/>
        </w:rPr>
      </w:pPr>
      <w:r>
        <w:rPr>
          <w:rFonts w:hint="eastAsia" w:ascii="宋体" w:hAnsi="宋体"/>
          <w:szCs w:val="21"/>
        </w:rPr>
        <w:t>2.9  文件的关键内容字迹模糊、无法辨认的；</w:t>
      </w:r>
    </w:p>
    <w:p w14:paraId="2EB712D4">
      <w:pPr>
        <w:spacing w:line="440" w:lineRule="exact"/>
        <w:ind w:firstLine="420" w:firstLineChars="200"/>
        <w:rPr>
          <w:rFonts w:ascii="宋体" w:hAnsi="宋体"/>
          <w:szCs w:val="21"/>
        </w:rPr>
      </w:pPr>
      <w:r>
        <w:rPr>
          <w:rFonts w:hint="eastAsia" w:ascii="宋体" w:hAnsi="宋体"/>
          <w:szCs w:val="21"/>
        </w:rPr>
        <w:t>2.10  投标函未按规定填写的；</w:t>
      </w:r>
    </w:p>
    <w:p w14:paraId="398BFB1C">
      <w:pPr>
        <w:spacing w:line="440" w:lineRule="exact"/>
        <w:ind w:firstLine="420" w:firstLineChars="200"/>
        <w:rPr>
          <w:rFonts w:ascii="宋体" w:hAnsi="宋体"/>
          <w:szCs w:val="21"/>
        </w:rPr>
      </w:pPr>
      <w:r>
        <w:rPr>
          <w:rFonts w:hint="eastAsia" w:ascii="宋体" w:hAnsi="宋体"/>
          <w:szCs w:val="21"/>
        </w:rPr>
        <w:t>2.11  投标有效期不足的；</w:t>
      </w:r>
    </w:p>
    <w:p w14:paraId="2AF7690C">
      <w:pPr>
        <w:spacing w:line="440" w:lineRule="exact"/>
        <w:ind w:firstLine="420" w:firstLineChars="200"/>
        <w:rPr>
          <w:rFonts w:ascii="宋体" w:hAnsi="宋体"/>
          <w:szCs w:val="21"/>
        </w:rPr>
      </w:pPr>
      <w:r>
        <w:rPr>
          <w:rFonts w:hint="eastAsia" w:ascii="宋体" w:hAnsi="宋体"/>
          <w:szCs w:val="21"/>
        </w:rPr>
        <w:t xml:space="preserve">2.12  </w:t>
      </w:r>
      <w:r>
        <w:rPr>
          <w:rFonts w:hint="eastAsia" w:ascii="宋体" w:hAnsi="宋体"/>
          <w:spacing w:val="-6"/>
          <w:szCs w:val="21"/>
        </w:rPr>
        <w:t>投标人的投标未能在实质上响应招标文件提出的所有实质性要求和条件（不可偏离条款）的；</w:t>
      </w:r>
    </w:p>
    <w:p w14:paraId="4A1A7C7E">
      <w:pPr>
        <w:spacing w:line="440" w:lineRule="exact"/>
        <w:ind w:firstLine="420" w:firstLineChars="200"/>
        <w:rPr>
          <w:rFonts w:ascii="宋体" w:hAnsi="宋体"/>
          <w:szCs w:val="21"/>
        </w:rPr>
      </w:pPr>
      <w:r>
        <w:rPr>
          <w:rFonts w:hint="eastAsia" w:ascii="宋体" w:hAnsi="宋体"/>
          <w:szCs w:val="21"/>
        </w:rPr>
        <w:t xml:space="preserve">2.13  </w:t>
      </w:r>
      <w:r>
        <w:rPr>
          <w:rFonts w:ascii="宋体" w:hAnsi="宋体"/>
          <w:szCs w:val="21"/>
        </w:rPr>
        <w:t>投标报价有严重缺漏项目的</w:t>
      </w:r>
      <w:r>
        <w:rPr>
          <w:rFonts w:hint="eastAsia" w:ascii="宋体" w:hAnsi="宋体"/>
          <w:szCs w:val="21"/>
        </w:rPr>
        <w:t>；</w:t>
      </w:r>
    </w:p>
    <w:p w14:paraId="5C06DD49">
      <w:pPr>
        <w:spacing w:line="440" w:lineRule="exact"/>
        <w:ind w:firstLine="420" w:firstLineChars="200"/>
        <w:rPr>
          <w:rFonts w:ascii="宋体" w:hAnsi="宋体"/>
          <w:szCs w:val="21"/>
        </w:rPr>
      </w:pPr>
      <w:r>
        <w:rPr>
          <w:rFonts w:hint="eastAsia" w:ascii="宋体" w:hAnsi="宋体"/>
          <w:szCs w:val="21"/>
        </w:rPr>
        <w:t>2.14  联合体投标未附联合体各方共同投标协议的；联合体成员</w:t>
      </w:r>
      <w:r>
        <w:rPr>
          <w:rFonts w:ascii="宋体" w:hAnsi="宋体"/>
          <w:szCs w:val="21"/>
        </w:rPr>
        <w:t>再以自己名义单独投标，</w:t>
      </w:r>
      <w:r>
        <w:rPr>
          <w:rFonts w:hint="eastAsia" w:ascii="宋体" w:hAnsi="宋体"/>
          <w:szCs w:val="21"/>
        </w:rPr>
        <w:t>及</w:t>
      </w:r>
      <w:r>
        <w:rPr>
          <w:rFonts w:ascii="宋体" w:hAnsi="宋体"/>
          <w:szCs w:val="21"/>
        </w:rPr>
        <w:t>组成或参加其他联合体在同一项目中投标</w:t>
      </w:r>
      <w:r>
        <w:rPr>
          <w:rFonts w:hint="eastAsia" w:ascii="宋体" w:hAnsi="宋体"/>
          <w:szCs w:val="21"/>
        </w:rPr>
        <w:t>的；</w:t>
      </w:r>
    </w:p>
    <w:p w14:paraId="6D5B04CB">
      <w:pPr>
        <w:spacing w:line="440" w:lineRule="exact"/>
        <w:ind w:firstLine="420" w:firstLineChars="200"/>
        <w:rPr>
          <w:rFonts w:ascii="宋体" w:hAnsi="宋体"/>
          <w:szCs w:val="21"/>
        </w:rPr>
      </w:pPr>
      <w:r>
        <w:rPr>
          <w:rFonts w:hint="eastAsia" w:ascii="宋体" w:hAnsi="宋体"/>
          <w:szCs w:val="21"/>
        </w:rPr>
        <w:t xml:space="preserve">2.15  </w:t>
      </w:r>
      <w:r>
        <w:rPr>
          <w:rFonts w:ascii="宋体" w:hAnsi="宋体"/>
          <w:szCs w:val="21"/>
        </w:rPr>
        <w:t>投标人递交两份或多份内容不同</w:t>
      </w:r>
      <w:r>
        <w:rPr>
          <w:rFonts w:hint="eastAsia" w:ascii="宋体" w:hAnsi="宋体"/>
          <w:szCs w:val="21"/>
        </w:rPr>
        <w:t>投标方案（</w:t>
      </w:r>
      <w:r>
        <w:rPr>
          <w:rFonts w:ascii="宋体" w:hAnsi="宋体"/>
          <w:szCs w:val="21"/>
        </w:rPr>
        <w:t>招标文件规定提交备选投标方案的除外</w:t>
      </w:r>
      <w:r>
        <w:rPr>
          <w:rFonts w:hint="eastAsia" w:ascii="宋体" w:hAnsi="宋体"/>
          <w:szCs w:val="21"/>
        </w:rPr>
        <w:t>）</w:t>
      </w:r>
      <w:r>
        <w:rPr>
          <w:rFonts w:ascii="宋体" w:hAnsi="宋体"/>
          <w:szCs w:val="21"/>
        </w:rPr>
        <w:t>；</w:t>
      </w:r>
    </w:p>
    <w:p w14:paraId="36F63093">
      <w:pPr>
        <w:spacing w:line="440" w:lineRule="exact"/>
        <w:ind w:firstLine="420" w:firstLineChars="200"/>
        <w:rPr>
          <w:rFonts w:ascii="宋体" w:hAnsi="宋体"/>
          <w:szCs w:val="21"/>
        </w:rPr>
      </w:pPr>
      <w:r>
        <w:rPr>
          <w:rFonts w:hint="eastAsia" w:ascii="宋体" w:hAnsi="宋体"/>
          <w:szCs w:val="21"/>
        </w:rPr>
        <w:t>2.16  投标文件只对</w:t>
      </w:r>
      <w:r>
        <w:rPr>
          <w:rFonts w:ascii="宋体" w:hAnsi="宋体"/>
          <w:szCs w:val="21"/>
        </w:rPr>
        <w:t>同一</w:t>
      </w:r>
      <w:r>
        <w:rPr>
          <w:rFonts w:hint="eastAsia" w:ascii="宋体" w:hAnsi="宋体"/>
          <w:szCs w:val="21"/>
        </w:rPr>
        <w:t>项目</w:t>
      </w:r>
      <w:r>
        <w:rPr>
          <w:rFonts w:ascii="宋体" w:hAnsi="宋体"/>
          <w:szCs w:val="21"/>
        </w:rPr>
        <w:t>包中的</w:t>
      </w:r>
      <w:r>
        <w:rPr>
          <w:rFonts w:hint="eastAsia" w:ascii="宋体" w:hAnsi="宋体"/>
          <w:szCs w:val="21"/>
        </w:rPr>
        <w:t>部分</w:t>
      </w:r>
      <w:r>
        <w:rPr>
          <w:rFonts w:ascii="宋体" w:hAnsi="宋体"/>
          <w:szCs w:val="21"/>
        </w:rPr>
        <w:t>内容</w:t>
      </w:r>
      <w:r>
        <w:rPr>
          <w:rFonts w:hint="eastAsia" w:ascii="宋体" w:hAnsi="宋体"/>
          <w:szCs w:val="21"/>
        </w:rPr>
        <w:t>投标，或把</w:t>
      </w:r>
      <w:r>
        <w:rPr>
          <w:rFonts w:ascii="宋体" w:hAnsi="宋体"/>
          <w:szCs w:val="21"/>
        </w:rPr>
        <w:t>同一</w:t>
      </w:r>
      <w:r>
        <w:rPr>
          <w:rFonts w:hint="eastAsia" w:ascii="宋体" w:hAnsi="宋体"/>
          <w:szCs w:val="21"/>
        </w:rPr>
        <w:t>项目</w:t>
      </w:r>
      <w:r>
        <w:rPr>
          <w:rFonts w:ascii="宋体" w:hAnsi="宋体"/>
          <w:szCs w:val="21"/>
        </w:rPr>
        <w:t>包中</w:t>
      </w:r>
      <w:r>
        <w:rPr>
          <w:rFonts w:hint="eastAsia" w:ascii="宋体" w:hAnsi="宋体"/>
          <w:szCs w:val="21"/>
        </w:rPr>
        <w:t>的内容拆开的投标；</w:t>
      </w:r>
    </w:p>
    <w:p w14:paraId="1EE79BA6">
      <w:pPr>
        <w:spacing w:line="440" w:lineRule="exact"/>
        <w:ind w:firstLine="420" w:firstLineChars="200"/>
        <w:rPr>
          <w:rFonts w:ascii="宋体" w:hAnsi="宋体"/>
          <w:szCs w:val="21"/>
        </w:rPr>
      </w:pPr>
      <w:r>
        <w:rPr>
          <w:rFonts w:hint="eastAsia" w:ascii="宋体" w:hAnsi="宋体"/>
          <w:szCs w:val="21"/>
        </w:rPr>
        <w:t>2.17  评标委员会根据招标文件的规定对投标文件的计算错误进行修正，投标人不接受修正后的投标报价的；</w:t>
      </w:r>
    </w:p>
    <w:p w14:paraId="0A0524F6">
      <w:pPr>
        <w:spacing w:line="440" w:lineRule="exact"/>
        <w:ind w:firstLine="420" w:firstLineChars="200"/>
        <w:rPr>
          <w:rFonts w:ascii="宋体" w:hAnsi="宋体"/>
          <w:szCs w:val="21"/>
        </w:rPr>
      </w:pPr>
      <w:r>
        <w:rPr>
          <w:rFonts w:hint="eastAsia" w:ascii="宋体" w:hAnsi="宋体"/>
          <w:szCs w:val="21"/>
        </w:rPr>
        <w:t>2.18  投标文件符合法律、法规及</w:t>
      </w:r>
      <w:r>
        <w:rPr>
          <w:rFonts w:hint="eastAsia" w:ascii="宋体" w:hAnsi="宋体"/>
        </w:rPr>
        <w:t>招标文件中规定的其他否决因素的。</w:t>
      </w:r>
    </w:p>
    <w:p w14:paraId="584F1A75">
      <w:pPr>
        <w:spacing w:line="440" w:lineRule="exact"/>
        <w:jc w:val="center"/>
        <w:rPr>
          <w:rFonts w:ascii="黑体" w:hAnsi="宋体" w:eastAsia="黑体"/>
          <w:bCs/>
          <w:color w:val="000000"/>
          <w:sz w:val="24"/>
          <w:szCs w:val="24"/>
        </w:rPr>
      </w:pPr>
    </w:p>
    <w:p w14:paraId="437672B2">
      <w:pPr>
        <w:jc w:val="center"/>
        <w:outlineLvl w:val="1"/>
        <w:rPr>
          <w:rFonts w:ascii="微软雅黑" w:hAnsi="微软雅黑" w:eastAsia="微软雅黑" w:cs="微软雅黑"/>
          <w:b/>
          <w:color w:val="000000"/>
          <w:sz w:val="24"/>
          <w:szCs w:val="24"/>
        </w:rPr>
      </w:pPr>
      <w:bookmarkStart w:id="9" w:name="_Toc921"/>
      <w:r>
        <w:rPr>
          <w:rFonts w:hint="eastAsia" w:ascii="微软雅黑" w:hAnsi="微软雅黑" w:eastAsia="微软雅黑" w:cs="微软雅黑"/>
          <w:b/>
          <w:color w:val="000000"/>
          <w:sz w:val="24"/>
          <w:szCs w:val="24"/>
        </w:rPr>
        <w:t>第六节  评标方法及程序</w:t>
      </w:r>
      <w:bookmarkEnd w:id="9"/>
    </w:p>
    <w:p w14:paraId="724C1E24">
      <w:pPr>
        <w:spacing w:line="360" w:lineRule="exact"/>
        <w:ind w:firstLine="422" w:firstLineChars="200"/>
        <w:rPr>
          <w:rFonts w:ascii="宋体" w:hAnsi="宋体"/>
          <w:b/>
          <w:bCs/>
          <w:szCs w:val="21"/>
        </w:rPr>
      </w:pPr>
      <w:r>
        <w:rPr>
          <w:rFonts w:hint="eastAsia" w:ascii="宋体" w:hAnsi="宋体"/>
          <w:b/>
          <w:bCs/>
          <w:szCs w:val="21"/>
        </w:rPr>
        <w:t>一、本项目评标及定标方法</w:t>
      </w:r>
    </w:p>
    <w:tbl>
      <w:tblPr>
        <w:tblStyle w:val="8"/>
        <w:tblW w:w="92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5"/>
        <w:gridCol w:w="1770"/>
        <w:gridCol w:w="6660"/>
      </w:tblGrid>
      <w:tr w14:paraId="6E793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785" w:type="dxa"/>
            <w:vAlign w:val="center"/>
          </w:tcPr>
          <w:p w14:paraId="08A7BAB1">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序号</w:t>
            </w:r>
          </w:p>
        </w:tc>
        <w:tc>
          <w:tcPr>
            <w:tcW w:w="1770" w:type="dxa"/>
            <w:vAlign w:val="center"/>
          </w:tcPr>
          <w:p w14:paraId="7A91F9FE">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项目</w:t>
            </w:r>
          </w:p>
        </w:tc>
        <w:tc>
          <w:tcPr>
            <w:tcW w:w="6660" w:type="dxa"/>
            <w:vAlign w:val="center"/>
          </w:tcPr>
          <w:p w14:paraId="458EECE4">
            <w:pPr>
              <w:spacing w:line="440" w:lineRule="exact"/>
              <w:jc w:val="center"/>
              <w:rPr>
                <w:rFonts w:ascii="宋体" w:hAnsi="宋体" w:eastAsiaTheme="minorEastAsia" w:cstheme="minorBidi"/>
                <w:b/>
                <w:bCs/>
                <w:szCs w:val="21"/>
              </w:rPr>
            </w:pPr>
            <w:r>
              <w:rPr>
                <w:rFonts w:hint="eastAsia" w:ascii="宋体" w:hAnsi="宋体" w:eastAsiaTheme="minorEastAsia" w:cstheme="minorBidi"/>
                <w:b/>
                <w:bCs/>
                <w:szCs w:val="21"/>
              </w:rPr>
              <w:t>内容</w:t>
            </w:r>
          </w:p>
        </w:tc>
      </w:tr>
      <w:tr w14:paraId="5B6219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14:paraId="14073CAE">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1</w:t>
            </w:r>
          </w:p>
        </w:tc>
        <w:tc>
          <w:tcPr>
            <w:tcW w:w="1770" w:type="dxa"/>
            <w:vAlign w:val="center"/>
          </w:tcPr>
          <w:p w14:paraId="7D2B241B">
            <w:pPr>
              <w:spacing w:line="440" w:lineRule="exact"/>
              <w:rPr>
                <w:rFonts w:ascii="宋体" w:hAnsi="宋体" w:eastAsiaTheme="minorEastAsia" w:cstheme="minorBidi"/>
                <w:bCs/>
                <w:szCs w:val="21"/>
              </w:rPr>
            </w:pPr>
            <w:r>
              <w:rPr>
                <w:rFonts w:hint="eastAsia" w:ascii="宋体" w:hAnsi="宋体" w:eastAsiaTheme="minorEastAsia" w:cstheme="minorBidi"/>
                <w:bCs/>
                <w:szCs w:val="21"/>
              </w:rPr>
              <w:t>定标方式</w:t>
            </w:r>
          </w:p>
        </w:tc>
        <w:tc>
          <w:tcPr>
            <w:tcW w:w="6660" w:type="dxa"/>
            <w:vAlign w:val="center"/>
          </w:tcPr>
          <w:p w14:paraId="5E37FF4B">
            <w:pPr>
              <w:spacing w:line="440" w:lineRule="exact"/>
              <w:rPr>
                <w:rFonts w:ascii="宋体" w:hAnsi="宋体" w:eastAsiaTheme="minorEastAsia" w:cstheme="minorBidi"/>
                <w:b/>
                <w:bCs/>
                <w:szCs w:val="21"/>
              </w:rPr>
            </w:pPr>
            <w:r>
              <w:rPr>
                <w:rFonts w:hint="eastAsia" w:ascii="MS Mincho" w:hAnsi="MS Mincho" w:cs="MS Mincho" w:eastAsiaTheme="minorEastAsia"/>
                <w:snapToGrid w:val="0"/>
                <w:kern w:val="0"/>
                <w:szCs w:val="21"/>
              </w:rPr>
              <w:t xml:space="preserve">■ </w:t>
            </w:r>
            <w:r>
              <w:rPr>
                <w:rFonts w:hint="eastAsia" w:ascii="宋体" w:hAnsi="宋体" w:eastAsiaTheme="minorEastAsia" w:cstheme="minorBidi"/>
                <w:szCs w:val="21"/>
              </w:rPr>
              <w:t xml:space="preserve">授权评标委员会确定中标单位   </w:t>
            </w:r>
            <w:r>
              <w:rPr>
                <w:rFonts w:hint="eastAsia" w:ascii="宋体" w:hAnsi="宋体" w:eastAsiaTheme="minorEastAsia" w:cstheme="minorBidi"/>
                <w:snapToGrid w:val="0"/>
                <w:kern w:val="0"/>
                <w:szCs w:val="21"/>
              </w:rPr>
              <w:t xml:space="preserve">□ </w:t>
            </w:r>
            <w:r>
              <w:rPr>
                <w:rFonts w:hint="eastAsia" w:asciiTheme="minorHAnsi" w:hAnsiTheme="minorHAnsi" w:eastAsiaTheme="minorEastAsia" w:cstheme="minorBidi"/>
                <w:szCs w:val="22"/>
              </w:rPr>
              <w:t>评标和定标分离</w:t>
            </w:r>
          </w:p>
        </w:tc>
      </w:tr>
      <w:tr w14:paraId="5C4859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14:paraId="0784A11B">
            <w:pPr>
              <w:spacing w:line="440" w:lineRule="exact"/>
              <w:jc w:val="center"/>
              <w:rPr>
                <w:rFonts w:ascii="宋体" w:hAnsi="宋体" w:eastAsiaTheme="minorEastAsia" w:cstheme="minorBidi"/>
                <w:bCs/>
                <w:szCs w:val="21"/>
              </w:rPr>
            </w:pPr>
            <w:r>
              <w:rPr>
                <w:rFonts w:hint="eastAsia" w:ascii="宋体" w:hAnsi="宋体" w:eastAsiaTheme="minorEastAsia" w:cstheme="minorBidi"/>
                <w:bCs/>
                <w:szCs w:val="21"/>
              </w:rPr>
              <w:t>2</w:t>
            </w:r>
          </w:p>
        </w:tc>
        <w:tc>
          <w:tcPr>
            <w:tcW w:w="1770" w:type="dxa"/>
            <w:vAlign w:val="center"/>
          </w:tcPr>
          <w:p w14:paraId="3FA116C7">
            <w:pPr>
              <w:spacing w:line="440" w:lineRule="exact"/>
              <w:rPr>
                <w:rFonts w:ascii="宋体" w:hAnsi="宋体" w:eastAsiaTheme="minorEastAsia" w:cstheme="minorBidi"/>
                <w:bCs/>
                <w:szCs w:val="21"/>
              </w:rPr>
            </w:pPr>
            <w:r>
              <w:rPr>
                <w:rFonts w:hint="eastAsia" w:ascii="宋体" w:hAnsi="宋体" w:eastAsiaTheme="minorEastAsia" w:cstheme="minorBidi"/>
                <w:bCs/>
                <w:szCs w:val="21"/>
              </w:rPr>
              <w:t>评标方法</w:t>
            </w:r>
          </w:p>
        </w:tc>
        <w:tc>
          <w:tcPr>
            <w:tcW w:w="6660" w:type="dxa"/>
            <w:vAlign w:val="center"/>
          </w:tcPr>
          <w:p w14:paraId="7AF4F9FC">
            <w:pPr>
              <w:spacing w:line="440" w:lineRule="exact"/>
              <w:rPr>
                <w:rFonts w:ascii="宋体" w:hAnsi="宋体" w:eastAsiaTheme="minorEastAsia" w:cstheme="minorBidi"/>
                <w:b/>
                <w:bCs/>
                <w:szCs w:val="21"/>
              </w:rPr>
            </w:pPr>
            <w:r>
              <w:rPr>
                <w:rFonts w:hint="eastAsia" w:ascii="MS Mincho" w:hAnsi="MS Mincho" w:cs="MS Mincho" w:eastAsiaTheme="minorEastAsia"/>
                <w:snapToGrid w:val="0"/>
                <w:kern w:val="0"/>
                <w:szCs w:val="21"/>
              </w:rPr>
              <w:t xml:space="preserve">■ </w:t>
            </w:r>
            <w:r>
              <w:rPr>
                <w:rFonts w:hint="eastAsia" w:ascii="宋体" w:hAnsi="宋体" w:eastAsiaTheme="minorEastAsia" w:cstheme="minorBidi"/>
                <w:szCs w:val="21"/>
              </w:rPr>
              <w:t xml:space="preserve">综合评分法    </w:t>
            </w:r>
            <w:r>
              <w:rPr>
                <w:rFonts w:ascii="宋体" w:hAnsi="宋体" w:eastAsiaTheme="minorEastAsia" w:cstheme="minorBidi"/>
                <w:szCs w:val="21"/>
              </w:rPr>
              <w:t xml:space="preserve">               </w:t>
            </w:r>
            <w:r>
              <w:rPr>
                <w:rFonts w:hint="eastAsia" w:ascii="宋体" w:hAnsi="宋体" w:eastAsiaTheme="minorEastAsia" w:cstheme="minorBidi"/>
                <w:snapToGrid w:val="0"/>
                <w:kern w:val="0"/>
                <w:szCs w:val="21"/>
              </w:rPr>
              <w:t xml:space="preserve">□ </w:t>
            </w:r>
            <w:r>
              <w:rPr>
                <w:rFonts w:hint="eastAsia" w:ascii="Calibri" w:hAnsi="Calibri" w:eastAsiaTheme="minorEastAsia" w:cstheme="minorBidi"/>
                <w:szCs w:val="21"/>
              </w:rPr>
              <w:t>最低价法</w:t>
            </w:r>
          </w:p>
        </w:tc>
      </w:tr>
      <w:tr w14:paraId="73835B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85" w:type="dxa"/>
            <w:vAlign w:val="center"/>
          </w:tcPr>
          <w:p w14:paraId="05EF95DC">
            <w:pPr>
              <w:spacing w:line="440" w:lineRule="exact"/>
              <w:jc w:val="center"/>
              <w:rPr>
                <w:rFonts w:ascii="宋体" w:hAnsi="宋体" w:eastAsiaTheme="minorEastAsia" w:cstheme="minorBidi"/>
                <w:bCs/>
                <w:szCs w:val="21"/>
              </w:rPr>
            </w:pPr>
            <w:r>
              <w:rPr>
                <w:rFonts w:ascii="宋体" w:hAnsi="宋体" w:eastAsiaTheme="minorEastAsia" w:cstheme="minorBidi"/>
                <w:bCs/>
                <w:szCs w:val="21"/>
              </w:rPr>
              <w:t>3</w:t>
            </w:r>
          </w:p>
        </w:tc>
        <w:tc>
          <w:tcPr>
            <w:tcW w:w="1770" w:type="dxa"/>
            <w:vAlign w:val="center"/>
          </w:tcPr>
          <w:p w14:paraId="485037EA">
            <w:pPr>
              <w:spacing w:line="440" w:lineRule="exact"/>
              <w:rPr>
                <w:rFonts w:hint="eastAsia" w:ascii="宋体" w:hAnsi="宋体" w:eastAsia="宋体" w:cstheme="minorBidi"/>
                <w:bCs/>
                <w:szCs w:val="21"/>
                <w:lang w:eastAsia="zh-CN"/>
              </w:rPr>
            </w:pPr>
            <w:r>
              <w:rPr>
                <w:rFonts w:hint="eastAsia" w:ascii="宋体" w:hAnsi="宋体" w:eastAsiaTheme="minorEastAsia" w:cstheme="minorBidi"/>
                <w:bCs/>
                <w:szCs w:val="21"/>
              </w:rPr>
              <w:t>价格评审优惠政策</w:t>
            </w:r>
            <w:r>
              <w:rPr>
                <w:rFonts w:hint="eastAsia"/>
                <w:szCs w:val="22"/>
                <w:lang w:eastAsia="zh-CN"/>
              </w:rPr>
              <w:t>（</w:t>
            </w:r>
            <w:r>
              <w:rPr>
                <w:rFonts w:hint="eastAsia"/>
                <w:szCs w:val="22"/>
                <w:lang w:val="en-US" w:eastAsia="zh-CN"/>
              </w:rPr>
              <w:t>本项目不适用</w:t>
            </w:r>
            <w:r>
              <w:rPr>
                <w:rFonts w:hint="eastAsia"/>
                <w:szCs w:val="22"/>
                <w:lang w:eastAsia="zh-CN"/>
              </w:rPr>
              <w:t>）</w:t>
            </w:r>
          </w:p>
        </w:tc>
        <w:tc>
          <w:tcPr>
            <w:tcW w:w="6660" w:type="dxa"/>
            <w:vAlign w:val="center"/>
          </w:tcPr>
          <w:p w14:paraId="040D58B5">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1、小型企业、微型企业、监狱企业、残疾人福利性单位承接服务，对其价格给予</w:t>
            </w:r>
            <w:r>
              <w:rPr>
                <w:rFonts w:hint="eastAsia" w:asciiTheme="majorEastAsia" w:hAnsiTheme="majorEastAsia" w:eastAsiaTheme="majorEastAsia" w:cstheme="majorEastAsia"/>
                <w:szCs w:val="22"/>
                <w:highlight w:val="yellow"/>
                <w:u w:val="single"/>
                <w:lang w:eastAsia="zh-CN"/>
              </w:rPr>
              <w:t xml:space="preserve"> </w:t>
            </w:r>
            <w:r>
              <w:rPr>
                <w:rFonts w:hint="eastAsia" w:asciiTheme="majorEastAsia" w:hAnsiTheme="majorEastAsia" w:eastAsiaTheme="majorEastAsia" w:cstheme="majorEastAsia"/>
                <w:szCs w:val="22"/>
                <w:highlight w:val="yellow"/>
                <w:u w:val="single"/>
                <w:lang w:val="en-US" w:eastAsia="zh-CN"/>
              </w:rPr>
              <w:t xml:space="preserve">  /  </w:t>
            </w:r>
            <w:r>
              <w:rPr>
                <w:rFonts w:hint="eastAsia" w:asciiTheme="majorEastAsia" w:hAnsiTheme="majorEastAsia" w:eastAsiaTheme="majorEastAsia" w:cstheme="majorEastAsia"/>
                <w:szCs w:val="22"/>
                <w:highlight w:val="yellow"/>
              </w:rPr>
              <w:t>%</w:t>
            </w:r>
            <w:r>
              <w:rPr>
                <w:rFonts w:hint="eastAsia" w:asciiTheme="majorEastAsia" w:hAnsiTheme="majorEastAsia" w:eastAsiaTheme="majorEastAsia" w:cstheme="majorEastAsia"/>
                <w:szCs w:val="22"/>
                <w:highlight w:val="yellow"/>
                <w:lang w:eastAsia="zh-CN"/>
              </w:rPr>
              <w:t>（</w:t>
            </w:r>
            <w:r>
              <w:rPr>
                <w:rFonts w:hint="eastAsia" w:asciiTheme="majorEastAsia" w:hAnsiTheme="majorEastAsia" w:eastAsiaTheme="majorEastAsia" w:cstheme="majorEastAsia"/>
                <w:szCs w:val="22"/>
                <w:highlight w:val="yellow"/>
                <w:lang w:val="en-US" w:eastAsia="zh-CN"/>
              </w:rPr>
              <w:t>10%-20%</w:t>
            </w:r>
            <w:r>
              <w:rPr>
                <w:rFonts w:hint="eastAsia" w:asciiTheme="majorEastAsia" w:hAnsiTheme="majorEastAsia" w:eastAsiaTheme="majorEastAsia" w:cstheme="majorEastAsia"/>
                <w:szCs w:val="22"/>
                <w:highlight w:val="yellow"/>
                <w:lang w:eastAsia="zh-CN"/>
              </w:rPr>
              <w:t>）</w:t>
            </w:r>
            <w:r>
              <w:rPr>
                <w:rFonts w:hint="eastAsia" w:asciiTheme="majorEastAsia" w:hAnsiTheme="majorEastAsia" w:eastAsiaTheme="majorEastAsia" w:cstheme="majorEastAsia"/>
                <w:szCs w:val="22"/>
              </w:rPr>
              <w:t>的扣除，用扣除后的价格参与评审。满足多项优惠政策的企业，不重复享受多项价格扣除政策。</w:t>
            </w:r>
          </w:p>
          <w:p w14:paraId="56DD75F7">
            <w:pPr>
              <w:spacing w:line="44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szCs w:val="22"/>
                <w:highlight w:val="yellow"/>
                <w:lang w:val="en-US" w:eastAsia="zh-CN"/>
              </w:rPr>
              <w:t>/</w:t>
            </w:r>
            <w:r>
              <w:rPr>
                <w:rFonts w:hint="eastAsia" w:asciiTheme="majorEastAsia" w:hAnsiTheme="majorEastAsia" w:eastAsiaTheme="majorEastAsia" w:cstheme="majorEastAsia"/>
                <w:szCs w:val="22"/>
                <w:highlight w:val="yellow"/>
              </w:rPr>
              <w:t>%</w:t>
            </w:r>
            <w:r>
              <w:rPr>
                <w:rFonts w:hint="eastAsia" w:asciiTheme="majorEastAsia" w:hAnsiTheme="majorEastAsia" w:eastAsiaTheme="majorEastAsia" w:cstheme="majorEastAsia"/>
                <w:szCs w:val="22"/>
              </w:rPr>
              <w:t>扣除，用扣除后的价格参加评审。联合体各方均为小微企业的，价格扣除比例为</w:t>
            </w:r>
            <w:r>
              <w:rPr>
                <w:rFonts w:hint="eastAsia" w:asciiTheme="majorEastAsia" w:hAnsiTheme="majorEastAsia" w:eastAsiaTheme="majorEastAsia" w:cstheme="majorEastAsia"/>
                <w:szCs w:val="22"/>
                <w:highlight w:val="yellow"/>
                <w:lang w:val="en-US" w:eastAsia="zh-CN"/>
              </w:rPr>
              <w:t>/</w:t>
            </w:r>
            <w:r>
              <w:rPr>
                <w:rFonts w:hint="eastAsia" w:asciiTheme="majorEastAsia" w:hAnsiTheme="majorEastAsia" w:eastAsiaTheme="majorEastAsia" w:cstheme="majorEastAsia"/>
                <w:szCs w:val="22"/>
                <w:highlight w:val="yellow"/>
              </w:rPr>
              <w:t>%</w:t>
            </w:r>
            <w:r>
              <w:rPr>
                <w:rFonts w:hint="eastAsia" w:asciiTheme="majorEastAsia" w:hAnsiTheme="majorEastAsia" w:eastAsiaTheme="majorEastAsia" w:cstheme="majorEastAsia"/>
                <w:szCs w:val="22"/>
              </w:rPr>
              <w:t>。</w:t>
            </w:r>
            <w:r>
              <w:rPr>
                <w:rFonts w:hint="eastAsia" w:asciiTheme="majorEastAsia" w:hAnsiTheme="majorEastAsia" w:eastAsiaTheme="majorEastAsia" w:cstheme="majorEastAsia"/>
                <w:b/>
                <w:szCs w:val="22"/>
              </w:rPr>
              <w:t>（不接受联合体投标的项目，本条不适用）</w:t>
            </w:r>
            <w:r>
              <w:rPr>
                <w:rFonts w:hint="eastAsia" w:asciiTheme="majorEastAsia" w:hAnsiTheme="majorEastAsia" w:eastAsiaTheme="majorEastAsia" w:cstheme="majorEastAsia"/>
                <w:szCs w:val="22"/>
              </w:rPr>
              <w:t>。</w:t>
            </w:r>
          </w:p>
          <w:p w14:paraId="3A542D33">
            <w:pPr>
              <w:spacing w:line="440" w:lineRule="exact"/>
              <w:rPr>
                <w:rFonts w:ascii="宋体" w:hAnsi="宋体" w:eastAsiaTheme="minorEastAsia" w:cstheme="minorBidi"/>
                <w:b/>
                <w:bCs/>
                <w:szCs w:val="21"/>
              </w:rPr>
            </w:pPr>
            <w:r>
              <w:rPr>
                <w:rFonts w:hint="eastAsia" w:asciiTheme="majorEastAsia" w:hAnsiTheme="majorEastAsia" w:eastAsiaTheme="majorEastAsia" w:cstheme="majorEastAsia"/>
                <w:szCs w:val="22"/>
              </w:rPr>
              <w:t>3、优惠主体资格的认定资料为《中小企业声明函》《残疾人福利性单位声明函》《监狱企业声明函》等承诺性质的资料（声明函样式见“第五章 投标文件格式”）；监狱企业如需享受优惠政策，除上述资料外，还须提供省级以上监狱管理局、戒毒管理局出具的监狱企业证明文件。</w:t>
            </w:r>
          </w:p>
        </w:tc>
      </w:tr>
    </w:tbl>
    <w:p w14:paraId="1B3D6228">
      <w:pPr>
        <w:spacing w:line="440" w:lineRule="exact"/>
        <w:ind w:firstLine="422" w:firstLineChars="200"/>
        <w:rPr>
          <w:rFonts w:ascii="宋体" w:hAnsi="宋体"/>
          <w:b/>
          <w:bCs/>
          <w:szCs w:val="21"/>
        </w:rPr>
      </w:pPr>
      <w:r>
        <w:rPr>
          <w:rFonts w:hint="eastAsia" w:ascii="宋体" w:hAnsi="宋体"/>
          <w:b/>
          <w:bCs/>
          <w:szCs w:val="21"/>
        </w:rPr>
        <w:t>备注：</w:t>
      </w:r>
      <w:r>
        <w:rPr>
          <w:rFonts w:hint="eastAsia" w:ascii="宋体" w:hAnsi="宋体"/>
          <w:snapToGrid w:val="0"/>
          <w:kern w:val="0"/>
          <w:szCs w:val="21"/>
        </w:rPr>
        <w:t>用“</w:t>
      </w:r>
      <w:r>
        <w:rPr>
          <w:rFonts w:hint="eastAsia" w:ascii="MS Mincho" w:hAnsi="MS Mincho" w:cs="MS Mincho" w:eastAsiaTheme="minorEastAsia"/>
          <w:snapToGrid w:val="0"/>
          <w:kern w:val="0"/>
          <w:szCs w:val="21"/>
        </w:rPr>
        <w:t>■</w:t>
      </w:r>
      <w:r>
        <w:rPr>
          <w:rFonts w:hint="eastAsia" w:ascii="宋体" w:hAnsi="宋体"/>
          <w:snapToGrid w:val="0"/>
          <w:kern w:val="0"/>
          <w:szCs w:val="21"/>
        </w:rPr>
        <w:t>”标识时表明该选项被采购人选用，用“□”标识时表明该选项未被采购人选用。</w:t>
      </w:r>
    </w:p>
    <w:p w14:paraId="75CF5CEA">
      <w:pPr>
        <w:spacing w:line="440" w:lineRule="exact"/>
        <w:ind w:firstLine="422" w:firstLineChars="200"/>
        <w:rPr>
          <w:rFonts w:ascii="宋体" w:hAnsi="宋体"/>
          <w:b/>
          <w:bCs/>
          <w:szCs w:val="21"/>
        </w:rPr>
      </w:pPr>
      <w:r>
        <w:rPr>
          <w:rFonts w:hint="eastAsia" w:ascii="宋体" w:hAnsi="宋体"/>
          <w:b/>
          <w:bCs/>
          <w:szCs w:val="21"/>
        </w:rPr>
        <w:t>二、本项目评标信息</w:t>
      </w:r>
    </w:p>
    <w:p w14:paraId="60F9A391">
      <w:pPr>
        <w:spacing w:line="440" w:lineRule="exact"/>
        <w:ind w:firstLine="422" w:firstLineChars="200"/>
        <w:rPr>
          <w:rFonts w:ascii="宋体" w:hAnsi="宋体"/>
          <w:b/>
          <w:bCs/>
          <w:szCs w:val="21"/>
        </w:rPr>
      </w:pPr>
      <w:r>
        <w:rPr>
          <w:rFonts w:hint="eastAsia" w:ascii="宋体" w:hAnsi="宋体"/>
          <w:b/>
          <w:bCs/>
          <w:szCs w:val="21"/>
        </w:rPr>
        <w:t>1、</w:t>
      </w:r>
      <w:r>
        <w:rPr>
          <w:rFonts w:ascii="宋体" w:hAnsi="宋体"/>
          <w:b/>
          <w:bCs/>
          <w:szCs w:val="21"/>
        </w:rPr>
        <w:t>符合性检查表</w:t>
      </w:r>
    </w:p>
    <w:tbl>
      <w:tblPr>
        <w:tblStyle w:val="7"/>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6706"/>
        <w:gridCol w:w="1497"/>
      </w:tblGrid>
      <w:tr w14:paraId="1E3B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12" w:type="dxa"/>
            <w:vAlign w:val="center"/>
          </w:tcPr>
          <w:p w14:paraId="31E9F8B8">
            <w:pPr>
              <w:spacing w:line="440" w:lineRule="exact"/>
              <w:jc w:val="center"/>
              <w:rPr>
                <w:rFonts w:ascii="宋体" w:hAnsi="宋体"/>
                <w:b/>
              </w:rPr>
            </w:pPr>
            <w:r>
              <w:rPr>
                <w:rFonts w:ascii="宋体" w:hAnsi="宋体"/>
                <w:b/>
              </w:rPr>
              <w:t>序号</w:t>
            </w:r>
          </w:p>
        </w:tc>
        <w:tc>
          <w:tcPr>
            <w:tcW w:w="6706" w:type="dxa"/>
            <w:vAlign w:val="center"/>
          </w:tcPr>
          <w:p w14:paraId="3B1DE7E3">
            <w:pPr>
              <w:spacing w:line="440" w:lineRule="exact"/>
              <w:ind w:left="-828" w:firstLine="828"/>
              <w:jc w:val="center"/>
              <w:rPr>
                <w:rFonts w:ascii="宋体" w:hAnsi="宋体"/>
                <w:b/>
                <w:sz w:val="24"/>
              </w:rPr>
            </w:pPr>
            <w:r>
              <w:rPr>
                <w:rFonts w:ascii="宋体" w:hAnsi="宋体"/>
                <w:b/>
              </w:rPr>
              <w:t>评议内容</w:t>
            </w:r>
          </w:p>
        </w:tc>
        <w:tc>
          <w:tcPr>
            <w:tcW w:w="1497" w:type="dxa"/>
            <w:vAlign w:val="center"/>
          </w:tcPr>
          <w:p w14:paraId="3CC33029">
            <w:pPr>
              <w:spacing w:line="440" w:lineRule="exact"/>
              <w:ind w:left="44" w:hanging="44"/>
              <w:jc w:val="center"/>
              <w:rPr>
                <w:rFonts w:ascii="宋体" w:hAnsi="宋体"/>
                <w:b/>
                <w:sz w:val="24"/>
              </w:rPr>
            </w:pPr>
            <w:r>
              <w:rPr>
                <w:rFonts w:ascii="宋体" w:hAnsi="宋体"/>
                <w:b/>
              </w:rPr>
              <w:t>评议结果</w:t>
            </w:r>
          </w:p>
        </w:tc>
      </w:tr>
      <w:tr w14:paraId="4AC7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46119A32">
            <w:pPr>
              <w:spacing w:line="440" w:lineRule="exact"/>
              <w:ind w:left="57"/>
              <w:jc w:val="center"/>
              <w:rPr>
                <w:rFonts w:ascii="宋体" w:hAnsi="宋体"/>
              </w:rPr>
            </w:pPr>
            <w:r>
              <w:rPr>
                <w:rFonts w:hint="eastAsia" w:ascii="宋体" w:hAnsi="宋体"/>
              </w:rPr>
              <w:t>1</w:t>
            </w:r>
          </w:p>
        </w:tc>
        <w:tc>
          <w:tcPr>
            <w:tcW w:w="6706" w:type="dxa"/>
            <w:vAlign w:val="center"/>
          </w:tcPr>
          <w:p w14:paraId="0EAC7AAB">
            <w:pPr>
              <w:spacing w:line="440" w:lineRule="exact"/>
              <w:rPr>
                <w:rFonts w:ascii="宋体" w:hAnsi="宋体"/>
                <w:sz w:val="24"/>
              </w:rPr>
            </w:pPr>
            <w:r>
              <w:rPr>
                <w:rFonts w:hint="eastAsia" w:hAnsi="宋体"/>
                <w:szCs w:val="21"/>
              </w:rPr>
              <w:t>按照招标文件的格式详细填写“投标函”</w:t>
            </w:r>
          </w:p>
        </w:tc>
        <w:tc>
          <w:tcPr>
            <w:tcW w:w="1497" w:type="dxa"/>
            <w:vAlign w:val="center"/>
          </w:tcPr>
          <w:p w14:paraId="088F8D12">
            <w:pPr>
              <w:spacing w:line="440" w:lineRule="exact"/>
              <w:jc w:val="center"/>
              <w:rPr>
                <w:rFonts w:ascii="宋体" w:hAnsi="宋体"/>
                <w:szCs w:val="21"/>
              </w:rPr>
            </w:pPr>
            <w:r>
              <w:rPr>
                <w:rFonts w:ascii="宋体" w:hAnsi="宋体"/>
                <w:szCs w:val="21"/>
              </w:rPr>
              <w:t>合格/不合格</w:t>
            </w:r>
          </w:p>
        </w:tc>
      </w:tr>
      <w:tr w14:paraId="11C9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4ED43778">
            <w:pPr>
              <w:spacing w:line="440" w:lineRule="exact"/>
              <w:ind w:left="57"/>
              <w:jc w:val="center"/>
              <w:rPr>
                <w:rFonts w:ascii="宋体" w:hAnsi="宋体"/>
              </w:rPr>
            </w:pPr>
            <w:r>
              <w:rPr>
                <w:rFonts w:hint="eastAsia" w:ascii="宋体" w:hAnsi="宋体"/>
              </w:rPr>
              <w:t>2</w:t>
            </w:r>
          </w:p>
        </w:tc>
        <w:tc>
          <w:tcPr>
            <w:tcW w:w="6706" w:type="dxa"/>
            <w:vAlign w:val="center"/>
          </w:tcPr>
          <w:p w14:paraId="56B4C572">
            <w:pPr>
              <w:spacing w:line="440" w:lineRule="exact"/>
              <w:rPr>
                <w:rFonts w:ascii="宋体" w:hAnsi="宋体"/>
              </w:rPr>
            </w:pPr>
            <w:r>
              <w:rPr>
                <w:rFonts w:hint="eastAsia" w:hAnsi="宋体"/>
                <w:szCs w:val="21"/>
              </w:rPr>
              <w:t>按照招标文件的格式详细填写“</w:t>
            </w:r>
            <w:r>
              <w:rPr>
                <w:rFonts w:hint="eastAsia" w:ascii="宋体" w:hAnsi="宋体"/>
              </w:rPr>
              <w:t>政府采购投标及履约承诺函</w:t>
            </w:r>
            <w:r>
              <w:rPr>
                <w:rFonts w:hint="eastAsia" w:hAnsi="宋体"/>
                <w:szCs w:val="21"/>
              </w:rPr>
              <w:t>”</w:t>
            </w:r>
          </w:p>
        </w:tc>
        <w:tc>
          <w:tcPr>
            <w:tcW w:w="1497" w:type="dxa"/>
            <w:vAlign w:val="center"/>
          </w:tcPr>
          <w:p w14:paraId="267705B7">
            <w:pPr>
              <w:spacing w:line="440" w:lineRule="exact"/>
              <w:jc w:val="center"/>
              <w:rPr>
                <w:rFonts w:ascii="宋体" w:hAnsi="宋体"/>
                <w:szCs w:val="21"/>
              </w:rPr>
            </w:pPr>
            <w:r>
              <w:rPr>
                <w:rFonts w:ascii="宋体" w:hAnsi="宋体"/>
                <w:szCs w:val="21"/>
              </w:rPr>
              <w:t>合格/不合格</w:t>
            </w:r>
          </w:p>
        </w:tc>
      </w:tr>
      <w:tr w14:paraId="61F4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72BFCC1C">
            <w:pPr>
              <w:spacing w:line="440" w:lineRule="exact"/>
              <w:ind w:left="57"/>
              <w:jc w:val="center"/>
              <w:rPr>
                <w:rFonts w:ascii="宋体" w:hAnsi="宋体"/>
              </w:rPr>
            </w:pPr>
            <w:r>
              <w:rPr>
                <w:rFonts w:hint="eastAsia" w:ascii="宋体" w:hAnsi="宋体"/>
              </w:rPr>
              <w:t>3</w:t>
            </w:r>
          </w:p>
        </w:tc>
        <w:tc>
          <w:tcPr>
            <w:tcW w:w="6706" w:type="dxa"/>
            <w:vAlign w:val="center"/>
          </w:tcPr>
          <w:p w14:paraId="30B66303">
            <w:pPr>
              <w:spacing w:line="440" w:lineRule="exact"/>
              <w:rPr>
                <w:rFonts w:ascii="宋体" w:hAnsi="宋体"/>
              </w:rPr>
            </w:pPr>
            <w:r>
              <w:rPr>
                <w:rFonts w:hint="eastAsia" w:ascii="宋体" w:hAnsi="宋体"/>
              </w:rPr>
              <w:t>开标一览表未出现无报价、报价为零或有选择性报价</w:t>
            </w:r>
          </w:p>
        </w:tc>
        <w:tc>
          <w:tcPr>
            <w:tcW w:w="1497" w:type="dxa"/>
            <w:vAlign w:val="center"/>
          </w:tcPr>
          <w:p w14:paraId="3307D546">
            <w:pPr>
              <w:spacing w:line="440" w:lineRule="exact"/>
              <w:jc w:val="center"/>
              <w:rPr>
                <w:rFonts w:ascii="宋体" w:hAnsi="宋体"/>
                <w:szCs w:val="21"/>
              </w:rPr>
            </w:pPr>
            <w:r>
              <w:rPr>
                <w:rFonts w:ascii="宋体" w:hAnsi="宋体"/>
                <w:szCs w:val="21"/>
              </w:rPr>
              <w:t>合格/不合格</w:t>
            </w:r>
          </w:p>
        </w:tc>
      </w:tr>
      <w:tr w14:paraId="526B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2A0E0CE0">
            <w:pPr>
              <w:spacing w:line="440" w:lineRule="exact"/>
              <w:ind w:left="57"/>
              <w:jc w:val="center"/>
              <w:rPr>
                <w:rFonts w:ascii="宋体" w:hAnsi="宋体"/>
              </w:rPr>
            </w:pPr>
            <w:r>
              <w:rPr>
                <w:rFonts w:hint="eastAsia" w:ascii="宋体" w:hAnsi="宋体"/>
              </w:rPr>
              <w:t>4</w:t>
            </w:r>
          </w:p>
        </w:tc>
        <w:tc>
          <w:tcPr>
            <w:tcW w:w="6706" w:type="dxa"/>
            <w:vAlign w:val="center"/>
          </w:tcPr>
          <w:p w14:paraId="079F83FB">
            <w:pPr>
              <w:spacing w:line="440" w:lineRule="exact"/>
              <w:rPr>
                <w:rFonts w:ascii="宋体" w:hAnsi="宋体"/>
              </w:rPr>
            </w:pPr>
            <w:r>
              <w:rPr>
                <w:rFonts w:hint="eastAsia" w:ascii="宋体" w:hAnsi="宋体"/>
              </w:rPr>
              <w:t>投标总价</w:t>
            </w:r>
            <w:r>
              <w:rPr>
                <w:rFonts w:hint="eastAsia" w:ascii="宋体" w:hAnsi="宋体"/>
                <w:szCs w:val="21"/>
              </w:rPr>
              <w:t>或分项报价</w:t>
            </w:r>
            <w:r>
              <w:rPr>
                <w:rFonts w:hint="eastAsia" w:ascii="宋体" w:hAnsi="宋体"/>
              </w:rPr>
              <w:t>未超过预算控制金额</w:t>
            </w:r>
          </w:p>
        </w:tc>
        <w:tc>
          <w:tcPr>
            <w:tcW w:w="1497" w:type="dxa"/>
            <w:vAlign w:val="center"/>
          </w:tcPr>
          <w:p w14:paraId="6E392831">
            <w:pPr>
              <w:spacing w:line="440" w:lineRule="exact"/>
              <w:jc w:val="center"/>
              <w:rPr>
                <w:rFonts w:ascii="宋体" w:hAnsi="宋体"/>
                <w:szCs w:val="21"/>
              </w:rPr>
            </w:pPr>
            <w:r>
              <w:rPr>
                <w:rFonts w:ascii="宋体" w:hAnsi="宋体"/>
                <w:szCs w:val="21"/>
              </w:rPr>
              <w:t>合格/不合格</w:t>
            </w:r>
          </w:p>
        </w:tc>
      </w:tr>
      <w:tr w14:paraId="4B3D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4CF0AB68">
            <w:pPr>
              <w:spacing w:line="440" w:lineRule="exact"/>
              <w:ind w:left="57"/>
              <w:jc w:val="center"/>
              <w:rPr>
                <w:rFonts w:ascii="宋体" w:hAnsi="宋体"/>
              </w:rPr>
            </w:pPr>
            <w:r>
              <w:rPr>
                <w:rFonts w:hint="eastAsia" w:ascii="宋体" w:hAnsi="宋体"/>
              </w:rPr>
              <w:t>5</w:t>
            </w:r>
          </w:p>
        </w:tc>
        <w:tc>
          <w:tcPr>
            <w:tcW w:w="6706" w:type="dxa"/>
            <w:vAlign w:val="center"/>
          </w:tcPr>
          <w:p w14:paraId="1F799F32">
            <w:pPr>
              <w:spacing w:line="440" w:lineRule="exact"/>
              <w:rPr>
                <w:rFonts w:asciiTheme="minorEastAsia" w:hAnsiTheme="minorEastAsia" w:eastAsiaTheme="minorEastAsia"/>
                <w:szCs w:val="21"/>
              </w:rPr>
            </w:pPr>
            <w:r>
              <w:rPr>
                <w:rFonts w:asciiTheme="minorEastAsia" w:hAnsiTheme="minorEastAsia" w:eastAsiaTheme="minorEastAsia"/>
                <w:szCs w:val="21"/>
              </w:rPr>
              <w:t>评标委员会认为投标人的报价明显低于其他通过符合性审查投标人的报价，有可能影响产品质量或者不能诚信履约的，投标人能在</w:t>
            </w:r>
            <w:r>
              <w:rPr>
                <w:rFonts w:hint="eastAsia" w:asciiTheme="minorEastAsia" w:hAnsiTheme="minorEastAsia" w:eastAsiaTheme="minorEastAsia"/>
                <w:szCs w:val="21"/>
              </w:rPr>
              <w:t>评标现场</w:t>
            </w:r>
            <w:r>
              <w:rPr>
                <w:rFonts w:asciiTheme="minorEastAsia" w:hAnsiTheme="minorEastAsia" w:eastAsiaTheme="minorEastAsia"/>
                <w:szCs w:val="21"/>
              </w:rPr>
              <w:t>合理的时间内提供书面说明</w:t>
            </w:r>
            <w:r>
              <w:rPr>
                <w:rFonts w:hint="eastAsia" w:asciiTheme="minorEastAsia" w:hAnsiTheme="minorEastAsia" w:eastAsiaTheme="minorEastAsia"/>
                <w:szCs w:val="21"/>
              </w:rPr>
              <w:t>（必要时提交相关证明材料）</w:t>
            </w:r>
            <w:r>
              <w:rPr>
                <w:rFonts w:asciiTheme="minorEastAsia" w:hAnsiTheme="minorEastAsia" w:eastAsiaTheme="minorEastAsia"/>
                <w:szCs w:val="21"/>
              </w:rPr>
              <w:t>或提交</w:t>
            </w:r>
            <w:r>
              <w:rPr>
                <w:rFonts w:hint="eastAsia" w:asciiTheme="minorEastAsia" w:hAnsiTheme="minorEastAsia" w:eastAsiaTheme="minorEastAsia"/>
                <w:szCs w:val="21"/>
              </w:rPr>
              <w:t>的书面说明</w:t>
            </w:r>
            <w:r>
              <w:rPr>
                <w:rFonts w:asciiTheme="minorEastAsia" w:hAnsiTheme="minorEastAsia" w:eastAsiaTheme="minorEastAsia"/>
                <w:szCs w:val="21"/>
              </w:rPr>
              <w:t>能证明其报价合理性</w:t>
            </w:r>
            <w:r>
              <w:rPr>
                <w:rFonts w:hint="eastAsia" w:asciiTheme="minorEastAsia" w:hAnsiTheme="minorEastAsia" w:eastAsiaTheme="minorEastAsia"/>
                <w:szCs w:val="21"/>
              </w:rPr>
              <w:t>。（若</w:t>
            </w:r>
            <w:r>
              <w:rPr>
                <w:rFonts w:asciiTheme="minorEastAsia" w:hAnsiTheme="minorEastAsia" w:eastAsiaTheme="minorEastAsia"/>
                <w:szCs w:val="21"/>
              </w:rPr>
              <w:t>评标委员会</w:t>
            </w:r>
            <w:r>
              <w:rPr>
                <w:rFonts w:hint="eastAsia" w:asciiTheme="minorEastAsia" w:hAnsiTheme="minorEastAsia" w:eastAsiaTheme="minorEastAsia"/>
                <w:szCs w:val="21"/>
              </w:rPr>
              <w:t>成员对是否须由投标人做出报价合理性说明，以及书面说明是否采纳等判断不一致的，按照“少数服从多数”的原则确定。）</w:t>
            </w:r>
          </w:p>
        </w:tc>
        <w:tc>
          <w:tcPr>
            <w:tcW w:w="1497" w:type="dxa"/>
            <w:vAlign w:val="center"/>
          </w:tcPr>
          <w:p w14:paraId="590F2DD2">
            <w:pPr>
              <w:spacing w:line="440" w:lineRule="exact"/>
              <w:jc w:val="center"/>
              <w:rPr>
                <w:rFonts w:ascii="宋体" w:hAnsi="宋体"/>
                <w:szCs w:val="21"/>
              </w:rPr>
            </w:pPr>
            <w:r>
              <w:rPr>
                <w:rFonts w:ascii="宋体" w:hAnsi="宋体"/>
                <w:szCs w:val="21"/>
              </w:rPr>
              <w:t>合格/不合格</w:t>
            </w:r>
          </w:p>
        </w:tc>
      </w:tr>
      <w:tr w14:paraId="74BF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7C31CFB7">
            <w:pPr>
              <w:spacing w:line="440" w:lineRule="exact"/>
              <w:ind w:left="57"/>
              <w:jc w:val="center"/>
              <w:rPr>
                <w:rFonts w:ascii="宋体" w:hAnsi="宋体"/>
              </w:rPr>
            </w:pPr>
            <w:r>
              <w:rPr>
                <w:rFonts w:hint="eastAsia" w:ascii="宋体" w:hAnsi="宋体"/>
              </w:rPr>
              <w:t>6</w:t>
            </w:r>
          </w:p>
        </w:tc>
        <w:tc>
          <w:tcPr>
            <w:tcW w:w="6706" w:type="dxa"/>
            <w:vAlign w:val="center"/>
          </w:tcPr>
          <w:p w14:paraId="6FF35D11">
            <w:pPr>
              <w:spacing w:line="440" w:lineRule="exact"/>
              <w:rPr>
                <w:rFonts w:ascii="宋体" w:hAnsi="宋体"/>
              </w:rPr>
            </w:pPr>
            <w:r>
              <w:rPr>
                <w:szCs w:val="21"/>
              </w:rPr>
              <w:t>实质性满足招标文件要求</w:t>
            </w:r>
            <w:r>
              <w:rPr>
                <w:rFonts w:hint="eastAsia"/>
                <w:szCs w:val="21"/>
              </w:rPr>
              <w:t>和条件</w:t>
            </w:r>
            <w:r>
              <w:rPr>
                <w:szCs w:val="21"/>
              </w:rPr>
              <w:t>（</w:t>
            </w:r>
            <w:r>
              <w:rPr>
                <w:rFonts w:hint="eastAsia" w:ascii="宋体" w:hAnsi="宋体"/>
              </w:rPr>
              <w:t>不可偏离项检查</w:t>
            </w:r>
            <w:r>
              <w:rPr>
                <w:szCs w:val="21"/>
              </w:rPr>
              <w:t>）</w:t>
            </w:r>
          </w:p>
        </w:tc>
        <w:tc>
          <w:tcPr>
            <w:tcW w:w="1497" w:type="dxa"/>
            <w:vAlign w:val="center"/>
          </w:tcPr>
          <w:p w14:paraId="62000D2A">
            <w:pPr>
              <w:spacing w:line="440" w:lineRule="exact"/>
              <w:jc w:val="center"/>
              <w:rPr>
                <w:rFonts w:ascii="宋体" w:hAnsi="宋体"/>
                <w:szCs w:val="21"/>
              </w:rPr>
            </w:pPr>
            <w:r>
              <w:rPr>
                <w:rFonts w:ascii="宋体" w:hAnsi="宋体"/>
                <w:szCs w:val="21"/>
              </w:rPr>
              <w:t>合格/不合格</w:t>
            </w:r>
          </w:p>
        </w:tc>
      </w:tr>
      <w:tr w14:paraId="3B3B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1C727580">
            <w:pPr>
              <w:spacing w:line="440" w:lineRule="exact"/>
              <w:ind w:left="57"/>
              <w:jc w:val="center"/>
              <w:rPr>
                <w:rFonts w:ascii="宋体" w:hAnsi="宋体"/>
              </w:rPr>
            </w:pPr>
            <w:r>
              <w:rPr>
                <w:rFonts w:hint="eastAsia" w:ascii="宋体" w:hAnsi="宋体"/>
              </w:rPr>
              <w:t>7</w:t>
            </w:r>
          </w:p>
        </w:tc>
        <w:tc>
          <w:tcPr>
            <w:tcW w:w="6706" w:type="dxa"/>
            <w:vAlign w:val="center"/>
          </w:tcPr>
          <w:p w14:paraId="793A7A4E">
            <w:pPr>
              <w:spacing w:line="440" w:lineRule="exact"/>
              <w:rPr>
                <w:szCs w:val="21"/>
              </w:rPr>
            </w:pPr>
            <w:r>
              <w:rPr>
                <w:szCs w:val="21"/>
              </w:rPr>
              <w:t>投标文件载明的项目服务期</w:t>
            </w:r>
            <w:r>
              <w:rPr>
                <w:rFonts w:hint="eastAsia"/>
                <w:szCs w:val="21"/>
              </w:rPr>
              <w:t>符合</w:t>
            </w:r>
            <w:r>
              <w:rPr>
                <w:szCs w:val="21"/>
              </w:rPr>
              <w:t>招标文件规定的期限</w:t>
            </w:r>
          </w:p>
        </w:tc>
        <w:tc>
          <w:tcPr>
            <w:tcW w:w="1497" w:type="dxa"/>
            <w:vAlign w:val="center"/>
          </w:tcPr>
          <w:p w14:paraId="1768D140">
            <w:pPr>
              <w:spacing w:line="440" w:lineRule="exact"/>
              <w:jc w:val="center"/>
              <w:rPr>
                <w:rFonts w:ascii="宋体" w:hAnsi="宋体"/>
                <w:szCs w:val="21"/>
              </w:rPr>
            </w:pPr>
            <w:r>
              <w:rPr>
                <w:rFonts w:ascii="宋体" w:hAnsi="宋体"/>
                <w:szCs w:val="21"/>
              </w:rPr>
              <w:t>合格/不合格</w:t>
            </w:r>
          </w:p>
        </w:tc>
      </w:tr>
      <w:tr w14:paraId="6C7F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6634414F">
            <w:pPr>
              <w:spacing w:line="440" w:lineRule="exact"/>
              <w:ind w:left="57"/>
              <w:jc w:val="center"/>
              <w:rPr>
                <w:rFonts w:ascii="宋体" w:hAnsi="宋体"/>
              </w:rPr>
            </w:pPr>
            <w:r>
              <w:rPr>
                <w:rFonts w:hint="eastAsia" w:ascii="宋体" w:hAnsi="宋体"/>
              </w:rPr>
              <w:t>8</w:t>
            </w:r>
          </w:p>
        </w:tc>
        <w:tc>
          <w:tcPr>
            <w:tcW w:w="6706" w:type="dxa"/>
            <w:vAlign w:val="center"/>
          </w:tcPr>
          <w:p w14:paraId="37FDC0A3">
            <w:pPr>
              <w:spacing w:line="440" w:lineRule="exact"/>
              <w:jc w:val="left"/>
              <w:rPr>
                <w:rFonts w:ascii="宋体" w:hAnsi="宋体"/>
              </w:rPr>
            </w:pPr>
            <w:r>
              <w:rPr>
                <w:rFonts w:hint="eastAsia" w:hAnsi="宋体"/>
                <w:szCs w:val="21"/>
              </w:rPr>
              <w:t>《技术偏离表》和《商务偏离表》已提交</w:t>
            </w:r>
          </w:p>
        </w:tc>
        <w:tc>
          <w:tcPr>
            <w:tcW w:w="1497" w:type="dxa"/>
            <w:vAlign w:val="center"/>
          </w:tcPr>
          <w:p w14:paraId="0B0673C1">
            <w:pPr>
              <w:spacing w:line="440" w:lineRule="exact"/>
              <w:ind w:left="57"/>
              <w:jc w:val="center"/>
              <w:rPr>
                <w:rFonts w:ascii="宋体" w:hAnsi="宋体"/>
                <w:szCs w:val="21"/>
              </w:rPr>
            </w:pPr>
            <w:r>
              <w:rPr>
                <w:rFonts w:ascii="宋体" w:hAnsi="宋体"/>
                <w:szCs w:val="21"/>
              </w:rPr>
              <w:t>合格/不合格</w:t>
            </w:r>
          </w:p>
        </w:tc>
      </w:tr>
      <w:tr w14:paraId="1FF1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7ED84B9A">
            <w:pPr>
              <w:spacing w:line="440" w:lineRule="exact"/>
              <w:ind w:left="57"/>
              <w:jc w:val="center"/>
              <w:rPr>
                <w:rFonts w:ascii="宋体" w:hAnsi="宋体"/>
              </w:rPr>
            </w:pPr>
            <w:r>
              <w:rPr>
                <w:rFonts w:hint="eastAsia" w:ascii="宋体" w:hAnsi="宋体"/>
              </w:rPr>
              <w:t>9</w:t>
            </w:r>
          </w:p>
        </w:tc>
        <w:tc>
          <w:tcPr>
            <w:tcW w:w="6706" w:type="dxa"/>
            <w:vAlign w:val="center"/>
          </w:tcPr>
          <w:p w14:paraId="4F913DC0">
            <w:pPr>
              <w:spacing w:line="440" w:lineRule="exact"/>
              <w:rPr>
                <w:rFonts w:ascii="宋体" w:hAnsi="宋体"/>
              </w:rPr>
            </w:pPr>
            <w:r>
              <w:rPr>
                <w:rFonts w:hint="eastAsia" w:ascii="宋体" w:hAnsi="宋体"/>
              </w:rPr>
              <w:t>不存在“否决性条款”列明的其他情况</w:t>
            </w:r>
          </w:p>
        </w:tc>
        <w:tc>
          <w:tcPr>
            <w:tcW w:w="1497" w:type="dxa"/>
            <w:vAlign w:val="center"/>
          </w:tcPr>
          <w:p w14:paraId="477235D4">
            <w:pPr>
              <w:spacing w:line="440" w:lineRule="exact"/>
              <w:jc w:val="center"/>
              <w:rPr>
                <w:rFonts w:ascii="宋体" w:hAnsi="宋体"/>
                <w:szCs w:val="21"/>
              </w:rPr>
            </w:pPr>
            <w:r>
              <w:rPr>
                <w:rFonts w:ascii="宋体" w:hAnsi="宋体"/>
                <w:szCs w:val="21"/>
              </w:rPr>
              <w:t>合格/不合格</w:t>
            </w:r>
          </w:p>
        </w:tc>
      </w:tr>
      <w:tr w14:paraId="2261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12" w:type="dxa"/>
            <w:vAlign w:val="center"/>
          </w:tcPr>
          <w:p w14:paraId="50EE34A3">
            <w:pPr>
              <w:spacing w:line="440" w:lineRule="exact"/>
              <w:ind w:left="57"/>
              <w:jc w:val="center"/>
              <w:rPr>
                <w:rFonts w:ascii="宋体" w:hAnsi="宋体"/>
              </w:rPr>
            </w:pPr>
            <w:r>
              <w:rPr>
                <w:rFonts w:hint="eastAsia" w:ascii="宋体" w:hAnsi="宋体"/>
              </w:rPr>
              <w:t>10</w:t>
            </w:r>
          </w:p>
        </w:tc>
        <w:tc>
          <w:tcPr>
            <w:tcW w:w="6706" w:type="dxa"/>
            <w:vAlign w:val="center"/>
          </w:tcPr>
          <w:p w14:paraId="1E592985">
            <w:pPr>
              <w:spacing w:line="440" w:lineRule="exact"/>
              <w:rPr>
                <w:rFonts w:ascii="宋体" w:hAnsi="宋体"/>
                <w:szCs w:val="21"/>
              </w:rPr>
            </w:pPr>
            <w:r>
              <w:rPr>
                <w:rFonts w:ascii="宋体" w:hAnsi="宋体"/>
                <w:szCs w:val="21"/>
              </w:rPr>
              <w:t>结论</w:t>
            </w:r>
          </w:p>
        </w:tc>
        <w:tc>
          <w:tcPr>
            <w:tcW w:w="1497" w:type="dxa"/>
            <w:vAlign w:val="center"/>
          </w:tcPr>
          <w:p w14:paraId="0D435FF9">
            <w:pPr>
              <w:spacing w:line="440" w:lineRule="exact"/>
              <w:jc w:val="center"/>
              <w:rPr>
                <w:rFonts w:ascii="宋体" w:hAnsi="宋体"/>
                <w:szCs w:val="21"/>
              </w:rPr>
            </w:pPr>
            <w:r>
              <w:rPr>
                <w:rFonts w:ascii="宋体" w:hAnsi="宋体"/>
                <w:szCs w:val="21"/>
              </w:rPr>
              <w:t>通过/不通过</w:t>
            </w:r>
          </w:p>
        </w:tc>
      </w:tr>
    </w:tbl>
    <w:p w14:paraId="083B5730">
      <w:pPr>
        <w:spacing w:line="340" w:lineRule="exact"/>
        <w:ind w:firstLine="422" w:firstLineChars="200"/>
        <w:rPr>
          <w:rFonts w:ascii="宋体" w:hAnsi="宋体"/>
          <w:b/>
          <w:color w:val="000000"/>
          <w:szCs w:val="21"/>
        </w:rPr>
      </w:pPr>
      <w:r>
        <w:rPr>
          <w:rFonts w:hint="eastAsia" w:ascii="宋体" w:hAnsi="宋体"/>
          <w:b/>
          <w:color w:val="000000"/>
          <w:szCs w:val="21"/>
        </w:rPr>
        <w:t>2、评分表</w:t>
      </w:r>
    </w:p>
    <w:tbl>
      <w:tblPr>
        <w:tblStyle w:val="7"/>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49"/>
        <w:gridCol w:w="1662"/>
        <w:gridCol w:w="679"/>
        <w:gridCol w:w="5413"/>
      </w:tblGrid>
      <w:tr w14:paraId="6715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C65EAD">
            <w:pPr>
              <w:spacing w:line="44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090" w:type="dxa"/>
            <w:gridSpan w:val="3"/>
            <w:vAlign w:val="center"/>
          </w:tcPr>
          <w:p w14:paraId="7754907F">
            <w:pPr>
              <w:spacing w:line="440" w:lineRule="exact"/>
              <w:jc w:val="center"/>
              <w:rPr>
                <w:rFonts w:ascii="宋体" w:hAnsi="宋体"/>
                <w:b/>
                <w:color w:val="auto"/>
                <w:szCs w:val="21"/>
                <w:highlight w:val="none"/>
              </w:rPr>
            </w:pPr>
            <w:r>
              <w:rPr>
                <w:rFonts w:hint="eastAsia" w:ascii="宋体" w:hAnsi="宋体"/>
                <w:b/>
                <w:color w:val="auto"/>
                <w:szCs w:val="21"/>
                <w:highlight w:val="none"/>
              </w:rPr>
              <w:t>评分项</w:t>
            </w:r>
          </w:p>
        </w:tc>
        <w:tc>
          <w:tcPr>
            <w:tcW w:w="5413" w:type="dxa"/>
            <w:vAlign w:val="center"/>
          </w:tcPr>
          <w:p w14:paraId="42DAC25F">
            <w:pPr>
              <w:spacing w:line="440" w:lineRule="exact"/>
              <w:jc w:val="center"/>
              <w:rPr>
                <w:rFonts w:ascii="宋体" w:hAnsi="宋体"/>
                <w:b/>
                <w:color w:val="auto"/>
                <w:szCs w:val="21"/>
                <w:highlight w:val="none"/>
              </w:rPr>
            </w:pPr>
            <w:r>
              <w:rPr>
                <w:rFonts w:hint="eastAsia" w:ascii="宋体" w:hAnsi="宋体"/>
                <w:b/>
                <w:color w:val="auto"/>
                <w:szCs w:val="21"/>
                <w:highlight w:val="none"/>
              </w:rPr>
              <w:t>权重</w:t>
            </w:r>
          </w:p>
        </w:tc>
      </w:tr>
      <w:tr w14:paraId="0732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D063359">
            <w:pPr>
              <w:spacing w:line="440" w:lineRule="exact"/>
              <w:jc w:val="center"/>
              <w:rPr>
                <w:rFonts w:ascii="宋体" w:hAnsi="宋体"/>
                <w:b/>
                <w:color w:val="auto"/>
                <w:szCs w:val="21"/>
                <w:highlight w:val="none"/>
              </w:rPr>
            </w:pPr>
            <w:r>
              <w:rPr>
                <w:rFonts w:ascii="宋体" w:hAnsi="宋体"/>
                <w:b/>
                <w:color w:val="auto"/>
                <w:szCs w:val="21"/>
                <w:highlight w:val="none"/>
              </w:rPr>
              <w:t>1</w:t>
            </w:r>
          </w:p>
        </w:tc>
        <w:tc>
          <w:tcPr>
            <w:tcW w:w="3090" w:type="dxa"/>
            <w:gridSpan w:val="3"/>
            <w:vAlign w:val="center"/>
          </w:tcPr>
          <w:p w14:paraId="278B1F68">
            <w:pPr>
              <w:spacing w:line="440" w:lineRule="exact"/>
              <w:jc w:val="center"/>
              <w:rPr>
                <w:rFonts w:ascii="宋体" w:hAnsi="宋体"/>
                <w:b/>
                <w:color w:val="auto"/>
                <w:szCs w:val="21"/>
                <w:highlight w:val="none"/>
              </w:rPr>
            </w:pPr>
            <w:r>
              <w:rPr>
                <w:rFonts w:hint="eastAsia" w:ascii="宋体" w:hAnsi="宋体"/>
                <w:b/>
                <w:color w:val="auto"/>
                <w:szCs w:val="21"/>
                <w:highlight w:val="none"/>
              </w:rPr>
              <w:t>价格</w:t>
            </w:r>
          </w:p>
        </w:tc>
        <w:tc>
          <w:tcPr>
            <w:tcW w:w="5413" w:type="dxa"/>
            <w:vAlign w:val="center"/>
          </w:tcPr>
          <w:p w14:paraId="6A7BC6DD">
            <w:pPr>
              <w:spacing w:line="440" w:lineRule="exact"/>
              <w:jc w:val="center"/>
              <w:rPr>
                <w:rFonts w:hint="default" w:ascii="宋体" w:hAnsi="宋体" w:eastAsia="宋体"/>
                <w:b/>
                <w:color w:val="auto"/>
                <w:szCs w:val="21"/>
                <w:highlight w:val="none"/>
                <w:lang w:val="en-US" w:eastAsia="zh-CN"/>
              </w:rPr>
            </w:pPr>
            <w:r>
              <w:rPr>
                <w:rFonts w:hint="eastAsia" w:hAnsi="宋体"/>
                <w:b/>
                <w:color w:val="auto"/>
                <w:szCs w:val="21"/>
                <w:highlight w:val="none"/>
                <w:lang w:val="en-US" w:eastAsia="zh-CN"/>
              </w:rPr>
              <w:t>10</w:t>
            </w:r>
          </w:p>
        </w:tc>
      </w:tr>
      <w:tr w14:paraId="58DD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1AAB808">
            <w:pPr>
              <w:spacing w:line="440" w:lineRule="exact"/>
              <w:jc w:val="center"/>
              <w:rPr>
                <w:rFonts w:ascii="宋体" w:hAnsi="宋体"/>
                <w:color w:val="auto"/>
                <w:szCs w:val="21"/>
                <w:highlight w:val="none"/>
              </w:rPr>
            </w:pPr>
          </w:p>
        </w:tc>
        <w:tc>
          <w:tcPr>
            <w:tcW w:w="8503" w:type="dxa"/>
            <w:gridSpan w:val="4"/>
            <w:vAlign w:val="center"/>
          </w:tcPr>
          <w:p w14:paraId="6FD79055">
            <w:pPr>
              <w:spacing w:line="440" w:lineRule="exact"/>
              <w:rPr>
                <w:rFonts w:ascii="宋体" w:hAnsi="宋体"/>
                <w:color w:val="auto"/>
                <w:szCs w:val="21"/>
                <w:highlight w:val="none"/>
              </w:rPr>
            </w:pPr>
            <w:r>
              <w:rPr>
                <w:rFonts w:hint="eastAsia" w:ascii="宋体" w:hAnsi="宋体"/>
                <w:color w:val="auto"/>
                <w:szCs w:val="21"/>
                <w:highlight w:val="none"/>
              </w:rPr>
              <w:t>投标报价价格分=（评标基准价/投标报价）×10</w:t>
            </w:r>
          </w:p>
          <w:p w14:paraId="56EF0D71">
            <w:pPr>
              <w:spacing w:line="440" w:lineRule="exact"/>
              <w:jc w:val="left"/>
              <w:rPr>
                <w:rFonts w:ascii="宋体" w:hAnsi="宋体"/>
                <w:color w:val="auto"/>
                <w:szCs w:val="21"/>
                <w:highlight w:val="none"/>
              </w:rPr>
            </w:pPr>
            <w:r>
              <w:rPr>
                <w:rFonts w:hint="eastAsia" w:ascii="宋体" w:hAnsi="宋体"/>
                <w:color w:val="auto"/>
                <w:szCs w:val="21"/>
                <w:highlight w:val="none"/>
              </w:rPr>
              <w:t>评标基准价为满足招标文件要求且投标价格最低的投标报价。</w:t>
            </w:r>
          </w:p>
        </w:tc>
      </w:tr>
      <w:tr w14:paraId="154C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B4E7EE4">
            <w:pPr>
              <w:spacing w:line="440" w:lineRule="exact"/>
              <w:jc w:val="center"/>
              <w:rPr>
                <w:rFonts w:ascii="宋体" w:hAnsi="宋体"/>
                <w:b/>
                <w:color w:val="auto"/>
                <w:szCs w:val="21"/>
                <w:highlight w:val="none"/>
              </w:rPr>
            </w:pPr>
            <w:r>
              <w:rPr>
                <w:rFonts w:ascii="宋体" w:hAnsi="宋体"/>
                <w:b/>
                <w:color w:val="auto"/>
                <w:szCs w:val="21"/>
                <w:highlight w:val="none"/>
              </w:rPr>
              <w:t>2</w:t>
            </w:r>
          </w:p>
        </w:tc>
        <w:tc>
          <w:tcPr>
            <w:tcW w:w="3090" w:type="dxa"/>
            <w:gridSpan w:val="3"/>
            <w:vAlign w:val="center"/>
          </w:tcPr>
          <w:p w14:paraId="402E7198">
            <w:pPr>
              <w:spacing w:line="440" w:lineRule="exact"/>
              <w:jc w:val="center"/>
              <w:rPr>
                <w:rFonts w:ascii="宋体" w:hAnsi="宋体"/>
                <w:b/>
                <w:color w:val="auto"/>
                <w:szCs w:val="21"/>
                <w:highlight w:val="none"/>
              </w:rPr>
            </w:pPr>
            <w:r>
              <w:rPr>
                <w:rFonts w:hint="eastAsia" w:ascii="宋体" w:hAnsi="宋体"/>
                <w:b/>
                <w:color w:val="auto"/>
                <w:szCs w:val="21"/>
                <w:highlight w:val="none"/>
              </w:rPr>
              <w:t>技术部分</w:t>
            </w:r>
          </w:p>
        </w:tc>
        <w:tc>
          <w:tcPr>
            <w:tcW w:w="5413" w:type="dxa"/>
            <w:vAlign w:val="center"/>
          </w:tcPr>
          <w:p w14:paraId="3A424BF2">
            <w:pPr>
              <w:spacing w:line="440" w:lineRule="exact"/>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45</w:t>
            </w:r>
          </w:p>
        </w:tc>
      </w:tr>
      <w:tr w14:paraId="0604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14:paraId="79B1604C">
            <w:pPr>
              <w:spacing w:line="440" w:lineRule="exact"/>
              <w:jc w:val="center"/>
              <w:rPr>
                <w:rFonts w:ascii="宋体" w:hAnsi="宋体"/>
                <w:color w:val="auto"/>
                <w:szCs w:val="21"/>
                <w:highlight w:val="none"/>
              </w:rPr>
            </w:pPr>
          </w:p>
        </w:tc>
        <w:tc>
          <w:tcPr>
            <w:tcW w:w="749" w:type="dxa"/>
            <w:vAlign w:val="center"/>
          </w:tcPr>
          <w:p w14:paraId="7D5C0A44">
            <w:pPr>
              <w:spacing w:line="44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662" w:type="dxa"/>
            <w:vAlign w:val="center"/>
          </w:tcPr>
          <w:p w14:paraId="740C2CDF">
            <w:pPr>
              <w:spacing w:line="440" w:lineRule="exact"/>
              <w:jc w:val="center"/>
              <w:rPr>
                <w:rFonts w:ascii="宋体" w:hAnsi="宋体"/>
                <w:b/>
                <w:color w:val="auto"/>
                <w:szCs w:val="21"/>
                <w:highlight w:val="none"/>
              </w:rPr>
            </w:pPr>
            <w:r>
              <w:rPr>
                <w:rFonts w:hint="eastAsia" w:ascii="宋体" w:hAnsi="宋体"/>
                <w:b/>
                <w:color w:val="auto"/>
                <w:szCs w:val="21"/>
                <w:highlight w:val="none"/>
              </w:rPr>
              <w:t>评分因素</w:t>
            </w:r>
          </w:p>
        </w:tc>
        <w:tc>
          <w:tcPr>
            <w:tcW w:w="679" w:type="dxa"/>
            <w:vAlign w:val="center"/>
          </w:tcPr>
          <w:p w14:paraId="44260ECD">
            <w:pPr>
              <w:spacing w:line="440" w:lineRule="exact"/>
              <w:jc w:val="center"/>
              <w:rPr>
                <w:rFonts w:ascii="宋体" w:hAnsi="宋体"/>
                <w:b/>
                <w:color w:val="auto"/>
                <w:szCs w:val="21"/>
                <w:highlight w:val="none"/>
              </w:rPr>
            </w:pPr>
            <w:r>
              <w:rPr>
                <w:rFonts w:hint="eastAsia" w:ascii="宋体" w:hAnsi="宋体"/>
                <w:b/>
                <w:color w:val="auto"/>
                <w:szCs w:val="21"/>
                <w:highlight w:val="none"/>
              </w:rPr>
              <w:t>权重</w:t>
            </w:r>
          </w:p>
        </w:tc>
        <w:tc>
          <w:tcPr>
            <w:tcW w:w="5413" w:type="dxa"/>
            <w:vAlign w:val="center"/>
          </w:tcPr>
          <w:p w14:paraId="4BC55E1C">
            <w:pPr>
              <w:spacing w:line="440" w:lineRule="exact"/>
              <w:jc w:val="center"/>
              <w:rPr>
                <w:rFonts w:ascii="宋体" w:hAnsi="宋体"/>
                <w:b/>
                <w:color w:val="auto"/>
                <w:szCs w:val="21"/>
                <w:highlight w:val="none"/>
              </w:rPr>
            </w:pPr>
            <w:r>
              <w:rPr>
                <w:rFonts w:hint="eastAsia" w:ascii="宋体" w:hAnsi="宋体"/>
                <w:b/>
                <w:color w:val="auto"/>
                <w:szCs w:val="21"/>
                <w:highlight w:val="none"/>
              </w:rPr>
              <w:t>评分准则</w:t>
            </w:r>
          </w:p>
        </w:tc>
      </w:tr>
      <w:tr w14:paraId="065E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03C9D3D3">
            <w:pPr>
              <w:spacing w:line="440" w:lineRule="exact"/>
              <w:jc w:val="center"/>
              <w:outlineLvl w:val="0"/>
              <w:rPr>
                <w:rFonts w:ascii="宋体" w:hAnsi="宋体"/>
                <w:color w:val="auto"/>
                <w:szCs w:val="21"/>
                <w:highlight w:val="none"/>
              </w:rPr>
            </w:pPr>
          </w:p>
        </w:tc>
        <w:tc>
          <w:tcPr>
            <w:tcW w:w="749" w:type="dxa"/>
            <w:vAlign w:val="center"/>
          </w:tcPr>
          <w:p w14:paraId="77DDA235">
            <w:pPr>
              <w:adjustRightInd w:val="0"/>
              <w:snapToGrid w:val="0"/>
              <w:jc w:val="center"/>
              <w:rPr>
                <w:rFonts w:ascii="宋体" w:hAnsi="宋体"/>
                <w:color w:val="auto"/>
                <w:szCs w:val="21"/>
                <w:highlight w:val="none"/>
              </w:rPr>
            </w:pPr>
            <w:r>
              <w:rPr>
                <w:rFonts w:ascii="宋体" w:hAnsi="宋体"/>
                <w:color w:val="auto"/>
                <w:szCs w:val="21"/>
                <w:highlight w:val="none"/>
              </w:rPr>
              <w:t>1</w:t>
            </w:r>
          </w:p>
        </w:tc>
        <w:tc>
          <w:tcPr>
            <w:tcW w:w="1662" w:type="dxa"/>
            <w:vAlign w:val="center"/>
          </w:tcPr>
          <w:p w14:paraId="254E4FA2">
            <w:pPr>
              <w:adjustRightInd w:val="0"/>
              <w:snapToGrid w:val="0"/>
              <w:jc w:val="center"/>
              <w:rPr>
                <w:rFonts w:ascii="宋体" w:hAnsi="宋体"/>
                <w:color w:val="auto"/>
                <w:szCs w:val="21"/>
                <w:highlight w:val="none"/>
              </w:rPr>
            </w:pPr>
            <w:r>
              <w:rPr>
                <w:rFonts w:hint="eastAsia" w:ascii="宋体" w:hAnsi="宋体"/>
                <w:color w:val="auto"/>
                <w:szCs w:val="21"/>
                <w:highlight w:val="none"/>
              </w:rPr>
              <w:t>实施方案</w:t>
            </w:r>
          </w:p>
        </w:tc>
        <w:tc>
          <w:tcPr>
            <w:tcW w:w="679" w:type="dxa"/>
            <w:vAlign w:val="center"/>
          </w:tcPr>
          <w:p w14:paraId="72ED142A">
            <w:pPr>
              <w:adjustRightInd w:val="0"/>
              <w:snapToGrid w:val="0"/>
              <w:jc w:val="center"/>
              <w:rPr>
                <w:rFonts w:ascii="宋体" w:hAnsi="宋体"/>
                <w:color w:val="auto"/>
                <w:szCs w:val="21"/>
                <w:highlight w:val="none"/>
              </w:rPr>
            </w:pPr>
            <w:r>
              <w:rPr>
                <w:rFonts w:hint="eastAsia" w:ascii="宋体" w:hAnsi="宋体" w:eastAsia="宋体" w:cs="Times New Roman"/>
                <w:color w:val="auto"/>
                <w:szCs w:val="21"/>
                <w:highlight w:val="none"/>
                <w:lang w:val="en-US" w:eastAsia="zh-CN"/>
              </w:rPr>
              <w:t>15</w:t>
            </w:r>
          </w:p>
        </w:tc>
        <w:tc>
          <w:tcPr>
            <w:tcW w:w="5413" w:type="dxa"/>
            <w:vAlign w:val="center"/>
          </w:tcPr>
          <w:p w14:paraId="5FB66796">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一</w:t>
            </w:r>
            <w:r>
              <w:rPr>
                <w:rFonts w:hint="eastAsia" w:ascii="宋体" w:hAnsi="宋体" w:eastAsia="宋体" w:cs="Times New Roman"/>
                <w:color w:val="auto"/>
                <w:szCs w:val="21"/>
                <w:highlight w:val="none"/>
              </w:rPr>
              <w:t>）评审内容：根据投标人对项目背景、工作目标、工作内容的理解程度，对制定具体的实施方案、技术路线的整体把控进行评审。</w:t>
            </w:r>
          </w:p>
          <w:p w14:paraId="637FD05D">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考察点A：评估</w:t>
            </w:r>
            <w:r>
              <w:rPr>
                <w:rFonts w:hint="eastAsia" w:ascii="宋体" w:hAnsi="宋体" w:eastAsia="宋体" w:cs="Times New Roman"/>
                <w:color w:val="auto"/>
                <w:szCs w:val="21"/>
                <w:highlight w:val="none"/>
                <w:lang w:val="en-US" w:eastAsia="zh-CN"/>
              </w:rPr>
              <w:t>重点</w:t>
            </w:r>
            <w:r>
              <w:rPr>
                <w:rFonts w:hint="eastAsia" w:ascii="宋体" w:hAnsi="宋体" w:eastAsia="宋体" w:cs="Times New Roman"/>
                <w:color w:val="auto"/>
                <w:szCs w:val="21"/>
                <w:highlight w:val="none"/>
              </w:rPr>
              <w:t>环保设备设施</w:t>
            </w:r>
            <w:r>
              <w:rPr>
                <w:rFonts w:hint="eastAsia" w:ascii="宋体" w:hAnsi="宋体" w:eastAsia="宋体" w:cs="Times New Roman"/>
                <w:color w:val="auto"/>
                <w:szCs w:val="21"/>
                <w:highlight w:val="none"/>
                <w:lang w:val="en-US" w:eastAsia="zh-CN"/>
              </w:rPr>
              <w:t>本质</w:t>
            </w:r>
            <w:r>
              <w:rPr>
                <w:rFonts w:hint="eastAsia" w:ascii="宋体" w:hAnsi="宋体" w:eastAsia="宋体" w:cs="Times New Roman"/>
                <w:color w:val="auto"/>
                <w:szCs w:val="21"/>
                <w:highlight w:val="none"/>
              </w:rPr>
              <w:t>安全风险工作思路；</w:t>
            </w:r>
          </w:p>
          <w:p w14:paraId="7D1E8091">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考察点B：</w:t>
            </w:r>
            <w:r>
              <w:rPr>
                <w:rFonts w:hint="eastAsia" w:ascii="宋体" w:hAnsi="宋体" w:eastAsia="宋体" w:cs="Times New Roman"/>
                <w:color w:val="auto"/>
                <w:szCs w:val="21"/>
                <w:highlight w:val="none"/>
                <w:lang w:val="en-US" w:eastAsia="zh-CN"/>
              </w:rPr>
              <w:t>重点环保设备设施生产安全和突发环境事件</w:t>
            </w:r>
            <w:r>
              <w:rPr>
                <w:rFonts w:hint="eastAsia" w:ascii="宋体" w:hAnsi="宋体" w:eastAsia="宋体" w:cs="Times New Roman"/>
                <w:color w:val="auto"/>
                <w:szCs w:val="21"/>
                <w:highlight w:val="none"/>
              </w:rPr>
              <w:t>隐患技术排查工作思路；</w:t>
            </w:r>
          </w:p>
          <w:p w14:paraId="25E7E012">
            <w:pPr>
              <w:adjustRightInd w:val="0"/>
              <w:snapToGrid w:val="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考察点C：提出环保设备设施环境安全管理优化提升建议</w:t>
            </w:r>
            <w:r>
              <w:rPr>
                <w:rFonts w:hint="eastAsia" w:ascii="宋体" w:hAnsi="宋体" w:eastAsia="宋体" w:cs="Times New Roman"/>
                <w:color w:val="auto"/>
                <w:szCs w:val="21"/>
                <w:highlight w:val="none"/>
                <w:lang w:eastAsia="zh-CN"/>
              </w:rPr>
              <w:t>。</w:t>
            </w:r>
          </w:p>
          <w:p w14:paraId="6A53331F">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（二）评分标准</w:t>
            </w:r>
          </w:p>
          <w:p w14:paraId="6C8B8205">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考察点 A、B、C 三点，满足三点得 </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 xml:space="preserve">分，满足任意两点得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 xml:space="preserve">分，满足任意一点得 </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分，未满足不得分。在此基础上，专家根据各供应商的具体响应内容按照量化的评审因素指标进一步评审: (1) 评审为优(方案周全完整，重点突出，表述清晰，技术路线可操作性强，有具体贴合项目实施计划的时间安排方式和良好保障措施，个别作业环境、生产工况异常复杂</w:t>
            </w:r>
            <w:r>
              <w:rPr>
                <w:rFonts w:hint="eastAsia" w:ascii="宋体" w:hAnsi="宋体" w:eastAsia="宋体" w:cs="Times New Roman"/>
                <w:color w:val="auto"/>
                <w:szCs w:val="21"/>
                <w:highlight w:val="none"/>
                <w:lang w:val="en-US" w:eastAsia="zh-CN"/>
              </w:rPr>
              <w:t>项目的辅助抽查方案</w:t>
            </w:r>
            <w:r>
              <w:rPr>
                <w:rFonts w:hint="eastAsia" w:ascii="宋体" w:hAnsi="宋体" w:eastAsia="宋体" w:cs="Times New Roman"/>
                <w:color w:val="auto"/>
                <w:szCs w:val="21"/>
                <w:highlight w:val="none"/>
              </w:rPr>
              <w:t xml:space="preserve">能够满足，能有效达到项目目的) 的加 </w:t>
            </w:r>
            <w:r>
              <w:rPr>
                <w:rFonts w:hint="eastAsia" w:ascii="宋体" w:hAnsi="宋体" w:eastAsia="宋体" w:cs="Times New Roman"/>
                <w:color w:val="auto"/>
                <w:szCs w:val="21"/>
                <w:highlight w:val="none"/>
                <w:lang w:val="en-US" w:eastAsia="zh-CN"/>
              </w:rPr>
              <w:t>3分</w:t>
            </w:r>
            <w:r>
              <w:rPr>
                <w:rFonts w:hint="eastAsia" w:ascii="宋体" w:hAnsi="宋体" w:eastAsia="宋体" w:cs="Times New Roman"/>
                <w:color w:val="auto"/>
                <w:szCs w:val="21"/>
                <w:highlight w:val="none"/>
              </w:rPr>
              <w:t>； (2) 评审为中(方案较基本，技术路线可操作性一般，有时间安排方式和保障措施) 的加</w:t>
            </w:r>
            <w:r>
              <w:rPr>
                <w:rFonts w:hint="eastAsia" w:ascii="宋体" w:hAnsi="宋体" w:eastAsia="宋体" w:cs="Times New Roman"/>
                <w:color w:val="auto"/>
                <w:szCs w:val="21"/>
                <w:highlight w:val="none"/>
                <w:lang w:val="en-US" w:eastAsia="zh-CN"/>
              </w:rPr>
              <w:t>1分</w:t>
            </w:r>
            <w:r>
              <w:rPr>
                <w:rFonts w:hint="eastAsia" w:ascii="宋体" w:hAnsi="宋体" w:eastAsia="宋体" w:cs="Times New Roman"/>
                <w:color w:val="auto"/>
                <w:szCs w:val="21"/>
                <w:highlight w:val="none"/>
              </w:rPr>
              <w:t>； (3) 评审为差(技术路线不具备可操作性，方案无时间安排方式和保障措施) 的得 0 分。如果评审为差，要求专家书面说明理由，并记录在档。</w:t>
            </w:r>
          </w:p>
        </w:tc>
      </w:tr>
      <w:tr w14:paraId="2780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01A699E0">
            <w:pPr>
              <w:spacing w:line="440" w:lineRule="exact"/>
              <w:jc w:val="center"/>
              <w:outlineLvl w:val="2"/>
              <w:rPr>
                <w:rFonts w:ascii="宋体" w:hAnsi="宋体"/>
                <w:color w:val="auto"/>
                <w:szCs w:val="21"/>
                <w:highlight w:val="none"/>
              </w:rPr>
            </w:pPr>
          </w:p>
        </w:tc>
        <w:tc>
          <w:tcPr>
            <w:tcW w:w="749" w:type="dxa"/>
            <w:vAlign w:val="center"/>
          </w:tcPr>
          <w:p w14:paraId="6CC3C16A">
            <w:pPr>
              <w:adjustRightInd w:val="0"/>
              <w:snapToGrid w:val="0"/>
              <w:jc w:val="center"/>
              <w:rPr>
                <w:rFonts w:ascii="宋体" w:hAnsi="宋体"/>
                <w:color w:val="auto"/>
                <w:szCs w:val="21"/>
                <w:highlight w:val="none"/>
              </w:rPr>
            </w:pPr>
            <w:r>
              <w:rPr>
                <w:rFonts w:ascii="宋体" w:hAnsi="宋体"/>
                <w:color w:val="auto"/>
                <w:szCs w:val="21"/>
                <w:highlight w:val="none"/>
              </w:rPr>
              <w:t>2</w:t>
            </w:r>
          </w:p>
        </w:tc>
        <w:tc>
          <w:tcPr>
            <w:tcW w:w="1662" w:type="dxa"/>
            <w:vAlign w:val="center"/>
          </w:tcPr>
          <w:p w14:paraId="5DB59E02">
            <w:pPr>
              <w:adjustRightInd w:val="0"/>
              <w:snapToGrid w:val="0"/>
              <w:jc w:val="center"/>
              <w:rPr>
                <w:rFonts w:ascii="宋体" w:hAnsi="宋体"/>
                <w:color w:val="auto"/>
                <w:szCs w:val="21"/>
                <w:highlight w:val="none"/>
              </w:rPr>
            </w:pPr>
            <w:r>
              <w:rPr>
                <w:rFonts w:hint="eastAsia" w:ascii="宋体" w:hAnsi="宋体"/>
                <w:color w:val="auto"/>
                <w:szCs w:val="21"/>
                <w:highlight w:val="none"/>
              </w:rPr>
              <w:t>项目重点难点分析、应对措施及相关的合理化建议</w:t>
            </w:r>
          </w:p>
        </w:tc>
        <w:tc>
          <w:tcPr>
            <w:tcW w:w="679" w:type="dxa"/>
            <w:vAlign w:val="center"/>
          </w:tcPr>
          <w:p w14:paraId="5DF04530">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10</w:t>
            </w:r>
          </w:p>
        </w:tc>
        <w:tc>
          <w:tcPr>
            <w:tcW w:w="5413" w:type="dxa"/>
            <w:vAlign w:val="center"/>
          </w:tcPr>
          <w:p w14:paraId="700138E8">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一</w:t>
            </w:r>
            <w:r>
              <w:rPr>
                <w:rFonts w:hint="eastAsia" w:ascii="宋体" w:hAnsi="宋体" w:eastAsia="宋体" w:cs="Times New Roman"/>
                <w:color w:val="auto"/>
                <w:szCs w:val="21"/>
                <w:highlight w:val="none"/>
              </w:rPr>
              <w:t>）评审内容：根据投标人分析的项目重点难点、提出的应对措施合理化建议进行评审。</w:t>
            </w:r>
          </w:p>
          <w:p w14:paraId="0D84D380">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考察点A：重点难点分析；</w:t>
            </w:r>
          </w:p>
          <w:p w14:paraId="658508AA">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考察点B：应对措施及相关的合理化建议。</w:t>
            </w:r>
          </w:p>
          <w:p w14:paraId="2E58456A">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（二）评分标准：</w:t>
            </w:r>
          </w:p>
          <w:p w14:paraId="22A82968">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 A、B 两点，满足两点得 6分，满足任意一点得3分，未满足不得分。在此基础上，专家根据各供应商的具体响应内容按照量化的评审因素指标进一步评审：(1) 评审为优(有至少3个方向的重难点分析，应对措施科学合理；个别作业环境、生产工况异常复杂</w:t>
            </w:r>
            <w:r>
              <w:rPr>
                <w:rFonts w:hint="eastAsia" w:ascii="宋体" w:hAnsi="宋体" w:eastAsia="宋体" w:cs="Times New Roman"/>
                <w:color w:val="auto"/>
                <w:szCs w:val="21"/>
                <w:highlight w:val="none"/>
                <w:lang w:val="en-US" w:eastAsia="zh-CN"/>
              </w:rPr>
              <w:t>项目的辅助抽查方案</w:t>
            </w:r>
            <w:r>
              <w:rPr>
                <w:rFonts w:hint="eastAsia" w:ascii="宋体" w:hAnsi="宋体" w:eastAsia="宋体" w:cs="Times New Roman"/>
                <w:color w:val="auto"/>
                <w:szCs w:val="21"/>
                <w:highlight w:val="none"/>
              </w:rPr>
              <w:t>重难点分析深入、应对措施可行) 的加 4</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rPr>
              <w:t xml:space="preserve">； (2) 评审为中(有 1-2个方向的重难点分析，应对措施合理性一般) 的加 </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分；(3) 评审为差(重难点分析不完整，应对措施可行性差)的得 0分。如果评审为差，要求专家书面说明理由，并记录在档。</w:t>
            </w:r>
          </w:p>
        </w:tc>
      </w:tr>
      <w:tr w14:paraId="621F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769D364D">
            <w:pPr>
              <w:spacing w:line="440" w:lineRule="exact"/>
              <w:jc w:val="center"/>
              <w:rPr>
                <w:rFonts w:ascii="宋体" w:hAnsi="宋体"/>
                <w:color w:val="auto"/>
                <w:szCs w:val="21"/>
                <w:highlight w:val="none"/>
              </w:rPr>
            </w:pPr>
          </w:p>
        </w:tc>
        <w:tc>
          <w:tcPr>
            <w:tcW w:w="749" w:type="dxa"/>
            <w:vAlign w:val="center"/>
          </w:tcPr>
          <w:p w14:paraId="76DDD02F">
            <w:pPr>
              <w:adjustRightInd w:val="0"/>
              <w:snapToGrid w:val="0"/>
              <w:jc w:val="center"/>
              <w:rPr>
                <w:rFonts w:ascii="宋体" w:hAnsi="宋体"/>
                <w:color w:val="auto"/>
                <w:szCs w:val="21"/>
                <w:highlight w:val="none"/>
              </w:rPr>
            </w:pPr>
            <w:r>
              <w:rPr>
                <w:rFonts w:ascii="宋体" w:hAnsi="宋体"/>
                <w:color w:val="auto"/>
                <w:szCs w:val="21"/>
                <w:highlight w:val="none"/>
              </w:rPr>
              <w:t>3</w:t>
            </w:r>
          </w:p>
        </w:tc>
        <w:tc>
          <w:tcPr>
            <w:tcW w:w="1662" w:type="dxa"/>
            <w:vAlign w:val="center"/>
          </w:tcPr>
          <w:p w14:paraId="10BF44E6">
            <w:pPr>
              <w:adjustRightInd w:val="0"/>
              <w:snapToGrid w:val="0"/>
              <w:jc w:val="center"/>
              <w:rPr>
                <w:rFonts w:ascii="宋体" w:hAnsi="宋体"/>
                <w:color w:val="auto"/>
                <w:szCs w:val="21"/>
                <w:highlight w:val="none"/>
              </w:rPr>
            </w:pPr>
            <w:r>
              <w:rPr>
                <w:rFonts w:hint="eastAsia" w:ascii="宋体" w:hAnsi="宋体"/>
                <w:color w:val="auto"/>
                <w:szCs w:val="21"/>
                <w:highlight w:val="none"/>
              </w:rPr>
              <w:t>质量（完成时间、安全、环保）保障措施及方案</w:t>
            </w:r>
          </w:p>
        </w:tc>
        <w:tc>
          <w:tcPr>
            <w:tcW w:w="679" w:type="dxa"/>
            <w:vAlign w:val="center"/>
          </w:tcPr>
          <w:p w14:paraId="6D6FBFCD">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10</w:t>
            </w:r>
          </w:p>
        </w:tc>
        <w:tc>
          <w:tcPr>
            <w:tcW w:w="5413" w:type="dxa"/>
            <w:vAlign w:val="center"/>
          </w:tcPr>
          <w:p w14:paraId="45102064">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一</w:t>
            </w:r>
            <w:r>
              <w:rPr>
                <w:rFonts w:hint="eastAsia" w:ascii="宋体" w:hAnsi="宋体" w:eastAsia="宋体" w:cs="Times New Roman"/>
                <w:color w:val="auto"/>
                <w:szCs w:val="21"/>
                <w:highlight w:val="none"/>
              </w:rPr>
              <w:t>）评审内容：在投标文件中详细说明质量保障措施及方案，评审委员会根据响应情况进行综合评价。</w:t>
            </w:r>
          </w:p>
          <w:p w14:paraId="7651AE54">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（二）评分标准：</w:t>
            </w:r>
          </w:p>
          <w:p w14:paraId="0CD013CA">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考察点A：项目实施过程的组织管理；</w:t>
            </w:r>
          </w:p>
          <w:p w14:paraId="2127C0C9">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考察点B：项目完成时间；</w:t>
            </w:r>
          </w:p>
          <w:p w14:paraId="57F9A84A">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考察点C：项目执行过程中的质量保障措施。</w:t>
            </w:r>
          </w:p>
          <w:p w14:paraId="64A82FDC">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 A、B 、C两点，满足三点得 8分，满足任意两点得5分，满足任意一点得2分，未满足不得分。在此基础上，专家根据各供应商的具体响应内容按照量化的评审因素指标进一步评审：(1)评审为优（进度安排明确、合理，保障措施全面）的加 2</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rPr>
              <w:t>；(2) 评审为中（进度安排基本合理、有保障措施）的加</w:t>
            </w:r>
            <w:r>
              <w:rPr>
                <w:rFonts w:hint="eastAsia" w:ascii="宋体" w:hAnsi="宋体" w:eastAsia="宋体" w:cs="Times New Roman"/>
                <w:color w:val="auto"/>
                <w:szCs w:val="21"/>
                <w:highlight w:val="none"/>
                <w:lang w:val="en-US" w:eastAsia="zh-CN"/>
              </w:rPr>
              <w:t>1分</w:t>
            </w:r>
            <w:r>
              <w:rPr>
                <w:rFonts w:hint="eastAsia" w:ascii="宋体" w:hAnsi="宋体" w:eastAsia="宋体" w:cs="Times New Roman"/>
                <w:color w:val="auto"/>
                <w:szCs w:val="21"/>
                <w:highlight w:val="none"/>
              </w:rPr>
              <w:t>；(3)评审为差(进度安排和保障措施较差或未提供)的得 0分。如果评审为差，要求专家书面说明理由，并记录在档。</w:t>
            </w:r>
          </w:p>
        </w:tc>
      </w:tr>
      <w:tr w14:paraId="4817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6751F9FB">
            <w:pPr>
              <w:spacing w:line="440" w:lineRule="exact"/>
              <w:jc w:val="center"/>
              <w:outlineLvl w:val="2"/>
              <w:rPr>
                <w:rFonts w:ascii="宋体" w:hAnsi="宋体"/>
                <w:color w:val="auto"/>
                <w:szCs w:val="21"/>
                <w:highlight w:val="none"/>
              </w:rPr>
            </w:pPr>
          </w:p>
        </w:tc>
        <w:tc>
          <w:tcPr>
            <w:tcW w:w="749" w:type="dxa"/>
            <w:vAlign w:val="center"/>
          </w:tcPr>
          <w:p w14:paraId="3C154A74">
            <w:pPr>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1662" w:type="dxa"/>
            <w:vAlign w:val="center"/>
          </w:tcPr>
          <w:p w14:paraId="7F063086">
            <w:pPr>
              <w:adjustRightInd w:val="0"/>
              <w:snapToGrid w:val="0"/>
              <w:jc w:val="center"/>
              <w:rPr>
                <w:rFonts w:ascii="宋体" w:hAnsi="宋体"/>
                <w:color w:val="auto"/>
                <w:szCs w:val="21"/>
                <w:highlight w:val="none"/>
              </w:rPr>
            </w:pPr>
            <w:r>
              <w:rPr>
                <w:rFonts w:hint="eastAsia" w:ascii="宋体" w:hAnsi="宋体"/>
                <w:color w:val="auto"/>
                <w:szCs w:val="21"/>
                <w:highlight w:val="none"/>
              </w:rPr>
              <w:t>项目完成（服务期满）后的服务承诺</w:t>
            </w:r>
          </w:p>
        </w:tc>
        <w:tc>
          <w:tcPr>
            <w:tcW w:w="679" w:type="dxa"/>
            <w:vAlign w:val="center"/>
          </w:tcPr>
          <w:p w14:paraId="1FD9B82D">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5</w:t>
            </w:r>
          </w:p>
        </w:tc>
        <w:tc>
          <w:tcPr>
            <w:tcW w:w="5413" w:type="dxa"/>
            <w:vAlign w:val="center"/>
          </w:tcPr>
          <w:p w14:paraId="20140C54">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（一）评审内容：</w:t>
            </w:r>
          </w:p>
          <w:p w14:paraId="6101E12E">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在投标文件中详细说明项目完成（服务期满）后的服务承诺，评审委员会根据响应情况进行综合评价。</w:t>
            </w:r>
          </w:p>
          <w:p w14:paraId="2470590B">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（二）评分标准：</w:t>
            </w:r>
          </w:p>
          <w:p w14:paraId="28254FCF">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考察点A：承诺主动与采购人进行详细交接、资料整理归档；</w:t>
            </w:r>
          </w:p>
          <w:p w14:paraId="7CE071E1">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w:t>
            </w:r>
            <w:r>
              <w:rPr>
                <w:rFonts w:hint="eastAsia" w:ascii="宋体" w:hAnsi="宋体" w:eastAsia="宋体" w:cs="Times New Roman"/>
                <w:color w:val="auto"/>
                <w:szCs w:val="21"/>
                <w:highlight w:val="none"/>
                <w:lang w:val="en-US" w:eastAsia="zh-CN"/>
              </w:rPr>
              <w:t>B</w:t>
            </w:r>
            <w:r>
              <w:rPr>
                <w:rFonts w:hint="eastAsia" w:ascii="宋体" w:hAnsi="宋体" w:eastAsia="宋体" w:cs="Times New Roman"/>
                <w:color w:val="auto"/>
                <w:szCs w:val="21"/>
                <w:highlight w:val="none"/>
              </w:rPr>
              <w:t>：提供售后服务联系方式与联系地址。</w:t>
            </w:r>
          </w:p>
          <w:p w14:paraId="1803B766">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考察点A、B三点，</w:t>
            </w:r>
            <w:r>
              <w:rPr>
                <w:rFonts w:hint="eastAsia" w:ascii="宋体" w:hAnsi="宋体" w:eastAsia="宋体" w:cs="Times New Roman"/>
                <w:color w:val="auto"/>
                <w:szCs w:val="21"/>
                <w:highlight w:val="none"/>
                <w:lang w:val="en-US" w:eastAsia="zh-CN"/>
              </w:rPr>
              <w:t>均</w:t>
            </w:r>
            <w:r>
              <w:rPr>
                <w:rFonts w:hint="eastAsia" w:ascii="宋体" w:hAnsi="宋体" w:eastAsia="宋体" w:cs="Times New Roman"/>
                <w:color w:val="auto"/>
                <w:szCs w:val="21"/>
                <w:highlight w:val="none"/>
              </w:rPr>
              <w:t>满足得</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分，满足任意</w:t>
            </w:r>
            <w:r>
              <w:rPr>
                <w:rFonts w:hint="eastAsia" w:ascii="宋体" w:hAnsi="宋体" w:eastAsia="宋体" w:cs="Times New Roman"/>
                <w:color w:val="auto"/>
                <w:szCs w:val="21"/>
                <w:highlight w:val="none"/>
                <w:lang w:val="en-US" w:eastAsia="zh-CN"/>
              </w:rPr>
              <w:t>一</w:t>
            </w:r>
            <w:r>
              <w:rPr>
                <w:rFonts w:hint="eastAsia" w:ascii="宋体" w:hAnsi="宋体" w:eastAsia="宋体" w:cs="Times New Roman"/>
                <w:color w:val="auto"/>
                <w:szCs w:val="21"/>
                <w:highlight w:val="none"/>
              </w:rPr>
              <w:t>点得</w:t>
            </w:r>
            <w:r>
              <w:rPr>
                <w:rFonts w:hint="eastAsia" w:ascii="宋体" w:hAnsi="宋体" w:eastAsia="宋体" w:cs="Times New Roman"/>
                <w:color w:val="auto"/>
                <w:szCs w:val="21"/>
                <w:highlight w:val="none"/>
                <w:lang w:val="en-US" w:eastAsia="zh-CN"/>
              </w:rPr>
              <w:t>2.5</w:t>
            </w:r>
            <w:r>
              <w:rPr>
                <w:rFonts w:hint="eastAsia" w:ascii="宋体" w:hAnsi="宋体" w:eastAsia="宋体" w:cs="Times New Roman"/>
                <w:color w:val="auto"/>
                <w:szCs w:val="21"/>
                <w:highlight w:val="none"/>
              </w:rPr>
              <w:t>分，未满足不得分。</w:t>
            </w:r>
          </w:p>
        </w:tc>
      </w:tr>
      <w:tr w14:paraId="776A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29D8F41">
            <w:pPr>
              <w:spacing w:line="440" w:lineRule="exact"/>
              <w:jc w:val="center"/>
              <w:outlineLvl w:val="2"/>
              <w:rPr>
                <w:rFonts w:ascii="宋体" w:hAnsi="宋体"/>
                <w:color w:val="auto"/>
                <w:szCs w:val="21"/>
                <w:highlight w:val="none"/>
              </w:rPr>
            </w:pPr>
          </w:p>
        </w:tc>
        <w:tc>
          <w:tcPr>
            <w:tcW w:w="749" w:type="dxa"/>
            <w:vAlign w:val="center"/>
          </w:tcPr>
          <w:p w14:paraId="52D1D018">
            <w:pPr>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1662" w:type="dxa"/>
            <w:vAlign w:val="center"/>
          </w:tcPr>
          <w:p w14:paraId="78CB9487">
            <w:pPr>
              <w:adjustRightInd w:val="0"/>
              <w:snapToGrid w:val="0"/>
              <w:jc w:val="center"/>
              <w:rPr>
                <w:rFonts w:ascii="宋体" w:hAnsi="宋体"/>
                <w:color w:val="auto"/>
                <w:szCs w:val="21"/>
                <w:highlight w:val="none"/>
              </w:rPr>
            </w:pPr>
            <w:r>
              <w:rPr>
                <w:rFonts w:hint="eastAsia" w:ascii="宋体" w:hAnsi="宋体"/>
                <w:color w:val="auto"/>
                <w:szCs w:val="21"/>
                <w:highlight w:val="none"/>
              </w:rPr>
              <w:t>违约承诺</w:t>
            </w:r>
          </w:p>
        </w:tc>
        <w:tc>
          <w:tcPr>
            <w:tcW w:w="679" w:type="dxa"/>
            <w:vAlign w:val="center"/>
          </w:tcPr>
          <w:p w14:paraId="2046467E">
            <w:pPr>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5413" w:type="dxa"/>
            <w:vAlign w:val="center"/>
          </w:tcPr>
          <w:p w14:paraId="4319CC25">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（一）评审内容： </w:t>
            </w:r>
          </w:p>
          <w:p w14:paraId="2E94254E">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在投标文件中详细说明违约承诺，评审委员会根据响应情况进行综合评价。</w:t>
            </w:r>
          </w:p>
          <w:p w14:paraId="01720115">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（二）评分标准： </w:t>
            </w:r>
          </w:p>
          <w:p w14:paraId="5B86A674">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考察点A：人员严格按照招标文件及投标承诺配置；</w:t>
            </w:r>
          </w:p>
          <w:p w14:paraId="176BEB97">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考察点B：服务质量达到招标文件要求；</w:t>
            </w:r>
          </w:p>
          <w:p w14:paraId="34DA3F5B">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考察点C：对未能达到的管理要求承担管理责任。</w:t>
            </w:r>
          </w:p>
          <w:p w14:paraId="74053E8F">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考察点A、B、C三点，满足三点得</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分，满足任意两点得</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分，满足任意一点得</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分，未满足不得分。</w:t>
            </w:r>
          </w:p>
        </w:tc>
      </w:tr>
      <w:tr w14:paraId="6BA1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503A1F5">
            <w:pPr>
              <w:spacing w:line="440" w:lineRule="exact"/>
              <w:jc w:val="center"/>
              <w:rPr>
                <w:rFonts w:ascii="宋体" w:hAnsi="宋体"/>
                <w:b/>
                <w:color w:val="auto"/>
                <w:szCs w:val="21"/>
                <w:highlight w:val="none"/>
              </w:rPr>
            </w:pPr>
            <w:r>
              <w:rPr>
                <w:rFonts w:ascii="宋体" w:hAnsi="宋体"/>
                <w:b/>
                <w:color w:val="auto"/>
                <w:szCs w:val="21"/>
                <w:highlight w:val="none"/>
              </w:rPr>
              <w:t>3</w:t>
            </w:r>
          </w:p>
        </w:tc>
        <w:tc>
          <w:tcPr>
            <w:tcW w:w="3090" w:type="dxa"/>
            <w:gridSpan w:val="3"/>
            <w:vAlign w:val="center"/>
          </w:tcPr>
          <w:p w14:paraId="3CD79DD3">
            <w:pPr>
              <w:spacing w:line="440" w:lineRule="exact"/>
              <w:jc w:val="center"/>
              <w:rPr>
                <w:rFonts w:ascii="宋体" w:hAnsi="宋体"/>
                <w:b/>
                <w:color w:val="auto"/>
                <w:szCs w:val="21"/>
                <w:highlight w:val="none"/>
              </w:rPr>
            </w:pPr>
            <w:r>
              <w:rPr>
                <w:rFonts w:hint="eastAsia" w:ascii="宋体" w:hAnsi="宋体"/>
                <w:b/>
                <w:color w:val="auto"/>
                <w:szCs w:val="21"/>
                <w:highlight w:val="none"/>
              </w:rPr>
              <w:t>商务需求</w:t>
            </w:r>
          </w:p>
        </w:tc>
        <w:tc>
          <w:tcPr>
            <w:tcW w:w="5413" w:type="dxa"/>
            <w:vAlign w:val="center"/>
          </w:tcPr>
          <w:p w14:paraId="01A7CDDA">
            <w:pPr>
              <w:spacing w:line="440" w:lineRule="exact"/>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40</w:t>
            </w:r>
          </w:p>
        </w:tc>
      </w:tr>
      <w:tr w14:paraId="1358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14:paraId="2582BC46">
            <w:pPr>
              <w:spacing w:line="440" w:lineRule="exact"/>
              <w:jc w:val="center"/>
              <w:outlineLvl w:val="0"/>
              <w:rPr>
                <w:rFonts w:ascii="宋体" w:hAnsi="宋体"/>
                <w:color w:val="auto"/>
                <w:szCs w:val="21"/>
                <w:highlight w:val="none"/>
              </w:rPr>
            </w:pPr>
          </w:p>
        </w:tc>
        <w:tc>
          <w:tcPr>
            <w:tcW w:w="749" w:type="dxa"/>
            <w:vAlign w:val="center"/>
          </w:tcPr>
          <w:p w14:paraId="50CE8EDB">
            <w:pPr>
              <w:spacing w:line="44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662" w:type="dxa"/>
            <w:vAlign w:val="center"/>
          </w:tcPr>
          <w:p w14:paraId="006B4181">
            <w:pPr>
              <w:spacing w:line="440" w:lineRule="exact"/>
              <w:jc w:val="center"/>
              <w:rPr>
                <w:rFonts w:ascii="宋体" w:hAnsi="宋体"/>
                <w:b/>
                <w:color w:val="auto"/>
                <w:szCs w:val="21"/>
                <w:highlight w:val="none"/>
              </w:rPr>
            </w:pPr>
            <w:r>
              <w:rPr>
                <w:rFonts w:hint="eastAsia" w:ascii="宋体" w:hAnsi="宋体"/>
                <w:b/>
                <w:color w:val="auto"/>
                <w:szCs w:val="21"/>
                <w:highlight w:val="none"/>
              </w:rPr>
              <w:t>评分因素</w:t>
            </w:r>
          </w:p>
        </w:tc>
        <w:tc>
          <w:tcPr>
            <w:tcW w:w="679" w:type="dxa"/>
            <w:vAlign w:val="center"/>
          </w:tcPr>
          <w:p w14:paraId="6DE78E0B">
            <w:pPr>
              <w:spacing w:line="440" w:lineRule="exact"/>
              <w:jc w:val="center"/>
              <w:rPr>
                <w:rFonts w:ascii="宋体" w:hAnsi="宋体"/>
                <w:b/>
                <w:color w:val="auto"/>
                <w:szCs w:val="21"/>
                <w:highlight w:val="none"/>
              </w:rPr>
            </w:pPr>
            <w:r>
              <w:rPr>
                <w:rFonts w:hint="eastAsia" w:ascii="宋体" w:hAnsi="宋体"/>
                <w:b/>
                <w:color w:val="auto"/>
                <w:szCs w:val="21"/>
                <w:highlight w:val="none"/>
              </w:rPr>
              <w:t>权重</w:t>
            </w:r>
          </w:p>
        </w:tc>
        <w:tc>
          <w:tcPr>
            <w:tcW w:w="5413" w:type="dxa"/>
            <w:vAlign w:val="center"/>
          </w:tcPr>
          <w:p w14:paraId="4DDD5C65">
            <w:pPr>
              <w:spacing w:line="440" w:lineRule="exact"/>
              <w:jc w:val="center"/>
              <w:rPr>
                <w:rFonts w:ascii="宋体" w:hAnsi="宋体"/>
                <w:b/>
                <w:color w:val="auto"/>
                <w:szCs w:val="21"/>
                <w:highlight w:val="none"/>
              </w:rPr>
            </w:pPr>
            <w:r>
              <w:rPr>
                <w:rFonts w:hint="eastAsia" w:ascii="宋体" w:hAnsi="宋体"/>
                <w:b/>
                <w:color w:val="auto"/>
                <w:szCs w:val="21"/>
                <w:highlight w:val="none"/>
              </w:rPr>
              <w:t>评分准则</w:t>
            </w:r>
          </w:p>
        </w:tc>
      </w:tr>
      <w:tr w14:paraId="490A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703DBC3">
            <w:pPr>
              <w:spacing w:line="440" w:lineRule="exact"/>
              <w:jc w:val="center"/>
              <w:outlineLvl w:val="0"/>
              <w:rPr>
                <w:rFonts w:ascii="宋体" w:hAnsi="宋体"/>
                <w:color w:val="auto"/>
                <w:szCs w:val="21"/>
                <w:highlight w:val="none"/>
              </w:rPr>
            </w:pPr>
          </w:p>
        </w:tc>
        <w:tc>
          <w:tcPr>
            <w:tcW w:w="749" w:type="dxa"/>
            <w:vAlign w:val="center"/>
          </w:tcPr>
          <w:p w14:paraId="70981F0C">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1</w:t>
            </w:r>
          </w:p>
        </w:tc>
        <w:tc>
          <w:tcPr>
            <w:tcW w:w="1662" w:type="dxa"/>
            <w:vAlign w:val="center"/>
          </w:tcPr>
          <w:p w14:paraId="5A911BCB">
            <w:pPr>
              <w:adjustRightInd w:val="0"/>
              <w:snapToGrid w:val="0"/>
              <w:jc w:val="center"/>
              <w:rPr>
                <w:rFonts w:ascii="宋体" w:hAnsi="宋体"/>
                <w:color w:val="auto"/>
                <w:szCs w:val="21"/>
                <w:highlight w:val="none"/>
              </w:rPr>
            </w:pPr>
            <w:r>
              <w:rPr>
                <w:rFonts w:hint="eastAsia" w:ascii="宋体" w:hAnsi="宋体"/>
                <w:color w:val="auto"/>
                <w:szCs w:val="21"/>
                <w:highlight w:val="none"/>
              </w:rPr>
              <w:t>投标人同类项目业绩情况</w:t>
            </w:r>
          </w:p>
        </w:tc>
        <w:tc>
          <w:tcPr>
            <w:tcW w:w="679" w:type="dxa"/>
            <w:vAlign w:val="center"/>
          </w:tcPr>
          <w:p w14:paraId="212EDF88">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6</w:t>
            </w:r>
          </w:p>
        </w:tc>
        <w:tc>
          <w:tcPr>
            <w:tcW w:w="5413" w:type="dxa"/>
            <w:vAlign w:val="center"/>
          </w:tcPr>
          <w:p w14:paraId="6ADC90A8">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（一）评分内容：</w:t>
            </w:r>
          </w:p>
          <w:p w14:paraId="7D82F6AE">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2022年1月</w:t>
            </w:r>
            <w:r>
              <w:rPr>
                <w:rFonts w:hint="eastAsia" w:ascii="宋体" w:hAnsi="宋体" w:eastAsia="宋体" w:cs="Times New Roman"/>
                <w:color w:val="auto"/>
                <w:szCs w:val="21"/>
                <w:highlight w:val="none"/>
                <w:lang w:val="en-US" w:eastAsia="zh-CN"/>
              </w:rPr>
              <w:t>1日</w:t>
            </w:r>
            <w:r>
              <w:rPr>
                <w:rFonts w:hint="eastAsia" w:ascii="宋体" w:hAnsi="宋体" w:eastAsia="宋体" w:cs="Times New Roman"/>
                <w:color w:val="auto"/>
                <w:szCs w:val="21"/>
                <w:highlight w:val="none"/>
              </w:rPr>
              <w:t>至本项目投标截止之日止（以合同签订日期为准）承担过国家机关</w:t>
            </w:r>
            <w:r>
              <w:rPr>
                <w:rFonts w:hint="eastAsia" w:ascii="宋体" w:hAnsi="宋体" w:eastAsia="宋体" w:cs="Times New Roman"/>
                <w:color w:val="auto"/>
                <w:szCs w:val="21"/>
                <w:highlight w:val="none"/>
                <w:lang w:val="en-US" w:eastAsia="zh-CN"/>
              </w:rPr>
              <w:t>或事业单位</w:t>
            </w:r>
            <w:r>
              <w:rPr>
                <w:rFonts w:hint="eastAsia" w:ascii="宋体" w:hAnsi="宋体" w:eastAsia="宋体" w:cs="Times New Roman"/>
                <w:color w:val="auto"/>
                <w:szCs w:val="21"/>
                <w:highlight w:val="none"/>
              </w:rPr>
              <w:t>委托的“环境安全管控” “辅助执法”等项目的（合同名称含有“环境安全管控”或“辅助执法”</w:t>
            </w:r>
            <w:r>
              <w:rPr>
                <w:rFonts w:hint="eastAsia" w:ascii="宋体" w:hAnsi="宋体" w:eastAsia="宋体" w:cs="Times New Roman"/>
                <w:color w:val="auto"/>
                <w:szCs w:val="21"/>
                <w:highlight w:val="none"/>
                <w:lang w:val="en-US" w:eastAsia="zh-CN"/>
              </w:rPr>
              <w:t>相关字样</w:t>
            </w:r>
            <w:r>
              <w:rPr>
                <w:rFonts w:hint="eastAsia" w:ascii="宋体" w:hAnsi="宋体" w:eastAsia="宋体" w:cs="Times New Roman"/>
                <w:color w:val="auto"/>
                <w:szCs w:val="21"/>
                <w:highlight w:val="none"/>
              </w:rPr>
              <w:t>），提供1个得</w:t>
            </w:r>
            <w:r>
              <w:rPr>
                <w:rFonts w:hint="eastAsia" w:ascii="宋体" w:hAnsi="宋体" w:eastAsia="宋体" w:cs="Times New Roman"/>
                <w:color w:val="auto"/>
                <w:szCs w:val="21"/>
                <w:highlight w:val="none"/>
                <w:lang w:val="en-US" w:eastAsia="zh-CN"/>
              </w:rPr>
              <w:t>2分</w:t>
            </w:r>
            <w:r>
              <w:rPr>
                <w:rFonts w:hint="eastAsia" w:ascii="宋体" w:hAnsi="宋体" w:eastAsia="宋体" w:cs="Times New Roman"/>
                <w:color w:val="auto"/>
                <w:szCs w:val="21"/>
                <w:highlight w:val="none"/>
              </w:rPr>
              <w:t>；提供2个得</w:t>
            </w:r>
            <w:r>
              <w:rPr>
                <w:rFonts w:hint="eastAsia" w:ascii="宋体" w:hAnsi="宋体" w:eastAsia="宋体" w:cs="Times New Roman"/>
                <w:color w:val="auto"/>
                <w:szCs w:val="21"/>
                <w:highlight w:val="none"/>
                <w:lang w:val="en-US" w:eastAsia="zh-CN"/>
              </w:rPr>
              <w:t>6分</w:t>
            </w:r>
            <w:r>
              <w:rPr>
                <w:rFonts w:hint="eastAsia" w:ascii="宋体" w:hAnsi="宋体" w:eastAsia="宋体" w:cs="Times New Roman"/>
                <w:color w:val="auto"/>
                <w:szCs w:val="21"/>
                <w:highlight w:val="none"/>
              </w:rPr>
              <w:t>（2个合同名称应分别包含不同的关键词，相同关键词的合同按1个计）。未提供有效业绩不得分。</w:t>
            </w:r>
          </w:p>
          <w:p w14:paraId="64790CF5">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（二）评分依据：</w:t>
            </w:r>
          </w:p>
          <w:p w14:paraId="4167AB47">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1.提供合同关键页</w:t>
            </w:r>
            <w:r>
              <w:rPr>
                <w:rFonts w:hint="eastAsia" w:ascii="宋体" w:hAnsi="宋体" w:eastAsia="宋体" w:cs="Times New Roman"/>
                <w:color w:val="auto"/>
                <w:szCs w:val="21"/>
                <w:highlight w:val="none"/>
                <w:lang w:eastAsia="zh-CN"/>
              </w:rPr>
              <w:t>（含签订合同双方的单位名称、合同项目名称、服务内容与含签订合同双方的落款盖章、签订日期的关键信息）</w:t>
            </w:r>
            <w:r>
              <w:rPr>
                <w:rFonts w:hint="eastAsia" w:ascii="宋体" w:hAnsi="宋体" w:eastAsia="宋体" w:cs="Times New Roman"/>
                <w:color w:val="auto"/>
                <w:szCs w:val="21"/>
                <w:highlight w:val="none"/>
              </w:rPr>
              <w:t>扫描件作为得分依据，其中项目合同名称须含有以上关键字眼，否则不得分。</w:t>
            </w:r>
          </w:p>
          <w:p w14:paraId="671DB368">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2.评分中出现无证明资料或证明资料提供不全或无法凭所提供资料判断是否得分的情况，一律作不得分处理。证明资料如有虚假，将做投标无效处理，涉嫌存在违法违规行为的，依法报主管部门处理处罚。</w:t>
            </w:r>
          </w:p>
        </w:tc>
      </w:tr>
      <w:tr w14:paraId="4B3B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55B3C2EE">
            <w:pPr>
              <w:spacing w:line="440" w:lineRule="exact"/>
              <w:jc w:val="center"/>
              <w:outlineLvl w:val="2"/>
              <w:rPr>
                <w:rFonts w:ascii="宋体" w:hAnsi="宋体"/>
                <w:color w:val="auto"/>
                <w:szCs w:val="21"/>
                <w:highlight w:val="none"/>
              </w:rPr>
            </w:pPr>
          </w:p>
        </w:tc>
        <w:tc>
          <w:tcPr>
            <w:tcW w:w="749" w:type="dxa"/>
            <w:vAlign w:val="center"/>
          </w:tcPr>
          <w:p w14:paraId="136470F3">
            <w:pPr>
              <w:adjustRightInd w:val="0"/>
              <w:snapToGrid w:val="0"/>
              <w:jc w:val="center"/>
              <w:rPr>
                <w:rFonts w:ascii="宋体" w:hAnsi="宋体"/>
                <w:color w:val="auto"/>
                <w:szCs w:val="21"/>
                <w:highlight w:val="none"/>
              </w:rPr>
            </w:pPr>
            <w:r>
              <w:rPr>
                <w:rFonts w:hint="eastAsia" w:ascii="宋体" w:hAnsi="宋体" w:eastAsia="宋体"/>
                <w:color w:val="auto"/>
                <w:szCs w:val="21"/>
                <w:highlight w:val="none"/>
                <w:lang w:val="en-US" w:eastAsia="zh-CN"/>
              </w:rPr>
              <w:t>2</w:t>
            </w:r>
          </w:p>
        </w:tc>
        <w:tc>
          <w:tcPr>
            <w:tcW w:w="1662" w:type="dxa"/>
            <w:vAlign w:val="center"/>
          </w:tcPr>
          <w:p w14:paraId="57F2DC18">
            <w:pPr>
              <w:adjustRightInd w:val="0"/>
              <w:snapToGrid w:val="0"/>
              <w:jc w:val="center"/>
              <w:rPr>
                <w:rFonts w:ascii="宋体" w:hAnsi="宋体" w:cs="宋体"/>
                <w:color w:val="auto"/>
                <w:szCs w:val="21"/>
                <w:highlight w:val="none"/>
              </w:rPr>
            </w:pPr>
            <w:r>
              <w:rPr>
                <w:rFonts w:hint="eastAsia" w:ascii="宋体" w:hAnsi="宋体"/>
                <w:color w:val="auto"/>
                <w:szCs w:val="21"/>
                <w:highlight w:val="none"/>
              </w:rPr>
              <w:t>拟安排的项目负责人情况（仅限一人）</w:t>
            </w:r>
          </w:p>
        </w:tc>
        <w:tc>
          <w:tcPr>
            <w:tcW w:w="679" w:type="dxa"/>
            <w:vAlign w:val="center"/>
          </w:tcPr>
          <w:p w14:paraId="3AF33632">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8</w:t>
            </w:r>
          </w:p>
        </w:tc>
        <w:tc>
          <w:tcPr>
            <w:tcW w:w="5413" w:type="dxa"/>
            <w:vAlign w:val="center"/>
          </w:tcPr>
          <w:p w14:paraId="25D655D3">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（一）评分内容：</w:t>
            </w:r>
          </w:p>
          <w:p w14:paraId="0D4A2529">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拟投入本项目的负责人须为投标人自有员工</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在此基础上，就以下条件：</w:t>
            </w:r>
          </w:p>
          <w:p w14:paraId="10EFDDDD">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1.项目负责人具有环境科学专业的硕士或以上学位；</w:t>
            </w:r>
          </w:p>
          <w:p w14:paraId="04E14BA8">
            <w:pPr>
              <w:adjustRightInd w:val="0"/>
              <w:snapToGrid w:val="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2.项目负责人具有环境管理类副高级或以上职称</w:t>
            </w:r>
            <w:r>
              <w:rPr>
                <w:rFonts w:hint="eastAsia" w:ascii="宋体" w:hAnsi="宋体" w:eastAsia="宋体" w:cs="Times New Roman"/>
                <w:color w:val="auto"/>
                <w:szCs w:val="21"/>
                <w:highlight w:val="none"/>
                <w:lang w:eastAsia="zh-CN"/>
              </w:rPr>
              <w:t>；</w:t>
            </w:r>
          </w:p>
          <w:p w14:paraId="69143959">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2022年1月</w:t>
            </w:r>
            <w:r>
              <w:rPr>
                <w:rFonts w:hint="eastAsia" w:ascii="宋体" w:hAnsi="宋体" w:eastAsia="宋体" w:cs="Times New Roman"/>
                <w:color w:val="auto"/>
                <w:szCs w:val="21"/>
                <w:highlight w:val="none"/>
                <w:lang w:val="en-US" w:eastAsia="zh-CN"/>
              </w:rPr>
              <w:t>1日</w:t>
            </w:r>
            <w:r>
              <w:rPr>
                <w:rFonts w:hint="eastAsia" w:ascii="宋体" w:hAnsi="宋体" w:eastAsia="宋体" w:cs="Times New Roman"/>
                <w:color w:val="auto"/>
                <w:szCs w:val="21"/>
                <w:highlight w:val="none"/>
              </w:rPr>
              <w:t>至本项目投标截止之日止（以合同签订日期为准）作为项目负责人具有国家机关</w:t>
            </w:r>
            <w:r>
              <w:rPr>
                <w:rFonts w:hint="eastAsia" w:ascii="宋体" w:hAnsi="宋体" w:eastAsia="宋体" w:cs="Times New Roman"/>
                <w:color w:val="auto"/>
                <w:szCs w:val="21"/>
                <w:highlight w:val="none"/>
                <w:lang w:val="en-US" w:eastAsia="zh-CN"/>
              </w:rPr>
              <w:t>或事业单位</w:t>
            </w:r>
            <w:r>
              <w:rPr>
                <w:rFonts w:hint="eastAsia" w:ascii="宋体" w:hAnsi="宋体" w:eastAsia="宋体" w:cs="Times New Roman"/>
                <w:color w:val="auto"/>
                <w:szCs w:val="21"/>
                <w:highlight w:val="none"/>
              </w:rPr>
              <w:t>“环境安全管控”“辅助执法”项目经验</w:t>
            </w:r>
            <w:r>
              <w:rPr>
                <w:rFonts w:hint="eastAsia" w:ascii="宋体" w:hAnsi="宋体" w:eastAsia="宋体" w:cs="Times New Roman"/>
                <w:color w:val="auto"/>
                <w:szCs w:val="21"/>
                <w:highlight w:val="none"/>
                <w:lang w:eastAsia="zh-CN"/>
              </w:rPr>
              <w:t>。</w:t>
            </w:r>
          </w:p>
          <w:p w14:paraId="4D833037">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以上评分内容全部满足得</w:t>
            </w:r>
            <w:r>
              <w:rPr>
                <w:rFonts w:hint="eastAsia" w:ascii="宋体" w:hAnsi="宋体" w:eastAsia="宋体" w:cs="Times New Roman"/>
                <w:color w:val="auto"/>
                <w:szCs w:val="21"/>
                <w:highlight w:val="none"/>
                <w:lang w:val="en-US" w:eastAsia="zh-CN"/>
              </w:rPr>
              <w:t>8分</w:t>
            </w:r>
            <w:r>
              <w:rPr>
                <w:rFonts w:hint="eastAsia" w:ascii="宋体" w:hAnsi="宋体" w:eastAsia="宋体" w:cs="Times New Roman"/>
                <w:color w:val="auto"/>
                <w:szCs w:val="21"/>
                <w:highlight w:val="none"/>
              </w:rPr>
              <w:t>，符合</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项得</w:t>
            </w:r>
            <w:r>
              <w:rPr>
                <w:rFonts w:hint="eastAsia" w:ascii="宋体" w:hAnsi="宋体" w:eastAsia="宋体" w:cs="Times New Roman"/>
                <w:color w:val="auto"/>
                <w:szCs w:val="21"/>
                <w:highlight w:val="none"/>
                <w:lang w:val="en-US" w:eastAsia="zh-CN"/>
              </w:rPr>
              <w:t>3分</w:t>
            </w:r>
            <w:r>
              <w:rPr>
                <w:rFonts w:hint="eastAsia" w:ascii="宋体" w:hAnsi="宋体" w:eastAsia="宋体" w:cs="Times New Roman"/>
                <w:color w:val="auto"/>
                <w:szCs w:val="21"/>
                <w:highlight w:val="none"/>
              </w:rPr>
              <w:t>，符合1项得</w:t>
            </w:r>
            <w:r>
              <w:rPr>
                <w:rFonts w:hint="eastAsia" w:ascii="宋体" w:hAnsi="宋体" w:eastAsia="宋体" w:cs="Times New Roman"/>
                <w:color w:val="auto"/>
                <w:szCs w:val="21"/>
                <w:highlight w:val="none"/>
                <w:lang w:val="en-US" w:eastAsia="zh-CN"/>
              </w:rPr>
              <w:t>1分</w:t>
            </w:r>
            <w:r>
              <w:rPr>
                <w:rFonts w:hint="eastAsia" w:ascii="宋体" w:hAnsi="宋体" w:eastAsia="宋体" w:cs="Times New Roman"/>
                <w:color w:val="auto"/>
                <w:szCs w:val="21"/>
                <w:highlight w:val="none"/>
              </w:rPr>
              <w:t>，其他情况不得分。</w:t>
            </w:r>
          </w:p>
          <w:p w14:paraId="71D27995">
            <w:pPr>
              <w:adjustRightInd w:val="0"/>
              <w:snapToGrid w:val="0"/>
              <w:rPr>
                <w:rFonts w:hint="eastAsia" w:ascii="宋体" w:hAnsi="宋体" w:eastAsia="宋体" w:cs="Times New Roman"/>
                <w:color w:val="auto"/>
                <w:szCs w:val="21"/>
                <w:highlight w:val="none"/>
              </w:rPr>
            </w:pPr>
          </w:p>
          <w:p w14:paraId="544F67C9">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（二）评分依据：</w:t>
            </w:r>
          </w:p>
          <w:p w14:paraId="4CDB3E92">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1.要求提供投标人相关证明资料作为得分依据。 </w:t>
            </w:r>
          </w:p>
          <w:p w14:paraId="1913F0B4">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2.提供项目负责人的学位、职称或资格证书、项目经验证明等材料扫描件等作为得分依据，项目经验证明材料为体现人员信息的合同关键页</w:t>
            </w:r>
            <w:r>
              <w:rPr>
                <w:rFonts w:hint="eastAsia" w:ascii="宋体" w:hAnsi="宋体" w:eastAsia="宋体" w:cs="Times New Roman"/>
                <w:color w:val="auto"/>
                <w:szCs w:val="21"/>
                <w:highlight w:val="none"/>
                <w:lang w:eastAsia="zh-CN"/>
              </w:rPr>
              <w:t>（含签订合同双方的单位名称、合同项目名称、服务内容与含签订合同双方的落款盖章、签订日期的关键信息）</w:t>
            </w:r>
            <w:r>
              <w:rPr>
                <w:rFonts w:hint="eastAsia" w:ascii="宋体" w:hAnsi="宋体" w:eastAsia="宋体" w:cs="Times New Roman"/>
                <w:color w:val="auto"/>
                <w:szCs w:val="21"/>
                <w:highlight w:val="none"/>
              </w:rPr>
              <w:t>扫描件或合同甲方出具的证明文件。</w:t>
            </w:r>
          </w:p>
          <w:p w14:paraId="75069F3D">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3.评分中出现无证明资料或专家无法凭所提供资料判断是否得分的情况，一律作不得分处理。证明资料如有虚假，将做投标无效处理，涉嫌存在违法违规行为的，依法报主管部门处理处罚。</w:t>
            </w:r>
          </w:p>
          <w:p w14:paraId="7C3464F2">
            <w:pPr>
              <w:adjustRightInd w:val="0"/>
              <w:snapToGrid w:val="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4.提供</w:t>
            </w:r>
            <w:r>
              <w:rPr>
                <w:rFonts w:hint="eastAsia" w:ascii="宋体" w:hAnsi="宋体" w:eastAsia="宋体" w:cs="Times New Roman"/>
                <w:color w:val="auto"/>
                <w:szCs w:val="21"/>
                <w:highlight w:val="none"/>
              </w:rPr>
              <w:t>项目负责人</w:t>
            </w:r>
            <w:r>
              <w:rPr>
                <w:rFonts w:hint="eastAsia" w:ascii="宋体" w:hAnsi="宋体" w:eastAsia="宋体" w:cs="Times New Roman"/>
                <w:color w:val="auto"/>
                <w:szCs w:val="21"/>
                <w:highlight w:val="none"/>
                <w:lang w:eastAsia="zh-CN"/>
              </w:rPr>
              <w:t>最近一个月的</w:t>
            </w:r>
            <w:r>
              <w:rPr>
                <w:rFonts w:hint="eastAsia" w:ascii="宋体" w:hAnsi="宋体" w:eastAsia="宋体" w:cs="Times New Roman"/>
                <w:color w:val="auto"/>
                <w:szCs w:val="21"/>
                <w:highlight w:val="none"/>
              </w:rPr>
              <w:t>社会保险证明</w:t>
            </w:r>
            <w:r>
              <w:rPr>
                <w:rFonts w:hint="eastAsia" w:ascii="宋体" w:hAnsi="宋体" w:eastAsia="宋体" w:cs="Times New Roman"/>
                <w:color w:val="auto"/>
                <w:szCs w:val="21"/>
                <w:highlight w:val="none"/>
                <w:lang w:eastAsia="zh-CN"/>
              </w:rPr>
              <w:t>。</w:t>
            </w:r>
          </w:p>
          <w:p w14:paraId="4B51E95F">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由于社保部门或税务部门原因最近一个月的社保证明无法提供的可往前顺延一个月</w:t>
            </w:r>
            <w:r>
              <w:rPr>
                <w:rFonts w:hint="eastAsia" w:ascii="宋体" w:hAnsi="宋体" w:eastAsia="宋体" w:cs="Times New Roman"/>
                <w:color w:val="auto"/>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eastAsia="宋体" w:cs="Times New Roman"/>
                <w:color w:val="auto"/>
                <w:szCs w:val="21"/>
                <w:highlight w:val="none"/>
              </w:rPr>
              <w:t>如为退休返聘人员提供退休证明和聘用合同</w:t>
            </w:r>
            <w:r>
              <w:rPr>
                <w:rFonts w:hint="eastAsia" w:ascii="宋体" w:hAnsi="宋体" w:eastAsia="宋体" w:cs="Times New Roman"/>
                <w:color w:val="auto"/>
                <w:szCs w:val="21"/>
                <w:highlight w:val="none"/>
                <w:lang w:eastAsia="zh-CN"/>
              </w:rPr>
              <w:t>）。</w:t>
            </w:r>
          </w:p>
        </w:tc>
      </w:tr>
      <w:tr w14:paraId="50F3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01E3065F">
            <w:pPr>
              <w:spacing w:line="440" w:lineRule="exact"/>
              <w:jc w:val="center"/>
              <w:outlineLvl w:val="2"/>
              <w:rPr>
                <w:rFonts w:ascii="宋体" w:hAnsi="宋体"/>
                <w:color w:val="auto"/>
                <w:szCs w:val="21"/>
                <w:highlight w:val="none"/>
              </w:rPr>
            </w:pPr>
          </w:p>
        </w:tc>
        <w:tc>
          <w:tcPr>
            <w:tcW w:w="749" w:type="dxa"/>
            <w:vAlign w:val="center"/>
          </w:tcPr>
          <w:p w14:paraId="3C5A0EC0">
            <w:pPr>
              <w:adjustRightInd w:val="0"/>
              <w:snapToGrid w:val="0"/>
              <w:jc w:val="center"/>
              <w:rPr>
                <w:rFonts w:ascii="宋体" w:hAnsi="宋体"/>
                <w:color w:val="auto"/>
                <w:szCs w:val="21"/>
                <w:highlight w:val="none"/>
              </w:rPr>
            </w:pPr>
            <w:r>
              <w:rPr>
                <w:rFonts w:hint="eastAsia" w:ascii="宋体" w:hAnsi="宋体" w:eastAsia="宋体"/>
                <w:color w:val="auto"/>
                <w:szCs w:val="21"/>
                <w:highlight w:val="none"/>
                <w:lang w:val="en-US" w:eastAsia="zh-CN"/>
              </w:rPr>
              <w:t>3</w:t>
            </w:r>
          </w:p>
        </w:tc>
        <w:tc>
          <w:tcPr>
            <w:tcW w:w="1662" w:type="dxa"/>
            <w:vAlign w:val="center"/>
          </w:tcPr>
          <w:p w14:paraId="732B55B9">
            <w:pPr>
              <w:adjustRightInd w:val="0"/>
              <w:snapToGrid w:val="0"/>
              <w:jc w:val="center"/>
              <w:rPr>
                <w:rFonts w:ascii="宋体" w:hAnsi="宋体" w:cs="宋体"/>
                <w:color w:val="auto"/>
                <w:szCs w:val="21"/>
                <w:highlight w:val="none"/>
              </w:rPr>
            </w:pPr>
            <w:r>
              <w:rPr>
                <w:rFonts w:hint="eastAsia" w:ascii="宋体" w:hAnsi="宋体"/>
                <w:color w:val="auto"/>
                <w:szCs w:val="21"/>
                <w:highlight w:val="none"/>
              </w:rPr>
              <w:t>拟安排的项目主要团队成员（主要技术人员）情况（项目负责人除外）</w:t>
            </w:r>
          </w:p>
        </w:tc>
        <w:tc>
          <w:tcPr>
            <w:tcW w:w="679" w:type="dxa"/>
            <w:vAlign w:val="center"/>
          </w:tcPr>
          <w:p w14:paraId="471CA589">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11</w:t>
            </w:r>
          </w:p>
        </w:tc>
        <w:tc>
          <w:tcPr>
            <w:tcW w:w="5413" w:type="dxa"/>
            <w:vAlign w:val="center"/>
          </w:tcPr>
          <w:p w14:paraId="19EABE0A">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（一）评分内容：</w:t>
            </w:r>
          </w:p>
          <w:p w14:paraId="4DD62089">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拟投入本项目的团队成员须为投标人自有员工，否则不得分。</w:t>
            </w:r>
          </w:p>
          <w:p w14:paraId="7FD33725">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1.项目团队成员中具有环保类副高级或以上职称证书的，每有1人得</w:t>
            </w:r>
            <w:r>
              <w:rPr>
                <w:rFonts w:hint="eastAsia" w:ascii="宋体" w:hAnsi="宋体" w:eastAsia="宋体" w:cs="Times New Roman"/>
                <w:color w:val="auto"/>
                <w:szCs w:val="21"/>
                <w:highlight w:val="none"/>
                <w:lang w:val="en-US" w:eastAsia="zh-CN"/>
              </w:rPr>
              <w:t>1.5分</w:t>
            </w:r>
            <w:r>
              <w:rPr>
                <w:rFonts w:hint="eastAsia" w:ascii="宋体" w:hAnsi="宋体" w:eastAsia="宋体" w:cs="Times New Roman"/>
                <w:color w:val="auto"/>
                <w:szCs w:val="21"/>
                <w:highlight w:val="none"/>
              </w:rPr>
              <w:t>，最高得</w:t>
            </w:r>
            <w:r>
              <w:rPr>
                <w:rFonts w:hint="eastAsia" w:ascii="宋体" w:hAnsi="宋体" w:eastAsia="宋体" w:cs="Times New Roman"/>
                <w:color w:val="auto"/>
                <w:szCs w:val="21"/>
                <w:highlight w:val="none"/>
                <w:lang w:val="en-US" w:eastAsia="zh-CN"/>
              </w:rPr>
              <w:t>4.5分</w:t>
            </w:r>
            <w:r>
              <w:rPr>
                <w:rFonts w:hint="eastAsia" w:ascii="宋体" w:hAnsi="宋体" w:eastAsia="宋体" w:cs="Times New Roman"/>
                <w:color w:val="auto"/>
                <w:szCs w:val="21"/>
                <w:highlight w:val="none"/>
              </w:rPr>
              <w:t>；具有安全管理类副高级或以上职称证书的，每有1人得</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；此小项最高得</w:t>
            </w:r>
            <w:r>
              <w:rPr>
                <w:rFonts w:hint="eastAsia" w:ascii="宋体" w:hAnsi="宋体" w:eastAsia="宋体" w:cs="Times New Roman"/>
                <w:color w:val="auto"/>
                <w:szCs w:val="21"/>
                <w:highlight w:val="none"/>
                <w:lang w:val="en-US" w:eastAsia="zh-CN"/>
              </w:rPr>
              <w:t>6.5分</w:t>
            </w:r>
            <w:r>
              <w:rPr>
                <w:rFonts w:hint="eastAsia" w:ascii="宋体" w:hAnsi="宋体" w:eastAsia="宋体" w:cs="Times New Roman"/>
                <w:color w:val="auto"/>
                <w:szCs w:val="21"/>
                <w:highlight w:val="none"/>
              </w:rPr>
              <w:t>；</w:t>
            </w:r>
          </w:p>
          <w:p w14:paraId="2D8A0FBA">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.项目团队成员中参与过国家机关</w:t>
            </w:r>
            <w:r>
              <w:rPr>
                <w:rFonts w:hint="eastAsia" w:ascii="宋体" w:hAnsi="宋体" w:eastAsia="宋体" w:cs="Times New Roman"/>
                <w:color w:val="auto"/>
                <w:szCs w:val="21"/>
                <w:highlight w:val="none"/>
                <w:lang w:val="en-US" w:eastAsia="zh-CN"/>
              </w:rPr>
              <w:t>或事业单位</w:t>
            </w:r>
            <w:r>
              <w:rPr>
                <w:rFonts w:hint="eastAsia" w:ascii="宋体" w:hAnsi="宋体" w:eastAsia="宋体" w:cs="Times New Roman"/>
                <w:color w:val="auto"/>
                <w:szCs w:val="21"/>
                <w:highlight w:val="none"/>
              </w:rPr>
              <w:t>“环境安全管控”“辅助执法”项目经验的，每有1人得</w:t>
            </w:r>
            <w:r>
              <w:rPr>
                <w:rFonts w:hint="eastAsia" w:ascii="宋体" w:hAnsi="宋体" w:eastAsia="宋体" w:cs="Times New Roman"/>
                <w:color w:val="auto"/>
                <w:szCs w:val="21"/>
                <w:highlight w:val="none"/>
                <w:lang w:val="en-US" w:eastAsia="zh-CN"/>
              </w:rPr>
              <w:t>1.5分</w:t>
            </w:r>
            <w:r>
              <w:rPr>
                <w:rFonts w:hint="eastAsia" w:ascii="宋体" w:hAnsi="宋体" w:eastAsia="宋体" w:cs="Times New Roman"/>
                <w:color w:val="auto"/>
                <w:szCs w:val="21"/>
                <w:highlight w:val="none"/>
              </w:rPr>
              <w:t>，此小项最高得</w:t>
            </w:r>
            <w:r>
              <w:rPr>
                <w:rFonts w:hint="eastAsia" w:ascii="宋体" w:hAnsi="宋体" w:eastAsia="宋体" w:cs="Times New Roman"/>
                <w:color w:val="auto"/>
                <w:szCs w:val="21"/>
                <w:highlight w:val="none"/>
                <w:lang w:val="en-US" w:eastAsia="zh-CN"/>
              </w:rPr>
              <w:t>4.5分</w:t>
            </w:r>
            <w:r>
              <w:rPr>
                <w:rFonts w:hint="eastAsia" w:ascii="宋体" w:hAnsi="宋体" w:eastAsia="宋体" w:cs="Times New Roman"/>
                <w:color w:val="auto"/>
                <w:szCs w:val="21"/>
                <w:highlight w:val="none"/>
              </w:rPr>
              <w:t>。</w:t>
            </w:r>
          </w:p>
          <w:p w14:paraId="27A90233">
            <w:pPr>
              <w:adjustRightInd w:val="0"/>
              <w:snapToGrid w:val="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注：</w:t>
            </w:r>
            <w:r>
              <w:rPr>
                <w:rFonts w:hint="eastAsia" w:ascii="宋体" w:hAnsi="宋体" w:eastAsia="宋体" w:cs="Times New Roman"/>
                <w:color w:val="auto"/>
                <w:szCs w:val="21"/>
                <w:highlight w:val="none"/>
              </w:rPr>
              <w:t>同一人符合多项要求的</w:t>
            </w:r>
            <w:r>
              <w:rPr>
                <w:rFonts w:hint="eastAsia" w:ascii="宋体" w:hAnsi="宋体" w:eastAsia="宋体" w:cs="Times New Roman"/>
                <w:color w:val="auto"/>
                <w:szCs w:val="21"/>
                <w:highlight w:val="none"/>
                <w:lang w:val="en-US" w:eastAsia="zh-CN"/>
              </w:rPr>
              <w:t>按最高分计取</w:t>
            </w:r>
            <w:r>
              <w:rPr>
                <w:rFonts w:hint="eastAsia" w:ascii="宋体" w:hAnsi="宋体" w:eastAsia="宋体" w:cs="Times New Roman"/>
                <w:color w:val="auto"/>
                <w:szCs w:val="21"/>
                <w:highlight w:val="none"/>
              </w:rPr>
              <w:t>，不可累计计分</w:t>
            </w:r>
            <w:r>
              <w:rPr>
                <w:rFonts w:hint="eastAsia" w:ascii="宋体" w:hAnsi="宋体" w:eastAsia="宋体" w:cs="Times New Roman"/>
                <w:color w:val="auto"/>
                <w:szCs w:val="21"/>
                <w:highlight w:val="none"/>
                <w:lang w:eastAsia="zh-CN"/>
              </w:rPr>
              <w:t>。</w:t>
            </w:r>
          </w:p>
          <w:p w14:paraId="1B7139EA">
            <w:pPr>
              <w:adjustRightInd w:val="0"/>
              <w:snapToGrid w:val="0"/>
              <w:rPr>
                <w:rFonts w:hint="eastAsia" w:ascii="宋体" w:hAnsi="宋体" w:eastAsia="宋体" w:cs="Times New Roman"/>
                <w:color w:val="auto"/>
                <w:szCs w:val="21"/>
                <w:highlight w:val="none"/>
                <w:lang w:eastAsia="zh-CN"/>
              </w:rPr>
            </w:pPr>
          </w:p>
          <w:p w14:paraId="513764E4">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（二）评分依据：</w:t>
            </w:r>
          </w:p>
          <w:p w14:paraId="43584C11">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1.要求提供投标人相关证明资料作为得分依据</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未提供该成员本项均不得分。 </w:t>
            </w:r>
          </w:p>
          <w:p w14:paraId="77C4A59D">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2.提供职称证书、项目经验证明等证明文件扫描件；项目经验证明材料为体现人员信息的合同关键页</w:t>
            </w:r>
            <w:r>
              <w:rPr>
                <w:rFonts w:hint="eastAsia" w:ascii="宋体" w:hAnsi="宋体" w:eastAsia="宋体" w:cs="Times New Roman"/>
                <w:color w:val="auto"/>
                <w:szCs w:val="21"/>
                <w:highlight w:val="none"/>
                <w:lang w:eastAsia="zh-CN"/>
              </w:rPr>
              <w:t>（含签订合同双方的单位名称、合同项目名称、服务内容与含签订合同双方的落款盖章、签订日期的关键信息）</w:t>
            </w:r>
            <w:r>
              <w:rPr>
                <w:rFonts w:hint="eastAsia" w:ascii="宋体" w:hAnsi="宋体" w:eastAsia="宋体" w:cs="Times New Roman"/>
                <w:color w:val="auto"/>
                <w:szCs w:val="21"/>
                <w:highlight w:val="none"/>
              </w:rPr>
              <w:t xml:space="preserve">扫描件或合同甲方出具的证明文件； </w:t>
            </w:r>
          </w:p>
          <w:p w14:paraId="34AE0CE4">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3.评分中出现无证明资料或专家无法凭所提供资料判断是否得分的情况，一律作不得分处理。证明资料如有虚假，将做投标无效处理，涉嫌存在违法违规行为的，依法报主管部门处理处罚。</w:t>
            </w:r>
          </w:p>
          <w:p w14:paraId="69F40284">
            <w:pPr>
              <w:adjustRightInd w:val="0"/>
              <w:snapToGrid w:val="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4.提供</w:t>
            </w:r>
            <w:r>
              <w:rPr>
                <w:rFonts w:hint="eastAsia" w:ascii="宋体" w:hAnsi="宋体"/>
                <w:color w:val="auto"/>
                <w:szCs w:val="21"/>
                <w:highlight w:val="none"/>
              </w:rPr>
              <w:t>项目主要团队成员</w:t>
            </w:r>
            <w:r>
              <w:rPr>
                <w:rFonts w:hint="eastAsia" w:ascii="宋体" w:hAnsi="宋体" w:eastAsia="宋体" w:cs="Times New Roman"/>
                <w:color w:val="auto"/>
                <w:szCs w:val="21"/>
                <w:highlight w:val="none"/>
                <w:lang w:eastAsia="zh-CN"/>
              </w:rPr>
              <w:t>最近一个月的</w:t>
            </w:r>
            <w:r>
              <w:rPr>
                <w:rFonts w:hint="eastAsia" w:ascii="宋体" w:hAnsi="宋体" w:eastAsia="宋体" w:cs="Times New Roman"/>
                <w:color w:val="auto"/>
                <w:szCs w:val="21"/>
                <w:highlight w:val="none"/>
              </w:rPr>
              <w:t>社会保险证明</w:t>
            </w:r>
            <w:r>
              <w:rPr>
                <w:rFonts w:hint="eastAsia" w:ascii="宋体" w:hAnsi="宋体" w:eastAsia="宋体" w:cs="Times New Roman"/>
                <w:color w:val="auto"/>
                <w:szCs w:val="21"/>
                <w:highlight w:val="none"/>
                <w:lang w:eastAsia="zh-CN"/>
              </w:rPr>
              <w:t>。</w:t>
            </w:r>
          </w:p>
          <w:p w14:paraId="5E88BFDC">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由于社保部门或税务部门原因最近一个月的社保证明无法提供的可往前顺延一个月</w:t>
            </w:r>
            <w:r>
              <w:rPr>
                <w:rFonts w:hint="eastAsia" w:ascii="宋体" w:hAnsi="宋体" w:eastAsia="宋体" w:cs="Times New Roman"/>
                <w:color w:val="auto"/>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eastAsia="宋体" w:cs="Times New Roman"/>
                <w:color w:val="auto"/>
                <w:szCs w:val="21"/>
                <w:highlight w:val="none"/>
              </w:rPr>
              <w:t>如为退休返聘人员提供退休证明和聘用合同</w:t>
            </w:r>
            <w:r>
              <w:rPr>
                <w:rFonts w:hint="eastAsia" w:ascii="宋体" w:hAnsi="宋体" w:eastAsia="宋体" w:cs="Times New Roman"/>
                <w:color w:val="auto"/>
                <w:szCs w:val="21"/>
                <w:highlight w:val="none"/>
                <w:lang w:eastAsia="zh-CN"/>
              </w:rPr>
              <w:t>）。</w:t>
            </w:r>
          </w:p>
        </w:tc>
      </w:tr>
      <w:tr w14:paraId="6EB9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7D3639C">
            <w:pPr>
              <w:spacing w:line="440" w:lineRule="exact"/>
              <w:jc w:val="center"/>
              <w:outlineLvl w:val="2"/>
              <w:rPr>
                <w:rFonts w:ascii="宋体" w:hAnsi="宋体"/>
                <w:color w:val="auto"/>
                <w:szCs w:val="21"/>
                <w:highlight w:val="none"/>
              </w:rPr>
            </w:pPr>
          </w:p>
        </w:tc>
        <w:tc>
          <w:tcPr>
            <w:tcW w:w="749" w:type="dxa"/>
            <w:vAlign w:val="center"/>
          </w:tcPr>
          <w:p w14:paraId="3CF411E6">
            <w:pPr>
              <w:adjustRightInd w:val="0"/>
              <w:snapToGrid w:val="0"/>
              <w:jc w:val="center"/>
              <w:rPr>
                <w:rFonts w:ascii="宋体" w:hAnsi="宋体"/>
                <w:color w:val="auto"/>
                <w:szCs w:val="21"/>
                <w:highlight w:val="none"/>
              </w:rPr>
            </w:pPr>
            <w:r>
              <w:rPr>
                <w:rFonts w:hint="eastAsia" w:ascii="宋体" w:hAnsi="宋体" w:eastAsia="宋体"/>
                <w:color w:val="auto"/>
                <w:szCs w:val="21"/>
                <w:highlight w:val="none"/>
                <w:lang w:val="en-US" w:eastAsia="zh-CN"/>
              </w:rPr>
              <w:t>4</w:t>
            </w:r>
          </w:p>
        </w:tc>
        <w:tc>
          <w:tcPr>
            <w:tcW w:w="1662" w:type="dxa"/>
            <w:vAlign w:val="center"/>
          </w:tcPr>
          <w:p w14:paraId="7460D1E0">
            <w:pPr>
              <w:adjustRightInd w:val="0"/>
              <w:snapToGrid w:val="0"/>
              <w:jc w:val="center"/>
              <w:rPr>
                <w:rFonts w:ascii="宋体" w:hAnsi="宋体"/>
                <w:color w:val="auto"/>
                <w:szCs w:val="21"/>
                <w:highlight w:val="none"/>
              </w:rPr>
            </w:pPr>
            <w:r>
              <w:rPr>
                <w:rFonts w:hint="eastAsia" w:ascii="宋体" w:hAnsi="宋体"/>
                <w:color w:val="auto"/>
                <w:szCs w:val="21"/>
                <w:highlight w:val="none"/>
              </w:rPr>
              <w:t>投标人自主知识产权产品（创新、设计）情况</w:t>
            </w:r>
          </w:p>
          <w:p w14:paraId="79F01FE1">
            <w:pPr>
              <w:adjustRightInd w:val="0"/>
              <w:snapToGrid w:val="0"/>
              <w:jc w:val="center"/>
              <w:rPr>
                <w:rFonts w:ascii="宋体" w:hAnsi="宋体" w:cs="宋体"/>
                <w:color w:val="auto"/>
                <w:szCs w:val="21"/>
                <w:highlight w:val="none"/>
              </w:rPr>
            </w:pPr>
          </w:p>
        </w:tc>
        <w:tc>
          <w:tcPr>
            <w:tcW w:w="679" w:type="dxa"/>
            <w:vAlign w:val="center"/>
          </w:tcPr>
          <w:p w14:paraId="1B6A4A1A">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10</w:t>
            </w:r>
          </w:p>
        </w:tc>
        <w:tc>
          <w:tcPr>
            <w:tcW w:w="5413" w:type="dxa"/>
            <w:vAlign w:val="center"/>
          </w:tcPr>
          <w:p w14:paraId="3031D927">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（一）评分内容： </w:t>
            </w:r>
          </w:p>
          <w:p w14:paraId="567C746C">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投标人2022年1月</w:t>
            </w:r>
            <w:r>
              <w:rPr>
                <w:rFonts w:hint="eastAsia" w:ascii="宋体" w:hAnsi="宋体" w:eastAsia="宋体" w:cs="Times New Roman"/>
                <w:color w:val="auto"/>
                <w:szCs w:val="21"/>
                <w:highlight w:val="none"/>
                <w:lang w:val="en-US" w:eastAsia="zh-CN"/>
              </w:rPr>
              <w:t>1日</w:t>
            </w:r>
            <w:r>
              <w:rPr>
                <w:rFonts w:hint="eastAsia" w:ascii="宋体" w:hAnsi="宋体" w:eastAsia="宋体" w:cs="Times New Roman"/>
                <w:color w:val="auto"/>
                <w:szCs w:val="21"/>
                <w:highlight w:val="none"/>
              </w:rPr>
              <w:t>至本项目投标截止之日止取得废气处理、废水处理、危废、监测系统等相关计算机软件著作权。</w:t>
            </w:r>
          </w:p>
          <w:p w14:paraId="2A59033A">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以上条件符合</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项得10</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rPr>
              <w:t>，符合</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项得5</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rPr>
              <w:t>，符合</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项得2</w:t>
            </w:r>
            <w:r>
              <w:rPr>
                <w:rFonts w:hint="eastAsia" w:ascii="宋体" w:hAnsi="宋体" w:eastAsia="宋体" w:cs="Times New Roman"/>
                <w:color w:val="auto"/>
                <w:szCs w:val="21"/>
                <w:highlight w:val="none"/>
                <w:lang w:val="en-US" w:eastAsia="zh-CN"/>
              </w:rPr>
              <w:t>分</w:t>
            </w:r>
            <w:r>
              <w:rPr>
                <w:rFonts w:hint="eastAsia" w:ascii="宋体" w:hAnsi="宋体" w:eastAsia="宋体" w:cs="Times New Roman"/>
                <w:color w:val="auto"/>
                <w:szCs w:val="21"/>
                <w:highlight w:val="none"/>
              </w:rPr>
              <w:t>，其他情况不得分。</w:t>
            </w:r>
          </w:p>
          <w:p w14:paraId="06E5DF5E">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（二）评分依据:</w:t>
            </w:r>
          </w:p>
          <w:p w14:paraId="43345FA6">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1.要求提供投标人合法使用产权（专利）的证明材料（证书名称须含有 “废气处理”、“废水处理”、“危废”或“监测系统”</w:t>
            </w:r>
            <w:r>
              <w:rPr>
                <w:rFonts w:hint="eastAsia" w:ascii="宋体" w:hAnsi="宋体" w:eastAsia="宋体" w:cs="Times New Roman"/>
                <w:color w:val="auto"/>
                <w:szCs w:val="21"/>
                <w:highlight w:val="none"/>
                <w:lang w:val="en-US" w:eastAsia="zh-CN"/>
              </w:rPr>
              <w:t>相关内容</w:t>
            </w:r>
            <w:r>
              <w:rPr>
                <w:rFonts w:hint="eastAsia" w:ascii="宋体" w:hAnsi="宋体" w:eastAsia="宋体" w:cs="Times New Roman"/>
                <w:color w:val="auto"/>
                <w:szCs w:val="21"/>
                <w:highlight w:val="none"/>
              </w:rPr>
              <w:t>；同时符合单个上述关键字的多项著作权证书只算1项）。投标人自有产权（专利）的，提供投标人作为知识产权人的产权（专利）证书；通过租赁或授权等方式取得的第三方知识产权合法使用权的，提供与第三方签订的租赁协议或授权证明以及第三方的知识产权证明材料作为得分依据。</w:t>
            </w:r>
          </w:p>
          <w:p w14:paraId="0A4A96D9">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以上资料均要求提供扫描件（或官方网站截图），原件备查。评分中出现无证明资料或专家无法凭所提供资料判断是否得分的情况，一律作不得分处理。</w:t>
            </w:r>
          </w:p>
        </w:tc>
      </w:tr>
      <w:tr w14:paraId="39BE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65007E65">
            <w:pPr>
              <w:spacing w:line="440" w:lineRule="exact"/>
              <w:jc w:val="center"/>
              <w:outlineLvl w:val="2"/>
              <w:rPr>
                <w:rFonts w:ascii="宋体" w:hAnsi="宋体"/>
                <w:color w:val="auto"/>
                <w:szCs w:val="21"/>
                <w:highlight w:val="none"/>
              </w:rPr>
            </w:pPr>
          </w:p>
        </w:tc>
        <w:tc>
          <w:tcPr>
            <w:tcW w:w="749" w:type="dxa"/>
            <w:vAlign w:val="center"/>
          </w:tcPr>
          <w:p w14:paraId="01FD1BD7">
            <w:pPr>
              <w:adjustRightInd w:val="0"/>
              <w:snapToGrid w:val="0"/>
              <w:jc w:val="center"/>
              <w:rPr>
                <w:rFonts w:ascii="宋体" w:hAnsi="宋体"/>
                <w:color w:val="auto"/>
                <w:szCs w:val="21"/>
                <w:highlight w:val="none"/>
              </w:rPr>
            </w:pPr>
            <w:r>
              <w:rPr>
                <w:rFonts w:hint="eastAsia" w:ascii="宋体" w:hAnsi="宋体" w:eastAsia="宋体"/>
                <w:color w:val="auto"/>
                <w:szCs w:val="21"/>
                <w:highlight w:val="none"/>
                <w:lang w:val="en-US" w:eastAsia="zh-CN"/>
              </w:rPr>
              <w:t>5</w:t>
            </w:r>
          </w:p>
        </w:tc>
        <w:tc>
          <w:tcPr>
            <w:tcW w:w="1662" w:type="dxa"/>
            <w:vAlign w:val="center"/>
          </w:tcPr>
          <w:p w14:paraId="3BF035A2">
            <w:pPr>
              <w:adjustRightInd w:val="0"/>
              <w:snapToGrid w:val="0"/>
              <w:jc w:val="center"/>
              <w:rPr>
                <w:rFonts w:ascii="宋体" w:hAnsi="宋体"/>
                <w:color w:val="auto"/>
                <w:szCs w:val="21"/>
                <w:highlight w:val="none"/>
              </w:rPr>
            </w:pPr>
            <w:r>
              <w:rPr>
                <w:rFonts w:hint="eastAsia" w:ascii="宋体" w:hAnsi="宋体"/>
                <w:color w:val="auto"/>
                <w:szCs w:val="21"/>
                <w:highlight w:val="none"/>
              </w:rPr>
              <w:t>项目拟使用的车辆、场地、工具、机器等情况</w:t>
            </w:r>
          </w:p>
          <w:p w14:paraId="66735882">
            <w:pPr>
              <w:adjustRightInd w:val="0"/>
              <w:snapToGrid w:val="0"/>
              <w:jc w:val="center"/>
              <w:rPr>
                <w:rFonts w:ascii="宋体" w:hAnsi="宋体"/>
                <w:color w:val="auto"/>
                <w:szCs w:val="21"/>
                <w:highlight w:val="none"/>
              </w:rPr>
            </w:pPr>
          </w:p>
        </w:tc>
        <w:tc>
          <w:tcPr>
            <w:tcW w:w="679" w:type="dxa"/>
            <w:vAlign w:val="center"/>
          </w:tcPr>
          <w:p w14:paraId="314A3E45">
            <w:pPr>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5</w:t>
            </w:r>
          </w:p>
        </w:tc>
        <w:tc>
          <w:tcPr>
            <w:tcW w:w="5413" w:type="dxa"/>
            <w:vAlign w:val="center"/>
          </w:tcPr>
          <w:p w14:paraId="42FFD78F">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（一）评分内容：</w:t>
            </w:r>
          </w:p>
          <w:p w14:paraId="3A98B95E">
            <w:pPr>
              <w:adjustRightInd w:val="0"/>
              <w:snapToGrid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投标人</w:t>
            </w:r>
            <w:r>
              <w:rPr>
                <w:rFonts w:hint="eastAsia" w:ascii="宋体" w:hAnsi="宋体" w:eastAsia="宋体" w:cs="Times New Roman"/>
                <w:color w:val="auto"/>
                <w:szCs w:val="21"/>
                <w:highlight w:val="none"/>
              </w:rPr>
              <w:t>自备（自有或租赁均可）数据传输、储存、应用等工作配套的设备及外出工作保障所需车辆以保证项目顺利实施。项目需在合同签订后，根据环境安全排查需要提供免接触、自动化、高精度、高性能的气体分析仪器。</w:t>
            </w:r>
          </w:p>
          <w:p w14:paraId="5FB4B0C6">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（二）评分依据:</w:t>
            </w:r>
          </w:p>
          <w:p w14:paraId="3917BFFD">
            <w:pPr>
              <w:adjustRightInd w:val="0"/>
              <w:snapToGrid w:val="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要求投标人提供承诺（格式自定）作为得分依据。未提供承诺或承诺内容不满足要求均不得分。</w:t>
            </w:r>
          </w:p>
        </w:tc>
      </w:tr>
      <w:tr w14:paraId="7E9D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54B3615">
            <w:pPr>
              <w:spacing w:line="440" w:lineRule="exact"/>
              <w:jc w:val="center"/>
              <w:rPr>
                <w:rFonts w:ascii="宋体" w:hAnsi="宋体"/>
                <w:b/>
                <w:color w:val="auto"/>
                <w:szCs w:val="21"/>
                <w:highlight w:val="none"/>
              </w:rPr>
            </w:pPr>
            <w:r>
              <w:rPr>
                <w:rFonts w:ascii="宋体" w:hAnsi="宋体"/>
                <w:b/>
                <w:color w:val="auto"/>
                <w:szCs w:val="21"/>
                <w:highlight w:val="none"/>
              </w:rPr>
              <w:t>4</w:t>
            </w:r>
          </w:p>
        </w:tc>
        <w:tc>
          <w:tcPr>
            <w:tcW w:w="3090" w:type="dxa"/>
            <w:gridSpan w:val="3"/>
            <w:vAlign w:val="center"/>
          </w:tcPr>
          <w:p w14:paraId="2D846233">
            <w:pPr>
              <w:spacing w:line="440" w:lineRule="exact"/>
              <w:jc w:val="center"/>
              <w:rPr>
                <w:rFonts w:ascii="宋体" w:hAnsi="宋体"/>
                <w:b/>
                <w:color w:val="auto"/>
                <w:szCs w:val="21"/>
                <w:highlight w:val="none"/>
              </w:rPr>
            </w:pPr>
            <w:r>
              <w:rPr>
                <w:rFonts w:hint="eastAsia" w:ascii="宋体" w:hAnsi="宋体"/>
                <w:b/>
                <w:color w:val="auto"/>
                <w:szCs w:val="21"/>
                <w:highlight w:val="none"/>
              </w:rPr>
              <w:t>诚信情况</w:t>
            </w:r>
          </w:p>
        </w:tc>
        <w:tc>
          <w:tcPr>
            <w:tcW w:w="5413" w:type="dxa"/>
            <w:vAlign w:val="center"/>
          </w:tcPr>
          <w:p w14:paraId="53E9367F">
            <w:pPr>
              <w:pStyle w:val="6"/>
              <w:numPr>
                <w:ilvl w:val="12"/>
                <w:numId w:val="0"/>
              </w:numPr>
              <w:pBdr>
                <w:bottom w:val="none" w:color="auto" w:sz="0" w:space="0"/>
              </w:pBdr>
              <w:tabs>
                <w:tab w:val="clear" w:pos="4153"/>
                <w:tab w:val="clear" w:pos="8306"/>
              </w:tabs>
              <w:spacing w:line="440" w:lineRule="exact"/>
              <w:rPr>
                <w:rFonts w:hAnsi="宋体"/>
                <w:b/>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5</w:t>
            </w:r>
          </w:p>
        </w:tc>
      </w:tr>
      <w:tr w14:paraId="4F51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restart"/>
            <w:vAlign w:val="center"/>
          </w:tcPr>
          <w:p w14:paraId="754B8861">
            <w:pPr>
              <w:spacing w:line="440" w:lineRule="exact"/>
              <w:jc w:val="center"/>
              <w:rPr>
                <w:rFonts w:ascii="宋体" w:hAnsi="宋体"/>
                <w:b/>
                <w:color w:val="auto"/>
                <w:szCs w:val="21"/>
                <w:highlight w:val="none"/>
              </w:rPr>
            </w:pPr>
          </w:p>
        </w:tc>
        <w:tc>
          <w:tcPr>
            <w:tcW w:w="749" w:type="dxa"/>
            <w:vAlign w:val="center"/>
          </w:tcPr>
          <w:p w14:paraId="2318B79B">
            <w:pPr>
              <w:spacing w:line="44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1662" w:type="dxa"/>
            <w:vAlign w:val="center"/>
          </w:tcPr>
          <w:p w14:paraId="74F47648">
            <w:pPr>
              <w:spacing w:line="440" w:lineRule="exact"/>
              <w:jc w:val="center"/>
              <w:rPr>
                <w:rFonts w:ascii="宋体" w:hAnsi="宋体"/>
                <w:b/>
                <w:color w:val="auto"/>
                <w:szCs w:val="21"/>
                <w:highlight w:val="none"/>
              </w:rPr>
            </w:pPr>
            <w:r>
              <w:rPr>
                <w:rFonts w:hint="eastAsia" w:ascii="宋体" w:hAnsi="宋体"/>
                <w:b/>
                <w:color w:val="auto"/>
                <w:szCs w:val="21"/>
                <w:highlight w:val="none"/>
              </w:rPr>
              <w:t>评分因素</w:t>
            </w:r>
          </w:p>
        </w:tc>
        <w:tc>
          <w:tcPr>
            <w:tcW w:w="679" w:type="dxa"/>
            <w:vAlign w:val="center"/>
          </w:tcPr>
          <w:p w14:paraId="1E744285">
            <w:pPr>
              <w:spacing w:line="440" w:lineRule="exact"/>
              <w:jc w:val="center"/>
              <w:rPr>
                <w:rFonts w:ascii="宋体" w:hAnsi="宋体"/>
                <w:b/>
                <w:color w:val="auto"/>
                <w:szCs w:val="21"/>
                <w:highlight w:val="none"/>
              </w:rPr>
            </w:pPr>
            <w:r>
              <w:rPr>
                <w:rFonts w:hint="eastAsia" w:ascii="宋体" w:hAnsi="宋体"/>
                <w:b/>
                <w:color w:val="auto"/>
                <w:szCs w:val="21"/>
                <w:highlight w:val="none"/>
              </w:rPr>
              <w:t>权重</w:t>
            </w:r>
          </w:p>
        </w:tc>
        <w:tc>
          <w:tcPr>
            <w:tcW w:w="5413" w:type="dxa"/>
            <w:vAlign w:val="center"/>
          </w:tcPr>
          <w:p w14:paraId="2A48B547">
            <w:pPr>
              <w:spacing w:line="440" w:lineRule="exact"/>
              <w:jc w:val="center"/>
              <w:rPr>
                <w:rFonts w:ascii="宋体" w:hAnsi="宋体"/>
                <w:b/>
                <w:color w:val="auto"/>
                <w:szCs w:val="21"/>
                <w:highlight w:val="none"/>
              </w:rPr>
            </w:pPr>
            <w:r>
              <w:rPr>
                <w:rFonts w:hint="eastAsia" w:ascii="宋体" w:hAnsi="宋体"/>
                <w:b/>
                <w:color w:val="auto"/>
                <w:szCs w:val="21"/>
                <w:highlight w:val="none"/>
              </w:rPr>
              <w:t>评分准则</w:t>
            </w:r>
          </w:p>
        </w:tc>
      </w:tr>
      <w:tr w14:paraId="2C6C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Merge w:val="continue"/>
            <w:vAlign w:val="center"/>
          </w:tcPr>
          <w:p w14:paraId="1AFD0DDA">
            <w:pPr>
              <w:spacing w:line="440" w:lineRule="exact"/>
              <w:jc w:val="center"/>
              <w:outlineLvl w:val="0"/>
              <w:rPr>
                <w:rFonts w:ascii="宋体" w:hAnsi="宋体"/>
                <w:color w:val="auto"/>
                <w:szCs w:val="21"/>
                <w:highlight w:val="none"/>
              </w:rPr>
            </w:pPr>
          </w:p>
        </w:tc>
        <w:tc>
          <w:tcPr>
            <w:tcW w:w="749" w:type="dxa"/>
            <w:vAlign w:val="center"/>
          </w:tcPr>
          <w:p w14:paraId="75610A97">
            <w:pPr>
              <w:spacing w:line="440" w:lineRule="exact"/>
              <w:jc w:val="center"/>
              <w:rPr>
                <w:rFonts w:ascii="宋体" w:hAnsi="宋体"/>
                <w:color w:val="auto"/>
                <w:szCs w:val="21"/>
                <w:highlight w:val="none"/>
              </w:rPr>
            </w:pPr>
            <w:r>
              <w:rPr>
                <w:rFonts w:ascii="宋体" w:hAnsi="宋体"/>
                <w:color w:val="auto"/>
                <w:szCs w:val="21"/>
                <w:highlight w:val="none"/>
              </w:rPr>
              <w:t>1</w:t>
            </w:r>
          </w:p>
        </w:tc>
        <w:tc>
          <w:tcPr>
            <w:tcW w:w="1662" w:type="dxa"/>
            <w:vAlign w:val="center"/>
          </w:tcPr>
          <w:p w14:paraId="57416801">
            <w:pPr>
              <w:adjustRightInd w:val="0"/>
              <w:snapToGrid w:val="0"/>
              <w:jc w:val="center"/>
              <w:rPr>
                <w:rFonts w:ascii="宋体" w:hAnsi="宋体"/>
                <w:color w:val="auto"/>
                <w:szCs w:val="21"/>
                <w:highlight w:val="none"/>
              </w:rPr>
            </w:pPr>
            <w:r>
              <w:rPr>
                <w:rFonts w:ascii="宋体" w:hAnsi="宋体"/>
                <w:color w:val="auto"/>
                <w:szCs w:val="21"/>
                <w:highlight w:val="none"/>
              </w:rPr>
              <w:t>市财政</w:t>
            </w:r>
            <w:r>
              <w:rPr>
                <w:rFonts w:hint="eastAsia" w:ascii="宋体" w:hAnsi="宋体"/>
                <w:color w:val="auto"/>
                <w:szCs w:val="21"/>
                <w:highlight w:val="none"/>
              </w:rPr>
              <w:t>局</w:t>
            </w:r>
            <w:r>
              <w:rPr>
                <w:rFonts w:ascii="宋体" w:hAnsi="宋体"/>
                <w:color w:val="auto"/>
                <w:szCs w:val="21"/>
                <w:highlight w:val="none"/>
              </w:rPr>
              <w:t>诚信管理情况</w:t>
            </w:r>
          </w:p>
        </w:tc>
        <w:tc>
          <w:tcPr>
            <w:tcW w:w="679" w:type="dxa"/>
            <w:vAlign w:val="center"/>
          </w:tcPr>
          <w:p w14:paraId="67CD0683">
            <w:pPr>
              <w:adjustRightInd w:val="0"/>
              <w:snapToGrid w:val="0"/>
              <w:jc w:val="center"/>
              <w:rPr>
                <w:rFonts w:hint="eastAsia" w:ascii="宋体" w:hAnsi="宋体" w:eastAsia="宋体"/>
                <w:color w:val="auto"/>
                <w:szCs w:val="21"/>
                <w:highlight w:val="none"/>
                <w:lang w:eastAsia="zh-CN"/>
              </w:rPr>
            </w:pPr>
            <w:r>
              <w:rPr>
                <w:rFonts w:ascii="宋体" w:hAnsi="宋体"/>
                <w:color w:val="auto"/>
                <w:szCs w:val="21"/>
                <w:highlight w:val="none"/>
              </w:rPr>
              <w:t>5</w:t>
            </w:r>
          </w:p>
        </w:tc>
        <w:tc>
          <w:tcPr>
            <w:tcW w:w="5413" w:type="dxa"/>
            <w:vAlign w:val="center"/>
          </w:tcPr>
          <w:p w14:paraId="539F5726">
            <w:pPr>
              <w:adjustRightInd w:val="0"/>
              <w:snapToGrid w:val="0"/>
              <w:rPr>
                <w:rFonts w:hint="eastAsia" w:ascii="宋体" w:hAnsi="宋体"/>
                <w:color w:val="auto"/>
                <w:szCs w:val="21"/>
                <w:highlight w:val="none"/>
              </w:rPr>
            </w:pPr>
            <w:r>
              <w:rPr>
                <w:rFonts w:hint="eastAsia" w:ascii="宋体" w:hAnsi="宋体"/>
                <w:color w:val="auto"/>
                <w:szCs w:val="21"/>
                <w:highlight w:val="none"/>
              </w:rPr>
              <w:t>（一）评分内容</w:t>
            </w:r>
          </w:p>
          <w:p w14:paraId="62EF77E3">
            <w:pPr>
              <w:adjustRightInd w:val="0"/>
              <w:snapToGrid w:val="0"/>
              <w:rPr>
                <w:rFonts w:hint="eastAsia" w:ascii="宋体" w:hAnsi="宋体"/>
                <w:color w:val="auto"/>
                <w:szCs w:val="21"/>
                <w:highlight w:val="none"/>
              </w:rPr>
            </w:pPr>
            <w:r>
              <w:rPr>
                <w:rFonts w:hint="eastAsia" w:ascii="宋体" w:hAnsi="宋体"/>
                <w:color w:val="auto"/>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64E600CC">
            <w:pPr>
              <w:adjustRightInd w:val="0"/>
              <w:snapToGrid w:val="0"/>
              <w:rPr>
                <w:rFonts w:hint="eastAsia" w:ascii="宋体" w:hAnsi="宋体"/>
                <w:color w:val="auto"/>
                <w:szCs w:val="21"/>
                <w:highlight w:val="none"/>
              </w:rPr>
            </w:pPr>
            <w:r>
              <w:rPr>
                <w:rFonts w:hint="eastAsia" w:ascii="宋体" w:hAnsi="宋体"/>
                <w:color w:val="auto"/>
                <w:szCs w:val="21"/>
                <w:highlight w:val="none"/>
              </w:rPr>
              <w:t>（二）评分依据</w:t>
            </w:r>
          </w:p>
          <w:p w14:paraId="056275B9">
            <w:pPr>
              <w:adjustRightInd w:val="0"/>
              <w:snapToGrid w:val="0"/>
              <w:rPr>
                <w:rFonts w:ascii="宋体" w:hAnsi="宋体"/>
                <w:color w:val="auto"/>
                <w:szCs w:val="21"/>
                <w:highlight w:val="none"/>
              </w:rPr>
            </w:pPr>
            <w:r>
              <w:rPr>
                <w:rFonts w:hint="eastAsia" w:ascii="宋体" w:hAnsi="宋体"/>
                <w:color w:val="auto"/>
                <w:szCs w:val="21"/>
                <w:highlight w:val="none"/>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14:paraId="342C6D05">
      <w:pPr>
        <w:spacing w:line="440" w:lineRule="exact"/>
        <w:ind w:firstLine="422" w:firstLineChars="200"/>
        <w:rPr>
          <w:rFonts w:ascii="宋体" w:hAnsi="宋体"/>
          <w:szCs w:val="21"/>
        </w:rPr>
      </w:pPr>
      <w:r>
        <w:rPr>
          <w:rFonts w:hint="eastAsia" w:ascii="宋体" w:hAnsi="宋体"/>
          <w:b/>
          <w:szCs w:val="21"/>
        </w:rPr>
        <w:t>说明：</w:t>
      </w:r>
      <w:r>
        <w:rPr>
          <w:rFonts w:hint="eastAsia" w:ascii="宋体" w:hAnsi="宋体"/>
          <w:szCs w:val="21"/>
        </w:rPr>
        <w:t>1、本评分表中每一栏的得分最高不得超过该项评审指标的分值。2、表中要求提供相关计分证明文件的内容，投标文件中须明确加以说明，未按要求提供相关文件或说明不清楚的按不符合要求处理。</w:t>
      </w:r>
    </w:p>
    <w:p w14:paraId="712DD452">
      <w:pPr>
        <w:spacing w:line="440" w:lineRule="exact"/>
        <w:ind w:firstLine="422" w:firstLineChars="200"/>
        <w:rPr>
          <w:rFonts w:ascii="宋体" w:hAnsi="宋体"/>
          <w:b/>
          <w:szCs w:val="21"/>
        </w:rPr>
      </w:pPr>
      <w:r>
        <w:rPr>
          <w:rFonts w:hint="eastAsia" w:ascii="宋体" w:hAnsi="宋体"/>
          <w:b/>
          <w:szCs w:val="21"/>
        </w:rPr>
        <w:t>三、评标及定标程序</w:t>
      </w:r>
    </w:p>
    <w:p w14:paraId="34C8B6DD">
      <w:pPr>
        <w:spacing w:line="440" w:lineRule="exact"/>
        <w:ind w:firstLine="422" w:firstLineChars="200"/>
        <w:rPr>
          <w:rFonts w:ascii="宋体" w:hAnsi="宋体"/>
          <w:b/>
          <w:szCs w:val="21"/>
        </w:rPr>
      </w:pPr>
      <w:r>
        <w:rPr>
          <w:rFonts w:hint="eastAsia" w:ascii="宋体" w:hAnsi="宋体"/>
          <w:b/>
          <w:szCs w:val="21"/>
        </w:rPr>
        <w:t>（一）授权评标委员会确定中标单位的方式</w:t>
      </w:r>
    </w:p>
    <w:p w14:paraId="3753FEF0">
      <w:pPr>
        <w:pStyle w:val="11"/>
        <w:numPr>
          <w:ilvl w:val="0"/>
          <w:numId w:val="4"/>
        </w:numPr>
        <w:spacing w:line="440" w:lineRule="exact"/>
        <w:ind w:firstLineChars="0"/>
        <w:rPr>
          <w:rFonts w:ascii="宋体" w:hAnsi="宋体"/>
          <w:b/>
          <w:szCs w:val="21"/>
        </w:rPr>
      </w:pPr>
      <w:r>
        <w:rPr>
          <w:rFonts w:ascii="宋体" w:hAnsi="宋体"/>
          <w:b/>
          <w:szCs w:val="21"/>
        </w:rPr>
        <w:t>综合评分法</w:t>
      </w:r>
    </w:p>
    <w:p w14:paraId="4A75CD8D">
      <w:pPr>
        <w:spacing w:line="440" w:lineRule="exact"/>
        <w:ind w:firstLine="422" w:firstLineChars="200"/>
        <w:rPr>
          <w:rFonts w:ascii="Calibri" w:hAnsi="Calibri"/>
          <w:b/>
          <w:szCs w:val="21"/>
        </w:rPr>
      </w:pPr>
      <w:r>
        <w:rPr>
          <w:rFonts w:hint="eastAsia" w:ascii="宋体" w:hAnsi="宋体"/>
          <w:b/>
          <w:szCs w:val="21"/>
        </w:rPr>
        <w:t>1、</w:t>
      </w:r>
      <w:r>
        <w:rPr>
          <w:rFonts w:ascii="Calibri" w:hAnsi="宋体"/>
          <w:b/>
          <w:szCs w:val="21"/>
        </w:rPr>
        <w:t>符合性检查</w:t>
      </w:r>
    </w:p>
    <w:p w14:paraId="638F6FC2">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314EA2CD">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36585178">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38C20C93">
      <w:pPr>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14:paraId="6481B2FE">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14:paraId="604D12C8">
      <w:pPr>
        <w:spacing w:line="44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w:t>
      </w:r>
      <w:r>
        <w:rPr>
          <w:rFonts w:hint="eastAsia" w:ascii="Calibri" w:hAnsi="宋体"/>
          <w:szCs w:val="21"/>
        </w:rPr>
        <w:t>；</w:t>
      </w:r>
      <w:r>
        <w:rPr>
          <w:rFonts w:ascii="Calibri" w:hAnsi="宋体"/>
          <w:szCs w:val="21"/>
        </w:rPr>
        <w:t>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14:paraId="3C3FEEBA">
      <w:pPr>
        <w:spacing w:line="44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w:t>
      </w:r>
      <w:r>
        <w:rPr>
          <w:rFonts w:hint="eastAsia" w:ascii="Calibri" w:hAnsi="宋体"/>
          <w:b/>
          <w:szCs w:val="21"/>
        </w:rPr>
        <w:t>单位</w:t>
      </w:r>
      <w:r>
        <w:rPr>
          <w:rFonts w:ascii="Calibri" w:hAnsi="宋体"/>
          <w:b/>
          <w:szCs w:val="21"/>
        </w:rPr>
        <w:t>的确定</w:t>
      </w:r>
    </w:p>
    <w:p w14:paraId="09D78AF0">
      <w:pPr>
        <w:spacing w:line="44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14:paraId="2E0B1A05">
      <w:pPr>
        <w:spacing w:line="440" w:lineRule="exact"/>
        <w:ind w:firstLine="420" w:firstLineChars="200"/>
        <w:rPr>
          <w:rFonts w:ascii="宋体" w:hAnsi="宋体"/>
          <w:bCs/>
          <w:szCs w:val="21"/>
        </w:rPr>
      </w:pPr>
      <w:r>
        <w:rPr>
          <w:rFonts w:hint="eastAsia" w:ascii="宋体" w:hAnsi="宋体"/>
          <w:bCs/>
          <w:szCs w:val="21"/>
        </w:rPr>
        <w:t>（1）每个投标单位的评标总得分以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hint="eastAsia" w:asciiTheme="minorEastAsia" w:hAnsiTheme="minorEastAsia" w:eastAsiaTheme="minorEastAsia"/>
          <w:szCs w:val="21"/>
        </w:rPr>
        <w:t>具体操作办法及流程由评标委员会确定</w:t>
      </w:r>
      <w:r>
        <w:rPr>
          <w:rFonts w:ascii="宋体" w:hAnsi="宋体"/>
          <w:bCs/>
          <w:szCs w:val="21"/>
        </w:rPr>
        <w:t>。</w:t>
      </w:r>
    </w:p>
    <w:p w14:paraId="45C835CB">
      <w:pPr>
        <w:spacing w:line="440" w:lineRule="exact"/>
        <w:ind w:firstLine="420" w:firstLineChars="200"/>
        <w:rPr>
          <w:szCs w:val="21"/>
        </w:rPr>
      </w:pPr>
      <w:r>
        <w:rPr>
          <w:rFonts w:hint="eastAsia" w:ascii="宋体" w:hAnsi="宋体"/>
          <w:bCs/>
          <w:szCs w:val="21"/>
        </w:rPr>
        <w:t>（2）评标委员会按照综合评分的排名结果推荐中标候选供应商，</w:t>
      </w:r>
      <w:r>
        <w:rPr>
          <w:rFonts w:hint="eastAsia" w:ascii="宋体" w:hAnsi="宋体"/>
          <w:szCs w:val="21"/>
        </w:rPr>
        <w:t>排名</w:t>
      </w:r>
      <w:r>
        <w:rPr>
          <w:rFonts w:hint="eastAsia" w:ascii="宋体" w:hAnsi="宋体"/>
          <w:szCs w:val="21"/>
          <w:highlight w:val="yellow"/>
        </w:rPr>
        <w:t>前三</w:t>
      </w:r>
      <w:r>
        <w:rPr>
          <w:rFonts w:hint="eastAsia" w:ascii="宋体" w:hAnsi="宋体"/>
          <w:szCs w:val="21"/>
        </w:rPr>
        <w:t>的投标单位</w:t>
      </w:r>
      <w:r>
        <w:rPr>
          <w:rFonts w:hint="eastAsia" w:ascii="宋体" w:hAnsi="宋体"/>
          <w:bCs/>
          <w:szCs w:val="21"/>
        </w:rPr>
        <w:t>作为推荐的候选中标供应商。</w:t>
      </w:r>
    </w:p>
    <w:p w14:paraId="44F6C8F9">
      <w:pPr>
        <w:spacing w:line="440" w:lineRule="exact"/>
        <w:ind w:firstLine="422" w:firstLineChars="200"/>
        <w:rPr>
          <w:rFonts w:ascii="宋体" w:hAnsi="宋体"/>
          <w:b/>
          <w:bCs/>
          <w:szCs w:val="21"/>
        </w:rPr>
      </w:pPr>
      <w:r>
        <w:rPr>
          <w:rFonts w:hint="eastAsia" w:ascii="宋体" w:hAnsi="宋体"/>
          <w:b/>
          <w:bCs/>
          <w:szCs w:val="21"/>
        </w:rPr>
        <w:t>3.2  定标</w:t>
      </w:r>
    </w:p>
    <w:p w14:paraId="6D8F7AB3">
      <w:pPr>
        <w:spacing w:line="440" w:lineRule="exact"/>
        <w:ind w:firstLine="420" w:firstLineChars="200"/>
        <w:rPr>
          <w:rFonts w:ascii="Calibri" w:hAnsi="Calibri"/>
          <w:szCs w:val="21"/>
        </w:rPr>
      </w:pPr>
      <w:r>
        <w:rPr>
          <w:rFonts w:hint="eastAsia" w:ascii="宋体" w:hAnsi="宋体"/>
          <w:bCs/>
          <w:szCs w:val="21"/>
        </w:rPr>
        <w:t>采购方授权评标委员会确定中标单位，确定评标总得分最高且</w:t>
      </w:r>
      <w:r>
        <w:rPr>
          <w:rFonts w:ascii="宋体" w:hAnsi="宋体"/>
          <w:bCs/>
          <w:szCs w:val="21"/>
        </w:rPr>
        <w:t>排名第一</w:t>
      </w:r>
      <w:r>
        <w:rPr>
          <w:rFonts w:hint="eastAsia" w:ascii="宋体" w:hAnsi="宋体"/>
          <w:bCs/>
          <w:szCs w:val="21"/>
        </w:rPr>
        <w:t>的投标人为中标单位。</w:t>
      </w:r>
    </w:p>
    <w:p w14:paraId="7E694881">
      <w:pPr>
        <w:pStyle w:val="11"/>
        <w:numPr>
          <w:ilvl w:val="0"/>
          <w:numId w:val="4"/>
        </w:numPr>
        <w:spacing w:line="440" w:lineRule="exact"/>
        <w:ind w:firstLineChars="0"/>
        <w:rPr>
          <w:rFonts w:ascii="宋体" w:hAnsi="宋体"/>
          <w:b/>
          <w:szCs w:val="21"/>
        </w:rPr>
      </w:pPr>
      <w:r>
        <w:rPr>
          <w:b/>
          <w:szCs w:val="21"/>
        </w:rPr>
        <w:t>最低价法</w:t>
      </w:r>
    </w:p>
    <w:p w14:paraId="28F5A8FC">
      <w:pPr>
        <w:spacing w:line="44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14:paraId="4E9F650A">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35162708">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1BE228CB">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471C60FC">
      <w:pPr>
        <w:spacing w:line="440" w:lineRule="exact"/>
        <w:ind w:firstLine="422" w:firstLineChars="200"/>
        <w:rPr>
          <w:rFonts w:ascii="Calibri" w:hAnsi="Calibri"/>
          <w:b/>
          <w:szCs w:val="21"/>
        </w:rPr>
      </w:pPr>
      <w:r>
        <w:rPr>
          <w:rFonts w:hint="eastAsia" w:ascii="宋体" w:hAnsi="宋体"/>
          <w:b/>
          <w:szCs w:val="21"/>
        </w:rPr>
        <w:t>2、</w:t>
      </w:r>
      <w:r>
        <w:rPr>
          <w:rFonts w:ascii="Calibri" w:hAnsi="宋体"/>
          <w:b/>
          <w:szCs w:val="21"/>
        </w:rPr>
        <w:t>中标</w:t>
      </w:r>
      <w:r>
        <w:rPr>
          <w:rFonts w:hint="eastAsia" w:ascii="Calibri" w:hAnsi="宋体"/>
          <w:b/>
          <w:szCs w:val="21"/>
        </w:rPr>
        <w:t>单位</w:t>
      </w:r>
      <w:r>
        <w:rPr>
          <w:rFonts w:ascii="Calibri" w:hAnsi="宋体"/>
          <w:b/>
          <w:szCs w:val="21"/>
        </w:rPr>
        <w:t>的确定</w:t>
      </w:r>
    </w:p>
    <w:p w14:paraId="4DC5A9AE">
      <w:pPr>
        <w:spacing w:line="440" w:lineRule="exact"/>
        <w:ind w:firstLine="422" w:firstLineChars="200"/>
        <w:rPr>
          <w:rFonts w:ascii="宋体" w:hAnsi="宋体"/>
          <w:b/>
          <w:szCs w:val="21"/>
        </w:rPr>
      </w:pPr>
      <w:r>
        <w:rPr>
          <w:rFonts w:ascii="宋体" w:hAnsi="宋体"/>
          <w:b/>
          <w:szCs w:val="21"/>
        </w:rPr>
        <w:t>2</w:t>
      </w:r>
      <w:r>
        <w:rPr>
          <w:rFonts w:hint="eastAsia" w:ascii="宋体" w:hAnsi="宋体"/>
          <w:b/>
          <w:szCs w:val="21"/>
        </w:rPr>
        <w:t xml:space="preserve">.1  </w:t>
      </w:r>
      <w:r>
        <w:rPr>
          <w:rFonts w:hint="eastAsia" w:ascii="宋体" w:hAnsi="宋体"/>
          <w:b/>
          <w:bCs/>
          <w:szCs w:val="21"/>
        </w:rPr>
        <w:t>候选中标供应商推荐</w:t>
      </w:r>
    </w:p>
    <w:p w14:paraId="63002B68">
      <w:pPr>
        <w:spacing w:line="440" w:lineRule="exact"/>
        <w:ind w:firstLine="435"/>
        <w:rPr>
          <w:rFonts w:ascii="宋体" w:hAnsi="宋体"/>
          <w:szCs w:val="21"/>
        </w:rPr>
      </w:pPr>
      <w:r>
        <w:rPr>
          <w:rFonts w:hint="eastAsia" w:ascii="宋体" w:hAnsi="宋体"/>
          <w:szCs w:val="21"/>
        </w:rPr>
        <w:t>（1）</w:t>
      </w:r>
      <w:r>
        <w:rPr>
          <w:rFonts w:ascii="宋体" w:hAnsi="宋体"/>
          <w:szCs w:val="21"/>
        </w:rPr>
        <w:t>评标委员会对通过上述检查且最终报价不超过预算控制金额</w:t>
      </w:r>
      <w:r>
        <w:rPr>
          <w:rFonts w:hint="eastAsia" w:ascii="宋体" w:hAnsi="宋体"/>
          <w:szCs w:val="21"/>
        </w:rPr>
        <w:t>的投标单位进行审查，并</w:t>
      </w:r>
      <w:r>
        <w:rPr>
          <w:rFonts w:ascii="Calibri" w:hAnsi="宋体"/>
          <w:szCs w:val="21"/>
        </w:rPr>
        <w:t>按投标报价由低到高</w:t>
      </w:r>
      <w:r>
        <w:rPr>
          <w:rFonts w:hint="eastAsia" w:ascii="Calibri" w:hAnsi="宋体"/>
          <w:szCs w:val="21"/>
        </w:rPr>
        <w:t>排序；</w:t>
      </w:r>
      <w:r>
        <w:rPr>
          <w:rFonts w:ascii="Calibri" w:hAnsi="宋体"/>
          <w:szCs w:val="21"/>
        </w:rPr>
        <w:t>投标报价相同的，按技术指标优劣顺序排列</w:t>
      </w:r>
      <w:r>
        <w:rPr>
          <w:rFonts w:hint="eastAsia" w:ascii="Calibri" w:hAnsi="宋体"/>
          <w:szCs w:val="21"/>
        </w:rPr>
        <w:t>；技术指标仍然相同的，则采用抽签方式确定排序，</w:t>
      </w:r>
      <w:r>
        <w:rPr>
          <w:rFonts w:hint="eastAsia" w:asciiTheme="minorEastAsia" w:hAnsiTheme="minorEastAsia" w:eastAsiaTheme="minorEastAsia"/>
          <w:szCs w:val="21"/>
        </w:rPr>
        <w:t>具体操作办法及流程由评标委员会确定</w:t>
      </w:r>
      <w:r>
        <w:rPr>
          <w:rFonts w:ascii="Calibri" w:hAnsi="宋体"/>
          <w:szCs w:val="21"/>
        </w:rPr>
        <w:t>。</w:t>
      </w:r>
      <w:r>
        <w:rPr>
          <w:rFonts w:hint="eastAsia" w:ascii="宋体" w:hAnsi="宋体"/>
          <w:szCs w:val="21"/>
        </w:rPr>
        <w:t>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14:paraId="61F33D21">
      <w:pPr>
        <w:spacing w:line="440" w:lineRule="exact"/>
        <w:ind w:firstLine="435"/>
        <w:rPr>
          <w:rFonts w:ascii="宋体" w:hAnsi="宋体"/>
          <w:b/>
          <w:bCs/>
          <w:color w:val="FF00FF"/>
          <w:szCs w:val="21"/>
        </w:rPr>
      </w:pPr>
      <w:r>
        <w:rPr>
          <w:rFonts w:hint="eastAsia" w:ascii="宋体" w:hAnsi="宋体"/>
          <w:bCs/>
          <w:szCs w:val="21"/>
        </w:rPr>
        <w:t>（2）评标委员会按照上述投标</w:t>
      </w:r>
      <w:r>
        <w:rPr>
          <w:rFonts w:ascii="宋体" w:hAnsi="宋体"/>
          <w:bCs/>
          <w:szCs w:val="21"/>
        </w:rPr>
        <w:t>报价的</w:t>
      </w:r>
      <w:r>
        <w:rPr>
          <w:rFonts w:hint="eastAsia" w:ascii="宋体" w:hAnsi="宋体"/>
          <w:bCs/>
          <w:szCs w:val="21"/>
        </w:rPr>
        <w:t>排序结果推荐中标候选供应商，</w:t>
      </w:r>
      <w:r>
        <w:rPr>
          <w:rFonts w:hint="eastAsia" w:ascii="宋体" w:hAnsi="宋体"/>
          <w:szCs w:val="21"/>
        </w:rPr>
        <w:t>排名</w:t>
      </w:r>
      <w:r>
        <w:rPr>
          <w:rFonts w:hint="eastAsia" w:ascii="宋体" w:hAnsi="宋体"/>
          <w:szCs w:val="21"/>
          <w:highlight w:val="yellow"/>
        </w:rPr>
        <w:t>前三</w:t>
      </w:r>
      <w:r>
        <w:rPr>
          <w:rFonts w:hint="eastAsia" w:ascii="宋体" w:hAnsi="宋体"/>
          <w:szCs w:val="21"/>
        </w:rPr>
        <w:t>的投标单位</w:t>
      </w:r>
      <w:r>
        <w:rPr>
          <w:rFonts w:hint="eastAsia" w:ascii="宋体" w:hAnsi="宋体"/>
          <w:bCs/>
          <w:szCs w:val="21"/>
        </w:rPr>
        <w:t>作为推荐的候选中标供应商。</w:t>
      </w:r>
    </w:p>
    <w:p w14:paraId="2F816FB9">
      <w:pPr>
        <w:spacing w:line="440" w:lineRule="exact"/>
        <w:ind w:firstLine="435"/>
        <w:rPr>
          <w:rFonts w:ascii="宋体" w:hAnsi="宋体"/>
          <w:b/>
          <w:szCs w:val="21"/>
        </w:rPr>
      </w:pPr>
      <w:r>
        <w:rPr>
          <w:rFonts w:hint="eastAsia" w:ascii="宋体" w:hAnsi="宋体"/>
          <w:b/>
          <w:szCs w:val="21"/>
        </w:rPr>
        <w:t>2</w:t>
      </w:r>
      <w:r>
        <w:rPr>
          <w:rFonts w:ascii="宋体" w:hAnsi="宋体"/>
          <w:b/>
          <w:szCs w:val="21"/>
        </w:rPr>
        <w:t xml:space="preserve">.2  </w:t>
      </w:r>
      <w:r>
        <w:rPr>
          <w:rFonts w:hint="eastAsia" w:ascii="宋体" w:hAnsi="宋体"/>
          <w:b/>
          <w:szCs w:val="21"/>
        </w:rPr>
        <w:t>定标</w:t>
      </w:r>
    </w:p>
    <w:p w14:paraId="3ECEA1DE">
      <w:pPr>
        <w:spacing w:line="440" w:lineRule="exact"/>
        <w:ind w:firstLine="435"/>
        <w:rPr>
          <w:rFonts w:ascii="宋体" w:hAnsi="宋体"/>
          <w:szCs w:val="21"/>
        </w:rPr>
      </w:pPr>
      <w:r>
        <w:rPr>
          <w:rFonts w:ascii="宋体" w:hAnsi="宋体"/>
          <w:szCs w:val="21"/>
        </w:rPr>
        <w:t>采购方授权评标委员会确定中标单位，</w:t>
      </w:r>
      <w:r>
        <w:rPr>
          <w:rFonts w:hint="eastAsia" w:ascii="宋体" w:hAnsi="宋体"/>
          <w:szCs w:val="21"/>
        </w:rPr>
        <w:t>确定</w:t>
      </w:r>
      <w:r>
        <w:rPr>
          <w:rFonts w:ascii="宋体" w:hAnsi="宋体"/>
          <w:szCs w:val="21"/>
        </w:rPr>
        <w:t>投标</w:t>
      </w:r>
      <w:r>
        <w:rPr>
          <w:rFonts w:hint="eastAsia" w:ascii="宋体" w:hAnsi="宋体"/>
          <w:szCs w:val="21"/>
        </w:rPr>
        <w:t>报价</w:t>
      </w:r>
      <w:r>
        <w:rPr>
          <w:rFonts w:ascii="宋体" w:hAnsi="宋体"/>
          <w:szCs w:val="21"/>
        </w:rPr>
        <w:t>最低</w:t>
      </w:r>
      <w:r>
        <w:rPr>
          <w:rFonts w:hint="eastAsia" w:ascii="宋体" w:hAnsi="宋体"/>
          <w:szCs w:val="21"/>
        </w:rPr>
        <w:t>且</w:t>
      </w:r>
      <w:r>
        <w:rPr>
          <w:rFonts w:ascii="宋体" w:hAnsi="宋体"/>
          <w:szCs w:val="21"/>
        </w:rPr>
        <w:t>排名第一的投标供应商为中标</w:t>
      </w:r>
      <w:r>
        <w:rPr>
          <w:rFonts w:hint="eastAsia" w:ascii="宋体" w:hAnsi="宋体"/>
          <w:szCs w:val="21"/>
        </w:rPr>
        <w:t>单位。</w:t>
      </w:r>
    </w:p>
    <w:p w14:paraId="3255E44C">
      <w:pPr>
        <w:spacing w:line="440" w:lineRule="exact"/>
        <w:ind w:firstLine="422" w:firstLineChars="200"/>
        <w:rPr>
          <w:b/>
        </w:rPr>
      </w:pPr>
      <w:r>
        <w:rPr>
          <w:rFonts w:hint="eastAsia"/>
          <w:b/>
        </w:rPr>
        <w:t>（二）评标和定标分离的方式</w:t>
      </w:r>
    </w:p>
    <w:p w14:paraId="08D48B8B">
      <w:pPr>
        <w:spacing w:line="440" w:lineRule="exact"/>
        <w:ind w:firstLine="422" w:firstLineChars="200"/>
        <w:rPr>
          <w:rFonts w:ascii="宋体" w:hAnsi="宋体"/>
          <w:b/>
          <w:szCs w:val="21"/>
        </w:rPr>
      </w:pPr>
      <w:r>
        <w:rPr>
          <w:rFonts w:hint="eastAsia" w:ascii="宋体" w:hAnsi="宋体"/>
          <w:b/>
          <w:szCs w:val="21"/>
        </w:rPr>
        <w:t>1、</w:t>
      </w:r>
      <w:r>
        <w:rPr>
          <w:rFonts w:ascii="宋体" w:hAnsi="宋体"/>
          <w:b/>
          <w:szCs w:val="21"/>
        </w:rPr>
        <w:t>符合性检查</w:t>
      </w:r>
    </w:p>
    <w:p w14:paraId="6F7CAC64">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评标委员会根据</w:t>
      </w:r>
      <w:r>
        <w:rPr>
          <w:rFonts w:hint="eastAsia" w:ascii="宋体" w:hAnsi="宋体"/>
          <w:bCs/>
          <w:szCs w:val="21"/>
        </w:rPr>
        <w:t>《</w:t>
      </w:r>
      <w:r>
        <w:rPr>
          <w:rFonts w:ascii="宋体" w:hAnsi="宋体"/>
          <w:bCs/>
          <w:szCs w:val="21"/>
        </w:rPr>
        <w:t>符合性检查表》的内容和标准，对所有</w:t>
      </w:r>
      <w:r>
        <w:rPr>
          <w:rFonts w:hint="eastAsia" w:ascii="宋体" w:hAnsi="宋体"/>
          <w:bCs/>
          <w:szCs w:val="21"/>
        </w:rPr>
        <w:t>通过资格性核查的</w:t>
      </w:r>
      <w:r>
        <w:rPr>
          <w:rFonts w:ascii="宋体" w:hAnsi="宋体"/>
          <w:bCs/>
          <w:szCs w:val="21"/>
        </w:rPr>
        <w:t>投标</w:t>
      </w:r>
      <w:r>
        <w:rPr>
          <w:rFonts w:hint="eastAsia" w:ascii="宋体" w:hAnsi="宋体"/>
          <w:bCs/>
          <w:szCs w:val="21"/>
        </w:rPr>
        <w:t>文件</w:t>
      </w:r>
      <w:r>
        <w:rPr>
          <w:rFonts w:ascii="宋体" w:hAnsi="宋体"/>
          <w:bCs/>
          <w:szCs w:val="21"/>
        </w:rPr>
        <w:t>进行</w:t>
      </w:r>
      <w:r>
        <w:rPr>
          <w:rFonts w:hint="eastAsia" w:ascii="宋体" w:hAnsi="宋体"/>
          <w:bCs/>
          <w:szCs w:val="21"/>
        </w:rPr>
        <w:t>审</w:t>
      </w:r>
      <w:r>
        <w:rPr>
          <w:rFonts w:ascii="宋体" w:hAnsi="宋体"/>
          <w:bCs/>
          <w:szCs w:val="21"/>
        </w:rPr>
        <w:t>查。</w:t>
      </w:r>
    </w:p>
    <w:p w14:paraId="3FDF17E4">
      <w:pPr>
        <w:spacing w:line="440" w:lineRule="exact"/>
        <w:ind w:firstLine="420" w:firstLineChars="200"/>
        <w:rPr>
          <w:rFonts w:ascii="宋体" w:hAnsi="宋体"/>
          <w:bCs/>
          <w:szCs w:val="21"/>
        </w:rPr>
      </w:pPr>
      <w:r>
        <w:rPr>
          <w:rFonts w:hint="eastAsia" w:ascii="宋体" w:hAnsi="宋体"/>
          <w:bCs/>
          <w:szCs w:val="21"/>
        </w:rPr>
        <w:t>（2）</w:t>
      </w:r>
      <w:r>
        <w:rPr>
          <w:rFonts w:ascii="宋体" w:hAnsi="宋体"/>
          <w:bCs/>
          <w:szCs w:val="21"/>
        </w:rPr>
        <w:t>符合性检查的对象是投标人提交的投标文件，评标委员会只就投标文件中所载明的情况进行</w:t>
      </w:r>
      <w:r>
        <w:rPr>
          <w:rFonts w:hint="eastAsia" w:ascii="宋体" w:hAnsi="宋体"/>
          <w:bCs/>
          <w:szCs w:val="21"/>
        </w:rPr>
        <w:t>审</w:t>
      </w:r>
      <w:r>
        <w:rPr>
          <w:rFonts w:ascii="宋体" w:hAnsi="宋体"/>
          <w:bCs/>
          <w:szCs w:val="21"/>
        </w:rPr>
        <w:t>查。</w:t>
      </w:r>
    </w:p>
    <w:p w14:paraId="03F0A00C">
      <w:pPr>
        <w:spacing w:line="440" w:lineRule="exact"/>
        <w:ind w:firstLine="420" w:firstLineChars="200"/>
        <w:rPr>
          <w:rFonts w:ascii="Calibri" w:hAnsi="Calibri"/>
          <w:szCs w:val="21"/>
        </w:rPr>
      </w:pPr>
      <w:r>
        <w:rPr>
          <w:rFonts w:hint="eastAsia" w:ascii="宋体" w:hAnsi="宋体"/>
          <w:bCs/>
          <w:szCs w:val="21"/>
        </w:rPr>
        <w:t>（3）</w:t>
      </w:r>
      <w:r>
        <w:rPr>
          <w:rFonts w:ascii="宋体" w:hAnsi="宋体"/>
          <w:bCs/>
          <w:szCs w:val="21"/>
        </w:rPr>
        <w:t>符</w:t>
      </w:r>
      <w:r>
        <w:rPr>
          <w:rFonts w:ascii="Calibri" w:hAnsi="宋体"/>
          <w:szCs w:val="21"/>
        </w:rPr>
        <w:t>合性检查的结果是</w:t>
      </w:r>
      <w:r>
        <w:rPr>
          <w:rFonts w:ascii="Calibri" w:hAnsi="Calibri"/>
          <w:szCs w:val="21"/>
        </w:rPr>
        <w:t>“</w:t>
      </w:r>
      <w:r>
        <w:rPr>
          <w:rFonts w:ascii="Calibri" w:hAnsi="宋体"/>
          <w:szCs w:val="21"/>
        </w:rPr>
        <w:t>通过</w:t>
      </w:r>
      <w:r>
        <w:rPr>
          <w:rFonts w:ascii="Calibri" w:hAnsi="Calibri"/>
          <w:szCs w:val="21"/>
        </w:rPr>
        <w:t>”</w:t>
      </w:r>
      <w:r>
        <w:rPr>
          <w:rFonts w:ascii="Calibri" w:hAnsi="宋体"/>
          <w:szCs w:val="21"/>
        </w:rPr>
        <w:t>或</w:t>
      </w:r>
      <w:r>
        <w:rPr>
          <w:rFonts w:ascii="Calibri" w:hAnsi="Calibri"/>
          <w:szCs w:val="21"/>
        </w:rPr>
        <w:t>“</w:t>
      </w:r>
      <w:r>
        <w:rPr>
          <w:rFonts w:ascii="Calibri" w:hAnsi="宋体"/>
          <w:szCs w:val="21"/>
        </w:rPr>
        <w:t>不通过</w:t>
      </w:r>
      <w:r>
        <w:rPr>
          <w:rFonts w:ascii="Calibri" w:hAnsi="Calibri"/>
          <w:szCs w:val="21"/>
        </w:rPr>
        <w:t>”</w:t>
      </w:r>
      <w:r>
        <w:rPr>
          <w:rFonts w:ascii="Calibri" w:hAnsi="宋体"/>
          <w:szCs w:val="21"/>
        </w:rPr>
        <w:t>，只有逐条通过</w:t>
      </w:r>
      <w:r>
        <w:rPr>
          <w:rFonts w:ascii="宋体" w:hAnsi="宋体"/>
          <w:bCs/>
          <w:szCs w:val="21"/>
        </w:rPr>
        <w:t>《符合性检查表》</w:t>
      </w:r>
      <w:r>
        <w:rPr>
          <w:rFonts w:ascii="Calibri" w:hAnsi="宋体"/>
          <w:szCs w:val="21"/>
        </w:rPr>
        <w:t>各项检查的投标方能进入下一阶段的评标，否则将导致其投标被废标。</w:t>
      </w:r>
    </w:p>
    <w:p w14:paraId="68758275">
      <w:pPr>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商务</w:t>
      </w:r>
      <w:r>
        <w:rPr>
          <w:rFonts w:hint="eastAsia" w:ascii="宋体" w:hAnsi="宋体"/>
          <w:b/>
          <w:szCs w:val="21"/>
        </w:rPr>
        <w:t>、</w:t>
      </w:r>
      <w:r>
        <w:rPr>
          <w:rFonts w:ascii="宋体" w:hAnsi="宋体"/>
          <w:b/>
          <w:szCs w:val="21"/>
        </w:rPr>
        <w:t>技术及价格评议</w:t>
      </w:r>
    </w:p>
    <w:p w14:paraId="2D0C1A01">
      <w:pPr>
        <w:spacing w:line="440" w:lineRule="exact"/>
        <w:ind w:firstLine="420" w:firstLineChars="200"/>
        <w:rPr>
          <w:rFonts w:ascii="宋体" w:hAnsi="宋体"/>
          <w:szCs w:val="21"/>
        </w:rPr>
      </w:pPr>
      <w:r>
        <w:rPr>
          <w:rFonts w:hint="eastAsia" w:ascii="宋体" w:hAnsi="宋体"/>
          <w:szCs w:val="21"/>
        </w:rPr>
        <w:t>（1）</w:t>
      </w:r>
      <w:r>
        <w:rPr>
          <w:rFonts w:ascii="宋体" w:hAnsi="宋体"/>
          <w:szCs w:val="21"/>
        </w:rPr>
        <w:t>评标委员会根据《</w:t>
      </w:r>
      <w:r>
        <w:rPr>
          <w:rFonts w:hint="eastAsia" w:ascii="宋体" w:hAnsi="宋体"/>
          <w:szCs w:val="21"/>
        </w:rPr>
        <w:t>评分表</w:t>
      </w:r>
      <w:r>
        <w:rPr>
          <w:rFonts w:ascii="宋体" w:hAnsi="宋体"/>
          <w:szCs w:val="21"/>
        </w:rPr>
        <w:t>》的内容和标准，对通过</w:t>
      </w:r>
      <w:r>
        <w:rPr>
          <w:rFonts w:hint="eastAsia" w:ascii="宋体" w:hAnsi="宋体"/>
          <w:bCs/>
          <w:szCs w:val="21"/>
        </w:rPr>
        <w:t>资格性和</w:t>
      </w:r>
      <w:r>
        <w:rPr>
          <w:rFonts w:ascii="宋体" w:hAnsi="宋体"/>
          <w:bCs/>
          <w:szCs w:val="21"/>
        </w:rPr>
        <w:t>符合性</w:t>
      </w:r>
      <w:r>
        <w:rPr>
          <w:rFonts w:ascii="宋体" w:hAnsi="宋体"/>
          <w:szCs w:val="21"/>
        </w:rPr>
        <w:t>检查的投标进行商务</w:t>
      </w:r>
      <w:r>
        <w:rPr>
          <w:rFonts w:hint="eastAsia" w:ascii="宋体" w:hAnsi="宋体"/>
          <w:szCs w:val="21"/>
        </w:rPr>
        <w:t>、</w:t>
      </w:r>
      <w:r>
        <w:rPr>
          <w:rFonts w:ascii="宋体" w:hAnsi="宋体"/>
          <w:szCs w:val="21"/>
        </w:rPr>
        <w:t>技术</w:t>
      </w:r>
      <w:r>
        <w:rPr>
          <w:rFonts w:hint="eastAsia" w:ascii="宋体" w:hAnsi="宋体"/>
          <w:szCs w:val="21"/>
        </w:rPr>
        <w:t>及价格</w:t>
      </w:r>
      <w:r>
        <w:rPr>
          <w:rFonts w:ascii="宋体" w:hAnsi="宋体"/>
          <w:szCs w:val="21"/>
        </w:rPr>
        <w:t>评议。</w:t>
      </w:r>
    </w:p>
    <w:p w14:paraId="1F14D4B2">
      <w:pPr>
        <w:spacing w:line="440" w:lineRule="exact"/>
        <w:ind w:firstLine="420" w:firstLineChars="200"/>
        <w:rPr>
          <w:rFonts w:ascii="Calibri" w:hAnsi="Calibri"/>
          <w:szCs w:val="21"/>
        </w:rPr>
      </w:pPr>
      <w:r>
        <w:rPr>
          <w:rFonts w:hint="eastAsia" w:ascii="宋体" w:hAnsi="宋体"/>
          <w:szCs w:val="21"/>
        </w:rPr>
        <w:t>（2）</w:t>
      </w:r>
      <w:r>
        <w:rPr>
          <w:rFonts w:ascii="宋体" w:hAnsi="宋体"/>
          <w:szCs w:val="21"/>
        </w:rPr>
        <w:t>评</w:t>
      </w:r>
      <w:r>
        <w:rPr>
          <w:rFonts w:ascii="Calibri" w:hAnsi="宋体"/>
          <w:szCs w:val="21"/>
        </w:rPr>
        <w:t>标委员会将对照招标文件中的商务、技术需求条款和投标文件中的商务、技术条款响应进行评议</w:t>
      </w:r>
      <w:r>
        <w:rPr>
          <w:rFonts w:hint="eastAsia" w:ascii="Calibri" w:hAnsi="宋体"/>
          <w:szCs w:val="21"/>
        </w:rPr>
        <w:t>；</w:t>
      </w:r>
      <w:r>
        <w:rPr>
          <w:rFonts w:ascii="Calibri" w:hAnsi="宋体"/>
          <w:szCs w:val="21"/>
        </w:rPr>
        <w:t>评标委员会成员将按照《</w:t>
      </w:r>
      <w:r>
        <w:rPr>
          <w:rFonts w:hint="eastAsia" w:ascii="Calibri" w:hAnsi="宋体"/>
          <w:szCs w:val="21"/>
        </w:rPr>
        <w:t>评分表</w:t>
      </w:r>
      <w:r>
        <w:rPr>
          <w:rFonts w:ascii="Calibri" w:hAnsi="宋体"/>
          <w:szCs w:val="21"/>
        </w:rPr>
        <w:t>》确定的</w:t>
      </w:r>
      <w:r>
        <w:rPr>
          <w:rFonts w:hint="eastAsia" w:ascii="Calibri" w:hAnsi="宋体"/>
          <w:szCs w:val="21"/>
        </w:rPr>
        <w:t>分值</w:t>
      </w:r>
      <w:r>
        <w:rPr>
          <w:rFonts w:ascii="Calibri" w:hAnsi="宋体"/>
          <w:szCs w:val="21"/>
        </w:rPr>
        <w:t>独立对每个投标的商务</w:t>
      </w:r>
      <w:r>
        <w:rPr>
          <w:rFonts w:hint="eastAsia" w:ascii="Calibri" w:hAnsi="宋体"/>
          <w:szCs w:val="21"/>
        </w:rPr>
        <w:t>、</w:t>
      </w:r>
      <w:r>
        <w:rPr>
          <w:rFonts w:ascii="Calibri" w:hAnsi="宋体"/>
          <w:szCs w:val="21"/>
        </w:rPr>
        <w:t>技术</w:t>
      </w:r>
      <w:r>
        <w:rPr>
          <w:rFonts w:hint="eastAsia" w:ascii="Calibri" w:hAnsi="宋体"/>
          <w:szCs w:val="21"/>
        </w:rPr>
        <w:t>及价格</w:t>
      </w:r>
      <w:r>
        <w:rPr>
          <w:rFonts w:ascii="Calibri" w:hAnsi="宋体"/>
          <w:szCs w:val="21"/>
        </w:rPr>
        <w:t>部分以打分的方式进行评议。</w:t>
      </w:r>
    </w:p>
    <w:p w14:paraId="24D633A8">
      <w:pPr>
        <w:spacing w:line="440" w:lineRule="exact"/>
        <w:ind w:firstLine="422" w:firstLineChars="200"/>
        <w:rPr>
          <w:rFonts w:ascii="Calibri" w:hAnsi="Calibri"/>
          <w:b/>
          <w:szCs w:val="21"/>
        </w:rPr>
      </w:pPr>
      <w:r>
        <w:rPr>
          <w:rFonts w:hint="eastAsia" w:ascii="宋体" w:hAnsi="宋体"/>
          <w:b/>
          <w:szCs w:val="21"/>
        </w:rPr>
        <w:t>3、</w:t>
      </w:r>
      <w:r>
        <w:rPr>
          <w:rFonts w:ascii="Calibri" w:hAnsi="宋体"/>
          <w:b/>
          <w:szCs w:val="21"/>
        </w:rPr>
        <w:t>中标</w:t>
      </w:r>
      <w:r>
        <w:rPr>
          <w:rFonts w:hint="eastAsia" w:ascii="Calibri" w:hAnsi="宋体"/>
          <w:b/>
          <w:szCs w:val="21"/>
        </w:rPr>
        <w:t>单位</w:t>
      </w:r>
      <w:r>
        <w:rPr>
          <w:rFonts w:ascii="Calibri" w:hAnsi="宋体"/>
          <w:b/>
          <w:szCs w:val="21"/>
        </w:rPr>
        <w:t>的确定</w:t>
      </w:r>
    </w:p>
    <w:p w14:paraId="39173ECA">
      <w:pPr>
        <w:spacing w:line="440" w:lineRule="exact"/>
        <w:ind w:firstLine="422" w:firstLineChars="200"/>
        <w:rPr>
          <w:rFonts w:ascii="宋体" w:hAnsi="宋体"/>
          <w:b/>
          <w:szCs w:val="21"/>
        </w:rPr>
      </w:pPr>
      <w:r>
        <w:rPr>
          <w:rFonts w:hint="eastAsia" w:ascii="宋体" w:hAnsi="宋体"/>
          <w:b/>
          <w:szCs w:val="21"/>
        </w:rPr>
        <w:t xml:space="preserve">3.1  </w:t>
      </w:r>
      <w:r>
        <w:rPr>
          <w:rFonts w:hint="eastAsia" w:ascii="宋体" w:hAnsi="宋体"/>
          <w:b/>
          <w:bCs/>
          <w:szCs w:val="21"/>
        </w:rPr>
        <w:t>候选中标供应商推荐</w:t>
      </w:r>
    </w:p>
    <w:p w14:paraId="73AAB51F">
      <w:pPr>
        <w:spacing w:line="440" w:lineRule="exact"/>
        <w:ind w:firstLine="420" w:firstLineChars="200"/>
        <w:rPr>
          <w:rFonts w:ascii="宋体" w:hAnsi="宋体"/>
          <w:bCs/>
          <w:szCs w:val="21"/>
        </w:rPr>
      </w:pPr>
      <w:r>
        <w:rPr>
          <w:rFonts w:hint="eastAsia" w:ascii="宋体" w:hAnsi="宋体"/>
          <w:bCs/>
          <w:szCs w:val="21"/>
        </w:rPr>
        <w:t>（1）每个投标单位的评标总得分以</w:t>
      </w:r>
      <w:r>
        <w:rPr>
          <w:rFonts w:hint="eastAsia" w:ascii="宋体" w:hAnsi="宋体"/>
          <w:szCs w:val="21"/>
        </w:rPr>
        <w:t>所有评标委员会成员的独立评分汇总</w:t>
      </w:r>
      <w:r>
        <w:rPr>
          <w:rFonts w:hint="eastAsia" w:ascii="宋体" w:hAnsi="宋体"/>
          <w:bCs/>
          <w:szCs w:val="21"/>
        </w:rPr>
        <w:t>后确定，</w:t>
      </w:r>
      <w:r>
        <w:rPr>
          <w:rFonts w:ascii="宋体" w:hAnsi="宋体"/>
          <w:bCs/>
          <w:szCs w:val="21"/>
        </w:rPr>
        <w:t>评标总得分相同的，按投标报价由低到高顺序排列；评标总得分且投标报价相同的，按技术指标</w:t>
      </w:r>
      <w:r>
        <w:rPr>
          <w:rFonts w:hint="eastAsia" w:ascii="宋体" w:hAnsi="宋体"/>
          <w:bCs/>
          <w:szCs w:val="21"/>
        </w:rPr>
        <w:t>（技术部分）</w:t>
      </w:r>
      <w:r>
        <w:rPr>
          <w:rFonts w:ascii="宋体" w:hAnsi="宋体"/>
          <w:bCs/>
          <w:szCs w:val="21"/>
        </w:rPr>
        <w:t>得分优劣顺序排列</w:t>
      </w:r>
      <w:r>
        <w:rPr>
          <w:rFonts w:hint="eastAsia" w:ascii="Calibri" w:hAnsi="宋体"/>
          <w:szCs w:val="21"/>
        </w:rPr>
        <w:t>；如</w:t>
      </w:r>
      <w:r>
        <w:rPr>
          <w:rFonts w:ascii="Calibri" w:hAnsi="宋体"/>
          <w:szCs w:val="21"/>
        </w:rPr>
        <w:t>技术指标</w:t>
      </w:r>
      <w:r>
        <w:rPr>
          <w:rFonts w:hint="eastAsia" w:ascii="Calibri" w:hAnsi="宋体"/>
          <w:szCs w:val="21"/>
        </w:rPr>
        <w:t>（技术部分）</w:t>
      </w:r>
      <w:r>
        <w:rPr>
          <w:rFonts w:ascii="Calibri" w:hAnsi="宋体"/>
          <w:szCs w:val="21"/>
        </w:rPr>
        <w:t>得分</w:t>
      </w:r>
      <w:r>
        <w:rPr>
          <w:rFonts w:hint="eastAsia" w:ascii="Calibri" w:hAnsi="宋体"/>
          <w:szCs w:val="21"/>
        </w:rPr>
        <w:t>仍然相同的，则采用抽签方式确定排序，</w:t>
      </w:r>
      <w:r>
        <w:rPr>
          <w:rFonts w:hint="eastAsia" w:asciiTheme="minorEastAsia" w:hAnsiTheme="minorEastAsia" w:eastAsiaTheme="minorEastAsia"/>
          <w:szCs w:val="21"/>
        </w:rPr>
        <w:t>具体操作办法及流程由评标委员会确定</w:t>
      </w:r>
      <w:r>
        <w:rPr>
          <w:rFonts w:ascii="宋体" w:hAnsi="宋体"/>
          <w:bCs/>
          <w:szCs w:val="21"/>
        </w:rPr>
        <w:t>。</w:t>
      </w:r>
    </w:p>
    <w:p w14:paraId="4DDB70A7">
      <w:pPr>
        <w:spacing w:line="440" w:lineRule="exact"/>
        <w:ind w:firstLine="420" w:firstLineChars="200"/>
        <w:rPr>
          <w:szCs w:val="21"/>
        </w:rPr>
      </w:pPr>
      <w:r>
        <w:rPr>
          <w:rFonts w:hint="eastAsia" w:ascii="宋体" w:hAnsi="宋体"/>
          <w:bCs/>
          <w:szCs w:val="21"/>
        </w:rPr>
        <w:t>（2）评标委员会按照综合评分的排名结果推荐中标候选供应商，</w:t>
      </w:r>
      <w:r>
        <w:rPr>
          <w:rFonts w:hint="eastAsia" w:ascii="宋体" w:hAnsi="宋体"/>
          <w:szCs w:val="21"/>
        </w:rPr>
        <w:t>排名前三的投标单位</w:t>
      </w:r>
      <w:r>
        <w:rPr>
          <w:rFonts w:hint="eastAsia" w:ascii="宋体" w:hAnsi="宋体"/>
          <w:bCs/>
          <w:szCs w:val="21"/>
        </w:rPr>
        <w:t>作为推荐的候选中标供应商（排名不分先后）。</w:t>
      </w:r>
    </w:p>
    <w:p w14:paraId="749DA011">
      <w:pPr>
        <w:spacing w:line="440" w:lineRule="exact"/>
        <w:ind w:firstLine="422" w:firstLineChars="200"/>
        <w:rPr>
          <w:rFonts w:ascii="宋体" w:hAnsi="宋体"/>
          <w:b/>
          <w:bCs/>
          <w:szCs w:val="21"/>
        </w:rPr>
      </w:pPr>
      <w:r>
        <w:rPr>
          <w:rFonts w:hint="eastAsia" w:ascii="宋体" w:hAnsi="宋体"/>
          <w:b/>
          <w:bCs/>
          <w:szCs w:val="21"/>
        </w:rPr>
        <w:t>3.2  定标</w:t>
      </w:r>
    </w:p>
    <w:p w14:paraId="16C7DEF7">
      <w:pPr>
        <w:spacing w:line="440" w:lineRule="exact"/>
        <w:ind w:firstLine="420" w:firstLineChars="200"/>
        <w:rPr>
          <w:rFonts w:ascii="宋体" w:hAnsi="宋体"/>
          <w:bCs/>
          <w:szCs w:val="21"/>
        </w:rPr>
      </w:pPr>
      <w:r>
        <w:rPr>
          <w:rFonts w:hint="eastAsia" w:ascii="宋体" w:hAnsi="宋体"/>
          <w:bCs/>
          <w:szCs w:val="21"/>
        </w:rPr>
        <w:t>采购单位从评标委员会推荐的候选中标供应商中，</w:t>
      </w:r>
      <w:r>
        <w:rPr>
          <w:rFonts w:ascii="宋体" w:hAnsi="宋体"/>
          <w:bCs/>
          <w:szCs w:val="21"/>
        </w:rPr>
        <w:t>采用</w:t>
      </w:r>
      <w:r>
        <w:rPr>
          <w:rFonts w:ascii="宋体" w:hAnsi="宋体"/>
          <w:b/>
          <w:bCs/>
          <w:szCs w:val="21"/>
        </w:rPr>
        <w:t>自定法</w:t>
      </w:r>
      <w:r>
        <w:rPr>
          <w:rFonts w:hint="eastAsia" w:ascii="宋体" w:hAnsi="宋体"/>
          <w:bCs/>
          <w:szCs w:val="21"/>
        </w:rPr>
        <w:t>自行选择确定一名中标单位，具体操作程序按照《深圳市政府采购评标定标分离管理办法》要求执行。</w:t>
      </w:r>
    </w:p>
    <w:p w14:paraId="14D1B4C8">
      <w:pPr>
        <w:spacing w:line="440" w:lineRule="exact"/>
        <w:ind w:firstLine="386" w:firstLineChars="183"/>
        <w:rPr>
          <w:rFonts w:hint="eastAsia" w:ascii="宋体" w:hAnsi="宋体"/>
          <w:szCs w:val="21"/>
          <w:highlight w:val="yellow"/>
        </w:rPr>
      </w:pPr>
      <w:r>
        <w:rPr>
          <w:rFonts w:hint="eastAsia" w:ascii="宋体" w:hAnsi="宋体"/>
          <w:b/>
          <w:szCs w:val="21"/>
        </w:rPr>
        <w:t>4、质疑投诉处理：</w:t>
      </w:r>
      <w:r>
        <w:rPr>
          <w:rFonts w:hint="eastAsia" w:ascii="宋体" w:hAnsi="宋体"/>
          <w:szCs w:val="21"/>
        </w:rPr>
        <w:t>确定中标单位后出现质疑投诉的，按照以下程序进行处理：</w:t>
      </w:r>
      <w:r>
        <w:rPr>
          <w:rFonts w:hint="eastAsia" w:ascii="宋体" w:hAnsi="宋体"/>
          <w:szCs w:val="21"/>
          <w:highlight w:val="yellow"/>
        </w:rPr>
        <w:t>（1）中标单位因质疑、投诉等问题被取消或</w:t>
      </w:r>
      <w:r>
        <w:rPr>
          <w:rFonts w:ascii="宋体" w:hAnsi="宋体"/>
          <w:szCs w:val="21"/>
          <w:highlight w:val="yellow"/>
        </w:rPr>
        <w:t>放弃</w:t>
      </w:r>
      <w:r>
        <w:rPr>
          <w:rFonts w:hint="eastAsia" w:ascii="宋体" w:hAnsi="宋体"/>
          <w:szCs w:val="21"/>
          <w:highlight w:val="yellow"/>
        </w:rPr>
        <w:t>候选中标资格，候选</w:t>
      </w:r>
      <w:r>
        <w:rPr>
          <w:rFonts w:ascii="宋体" w:hAnsi="宋体"/>
          <w:szCs w:val="21"/>
          <w:highlight w:val="yellow"/>
        </w:rPr>
        <w:t>中标</w:t>
      </w:r>
      <w:r>
        <w:rPr>
          <w:rFonts w:hint="eastAsia" w:ascii="宋体" w:hAnsi="宋体"/>
          <w:szCs w:val="21"/>
          <w:highlight w:val="yellow"/>
        </w:rPr>
        <w:t>供应商</w:t>
      </w:r>
      <w:r>
        <w:rPr>
          <w:rFonts w:ascii="宋体" w:hAnsi="宋体"/>
          <w:szCs w:val="21"/>
          <w:highlight w:val="yellow"/>
        </w:rPr>
        <w:t>不再</w:t>
      </w:r>
      <w:r>
        <w:rPr>
          <w:rFonts w:hint="eastAsia" w:ascii="宋体" w:hAnsi="宋体"/>
          <w:szCs w:val="21"/>
          <w:highlight w:val="yellow"/>
        </w:rPr>
        <w:t>替补</w:t>
      </w:r>
      <w:r>
        <w:rPr>
          <w:rFonts w:ascii="宋体" w:hAnsi="宋体"/>
          <w:szCs w:val="21"/>
          <w:highlight w:val="yellow"/>
        </w:rPr>
        <w:t>，</w:t>
      </w:r>
      <w:r>
        <w:rPr>
          <w:rFonts w:hint="eastAsia" w:ascii="宋体" w:hAnsi="宋体"/>
          <w:szCs w:val="21"/>
          <w:highlight w:val="yellow"/>
        </w:rPr>
        <w:t>如有效</w:t>
      </w:r>
      <w:r>
        <w:rPr>
          <w:rFonts w:ascii="宋体" w:hAnsi="宋体"/>
          <w:szCs w:val="21"/>
          <w:highlight w:val="yellow"/>
        </w:rPr>
        <w:t>投标</w:t>
      </w:r>
      <w:r>
        <w:rPr>
          <w:rFonts w:hint="eastAsia" w:ascii="宋体" w:hAnsi="宋体"/>
          <w:szCs w:val="21"/>
          <w:highlight w:val="yellow"/>
        </w:rPr>
        <w:t>供应商满足</w:t>
      </w:r>
      <w:r>
        <w:rPr>
          <w:rFonts w:ascii="宋体" w:hAnsi="宋体"/>
          <w:szCs w:val="21"/>
          <w:highlight w:val="yellow"/>
        </w:rPr>
        <w:t>法定数量</w:t>
      </w:r>
      <w:r>
        <w:rPr>
          <w:rFonts w:hint="eastAsia" w:ascii="宋体" w:hAnsi="宋体"/>
          <w:szCs w:val="21"/>
          <w:highlight w:val="yellow"/>
        </w:rPr>
        <w:t>，可按</w:t>
      </w:r>
      <w:r>
        <w:rPr>
          <w:rFonts w:ascii="宋体" w:hAnsi="宋体"/>
          <w:szCs w:val="21"/>
          <w:highlight w:val="yellow"/>
        </w:rPr>
        <w:t>相关规定</w:t>
      </w:r>
      <w:r>
        <w:rPr>
          <w:rFonts w:hint="eastAsia" w:ascii="宋体" w:hAnsi="宋体"/>
          <w:szCs w:val="21"/>
          <w:highlight w:val="yellow"/>
        </w:rPr>
        <w:t>在</w:t>
      </w:r>
      <w:r>
        <w:rPr>
          <w:rFonts w:ascii="宋体" w:hAnsi="宋体"/>
          <w:szCs w:val="21"/>
          <w:highlight w:val="yellow"/>
        </w:rPr>
        <w:t>其他</w:t>
      </w:r>
      <w:r>
        <w:rPr>
          <w:rFonts w:hint="eastAsia" w:ascii="宋体" w:hAnsi="宋体"/>
          <w:szCs w:val="21"/>
          <w:highlight w:val="yellow"/>
        </w:rPr>
        <w:t>候选</w:t>
      </w:r>
      <w:r>
        <w:rPr>
          <w:rFonts w:ascii="宋体" w:hAnsi="宋体"/>
          <w:szCs w:val="21"/>
          <w:highlight w:val="yellow"/>
        </w:rPr>
        <w:t>中标</w:t>
      </w:r>
      <w:r>
        <w:rPr>
          <w:rFonts w:hint="eastAsia" w:ascii="宋体" w:hAnsi="宋体"/>
          <w:szCs w:val="21"/>
          <w:highlight w:val="yellow"/>
        </w:rPr>
        <w:t>供应商中另行</w:t>
      </w:r>
      <w:r>
        <w:rPr>
          <w:rFonts w:ascii="宋体" w:hAnsi="宋体"/>
          <w:szCs w:val="21"/>
          <w:highlight w:val="yellow"/>
        </w:rPr>
        <w:t>确定中标</w:t>
      </w:r>
      <w:r>
        <w:rPr>
          <w:rFonts w:hint="eastAsia" w:ascii="宋体" w:hAnsi="宋体"/>
          <w:szCs w:val="21"/>
          <w:highlight w:val="yellow"/>
        </w:rPr>
        <w:t>单位</w:t>
      </w:r>
      <w:r>
        <w:rPr>
          <w:rFonts w:ascii="宋体" w:hAnsi="宋体"/>
          <w:szCs w:val="21"/>
          <w:highlight w:val="yellow"/>
        </w:rPr>
        <w:t>，或者</w:t>
      </w:r>
      <w:r>
        <w:rPr>
          <w:rFonts w:hint="eastAsia" w:ascii="宋体" w:hAnsi="宋体"/>
          <w:szCs w:val="21"/>
          <w:highlight w:val="yellow"/>
        </w:rPr>
        <w:t>重新组织招标；（2）候选中标供应商因质疑、投诉等问题被取消候选中标资格，如有效</w:t>
      </w:r>
      <w:r>
        <w:rPr>
          <w:rFonts w:ascii="宋体" w:hAnsi="宋体"/>
          <w:szCs w:val="21"/>
          <w:highlight w:val="yellow"/>
        </w:rPr>
        <w:t>投标</w:t>
      </w:r>
      <w:r>
        <w:rPr>
          <w:rFonts w:hint="eastAsia" w:ascii="宋体" w:hAnsi="宋体"/>
          <w:szCs w:val="21"/>
          <w:highlight w:val="yellow"/>
        </w:rPr>
        <w:t>供应商满足</w:t>
      </w:r>
      <w:r>
        <w:rPr>
          <w:rFonts w:ascii="宋体" w:hAnsi="宋体"/>
          <w:szCs w:val="21"/>
          <w:highlight w:val="yellow"/>
        </w:rPr>
        <w:t>法定数量</w:t>
      </w:r>
      <w:r>
        <w:rPr>
          <w:rFonts w:hint="eastAsia" w:ascii="宋体" w:hAnsi="宋体"/>
          <w:szCs w:val="21"/>
          <w:highlight w:val="yellow"/>
        </w:rPr>
        <w:t>，则维持原中标结果；如有效</w:t>
      </w:r>
      <w:r>
        <w:rPr>
          <w:rFonts w:ascii="宋体" w:hAnsi="宋体"/>
          <w:szCs w:val="21"/>
          <w:highlight w:val="yellow"/>
        </w:rPr>
        <w:t>投标</w:t>
      </w:r>
      <w:r>
        <w:rPr>
          <w:rFonts w:hint="eastAsia" w:ascii="宋体" w:hAnsi="宋体"/>
          <w:szCs w:val="21"/>
          <w:highlight w:val="yellow"/>
        </w:rPr>
        <w:t>供应商不足</w:t>
      </w:r>
      <w:r>
        <w:rPr>
          <w:rFonts w:ascii="宋体" w:hAnsi="宋体"/>
          <w:szCs w:val="21"/>
          <w:highlight w:val="yellow"/>
        </w:rPr>
        <w:t>法定数量</w:t>
      </w:r>
      <w:r>
        <w:rPr>
          <w:rFonts w:hint="eastAsia" w:ascii="宋体" w:hAnsi="宋体"/>
          <w:szCs w:val="21"/>
          <w:highlight w:val="yellow"/>
        </w:rPr>
        <w:t>，则该项目作废标处理，重新组织招标。</w:t>
      </w:r>
    </w:p>
    <w:p w14:paraId="2049F92E">
      <w:pPr>
        <w:numPr>
          <w:ilvl w:val="0"/>
          <w:numId w:val="5"/>
        </w:numPr>
        <w:spacing w:line="360" w:lineRule="exact"/>
        <w:ind w:firstLine="422" w:firstLineChars="200"/>
        <w:rPr>
          <w:rFonts w:hint="eastAsia" w:ascii="宋体" w:hAnsi="宋体"/>
          <w:b/>
          <w:bCs/>
          <w:szCs w:val="21"/>
        </w:rPr>
      </w:pPr>
      <w:r>
        <w:rPr>
          <w:rFonts w:hint="eastAsia" w:ascii="宋体" w:hAnsi="宋体" w:eastAsia="宋体" w:cs="宋体"/>
          <w:b/>
          <w:color w:val="auto"/>
          <w:sz w:val="21"/>
          <w:szCs w:val="21"/>
        </w:rPr>
        <w:t>需要落实的政府采购政策</w:t>
      </w:r>
    </w:p>
    <w:p w14:paraId="77355002">
      <w:pPr>
        <w:spacing w:line="440" w:lineRule="exact"/>
        <w:ind w:firstLine="420" w:firstLineChars="200"/>
        <w:rPr>
          <w:rFonts w:hint="eastAsia" w:ascii="宋体" w:hAnsi="宋体" w:cs="Times New Roman"/>
          <w:bCs/>
          <w:szCs w:val="21"/>
        </w:rPr>
      </w:pPr>
      <w:r>
        <w:rPr>
          <w:rFonts w:hint="eastAsia" w:ascii="宋体" w:hAnsi="宋体" w:cs="Times New Roman"/>
          <w:bCs/>
          <w:szCs w:val="21"/>
        </w:rPr>
        <w:t>《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w:t>
      </w:r>
      <w:r>
        <w:rPr>
          <w:rFonts w:hint="eastAsia" w:ascii="宋体" w:hAnsi="宋体" w:cs="Times New Roman"/>
          <w:bCs/>
          <w:szCs w:val="21"/>
          <w:lang w:eastAsia="zh-CN"/>
        </w:rPr>
        <w:t>、《绿色建筑和绿色建材政府采购需求标准》(财办库(2022)35号)、《绿色数据中心政府采购需求标准(试行)&gt;(财办库(2023)7号)</w:t>
      </w:r>
      <w:r>
        <w:rPr>
          <w:rFonts w:hint="eastAsia" w:ascii="宋体" w:hAnsi="宋体" w:cs="Times New Roman"/>
          <w:bCs/>
          <w:szCs w:val="21"/>
        </w:rPr>
        <w:t>等。</w:t>
      </w:r>
    </w:p>
    <w:p w14:paraId="45C1D86F">
      <w:pPr>
        <w:spacing w:line="440" w:lineRule="exact"/>
        <w:ind w:firstLine="420" w:firstLineChars="200"/>
        <w:rPr>
          <w:rFonts w:hint="eastAsia" w:ascii="宋体" w:hAnsi="宋体" w:cs="Times New Roman"/>
          <w:bCs/>
          <w:szCs w:val="21"/>
        </w:rPr>
      </w:pPr>
      <w:r>
        <w:rPr>
          <w:rFonts w:hint="eastAsia" w:ascii="宋体" w:hAnsi="宋体" w:cs="Times New Roman"/>
          <w:bCs/>
          <w:szCs w:val="21"/>
        </w:rPr>
        <w:t>本项目如涉及商品包装、快递包装，应当满足以下要求：</w:t>
      </w:r>
    </w:p>
    <w:p w14:paraId="6F1FED88">
      <w:pPr>
        <w:numPr>
          <w:ilvl w:val="0"/>
          <w:numId w:val="6"/>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商品包装环保要求</w:t>
      </w:r>
    </w:p>
    <w:p w14:paraId="7AE76A33">
      <w:pPr>
        <w:numPr>
          <w:ilvl w:val="1"/>
          <w:numId w:val="7"/>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商品包装层数不得超过3层，空隙率不大于40%；</w:t>
      </w:r>
    </w:p>
    <w:p w14:paraId="1AF81E60">
      <w:pPr>
        <w:numPr>
          <w:ilvl w:val="1"/>
          <w:numId w:val="7"/>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商品包装尽可能使用单一材质的包装材料，如因功能需求必需使用不同材质，不同材质间应便于分离；</w:t>
      </w:r>
    </w:p>
    <w:p w14:paraId="58486A02">
      <w:pPr>
        <w:numPr>
          <w:ilvl w:val="1"/>
          <w:numId w:val="7"/>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商品包装中铅、汞、镉、六价铬的总含量应不大于100mg/kg；（必要时，采购人可要求履约验收时提供第三方检测机构出具的检测报告复印件）</w:t>
      </w:r>
    </w:p>
    <w:p w14:paraId="4341FC29">
      <w:pPr>
        <w:numPr>
          <w:ilvl w:val="1"/>
          <w:numId w:val="7"/>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商品包装印刷使用的油墨中挥发性有机化合物(VOCs)含量应不大于5%（以重量计）；（必要时，采购人可要求履约验收时提供第三方检测机构出具的检测报告复印件）</w:t>
      </w:r>
    </w:p>
    <w:p w14:paraId="44838185">
      <w:pPr>
        <w:numPr>
          <w:ilvl w:val="1"/>
          <w:numId w:val="7"/>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塑料材质商品包装上呈现的印刷颜色不得超过6色；</w:t>
      </w:r>
    </w:p>
    <w:p w14:paraId="3ED7960B">
      <w:pPr>
        <w:numPr>
          <w:ilvl w:val="1"/>
          <w:numId w:val="7"/>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纸质商品包装应使用75%以上的可再生纤维原料生产；</w:t>
      </w:r>
    </w:p>
    <w:p w14:paraId="56A52F45">
      <w:pPr>
        <w:numPr>
          <w:ilvl w:val="1"/>
          <w:numId w:val="7"/>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木质商品包装的原料应来源于可持续性森林。</w:t>
      </w:r>
    </w:p>
    <w:p w14:paraId="726CC576">
      <w:pPr>
        <w:numPr>
          <w:ilvl w:val="0"/>
          <w:numId w:val="6"/>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商品包装检测方法</w:t>
      </w:r>
    </w:p>
    <w:p w14:paraId="2BB523A0">
      <w:pPr>
        <w:numPr>
          <w:ilvl w:val="1"/>
          <w:numId w:val="8"/>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商品包装中重金属（铅、汞、镉、六价铬）总量的检测按照GB/T10004-2008《包装用塑料复合膜、袋干法复合、挤出复合》规定的方法进行。</w:t>
      </w:r>
    </w:p>
    <w:p w14:paraId="36F4A87C">
      <w:pPr>
        <w:numPr>
          <w:ilvl w:val="1"/>
          <w:numId w:val="8"/>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商品包装印刷使用的油墨中挥发性有机化合物(VOCs)的检测按照GB/T23986-2009《色漆和清漆挥发性有机化合物(VOC)含量的测定气相色谱法》规定的方法进行。</w:t>
      </w:r>
    </w:p>
    <w:p w14:paraId="3E408A5A">
      <w:pPr>
        <w:numPr>
          <w:ilvl w:val="0"/>
          <w:numId w:val="6"/>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快递包装环保要求</w:t>
      </w:r>
    </w:p>
    <w:p w14:paraId="47441956">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快递包装中重金属（铅、汞、镉、六价铬）总量应不大于100mg/kg；（必要时，采购人可要求履约验收时提供第三方检测机构出具的检测报告复印件）</w:t>
      </w:r>
    </w:p>
    <w:p w14:paraId="6EC1EFC2">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快递包装印刷使用的油墨中不应添加邻苯二甲酸酯，其挥发性有机化合物(VOCs)含量应不大于5%（以重量计）；（必要时，采购人可要求履约验收时提供第三方检测机构出具的检测报告复印件）</w:t>
      </w:r>
    </w:p>
    <w:p w14:paraId="46AAA6BE">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快递包装中使用纸基材的包装材料，纸基材中的有机氯的含量应不大于150mg/kg；（必要时，采购人可要求履约验收时提供第三方检测机构出具的检测报告复印件）</w:t>
      </w:r>
    </w:p>
    <w:p w14:paraId="79C7342F">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快递包装中使用塑料基材的包装材料不得使用邻苯二甲酸二异壬酯、邻苯二甲酸二正辛酯、邻苯二甲酸二(2-乙基)己酯、邻苯二甲酸二异癸酯、邻苯二甲酸丁基苄基酯、邻苯二甲酸二丁酯等作为增塑剂；</w:t>
      </w:r>
    </w:p>
    <w:p w14:paraId="3C6B3A48">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快递中使用的塑料包装袋不得使用聚氯乙烯作为原料，且原料应为单一材质制成，生物分解率大于60%；（必要时，采购人可要求履约验收时提供第三方检测机构出具的检测报告复印件）</w:t>
      </w:r>
    </w:p>
    <w:p w14:paraId="336A2A0A">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快递中使用的充气类填充物不得使用聚氯乙烯作为原料，且原料为单一材质制成，生物分解率大于60%；</w:t>
      </w:r>
    </w:p>
    <w:p w14:paraId="1B744295">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快递中使用的集装袋应为单一材质制成，其重复使用次数应不小于80次；</w:t>
      </w:r>
    </w:p>
    <w:p w14:paraId="6593FB23">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快递中应使用幅宽不大于45mm的生物降解胶带；（必要时，采购人可要求履约验收时提供第三方检测机构出具的检测报告复印件）</w:t>
      </w:r>
    </w:p>
    <w:p w14:paraId="5CCAF474">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快递包装中不得使用溶剂型胶粘剂；</w:t>
      </w:r>
    </w:p>
    <w:p w14:paraId="3F9D4A43">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快递应使用电子面单；</w:t>
      </w:r>
    </w:p>
    <w:p w14:paraId="1BDC102E">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直接使用商品包装作为快递包装的商品，其商品包装满足《商品包装政府采购需求标准（试行）》即可；</w:t>
      </w:r>
    </w:p>
    <w:p w14:paraId="4953C56D">
      <w:pPr>
        <w:numPr>
          <w:ilvl w:val="1"/>
          <w:numId w:val="9"/>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快递包装产品质量和封装方式应符合相关国家或行业标准技术指标要求。</w:t>
      </w:r>
    </w:p>
    <w:p w14:paraId="28E998B8">
      <w:pPr>
        <w:numPr>
          <w:ilvl w:val="0"/>
          <w:numId w:val="6"/>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快递包装检测方法 </w:t>
      </w:r>
    </w:p>
    <w:p w14:paraId="04C0BE1C">
      <w:pPr>
        <w:numPr>
          <w:ilvl w:val="1"/>
          <w:numId w:val="1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快递包装中重金属（铅、汞、镉、六价铬）总量的检测按照GB/T10004-2008《包装用塑料复合膜、袋干法复合、挤出复合》规定的方法进行。</w:t>
      </w:r>
    </w:p>
    <w:p w14:paraId="3943D91E">
      <w:pPr>
        <w:numPr>
          <w:ilvl w:val="1"/>
          <w:numId w:val="1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快递包装印刷使用的油墨中挥发性有机化合物(VOCs)的检测按照GB/T23986-2009《色漆和清漆挥发性有机化合物(VOC)含量的测定气相色谱法》规定的方法进行。</w:t>
      </w:r>
    </w:p>
    <w:p w14:paraId="704CD330">
      <w:pPr>
        <w:numPr>
          <w:ilvl w:val="1"/>
          <w:numId w:val="1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快递包装所使用的塑料包装的生物降解率的检测按照GB/T20197-2006《降解塑料的定义、分类、标识和降解性能要求》规定的方法进行。</w:t>
      </w:r>
    </w:p>
    <w:p w14:paraId="141BB987">
      <w:pPr>
        <w:numPr>
          <w:ilvl w:val="1"/>
          <w:numId w:val="1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快递包装使用纸基材的包装材料中有机氯的检测按照GB/T22904-2008《纸浆、纸和纸板总氯和有机氯的检定》规定的方法进行。</w:t>
      </w:r>
    </w:p>
    <w:p w14:paraId="45EAC166">
      <w:pPr>
        <w:numPr>
          <w:ilvl w:val="1"/>
          <w:numId w:val="1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快递包装中使用的生物降解胶带的生物降解率的检测按照GB/T19277.1《受控堆肥条件下材料最终需氧生物分解能力的测定采用测定释放的二氧化碳的方法 第1部分：通用方法》规定的方法进行。</w:t>
      </w:r>
    </w:p>
    <w:p w14:paraId="496D1F6D">
      <w:pPr>
        <w:numPr>
          <w:ilvl w:val="0"/>
          <w:numId w:val="6"/>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项目验收时，采购人将根据上述要求对商品包装和快递包装组织验收工作。</w:t>
      </w:r>
    </w:p>
    <w:p w14:paraId="195B8F9D">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93111"/>
    <w:multiLevelType w:val="multilevel"/>
    <w:tmpl w:val="1D49311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F22C62"/>
    <w:multiLevelType w:val="multilevel"/>
    <w:tmpl w:val="23F22C6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color w:val="auto"/>
      </w:rPr>
    </w:lvl>
    <w:lvl w:ilvl="1" w:tentative="0">
      <w:start w:val="1"/>
      <w:numFmt w:val="decimal"/>
      <w:lvlText w:val="%2、"/>
      <w:lvlJc w:val="left"/>
      <w:rPr>
        <w:rFonts w:hint="default"/>
        <w:b w:val="0"/>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A8A216A"/>
    <w:multiLevelType w:val="multilevel"/>
    <w:tmpl w:val="2A8A216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4">
    <w:nsid w:val="2DFAF0AD"/>
    <w:multiLevelType w:val="singleLevel"/>
    <w:tmpl w:val="2DFAF0AD"/>
    <w:lvl w:ilvl="0" w:tentative="0">
      <w:start w:val="4"/>
      <w:numFmt w:val="chineseCounting"/>
      <w:suff w:val="nothing"/>
      <w:lvlText w:val="%1、"/>
      <w:lvlJc w:val="left"/>
      <w:rPr>
        <w:rFonts w:hint="eastAsia"/>
      </w:rPr>
    </w:lvl>
  </w:abstractNum>
  <w:abstractNum w:abstractNumId="5">
    <w:nsid w:val="3285643A"/>
    <w:multiLevelType w:val="multilevel"/>
    <w:tmpl w:val="3285643A"/>
    <w:lvl w:ilvl="0" w:tentative="0">
      <w:start w:val="1"/>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4BDA4185"/>
    <w:multiLevelType w:val="multilevel"/>
    <w:tmpl w:val="4BDA41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225C5E"/>
    <w:multiLevelType w:val="multilevel"/>
    <w:tmpl w:val="4D225C5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E363F5C"/>
    <w:multiLevelType w:val="multilevel"/>
    <w:tmpl w:val="4E363F5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DD1BD8"/>
    <w:multiLevelType w:val="multilevel"/>
    <w:tmpl w:val="56DD1BD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2"/>
  </w:num>
  <w:num w:numId="4">
    <w:abstractNumId w:val="3"/>
  </w:num>
  <w:num w:numId="5">
    <w:abstractNumId w:val="4"/>
  </w:num>
  <w:num w:numId="6">
    <w:abstractNumId w:val="6"/>
  </w:num>
  <w:num w:numId="7">
    <w:abstractNumId w:val="0"/>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83C31"/>
    <w:rsid w:val="56683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rPr>
      <w:rFonts w:ascii="仿宋_GB2312" w:eastAsia="仿宋_GB2312"/>
      <w:sz w:val="32"/>
    </w:rPr>
  </w:style>
  <w:style w:type="paragraph" w:styleId="4">
    <w:name w:val="Title"/>
    <w:basedOn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Plain Text"/>
    <w:basedOn w:val="1"/>
    <w:qFormat/>
    <w:uiPriority w:val="99"/>
    <w:rPr>
      <w:rFonts w:ascii="宋体" w:hAnsi="Courier New"/>
    </w:rPr>
  </w:style>
  <w:style w:type="paragraph" w:styleId="6">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rPr>
  </w:style>
  <w:style w:type="table" w:styleId="8">
    <w:name w:val="Table Grid"/>
    <w:basedOn w:val="7"/>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qFormat/>
    <w:uiPriority w:val="0"/>
    <w:rPr>
      <w:sz w:val="21"/>
      <w:szCs w:val="21"/>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2025-04-15T10:18:00Z</dcterms:created>
  <dc:creator>A</dc:creator>
  <cp:lastModifiedBy>A</cp:lastModifiedBy>
  <dcterms:modified xsi:type="dcterms:W3CDTF">2025-04-15T10:18:37Z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7149DCB53C6141A3BD673D8F3FCC19D0_11</vt:lpwstr>
  </property>
  <property fmtid="{D5CDD505-2E9C-101B-9397-08002B2CF9AE}" pid="4" name="KSOTemplateDocerSaveRecord">
    <vt:lpwstr>eyJoZGlkIjoiNTM3YjdiYmNlNDE2ODk5OWNlNzY3MzAwZWY2YzUxMmUiLCJ1c2VySWQiOiIzODE4MTc4NjkifQ==</vt:lpwstr>
  </property>
</Properties>
</file>