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58F2">
      <w:pPr>
        <w:spacing w:line="0" w:lineRule="atLeast"/>
        <w:jc w:val="center"/>
        <w:outlineLvl w:val="0"/>
        <w:rPr>
          <w:rFonts w:ascii="微软雅黑" w:hAnsi="微软雅黑" w:eastAsia="微软雅黑" w:cs="微软雅黑"/>
          <w:b/>
          <w:color w:val="000000"/>
          <w:sz w:val="32"/>
          <w:szCs w:val="32"/>
        </w:rPr>
      </w:pPr>
      <w:bookmarkStart w:id="0" w:name="_Toc25890"/>
      <w:r>
        <w:rPr>
          <w:rFonts w:hint="eastAsia" w:ascii="微软雅黑" w:hAnsi="微软雅黑" w:eastAsia="微软雅黑" w:cs="微软雅黑"/>
          <w:b/>
          <w:color w:val="000000"/>
          <w:sz w:val="32"/>
          <w:szCs w:val="32"/>
        </w:rPr>
        <w:t>第四章  需求及技术规格</w:t>
      </w:r>
      <w:bookmarkEnd w:id="0"/>
    </w:p>
    <w:p w14:paraId="768044CA">
      <w:pPr>
        <w:spacing w:line="340" w:lineRule="exact"/>
        <w:ind w:left="-71" w:firstLine="447" w:firstLineChars="212"/>
        <w:rPr>
          <w:rFonts w:ascii="宋体" w:hAnsi="宋体"/>
          <w:b/>
          <w:bCs/>
          <w:color w:val="000000"/>
          <w:szCs w:val="21"/>
        </w:rPr>
      </w:pPr>
    </w:p>
    <w:p w14:paraId="0F8A5FC5">
      <w:pPr>
        <w:jc w:val="center"/>
        <w:outlineLvl w:val="1"/>
        <w:rPr>
          <w:rFonts w:ascii="微软雅黑" w:hAnsi="微软雅黑" w:eastAsia="微软雅黑" w:cs="微软雅黑"/>
          <w:b/>
          <w:color w:val="000000"/>
          <w:sz w:val="24"/>
          <w:szCs w:val="24"/>
        </w:rPr>
      </w:pPr>
      <w:bookmarkStart w:id="1" w:name="_Toc6368"/>
      <w:r>
        <w:rPr>
          <w:rFonts w:hint="eastAsia" w:ascii="微软雅黑" w:hAnsi="微软雅黑" w:eastAsia="微软雅黑" w:cs="微软雅黑"/>
          <w:b/>
          <w:color w:val="000000"/>
          <w:sz w:val="24"/>
          <w:szCs w:val="24"/>
        </w:rPr>
        <w:t>第一节  说明</w:t>
      </w:r>
      <w:bookmarkEnd w:id="1"/>
    </w:p>
    <w:p w14:paraId="1E5E82B4">
      <w:pPr>
        <w:spacing w:line="440" w:lineRule="exact"/>
        <w:ind w:firstLine="420" w:firstLineChars="200"/>
        <w:rPr>
          <w:rFonts w:ascii="宋体" w:hAnsi="宋体"/>
          <w:b/>
          <w:bCs/>
          <w:szCs w:val="21"/>
        </w:rPr>
      </w:pPr>
      <w:r>
        <w:rPr>
          <w:rFonts w:hint="eastAsia" w:ascii="宋体" w:hAnsi="宋体"/>
          <w:color w:val="000000"/>
          <w:szCs w:val="21"/>
        </w:rPr>
        <w:t>1、</w:t>
      </w:r>
      <w:r>
        <w:rPr>
          <w:rFonts w:hint="eastAsia" w:ascii="宋体" w:hAnsi="宋体"/>
          <w:szCs w:val="21"/>
        </w:rPr>
        <w:t>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14:paraId="237DBDD6">
      <w:pPr>
        <w:spacing w:line="440" w:lineRule="exact"/>
        <w:ind w:firstLine="422" w:firstLineChars="200"/>
        <w:rPr>
          <w:rFonts w:ascii="宋体" w:hAnsi="宋体"/>
          <w:b/>
        </w:rPr>
      </w:pPr>
      <w:r>
        <w:rPr>
          <w:rFonts w:hint="eastAsia" w:ascii="宋体" w:hAnsi="宋体"/>
          <w:b/>
        </w:rPr>
        <w:t>重点说明：偏离表中“偏离度”由投标人自行判断后填写，内容仅供评委参考，</w:t>
      </w:r>
      <w:r>
        <w:rPr>
          <w:rFonts w:ascii="宋体" w:hAnsi="宋体"/>
          <w:b/>
        </w:rPr>
        <w:t>评标委员会将根据</w:t>
      </w:r>
      <w:r>
        <w:rPr>
          <w:rFonts w:hint="eastAsia" w:ascii="宋体" w:hAnsi="宋体"/>
          <w:b/>
        </w:rPr>
        <w:t>具体响应内容</w:t>
      </w:r>
      <w:r>
        <w:rPr>
          <w:rFonts w:ascii="宋体" w:hAnsi="宋体"/>
          <w:b/>
        </w:rPr>
        <w:t>给予是否偏离的认定，并以此</w:t>
      </w:r>
      <w:r>
        <w:rPr>
          <w:rFonts w:hint="eastAsia" w:ascii="宋体" w:hAnsi="宋体"/>
          <w:b/>
        </w:rPr>
        <w:t>作为</w:t>
      </w:r>
      <w:r>
        <w:rPr>
          <w:rFonts w:ascii="宋体" w:hAnsi="宋体"/>
          <w:b/>
        </w:rPr>
        <w:t>最终评判</w:t>
      </w:r>
      <w:r>
        <w:rPr>
          <w:rFonts w:hint="eastAsia" w:ascii="宋体" w:hAnsi="宋体"/>
          <w:b/>
          <w:szCs w:val="22"/>
        </w:rPr>
        <w:t>。</w:t>
      </w:r>
      <w:r>
        <w:rPr>
          <w:rFonts w:hint="eastAsia" w:ascii="宋体" w:hAnsi="宋体"/>
          <w:b/>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14:paraId="44997CA5">
      <w:pPr>
        <w:spacing w:line="44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w:t>
      </w:r>
      <w:r>
        <w:rPr>
          <w:rFonts w:hint="eastAsia" w:ascii="宋体" w:hAnsi="宋体"/>
          <w:b/>
          <w:bCs/>
          <w:szCs w:val="21"/>
        </w:rPr>
        <w:t>不可偏离条款，</w:t>
      </w:r>
      <w:r>
        <w:rPr>
          <w:rFonts w:ascii="宋体" w:hAnsi="宋体"/>
          <w:b/>
          <w:bCs/>
          <w:szCs w:val="21"/>
        </w:rPr>
        <w:t>投标人要特别加以注意</w:t>
      </w:r>
      <w:r>
        <w:rPr>
          <w:rFonts w:hint="eastAsia" w:ascii="宋体" w:hAnsi="宋体"/>
          <w:b/>
          <w:bCs/>
          <w:szCs w:val="21"/>
        </w:rPr>
        <w:t>并予以响应，</w:t>
      </w:r>
      <w:r>
        <w:rPr>
          <w:rFonts w:ascii="宋体" w:hAnsi="宋体"/>
          <w:b/>
          <w:bCs/>
          <w:szCs w:val="21"/>
        </w:rPr>
        <w:t>否则，若有一项带</w:t>
      </w:r>
      <w:r>
        <w:rPr>
          <w:rFonts w:hint="eastAsia" w:ascii="宋体" w:hAnsi="宋体"/>
          <w:b/>
          <w:bCs/>
          <w:szCs w:val="21"/>
        </w:rPr>
        <w:t>“★”</w:t>
      </w:r>
      <w:r>
        <w:rPr>
          <w:rFonts w:ascii="宋体" w:hAnsi="宋体"/>
          <w:b/>
          <w:bCs/>
          <w:szCs w:val="21"/>
        </w:rPr>
        <w:t>的</w:t>
      </w:r>
      <w:r>
        <w:rPr>
          <w:rFonts w:hint="eastAsia" w:ascii="宋体" w:hAnsi="宋体"/>
          <w:b/>
          <w:bCs/>
          <w:szCs w:val="21"/>
        </w:rPr>
        <w:t>要求</w:t>
      </w:r>
      <w:r>
        <w:rPr>
          <w:rFonts w:ascii="宋体" w:hAnsi="宋体"/>
          <w:b/>
          <w:bCs/>
          <w:szCs w:val="21"/>
        </w:rPr>
        <w:t>未响应或不满足，将按投标无效处理</w:t>
      </w:r>
      <w:r>
        <w:rPr>
          <w:rFonts w:hint="eastAsia" w:ascii="宋体" w:hAnsi="宋体"/>
          <w:b/>
          <w:bCs/>
          <w:szCs w:val="21"/>
        </w:rPr>
        <w:t>；</w:t>
      </w:r>
      <w:r>
        <w:rPr>
          <w:rFonts w:ascii="宋体" w:hAnsi="宋体"/>
          <w:b/>
          <w:bCs/>
          <w:szCs w:val="21"/>
        </w:rPr>
        <w:t>凡标有</w:t>
      </w:r>
      <w:r>
        <w:rPr>
          <w:rFonts w:hint="eastAsia" w:ascii="宋体" w:hAnsi="宋体"/>
          <w:b/>
          <w:bCs/>
          <w:szCs w:val="21"/>
        </w:rPr>
        <w:t xml:space="preserve"> “▲”</w:t>
      </w:r>
      <w:r>
        <w:rPr>
          <w:rFonts w:ascii="宋体" w:hAnsi="宋体"/>
          <w:b/>
          <w:bCs/>
          <w:szCs w:val="21"/>
        </w:rPr>
        <w:t>的地方均被视为重要要求</w:t>
      </w:r>
      <w:r>
        <w:rPr>
          <w:rFonts w:hint="eastAsia" w:ascii="宋体" w:hAnsi="宋体"/>
          <w:b/>
          <w:bCs/>
          <w:szCs w:val="21"/>
        </w:rPr>
        <w:t>，若有带“▲”的要求未响应或不满足的，将按加重扣分处理</w:t>
      </w:r>
      <w:r>
        <w:rPr>
          <w:rFonts w:ascii="宋体" w:hAnsi="宋体"/>
          <w:b/>
          <w:bCs/>
          <w:szCs w:val="21"/>
        </w:rPr>
        <w:t>。</w:t>
      </w:r>
    </w:p>
    <w:p w14:paraId="33130B3C">
      <w:pPr>
        <w:spacing w:line="440" w:lineRule="exact"/>
        <w:jc w:val="center"/>
        <w:rPr>
          <w:rFonts w:ascii="宋体" w:hAnsi="宋体"/>
          <w:b/>
          <w:bCs/>
          <w:color w:val="000000"/>
          <w:szCs w:val="21"/>
        </w:rPr>
      </w:pPr>
    </w:p>
    <w:p w14:paraId="1E66F8F1">
      <w:pPr>
        <w:jc w:val="center"/>
        <w:outlineLvl w:val="1"/>
        <w:rPr>
          <w:rFonts w:hint="eastAsia" w:ascii="微软雅黑" w:hAnsi="微软雅黑" w:eastAsia="微软雅黑" w:cs="微软雅黑"/>
          <w:b/>
          <w:color w:val="000000"/>
          <w:sz w:val="24"/>
          <w:szCs w:val="24"/>
        </w:rPr>
      </w:pPr>
      <w:bookmarkStart w:id="2" w:name="_Toc29640"/>
      <w:r>
        <w:rPr>
          <w:rFonts w:hint="eastAsia" w:ascii="微软雅黑" w:hAnsi="微软雅黑" w:eastAsia="微软雅黑" w:cs="微软雅黑"/>
          <w:b/>
          <w:color w:val="000000"/>
          <w:sz w:val="24"/>
          <w:szCs w:val="24"/>
        </w:rPr>
        <w:t>第二节  需求一览表</w:t>
      </w:r>
      <w:bookmarkEnd w:id="2"/>
    </w:p>
    <w:p w14:paraId="3C6C040A">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一、需求一览表</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138"/>
        <w:gridCol w:w="922"/>
        <w:gridCol w:w="1073"/>
        <w:gridCol w:w="1900"/>
      </w:tblGrid>
      <w:tr w14:paraId="6B03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dxa"/>
            <w:vAlign w:val="center"/>
          </w:tcPr>
          <w:p w14:paraId="2F139BB6">
            <w:pPr>
              <w:jc w:val="center"/>
              <w:rPr>
                <w:b/>
              </w:rPr>
            </w:pPr>
            <w:r>
              <w:rPr>
                <w:b/>
              </w:rPr>
              <w:t>序号</w:t>
            </w:r>
          </w:p>
        </w:tc>
        <w:tc>
          <w:tcPr>
            <w:tcW w:w="4138" w:type="dxa"/>
            <w:vAlign w:val="center"/>
          </w:tcPr>
          <w:p w14:paraId="45060FB7">
            <w:pPr>
              <w:jc w:val="center"/>
              <w:rPr>
                <w:b/>
              </w:rPr>
            </w:pPr>
            <w:r>
              <w:rPr>
                <w:b/>
              </w:rPr>
              <w:t>服务名称</w:t>
            </w:r>
          </w:p>
        </w:tc>
        <w:tc>
          <w:tcPr>
            <w:tcW w:w="922" w:type="dxa"/>
            <w:vAlign w:val="center"/>
          </w:tcPr>
          <w:p w14:paraId="31D15B2A">
            <w:pPr>
              <w:jc w:val="center"/>
              <w:rPr>
                <w:b/>
              </w:rPr>
            </w:pPr>
            <w:r>
              <w:rPr>
                <w:b/>
              </w:rPr>
              <w:t>数量</w:t>
            </w:r>
          </w:p>
        </w:tc>
        <w:tc>
          <w:tcPr>
            <w:tcW w:w="1073" w:type="dxa"/>
            <w:vAlign w:val="center"/>
          </w:tcPr>
          <w:p w14:paraId="319E02EF">
            <w:pPr>
              <w:jc w:val="center"/>
              <w:rPr>
                <w:b/>
              </w:rPr>
            </w:pPr>
            <w:r>
              <w:rPr>
                <w:b/>
              </w:rPr>
              <w:t>单位</w:t>
            </w:r>
          </w:p>
        </w:tc>
        <w:tc>
          <w:tcPr>
            <w:tcW w:w="1900" w:type="dxa"/>
            <w:vAlign w:val="center"/>
          </w:tcPr>
          <w:p w14:paraId="3679CEED">
            <w:pPr>
              <w:jc w:val="center"/>
              <w:rPr>
                <w:rFonts w:ascii="宋体" w:hAnsi="宋体"/>
                <w:b/>
              </w:rPr>
            </w:pPr>
            <w:r>
              <w:rPr>
                <w:rFonts w:hint="eastAsia"/>
                <w:b/>
                <w:szCs w:val="21"/>
              </w:rPr>
              <w:t>预算控制金额</w:t>
            </w:r>
          </w:p>
        </w:tc>
      </w:tr>
      <w:tr w14:paraId="423E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dxa"/>
            <w:vAlign w:val="center"/>
          </w:tcPr>
          <w:p w14:paraId="59E04441">
            <w:pPr>
              <w:jc w:val="center"/>
              <w:rPr>
                <w:rFonts w:ascii="宋体" w:hAnsi="宋体" w:eastAsia="宋体" w:cs="Times New Roman"/>
                <w:color w:val="auto"/>
              </w:rPr>
            </w:pPr>
            <w:r>
              <w:rPr>
                <w:rFonts w:ascii="宋体" w:hAnsi="宋体" w:eastAsia="宋体" w:cs="Times New Roman"/>
                <w:color w:val="auto"/>
              </w:rPr>
              <w:t>1</w:t>
            </w:r>
          </w:p>
        </w:tc>
        <w:tc>
          <w:tcPr>
            <w:tcW w:w="4138" w:type="dxa"/>
            <w:vAlign w:val="center"/>
          </w:tcPr>
          <w:p w14:paraId="280DE420">
            <w:pPr>
              <w:jc w:val="center"/>
              <w:rPr>
                <w:rFonts w:hint="eastAsia" w:ascii="宋体" w:hAnsi="宋体" w:eastAsia="宋体" w:cs="Times New Roman"/>
                <w:color w:val="0000FF"/>
                <w:lang w:eastAsia="zh-CN"/>
              </w:rPr>
            </w:pPr>
            <w:r>
              <w:rPr>
                <w:rFonts w:hint="eastAsia" w:ascii="宋体" w:hAnsi="宋体" w:cs="Times New Roman"/>
                <w:color w:val="0000FF"/>
                <w:lang w:eastAsia="zh-CN"/>
              </w:rPr>
              <w:t>深圳市生态环境领域技术攻关服务项目</w:t>
            </w:r>
          </w:p>
        </w:tc>
        <w:tc>
          <w:tcPr>
            <w:tcW w:w="922" w:type="dxa"/>
            <w:vAlign w:val="center"/>
          </w:tcPr>
          <w:p w14:paraId="7F5B5F4A">
            <w:pPr>
              <w:jc w:val="center"/>
              <w:rPr>
                <w:rFonts w:ascii="宋体" w:hAnsi="宋体" w:eastAsia="宋体" w:cs="Times New Roman"/>
                <w:color w:val="0000FF"/>
              </w:rPr>
            </w:pPr>
            <w:r>
              <w:rPr>
                <w:rFonts w:ascii="宋体" w:hAnsi="宋体" w:eastAsia="宋体" w:cs="Times New Roman"/>
                <w:color w:val="0000FF"/>
              </w:rPr>
              <w:t>1</w:t>
            </w:r>
          </w:p>
        </w:tc>
        <w:tc>
          <w:tcPr>
            <w:tcW w:w="1073" w:type="dxa"/>
            <w:vAlign w:val="center"/>
          </w:tcPr>
          <w:p w14:paraId="4867CB56">
            <w:pPr>
              <w:jc w:val="center"/>
              <w:rPr>
                <w:rFonts w:ascii="宋体" w:hAnsi="宋体" w:eastAsia="宋体" w:cs="Times New Roman"/>
                <w:color w:val="0000FF"/>
              </w:rPr>
            </w:pPr>
            <w:r>
              <w:rPr>
                <w:rFonts w:ascii="宋体" w:hAnsi="宋体" w:eastAsia="宋体" w:cs="Times New Roman"/>
                <w:color w:val="0000FF"/>
              </w:rPr>
              <w:t>项</w:t>
            </w:r>
          </w:p>
        </w:tc>
        <w:tc>
          <w:tcPr>
            <w:tcW w:w="1900" w:type="dxa"/>
            <w:vAlign w:val="center"/>
          </w:tcPr>
          <w:p w14:paraId="07993723">
            <w:pPr>
              <w:jc w:val="center"/>
              <w:rPr>
                <w:rFonts w:ascii="宋体" w:hAnsi="宋体" w:eastAsia="宋体" w:cs="Times New Roman"/>
                <w:color w:val="0000FF"/>
              </w:rPr>
            </w:pPr>
            <w:r>
              <w:rPr>
                <w:rFonts w:hint="eastAsia" w:ascii="宋体" w:hAnsi="宋体" w:cs="Times New Roman"/>
                <w:color w:val="0000FF"/>
                <w:lang w:val="en-US" w:eastAsia="zh-CN"/>
              </w:rPr>
              <w:t>60万</w:t>
            </w:r>
            <w:r>
              <w:rPr>
                <w:rFonts w:hint="eastAsia" w:ascii="宋体" w:hAnsi="宋体" w:eastAsia="宋体" w:cs="Times New Roman"/>
                <w:color w:val="0000FF"/>
              </w:rPr>
              <w:t>元</w:t>
            </w:r>
          </w:p>
        </w:tc>
      </w:tr>
    </w:tbl>
    <w:p w14:paraId="6F35E0E5">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二、</w:t>
      </w:r>
      <w:r>
        <w:rPr>
          <w:rFonts w:hint="eastAsia" w:ascii="宋体" w:hAnsi="宋体" w:eastAsia="宋体" w:cs="宋体"/>
          <w:b/>
          <w:bCs/>
          <w:color w:val="0000FF"/>
          <w:szCs w:val="21"/>
          <w:highlight w:val="none"/>
          <w:lang w:val="en-US" w:eastAsia="zh-CN"/>
        </w:rPr>
        <w:t>项目背景</w:t>
      </w:r>
    </w:p>
    <w:p w14:paraId="6DCAE3C1">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《中共中央 国务院关于全面推进美丽中国建设的意见》将加强科技支撑作为健全美丽中国建设保障体系的重要内容进行部署安排，明确要求推进绿色低碳科技自立自强，加强关键核心技术攻关。2025年2月，生态环境部联合15部委共同制定发布《关于加强生态环境领域科技创新 推动美丽中国建设的实施意见》（以下简称《意见》），明确要求打造开放包容的生态环境领域科技创新环境，建设统筹协调的生态环境科技政策体系，支持企业加强行业关键共性技术攻关。同时，《意见》也明确要求实施生态环境领域关键技术攻关行动，建立生态环境领域重大科技需求凝练和重大研发任务形成机制，推进实施一批关键技术攻关重大项目。当前，深圳在生态环境领域科技政策体系仍存在体系化建设不足，重大科技需求凝练机制尚未形成规范化运作模式，关键研发任务生成机制有待完善。这迫切需要制定生态环境领域科技创新能力提升专项行动计划，建立"需求发现-任务凝练-项目生成"的全链条的需求征集机制，推动具有示范效应的关键技术产品项目落地，为打造美丽中国典范提供强有力的科技支撑。</w:t>
      </w:r>
    </w:p>
    <w:p w14:paraId="45513CE1">
      <w:pPr>
        <w:spacing w:line="340" w:lineRule="exact"/>
        <w:ind w:firstLine="422" w:firstLineChars="200"/>
        <w:rPr>
          <w:rFonts w:ascii="宋体" w:hAnsi="宋体"/>
          <w:b/>
          <w:bCs/>
          <w:color w:val="000000"/>
          <w:szCs w:val="21"/>
        </w:rPr>
      </w:pPr>
    </w:p>
    <w:p w14:paraId="3FCAFEB1">
      <w:pPr>
        <w:jc w:val="center"/>
        <w:outlineLvl w:val="1"/>
        <w:rPr>
          <w:rFonts w:ascii="微软雅黑" w:hAnsi="微软雅黑" w:eastAsia="微软雅黑" w:cs="微软雅黑"/>
          <w:b/>
          <w:color w:val="000000"/>
          <w:sz w:val="24"/>
          <w:szCs w:val="24"/>
          <w:highlight w:val="none"/>
        </w:rPr>
      </w:pPr>
      <w:bookmarkStart w:id="3" w:name="_Toc18966"/>
      <w:r>
        <w:rPr>
          <w:rFonts w:hint="eastAsia" w:ascii="微软雅黑" w:hAnsi="微软雅黑" w:eastAsia="微软雅黑" w:cs="微软雅黑"/>
          <w:b/>
          <w:color w:val="000000"/>
          <w:sz w:val="24"/>
          <w:szCs w:val="24"/>
          <w:highlight w:val="none"/>
        </w:rPr>
        <w:t>第三节  技术需求明细</w:t>
      </w:r>
      <w:bookmarkEnd w:id="3"/>
    </w:p>
    <w:p w14:paraId="3E261D7E">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auto"/>
          <w:szCs w:val="21"/>
          <w:highlight w:val="yellow"/>
          <w:lang w:val="en-US" w:eastAsia="zh-CN"/>
        </w:rPr>
      </w:pPr>
    </w:p>
    <w:p w14:paraId="5A394149">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w:t>
      </w:r>
      <w:r>
        <w:rPr>
          <w:rFonts w:hint="eastAsia" w:ascii="宋体" w:hAnsi="宋体" w:cs="Times New Roman"/>
          <w:b/>
          <w:bCs/>
          <w:color w:val="0000FF"/>
          <w:szCs w:val="21"/>
          <w:highlight w:val="none"/>
          <w:lang w:val="en-US" w:eastAsia="zh-CN"/>
        </w:rPr>
        <w:t>一、</w:t>
      </w:r>
      <w:r>
        <w:rPr>
          <w:rFonts w:hint="eastAsia" w:ascii="宋体" w:hAnsi="宋体" w:eastAsia="宋体" w:cs="Times New Roman"/>
          <w:b/>
          <w:bCs/>
          <w:color w:val="0000FF"/>
          <w:szCs w:val="21"/>
          <w:highlight w:val="none"/>
          <w:lang w:val="en-US" w:eastAsia="zh-CN"/>
        </w:rPr>
        <w:t>服务内容</w:t>
      </w:r>
    </w:p>
    <w:p w14:paraId="0F85F1C2">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1.开展生态环境领域科技创新提升三年行动技术分析</w:t>
      </w:r>
    </w:p>
    <w:p w14:paraId="7BFE454F">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对标对表《关于加强生态环境领域科技创新 推动美丽中国建设的实施意见》（以下简称《意见》），结合美丽中国建设2027年阶段性目标要求，对深圳现有生态环境领域科技政策体系建设以及深圳现有促进生态环境领域科技创新的财税、金融等政策进行专项评估，提出面向2027年具体实施举措，同时也为“十五五”生态环境领域科技相关规划及相关政策提供科学的参考方案。</w:t>
      </w:r>
    </w:p>
    <w:p w14:paraId="5FFCA469">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2.开展生态环境领域科技攻关项目回顾性评价。围绕《意见》实施生态环境领域基础研究提升行动和关键技术攻关行动的方向和领域，选择有代表性的生态环境领域科技攻关项目，对深圳近三年以来支持的重大基础研究、技术攻关和重大产业项目开展分析，突出成果质量、实际贡献、成果转化与经济效益，以项目为载体分析深圳在组织科技攻关的进展、存在问题以及完善建议。</w:t>
      </w:r>
    </w:p>
    <w:p w14:paraId="2FD74322">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3.滚动收集生态环境领域科技攻关需求。按照战略前沿技术类、重大技术装备类、重大示范验证类三类，通过助企纾困，“点对点”向龙头企业、风投机构等以及面向社会常年公开征集，滚动收集我市企业生产及污染治理等环节、政府部门治理能力提升等环节生态环境领域科技发展相关核心需求，并选取高校、行业协会以及龙头企业代表开展核心需求调研，汇总形成全市生态环境领域科技攻关需求清单。</w:t>
      </w:r>
    </w:p>
    <w:p w14:paraId="2B4155A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4.开展生态环境领域科技攻关需求凝练。对科技攻关需求进行整合分析，按“目标需求-业务需求-功能需求”的顺序进行需求转换，识别共性问题和关键技术缺口， 组织专家对科技攻关的核心需求的市场需求、推广难度、可行性、落地性及社会经济效益等进行论证，形成有效的生态环境领域科技攻关需求。</w:t>
      </w:r>
    </w:p>
    <w:p w14:paraId="6B8BFDD3">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5.为企业开展科技攻关提供咨询指导服务。 针对企业申报国家、省和市不同领域的重大科技项目、重大产业项目，组织专家对申报单位开展“揭榜挂帅”预评估，提供相关专业技术指导服务。</w:t>
      </w:r>
    </w:p>
    <w:p w14:paraId="35941EB2">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二</w:t>
      </w:r>
      <w:r>
        <w:rPr>
          <w:rFonts w:hint="eastAsia" w:ascii="宋体" w:hAnsi="宋体" w:cs="Times New Roman"/>
          <w:b/>
          <w:bCs/>
          <w:color w:val="0000FF"/>
          <w:szCs w:val="21"/>
          <w:highlight w:val="none"/>
          <w:lang w:val="en-US" w:eastAsia="zh-CN"/>
        </w:rPr>
        <w:t>、</w:t>
      </w:r>
      <w:r>
        <w:rPr>
          <w:rFonts w:hint="eastAsia" w:ascii="宋体" w:hAnsi="宋体" w:eastAsia="宋体" w:cs="Times New Roman"/>
          <w:b/>
          <w:bCs/>
          <w:color w:val="0000FF"/>
          <w:szCs w:val="21"/>
          <w:highlight w:val="none"/>
          <w:lang w:val="en-US" w:eastAsia="zh-CN"/>
        </w:rPr>
        <w:t>服务方式</w:t>
      </w:r>
    </w:p>
    <w:p w14:paraId="6A018FF8">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根据服务内容提供技术支持服务。</w:t>
      </w:r>
    </w:p>
    <w:p w14:paraId="615DF552">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★三</w:t>
      </w:r>
      <w:r>
        <w:rPr>
          <w:rFonts w:hint="eastAsia" w:ascii="宋体" w:hAnsi="宋体" w:cs="Times New Roman"/>
          <w:b/>
          <w:bCs/>
          <w:color w:val="0000FF"/>
          <w:szCs w:val="21"/>
          <w:highlight w:val="none"/>
          <w:lang w:val="en-US" w:eastAsia="zh-CN"/>
        </w:rPr>
        <w:t>、</w:t>
      </w:r>
      <w:r>
        <w:rPr>
          <w:rFonts w:hint="eastAsia" w:ascii="宋体" w:hAnsi="宋体" w:eastAsia="宋体" w:cs="Times New Roman"/>
          <w:b/>
          <w:bCs/>
          <w:color w:val="0000FF"/>
          <w:szCs w:val="21"/>
          <w:highlight w:val="none"/>
          <w:lang w:val="en-US" w:eastAsia="zh-CN"/>
        </w:rPr>
        <w:t>提交成果</w:t>
      </w:r>
    </w:p>
    <w:p w14:paraId="2C8BC85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1.深圳市生态环境领域科技创新专项行动技术分析报告；</w:t>
      </w:r>
    </w:p>
    <w:p w14:paraId="25DDAEA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2.深圳市生态环境领域科技攻关项目回顾性评价报告；</w:t>
      </w:r>
    </w:p>
    <w:p w14:paraId="3ED5E93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3.深圳市生态环境领域科技发展需求清单（2025年）。</w:t>
      </w:r>
    </w:p>
    <w:p w14:paraId="54D1248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项目成果归采购人所有。</w:t>
      </w:r>
    </w:p>
    <w:p w14:paraId="49AE6450">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四</w:t>
      </w:r>
      <w:r>
        <w:rPr>
          <w:rFonts w:hint="eastAsia" w:ascii="宋体" w:hAnsi="宋体" w:cs="Times New Roman"/>
          <w:b/>
          <w:bCs/>
          <w:color w:val="0000FF"/>
          <w:szCs w:val="21"/>
          <w:highlight w:val="none"/>
          <w:lang w:val="en-US" w:eastAsia="zh-CN"/>
        </w:rPr>
        <w:t>、</w:t>
      </w:r>
      <w:r>
        <w:rPr>
          <w:rFonts w:hint="eastAsia" w:ascii="宋体" w:hAnsi="宋体" w:eastAsia="宋体" w:cs="Times New Roman"/>
          <w:b/>
          <w:bCs/>
          <w:color w:val="0000FF"/>
          <w:szCs w:val="21"/>
          <w:highlight w:val="none"/>
          <w:lang w:val="en-US" w:eastAsia="zh-CN"/>
        </w:rPr>
        <w:t>人员要求</w:t>
      </w:r>
    </w:p>
    <w:p w14:paraId="5A860E2B">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本项目的项目组应配备至少6名（项目负责人1人）专业技术人员。</w:t>
      </w:r>
    </w:p>
    <w:p w14:paraId="53AF9AC7">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五</w:t>
      </w:r>
      <w:r>
        <w:rPr>
          <w:rFonts w:hint="eastAsia" w:ascii="宋体" w:hAnsi="宋体" w:cs="Times New Roman"/>
          <w:b/>
          <w:bCs/>
          <w:color w:val="0000FF"/>
          <w:szCs w:val="21"/>
          <w:highlight w:val="none"/>
          <w:lang w:val="en-US" w:eastAsia="zh-CN"/>
        </w:rPr>
        <w:t>、</w:t>
      </w:r>
      <w:r>
        <w:rPr>
          <w:rFonts w:hint="eastAsia" w:ascii="宋体" w:hAnsi="宋体" w:eastAsia="宋体" w:cs="Times New Roman"/>
          <w:b/>
          <w:bCs/>
          <w:color w:val="0000FF"/>
          <w:szCs w:val="21"/>
          <w:highlight w:val="none"/>
          <w:lang w:val="en-US" w:eastAsia="zh-CN"/>
        </w:rPr>
        <w:t>项目拟使用的车辆、场地、工具、机器等要求</w:t>
      </w:r>
    </w:p>
    <w:p w14:paraId="2D9F26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自备（自有或租赁均可）数据传输、储存、应用等工作配套的设备及外出工作保障所需车辆以保证项目顺利实施。</w:t>
      </w:r>
    </w:p>
    <w:p w14:paraId="2C3E2F05">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六</w:t>
      </w:r>
      <w:r>
        <w:rPr>
          <w:rFonts w:hint="eastAsia" w:ascii="宋体" w:hAnsi="宋体" w:cs="Times New Roman"/>
          <w:b/>
          <w:bCs/>
          <w:color w:val="0000FF"/>
          <w:szCs w:val="21"/>
          <w:highlight w:val="none"/>
          <w:lang w:val="en-US" w:eastAsia="zh-CN"/>
        </w:rPr>
        <w:t>、</w:t>
      </w:r>
      <w:r>
        <w:rPr>
          <w:rFonts w:hint="eastAsia" w:ascii="宋体" w:hAnsi="宋体" w:eastAsia="宋体" w:cs="Times New Roman"/>
          <w:b/>
          <w:bCs/>
          <w:color w:val="0000FF"/>
          <w:szCs w:val="21"/>
          <w:highlight w:val="none"/>
          <w:lang w:val="en-US" w:eastAsia="zh-CN"/>
        </w:rPr>
        <w:t>验收要求</w:t>
      </w:r>
    </w:p>
    <w:p w14:paraId="050A7E9F">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项目采用单位行政验收方式。</w:t>
      </w:r>
    </w:p>
    <w:p w14:paraId="747C33A2">
      <w:pPr>
        <w:jc w:val="center"/>
        <w:outlineLvl w:val="1"/>
        <w:rPr>
          <w:rFonts w:ascii="微软雅黑" w:hAnsi="微软雅黑" w:eastAsia="微软雅黑" w:cs="微软雅黑"/>
          <w:b/>
          <w:color w:val="000000"/>
          <w:sz w:val="24"/>
          <w:szCs w:val="24"/>
          <w:highlight w:val="none"/>
        </w:rPr>
      </w:pPr>
      <w:bookmarkStart w:id="4" w:name="_Toc30157"/>
      <w:r>
        <w:rPr>
          <w:rFonts w:hint="eastAsia" w:ascii="微软雅黑" w:hAnsi="微软雅黑" w:eastAsia="微软雅黑" w:cs="微软雅黑"/>
          <w:b/>
          <w:color w:val="000000"/>
          <w:sz w:val="24"/>
          <w:szCs w:val="24"/>
          <w:highlight w:val="none"/>
        </w:rPr>
        <w:t>第四节  商务需求明细</w:t>
      </w:r>
      <w:bookmarkEnd w:id="4"/>
    </w:p>
    <w:p w14:paraId="3DC0038D">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kern w:val="2"/>
          <w:sz w:val="21"/>
          <w:szCs w:val="21"/>
          <w:lang w:val="en-US" w:eastAsia="zh-CN" w:bidi="ar-SA"/>
        </w:rPr>
        <w:t>一、</w:t>
      </w:r>
      <w:r>
        <w:rPr>
          <w:rFonts w:hint="eastAsia" w:ascii="宋体" w:hAnsi="宋体" w:eastAsia="宋体" w:cs="宋体"/>
          <w:b/>
          <w:bCs/>
          <w:color w:val="0000FF"/>
          <w:sz w:val="21"/>
          <w:szCs w:val="21"/>
        </w:rPr>
        <w:t>支付要求</w:t>
      </w:r>
    </w:p>
    <w:p w14:paraId="0FD0C12D">
      <w:pPr>
        <w:pStyle w:val="6"/>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 w:val="21"/>
          <w:szCs w:val="21"/>
          <w:lang w:eastAsia="zh-TW"/>
        </w:rPr>
      </w:pP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lang w:eastAsia="zh-TW"/>
        </w:rPr>
        <w:t>签订合同后，采购人在收到发票后</w:t>
      </w:r>
      <w:r>
        <w:rPr>
          <w:rFonts w:hint="eastAsia" w:ascii="宋体" w:hAnsi="宋体" w:eastAsia="宋体" w:cs="宋体"/>
          <w:color w:val="0000FF"/>
          <w:sz w:val="21"/>
          <w:szCs w:val="21"/>
          <w:lang w:val="en-US" w:eastAsia="zh-CN"/>
        </w:rPr>
        <w:t>10个工作日</w:t>
      </w:r>
      <w:r>
        <w:rPr>
          <w:rFonts w:hint="eastAsia" w:ascii="宋体" w:hAnsi="宋体" w:eastAsia="宋体" w:cs="宋体"/>
          <w:color w:val="0000FF"/>
          <w:sz w:val="21"/>
          <w:szCs w:val="21"/>
          <w:lang w:eastAsia="zh-TW"/>
        </w:rPr>
        <w:t>内向中标人支付合同总价的</w:t>
      </w:r>
      <w:r>
        <w:rPr>
          <w:rFonts w:hint="eastAsia" w:ascii="宋体" w:hAnsi="宋体" w:eastAsia="宋体" w:cs="宋体"/>
          <w:color w:val="0000FF"/>
          <w:sz w:val="21"/>
          <w:szCs w:val="21"/>
          <w:lang w:val="en-US" w:eastAsia="zh-CN"/>
        </w:rPr>
        <w:t xml:space="preserve"> 70 </w:t>
      </w:r>
      <w:r>
        <w:rPr>
          <w:rFonts w:hint="eastAsia" w:ascii="宋体" w:hAnsi="宋体" w:eastAsia="宋体" w:cs="宋体"/>
          <w:color w:val="0000FF"/>
          <w:sz w:val="21"/>
          <w:szCs w:val="21"/>
          <w:lang w:eastAsia="zh-TW"/>
        </w:rPr>
        <w:t>%。</w:t>
      </w:r>
    </w:p>
    <w:p w14:paraId="11A728CA">
      <w:pPr>
        <w:pStyle w:val="6"/>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 w:val="21"/>
          <w:szCs w:val="21"/>
          <w:lang w:eastAsia="zh-TW"/>
        </w:rPr>
      </w:pPr>
      <w:r>
        <w:rPr>
          <w:rFonts w:hint="eastAsia" w:ascii="宋体" w:hAnsi="宋体" w:eastAsia="宋体" w:cs="宋体"/>
          <w:color w:val="0000FF"/>
          <w:sz w:val="21"/>
          <w:szCs w:val="21"/>
          <w:lang w:val="en-US" w:eastAsia="zh-CN"/>
        </w:rPr>
        <w:t>2.通过采购人验收且</w:t>
      </w:r>
      <w:r>
        <w:rPr>
          <w:rFonts w:hint="eastAsia" w:ascii="宋体" w:hAnsi="宋体" w:eastAsia="宋体" w:cs="宋体"/>
          <w:color w:val="0000FF"/>
          <w:sz w:val="21"/>
          <w:szCs w:val="21"/>
          <w:lang w:eastAsia="zh-TW"/>
        </w:rPr>
        <w:t>采购人在收到发票后</w:t>
      </w:r>
      <w:r>
        <w:rPr>
          <w:rFonts w:hint="eastAsia" w:ascii="宋体" w:hAnsi="宋体" w:eastAsia="宋体" w:cs="宋体"/>
          <w:color w:val="0000FF"/>
          <w:sz w:val="21"/>
          <w:szCs w:val="21"/>
          <w:lang w:val="en-US" w:eastAsia="zh-CN"/>
        </w:rPr>
        <w:t>10个工作日</w:t>
      </w:r>
      <w:r>
        <w:rPr>
          <w:rFonts w:hint="eastAsia" w:ascii="宋体" w:hAnsi="宋体" w:eastAsia="宋体" w:cs="宋体"/>
          <w:color w:val="0000FF"/>
          <w:sz w:val="21"/>
          <w:szCs w:val="21"/>
          <w:lang w:eastAsia="zh-TW"/>
        </w:rPr>
        <w:t xml:space="preserve">内向中标人支付合同总价的 </w:t>
      </w:r>
      <w:r>
        <w:rPr>
          <w:rFonts w:hint="eastAsia" w:ascii="宋体" w:hAnsi="宋体" w:eastAsia="宋体" w:cs="宋体"/>
          <w:color w:val="0000FF"/>
          <w:sz w:val="21"/>
          <w:szCs w:val="21"/>
          <w:lang w:val="en-US" w:eastAsia="zh-CN"/>
        </w:rPr>
        <w:t>30</w:t>
      </w:r>
      <w:r>
        <w:rPr>
          <w:rFonts w:hint="eastAsia" w:ascii="宋体" w:hAnsi="宋体" w:eastAsia="宋体" w:cs="宋体"/>
          <w:color w:val="0000FF"/>
          <w:sz w:val="21"/>
          <w:szCs w:val="21"/>
          <w:lang w:eastAsia="zh-TW"/>
        </w:rPr>
        <w:t xml:space="preserve"> %。</w:t>
      </w:r>
    </w:p>
    <w:p w14:paraId="5AB2597C">
      <w:pPr>
        <w:pStyle w:val="6"/>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lang w:eastAsia="zh-TW"/>
        </w:rPr>
        <w:t>每次按合同支付款项前，中标人应向采购人提供与支付金额相符的有效发票，且收款方、出具发票方、合同乙方均必须与中标人名称一致</w:t>
      </w:r>
      <w:r>
        <w:rPr>
          <w:rFonts w:hint="eastAsia" w:ascii="宋体" w:hAnsi="宋体" w:eastAsia="宋体" w:cs="宋体"/>
          <w:color w:val="0000FF"/>
          <w:sz w:val="21"/>
          <w:szCs w:val="21"/>
          <w:lang w:eastAsia="zh-CN"/>
        </w:rPr>
        <w:t>。</w:t>
      </w:r>
    </w:p>
    <w:p w14:paraId="005F545E">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w:t>
      </w:r>
      <w:r>
        <w:rPr>
          <w:rFonts w:hint="eastAsia" w:ascii="宋体" w:hAnsi="宋体" w:eastAsia="宋体" w:cs="宋体"/>
          <w:b/>
          <w:bCs/>
          <w:color w:val="0000FF"/>
          <w:kern w:val="2"/>
          <w:sz w:val="21"/>
          <w:szCs w:val="21"/>
          <w:lang w:val="en-US" w:eastAsia="zh-CN" w:bidi="ar-SA"/>
        </w:rPr>
        <w:t>二、</w:t>
      </w:r>
      <w:r>
        <w:rPr>
          <w:rFonts w:hint="eastAsia" w:ascii="宋体" w:hAnsi="宋体" w:eastAsia="宋体" w:cs="宋体"/>
          <w:b/>
          <w:bCs/>
          <w:color w:val="0000FF"/>
          <w:sz w:val="21"/>
          <w:szCs w:val="21"/>
        </w:rPr>
        <w:t>合同服务期限</w:t>
      </w:r>
    </w:p>
    <w:p w14:paraId="401F83AA">
      <w:pPr>
        <w:keepNext w:val="0"/>
        <w:keepLines w:val="0"/>
        <w:pageBreakBefore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b/>
          <w:bCs w:val="0"/>
          <w:i/>
          <w:iCs/>
          <w:color w:val="0000FF"/>
          <w:kern w:val="2"/>
          <w:sz w:val="21"/>
          <w:szCs w:val="21"/>
          <w:lang w:val="en-US" w:eastAsia="zh-CN" w:bidi="ar-SA"/>
        </w:rPr>
      </w:pPr>
      <w:r>
        <w:rPr>
          <w:rFonts w:hint="eastAsia" w:ascii="宋体" w:hAnsi="宋体" w:eastAsia="宋体" w:cs="宋体"/>
          <w:color w:val="0000FF"/>
          <w:sz w:val="21"/>
          <w:szCs w:val="21"/>
        </w:rPr>
        <w:t>1</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项目服务期限：本项目服务期自合同签订之日起</w:t>
      </w:r>
      <w:r>
        <w:rPr>
          <w:rFonts w:hint="eastAsia" w:ascii="宋体" w:hAnsi="宋体" w:eastAsia="宋体" w:cs="宋体"/>
          <w:color w:val="0000FF"/>
          <w:sz w:val="21"/>
          <w:szCs w:val="21"/>
          <w:lang w:val="en-US" w:eastAsia="zh-CN"/>
        </w:rPr>
        <w:t>202</w:t>
      </w:r>
      <w:r>
        <w:rPr>
          <w:rFonts w:hint="eastAsia" w:ascii="宋体" w:hAnsi="宋体" w:eastAsia="宋体" w:cs="宋体"/>
          <w:color w:val="0000FF"/>
          <w:sz w:val="21"/>
          <w:szCs w:val="21"/>
          <w:lang w:eastAsia="zh-CN"/>
        </w:rPr>
        <w:t>6</w:t>
      </w:r>
      <w:r>
        <w:rPr>
          <w:rFonts w:hint="eastAsia" w:ascii="宋体" w:hAnsi="宋体" w:eastAsia="宋体" w:cs="宋体"/>
          <w:color w:val="0000FF"/>
          <w:sz w:val="21"/>
          <w:szCs w:val="21"/>
          <w:lang w:val="en-US" w:eastAsia="zh-CN"/>
        </w:rPr>
        <w:t>年</w:t>
      </w:r>
      <w:r>
        <w:rPr>
          <w:rFonts w:hint="eastAsia" w:ascii="宋体" w:hAnsi="宋体" w:eastAsia="宋体" w:cs="宋体"/>
          <w:color w:val="0000FF"/>
          <w:sz w:val="21"/>
          <w:szCs w:val="21"/>
          <w:lang w:eastAsia="zh-CN"/>
        </w:rPr>
        <w:t>2</w:t>
      </w:r>
      <w:r>
        <w:rPr>
          <w:rFonts w:hint="eastAsia" w:ascii="宋体" w:hAnsi="宋体" w:eastAsia="宋体" w:cs="宋体"/>
          <w:color w:val="0000FF"/>
          <w:sz w:val="21"/>
          <w:szCs w:val="21"/>
          <w:lang w:val="en-US" w:eastAsia="zh-CN"/>
        </w:rPr>
        <w:t>月</w:t>
      </w:r>
      <w:r>
        <w:rPr>
          <w:rFonts w:hint="eastAsia" w:ascii="宋体" w:hAnsi="宋体" w:eastAsia="宋体" w:cs="宋体"/>
          <w:color w:val="0000FF"/>
          <w:sz w:val="21"/>
          <w:szCs w:val="21"/>
          <w:lang w:eastAsia="zh-CN"/>
        </w:rPr>
        <w:t>28</w:t>
      </w:r>
      <w:r>
        <w:rPr>
          <w:rFonts w:hint="eastAsia" w:ascii="宋体" w:hAnsi="宋体" w:eastAsia="宋体" w:cs="宋体"/>
          <w:color w:val="0000FF"/>
          <w:sz w:val="21"/>
          <w:szCs w:val="21"/>
          <w:lang w:val="en-US" w:eastAsia="zh-CN"/>
        </w:rPr>
        <w:t>日前完成。</w:t>
      </w:r>
    </w:p>
    <w:p w14:paraId="7F47DBBD">
      <w:pPr>
        <w:pStyle w:val="3"/>
        <w:keepNext w:val="0"/>
        <w:keepLines w:val="0"/>
        <w:pageBreakBefore w:val="0"/>
        <w:tabs>
          <w:tab w:val="left" w:pos="562"/>
          <w:tab w:val="left" w:pos="3372"/>
          <w:tab w:val="left" w:pos="3653"/>
        </w:tabs>
        <w:kinsoku/>
        <w:wordWrap/>
        <w:overflowPunct/>
        <w:topLinePunct w:val="0"/>
        <w:autoSpaceDE/>
        <w:autoSpaceDN/>
        <w:bidi w:val="0"/>
        <w:spacing w:after="0" w:line="440" w:lineRule="exact"/>
        <w:ind w:lef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2</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售后服务期限：项目完成由采购人验收通过后进入售后服务期</w:t>
      </w:r>
      <w:r>
        <w:rPr>
          <w:rFonts w:hint="eastAsia" w:ascii="宋体" w:hAnsi="宋体" w:eastAsia="宋体" w:cs="宋体"/>
          <w:color w:val="0000FF"/>
          <w:sz w:val="21"/>
          <w:szCs w:val="21"/>
          <w:lang w:val="en-US" w:eastAsia="zh-CN"/>
        </w:rPr>
        <w:t>6个月</w:t>
      </w:r>
      <w:r>
        <w:rPr>
          <w:rFonts w:hint="eastAsia" w:ascii="宋体" w:hAnsi="宋体" w:eastAsia="宋体" w:cs="宋体"/>
          <w:color w:val="0000FF"/>
          <w:sz w:val="21"/>
          <w:szCs w:val="21"/>
        </w:rPr>
        <w:t>，中标人要在售后服务期限内提供相关咨询、协调和项目审查等技术支持。</w:t>
      </w:r>
    </w:p>
    <w:p w14:paraId="0A88C0C1">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kern w:val="2"/>
          <w:sz w:val="21"/>
          <w:szCs w:val="21"/>
          <w:lang w:val="en-US" w:eastAsia="zh-CN" w:bidi="ar-SA"/>
        </w:rPr>
        <w:t>三、</w:t>
      </w:r>
      <w:r>
        <w:rPr>
          <w:rFonts w:hint="eastAsia" w:ascii="宋体" w:hAnsi="宋体" w:eastAsia="宋体" w:cs="宋体"/>
          <w:b/>
          <w:bCs/>
          <w:color w:val="0000FF"/>
          <w:sz w:val="21"/>
          <w:szCs w:val="21"/>
        </w:rPr>
        <w:t>合同</w:t>
      </w:r>
      <w:r>
        <w:rPr>
          <w:rFonts w:hint="eastAsia" w:ascii="宋体" w:hAnsi="宋体" w:eastAsia="宋体" w:cs="宋体"/>
          <w:b/>
          <w:bCs/>
          <w:color w:val="0000FF"/>
          <w:sz w:val="21"/>
          <w:szCs w:val="21"/>
          <w:lang w:eastAsia="zh-CN"/>
        </w:rPr>
        <w:t>转包和</w:t>
      </w:r>
      <w:r>
        <w:rPr>
          <w:rFonts w:hint="eastAsia" w:ascii="宋体" w:hAnsi="宋体" w:eastAsia="宋体" w:cs="宋体"/>
          <w:b/>
          <w:bCs/>
          <w:color w:val="0000FF"/>
          <w:sz w:val="21"/>
          <w:szCs w:val="21"/>
        </w:rPr>
        <w:t>分包</w:t>
      </w:r>
    </w:p>
    <w:p w14:paraId="663D3FF8">
      <w:pPr>
        <w:pStyle w:val="6"/>
        <w:keepNext w:val="0"/>
        <w:keepLines w:val="0"/>
        <w:pageBreakBefore w:val="0"/>
        <w:kinsoku/>
        <w:wordWrap/>
        <w:overflowPunct/>
        <w:topLinePunct w:val="0"/>
        <w:autoSpaceDE/>
        <w:autoSpaceDN/>
        <w:bidi w:val="0"/>
        <w:spacing w:line="440" w:lineRule="exact"/>
        <w:ind w:left="0" w:firstLine="420" w:firstLineChars="200"/>
        <w:textAlignment w:val="auto"/>
        <w:rPr>
          <w:rFonts w:hint="eastAsia" w:ascii="宋体" w:hAnsi="宋体" w:eastAsia="宋体" w:cs="宋体"/>
          <w:b w:val="0"/>
          <w:bCs/>
          <w:color w:val="0000FF"/>
          <w:sz w:val="21"/>
          <w:szCs w:val="21"/>
          <w:highlight w:val="none"/>
          <w:lang w:val="en-US" w:eastAsia="zh-CN"/>
        </w:rPr>
      </w:pPr>
      <w:r>
        <w:rPr>
          <w:rFonts w:hint="eastAsia" w:ascii="宋体" w:hAnsi="宋体" w:eastAsia="宋体" w:cs="宋体"/>
          <w:b w:val="0"/>
          <w:bCs/>
          <w:color w:val="0000FF"/>
          <w:sz w:val="21"/>
          <w:szCs w:val="21"/>
          <w:highlight w:val="none"/>
          <w:lang w:val="en-US" w:eastAsia="zh-CN"/>
        </w:rPr>
        <w:t>本项目不允许转包，不允许分包。</w:t>
      </w:r>
    </w:p>
    <w:p w14:paraId="3C0200FC">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color w:val="0000FF"/>
          <w:sz w:val="21"/>
          <w:szCs w:val="21"/>
        </w:rPr>
      </w:pPr>
      <w:r>
        <w:rPr>
          <w:rFonts w:hint="eastAsia" w:ascii="宋体" w:hAnsi="宋体" w:eastAsia="宋体" w:cs="宋体"/>
          <w:b/>
          <w:color w:val="0000FF"/>
          <w:kern w:val="2"/>
          <w:sz w:val="21"/>
          <w:szCs w:val="21"/>
          <w:lang w:val="en-US" w:eastAsia="zh-CN" w:bidi="ar-SA"/>
        </w:rPr>
        <w:t>四、</w:t>
      </w:r>
      <w:r>
        <w:rPr>
          <w:rFonts w:hint="eastAsia" w:ascii="宋体" w:hAnsi="宋体" w:eastAsia="宋体" w:cs="宋体"/>
          <w:b/>
          <w:color w:val="0000FF"/>
          <w:sz w:val="21"/>
          <w:szCs w:val="21"/>
        </w:rPr>
        <w:t>保密要求</w:t>
      </w:r>
    </w:p>
    <w:p w14:paraId="70ADBCEE">
      <w:pPr>
        <w:keepNext w:val="0"/>
        <w:keepLines w:val="0"/>
        <w:pageBreakBefore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30B3DC29">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sz w:val="21"/>
          <w:szCs w:val="21"/>
        </w:rPr>
        <w:t>★</w:t>
      </w:r>
      <w:r>
        <w:rPr>
          <w:rFonts w:hint="eastAsia" w:ascii="宋体" w:hAnsi="宋体" w:eastAsia="宋体" w:cs="宋体"/>
          <w:b/>
          <w:bCs/>
          <w:color w:val="0000FF"/>
          <w:kern w:val="0"/>
          <w:sz w:val="21"/>
          <w:szCs w:val="21"/>
          <w:lang w:val="en-US" w:eastAsia="zh-CN" w:bidi="ar-SA"/>
        </w:rPr>
        <w:t>五、</w:t>
      </w:r>
      <w:r>
        <w:rPr>
          <w:rFonts w:hint="eastAsia" w:ascii="宋体" w:hAnsi="宋体" w:eastAsia="宋体" w:cs="宋体"/>
          <w:b/>
          <w:bCs/>
          <w:color w:val="0000FF"/>
          <w:sz w:val="21"/>
          <w:szCs w:val="21"/>
        </w:rPr>
        <w:t>违约责任</w:t>
      </w:r>
      <w:r>
        <w:rPr>
          <w:rFonts w:hint="eastAsia" w:ascii="宋体" w:hAnsi="宋体" w:eastAsia="宋体" w:cs="宋体"/>
          <w:b/>
          <w:bCs/>
          <w:color w:val="0000FF"/>
          <w:sz w:val="21"/>
          <w:szCs w:val="21"/>
        </w:rPr>
        <w:tab/>
      </w:r>
    </w:p>
    <w:p w14:paraId="722E0923">
      <w:pPr>
        <w:pStyle w:val="8"/>
        <w:keepNext w:val="0"/>
        <w:keepLines w:val="0"/>
        <w:pageBreakBefore w:val="0"/>
        <w:numPr>
          <w:ilvl w:val="0"/>
          <w:numId w:val="0"/>
        </w:numPr>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lang w:val="en-US" w:eastAsia="zh-CN" w:bidi="ar-SA"/>
        </w:rPr>
        <w:t>1.</w:t>
      </w:r>
      <w:r>
        <w:rPr>
          <w:rFonts w:hint="eastAsia" w:ascii="宋体" w:hAnsi="宋体" w:eastAsia="宋体" w:cs="宋体"/>
          <w:color w:val="0000FF"/>
          <w:kern w:val="2"/>
          <w:sz w:val="21"/>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5E7DD1A3">
      <w:pPr>
        <w:pStyle w:val="8"/>
        <w:keepNext w:val="0"/>
        <w:keepLines w:val="0"/>
        <w:pageBreakBefore w:val="0"/>
        <w:numPr>
          <w:ilvl w:val="0"/>
          <w:numId w:val="0"/>
        </w:numPr>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lang w:val="en-US" w:eastAsia="zh-CN" w:bidi="ar-SA"/>
        </w:rPr>
        <w:t>2.</w:t>
      </w:r>
      <w:r>
        <w:rPr>
          <w:rFonts w:hint="eastAsia" w:ascii="宋体" w:hAnsi="宋体" w:eastAsia="宋体" w:cs="宋体"/>
          <w:color w:val="0000FF"/>
          <w:kern w:val="2"/>
          <w:sz w:val="21"/>
          <w:szCs w:val="21"/>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61D1916E">
      <w:pPr>
        <w:pStyle w:val="8"/>
        <w:keepNext w:val="0"/>
        <w:keepLines w:val="0"/>
        <w:pageBreakBefore w:val="0"/>
        <w:numPr>
          <w:ilvl w:val="0"/>
          <w:numId w:val="0"/>
        </w:numPr>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lang w:val="en-US" w:eastAsia="zh-CN" w:bidi="ar-SA"/>
        </w:rPr>
        <w:t>3.</w:t>
      </w:r>
      <w:r>
        <w:rPr>
          <w:rFonts w:hint="eastAsia" w:ascii="宋体" w:hAnsi="宋体" w:eastAsia="宋体" w:cs="宋体"/>
          <w:color w:val="0000FF"/>
          <w:kern w:val="2"/>
          <w:sz w:val="21"/>
          <w:szCs w:val="21"/>
        </w:rPr>
        <w:t>如中标人违反保密义务或提供的项目服务或项目成果侵犯第三方知识产权的，采购人有权解除合同，中标人应当返还采购人已支付款项并向采购人支付采购合同总价款20%的违约金；</w:t>
      </w:r>
    </w:p>
    <w:p w14:paraId="71EF4F71">
      <w:pPr>
        <w:pStyle w:val="8"/>
        <w:keepNext w:val="0"/>
        <w:keepLines w:val="0"/>
        <w:pageBreakBefore w:val="0"/>
        <w:numPr>
          <w:ilvl w:val="0"/>
          <w:numId w:val="0"/>
        </w:numPr>
        <w:kinsoku/>
        <w:wordWrap/>
        <w:overflowPunct/>
        <w:topLinePunct w:val="0"/>
        <w:autoSpaceDE/>
        <w:autoSpaceDN/>
        <w:bidi w:val="0"/>
        <w:spacing w:line="440" w:lineRule="exact"/>
        <w:ind w:left="0"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lang w:val="en-US" w:eastAsia="zh-CN" w:bidi="ar-SA"/>
        </w:rPr>
        <w:t>4.</w:t>
      </w:r>
      <w:r>
        <w:rPr>
          <w:rFonts w:hint="eastAsia" w:ascii="宋体" w:hAnsi="宋体" w:eastAsia="宋体" w:cs="宋体"/>
          <w:color w:val="0000FF"/>
          <w:kern w:val="2"/>
          <w:sz w:val="21"/>
          <w:szCs w:val="21"/>
        </w:rPr>
        <w:t>未经采购人同意，中标人不得将项目转包或分包给其他第三方，如若违反，采购人有权解除合同，中标人应当返还采购人已支付的款项并向采购人支付采购合同总价款20%的违约金。</w:t>
      </w:r>
    </w:p>
    <w:p w14:paraId="54715546">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kern w:val="2"/>
          <w:sz w:val="21"/>
          <w:szCs w:val="21"/>
          <w:lang w:val="en-US" w:eastAsia="zh-CN" w:bidi="ar-SA"/>
        </w:rPr>
        <w:t>六、</w:t>
      </w:r>
      <w:r>
        <w:rPr>
          <w:rFonts w:hint="eastAsia" w:ascii="宋体" w:hAnsi="宋体" w:eastAsia="宋体" w:cs="宋体"/>
          <w:b/>
          <w:bCs/>
          <w:color w:val="0000FF"/>
          <w:sz w:val="21"/>
          <w:szCs w:val="21"/>
        </w:rPr>
        <w:t>合同的变更</w:t>
      </w:r>
    </w:p>
    <w:p w14:paraId="636F3E11">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1.</w:t>
      </w:r>
      <w:r>
        <w:rPr>
          <w:rFonts w:hint="eastAsia" w:ascii="宋体" w:hAnsi="宋体" w:eastAsia="宋体" w:cs="宋体"/>
          <w:color w:val="0000FF"/>
          <w:kern w:val="0"/>
          <w:sz w:val="21"/>
          <w:szCs w:val="21"/>
        </w:rPr>
        <w:t>在合同履行过程中，采购人、中标人双方可就合同履行的时间、地点和方式等协商进行变更。协商一致后，双方应签订书面的补充协议。</w:t>
      </w:r>
    </w:p>
    <w:p w14:paraId="681475D7">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2.</w:t>
      </w:r>
      <w:r>
        <w:rPr>
          <w:rFonts w:hint="eastAsia" w:ascii="宋体" w:hAnsi="宋体" w:eastAsia="宋体" w:cs="宋体"/>
          <w:color w:val="0000FF"/>
          <w:kern w:val="0"/>
          <w:sz w:val="21"/>
          <w:szCs w:val="21"/>
        </w:rPr>
        <w:t>在不改变合同其他条款的前提下，采购人有权在合同价款改变百分之十的范围内追加与合同标的相同的货物或服务，并就此与中标人签订补充合同，中标人不得拒绝。</w:t>
      </w:r>
    </w:p>
    <w:p w14:paraId="0CDB4357">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3.</w:t>
      </w:r>
      <w:r>
        <w:rPr>
          <w:rFonts w:hint="eastAsia" w:ascii="宋体" w:hAnsi="宋体" w:eastAsia="宋体" w:cs="宋体"/>
          <w:color w:val="0000FF"/>
          <w:kern w:val="0"/>
          <w:sz w:val="21"/>
          <w:szCs w:val="21"/>
        </w:rPr>
        <w:t>除了双方签署书面协议，并成为合同不可分割的一部分之外，合同条件不得有任何变更。</w:t>
      </w:r>
    </w:p>
    <w:p w14:paraId="4B727048">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kern w:val="2"/>
          <w:sz w:val="21"/>
          <w:szCs w:val="21"/>
          <w:lang w:val="en-US" w:eastAsia="zh-CN" w:bidi="ar-SA"/>
        </w:rPr>
        <w:t>七、</w:t>
      </w:r>
      <w:r>
        <w:rPr>
          <w:rFonts w:hint="eastAsia" w:ascii="宋体" w:hAnsi="宋体" w:eastAsia="宋体" w:cs="宋体"/>
          <w:b/>
          <w:bCs/>
          <w:color w:val="0000FF"/>
          <w:sz w:val="21"/>
          <w:szCs w:val="21"/>
        </w:rPr>
        <w:t>解决争议的方法</w:t>
      </w:r>
      <w:r>
        <w:rPr>
          <w:rFonts w:hint="eastAsia" w:ascii="宋体" w:hAnsi="宋体" w:eastAsia="宋体" w:cs="宋体"/>
          <w:b/>
          <w:bCs/>
          <w:color w:val="0000FF"/>
          <w:sz w:val="21"/>
          <w:szCs w:val="21"/>
        </w:rPr>
        <w:tab/>
      </w:r>
    </w:p>
    <w:p w14:paraId="2F68AFA6">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1.</w:t>
      </w:r>
      <w:r>
        <w:rPr>
          <w:rFonts w:hint="eastAsia" w:ascii="宋体" w:hAnsi="宋体" w:eastAsia="宋体" w:cs="宋体"/>
          <w:color w:val="0000FF"/>
          <w:kern w:val="0"/>
          <w:sz w:val="21"/>
          <w:szCs w:val="21"/>
        </w:rPr>
        <w:t>合同各方应通过友好协商，解决在执行合同过程中所发生的或与合同有关的一切争端。</w:t>
      </w:r>
    </w:p>
    <w:p w14:paraId="59F98ECB">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2.</w:t>
      </w:r>
      <w:r>
        <w:rPr>
          <w:rFonts w:hint="eastAsia" w:ascii="宋体" w:hAnsi="宋体" w:eastAsia="宋体" w:cs="宋体"/>
          <w:color w:val="0000FF"/>
          <w:kern w:val="0"/>
          <w:sz w:val="21"/>
          <w:szCs w:val="21"/>
        </w:rPr>
        <w:t>如从协商开始28天内仍不能解决，任一方可向采购人所在地的人民法院提起诉讼。</w:t>
      </w:r>
    </w:p>
    <w:p w14:paraId="1819965F">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3.</w:t>
      </w:r>
      <w:r>
        <w:rPr>
          <w:rFonts w:hint="eastAsia" w:ascii="宋体" w:hAnsi="宋体" w:eastAsia="宋体" w:cs="宋体"/>
          <w:color w:val="0000FF"/>
          <w:kern w:val="0"/>
          <w:sz w:val="21"/>
          <w:szCs w:val="21"/>
        </w:rPr>
        <w:t>在诉讼期间，除正在进行诉讼的部分外，合同的其他部分应继续执行。</w:t>
      </w:r>
    </w:p>
    <w:p w14:paraId="53AE0FF5">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kern w:val="2"/>
          <w:sz w:val="21"/>
          <w:szCs w:val="21"/>
          <w:lang w:val="en-US" w:eastAsia="zh-CN" w:bidi="ar-SA"/>
        </w:rPr>
        <w:t>八、</w:t>
      </w:r>
      <w:r>
        <w:rPr>
          <w:rFonts w:hint="eastAsia" w:ascii="宋体" w:hAnsi="宋体" w:eastAsia="宋体" w:cs="宋体"/>
          <w:b/>
          <w:bCs/>
          <w:color w:val="0000FF"/>
          <w:sz w:val="21"/>
          <w:szCs w:val="21"/>
        </w:rPr>
        <w:t>合同语言</w:t>
      </w:r>
      <w:r>
        <w:rPr>
          <w:rFonts w:hint="eastAsia" w:ascii="宋体" w:hAnsi="宋体" w:eastAsia="宋体" w:cs="宋体"/>
          <w:b/>
          <w:bCs/>
          <w:color w:val="0000FF"/>
          <w:sz w:val="21"/>
          <w:szCs w:val="21"/>
        </w:rPr>
        <w:tab/>
      </w:r>
    </w:p>
    <w:p w14:paraId="6F16B942">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合同以及双方来</w:t>
      </w:r>
      <w:r>
        <w:rPr>
          <w:rFonts w:hint="eastAsia" w:ascii="宋体" w:hAnsi="宋体" w:eastAsia="宋体" w:cs="宋体"/>
          <w:color w:val="0000FF"/>
          <w:kern w:val="0"/>
          <w:sz w:val="21"/>
          <w:szCs w:val="21"/>
          <w:lang w:val="en-US" w:eastAsia="zh-CN"/>
        </w:rPr>
        <w:t>往</w:t>
      </w:r>
      <w:r>
        <w:rPr>
          <w:rFonts w:hint="eastAsia" w:ascii="宋体" w:hAnsi="宋体" w:eastAsia="宋体" w:cs="宋体"/>
          <w:color w:val="0000FF"/>
          <w:kern w:val="0"/>
          <w:sz w:val="21"/>
          <w:szCs w:val="21"/>
        </w:rPr>
        <w:t>的与合同有关的信件、传真和其它文件应用中文书写。</w:t>
      </w:r>
    </w:p>
    <w:p w14:paraId="0A742985">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kern w:val="2"/>
          <w:sz w:val="21"/>
          <w:szCs w:val="21"/>
          <w:lang w:val="en-US" w:eastAsia="zh-CN" w:bidi="ar-SA"/>
        </w:rPr>
        <w:t>九、</w:t>
      </w:r>
      <w:r>
        <w:rPr>
          <w:rFonts w:hint="eastAsia" w:ascii="宋体" w:hAnsi="宋体" w:eastAsia="宋体" w:cs="宋体"/>
          <w:b/>
          <w:bCs/>
          <w:color w:val="0000FF"/>
          <w:sz w:val="21"/>
          <w:szCs w:val="21"/>
        </w:rPr>
        <w:t>法律适用</w:t>
      </w:r>
      <w:r>
        <w:rPr>
          <w:rFonts w:hint="eastAsia" w:ascii="宋体" w:hAnsi="宋体" w:eastAsia="宋体" w:cs="宋体"/>
          <w:b/>
          <w:bCs/>
          <w:color w:val="0000FF"/>
          <w:sz w:val="21"/>
          <w:szCs w:val="21"/>
        </w:rPr>
        <w:tab/>
      </w:r>
    </w:p>
    <w:p w14:paraId="30F5336C">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合同适用中华人民共和国现行法律、行政法规和规章，如合同条款与法律、行政法规和规章不一致的，按照法律、行政法规和规章修改合同。</w:t>
      </w:r>
    </w:p>
    <w:p w14:paraId="2AE008CF">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kern w:val="2"/>
          <w:sz w:val="21"/>
          <w:szCs w:val="21"/>
          <w:lang w:val="en-US" w:eastAsia="zh-CN" w:bidi="ar-SA"/>
        </w:rPr>
        <w:t>十、</w:t>
      </w:r>
      <w:r>
        <w:rPr>
          <w:rFonts w:hint="eastAsia" w:ascii="宋体" w:hAnsi="宋体" w:eastAsia="宋体" w:cs="宋体"/>
          <w:b/>
          <w:bCs/>
          <w:color w:val="0000FF"/>
          <w:sz w:val="21"/>
          <w:szCs w:val="21"/>
        </w:rPr>
        <w:t>通知</w:t>
      </w:r>
      <w:r>
        <w:rPr>
          <w:rFonts w:hint="eastAsia" w:ascii="宋体" w:hAnsi="宋体" w:eastAsia="宋体" w:cs="宋体"/>
          <w:b/>
          <w:bCs/>
          <w:color w:val="0000FF"/>
          <w:sz w:val="21"/>
          <w:szCs w:val="21"/>
        </w:rPr>
        <w:tab/>
      </w:r>
    </w:p>
    <w:p w14:paraId="15447BAA">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1.</w:t>
      </w:r>
      <w:r>
        <w:rPr>
          <w:rFonts w:hint="eastAsia" w:ascii="宋体" w:hAnsi="宋体" w:eastAsia="宋体" w:cs="宋体"/>
          <w:color w:val="0000FF"/>
          <w:kern w:val="0"/>
          <w:sz w:val="21"/>
          <w:szCs w:val="21"/>
        </w:rPr>
        <w:t>合同一方给另一方的通知均应采用书面形式，传真或快递送到对方的地址和办理签收手续。</w:t>
      </w:r>
    </w:p>
    <w:p w14:paraId="09FD0054">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2.</w:t>
      </w:r>
      <w:r>
        <w:rPr>
          <w:rFonts w:hint="eastAsia" w:ascii="宋体" w:hAnsi="宋体" w:eastAsia="宋体" w:cs="宋体"/>
          <w:color w:val="0000FF"/>
          <w:kern w:val="0"/>
          <w:sz w:val="21"/>
          <w:szCs w:val="21"/>
        </w:rPr>
        <w:t>通知以送到之日或通知书中规定的生效之日起生效，两者中以较迟之日为准。</w:t>
      </w:r>
    </w:p>
    <w:p w14:paraId="6136EDCE">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w:t>
      </w:r>
      <w:r>
        <w:rPr>
          <w:rFonts w:hint="eastAsia" w:ascii="宋体" w:hAnsi="宋体" w:eastAsia="宋体" w:cs="宋体"/>
          <w:b/>
          <w:bCs/>
          <w:color w:val="0000FF"/>
          <w:kern w:val="2"/>
          <w:sz w:val="21"/>
          <w:szCs w:val="21"/>
          <w:lang w:val="en-US" w:eastAsia="zh-CN" w:bidi="ar-SA"/>
        </w:rPr>
        <w:t>十一、</w:t>
      </w:r>
      <w:r>
        <w:rPr>
          <w:rFonts w:hint="eastAsia" w:ascii="宋体" w:hAnsi="宋体" w:eastAsia="宋体" w:cs="宋体"/>
          <w:b/>
          <w:bCs/>
          <w:color w:val="0000FF"/>
          <w:sz w:val="21"/>
          <w:szCs w:val="21"/>
        </w:rPr>
        <w:t>知识产权</w:t>
      </w:r>
    </w:p>
    <w:p w14:paraId="3D026419">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1.</w:t>
      </w:r>
      <w:r>
        <w:rPr>
          <w:rFonts w:hint="eastAsia" w:ascii="宋体" w:hAnsi="宋体" w:eastAsia="宋体" w:cs="宋体"/>
          <w:color w:val="0000FF"/>
          <w:kern w:val="0"/>
          <w:sz w:val="21"/>
          <w:szCs w:val="21"/>
        </w:rPr>
        <w:t>中标人在履行合同的过程中不得侵犯他人知识产权，不得提供虚假知识产权申请材料或者违背知识产权合规性</w:t>
      </w:r>
      <w:r>
        <w:rPr>
          <w:rFonts w:hint="eastAsia" w:ascii="宋体" w:hAnsi="宋体" w:eastAsia="宋体" w:cs="宋体"/>
          <w:color w:val="0000FF"/>
          <w:kern w:val="0"/>
          <w:sz w:val="21"/>
          <w:szCs w:val="21"/>
          <w:lang w:val="en-US" w:eastAsia="zh-CN"/>
        </w:rPr>
        <w:t>承诺</w:t>
      </w:r>
      <w:r>
        <w:rPr>
          <w:rFonts w:hint="eastAsia" w:ascii="宋体" w:hAnsi="宋体" w:eastAsia="宋体" w:cs="宋体"/>
          <w:color w:val="0000FF"/>
          <w:kern w:val="0"/>
          <w:sz w:val="21"/>
          <w:szCs w:val="21"/>
        </w:rPr>
        <w:t>，否则依法追究其违约等责任，并将其失信违法信息依法纳入公共信用信息系统。</w:t>
      </w:r>
    </w:p>
    <w:p w14:paraId="7FD63399">
      <w:pPr>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2.</w:t>
      </w:r>
      <w:r>
        <w:rPr>
          <w:rFonts w:hint="eastAsia" w:ascii="宋体" w:hAnsi="宋体" w:eastAsia="宋体" w:cs="宋体"/>
          <w:color w:val="0000FF"/>
          <w:kern w:val="0"/>
          <w:sz w:val="21"/>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434A51FE">
      <w:pPr>
        <w:pStyle w:val="6"/>
        <w:keepNext w:val="0"/>
        <w:keepLines w:val="0"/>
        <w:pageBreakBefore w:val="0"/>
        <w:numPr>
          <w:ilvl w:val="0"/>
          <w:numId w:val="0"/>
        </w:numPr>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lang w:val="en-US" w:eastAsia="zh-CN" w:bidi="ar-SA"/>
        </w:rPr>
        <w:t>3.</w:t>
      </w:r>
      <w:r>
        <w:rPr>
          <w:rFonts w:hint="eastAsia" w:ascii="宋体" w:hAnsi="宋体" w:eastAsia="宋体" w:cs="宋体"/>
          <w:bCs/>
          <w:color w:val="0000FF"/>
          <w:kern w:val="0"/>
          <w:sz w:val="21"/>
          <w:szCs w:val="21"/>
        </w:rPr>
        <w:t>中标人实施本项目所形成成果的知识产权归采购人所有，未经采购人许可，中标人不得随意使用。</w:t>
      </w:r>
    </w:p>
    <w:p w14:paraId="03320945">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kern w:val="2"/>
          <w:sz w:val="21"/>
          <w:szCs w:val="21"/>
          <w:lang w:val="en-US" w:eastAsia="zh-CN" w:bidi="ar-SA"/>
        </w:rPr>
        <w:t>十二、</w:t>
      </w:r>
      <w:r>
        <w:rPr>
          <w:rFonts w:hint="eastAsia" w:ascii="宋体" w:hAnsi="宋体" w:eastAsia="宋体" w:cs="宋体"/>
          <w:b/>
          <w:bCs/>
          <w:color w:val="0000FF"/>
          <w:sz w:val="21"/>
          <w:szCs w:val="21"/>
        </w:rPr>
        <w:t>合同解除和终止</w:t>
      </w:r>
      <w:r>
        <w:rPr>
          <w:rFonts w:hint="eastAsia" w:ascii="宋体" w:hAnsi="宋体" w:eastAsia="宋体" w:cs="宋体"/>
          <w:b/>
          <w:bCs/>
          <w:color w:val="0000FF"/>
          <w:sz w:val="21"/>
          <w:szCs w:val="21"/>
        </w:rPr>
        <w:tab/>
      </w:r>
    </w:p>
    <w:p w14:paraId="3A507ED2">
      <w:pPr>
        <w:keepNext w:val="0"/>
        <w:keepLines w:val="0"/>
        <w:pageBreakBefore w:val="0"/>
        <w:tabs>
          <w:tab w:val="left" w:pos="780"/>
        </w:tabs>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09ADCA92">
      <w:pPr>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exact"/>
        <w:ind w:left="0" w:firstLine="422" w:firstLineChars="200"/>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kern w:val="0"/>
          <w:sz w:val="21"/>
          <w:szCs w:val="21"/>
          <w:lang w:val="en-US" w:eastAsia="zh-CN" w:bidi="ar-SA"/>
        </w:rPr>
        <w:t>十三、</w:t>
      </w:r>
      <w:r>
        <w:rPr>
          <w:rFonts w:hint="eastAsia" w:ascii="宋体" w:hAnsi="宋体" w:eastAsia="宋体" w:cs="宋体"/>
          <w:b/>
          <w:bCs/>
          <w:color w:val="0000FF"/>
          <w:kern w:val="0"/>
          <w:sz w:val="21"/>
          <w:szCs w:val="21"/>
        </w:rPr>
        <w:t>税费</w:t>
      </w:r>
      <w:r>
        <w:rPr>
          <w:rFonts w:hint="eastAsia" w:ascii="宋体" w:hAnsi="宋体" w:eastAsia="宋体" w:cs="宋体"/>
          <w:b/>
          <w:bCs/>
          <w:color w:val="0000FF"/>
          <w:kern w:val="0"/>
          <w:sz w:val="21"/>
          <w:szCs w:val="21"/>
        </w:rPr>
        <w:tab/>
      </w:r>
    </w:p>
    <w:p w14:paraId="4396F59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color w:val="0000FF"/>
          <w:sz w:val="21"/>
          <w:szCs w:val="21"/>
          <w:highlight w:val="yellow"/>
          <w:lang w:val="en-US" w:eastAsia="zh-CN"/>
        </w:rPr>
      </w:pPr>
      <w:r>
        <w:rPr>
          <w:rFonts w:hint="eastAsia" w:ascii="宋体" w:hAnsi="宋体" w:eastAsia="宋体" w:cs="宋体"/>
          <w:color w:val="0000FF"/>
          <w:kern w:val="0"/>
          <w:sz w:val="21"/>
          <w:szCs w:val="21"/>
        </w:rPr>
        <w:t>中国政府根据现行税法向中标人征收的与合同有关的一切税费均由中标人负责。</w:t>
      </w:r>
    </w:p>
    <w:p w14:paraId="3661A9D6">
      <w:pPr>
        <w:spacing w:line="440" w:lineRule="exact"/>
        <w:ind w:firstLine="420" w:firstLineChars="199"/>
        <w:rPr>
          <w:rFonts w:ascii="宋体" w:hAnsi="宋体"/>
          <w:b/>
          <w:color w:val="000000"/>
          <w:szCs w:val="21"/>
        </w:rPr>
      </w:pPr>
    </w:p>
    <w:p w14:paraId="60C29AE0">
      <w:pPr>
        <w:jc w:val="center"/>
        <w:outlineLvl w:val="1"/>
        <w:rPr>
          <w:rFonts w:hint="eastAsia" w:ascii="微软雅黑" w:hAnsi="微软雅黑" w:eastAsia="微软雅黑" w:cs="微软雅黑"/>
          <w:b/>
          <w:bCs/>
          <w:caps/>
          <w:color w:val="000000"/>
          <w:sz w:val="24"/>
          <w:szCs w:val="24"/>
          <w:highlight w:val="none"/>
        </w:rPr>
      </w:pPr>
      <w:bookmarkStart w:id="5" w:name="_Toc31670"/>
      <w:bookmarkStart w:id="6" w:name="_Toc353262376"/>
      <w:bookmarkStart w:id="7" w:name="_Toc333420706"/>
      <w:r>
        <w:rPr>
          <w:rFonts w:hint="eastAsia" w:ascii="微软雅黑" w:hAnsi="微软雅黑" w:eastAsia="微软雅黑" w:cs="微软雅黑"/>
          <w:b/>
          <w:bCs/>
          <w:caps/>
          <w:color w:val="000000"/>
          <w:sz w:val="24"/>
          <w:szCs w:val="24"/>
          <w:highlight w:val="none"/>
        </w:rPr>
        <w:t xml:space="preserve">第五节 </w:t>
      </w:r>
      <w:r>
        <w:rPr>
          <w:rFonts w:hint="eastAsia" w:ascii="微软雅黑" w:hAnsi="微软雅黑" w:eastAsia="微软雅黑" w:cs="微软雅黑"/>
          <w:b/>
          <w:bCs/>
          <w:caps/>
          <w:color w:val="000000"/>
          <w:sz w:val="24"/>
          <w:szCs w:val="24"/>
          <w:highlight w:val="none"/>
          <w:lang w:val="en-US" w:eastAsia="zh-CN"/>
        </w:rPr>
        <w:t xml:space="preserve"> </w:t>
      </w:r>
      <w:r>
        <w:rPr>
          <w:rFonts w:hint="eastAsia" w:ascii="微软雅黑" w:hAnsi="微软雅黑" w:eastAsia="微软雅黑" w:cs="微软雅黑"/>
          <w:b/>
          <w:bCs/>
          <w:caps/>
          <w:color w:val="000000"/>
          <w:sz w:val="24"/>
          <w:szCs w:val="24"/>
          <w:highlight w:val="none"/>
        </w:rPr>
        <w:t>报价要求</w:t>
      </w:r>
      <w:bookmarkEnd w:id="5"/>
      <w:r>
        <w:rPr>
          <w:rFonts w:hint="eastAsia" w:ascii="微软雅黑" w:hAnsi="微软雅黑" w:eastAsia="微软雅黑" w:cs="微软雅黑"/>
          <w:b/>
          <w:bCs/>
          <w:caps/>
          <w:color w:val="000000"/>
          <w:sz w:val="24"/>
          <w:szCs w:val="24"/>
          <w:highlight w:val="none"/>
        </w:rPr>
        <w:t xml:space="preserve"> </w:t>
      </w:r>
    </w:p>
    <w:p w14:paraId="3008AA26">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一、</w:t>
      </w:r>
      <w:r>
        <w:rPr>
          <w:rFonts w:hint="eastAsia" w:ascii="宋体" w:hAnsi="宋体" w:eastAsia="宋体" w:cs="Times New Roman"/>
          <w:color w:val="0000FF"/>
          <w:szCs w:val="21"/>
          <w:highlight w:val="none"/>
          <w:lang w:val="en-US" w:eastAsia="zh-CN"/>
        </w:rPr>
        <w:t>投标人应根据本企业的成本自行决定报价；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14:paraId="0438653C">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二、</w:t>
      </w:r>
      <w:r>
        <w:rPr>
          <w:rFonts w:hint="eastAsia" w:ascii="宋体" w:hAnsi="宋体" w:eastAsia="宋体" w:cs="Times New Roman"/>
          <w:color w:val="0000FF"/>
          <w:szCs w:val="21"/>
          <w:highlight w:val="none"/>
          <w:lang w:val="en-US" w:eastAsia="zh-CN"/>
        </w:rPr>
        <w:t>投标人的投标报价，应是本项目招标范围和招标文件及合同条款上所列的各项内容中所述的全部，不得以任何理由予以重复，并以投标人在投标文件中提出的综合单价或总价为依据。</w:t>
      </w:r>
    </w:p>
    <w:p w14:paraId="01EB33D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三、</w:t>
      </w:r>
      <w:r>
        <w:rPr>
          <w:rFonts w:hint="eastAsia" w:ascii="宋体" w:hAnsi="宋体" w:eastAsia="宋体" w:cs="Times New Roman"/>
          <w:color w:val="0000FF"/>
          <w:szCs w:val="21"/>
          <w:highlight w:val="none"/>
          <w:lang w:val="en-US" w:eastAsia="zh-CN"/>
        </w:rPr>
        <w:t>除非招标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4B7879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四、</w:t>
      </w:r>
      <w:r>
        <w:rPr>
          <w:rFonts w:hint="eastAsia" w:ascii="宋体" w:hAnsi="宋体" w:eastAsia="宋体" w:cs="Times New Roman"/>
          <w:color w:val="0000FF"/>
          <w:szCs w:val="21"/>
          <w:highlight w:val="none"/>
          <w:lang w:val="en-US" w:eastAsia="zh-CN"/>
        </w:rPr>
        <w:t>投标人应充分了解项目的位置、情况、道路及任何其它足以影响投标报价的情况，任何因忽视或误解项目情况而导致的索赔或服务期限延长申请将不获批准。</w:t>
      </w:r>
    </w:p>
    <w:p w14:paraId="355CA36F">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五、</w:t>
      </w:r>
      <w:r>
        <w:rPr>
          <w:rFonts w:hint="eastAsia" w:ascii="宋体" w:hAnsi="宋体" w:eastAsia="宋体" w:cs="Times New Roman"/>
          <w:color w:val="0000FF"/>
          <w:szCs w:val="21"/>
          <w:highlight w:val="none"/>
          <w:lang w:val="en-US"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D33DE5E">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Times New Roman"/>
          <w:color w:val="0000FF"/>
          <w:szCs w:val="21"/>
          <w:highlight w:val="none"/>
          <w:lang w:val="en-US" w:eastAsia="zh-CN"/>
        </w:rPr>
      </w:pPr>
      <w:r>
        <w:rPr>
          <w:rFonts w:hint="eastAsia" w:ascii="宋体" w:hAnsi="宋体" w:cs="Times New Roman"/>
          <w:color w:val="0000FF"/>
          <w:szCs w:val="21"/>
          <w:highlight w:val="none"/>
          <w:lang w:val="en-US" w:eastAsia="zh-CN"/>
        </w:rPr>
        <w:t>六、</w:t>
      </w:r>
      <w:r>
        <w:rPr>
          <w:rFonts w:hint="eastAsia" w:ascii="宋体" w:hAnsi="宋体" w:eastAsia="宋体" w:cs="Times New Roman"/>
          <w:color w:val="0000FF"/>
          <w:szCs w:val="21"/>
          <w:highlight w:val="none"/>
          <w:lang w:val="en-US" w:eastAsia="zh-CN"/>
        </w:rPr>
        <w:t>投标人须考虑本项目在实施期间的一切可能产生的费用。在项目实施过程中，如项目工作范围发生变更，由中标人和采购人双方协商解决；其余情况下，投标总价均不予调整。</w:t>
      </w:r>
    </w:p>
    <w:p w14:paraId="5C30818E">
      <w:pPr>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default" w:ascii="宋体" w:hAnsi="宋体" w:eastAsia="宋体" w:cs="Times New Roman"/>
          <w:b/>
          <w:bCs/>
          <w:color w:val="0000FF"/>
          <w:szCs w:val="21"/>
          <w:highlight w:val="none"/>
          <w:lang w:val="en-US" w:eastAsia="zh-CN"/>
        </w:rPr>
      </w:pPr>
      <w:r>
        <w:rPr>
          <w:rFonts w:hint="eastAsia" w:ascii="宋体" w:hAnsi="宋体" w:eastAsia="宋体" w:cs="Times New Roman"/>
          <w:b/>
          <w:bCs/>
          <w:color w:val="0000FF"/>
          <w:szCs w:val="21"/>
          <w:highlight w:val="none"/>
          <w:lang w:val="en-US" w:eastAsia="zh-CN"/>
        </w:rPr>
        <w:t>★</w:t>
      </w:r>
      <w:r>
        <w:rPr>
          <w:rFonts w:hint="eastAsia" w:ascii="宋体" w:hAnsi="宋体" w:cs="Times New Roman"/>
          <w:b/>
          <w:bCs/>
          <w:color w:val="0000FF"/>
          <w:szCs w:val="21"/>
          <w:highlight w:val="none"/>
          <w:lang w:val="en-US" w:eastAsia="zh-CN"/>
        </w:rPr>
        <w:t>七、</w:t>
      </w:r>
      <w:r>
        <w:rPr>
          <w:rFonts w:hint="eastAsia" w:ascii="宋体" w:hAnsi="宋体" w:eastAsia="宋体" w:cs="Times New Roman"/>
          <w:b/>
          <w:bCs/>
          <w:color w:val="0000FF"/>
          <w:szCs w:val="21"/>
          <w:highlight w:val="none"/>
          <w:lang w:val="en-US" w:eastAsia="zh-CN"/>
        </w:rPr>
        <w:t>投标人按照招标文件要求，提供《投标分项报价表》，按照每一项服务内分别进行报价，说明其投标报价的组成。</w:t>
      </w:r>
    </w:p>
    <w:p w14:paraId="2E202472">
      <w:pPr>
        <w:rPr>
          <w:rFonts w:hint="eastAsia" w:ascii="微软雅黑" w:hAnsi="微软雅黑" w:eastAsia="微软雅黑" w:cs="微软雅黑"/>
          <w:b/>
          <w:bCs/>
          <w:caps/>
          <w:color w:val="000000"/>
          <w:sz w:val="24"/>
          <w:szCs w:val="24"/>
        </w:rPr>
      </w:pPr>
    </w:p>
    <w:p w14:paraId="2BA959CA">
      <w:pPr>
        <w:jc w:val="center"/>
        <w:outlineLvl w:val="1"/>
        <w:rPr>
          <w:rFonts w:ascii="微软雅黑" w:hAnsi="微软雅黑" w:eastAsia="微软雅黑" w:cs="微软雅黑"/>
          <w:b/>
          <w:bCs/>
          <w:caps/>
          <w:color w:val="000000"/>
          <w:sz w:val="24"/>
          <w:szCs w:val="24"/>
        </w:rPr>
      </w:pPr>
      <w:bookmarkStart w:id="8" w:name="_Toc20478"/>
      <w:r>
        <w:rPr>
          <w:rFonts w:hint="eastAsia" w:ascii="微软雅黑" w:hAnsi="微软雅黑" w:eastAsia="微软雅黑" w:cs="微软雅黑"/>
          <w:b/>
          <w:bCs/>
          <w:caps/>
          <w:color w:val="000000"/>
          <w:sz w:val="24"/>
          <w:szCs w:val="24"/>
          <w:lang w:val="en-US" w:eastAsia="zh-CN"/>
        </w:rPr>
        <w:t xml:space="preserve">第六节  </w:t>
      </w:r>
      <w:r>
        <w:rPr>
          <w:rFonts w:hint="eastAsia" w:ascii="微软雅黑" w:hAnsi="微软雅黑" w:eastAsia="微软雅黑" w:cs="微软雅黑"/>
          <w:b/>
          <w:bCs/>
          <w:caps/>
          <w:color w:val="000000"/>
          <w:sz w:val="24"/>
          <w:szCs w:val="24"/>
        </w:rPr>
        <w:t>投标</w:t>
      </w:r>
      <w:r>
        <w:rPr>
          <w:rFonts w:hint="eastAsia" w:ascii="微软雅黑" w:hAnsi="微软雅黑" w:eastAsia="微软雅黑" w:cs="微软雅黑"/>
          <w:b/>
          <w:bCs/>
          <w:color w:val="000000"/>
          <w:sz w:val="24"/>
          <w:szCs w:val="24"/>
        </w:rPr>
        <w:t>文件</w:t>
      </w:r>
      <w:r>
        <w:rPr>
          <w:rFonts w:hint="eastAsia" w:ascii="微软雅黑" w:hAnsi="微软雅黑" w:eastAsia="微软雅黑" w:cs="微软雅黑"/>
          <w:b/>
          <w:bCs/>
          <w:caps/>
          <w:color w:val="000000"/>
          <w:sz w:val="24"/>
          <w:szCs w:val="24"/>
        </w:rPr>
        <w:t>否决性条款摘要</w:t>
      </w:r>
      <w:bookmarkEnd w:id="6"/>
      <w:bookmarkEnd w:id="7"/>
      <w:bookmarkEnd w:id="8"/>
    </w:p>
    <w:p w14:paraId="09D50D0A">
      <w:pPr>
        <w:spacing w:line="440" w:lineRule="exact"/>
        <w:ind w:firstLine="422" w:firstLineChars="200"/>
        <w:rPr>
          <w:rFonts w:ascii="宋体" w:hAnsi="宋体"/>
          <w:b/>
          <w:szCs w:val="21"/>
        </w:rPr>
      </w:pPr>
      <w:r>
        <w:rPr>
          <w:rFonts w:ascii="宋体" w:hAnsi="宋体"/>
          <w:b/>
        </w:rPr>
        <w:t>1、</w:t>
      </w:r>
      <w:r>
        <w:rPr>
          <w:rFonts w:ascii="宋体" w:hAnsi="宋体"/>
          <w:b/>
          <w:szCs w:val="21"/>
        </w:rPr>
        <w:t>投标文件有下列情形之一的，不予受理：</w:t>
      </w:r>
    </w:p>
    <w:p w14:paraId="06151165">
      <w:pPr>
        <w:spacing w:line="440" w:lineRule="exact"/>
        <w:ind w:firstLine="420" w:firstLineChars="200"/>
        <w:rPr>
          <w:rFonts w:ascii="宋体" w:hAnsi="宋体"/>
          <w:szCs w:val="21"/>
        </w:rPr>
      </w:pPr>
      <w:r>
        <w:rPr>
          <w:rFonts w:ascii="宋体" w:hAnsi="宋体"/>
        </w:rPr>
        <w:t xml:space="preserve">1.1  </w:t>
      </w:r>
      <w:r>
        <w:rPr>
          <w:rFonts w:ascii="宋体" w:hAnsi="宋体"/>
          <w:szCs w:val="21"/>
        </w:rPr>
        <w:t>在投标截止时间以后送达的，或者未送达指定地点的；</w:t>
      </w:r>
    </w:p>
    <w:p w14:paraId="33C8AB85">
      <w:pPr>
        <w:spacing w:line="440" w:lineRule="exact"/>
        <w:ind w:firstLine="420" w:firstLineChars="200"/>
        <w:rPr>
          <w:rFonts w:ascii="宋体" w:hAnsi="宋体"/>
        </w:rPr>
      </w:pPr>
      <w:r>
        <w:rPr>
          <w:rFonts w:ascii="宋体" w:hAnsi="宋体"/>
        </w:rPr>
        <w:t xml:space="preserve">1.2  </w:t>
      </w:r>
      <w:r>
        <w:rPr>
          <w:rFonts w:hint="eastAsia" w:ascii="宋体" w:hAnsi="宋体"/>
        </w:rPr>
        <w:t>投标文件未密封的；</w:t>
      </w:r>
    </w:p>
    <w:p w14:paraId="6861954D">
      <w:pPr>
        <w:spacing w:line="440" w:lineRule="exact"/>
        <w:ind w:firstLine="420" w:firstLineChars="200"/>
        <w:rPr>
          <w:rFonts w:ascii="宋体" w:hAnsi="宋体"/>
          <w:b/>
          <w:szCs w:val="21"/>
        </w:rPr>
      </w:pPr>
      <w:r>
        <w:rPr>
          <w:rFonts w:hint="eastAsia" w:ascii="宋体" w:hAnsi="宋体"/>
        </w:rPr>
        <w:t xml:space="preserve">1.3  </w:t>
      </w:r>
      <w:r>
        <w:rPr>
          <w:rFonts w:ascii="宋体" w:hAnsi="宋体"/>
          <w:szCs w:val="21"/>
        </w:rPr>
        <w:t>投标人的名称与</w:t>
      </w:r>
      <w:bookmarkStart w:id="9" w:name="_Toc76871384"/>
      <w:r>
        <w:rPr>
          <w:rFonts w:ascii="宋体" w:hAnsi="宋体"/>
          <w:szCs w:val="21"/>
        </w:rPr>
        <w:t>购买招标文件时登记</w:t>
      </w:r>
      <w:bookmarkEnd w:id="9"/>
      <w:r>
        <w:rPr>
          <w:rFonts w:ascii="宋体" w:hAnsi="宋体"/>
          <w:szCs w:val="21"/>
        </w:rPr>
        <w:t>的不一致的。</w:t>
      </w:r>
    </w:p>
    <w:p w14:paraId="3D640D2F">
      <w:pPr>
        <w:spacing w:line="440" w:lineRule="exact"/>
        <w:ind w:firstLine="422" w:firstLineChars="200"/>
        <w:rPr>
          <w:rFonts w:ascii="宋体" w:hAnsi="宋体"/>
          <w:b/>
          <w:szCs w:val="21"/>
        </w:rPr>
      </w:pPr>
      <w:r>
        <w:rPr>
          <w:rFonts w:ascii="宋体" w:hAnsi="宋体"/>
          <w:b/>
        </w:rPr>
        <w:t>2</w:t>
      </w:r>
      <w:r>
        <w:rPr>
          <w:rFonts w:hint="eastAsia" w:ascii="宋体" w:hAnsi="宋体"/>
          <w:b/>
        </w:rPr>
        <w:t>、</w:t>
      </w:r>
      <w:r>
        <w:rPr>
          <w:rFonts w:ascii="宋体" w:hAnsi="宋体"/>
          <w:b/>
          <w:szCs w:val="21"/>
        </w:rPr>
        <w:t>投标文件有下列</w:t>
      </w:r>
      <w:r>
        <w:rPr>
          <w:rFonts w:hint="eastAsia" w:ascii="宋体" w:hAnsi="宋体"/>
          <w:b/>
          <w:szCs w:val="21"/>
        </w:rPr>
        <w:t>情形之一的，按无效标处理：</w:t>
      </w:r>
    </w:p>
    <w:p w14:paraId="0F57F9A8">
      <w:pPr>
        <w:spacing w:line="440" w:lineRule="exact"/>
        <w:ind w:firstLine="420" w:firstLineChars="200"/>
        <w:rPr>
          <w:rFonts w:ascii="宋体" w:hAnsi="宋体"/>
          <w:szCs w:val="21"/>
        </w:rPr>
      </w:pPr>
      <w:r>
        <w:rPr>
          <w:rFonts w:hint="eastAsia" w:ascii="宋体" w:hAnsi="宋体"/>
        </w:rPr>
        <w:t xml:space="preserve">2.1  </w:t>
      </w:r>
      <w:r>
        <w:rPr>
          <w:rFonts w:hint="eastAsia" w:ascii="宋体" w:hAnsi="宋体"/>
          <w:szCs w:val="21"/>
        </w:rPr>
        <w:t>投标人未按照招标文件的要求提供投标保证金的；</w:t>
      </w:r>
      <w:r>
        <w:rPr>
          <w:rFonts w:ascii="宋体" w:hAnsi="宋体"/>
          <w:szCs w:val="21"/>
        </w:rPr>
        <w:t xml:space="preserve"> </w:t>
      </w:r>
    </w:p>
    <w:p w14:paraId="3C06D36A">
      <w:pPr>
        <w:spacing w:line="440" w:lineRule="exact"/>
        <w:ind w:firstLine="420" w:firstLineChars="200"/>
        <w:rPr>
          <w:rFonts w:ascii="宋体" w:hAnsi="宋体"/>
          <w:szCs w:val="21"/>
        </w:rPr>
      </w:pPr>
      <w:r>
        <w:rPr>
          <w:rFonts w:hint="eastAsia" w:ascii="宋体" w:hAnsi="宋体"/>
          <w:szCs w:val="21"/>
        </w:rPr>
        <w:t>2.2  投标文件无法定代表人签字或盖章，或签字人无法定代表人有效授权委托书原件的；</w:t>
      </w:r>
    </w:p>
    <w:p w14:paraId="57A8397E">
      <w:pPr>
        <w:spacing w:line="440" w:lineRule="exact"/>
        <w:ind w:firstLine="420" w:firstLineChars="200"/>
        <w:rPr>
          <w:rFonts w:ascii="宋体" w:hAnsi="宋体"/>
          <w:szCs w:val="21"/>
        </w:rPr>
      </w:pPr>
      <w:r>
        <w:rPr>
          <w:rFonts w:hint="eastAsia" w:ascii="宋体" w:hAnsi="宋体"/>
          <w:szCs w:val="21"/>
        </w:rPr>
        <w:t>2.3  投标人资格条件不符合国家有关规定和招标文件要求；</w:t>
      </w:r>
    </w:p>
    <w:p w14:paraId="746A8A6C">
      <w:pPr>
        <w:spacing w:line="440" w:lineRule="exact"/>
        <w:ind w:firstLine="420" w:firstLineChars="200"/>
        <w:rPr>
          <w:rFonts w:ascii="宋体" w:hAnsi="宋体"/>
          <w:szCs w:val="21"/>
        </w:rPr>
      </w:pPr>
      <w:r>
        <w:rPr>
          <w:rFonts w:hint="eastAsia" w:ascii="宋体" w:hAnsi="宋体"/>
          <w:szCs w:val="21"/>
        </w:rPr>
        <w:t>2.4  投标总价或分项报价超过预算控制金额的；</w:t>
      </w:r>
      <w:r>
        <w:rPr>
          <w:rFonts w:ascii="宋体" w:hAnsi="宋体"/>
          <w:szCs w:val="21"/>
        </w:rPr>
        <w:t xml:space="preserve"> </w:t>
      </w:r>
    </w:p>
    <w:p w14:paraId="2136B555">
      <w:pPr>
        <w:spacing w:line="440" w:lineRule="exact"/>
        <w:ind w:firstLine="420" w:firstLineChars="200"/>
        <w:rPr>
          <w:rFonts w:ascii="宋体" w:hAnsi="宋体"/>
          <w:szCs w:val="21"/>
        </w:rPr>
      </w:pPr>
      <w:r>
        <w:rPr>
          <w:rFonts w:hint="eastAsia" w:ascii="宋体" w:hAnsi="宋体"/>
          <w:szCs w:val="21"/>
        </w:rPr>
        <w:t>2.5  开标一览表出现无报价或报价为零或有选择性报价的；</w:t>
      </w:r>
    </w:p>
    <w:p w14:paraId="32B67484">
      <w:pPr>
        <w:spacing w:line="440" w:lineRule="exact"/>
        <w:ind w:firstLine="420" w:firstLineChars="200"/>
        <w:rPr>
          <w:rFonts w:ascii="宋体" w:hAnsi="宋体"/>
          <w:szCs w:val="21"/>
        </w:rPr>
      </w:pPr>
      <w:r>
        <w:rPr>
          <w:rFonts w:hint="eastAsia" w:ascii="宋体" w:hAnsi="宋体"/>
          <w:szCs w:val="21"/>
        </w:rPr>
        <w:t xml:space="preserve">2.6  </w:t>
      </w:r>
      <w:r>
        <w:rPr>
          <w:rFonts w:hint="eastAsia" w:ascii="宋体" w:hAnsi="宋体"/>
          <w:spacing w:val="-2"/>
          <w:szCs w:val="21"/>
        </w:rPr>
        <w:t>投标人以他人的名义投标、串通投标、以行贿手段谋取中标或者以其他弄虚作假方式投标；</w:t>
      </w:r>
    </w:p>
    <w:p w14:paraId="7B286C4D">
      <w:pPr>
        <w:spacing w:line="440" w:lineRule="exact"/>
        <w:ind w:firstLine="420" w:firstLineChars="200"/>
        <w:rPr>
          <w:rFonts w:ascii="宋体" w:hAnsi="宋体"/>
          <w:szCs w:val="21"/>
        </w:rPr>
      </w:pPr>
      <w:r>
        <w:rPr>
          <w:rFonts w:hint="eastAsia" w:ascii="宋体" w:hAnsi="宋体"/>
          <w:szCs w:val="21"/>
        </w:rPr>
        <w:t xml:space="preserve">2.7  </w:t>
      </w:r>
      <w:r>
        <w:rPr>
          <w:rFonts w:hint="eastAsia" w:ascii="宋体" w:hAnsi="宋体"/>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14:paraId="4C9E7244">
      <w:pPr>
        <w:spacing w:line="440" w:lineRule="exact"/>
        <w:ind w:firstLine="420" w:firstLineChars="200"/>
        <w:rPr>
          <w:rFonts w:ascii="宋体" w:hAnsi="宋体"/>
          <w:szCs w:val="21"/>
        </w:rPr>
      </w:pPr>
      <w:r>
        <w:rPr>
          <w:rFonts w:hint="eastAsia" w:ascii="宋体" w:hAnsi="宋体"/>
          <w:szCs w:val="21"/>
        </w:rPr>
        <w:t>2.8  投标人拒不按照要求对投标文件进行澄清、说明或者补正的；</w:t>
      </w:r>
    </w:p>
    <w:p w14:paraId="473D1055">
      <w:pPr>
        <w:spacing w:line="440" w:lineRule="exact"/>
        <w:ind w:firstLine="420" w:firstLineChars="200"/>
        <w:rPr>
          <w:rFonts w:ascii="宋体" w:hAnsi="宋体"/>
          <w:szCs w:val="21"/>
        </w:rPr>
      </w:pPr>
      <w:r>
        <w:rPr>
          <w:rFonts w:hint="eastAsia" w:ascii="宋体" w:hAnsi="宋体"/>
          <w:szCs w:val="21"/>
        </w:rPr>
        <w:t>2.9  文件的关键内容字迹模糊、无法辨认的；</w:t>
      </w:r>
    </w:p>
    <w:p w14:paraId="2EB712D4">
      <w:pPr>
        <w:spacing w:line="440" w:lineRule="exact"/>
        <w:ind w:firstLine="420" w:firstLineChars="200"/>
        <w:rPr>
          <w:rFonts w:ascii="宋体" w:hAnsi="宋体"/>
          <w:szCs w:val="21"/>
        </w:rPr>
      </w:pPr>
      <w:r>
        <w:rPr>
          <w:rFonts w:hint="eastAsia" w:ascii="宋体" w:hAnsi="宋体"/>
          <w:szCs w:val="21"/>
        </w:rPr>
        <w:t>2.10  投标函未按规定填写的；</w:t>
      </w:r>
    </w:p>
    <w:p w14:paraId="398BFB1C">
      <w:pPr>
        <w:spacing w:line="440" w:lineRule="exact"/>
        <w:ind w:firstLine="420" w:firstLineChars="200"/>
        <w:rPr>
          <w:rFonts w:ascii="宋体" w:hAnsi="宋体"/>
          <w:szCs w:val="21"/>
        </w:rPr>
      </w:pPr>
      <w:r>
        <w:rPr>
          <w:rFonts w:hint="eastAsia" w:ascii="宋体" w:hAnsi="宋体"/>
          <w:szCs w:val="21"/>
        </w:rPr>
        <w:t>2.11  投标有效期不足的；</w:t>
      </w:r>
    </w:p>
    <w:p w14:paraId="2AF7690C">
      <w:pPr>
        <w:spacing w:line="440" w:lineRule="exact"/>
        <w:ind w:firstLine="420" w:firstLineChars="200"/>
        <w:rPr>
          <w:rFonts w:ascii="宋体" w:hAnsi="宋体"/>
          <w:szCs w:val="21"/>
        </w:rPr>
      </w:pPr>
      <w:r>
        <w:rPr>
          <w:rFonts w:hint="eastAsia" w:ascii="宋体" w:hAnsi="宋体"/>
          <w:szCs w:val="21"/>
        </w:rPr>
        <w:t xml:space="preserve">2.12  </w:t>
      </w:r>
      <w:r>
        <w:rPr>
          <w:rFonts w:hint="eastAsia" w:ascii="宋体" w:hAnsi="宋体"/>
          <w:spacing w:val="-6"/>
          <w:szCs w:val="21"/>
        </w:rPr>
        <w:t>投标人的投标未能在实质上响应招标文件提出的所有实质性要求和条件（不可偏离条款）的；</w:t>
      </w:r>
    </w:p>
    <w:p w14:paraId="4A1A7C7E">
      <w:pPr>
        <w:spacing w:line="440" w:lineRule="exact"/>
        <w:ind w:firstLine="420" w:firstLineChars="200"/>
        <w:rPr>
          <w:rFonts w:ascii="宋体" w:hAnsi="宋体"/>
          <w:szCs w:val="21"/>
        </w:rPr>
      </w:pPr>
      <w:r>
        <w:rPr>
          <w:rFonts w:hint="eastAsia" w:ascii="宋体" w:hAnsi="宋体"/>
          <w:szCs w:val="21"/>
        </w:rPr>
        <w:t xml:space="preserve">2.13  </w:t>
      </w:r>
      <w:r>
        <w:rPr>
          <w:rFonts w:ascii="宋体" w:hAnsi="宋体"/>
          <w:szCs w:val="21"/>
        </w:rPr>
        <w:t>投标报价有严重缺漏项目的</w:t>
      </w:r>
      <w:r>
        <w:rPr>
          <w:rFonts w:hint="eastAsia" w:ascii="宋体" w:hAnsi="宋体"/>
          <w:szCs w:val="21"/>
        </w:rPr>
        <w:t>；</w:t>
      </w:r>
    </w:p>
    <w:p w14:paraId="5C06DD49">
      <w:pPr>
        <w:spacing w:line="440" w:lineRule="exact"/>
        <w:ind w:firstLine="420" w:firstLineChars="200"/>
        <w:rPr>
          <w:rFonts w:ascii="宋体" w:hAnsi="宋体"/>
          <w:szCs w:val="21"/>
        </w:rPr>
      </w:pPr>
      <w:r>
        <w:rPr>
          <w:rFonts w:hint="eastAsia" w:ascii="宋体" w:hAnsi="宋体"/>
          <w:szCs w:val="21"/>
        </w:rPr>
        <w:t>2.14  联合体投标未附联合体各方共同投标协议的；联合体成员</w:t>
      </w:r>
      <w:r>
        <w:rPr>
          <w:rFonts w:ascii="宋体" w:hAnsi="宋体"/>
          <w:szCs w:val="21"/>
        </w:rPr>
        <w:t>再以自己名义单独投标，</w:t>
      </w:r>
      <w:r>
        <w:rPr>
          <w:rFonts w:hint="eastAsia" w:ascii="宋体" w:hAnsi="宋体"/>
          <w:szCs w:val="21"/>
        </w:rPr>
        <w:t>及</w:t>
      </w:r>
      <w:r>
        <w:rPr>
          <w:rFonts w:ascii="宋体" w:hAnsi="宋体"/>
          <w:szCs w:val="21"/>
        </w:rPr>
        <w:t>组成或参加其他联合体在同一项目中投标</w:t>
      </w:r>
      <w:r>
        <w:rPr>
          <w:rFonts w:hint="eastAsia" w:ascii="宋体" w:hAnsi="宋体"/>
          <w:szCs w:val="21"/>
        </w:rPr>
        <w:t>的；</w:t>
      </w:r>
    </w:p>
    <w:p w14:paraId="6D5B04CB">
      <w:pPr>
        <w:spacing w:line="440" w:lineRule="exact"/>
        <w:ind w:firstLine="420" w:firstLineChars="200"/>
        <w:rPr>
          <w:rFonts w:ascii="宋体" w:hAnsi="宋体"/>
          <w:szCs w:val="21"/>
        </w:rPr>
      </w:pPr>
      <w:r>
        <w:rPr>
          <w:rFonts w:hint="eastAsia" w:ascii="宋体" w:hAnsi="宋体"/>
          <w:szCs w:val="21"/>
        </w:rPr>
        <w:t xml:space="preserve">2.15  </w:t>
      </w:r>
      <w:r>
        <w:rPr>
          <w:rFonts w:ascii="宋体" w:hAnsi="宋体"/>
          <w:szCs w:val="21"/>
        </w:rPr>
        <w:t>投标人递交两份或多份内容不同</w:t>
      </w:r>
      <w:r>
        <w:rPr>
          <w:rFonts w:hint="eastAsia" w:ascii="宋体" w:hAnsi="宋体"/>
          <w:szCs w:val="21"/>
        </w:rPr>
        <w:t>投标方案（</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14:paraId="36F63093">
      <w:pPr>
        <w:spacing w:line="440" w:lineRule="exact"/>
        <w:ind w:firstLine="420" w:firstLineChars="200"/>
        <w:rPr>
          <w:rFonts w:ascii="宋体" w:hAnsi="宋体"/>
          <w:szCs w:val="21"/>
        </w:rPr>
      </w:pPr>
      <w:r>
        <w:rPr>
          <w:rFonts w:hint="eastAsia" w:ascii="宋体" w:hAnsi="宋体"/>
          <w:szCs w:val="21"/>
        </w:rPr>
        <w:t>2.16  投标文件只对</w:t>
      </w:r>
      <w:r>
        <w:rPr>
          <w:rFonts w:ascii="宋体" w:hAnsi="宋体"/>
          <w:szCs w:val="21"/>
        </w:rPr>
        <w:t>同一</w:t>
      </w:r>
      <w:r>
        <w:rPr>
          <w:rFonts w:hint="eastAsia" w:ascii="宋体" w:hAnsi="宋体"/>
          <w:szCs w:val="21"/>
        </w:rPr>
        <w:t>项目</w:t>
      </w:r>
      <w:r>
        <w:rPr>
          <w:rFonts w:ascii="宋体" w:hAnsi="宋体"/>
          <w:szCs w:val="21"/>
        </w:rPr>
        <w:t>包中的</w:t>
      </w:r>
      <w:r>
        <w:rPr>
          <w:rFonts w:hint="eastAsia" w:ascii="宋体" w:hAnsi="宋体"/>
          <w:szCs w:val="21"/>
        </w:rPr>
        <w:t>部分</w:t>
      </w:r>
      <w:r>
        <w:rPr>
          <w:rFonts w:ascii="宋体" w:hAnsi="宋体"/>
          <w:szCs w:val="21"/>
        </w:rPr>
        <w:t>内容</w:t>
      </w:r>
      <w:r>
        <w:rPr>
          <w:rFonts w:hint="eastAsia" w:ascii="宋体" w:hAnsi="宋体"/>
          <w:szCs w:val="21"/>
        </w:rPr>
        <w:t>投标，或把</w:t>
      </w:r>
      <w:r>
        <w:rPr>
          <w:rFonts w:ascii="宋体" w:hAnsi="宋体"/>
          <w:szCs w:val="21"/>
        </w:rPr>
        <w:t>同一</w:t>
      </w:r>
      <w:r>
        <w:rPr>
          <w:rFonts w:hint="eastAsia" w:ascii="宋体" w:hAnsi="宋体"/>
          <w:szCs w:val="21"/>
        </w:rPr>
        <w:t>项目</w:t>
      </w:r>
      <w:r>
        <w:rPr>
          <w:rFonts w:ascii="宋体" w:hAnsi="宋体"/>
          <w:szCs w:val="21"/>
        </w:rPr>
        <w:t>包中</w:t>
      </w:r>
      <w:r>
        <w:rPr>
          <w:rFonts w:hint="eastAsia" w:ascii="宋体" w:hAnsi="宋体"/>
          <w:szCs w:val="21"/>
        </w:rPr>
        <w:t>的内容拆开的投标；</w:t>
      </w:r>
    </w:p>
    <w:p w14:paraId="1EE79BA6">
      <w:pPr>
        <w:spacing w:line="440" w:lineRule="exact"/>
        <w:ind w:firstLine="420" w:firstLineChars="200"/>
        <w:rPr>
          <w:rFonts w:ascii="宋体" w:hAnsi="宋体"/>
          <w:szCs w:val="21"/>
        </w:rPr>
      </w:pPr>
      <w:r>
        <w:rPr>
          <w:rFonts w:hint="eastAsia" w:ascii="宋体" w:hAnsi="宋体"/>
          <w:szCs w:val="21"/>
        </w:rPr>
        <w:t>2.17  评标委员会根据招标文件的规定对投标文件的计算错误进行修正，投标人不接受修正后的投标报价的；</w:t>
      </w:r>
    </w:p>
    <w:p w14:paraId="0A0524F6">
      <w:pPr>
        <w:spacing w:line="440" w:lineRule="exact"/>
        <w:ind w:firstLine="420" w:firstLineChars="200"/>
        <w:rPr>
          <w:rFonts w:ascii="宋体" w:hAnsi="宋体"/>
          <w:szCs w:val="21"/>
        </w:rPr>
      </w:pPr>
      <w:r>
        <w:rPr>
          <w:rFonts w:hint="eastAsia" w:ascii="宋体" w:hAnsi="宋体"/>
          <w:szCs w:val="21"/>
        </w:rPr>
        <w:t>2.18  投标文件符合法律、法规及</w:t>
      </w:r>
      <w:r>
        <w:rPr>
          <w:rFonts w:hint="eastAsia" w:ascii="宋体" w:hAnsi="宋体"/>
        </w:rPr>
        <w:t>招标文件中规定的其他否决因素的。</w:t>
      </w:r>
    </w:p>
    <w:p w14:paraId="584F1A75">
      <w:pPr>
        <w:spacing w:line="440" w:lineRule="exact"/>
        <w:jc w:val="center"/>
        <w:rPr>
          <w:rFonts w:ascii="黑体" w:hAnsi="宋体" w:eastAsia="黑体"/>
          <w:bCs/>
          <w:color w:val="000000"/>
          <w:sz w:val="24"/>
          <w:szCs w:val="24"/>
        </w:rPr>
      </w:pPr>
    </w:p>
    <w:p w14:paraId="437672B2">
      <w:pPr>
        <w:jc w:val="center"/>
        <w:outlineLvl w:val="1"/>
        <w:rPr>
          <w:rFonts w:ascii="微软雅黑" w:hAnsi="微软雅黑" w:eastAsia="微软雅黑" w:cs="微软雅黑"/>
          <w:b/>
          <w:color w:val="000000"/>
          <w:sz w:val="24"/>
          <w:szCs w:val="24"/>
        </w:rPr>
      </w:pPr>
      <w:bookmarkStart w:id="10" w:name="_Toc23946"/>
      <w:r>
        <w:rPr>
          <w:rFonts w:hint="eastAsia" w:ascii="微软雅黑" w:hAnsi="微软雅黑" w:eastAsia="微软雅黑" w:cs="微软雅黑"/>
          <w:b/>
          <w:color w:val="000000"/>
          <w:sz w:val="24"/>
          <w:szCs w:val="24"/>
        </w:rPr>
        <w:t>第</w:t>
      </w:r>
      <w:r>
        <w:rPr>
          <w:rFonts w:hint="eastAsia" w:ascii="微软雅黑" w:hAnsi="微软雅黑" w:eastAsia="微软雅黑" w:cs="微软雅黑"/>
          <w:b/>
          <w:color w:val="000000"/>
          <w:sz w:val="24"/>
          <w:szCs w:val="24"/>
          <w:lang w:val="en-US" w:eastAsia="zh-CN"/>
        </w:rPr>
        <w:t>七</w:t>
      </w:r>
      <w:r>
        <w:rPr>
          <w:rFonts w:hint="eastAsia" w:ascii="微软雅黑" w:hAnsi="微软雅黑" w:eastAsia="微软雅黑" w:cs="微软雅黑"/>
          <w:b/>
          <w:color w:val="000000"/>
          <w:sz w:val="24"/>
          <w:szCs w:val="24"/>
        </w:rPr>
        <w:t>节  评标方法及程序</w:t>
      </w:r>
      <w:bookmarkEnd w:id="10"/>
    </w:p>
    <w:p w14:paraId="724C1E24">
      <w:pPr>
        <w:spacing w:line="360" w:lineRule="exact"/>
        <w:ind w:firstLine="422" w:firstLineChars="200"/>
        <w:rPr>
          <w:rFonts w:ascii="宋体" w:hAnsi="宋体"/>
          <w:b/>
          <w:bCs/>
          <w:szCs w:val="21"/>
        </w:rPr>
      </w:pPr>
      <w:r>
        <w:rPr>
          <w:rFonts w:hint="eastAsia" w:ascii="宋体" w:hAnsi="宋体"/>
          <w:b/>
          <w:bCs/>
          <w:szCs w:val="21"/>
        </w:rPr>
        <w:t>一、本项目评标及定标方法</w:t>
      </w:r>
    </w:p>
    <w:tbl>
      <w:tblPr>
        <w:tblStyle w:val="10"/>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770"/>
        <w:gridCol w:w="6660"/>
      </w:tblGrid>
      <w:tr w14:paraId="6E793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785" w:type="dxa"/>
            <w:vAlign w:val="center"/>
          </w:tcPr>
          <w:p w14:paraId="08A7BAB1">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序号</w:t>
            </w:r>
          </w:p>
        </w:tc>
        <w:tc>
          <w:tcPr>
            <w:tcW w:w="1770" w:type="dxa"/>
            <w:vAlign w:val="center"/>
          </w:tcPr>
          <w:p w14:paraId="7A91F9FE">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项目</w:t>
            </w:r>
          </w:p>
        </w:tc>
        <w:tc>
          <w:tcPr>
            <w:tcW w:w="6660" w:type="dxa"/>
            <w:vAlign w:val="center"/>
          </w:tcPr>
          <w:p w14:paraId="458EECE4">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内容</w:t>
            </w:r>
          </w:p>
        </w:tc>
      </w:tr>
      <w:tr w14:paraId="5B6219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14073CAE">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1</w:t>
            </w:r>
          </w:p>
        </w:tc>
        <w:tc>
          <w:tcPr>
            <w:tcW w:w="1770" w:type="dxa"/>
            <w:vAlign w:val="center"/>
          </w:tcPr>
          <w:p w14:paraId="7D2B241B">
            <w:pPr>
              <w:spacing w:line="440" w:lineRule="exact"/>
              <w:rPr>
                <w:rFonts w:ascii="宋体" w:hAnsi="宋体" w:eastAsiaTheme="minorEastAsia" w:cstheme="minorBidi"/>
                <w:bCs/>
                <w:szCs w:val="21"/>
              </w:rPr>
            </w:pPr>
            <w:r>
              <w:rPr>
                <w:rFonts w:hint="eastAsia" w:ascii="宋体" w:hAnsi="宋体" w:eastAsiaTheme="minorEastAsia" w:cstheme="minorBidi"/>
                <w:bCs/>
                <w:szCs w:val="21"/>
              </w:rPr>
              <w:t>定标方式</w:t>
            </w:r>
          </w:p>
        </w:tc>
        <w:tc>
          <w:tcPr>
            <w:tcW w:w="6660" w:type="dxa"/>
            <w:vAlign w:val="center"/>
          </w:tcPr>
          <w:p w14:paraId="5E37FF4B">
            <w:pPr>
              <w:spacing w:line="440" w:lineRule="exact"/>
              <w:rPr>
                <w:rFonts w:ascii="宋体" w:hAnsi="宋体" w:eastAsiaTheme="minorEastAsia" w:cstheme="minorBidi"/>
                <w:b/>
                <w:bCs/>
                <w:szCs w:val="21"/>
              </w:rPr>
            </w:pPr>
            <w:r>
              <w:rPr>
                <w:rFonts w:hint="eastAsia" w:ascii="MS Mincho" w:hAnsi="MS Mincho" w:cs="MS Mincho" w:eastAsiaTheme="minorEastAsia"/>
                <w:snapToGrid w:val="0"/>
                <w:kern w:val="0"/>
                <w:szCs w:val="21"/>
              </w:rPr>
              <w:t xml:space="preserve">■ </w:t>
            </w:r>
            <w:r>
              <w:rPr>
                <w:rFonts w:hint="eastAsia" w:ascii="宋体" w:hAnsi="宋体" w:eastAsiaTheme="minorEastAsia" w:cstheme="minorBidi"/>
                <w:szCs w:val="21"/>
              </w:rPr>
              <w:t xml:space="preserve">授权评标委员会确定中标单位   </w:t>
            </w:r>
            <w:r>
              <w:rPr>
                <w:rFonts w:hint="eastAsia" w:ascii="宋体" w:hAnsi="宋体" w:eastAsiaTheme="minorEastAsia" w:cstheme="minorBidi"/>
                <w:snapToGrid w:val="0"/>
                <w:kern w:val="0"/>
                <w:szCs w:val="21"/>
              </w:rPr>
              <w:t xml:space="preserve">□ </w:t>
            </w:r>
            <w:r>
              <w:rPr>
                <w:rFonts w:hint="eastAsia" w:asciiTheme="minorHAnsi" w:hAnsiTheme="minorHAnsi" w:eastAsiaTheme="minorEastAsia" w:cstheme="minorBidi"/>
                <w:szCs w:val="22"/>
              </w:rPr>
              <w:t>评标和定标分离</w:t>
            </w:r>
          </w:p>
        </w:tc>
      </w:tr>
      <w:tr w14:paraId="5C4859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0784A11B">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2</w:t>
            </w:r>
          </w:p>
        </w:tc>
        <w:tc>
          <w:tcPr>
            <w:tcW w:w="1770" w:type="dxa"/>
            <w:vAlign w:val="center"/>
          </w:tcPr>
          <w:p w14:paraId="3FA116C7">
            <w:pPr>
              <w:spacing w:line="440" w:lineRule="exact"/>
              <w:rPr>
                <w:rFonts w:ascii="宋体" w:hAnsi="宋体" w:eastAsiaTheme="minorEastAsia" w:cstheme="minorBidi"/>
                <w:bCs/>
                <w:szCs w:val="21"/>
              </w:rPr>
            </w:pPr>
            <w:r>
              <w:rPr>
                <w:rFonts w:hint="eastAsia" w:ascii="宋体" w:hAnsi="宋体" w:eastAsiaTheme="minorEastAsia" w:cstheme="minorBidi"/>
                <w:bCs/>
                <w:szCs w:val="21"/>
              </w:rPr>
              <w:t>评标方法</w:t>
            </w:r>
          </w:p>
        </w:tc>
        <w:tc>
          <w:tcPr>
            <w:tcW w:w="6660" w:type="dxa"/>
            <w:vAlign w:val="center"/>
          </w:tcPr>
          <w:p w14:paraId="7AF4F9FC">
            <w:pPr>
              <w:spacing w:line="440" w:lineRule="exact"/>
              <w:rPr>
                <w:rFonts w:ascii="宋体" w:hAnsi="宋体" w:eastAsiaTheme="minorEastAsia" w:cstheme="minorBidi"/>
                <w:b/>
                <w:bCs/>
                <w:szCs w:val="21"/>
              </w:rPr>
            </w:pPr>
            <w:r>
              <w:rPr>
                <w:rFonts w:hint="eastAsia" w:ascii="MS Mincho" w:hAnsi="MS Mincho" w:cs="MS Mincho" w:eastAsiaTheme="minorEastAsia"/>
                <w:snapToGrid w:val="0"/>
                <w:kern w:val="0"/>
                <w:szCs w:val="21"/>
              </w:rPr>
              <w:t xml:space="preserve">■ </w:t>
            </w:r>
            <w:r>
              <w:rPr>
                <w:rFonts w:hint="eastAsia" w:ascii="宋体" w:hAnsi="宋体" w:eastAsiaTheme="minorEastAsia" w:cstheme="minorBidi"/>
                <w:szCs w:val="21"/>
              </w:rPr>
              <w:t xml:space="preserve">综合评分法    </w:t>
            </w:r>
            <w:r>
              <w:rPr>
                <w:rFonts w:ascii="宋体" w:hAnsi="宋体" w:eastAsiaTheme="minorEastAsia" w:cstheme="minorBidi"/>
                <w:szCs w:val="21"/>
              </w:rPr>
              <w:t xml:space="preserve">               </w:t>
            </w:r>
            <w:r>
              <w:rPr>
                <w:rFonts w:hint="eastAsia" w:ascii="宋体" w:hAnsi="宋体" w:eastAsiaTheme="minorEastAsia" w:cstheme="minorBidi"/>
                <w:snapToGrid w:val="0"/>
                <w:kern w:val="0"/>
                <w:szCs w:val="21"/>
              </w:rPr>
              <w:t xml:space="preserve">□ </w:t>
            </w:r>
            <w:r>
              <w:rPr>
                <w:rFonts w:hint="eastAsia" w:ascii="Calibri" w:hAnsi="Calibri" w:eastAsiaTheme="minorEastAsia" w:cstheme="minorBidi"/>
                <w:szCs w:val="21"/>
              </w:rPr>
              <w:t>最低价法</w:t>
            </w:r>
          </w:p>
        </w:tc>
      </w:tr>
      <w:tr w14:paraId="73835B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05EF95DC">
            <w:pPr>
              <w:spacing w:line="440" w:lineRule="exact"/>
              <w:jc w:val="center"/>
              <w:rPr>
                <w:rFonts w:ascii="宋体" w:hAnsi="宋体" w:eastAsiaTheme="minorEastAsia" w:cstheme="minorBidi"/>
                <w:bCs/>
                <w:szCs w:val="21"/>
              </w:rPr>
            </w:pPr>
            <w:r>
              <w:rPr>
                <w:rFonts w:ascii="宋体" w:hAnsi="宋体" w:eastAsiaTheme="minorEastAsia" w:cstheme="minorBidi"/>
                <w:bCs/>
                <w:szCs w:val="21"/>
              </w:rPr>
              <w:t>3</w:t>
            </w:r>
          </w:p>
        </w:tc>
        <w:tc>
          <w:tcPr>
            <w:tcW w:w="1770" w:type="dxa"/>
            <w:vAlign w:val="center"/>
          </w:tcPr>
          <w:p w14:paraId="485037EA">
            <w:pPr>
              <w:spacing w:line="440" w:lineRule="exact"/>
              <w:rPr>
                <w:rFonts w:hint="eastAsia" w:ascii="宋体" w:hAnsi="宋体" w:eastAsia="宋体" w:cstheme="minorBidi"/>
                <w:bCs/>
                <w:szCs w:val="21"/>
                <w:lang w:eastAsia="zh-CN"/>
              </w:rPr>
            </w:pPr>
            <w:r>
              <w:rPr>
                <w:rFonts w:hint="eastAsia" w:ascii="宋体" w:hAnsi="宋体" w:eastAsiaTheme="minorEastAsia" w:cstheme="minorBidi"/>
                <w:bCs/>
                <w:szCs w:val="21"/>
              </w:rPr>
              <w:t>价格评审优惠政策</w:t>
            </w:r>
            <w:r>
              <w:rPr>
                <w:rFonts w:hint="eastAsia"/>
                <w:szCs w:val="22"/>
                <w:lang w:eastAsia="zh-CN"/>
              </w:rPr>
              <w:t>（</w:t>
            </w:r>
            <w:r>
              <w:rPr>
                <w:rFonts w:hint="eastAsia"/>
                <w:szCs w:val="22"/>
                <w:lang w:val="en-US" w:eastAsia="zh-CN"/>
              </w:rPr>
              <w:t>本项目不适用</w:t>
            </w:r>
            <w:r>
              <w:rPr>
                <w:rFonts w:hint="eastAsia"/>
                <w:szCs w:val="22"/>
                <w:lang w:eastAsia="zh-CN"/>
              </w:rPr>
              <w:t>）</w:t>
            </w:r>
          </w:p>
        </w:tc>
        <w:tc>
          <w:tcPr>
            <w:tcW w:w="6660" w:type="dxa"/>
            <w:vAlign w:val="center"/>
          </w:tcPr>
          <w:p w14:paraId="040D58B5">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1、小型企业、微型企业、监狱企业、残疾人福利性单位承接服务，对其价格给予</w:t>
            </w:r>
            <w:r>
              <w:rPr>
                <w:rFonts w:hint="eastAsia" w:asciiTheme="majorEastAsia" w:hAnsiTheme="majorEastAsia" w:eastAsiaTheme="majorEastAsia" w:cstheme="majorEastAsia"/>
                <w:b/>
                <w:bCs/>
                <w:color w:val="0000FF"/>
                <w:sz w:val="28"/>
                <w:szCs w:val="32"/>
                <w:highlight w:val="yellow"/>
                <w:u w:val="none"/>
                <w:lang w:val="en-US" w:eastAsia="zh-CN"/>
              </w:rPr>
              <w:t>10%</w:t>
            </w:r>
            <w:r>
              <w:rPr>
                <w:rFonts w:hint="eastAsia" w:asciiTheme="majorEastAsia" w:hAnsiTheme="majorEastAsia" w:eastAsiaTheme="majorEastAsia" w:cstheme="majorEastAsia"/>
                <w:szCs w:val="22"/>
              </w:rPr>
              <w:t>的扣除，用扣除后的价格参与评审。满足多项优惠政策的企业，不重复享受多项价格扣除政策。</w:t>
            </w:r>
          </w:p>
          <w:p w14:paraId="56DD75F7">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szCs w:val="22"/>
                <w:highlight w:val="yellow"/>
                <w:lang w:val="en-US" w:eastAsia="zh-CN"/>
              </w:rPr>
              <w:t>4</w:t>
            </w:r>
            <w:r>
              <w:rPr>
                <w:rFonts w:hint="eastAsia" w:asciiTheme="majorEastAsia" w:hAnsiTheme="majorEastAsia" w:eastAsiaTheme="majorEastAsia" w:cstheme="majorEastAsia"/>
                <w:szCs w:val="22"/>
                <w:highlight w:val="yellow"/>
              </w:rPr>
              <w:t>%</w:t>
            </w:r>
            <w:r>
              <w:rPr>
                <w:rFonts w:hint="eastAsia" w:asciiTheme="majorEastAsia" w:hAnsiTheme="majorEastAsia" w:eastAsiaTheme="majorEastAsia" w:cstheme="majorEastAsia"/>
                <w:szCs w:val="22"/>
              </w:rPr>
              <w:t>扣除，用扣除后的价格参加评审。联合体各方均为小微企业的，价格扣除比例为</w:t>
            </w:r>
            <w:r>
              <w:rPr>
                <w:rFonts w:hint="eastAsia" w:asciiTheme="majorEastAsia" w:hAnsiTheme="majorEastAsia" w:eastAsiaTheme="majorEastAsia" w:cstheme="majorEastAsia"/>
                <w:szCs w:val="22"/>
                <w:highlight w:val="yellow"/>
                <w:lang w:val="en-US" w:eastAsia="zh-CN"/>
              </w:rPr>
              <w:t>10</w:t>
            </w:r>
            <w:r>
              <w:rPr>
                <w:rFonts w:hint="eastAsia" w:asciiTheme="majorEastAsia" w:hAnsiTheme="majorEastAsia" w:eastAsiaTheme="majorEastAsia" w:cstheme="majorEastAsia"/>
                <w:szCs w:val="22"/>
                <w:highlight w:val="yellow"/>
              </w:rPr>
              <w:t>%</w:t>
            </w:r>
            <w:r>
              <w:rPr>
                <w:rFonts w:hint="eastAsia" w:asciiTheme="majorEastAsia" w:hAnsiTheme="majorEastAsia" w:eastAsiaTheme="majorEastAsia" w:cstheme="majorEastAsia"/>
                <w:szCs w:val="22"/>
              </w:rPr>
              <w:t>。</w:t>
            </w:r>
            <w:r>
              <w:rPr>
                <w:rFonts w:hint="eastAsia" w:asciiTheme="majorEastAsia" w:hAnsiTheme="majorEastAsia" w:eastAsiaTheme="majorEastAsia" w:cstheme="majorEastAsia"/>
                <w:b/>
                <w:szCs w:val="22"/>
              </w:rPr>
              <w:t>（不接受联合体投标的项目，本条不适用）</w:t>
            </w:r>
            <w:r>
              <w:rPr>
                <w:rFonts w:hint="eastAsia" w:asciiTheme="majorEastAsia" w:hAnsiTheme="majorEastAsia" w:eastAsiaTheme="majorEastAsia" w:cstheme="majorEastAsia"/>
                <w:szCs w:val="22"/>
              </w:rPr>
              <w:t>。</w:t>
            </w:r>
          </w:p>
          <w:p w14:paraId="3A542D33">
            <w:pPr>
              <w:spacing w:line="440" w:lineRule="exact"/>
              <w:rPr>
                <w:rFonts w:ascii="宋体" w:hAnsi="宋体" w:eastAsiaTheme="minorEastAsia" w:cstheme="minorBidi"/>
                <w:b/>
                <w:bCs/>
                <w:szCs w:val="21"/>
              </w:rPr>
            </w:pPr>
            <w:r>
              <w:rPr>
                <w:rFonts w:hint="eastAsia" w:asciiTheme="majorEastAsia" w:hAnsiTheme="majorEastAsia" w:eastAsiaTheme="majorEastAsia" w:cstheme="majorEastAsia"/>
                <w:szCs w:val="22"/>
              </w:rPr>
              <w:t>3、优惠主体资格的认定资料为《中小企业声明函》《残疾人福利性单位声明函》《监狱企业声明函》等承诺性质的资料（声明函样式见“第五章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14:paraId="1B3D6228">
      <w:pPr>
        <w:spacing w:line="440" w:lineRule="exact"/>
        <w:ind w:firstLine="422" w:firstLineChars="200"/>
        <w:rPr>
          <w:rFonts w:ascii="宋体" w:hAnsi="宋体"/>
          <w:b/>
          <w:bCs/>
          <w:szCs w:val="21"/>
        </w:rPr>
      </w:pPr>
      <w:r>
        <w:rPr>
          <w:rFonts w:hint="eastAsia" w:ascii="宋体" w:hAnsi="宋体"/>
          <w:b/>
          <w:bCs/>
          <w:szCs w:val="21"/>
        </w:rPr>
        <w:t>备注：</w:t>
      </w:r>
      <w:r>
        <w:rPr>
          <w:rFonts w:hint="eastAsia" w:ascii="宋体" w:hAnsi="宋体"/>
          <w:snapToGrid w:val="0"/>
          <w:kern w:val="0"/>
          <w:szCs w:val="21"/>
        </w:rPr>
        <w:t>用“</w:t>
      </w:r>
      <w:r>
        <w:rPr>
          <w:rFonts w:hint="eastAsia" w:ascii="MS Mincho" w:hAnsi="MS Mincho" w:cs="MS Mincho" w:eastAsiaTheme="minorEastAsia"/>
          <w:snapToGrid w:val="0"/>
          <w:kern w:val="0"/>
          <w:szCs w:val="21"/>
        </w:rPr>
        <w:t>■</w:t>
      </w:r>
      <w:r>
        <w:rPr>
          <w:rFonts w:hint="eastAsia" w:ascii="宋体" w:hAnsi="宋体"/>
          <w:snapToGrid w:val="0"/>
          <w:kern w:val="0"/>
          <w:szCs w:val="21"/>
        </w:rPr>
        <w:t>”标识时表明该选项被采购人选用，用“□”标识时表明该选项未被采购人选用。</w:t>
      </w:r>
    </w:p>
    <w:p w14:paraId="75CF5CEA">
      <w:pPr>
        <w:spacing w:line="440" w:lineRule="exact"/>
        <w:ind w:firstLine="422" w:firstLineChars="200"/>
        <w:rPr>
          <w:rFonts w:ascii="宋体" w:hAnsi="宋体"/>
          <w:b/>
          <w:bCs/>
          <w:szCs w:val="21"/>
        </w:rPr>
      </w:pPr>
      <w:r>
        <w:rPr>
          <w:rFonts w:hint="eastAsia" w:ascii="宋体" w:hAnsi="宋体"/>
          <w:b/>
          <w:bCs/>
          <w:szCs w:val="21"/>
        </w:rPr>
        <w:t>二、本项目评标信息</w:t>
      </w:r>
    </w:p>
    <w:p w14:paraId="60F9A391">
      <w:pPr>
        <w:spacing w:line="440" w:lineRule="exact"/>
        <w:ind w:firstLine="422" w:firstLineChars="200"/>
        <w:rPr>
          <w:rFonts w:ascii="宋体" w:hAnsi="宋体"/>
          <w:b/>
          <w:bCs/>
          <w:szCs w:val="21"/>
        </w:rPr>
      </w:pPr>
      <w:r>
        <w:rPr>
          <w:rFonts w:hint="eastAsia" w:ascii="宋体" w:hAnsi="宋体"/>
          <w:b/>
          <w:bCs/>
          <w:szCs w:val="21"/>
        </w:rPr>
        <w:t>1、</w:t>
      </w:r>
      <w:r>
        <w:rPr>
          <w:rFonts w:ascii="宋体" w:hAnsi="宋体"/>
          <w:b/>
          <w:bCs/>
          <w:szCs w:val="21"/>
        </w:rPr>
        <w:t>符合性检查表</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706"/>
        <w:gridCol w:w="1497"/>
      </w:tblGrid>
      <w:tr w14:paraId="1E3B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2" w:type="dxa"/>
            <w:vAlign w:val="center"/>
          </w:tcPr>
          <w:p w14:paraId="31E9F8B8">
            <w:pPr>
              <w:spacing w:line="440" w:lineRule="exact"/>
              <w:jc w:val="center"/>
              <w:rPr>
                <w:rFonts w:ascii="宋体" w:hAnsi="宋体"/>
                <w:b/>
              </w:rPr>
            </w:pPr>
            <w:r>
              <w:rPr>
                <w:rFonts w:ascii="宋体" w:hAnsi="宋体"/>
                <w:b/>
              </w:rPr>
              <w:t>序号</w:t>
            </w:r>
          </w:p>
        </w:tc>
        <w:tc>
          <w:tcPr>
            <w:tcW w:w="6706" w:type="dxa"/>
            <w:vAlign w:val="center"/>
          </w:tcPr>
          <w:p w14:paraId="3B1DE7E3">
            <w:pPr>
              <w:spacing w:line="440" w:lineRule="exact"/>
              <w:ind w:left="-828" w:firstLine="828"/>
              <w:jc w:val="center"/>
              <w:rPr>
                <w:rFonts w:ascii="宋体" w:hAnsi="宋体"/>
                <w:b/>
                <w:sz w:val="24"/>
              </w:rPr>
            </w:pPr>
            <w:r>
              <w:rPr>
                <w:rFonts w:ascii="宋体" w:hAnsi="宋体"/>
                <w:b/>
              </w:rPr>
              <w:t>评议内容</w:t>
            </w:r>
          </w:p>
        </w:tc>
        <w:tc>
          <w:tcPr>
            <w:tcW w:w="1497" w:type="dxa"/>
            <w:vAlign w:val="center"/>
          </w:tcPr>
          <w:p w14:paraId="3CC33029">
            <w:pPr>
              <w:spacing w:line="440" w:lineRule="exact"/>
              <w:ind w:left="44" w:hanging="44"/>
              <w:jc w:val="center"/>
              <w:rPr>
                <w:rFonts w:ascii="宋体" w:hAnsi="宋体"/>
                <w:b/>
                <w:sz w:val="24"/>
              </w:rPr>
            </w:pPr>
            <w:r>
              <w:rPr>
                <w:rFonts w:ascii="宋体" w:hAnsi="宋体"/>
                <w:b/>
              </w:rPr>
              <w:t>评议结果</w:t>
            </w:r>
          </w:p>
        </w:tc>
      </w:tr>
      <w:tr w14:paraId="4AC7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46119A32">
            <w:pPr>
              <w:spacing w:line="440" w:lineRule="exact"/>
              <w:ind w:left="57"/>
              <w:jc w:val="center"/>
              <w:rPr>
                <w:rFonts w:ascii="宋体" w:hAnsi="宋体"/>
              </w:rPr>
            </w:pPr>
            <w:r>
              <w:rPr>
                <w:rFonts w:hint="eastAsia" w:ascii="宋体" w:hAnsi="宋体"/>
              </w:rPr>
              <w:t>1</w:t>
            </w:r>
          </w:p>
        </w:tc>
        <w:tc>
          <w:tcPr>
            <w:tcW w:w="6706" w:type="dxa"/>
            <w:vAlign w:val="center"/>
          </w:tcPr>
          <w:p w14:paraId="0EAC7AAB">
            <w:pPr>
              <w:spacing w:line="440" w:lineRule="exact"/>
              <w:rPr>
                <w:rFonts w:ascii="宋体" w:hAnsi="宋体"/>
                <w:sz w:val="24"/>
              </w:rPr>
            </w:pPr>
            <w:r>
              <w:rPr>
                <w:rFonts w:hint="eastAsia" w:hAnsi="宋体"/>
                <w:szCs w:val="21"/>
              </w:rPr>
              <w:t>按照招标文件的格式详细填写“投标函”</w:t>
            </w:r>
          </w:p>
        </w:tc>
        <w:tc>
          <w:tcPr>
            <w:tcW w:w="1497" w:type="dxa"/>
            <w:vAlign w:val="center"/>
          </w:tcPr>
          <w:p w14:paraId="088F8D12">
            <w:pPr>
              <w:spacing w:line="440" w:lineRule="exact"/>
              <w:jc w:val="center"/>
              <w:rPr>
                <w:rFonts w:ascii="宋体" w:hAnsi="宋体"/>
                <w:szCs w:val="21"/>
              </w:rPr>
            </w:pPr>
            <w:r>
              <w:rPr>
                <w:rFonts w:ascii="宋体" w:hAnsi="宋体"/>
                <w:szCs w:val="21"/>
              </w:rPr>
              <w:t>合格/不合格</w:t>
            </w:r>
          </w:p>
        </w:tc>
      </w:tr>
      <w:tr w14:paraId="11C9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4ED43778">
            <w:pPr>
              <w:spacing w:line="440" w:lineRule="exact"/>
              <w:ind w:left="57"/>
              <w:jc w:val="center"/>
              <w:rPr>
                <w:rFonts w:ascii="宋体" w:hAnsi="宋体"/>
              </w:rPr>
            </w:pPr>
            <w:r>
              <w:rPr>
                <w:rFonts w:hint="eastAsia" w:ascii="宋体" w:hAnsi="宋体"/>
              </w:rPr>
              <w:t>2</w:t>
            </w:r>
          </w:p>
        </w:tc>
        <w:tc>
          <w:tcPr>
            <w:tcW w:w="6706" w:type="dxa"/>
            <w:vAlign w:val="center"/>
          </w:tcPr>
          <w:p w14:paraId="56B4C572">
            <w:pPr>
              <w:spacing w:line="440" w:lineRule="exact"/>
              <w:rPr>
                <w:rFonts w:ascii="宋体" w:hAnsi="宋体"/>
              </w:rPr>
            </w:pPr>
            <w:r>
              <w:rPr>
                <w:rFonts w:hint="eastAsia" w:hAnsi="宋体"/>
                <w:szCs w:val="21"/>
              </w:rPr>
              <w:t>按照招标文件的格式详细填写“</w:t>
            </w:r>
            <w:r>
              <w:rPr>
                <w:rFonts w:hint="eastAsia" w:ascii="宋体" w:hAnsi="宋体"/>
              </w:rPr>
              <w:t>政府采购投标及履约承诺函</w:t>
            </w:r>
            <w:r>
              <w:rPr>
                <w:rFonts w:hint="eastAsia" w:hAnsi="宋体"/>
                <w:szCs w:val="21"/>
              </w:rPr>
              <w:t>”</w:t>
            </w:r>
          </w:p>
        </w:tc>
        <w:tc>
          <w:tcPr>
            <w:tcW w:w="1497" w:type="dxa"/>
            <w:vAlign w:val="center"/>
          </w:tcPr>
          <w:p w14:paraId="267705B7">
            <w:pPr>
              <w:spacing w:line="440" w:lineRule="exact"/>
              <w:jc w:val="center"/>
              <w:rPr>
                <w:rFonts w:ascii="宋体" w:hAnsi="宋体"/>
                <w:szCs w:val="21"/>
              </w:rPr>
            </w:pPr>
            <w:r>
              <w:rPr>
                <w:rFonts w:ascii="宋体" w:hAnsi="宋体"/>
                <w:szCs w:val="21"/>
              </w:rPr>
              <w:t>合格/不合格</w:t>
            </w:r>
          </w:p>
        </w:tc>
      </w:tr>
      <w:tr w14:paraId="61F4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72BFCC1C">
            <w:pPr>
              <w:spacing w:line="440" w:lineRule="exact"/>
              <w:ind w:left="57"/>
              <w:jc w:val="center"/>
              <w:rPr>
                <w:rFonts w:ascii="宋体" w:hAnsi="宋体"/>
              </w:rPr>
            </w:pPr>
            <w:r>
              <w:rPr>
                <w:rFonts w:hint="eastAsia" w:ascii="宋体" w:hAnsi="宋体"/>
              </w:rPr>
              <w:t>3</w:t>
            </w:r>
          </w:p>
        </w:tc>
        <w:tc>
          <w:tcPr>
            <w:tcW w:w="6706" w:type="dxa"/>
            <w:vAlign w:val="center"/>
          </w:tcPr>
          <w:p w14:paraId="30B66303">
            <w:pPr>
              <w:spacing w:line="440" w:lineRule="exact"/>
              <w:rPr>
                <w:rFonts w:ascii="宋体" w:hAnsi="宋体"/>
              </w:rPr>
            </w:pPr>
            <w:r>
              <w:rPr>
                <w:rFonts w:hint="eastAsia" w:ascii="宋体" w:hAnsi="宋体"/>
              </w:rPr>
              <w:t>开标一览表未出现无报价、报价为零或有选择性报价</w:t>
            </w:r>
          </w:p>
        </w:tc>
        <w:tc>
          <w:tcPr>
            <w:tcW w:w="1497" w:type="dxa"/>
            <w:vAlign w:val="center"/>
          </w:tcPr>
          <w:p w14:paraId="3307D546">
            <w:pPr>
              <w:spacing w:line="440" w:lineRule="exact"/>
              <w:jc w:val="center"/>
              <w:rPr>
                <w:rFonts w:ascii="宋体" w:hAnsi="宋体"/>
                <w:szCs w:val="21"/>
              </w:rPr>
            </w:pPr>
            <w:r>
              <w:rPr>
                <w:rFonts w:ascii="宋体" w:hAnsi="宋体"/>
                <w:szCs w:val="21"/>
              </w:rPr>
              <w:t>合格/不合格</w:t>
            </w:r>
          </w:p>
        </w:tc>
      </w:tr>
      <w:tr w14:paraId="526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2A0E0CE0">
            <w:pPr>
              <w:spacing w:line="440" w:lineRule="exact"/>
              <w:ind w:left="57"/>
              <w:jc w:val="center"/>
              <w:rPr>
                <w:rFonts w:ascii="宋体" w:hAnsi="宋体"/>
              </w:rPr>
            </w:pPr>
            <w:r>
              <w:rPr>
                <w:rFonts w:hint="eastAsia" w:ascii="宋体" w:hAnsi="宋体"/>
              </w:rPr>
              <w:t>4</w:t>
            </w:r>
          </w:p>
        </w:tc>
        <w:tc>
          <w:tcPr>
            <w:tcW w:w="6706" w:type="dxa"/>
            <w:vAlign w:val="center"/>
          </w:tcPr>
          <w:p w14:paraId="079F83FB">
            <w:pPr>
              <w:spacing w:line="440" w:lineRule="exact"/>
              <w:rPr>
                <w:rFonts w:ascii="宋体" w:hAnsi="宋体"/>
              </w:rPr>
            </w:pPr>
            <w:r>
              <w:rPr>
                <w:rFonts w:hint="eastAsia" w:ascii="宋体" w:hAnsi="宋体"/>
              </w:rPr>
              <w:t>投标总价</w:t>
            </w:r>
            <w:r>
              <w:rPr>
                <w:rFonts w:hint="eastAsia" w:ascii="宋体" w:hAnsi="宋体"/>
                <w:szCs w:val="21"/>
              </w:rPr>
              <w:t>或分项报价</w:t>
            </w:r>
            <w:r>
              <w:rPr>
                <w:rFonts w:hint="eastAsia" w:ascii="宋体" w:hAnsi="宋体"/>
              </w:rPr>
              <w:t>未超过预算控制金额</w:t>
            </w:r>
          </w:p>
        </w:tc>
        <w:tc>
          <w:tcPr>
            <w:tcW w:w="1497" w:type="dxa"/>
            <w:vAlign w:val="center"/>
          </w:tcPr>
          <w:p w14:paraId="6E392831">
            <w:pPr>
              <w:spacing w:line="440" w:lineRule="exact"/>
              <w:jc w:val="center"/>
              <w:rPr>
                <w:rFonts w:ascii="宋体" w:hAnsi="宋体"/>
                <w:szCs w:val="21"/>
              </w:rPr>
            </w:pPr>
            <w:r>
              <w:rPr>
                <w:rFonts w:ascii="宋体" w:hAnsi="宋体"/>
                <w:szCs w:val="21"/>
              </w:rPr>
              <w:t>合格/不合格</w:t>
            </w:r>
          </w:p>
        </w:tc>
      </w:tr>
      <w:tr w14:paraId="4B3D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4CF0AB68">
            <w:pPr>
              <w:spacing w:line="440" w:lineRule="exact"/>
              <w:ind w:left="57"/>
              <w:jc w:val="center"/>
              <w:rPr>
                <w:rFonts w:ascii="宋体" w:hAnsi="宋体"/>
              </w:rPr>
            </w:pPr>
            <w:r>
              <w:rPr>
                <w:rFonts w:hint="eastAsia" w:ascii="宋体" w:hAnsi="宋体"/>
              </w:rPr>
              <w:t>5</w:t>
            </w:r>
          </w:p>
        </w:tc>
        <w:tc>
          <w:tcPr>
            <w:tcW w:w="6706" w:type="dxa"/>
            <w:vAlign w:val="center"/>
          </w:tcPr>
          <w:p w14:paraId="1F799F32">
            <w:pPr>
              <w:spacing w:line="440" w:lineRule="exact"/>
              <w:rPr>
                <w:rFonts w:asciiTheme="minorEastAsia" w:hAnsiTheme="minorEastAsia" w:eastAsiaTheme="minorEastAsia"/>
                <w:szCs w:val="21"/>
              </w:rPr>
            </w:pPr>
            <w:r>
              <w:rPr>
                <w:rFonts w:asciiTheme="minorEastAsia" w:hAnsiTheme="minorEastAsia" w:eastAsiaTheme="minorEastAsia"/>
                <w:szCs w:val="21"/>
              </w:rPr>
              <w:t>评标委员会认为投标人的报价明显低于其他通过符合性审查投标人的报价，有可能影响产品质量或者不能诚信履约的，投标人能在</w:t>
            </w:r>
            <w:r>
              <w:rPr>
                <w:rFonts w:hint="eastAsia" w:asciiTheme="minorEastAsia" w:hAnsiTheme="minorEastAsia" w:eastAsiaTheme="minorEastAsia"/>
                <w:szCs w:val="21"/>
              </w:rPr>
              <w:t>评标现场</w:t>
            </w:r>
            <w:r>
              <w:rPr>
                <w:rFonts w:asciiTheme="minorEastAsia" w:hAnsiTheme="minorEastAsia" w:eastAsiaTheme="minorEastAsia"/>
                <w:szCs w:val="21"/>
              </w:rPr>
              <w:t>合理的时间内提供书面说明</w:t>
            </w:r>
            <w:r>
              <w:rPr>
                <w:rFonts w:hint="eastAsia" w:asciiTheme="minorEastAsia" w:hAnsiTheme="minorEastAsia" w:eastAsiaTheme="minorEastAsia"/>
                <w:szCs w:val="21"/>
              </w:rPr>
              <w:t>（必要时提交相关证明材料）</w:t>
            </w:r>
            <w:r>
              <w:rPr>
                <w:rFonts w:asciiTheme="minorEastAsia" w:hAnsiTheme="minorEastAsia" w:eastAsiaTheme="minorEastAsia"/>
                <w:szCs w:val="21"/>
              </w:rPr>
              <w:t>或提交</w:t>
            </w:r>
            <w:r>
              <w:rPr>
                <w:rFonts w:hint="eastAsia" w:asciiTheme="minorEastAsia" w:hAnsiTheme="minorEastAsia" w:eastAsiaTheme="minorEastAsia"/>
                <w:szCs w:val="21"/>
              </w:rPr>
              <w:t>的书面说明</w:t>
            </w:r>
            <w:r>
              <w:rPr>
                <w:rFonts w:asciiTheme="minorEastAsia" w:hAnsiTheme="minorEastAsia" w:eastAsiaTheme="minorEastAsia"/>
                <w:szCs w:val="21"/>
              </w:rPr>
              <w:t>能证明其报价合理性</w:t>
            </w:r>
            <w:r>
              <w:rPr>
                <w:rFonts w:hint="eastAsia" w:asciiTheme="minorEastAsia" w:hAnsiTheme="minorEastAsia" w:eastAsiaTheme="minorEastAsia"/>
                <w:szCs w:val="21"/>
              </w:rPr>
              <w:t>。（若</w:t>
            </w:r>
            <w:r>
              <w:rPr>
                <w:rFonts w:asciiTheme="minorEastAsia" w:hAnsiTheme="minorEastAsia" w:eastAsiaTheme="minorEastAsia"/>
                <w:szCs w:val="21"/>
              </w:rPr>
              <w:t>评标委员会</w:t>
            </w:r>
            <w:r>
              <w:rPr>
                <w:rFonts w:hint="eastAsia" w:asciiTheme="minorEastAsia" w:hAnsiTheme="minorEastAsia" w:eastAsiaTheme="minorEastAsia"/>
                <w:szCs w:val="21"/>
              </w:rPr>
              <w:t>成员对是否须由投标人做出报价合理性说明，以及书面说明是否采纳等判断不一致的，按照“少数服从多数”的原则确定。）</w:t>
            </w:r>
          </w:p>
        </w:tc>
        <w:tc>
          <w:tcPr>
            <w:tcW w:w="1497" w:type="dxa"/>
            <w:vAlign w:val="center"/>
          </w:tcPr>
          <w:p w14:paraId="590F2DD2">
            <w:pPr>
              <w:spacing w:line="440" w:lineRule="exact"/>
              <w:jc w:val="center"/>
              <w:rPr>
                <w:rFonts w:ascii="宋体" w:hAnsi="宋体"/>
                <w:szCs w:val="21"/>
              </w:rPr>
            </w:pPr>
            <w:r>
              <w:rPr>
                <w:rFonts w:ascii="宋体" w:hAnsi="宋体"/>
                <w:szCs w:val="21"/>
              </w:rPr>
              <w:t>合格/不合格</w:t>
            </w:r>
          </w:p>
        </w:tc>
      </w:tr>
      <w:tr w14:paraId="74BF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7C31CFB7">
            <w:pPr>
              <w:spacing w:line="440" w:lineRule="exact"/>
              <w:ind w:left="57"/>
              <w:jc w:val="center"/>
              <w:rPr>
                <w:rFonts w:ascii="宋体" w:hAnsi="宋体"/>
              </w:rPr>
            </w:pPr>
            <w:r>
              <w:rPr>
                <w:rFonts w:hint="eastAsia" w:ascii="宋体" w:hAnsi="宋体"/>
              </w:rPr>
              <w:t>6</w:t>
            </w:r>
          </w:p>
        </w:tc>
        <w:tc>
          <w:tcPr>
            <w:tcW w:w="6706" w:type="dxa"/>
            <w:vAlign w:val="center"/>
          </w:tcPr>
          <w:p w14:paraId="6FF35D11">
            <w:pPr>
              <w:spacing w:line="440" w:lineRule="exact"/>
              <w:rPr>
                <w:rFonts w:ascii="宋体" w:hAnsi="宋体"/>
              </w:rPr>
            </w:pPr>
            <w:r>
              <w:rPr>
                <w:szCs w:val="21"/>
              </w:rPr>
              <w:t>实质性满足招标文件要求</w:t>
            </w:r>
            <w:r>
              <w:rPr>
                <w:rFonts w:hint="eastAsia"/>
                <w:szCs w:val="21"/>
              </w:rPr>
              <w:t>和条件</w:t>
            </w:r>
            <w:r>
              <w:rPr>
                <w:szCs w:val="21"/>
              </w:rPr>
              <w:t>（</w:t>
            </w:r>
            <w:r>
              <w:rPr>
                <w:rFonts w:hint="eastAsia" w:ascii="宋体" w:hAnsi="宋体"/>
              </w:rPr>
              <w:t>不可偏离项检查</w:t>
            </w:r>
            <w:r>
              <w:rPr>
                <w:szCs w:val="21"/>
              </w:rPr>
              <w:t>）</w:t>
            </w:r>
          </w:p>
        </w:tc>
        <w:tc>
          <w:tcPr>
            <w:tcW w:w="1497" w:type="dxa"/>
            <w:vAlign w:val="center"/>
          </w:tcPr>
          <w:p w14:paraId="62000D2A">
            <w:pPr>
              <w:spacing w:line="440" w:lineRule="exact"/>
              <w:jc w:val="center"/>
              <w:rPr>
                <w:rFonts w:ascii="宋体" w:hAnsi="宋体"/>
                <w:szCs w:val="21"/>
              </w:rPr>
            </w:pPr>
            <w:r>
              <w:rPr>
                <w:rFonts w:ascii="宋体" w:hAnsi="宋体"/>
                <w:szCs w:val="21"/>
              </w:rPr>
              <w:t>合格/不合格</w:t>
            </w:r>
          </w:p>
        </w:tc>
      </w:tr>
      <w:tr w14:paraId="3B3B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1C727580">
            <w:pPr>
              <w:spacing w:line="440" w:lineRule="exact"/>
              <w:ind w:left="57"/>
              <w:jc w:val="center"/>
              <w:rPr>
                <w:rFonts w:ascii="宋体" w:hAnsi="宋体"/>
              </w:rPr>
            </w:pPr>
            <w:r>
              <w:rPr>
                <w:rFonts w:hint="eastAsia" w:ascii="宋体" w:hAnsi="宋体"/>
              </w:rPr>
              <w:t>7</w:t>
            </w:r>
          </w:p>
        </w:tc>
        <w:tc>
          <w:tcPr>
            <w:tcW w:w="6706" w:type="dxa"/>
            <w:vAlign w:val="center"/>
          </w:tcPr>
          <w:p w14:paraId="793A7A4E">
            <w:pPr>
              <w:spacing w:line="440" w:lineRule="exact"/>
              <w:rPr>
                <w:szCs w:val="21"/>
              </w:rPr>
            </w:pPr>
            <w:r>
              <w:rPr>
                <w:szCs w:val="21"/>
              </w:rPr>
              <w:t>投标文件载明的项目服务期</w:t>
            </w:r>
            <w:r>
              <w:rPr>
                <w:rFonts w:hint="eastAsia"/>
                <w:szCs w:val="21"/>
              </w:rPr>
              <w:t>符合</w:t>
            </w:r>
            <w:r>
              <w:rPr>
                <w:szCs w:val="21"/>
              </w:rPr>
              <w:t>招标文件规定的期限</w:t>
            </w:r>
          </w:p>
        </w:tc>
        <w:tc>
          <w:tcPr>
            <w:tcW w:w="1497" w:type="dxa"/>
            <w:vAlign w:val="center"/>
          </w:tcPr>
          <w:p w14:paraId="1768D140">
            <w:pPr>
              <w:spacing w:line="440" w:lineRule="exact"/>
              <w:jc w:val="center"/>
              <w:rPr>
                <w:rFonts w:ascii="宋体" w:hAnsi="宋体"/>
                <w:szCs w:val="21"/>
              </w:rPr>
            </w:pPr>
            <w:r>
              <w:rPr>
                <w:rFonts w:ascii="宋体" w:hAnsi="宋体"/>
                <w:szCs w:val="21"/>
              </w:rPr>
              <w:t>合格/不合格</w:t>
            </w:r>
          </w:p>
        </w:tc>
      </w:tr>
      <w:tr w14:paraId="6C7F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6634414F">
            <w:pPr>
              <w:spacing w:line="440" w:lineRule="exact"/>
              <w:ind w:left="57"/>
              <w:jc w:val="center"/>
              <w:rPr>
                <w:rFonts w:ascii="宋体" w:hAnsi="宋体"/>
              </w:rPr>
            </w:pPr>
            <w:r>
              <w:rPr>
                <w:rFonts w:hint="eastAsia" w:ascii="宋体" w:hAnsi="宋体"/>
              </w:rPr>
              <w:t>8</w:t>
            </w:r>
          </w:p>
        </w:tc>
        <w:tc>
          <w:tcPr>
            <w:tcW w:w="6706" w:type="dxa"/>
            <w:vAlign w:val="center"/>
          </w:tcPr>
          <w:p w14:paraId="37FDC0A3">
            <w:pPr>
              <w:spacing w:line="440" w:lineRule="exact"/>
              <w:jc w:val="left"/>
              <w:rPr>
                <w:rFonts w:ascii="宋体" w:hAnsi="宋体"/>
              </w:rPr>
            </w:pPr>
            <w:r>
              <w:rPr>
                <w:rFonts w:hint="eastAsia" w:hAnsi="宋体"/>
                <w:szCs w:val="21"/>
              </w:rPr>
              <w:t>《技术偏离表》和《商务偏离表》已提交</w:t>
            </w:r>
          </w:p>
        </w:tc>
        <w:tc>
          <w:tcPr>
            <w:tcW w:w="1497" w:type="dxa"/>
            <w:vAlign w:val="center"/>
          </w:tcPr>
          <w:p w14:paraId="0B0673C1">
            <w:pPr>
              <w:spacing w:line="440" w:lineRule="exact"/>
              <w:ind w:left="57"/>
              <w:jc w:val="center"/>
              <w:rPr>
                <w:rFonts w:ascii="宋体" w:hAnsi="宋体"/>
                <w:szCs w:val="21"/>
              </w:rPr>
            </w:pPr>
            <w:r>
              <w:rPr>
                <w:rFonts w:ascii="宋体" w:hAnsi="宋体"/>
                <w:szCs w:val="21"/>
              </w:rPr>
              <w:t>合格/不合格</w:t>
            </w:r>
          </w:p>
        </w:tc>
      </w:tr>
      <w:tr w14:paraId="1FF1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7ED84B9A">
            <w:pPr>
              <w:spacing w:line="440" w:lineRule="exact"/>
              <w:ind w:left="57"/>
              <w:jc w:val="center"/>
              <w:rPr>
                <w:rFonts w:ascii="宋体" w:hAnsi="宋体"/>
              </w:rPr>
            </w:pPr>
            <w:r>
              <w:rPr>
                <w:rFonts w:hint="eastAsia" w:ascii="宋体" w:hAnsi="宋体"/>
              </w:rPr>
              <w:t>9</w:t>
            </w:r>
          </w:p>
        </w:tc>
        <w:tc>
          <w:tcPr>
            <w:tcW w:w="6706" w:type="dxa"/>
            <w:vAlign w:val="center"/>
          </w:tcPr>
          <w:p w14:paraId="4F913DC0">
            <w:pPr>
              <w:spacing w:line="440" w:lineRule="exact"/>
              <w:rPr>
                <w:rFonts w:ascii="宋体" w:hAnsi="宋体"/>
              </w:rPr>
            </w:pPr>
            <w:r>
              <w:rPr>
                <w:rFonts w:hint="eastAsia" w:ascii="宋体" w:hAnsi="宋体"/>
              </w:rPr>
              <w:t>不存在“否决性条款”列明的其他情况</w:t>
            </w:r>
          </w:p>
        </w:tc>
        <w:tc>
          <w:tcPr>
            <w:tcW w:w="1497" w:type="dxa"/>
            <w:vAlign w:val="center"/>
          </w:tcPr>
          <w:p w14:paraId="477235D4">
            <w:pPr>
              <w:spacing w:line="440" w:lineRule="exact"/>
              <w:jc w:val="center"/>
              <w:rPr>
                <w:rFonts w:ascii="宋体" w:hAnsi="宋体"/>
                <w:szCs w:val="21"/>
              </w:rPr>
            </w:pPr>
            <w:r>
              <w:rPr>
                <w:rFonts w:ascii="宋体" w:hAnsi="宋体"/>
                <w:szCs w:val="21"/>
              </w:rPr>
              <w:t>合格/不合格</w:t>
            </w:r>
          </w:p>
        </w:tc>
      </w:tr>
      <w:tr w14:paraId="2261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50EE34A3">
            <w:pPr>
              <w:spacing w:line="440" w:lineRule="exact"/>
              <w:ind w:left="57"/>
              <w:jc w:val="center"/>
              <w:rPr>
                <w:rFonts w:ascii="宋体" w:hAnsi="宋体"/>
              </w:rPr>
            </w:pPr>
            <w:r>
              <w:rPr>
                <w:rFonts w:hint="eastAsia" w:ascii="宋体" w:hAnsi="宋体"/>
              </w:rPr>
              <w:t>10</w:t>
            </w:r>
          </w:p>
        </w:tc>
        <w:tc>
          <w:tcPr>
            <w:tcW w:w="6706" w:type="dxa"/>
            <w:vAlign w:val="center"/>
          </w:tcPr>
          <w:p w14:paraId="1E592985">
            <w:pPr>
              <w:spacing w:line="440" w:lineRule="exact"/>
              <w:rPr>
                <w:rFonts w:ascii="宋体" w:hAnsi="宋体"/>
                <w:szCs w:val="21"/>
              </w:rPr>
            </w:pPr>
            <w:r>
              <w:rPr>
                <w:rFonts w:ascii="宋体" w:hAnsi="宋体"/>
                <w:szCs w:val="21"/>
              </w:rPr>
              <w:t>结论</w:t>
            </w:r>
          </w:p>
        </w:tc>
        <w:tc>
          <w:tcPr>
            <w:tcW w:w="1497" w:type="dxa"/>
            <w:vAlign w:val="center"/>
          </w:tcPr>
          <w:p w14:paraId="0D435FF9">
            <w:pPr>
              <w:spacing w:line="440" w:lineRule="exact"/>
              <w:jc w:val="center"/>
              <w:rPr>
                <w:rFonts w:ascii="宋体" w:hAnsi="宋体"/>
                <w:szCs w:val="21"/>
              </w:rPr>
            </w:pPr>
            <w:r>
              <w:rPr>
                <w:rFonts w:ascii="宋体" w:hAnsi="宋体"/>
                <w:szCs w:val="21"/>
              </w:rPr>
              <w:t>通过/不通过</w:t>
            </w:r>
          </w:p>
        </w:tc>
      </w:tr>
    </w:tbl>
    <w:p w14:paraId="083B5730">
      <w:pPr>
        <w:spacing w:line="340" w:lineRule="exact"/>
        <w:ind w:firstLine="422" w:firstLineChars="200"/>
        <w:rPr>
          <w:rFonts w:ascii="宋体" w:hAnsi="宋体"/>
          <w:b/>
          <w:color w:val="000000"/>
          <w:szCs w:val="21"/>
        </w:rPr>
      </w:pPr>
      <w:r>
        <w:rPr>
          <w:rFonts w:hint="eastAsia" w:ascii="宋体" w:hAnsi="宋体"/>
          <w:b/>
          <w:color w:val="000000"/>
          <w:szCs w:val="21"/>
        </w:rPr>
        <w:t>2、评分表</w:t>
      </w:r>
    </w:p>
    <w:tbl>
      <w:tblPr>
        <w:tblStyle w:val="9"/>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51"/>
        <w:gridCol w:w="1232"/>
        <w:gridCol w:w="739"/>
        <w:gridCol w:w="5881"/>
      </w:tblGrid>
      <w:tr w14:paraId="6715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C65EAD">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2622" w:type="dxa"/>
            <w:gridSpan w:val="3"/>
            <w:vAlign w:val="center"/>
          </w:tcPr>
          <w:p w14:paraId="7754907F">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评分项</w:t>
            </w:r>
          </w:p>
        </w:tc>
        <w:tc>
          <w:tcPr>
            <w:tcW w:w="5881" w:type="dxa"/>
            <w:vAlign w:val="center"/>
          </w:tcPr>
          <w:p w14:paraId="42DAC25F">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r>
      <w:tr w14:paraId="0732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D063359">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1</w:t>
            </w:r>
          </w:p>
        </w:tc>
        <w:tc>
          <w:tcPr>
            <w:tcW w:w="2622" w:type="dxa"/>
            <w:gridSpan w:val="3"/>
            <w:vAlign w:val="center"/>
          </w:tcPr>
          <w:p w14:paraId="278B1F68">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价格</w:t>
            </w:r>
          </w:p>
        </w:tc>
        <w:tc>
          <w:tcPr>
            <w:tcW w:w="5881" w:type="dxa"/>
            <w:vAlign w:val="center"/>
          </w:tcPr>
          <w:p w14:paraId="6A7BC6DD">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eastAsia="宋体" w:cs="宋体"/>
                <w:b/>
                <w:color w:val="0000FF"/>
                <w:sz w:val="21"/>
                <w:szCs w:val="21"/>
                <w:highlight w:val="none"/>
                <w:lang w:val="en-US" w:eastAsia="zh-CN"/>
              </w:rPr>
              <w:t>10</w:t>
            </w:r>
          </w:p>
        </w:tc>
      </w:tr>
      <w:tr w14:paraId="58DD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1AAB808">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8503" w:type="dxa"/>
            <w:gridSpan w:val="4"/>
            <w:vAlign w:val="center"/>
          </w:tcPr>
          <w:p w14:paraId="6FD79055">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投标报价价格分=（评标基准价/投标报价）×10</w:t>
            </w:r>
          </w:p>
          <w:p w14:paraId="56EF0D71">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评标基准价为满足招标文件要求且投标价格最低的投标报价。</w:t>
            </w:r>
          </w:p>
        </w:tc>
      </w:tr>
      <w:tr w14:paraId="154C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B4E7EE4">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2</w:t>
            </w:r>
          </w:p>
        </w:tc>
        <w:tc>
          <w:tcPr>
            <w:tcW w:w="2622" w:type="dxa"/>
            <w:gridSpan w:val="3"/>
            <w:vAlign w:val="center"/>
          </w:tcPr>
          <w:p w14:paraId="402E7198">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技术</w:t>
            </w:r>
          </w:p>
        </w:tc>
        <w:tc>
          <w:tcPr>
            <w:tcW w:w="5881" w:type="dxa"/>
            <w:vAlign w:val="center"/>
          </w:tcPr>
          <w:p w14:paraId="3A424BF2">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eastAsia="宋体" w:cs="宋体"/>
                <w:b/>
                <w:color w:val="0000FF"/>
                <w:sz w:val="21"/>
                <w:szCs w:val="21"/>
                <w:highlight w:val="none"/>
                <w:lang w:val="en-US" w:eastAsia="zh-CN"/>
              </w:rPr>
              <w:t>45</w:t>
            </w:r>
          </w:p>
        </w:tc>
      </w:tr>
      <w:tr w14:paraId="0604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79B1604C">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651" w:type="dxa"/>
            <w:vAlign w:val="center"/>
          </w:tcPr>
          <w:p w14:paraId="7D5C0A44">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14:paraId="740C2CDF">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14:paraId="44260ECD">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14:paraId="4BC55E1C">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14:paraId="065E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03C9D3D3">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14:paraId="77DDA235">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232" w:type="dxa"/>
            <w:vAlign w:val="center"/>
          </w:tcPr>
          <w:p w14:paraId="254E4FA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实施方案</w:t>
            </w:r>
          </w:p>
        </w:tc>
        <w:tc>
          <w:tcPr>
            <w:tcW w:w="739" w:type="dxa"/>
            <w:vAlign w:val="center"/>
          </w:tcPr>
          <w:p w14:paraId="72ED142A">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15</w:t>
            </w:r>
          </w:p>
        </w:tc>
        <w:tc>
          <w:tcPr>
            <w:tcW w:w="5881" w:type="dxa"/>
            <w:vAlign w:val="center"/>
          </w:tcPr>
          <w:p w14:paraId="540B2657">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评审内容：评审委员会根据投标人</w:t>
            </w:r>
            <w:r>
              <w:rPr>
                <w:rFonts w:hint="eastAsia" w:ascii="宋体" w:hAnsi="宋体" w:eastAsia="宋体" w:cs="宋体"/>
                <w:color w:val="0000FF"/>
                <w:sz w:val="21"/>
                <w:szCs w:val="21"/>
                <w:lang w:eastAsia="zh-CN"/>
              </w:rPr>
              <w:t>对生态环境科技创新政策措施理解程度和相关需求</w:t>
            </w:r>
            <w:r>
              <w:rPr>
                <w:rFonts w:hint="eastAsia" w:ascii="宋体" w:hAnsi="宋体" w:eastAsia="宋体" w:cs="宋体"/>
                <w:color w:val="0000FF"/>
                <w:sz w:val="21"/>
                <w:szCs w:val="21"/>
              </w:rPr>
              <w:t>进行评审，包括但不限于以下方案。</w:t>
            </w:r>
          </w:p>
          <w:p w14:paraId="0399A77C">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考察点A：</w:t>
            </w:r>
            <w:r>
              <w:rPr>
                <w:rFonts w:hint="eastAsia" w:ascii="宋体" w:hAnsi="宋体" w:eastAsia="宋体" w:cs="宋体"/>
                <w:color w:val="0000FF"/>
                <w:sz w:val="21"/>
                <w:szCs w:val="21"/>
                <w:lang w:eastAsia="zh-CN"/>
              </w:rPr>
              <w:t>生态环境科技创新历程了解情况；</w:t>
            </w:r>
          </w:p>
          <w:p w14:paraId="329A4D99">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考察点B：</w:t>
            </w:r>
            <w:r>
              <w:rPr>
                <w:rFonts w:hint="eastAsia" w:ascii="宋体" w:hAnsi="宋体" w:eastAsia="宋体" w:cs="宋体"/>
                <w:color w:val="0000FF"/>
                <w:sz w:val="21"/>
                <w:szCs w:val="21"/>
                <w:lang w:eastAsia="zh-CN"/>
              </w:rPr>
              <w:t>生态环境科技创新相关需求分析；</w:t>
            </w:r>
          </w:p>
          <w:p w14:paraId="58032F1E">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考察点C：</w:t>
            </w:r>
            <w:r>
              <w:rPr>
                <w:rFonts w:hint="eastAsia" w:ascii="宋体" w:hAnsi="宋体" w:eastAsia="宋体" w:cs="宋体"/>
                <w:color w:val="0000FF"/>
                <w:sz w:val="21"/>
                <w:szCs w:val="21"/>
                <w:lang w:eastAsia="zh-CN"/>
              </w:rPr>
              <w:t>提供技术服务的</w:t>
            </w:r>
            <w:r>
              <w:rPr>
                <w:rFonts w:hint="eastAsia" w:ascii="宋体" w:hAnsi="宋体" w:eastAsia="宋体" w:cs="宋体"/>
                <w:color w:val="0000FF"/>
                <w:sz w:val="21"/>
                <w:szCs w:val="21"/>
              </w:rPr>
              <w:t>工作措施</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方法</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rPr>
              <w:t>流程</w:t>
            </w:r>
            <w:r>
              <w:rPr>
                <w:rFonts w:hint="eastAsia" w:ascii="宋体" w:hAnsi="宋体" w:eastAsia="宋体" w:cs="宋体"/>
                <w:color w:val="0000FF"/>
                <w:sz w:val="21"/>
                <w:szCs w:val="21"/>
                <w:lang w:eastAsia="zh-CN"/>
              </w:rPr>
              <w:t>。</w:t>
            </w:r>
          </w:p>
          <w:p w14:paraId="54D51DEF">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考察点A、B、C三点，满足三点得</w:t>
            </w:r>
            <w:r>
              <w:rPr>
                <w:rFonts w:hint="eastAsia" w:ascii="宋体" w:hAnsi="宋体" w:eastAsia="宋体" w:cs="宋体"/>
                <w:color w:val="0000FF"/>
                <w:sz w:val="21"/>
                <w:szCs w:val="21"/>
                <w:lang w:val="en-US" w:eastAsia="zh-CN"/>
              </w:rPr>
              <w:t>10</w:t>
            </w:r>
            <w:r>
              <w:rPr>
                <w:rFonts w:hint="eastAsia" w:ascii="宋体" w:hAnsi="宋体" w:eastAsia="宋体" w:cs="宋体"/>
                <w:color w:val="0000FF"/>
                <w:sz w:val="21"/>
                <w:szCs w:val="21"/>
              </w:rPr>
              <w:t>分，满足任意两点得</w:t>
            </w:r>
            <w:r>
              <w:rPr>
                <w:rFonts w:hint="eastAsia" w:ascii="宋体" w:hAnsi="宋体" w:eastAsia="宋体" w:cs="宋体"/>
                <w:color w:val="0000FF"/>
                <w:sz w:val="21"/>
                <w:szCs w:val="21"/>
                <w:lang w:val="en-US" w:eastAsia="zh-CN"/>
              </w:rPr>
              <w:t>7</w:t>
            </w:r>
            <w:r>
              <w:rPr>
                <w:rFonts w:hint="eastAsia" w:ascii="宋体" w:hAnsi="宋体" w:eastAsia="宋体" w:cs="宋体"/>
                <w:color w:val="0000FF"/>
                <w:sz w:val="21"/>
                <w:szCs w:val="21"/>
              </w:rPr>
              <w:t>分，满足任意一点得</w:t>
            </w: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rPr>
              <w:t>分，未满足不得分。在此基础上，专家根据各供应商的具体响应内容按照</w:t>
            </w:r>
            <w:r>
              <w:rPr>
                <w:rFonts w:hint="eastAsia" w:ascii="宋体" w:hAnsi="宋体" w:eastAsia="宋体" w:cs="宋体"/>
                <w:color w:val="0000FF"/>
                <w:sz w:val="21"/>
                <w:szCs w:val="21"/>
                <w:lang w:eastAsia="zh-CN"/>
              </w:rPr>
              <w:t>以下</w:t>
            </w:r>
            <w:r>
              <w:rPr>
                <w:rFonts w:hint="eastAsia" w:ascii="宋体" w:hAnsi="宋体" w:eastAsia="宋体" w:cs="宋体"/>
                <w:color w:val="0000FF"/>
                <w:sz w:val="21"/>
                <w:szCs w:val="21"/>
              </w:rPr>
              <w:t>的评审因素指标进一步评审</w:t>
            </w:r>
            <w:r>
              <w:rPr>
                <w:rFonts w:hint="eastAsia" w:ascii="宋体" w:hAnsi="宋体" w:eastAsia="宋体" w:cs="宋体"/>
                <w:color w:val="0000FF"/>
                <w:sz w:val="21"/>
                <w:szCs w:val="21"/>
                <w:lang w:eastAsia="zh-CN"/>
              </w:rPr>
              <w:t>：</w:t>
            </w:r>
          </w:p>
          <w:p w14:paraId="3DF0E9F0">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优:方案符合实际、完整、规范、思路清晰，内容合理性强。</w:t>
            </w:r>
          </w:p>
          <w:p w14:paraId="12C5AA6F">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良:方案较符合实际、较完整规范、思路较清晰，内容合理性较强。</w:t>
            </w:r>
          </w:p>
          <w:p w14:paraId="45A7A66C">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中:方案较普通、完整性规范性一般，思路不够清晰，内容合理性一般。</w:t>
            </w:r>
          </w:p>
          <w:p w14:paraId="41CD91E4">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差：方案不完整、不规范，思路不清晰，内容合理性较差或未提供。</w:t>
            </w:r>
          </w:p>
          <w:p w14:paraId="483B9595">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评审为优的加</w:t>
            </w:r>
            <w:r>
              <w:rPr>
                <w:rFonts w:hint="eastAsia" w:ascii="宋体" w:hAnsi="宋体" w:eastAsia="宋体" w:cs="宋体"/>
                <w:color w:val="0000FF"/>
                <w:sz w:val="21"/>
                <w:szCs w:val="21"/>
                <w:lang w:val="en-US" w:eastAsia="zh-CN"/>
              </w:rPr>
              <w:t>5</w:t>
            </w:r>
            <w:r>
              <w:rPr>
                <w:rFonts w:hint="eastAsia" w:ascii="宋体" w:hAnsi="宋体" w:eastAsia="宋体" w:cs="宋体"/>
                <w:color w:val="0000FF"/>
                <w:sz w:val="21"/>
                <w:szCs w:val="21"/>
              </w:rPr>
              <w:t>分，评审为良的加</w:t>
            </w: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rPr>
              <w:t>分，评审为中的加</w:t>
            </w: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rPr>
              <w:t>分，评审为差的得0分。如果评审为差，要求专家书面说明理由，并记录在档。</w:t>
            </w:r>
          </w:p>
        </w:tc>
      </w:tr>
      <w:tr w14:paraId="2780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01A699E0">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6CC3C16A">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232" w:type="dxa"/>
            <w:vAlign w:val="center"/>
          </w:tcPr>
          <w:p w14:paraId="5DB59E0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项目重点难点分析、应对措施及相关的合理化建议</w:t>
            </w:r>
          </w:p>
        </w:tc>
        <w:tc>
          <w:tcPr>
            <w:tcW w:w="739" w:type="dxa"/>
            <w:vAlign w:val="center"/>
          </w:tcPr>
          <w:p w14:paraId="5DF04530">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12</w:t>
            </w:r>
          </w:p>
        </w:tc>
        <w:tc>
          <w:tcPr>
            <w:tcW w:w="5881" w:type="dxa"/>
            <w:vAlign w:val="center"/>
          </w:tcPr>
          <w:p w14:paraId="6D6083A8">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评审内容：评审委员会根据投标单位的项目重点难点分析、应对措施及相关的合理化建议进行评审，包括但不限于以下内容：</w:t>
            </w:r>
          </w:p>
          <w:p w14:paraId="5F3DDB4E">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考察点A：</w:t>
            </w:r>
            <w:r>
              <w:rPr>
                <w:rFonts w:hint="eastAsia" w:ascii="宋体" w:hAnsi="宋体" w:eastAsia="宋体" w:cs="宋体"/>
                <w:color w:val="0000FF"/>
                <w:sz w:val="21"/>
                <w:szCs w:val="21"/>
                <w:lang w:eastAsia="zh-CN"/>
              </w:rPr>
              <w:t>项目重难点分析不少于3个；</w:t>
            </w:r>
          </w:p>
          <w:p w14:paraId="5059E63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考察点B：针对重难点的相关应对措施；</w:t>
            </w:r>
          </w:p>
          <w:p w14:paraId="409BBBEA">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eastAsia="zh-CN"/>
              </w:rPr>
              <w:t>考察点C：提出针对性的合理化建议。</w:t>
            </w:r>
          </w:p>
          <w:p w14:paraId="63E8129B">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考察点A、B、C三点，满足三点得</w:t>
            </w:r>
            <w:r>
              <w:rPr>
                <w:rFonts w:hint="eastAsia" w:ascii="宋体" w:hAnsi="宋体" w:eastAsia="宋体" w:cs="宋体"/>
                <w:color w:val="0000FF"/>
                <w:sz w:val="21"/>
                <w:szCs w:val="21"/>
                <w:lang w:val="en-US" w:eastAsia="zh-CN"/>
              </w:rPr>
              <w:t>8</w:t>
            </w:r>
            <w:r>
              <w:rPr>
                <w:rFonts w:hint="eastAsia" w:ascii="宋体" w:hAnsi="宋体" w:eastAsia="宋体" w:cs="宋体"/>
                <w:color w:val="0000FF"/>
                <w:sz w:val="21"/>
                <w:szCs w:val="21"/>
              </w:rPr>
              <w:t>分，满足任意两点得</w:t>
            </w:r>
            <w:r>
              <w:rPr>
                <w:rFonts w:hint="eastAsia" w:ascii="宋体" w:hAnsi="宋体" w:eastAsia="宋体" w:cs="宋体"/>
                <w:color w:val="0000FF"/>
                <w:sz w:val="21"/>
                <w:szCs w:val="21"/>
                <w:lang w:val="en-US" w:eastAsia="zh-CN"/>
              </w:rPr>
              <w:t>6</w:t>
            </w:r>
            <w:r>
              <w:rPr>
                <w:rFonts w:hint="eastAsia" w:ascii="宋体" w:hAnsi="宋体" w:eastAsia="宋体" w:cs="宋体"/>
                <w:color w:val="0000FF"/>
                <w:sz w:val="21"/>
                <w:szCs w:val="21"/>
              </w:rPr>
              <w:t>分，满足任意一点得</w:t>
            </w:r>
            <w:r>
              <w:rPr>
                <w:rFonts w:hint="eastAsia" w:ascii="宋体" w:hAnsi="宋体" w:eastAsia="宋体" w:cs="宋体"/>
                <w:color w:val="0000FF"/>
                <w:sz w:val="21"/>
                <w:szCs w:val="21"/>
                <w:lang w:val="en-US" w:eastAsia="zh-CN"/>
              </w:rPr>
              <w:t>4</w:t>
            </w:r>
            <w:r>
              <w:rPr>
                <w:rFonts w:hint="eastAsia" w:ascii="宋体" w:hAnsi="宋体" w:eastAsia="宋体" w:cs="宋体"/>
                <w:color w:val="0000FF"/>
                <w:sz w:val="21"/>
                <w:szCs w:val="21"/>
              </w:rPr>
              <w:t>分，未满足不得分。在此基础上，专家根据各供应商的具体响应内容按照</w:t>
            </w:r>
            <w:r>
              <w:rPr>
                <w:rFonts w:hint="eastAsia" w:ascii="宋体" w:hAnsi="宋体" w:eastAsia="宋体" w:cs="宋体"/>
                <w:color w:val="0000FF"/>
                <w:sz w:val="21"/>
                <w:szCs w:val="21"/>
                <w:lang w:eastAsia="zh-CN"/>
              </w:rPr>
              <w:t>以下</w:t>
            </w:r>
            <w:r>
              <w:rPr>
                <w:rFonts w:hint="eastAsia" w:ascii="宋体" w:hAnsi="宋体" w:eastAsia="宋体" w:cs="宋体"/>
                <w:color w:val="0000FF"/>
                <w:sz w:val="21"/>
                <w:szCs w:val="21"/>
              </w:rPr>
              <w:t>的评审因素指标进一步评审</w:t>
            </w:r>
            <w:r>
              <w:rPr>
                <w:rFonts w:hint="eastAsia" w:ascii="宋体" w:hAnsi="宋体" w:eastAsia="宋体" w:cs="宋体"/>
                <w:color w:val="0000FF"/>
                <w:sz w:val="21"/>
                <w:szCs w:val="21"/>
                <w:lang w:eastAsia="zh-CN"/>
              </w:rPr>
              <w:t>：</w:t>
            </w:r>
          </w:p>
          <w:p w14:paraId="1DEE625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优:方案符合实际、完整、规范、思路清晰，内容合理性强。</w:t>
            </w:r>
          </w:p>
          <w:p w14:paraId="63B991F8">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良:方案较符合实际、较完整规范、思路较清晰，内容合理性较强。</w:t>
            </w:r>
          </w:p>
          <w:p w14:paraId="0585B7BE">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中:方案较普通、完整性规范性一般，思路不够清晰，内容合理性一般。</w:t>
            </w:r>
          </w:p>
          <w:p w14:paraId="68DBD7A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差：方案不完整、不规范，思路不清晰，内容合理性较差或未提供。</w:t>
            </w:r>
          </w:p>
          <w:p w14:paraId="1B5336EA">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评审为优的加</w:t>
            </w:r>
            <w:r>
              <w:rPr>
                <w:rFonts w:hint="eastAsia" w:ascii="宋体" w:hAnsi="宋体" w:eastAsia="宋体" w:cs="宋体"/>
                <w:color w:val="0000FF"/>
                <w:sz w:val="21"/>
                <w:szCs w:val="21"/>
                <w:lang w:val="en-US" w:eastAsia="zh-CN"/>
              </w:rPr>
              <w:t>4</w:t>
            </w:r>
            <w:r>
              <w:rPr>
                <w:rFonts w:hint="eastAsia" w:ascii="宋体" w:hAnsi="宋体" w:eastAsia="宋体" w:cs="宋体"/>
                <w:color w:val="0000FF"/>
                <w:sz w:val="21"/>
                <w:szCs w:val="21"/>
              </w:rPr>
              <w:t>分，评审为良的加</w:t>
            </w: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rPr>
              <w:t>分，评审为中的加</w:t>
            </w: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rPr>
              <w:t>分，评审为差的得0分。如果评审为差，要求专家书面说明理由，并记录在档。</w:t>
            </w:r>
          </w:p>
        </w:tc>
      </w:tr>
      <w:tr w14:paraId="621F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769D364D">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p>
        </w:tc>
        <w:tc>
          <w:tcPr>
            <w:tcW w:w="651" w:type="dxa"/>
            <w:vAlign w:val="center"/>
          </w:tcPr>
          <w:p w14:paraId="76DDD02F">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1232" w:type="dxa"/>
            <w:vAlign w:val="center"/>
          </w:tcPr>
          <w:p w14:paraId="10BF44E6">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质量（完成时间、安全、环保）保障措施及方案</w:t>
            </w:r>
          </w:p>
        </w:tc>
        <w:tc>
          <w:tcPr>
            <w:tcW w:w="739" w:type="dxa"/>
            <w:vAlign w:val="center"/>
          </w:tcPr>
          <w:p w14:paraId="6D6FBFCD">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10</w:t>
            </w:r>
          </w:p>
        </w:tc>
        <w:tc>
          <w:tcPr>
            <w:tcW w:w="5881" w:type="dxa"/>
            <w:vAlign w:val="center"/>
          </w:tcPr>
          <w:p w14:paraId="72C0460A">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b/>
                <w:i/>
                <w:color w:val="0000FF"/>
                <w:sz w:val="21"/>
                <w:szCs w:val="21"/>
                <w:highlight w:val="none"/>
                <w:u w:val="single"/>
              </w:rPr>
            </w:pPr>
            <w:r>
              <w:rPr>
                <w:rFonts w:hint="eastAsia" w:ascii="宋体" w:hAnsi="宋体" w:eastAsia="宋体" w:cs="宋体"/>
                <w:color w:val="0000FF"/>
                <w:sz w:val="21"/>
                <w:szCs w:val="21"/>
              </w:rPr>
              <w:t>评审内容</w:t>
            </w:r>
            <w:r>
              <w:rPr>
                <w:rFonts w:hint="eastAsia" w:ascii="宋体" w:hAnsi="宋体" w:eastAsia="宋体" w:cs="宋体"/>
                <w:color w:val="0000FF"/>
                <w:sz w:val="21"/>
                <w:szCs w:val="21"/>
                <w:highlight w:val="none"/>
              </w:rPr>
              <w:t>：评审委员会根据投标单位的项目质量（完成时间、安全、环保）保障措施及方案进行评审，包括但不限于以下</w:t>
            </w:r>
            <w:r>
              <w:rPr>
                <w:rFonts w:hint="eastAsia" w:ascii="宋体" w:hAnsi="宋体" w:eastAsia="宋体" w:cs="宋体"/>
                <w:color w:val="0000FF"/>
                <w:sz w:val="21"/>
                <w:szCs w:val="21"/>
                <w:highlight w:val="none"/>
                <w:lang w:eastAsia="zh-CN"/>
              </w:rPr>
              <w:t>内容</w:t>
            </w:r>
            <w:r>
              <w:rPr>
                <w:rFonts w:hint="eastAsia" w:ascii="宋体" w:hAnsi="宋体" w:eastAsia="宋体" w:cs="宋体"/>
                <w:color w:val="0000FF"/>
                <w:sz w:val="21"/>
                <w:szCs w:val="21"/>
                <w:highlight w:val="none"/>
              </w:rPr>
              <w:t>：</w:t>
            </w:r>
          </w:p>
          <w:p w14:paraId="75079877">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考察点A：</w:t>
            </w:r>
            <w:r>
              <w:rPr>
                <w:rFonts w:hint="eastAsia" w:ascii="宋体" w:hAnsi="宋体" w:eastAsia="宋体" w:cs="宋体"/>
                <w:color w:val="0000FF"/>
                <w:sz w:val="21"/>
                <w:szCs w:val="21"/>
                <w:highlight w:val="none"/>
                <w:lang w:eastAsia="zh-CN"/>
              </w:rPr>
              <w:t>完整的质量保障计划；</w:t>
            </w:r>
          </w:p>
          <w:p w14:paraId="481B408F">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考察点B：</w:t>
            </w:r>
            <w:r>
              <w:rPr>
                <w:rFonts w:hint="eastAsia" w:ascii="宋体" w:hAnsi="宋体" w:eastAsia="宋体" w:cs="宋体"/>
                <w:color w:val="0000FF"/>
                <w:sz w:val="21"/>
                <w:szCs w:val="21"/>
                <w:highlight w:val="none"/>
                <w:lang w:eastAsia="zh-CN"/>
              </w:rPr>
              <w:t>明确的时间进度安排。</w:t>
            </w:r>
          </w:p>
          <w:p w14:paraId="6A525EF9">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考察点C：</w:t>
            </w:r>
            <w:r>
              <w:rPr>
                <w:rFonts w:hint="eastAsia" w:ascii="宋体" w:hAnsi="宋体" w:eastAsia="宋体" w:cs="宋体"/>
                <w:color w:val="0000FF"/>
                <w:sz w:val="21"/>
                <w:szCs w:val="21"/>
                <w:highlight w:val="none"/>
                <w:lang w:eastAsia="zh-CN"/>
              </w:rPr>
              <w:t>提出安全、环保措施和</w:t>
            </w:r>
            <w:r>
              <w:rPr>
                <w:rFonts w:hint="eastAsia" w:ascii="宋体" w:hAnsi="宋体" w:eastAsia="宋体" w:cs="宋体"/>
                <w:color w:val="0000FF"/>
                <w:sz w:val="21"/>
                <w:szCs w:val="21"/>
                <w:highlight w:val="none"/>
              </w:rPr>
              <w:t>突发事件应急预案</w:t>
            </w:r>
            <w:r>
              <w:rPr>
                <w:rFonts w:hint="eastAsia" w:ascii="宋体" w:hAnsi="宋体" w:eastAsia="宋体" w:cs="宋体"/>
                <w:color w:val="0000FF"/>
                <w:sz w:val="21"/>
                <w:szCs w:val="21"/>
                <w:highlight w:val="none"/>
                <w:lang w:eastAsia="zh-CN"/>
              </w:rPr>
              <w:t>。</w:t>
            </w:r>
          </w:p>
          <w:p w14:paraId="41AB1F43">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考察点A、B、C三点，满足三点得</w:t>
            </w:r>
            <w:r>
              <w:rPr>
                <w:rFonts w:hint="eastAsia" w:ascii="宋体" w:hAnsi="宋体" w:eastAsia="宋体" w:cs="宋体"/>
                <w:color w:val="0000FF"/>
                <w:sz w:val="21"/>
                <w:szCs w:val="21"/>
                <w:highlight w:val="none"/>
                <w:lang w:val="en-US" w:eastAsia="zh-CN"/>
              </w:rPr>
              <w:t>7</w:t>
            </w:r>
            <w:r>
              <w:rPr>
                <w:rFonts w:hint="eastAsia" w:ascii="宋体" w:hAnsi="宋体" w:eastAsia="宋体" w:cs="宋体"/>
                <w:color w:val="0000FF"/>
                <w:sz w:val="21"/>
                <w:szCs w:val="21"/>
                <w:highlight w:val="none"/>
              </w:rPr>
              <w:t>分，满足任意两点得</w:t>
            </w:r>
            <w:r>
              <w:rPr>
                <w:rFonts w:hint="eastAsia" w:ascii="宋体" w:hAnsi="宋体" w:eastAsia="宋体" w:cs="宋体"/>
                <w:color w:val="0000FF"/>
                <w:sz w:val="21"/>
                <w:szCs w:val="21"/>
                <w:highlight w:val="none"/>
                <w:lang w:val="en-US" w:eastAsia="zh-CN"/>
              </w:rPr>
              <w:t>5</w:t>
            </w:r>
            <w:r>
              <w:rPr>
                <w:rFonts w:hint="eastAsia" w:ascii="宋体" w:hAnsi="宋体" w:eastAsia="宋体" w:cs="宋体"/>
                <w:color w:val="0000FF"/>
                <w:sz w:val="21"/>
                <w:szCs w:val="21"/>
                <w:highlight w:val="none"/>
              </w:rPr>
              <w:t>分，满足任意一点得</w:t>
            </w:r>
            <w:r>
              <w:rPr>
                <w:rFonts w:hint="eastAsia" w:ascii="宋体" w:hAnsi="宋体" w:eastAsia="宋体" w:cs="宋体"/>
                <w:color w:val="0000FF"/>
                <w:sz w:val="21"/>
                <w:szCs w:val="21"/>
                <w:highlight w:val="none"/>
                <w:lang w:val="en-US" w:eastAsia="zh-CN"/>
              </w:rPr>
              <w:t>3</w:t>
            </w:r>
            <w:r>
              <w:rPr>
                <w:rFonts w:hint="eastAsia" w:ascii="宋体" w:hAnsi="宋体" w:eastAsia="宋体" w:cs="宋体"/>
                <w:color w:val="0000FF"/>
                <w:sz w:val="21"/>
                <w:szCs w:val="21"/>
                <w:highlight w:val="none"/>
              </w:rPr>
              <w:t>分，未满足不得分。在此基础上，专家根据各供应商的具体响应内容按照</w:t>
            </w:r>
            <w:r>
              <w:rPr>
                <w:rFonts w:hint="eastAsia" w:ascii="宋体" w:hAnsi="宋体" w:eastAsia="宋体" w:cs="宋体"/>
                <w:color w:val="0000FF"/>
                <w:sz w:val="21"/>
                <w:szCs w:val="21"/>
                <w:highlight w:val="none"/>
                <w:lang w:eastAsia="zh-CN"/>
              </w:rPr>
              <w:t>以下</w:t>
            </w:r>
            <w:r>
              <w:rPr>
                <w:rFonts w:hint="eastAsia" w:ascii="宋体" w:hAnsi="宋体" w:eastAsia="宋体" w:cs="宋体"/>
                <w:color w:val="0000FF"/>
                <w:sz w:val="21"/>
                <w:szCs w:val="21"/>
                <w:highlight w:val="none"/>
              </w:rPr>
              <w:t>的评审因素指标进一步评审</w:t>
            </w:r>
            <w:r>
              <w:rPr>
                <w:rFonts w:hint="eastAsia" w:ascii="宋体" w:hAnsi="宋体" w:eastAsia="宋体" w:cs="宋体"/>
                <w:color w:val="0000FF"/>
                <w:sz w:val="21"/>
                <w:szCs w:val="21"/>
                <w:highlight w:val="none"/>
                <w:lang w:eastAsia="zh-CN"/>
              </w:rPr>
              <w:t>：</w:t>
            </w:r>
          </w:p>
          <w:p w14:paraId="70DCCE75">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优:方案符合实际、完整、规范、思路清晰，内容合理性强。</w:t>
            </w:r>
          </w:p>
          <w:p w14:paraId="3918A49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良:方案较符合实际、较完整规范、思路较清晰，内容合理性较强。</w:t>
            </w:r>
          </w:p>
          <w:p w14:paraId="5B92B414">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中:方案较普通、完整性规范性一般，思路不够清晰，内容合理性一般。</w:t>
            </w:r>
          </w:p>
          <w:p w14:paraId="3282294C">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差：方案不完整、不规范，思路不清晰，内容合理性较差或未提供。</w:t>
            </w:r>
          </w:p>
          <w:p w14:paraId="28FB4F3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评审为优的加</w:t>
            </w: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rPr>
              <w:t>分，评审为良的加</w:t>
            </w: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rPr>
              <w:t>分，评审为中的加</w:t>
            </w: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rPr>
              <w:t>分，评审为差的得0分。如果评审为差，要求专家书面说明理由，并记录在档。</w:t>
            </w:r>
          </w:p>
        </w:tc>
      </w:tr>
      <w:tr w14:paraId="4817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6751F9FB">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3C154A74">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1232" w:type="dxa"/>
            <w:vAlign w:val="center"/>
          </w:tcPr>
          <w:p w14:paraId="7F063086">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项目完成（服务期满）后的服务承诺</w:t>
            </w:r>
          </w:p>
        </w:tc>
        <w:tc>
          <w:tcPr>
            <w:tcW w:w="739" w:type="dxa"/>
            <w:vAlign w:val="center"/>
          </w:tcPr>
          <w:p w14:paraId="1FD9B82D">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3</w:t>
            </w:r>
          </w:p>
        </w:tc>
        <w:tc>
          <w:tcPr>
            <w:tcW w:w="5881" w:type="dxa"/>
            <w:vAlign w:val="center"/>
          </w:tcPr>
          <w:p w14:paraId="4E4EE869">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评审内容：</w:t>
            </w:r>
            <w:r>
              <w:rPr>
                <w:rFonts w:hint="eastAsia" w:ascii="宋体" w:hAnsi="宋体" w:eastAsia="宋体" w:cs="宋体"/>
                <w:color w:val="0000FF"/>
                <w:sz w:val="21"/>
                <w:szCs w:val="21"/>
                <w:highlight w:val="none"/>
              </w:rPr>
              <w:t>评审委员会根据投标单位的</w:t>
            </w:r>
            <w:r>
              <w:rPr>
                <w:rFonts w:hint="eastAsia" w:ascii="宋体" w:hAnsi="宋体" w:eastAsia="宋体" w:cs="宋体"/>
                <w:color w:val="0000FF"/>
                <w:sz w:val="21"/>
                <w:szCs w:val="21"/>
              </w:rPr>
              <w:t>项目完成（服务期满）后的服务承诺</w:t>
            </w:r>
            <w:r>
              <w:rPr>
                <w:rFonts w:hint="eastAsia" w:ascii="宋体" w:hAnsi="宋体" w:eastAsia="宋体" w:cs="宋体"/>
                <w:color w:val="0000FF"/>
                <w:sz w:val="21"/>
                <w:szCs w:val="21"/>
                <w:highlight w:val="none"/>
              </w:rPr>
              <w:t>进行评审，包括但不限于以下</w:t>
            </w:r>
            <w:r>
              <w:rPr>
                <w:rFonts w:hint="eastAsia" w:ascii="宋体" w:hAnsi="宋体" w:eastAsia="宋体" w:cs="宋体"/>
                <w:color w:val="0000FF"/>
                <w:sz w:val="21"/>
                <w:szCs w:val="21"/>
                <w:highlight w:val="none"/>
                <w:lang w:eastAsia="zh-CN"/>
              </w:rPr>
              <w:t>内容</w:t>
            </w:r>
            <w:r>
              <w:rPr>
                <w:rFonts w:hint="eastAsia" w:ascii="宋体" w:hAnsi="宋体" w:eastAsia="宋体" w:cs="宋体"/>
                <w:color w:val="0000FF"/>
                <w:sz w:val="21"/>
                <w:szCs w:val="21"/>
                <w:highlight w:val="none"/>
              </w:rPr>
              <w:t>：</w:t>
            </w:r>
          </w:p>
          <w:p w14:paraId="12EA2A60">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考察点A：售后服务期限说明；</w:t>
            </w:r>
          </w:p>
          <w:p w14:paraId="30DD8EC7">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考察点B：售后服务人员安排说明；</w:t>
            </w:r>
          </w:p>
          <w:p w14:paraId="01647B9B">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考察点C：售后服务的资料交接归档说明。</w:t>
            </w:r>
          </w:p>
          <w:p w14:paraId="18CD57D4">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eastAsia="zh-CN"/>
              </w:rPr>
              <w:t>考察点A、B、C三点，满足三点得</w:t>
            </w:r>
            <w:r>
              <w:rPr>
                <w:rFonts w:hint="eastAsia" w:ascii="宋体" w:hAnsi="宋体" w:eastAsia="宋体" w:cs="宋体"/>
                <w:color w:val="0000FF"/>
                <w:sz w:val="21"/>
                <w:szCs w:val="21"/>
                <w:highlight w:val="none"/>
                <w:lang w:val="en-US" w:eastAsia="zh-CN"/>
              </w:rPr>
              <w:t>3</w:t>
            </w:r>
            <w:r>
              <w:rPr>
                <w:rFonts w:hint="eastAsia" w:ascii="宋体" w:hAnsi="宋体" w:eastAsia="宋体" w:cs="宋体"/>
                <w:color w:val="0000FF"/>
                <w:sz w:val="21"/>
                <w:szCs w:val="21"/>
                <w:highlight w:val="none"/>
                <w:lang w:eastAsia="zh-CN"/>
              </w:rPr>
              <w:t>分，要求提供承诺（格式自定），未提供承诺或承诺内容不满足要求不得分。</w:t>
            </w:r>
          </w:p>
        </w:tc>
      </w:tr>
      <w:tr w14:paraId="4E71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29D8F41">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3E7969EE">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5</w:t>
            </w:r>
          </w:p>
        </w:tc>
        <w:tc>
          <w:tcPr>
            <w:tcW w:w="1232" w:type="dxa"/>
            <w:vAlign w:val="center"/>
          </w:tcPr>
          <w:p w14:paraId="5B2EEEAE">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违约承诺</w:t>
            </w:r>
          </w:p>
        </w:tc>
        <w:tc>
          <w:tcPr>
            <w:tcW w:w="739" w:type="dxa"/>
            <w:vAlign w:val="center"/>
          </w:tcPr>
          <w:p w14:paraId="087E1874">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3</w:t>
            </w:r>
          </w:p>
        </w:tc>
        <w:tc>
          <w:tcPr>
            <w:tcW w:w="5881" w:type="dxa"/>
            <w:vAlign w:val="center"/>
          </w:tcPr>
          <w:p w14:paraId="55198C8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评审内容：</w:t>
            </w:r>
            <w:r>
              <w:rPr>
                <w:rFonts w:hint="eastAsia" w:ascii="宋体" w:hAnsi="宋体" w:eastAsia="宋体" w:cs="宋体"/>
                <w:color w:val="0000FF"/>
                <w:sz w:val="21"/>
                <w:szCs w:val="21"/>
                <w:highlight w:val="none"/>
              </w:rPr>
              <w:t>评审委员会根据投标单位的</w:t>
            </w:r>
            <w:r>
              <w:rPr>
                <w:rFonts w:hint="eastAsia" w:ascii="宋体" w:hAnsi="宋体" w:eastAsia="宋体" w:cs="宋体"/>
                <w:color w:val="0000FF"/>
                <w:sz w:val="21"/>
                <w:szCs w:val="21"/>
              </w:rPr>
              <w:t>违约承诺</w:t>
            </w:r>
            <w:r>
              <w:rPr>
                <w:rFonts w:hint="eastAsia" w:ascii="宋体" w:hAnsi="宋体" w:eastAsia="宋体" w:cs="宋体"/>
                <w:color w:val="0000FF"/>
                <w:sz w:val="21"/>
                <w:szCs w:val="21"/>
                <w:highlight w:val="none"/>
              </w:rPr>
              <w:t>进行评审，包括但不限于以下</w:t>
            </w:r>
            <w:r>
              <w:rPr>
                <w:rFonts w:hint="eastAsia" w:ascii="宋体" w:hAnsi="宋体" w:eastAsia="宋体" w:cs="宋体"/>
                <w:color w:val="0000FF"/>
                <w:sz w:val="21"/>
                <w:szCs w:val="21"/>
                <w:highlight w:val="none"/>
                <w:lang w:eastAsia="zh-CN"/>
              </w:rPr>
              <w:t>内容</w:t>
            </w:r>
            <w:r>
              <w:rPr>
                <w:rFonts w:hint="eastAsia" w:ascii="宋体" w:hAnsi="宋体" w:eastAsia="宋体" w:cs="宋体"/>
                <w:color w:val="0000FF"/>
                <w:sz w:val="21"/>
                <w:szCs w:val="21"/>
                <w:highlight w:val="none"/>
              </w:rPr>
              <w:t>：</w:t>
            </w:r>
          </w:p>
          <w:p w14:paraId="2B12CFE7">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考察点A：人员按照招标文件及投标承诺配置；</w:t>
            </w:r>
          </w:p>
          <w:p w14:paraId="7D266BAB">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考察点B：服务质量达到招标文件要求；</w:t>
            </w:r>
          </w:p>
          <w:p w14:paraId="2B468C88">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eastAsia="zh-CN"/>
              </w:rPr>
              <w:t>考察点C：对未能达到的管理要求承担管理责任。</w:t>
            </w:r>
          </w:p>
          <w:p w14:paraId="782DF507">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eastAsia="zh-CN"/>
              </w:rPr>
              <w:t>考察点A、B、C三点，满足三点得</w:t>
            </w:r>
            <w:r>
              <w:rPr>
                <w:rFonts w:hint="eastAsia" w:ascii="宋体" w:hAnsi="宋体" w:eastAsia="宋体" w:cs="宋体"/>
                <w:color w:val="0000FF"/>
                <w:sz w:val="21"/>
                <w:szCs w:val="21"/>
                <w:highlight w:val="none"/>
                <w:lang w:val="en-US" w:eastAsia="zh-CN"/>
              </w:rPr>
              <w:t>3</w:t>
            </w:r>
            <w:r>
              <w:rPr>
                <w:rFonts w:hint="eastAsia" w:ascii="宋体" w:hAnsi="宋体" w:eastAsia="宋体" w:cs="宋体"/>
                <w:color w:val="0000FF"/>
                <w:sz w:val="21"/>
                <w:szCs w:val="21"/>
                <w:highlight w:val="none"/>
                <w:lang w:eastAsia="zh-CN"/>
              </w:rPr>
              <w:t>分，要求提供承诺（格式自定），未提供承诺或承诺内容不满足要求不得分。</w:t>
            </w:r>
          </w:p>
        </w:tc>
      </w:tr>
      <w:tr w14:paraId="776A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6EDB3C6C">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52D1D018">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lang w:val="en-US" w:eastAsia="zh-CN"/>
              </w:rPr>
              <w:t>6</w:t>
            </w:r>
          </w:p>
        </w:tc>
        <w:tc>
          <w:tcPr>
            <w:tcW w:w="1232" w:type="dxa"/>
            <w:vAlign w:val="center"/>
          </w:tcPr>
          <w:p w14:paraId="78CB9487">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技术条款响应情况</w:t>
            </w:r>
          </w:p>
        </w:tc>
        <w:tc>
          <w:tcPr>
            <w:tcW w:w="739" w:type="dxa"/>
            <w:vAlign w:val="center"/>
          </w:tcPr>
          <w:p w14:paraId="2046467E">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2</w:t>
            </w:r>
          </w:p>
        </w:tc>
        <w:tc>
          <w:tcPr>
            <w:tcW w:w="5881" w:type="dxa"/>
            <w:vAlign w:val="center"/>
          </w:tcPr>
          <w:p w14:paraId="7A03E0A6">
            <w:pPr>
              <w:pStyle w:val="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color w:val="0000FF"/>
                <w:kern w:val="0"/>
                <w:sz w:val="21"/>
                <w:szCs w:val="21"/>
                <w:highlight w:val="none"/>
                <w:lang w:val="en-US" w:eastAsia="zh-CN"/>
              </w:rPr>
            </w:pPr>
            <w:r>
              <w:rPr>
                <w:rFonts w:hint="eastAsia" w:ascii="宋体" w:hAnsi="宋体" w:eastAsia="宋体" w:cs="宋体"/>
                <w:b w:val="0"/>
                <w:bCs w:val="0"/>
                <w:color w:val="0000FF"/>
                <w:kern w:val="0"/>
                <w:sz w:val="21"/>
                <w:szCs w:val="21"/>
                <w:highlight w:val="none"/>
                <w:lang w:val="en-US" w:eastAsia="zh-CN"/>
              </w:rPr>
              <w:t>投标人应如实填写</w:t>
            </w:r>
            <w:r>
              <w:rPr>
                <w:rFonts w:hint="eastAsia" w:ascii="宋体" w:hAnsi="宋体" w:eastAsia="宋体" w:cs="宋体"/>
                <w:color w:val="0000FF"/>
                <w:sz w:val="21"/>
                <w:szCs w:val="21"/>
                <w:highlight w:val="none"/>
              </w:rPr>
              <w:t>《技术偏离表》</w:t>
            </w:r>
            <w:r>
              <w:rPr>
                <w:rFonts w:hint="eastAsia" w:ascii="宋体" w:hAnsi="宋体" w:eastAsia="宋体" w:cs="宋体"/>
                <w:b w:val="0"/>
                <w:bCs w:val="0"/>
                <w:color w:val="0000FF"/>
                <w:kern w:val="0"/>
                <w:sz w:val="21"/>
                <w:szCs w:val="21"/>
                <w:highlight w:val="none"/>
                <w:lang w:val="en-US" w:eastAsia="zh-CN"/>
              </w:rPr>
              <w:t>，评审委员会根据</w:t>
            </w:r>
            <w:r>
              <w:rPr>
                <w:rFonts w:hint="eastAsia" w:ascii="宋体" w:hAnsi="宋体" w:eastAsia="宋体" w:cs="宋体"/>
                <w:b/>
                <w:bCs/>
                <w:color w:val="0000FF"/>
                <w:kern w:val="2"/>
                <w:sz w:val="21"/>
                <w:szCs w:val="21"/>
                <w:highlight w:val="none"/>
              </w:rPr>
              <w:t>第</w:t>
            </w:r>
            <w:r>
              <w:rPr>
                <w:rFonts w:hint="eastAsia" w:ascii="宋体" w:hAnsi="宋体" w:eastAsia="宋体" w:cs="宋体"/>
                <w:b/>
                <w:bCs/>
                <w:color w:val="0000FF"/>
                <w:kern w:val="2"/>
                <w:sz w:val="21"/>
                <w:szCs w:val="21"/>
                <w:highlight w:val="none"/>
                <w:lang w:val="en-US" w:eastAsia="zh-CN"/>
              </w:rPr>
              <w:t>四</w:t>
            </w:r>
            <w:r>
              <w:rPr>
                <w:rFonts w:hint="eastAsia" w:ascii="宋体" w:hAnsi="宋体" w:eastAsia="宋体" w:cs="宋体"/>
                <w:b/>
                <w:bCs/>
                <w:color w:val="0000FF"/>
                <w:kern w:val="2"/>
                <w:sz w:val="21"/>
                <w:szCs w:val="21"/>
                <w:highlight w:val="none"/>
              </w:rPr>
              <w:t>章 需求及技术规格</w:t>
            </w:r>
            <w:r>
              <w:rPr>
                <w:rFonts w:hint="eastAsia" w:ascii="宋体" w:hAnsi="宋体" w:eastAsia="宋体" w:cs="宋体"/>
                <w:b w:val="0"/>
                <w:bCs w:val="0"/>
                <w:color w:val="0000FF"/>
                <w:kern w:val="0"/>
                <w:sz w:val="21"/>
                <w:szCs w:val="21"/>
                <w:highlight w:val="none"/>
                <w:lang w:val="en-US" w:eastAsia="zh-CN"/>
              </w:rPr>
              <w:t>“第三节、技术需求明细”响应情况进行打分。全部满足要求的得2分（标注“★”的条款不参与本项评审，如有负偏离则投标无效）。</w:t>
            </w:r>
          </w:p>
          <w:p w14:paraId="7F4486D3">
            <w:pPr>
              <w:pStyle w:val="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 w:val="0"/>
                <w:bCs w:val="0"/>
                <w:color w:val="0000FF"/>
                <w:kern w:val="0"/>
                <w:sz w:val="21"/>
                <w:szCs w:val="21"/>
                <w:highlight w:val="none"/>
                <w:lang w:val="en-US" w:eastAsia="zh-CN"/>
              </w:rPr>
            </w:pPr>
            <w:r>
              <w:rPr>
                <w:rFonts w:hint="eastAsia" w:ascii="宋体" w:hAnsi="宋体" w:eastAsia="宋体" w:cs="宋体"/>
                <w:b w:val="0"/>
                <w:bCs w:val="0"/>
                <w:color w:val="0000FF"/>
                <w:kern w:val="0"/>
                <w:sz w:val="21"/>
                <w:szCs w:val="21"/>
                <w:highlight w:val="none"/>
                <w:lang w:val="en-US" w:eastAsia="zh-CN"/>
              </w:rPr>
              <w:t>各项技术参数指标及要求全部满足或优于招标文件要求的得2分，每负偏离一项扣0.5分。本评分项最低得0分。</w:t>
            </w:r>
          </w:p>
          <w:p w14:paraId="76F21F62">
            <w:pPr>
              <w:pStyle w:val="5"/>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color w:val="0000FF"/>
                <w:sz w:val="21"/>
                <w:szCs w:val="21"/>
                <w:highlight w:val="none"/>
              </w:rPr>
            </w:pPr>
            <w:r>
              <w:rPr>
                <w:rFonts w:hint="eastAsia" w:ascii="宋体" w:hAnsi="宋体" w:eastAsia="宋体" w:cs="宋体"/>
                <w:b w:val="0"/>
                <w:bCs w:val="0"/>
                <w:color w:val="0000FF"/>
                <w:kern w:val="0"/>
                <w:sz w:val="21"/>
                <w:szCs w:val="21"/>
                <w:highlight w:val="none"/>
                <w:lang w:val="en-US" w:eastAsia="zh-CN"/>
              </w:rPr>
              <w:t>注：①有划分细项的，按最低级序号为一个评分项；②投标人所填写的技术服务要求偏离情况必须与客观事实相一致，投标人响应不实且情节严重的，将被主管部门依法列为失信信息等法律后果。</w:t>
            </w:r>
          </w:p>
        </w:tc>
      </w:tr>
      <w:tr w14:paraId="6BA1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503A1F5">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3</w:t>
            </w:r>
          </w:p>
        </w:tc>
        <w:tc>
          <w:tcPr>
            <w:tcW w:w="2622" w:type="dxa"/>
            <w:gridSpan w:val="3"/>
            <w:vAlign w:val="center"/>
          </w:tcPr>
          <w:p w14:paraId="3CD79DD3">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eastAsia="zh-CN"/>
              </w:rPr>
            </w:pPr>
            <w:r>
              <w:rPr>
                <w:rFonts w:hint="eastAsia" w:ascii="宋体" w:hAnsi="宋体" w:eastAsia="宋体" w:cs="宋体"/>
                <w:b/>
                <w:color w:val="0000FF"/>
                <w:sz w:val="21"/>
                <w:szCs w:val="21"/>
                <w:highlight w:val="none"/>
                <w:lang w:val="en-US" w:eastAsia="zh-CN"/>
              </w:rPr>
              <w:t>综合实力</w:t>
            </w:r>
          </w:p>
        </w:tc>
        <w:tc>
          <w:tcPr>
            <w:tcW w:w="5881" w:type="dxa"/>
            <w:vAlign w:val="center"/>
          </w:tcPr>
          <w:p w14:paraId="01A7CDDA">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lang w:val="en-US" w:eastAsia="zh-CN"/>
              </w:rPr>
            </w:pPr>
            <w:r>
              <w:rPr>
                <w:rFonts w:hint="eastAsia" w:ascii="宋体" w:hAnsi="宋体" w:eastAsia="宋体" w:cs="宋体"/>
                <w:b/>
                <w:color w:val="0000FF"/>
                <w:sz w:val="21"/>
                <w:szCs w:val="21"/>
                <w:highlight w:val="none"/>
                <w:lang w:val="en-US" w:eastAsia="zh-CN"/>
              </w:rPr>
              <w:t>40</w:t>
            </w:r>
          </w:p>
        </w:tc>
      </w:tr>
      <w:tr w14:paraId="1358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2582BC46">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14:paraId="50CE8EDB">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14:paraId="006B4181">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14:paraId="6DE78E0B">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14:paraId="4DDD5C65">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14:paraId="490A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703DBC3">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14:paraId="70981F0C">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1</w:t>
            </w:r>
          </w:p>
        </w:tc>
        <w:tc>
          <w:tcPr>
            <w:tcW w:w="1232" w:type="dxa"/>
            <w:vAlign w:val="center"/>
          </w:tcPr>
          <w:p w14:paraId="5A911BCB">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投标人通过相关认证情况</w:t>
            </w:r>
          </w:p>
        </w:tc>
        <w:tc>
          <w:tcPr>
            <w:tcW w:w="739" w:type="dxa"/>
            <w:vAlign w:val="center"/>
          </w:tcPr>
          <w:p w14:paraId="212EDF88">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4</w:t>
            </w:r>
          </w:p>
        </w:tc>
        <w:tc>
          <w:tcPr>
            <w:tcW w:w="5881" w:type="dxa"/>
            <w:vAlign w:val="center"/>
          </w:tcPr>
          <w:p w14:paraId="2B07D80E">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val="en-US" w:eastAsia="zh-CN"/>
              </w:rPr>
            </w:pPr>
            <w:r>
              <w:rPr>
                <w:rFonts w:hint="eastAsia" w:ascii="宋体" w:hAnsi="宋体" w:cs="宋体"/>
                <w:color w:val="0000FF"/>
                <w:sz w:val="21"/>
                <w:szCs w:val="21"/>
                <w:lang w:eastAsia="zh-CN"/>
              </w:rPr>
              <w:t>（</w:t>
            </w:r>
            <w:r>
              <w:rPr>
                <w:rFonts w:hint="eastAsia" w:ascii="宋体" w:hAnsi="宋体" w:cs="宋体"/>
                <w:color w:val="0000FF"/>
                <w:sz w:val="21"/>
                <w:szCs w:val="21"/>
                <w:lang w:val="en-US" w:eastAsia="zh-CN"/>
              </w:rPr>
              <w:t>一</w:t>
            </w:r>
            <w:r>
              <w:rPr>
                <w:rFonts w:hint="eastAsia" w:ascii="宋体" w:hAnsi="宋体" w:cs="宋体"/>
                <w:color w:val="0000FF"/>
                <w:sz w:val="21"/>
                <w:szCs w:val="21"/>
                <w:lang w:eastAsia="zh-CN"/>
              </w:rPr>
              <w:t>）</w:t>
            </w:r>
            <w:r>
              <w:rPr>
                <w:rFonts w:hint="eastAsia" w:ascii="宋体" w:hAnsi="宋体" w:eastAsia="宋体" w:cs="宋体"/>
                <w:color w:val="0000FF"/>
                <w:sz w:val="21"/>
                <w:szCs w:val="21"/>
              </w:rPr>
              <w:t>评分内容：</w:t>
            </w:r>
          </w:p>
          <w:p w14:paraId="34B265BC">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1.</w:t>
            </w:r>
            <w:r>
              <w:rPr>
                <w:rFonts w:hint="eastAsia" w:ascii="宋体" w:hAnsi="宋体" w:eastAsia="宋体" w:cs="宋体"/>
                <w:color w:val="0000FF"/>
                <w:sz w:val="21"/>
                <w:szCs w:val="21"/>
                <w:lang w:eastAsia="zh-CN"/>
              </w:rPr>
              <w:t>具有</w:t>
            </w:r>
            <w:r>
              <w:rPr>
                <w:rFonts w:hint="eastAsia" w:ascii="宋体" w:hAnsi="宋体" w:eastAsia="宋体" w:cs="宋体"/>
                <w:color w:val="0000FF"/>
                <w:sz w:val="21"/>
                <w:szCs w:val="21"/>
              </w:rPr>
              <w:t>质量管理体系认证证书</w:t>
            </w:r>
            <w:r>
              <w:rPr>
                <w:rFonts w:hint="eastAsia" w:ascii="宋体" w:hAnsi="宋体" w:eastAsia="宋体" w:cs="宋体"/>
                <w:color w:val="0000FF"/>
                <w:sz w:val="21"/>
                <w:szCs w:val="21"/>
                <w:lang w:eastAsia="zh-CN"/>
              </w:rPr>
              <w:t>的，得</w:t>
            </w:r>
            <w:r>
              <w:rPr>
                <w:rFonts w:hint="eastAsia" w:ascii="宋体" w:hAnsi="宋体" w:eastAsia="宋体" w:cs="宋体"/>
                <w:color w:val="0000FF"/>
                <w:sz w:val="21"/>
                <w:szCs w:val="21"/>
                <w:lang w:val="en-US" w:eastAsia="zh-CN"/>
              </w:rPr>
              <w:t>2分</w:t>
            </w:r>
            <w:r>
              <w:rPr>
                <w:rFonts w:hint="eastAsia" w:ascii="宋体" w:hAnsi="宋体" w:eastAsia="宋体" w:cs="宋体"/>
                <w:color w:val="0000FF"/>
                <w:sz w:val="21"/>
                <w:szCs w:val="21"/>
                <w:lang w:eastAsia="zh-CN"/>
              </w:rPr>
              <w:t>；</w:t>
            </w:r>
          </w:p>
          <w:p w14:paraId="51D8939F">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2.</w:t>
            </w:r>
            <w:r>
              <w:rPr>
                <w:rFonts w:hint="eastAsia" w:ascii="宋体" w:hAnsi="宋体" w:eastAsia="宋体" w:cs="宋体"/>
                <w:color w:val="0000FF"/>
                <w:sz w:val="21"/>
                <w:szCs w:val="21"/>
                <w:lang w:eastAsia="zh-CN"/>
              </w:rPr>
              <w:t>具有生态环境相关的市级实验室或工程技术研究中心的，得</w:t>
            </w:r>
            <w:r>
              <w:rPr>
                <w:rFonts w:hint="eastAsia" w:ascii="宋体" w:hAnsi="宋体" w:eastAsia="宋体" w:cs="宋体"/>
                <w:color w:val="0000FF"/>
                <w:sz w:val="21"/>
                <w:szCs w:val="21"/>
                <w:lang w:val="en-US" w:eastAsia="zh-CN"/>
              </w:rPr>
              <w:t>1分；</w:t>
            </w:r>
            <w:r>
              <w:rPr>
                <w:rFonts w:hint="eastAsia" w:ascii="宋体" w:hAnsi="宋体" w:eastAsia="宋体" w:cs="宋体"/>
                <w:color w:val="0000FF"/>
                <w:sz w:val="21"/>
                <w:szCs w:val="21"/>
                <w:lang w:eastAsia="zh-CN"/>
              </w:rPr>
              <w:t>具有生态环境相关的省级（或以上）实验室或工程技术研究中心的，得</w:t>
            </w:r>
            <w:r>
              <w:rPr>
                <w:rFonts w:hint="eastAsia" w:ascii="宋体" w:hAnsi="宋体" w:eastAsia="宋体" w:cs="宋体"/>
                <w:color w:val="0000FF"/>
                <w:sz w:val="21"/>
                <w:szCs w:val="21"/>
                <w:lang w:val="en-US" w:eastAsia="zh-CN"/>
              </w:rPr>
              <w:t>2分；本小项最高2分</w:t>
            </w:r>
            <w:r>
              <w:rPr>
                <w:rFonts w:hint="eastAsia" w:ascii="宋体" w:hAnsi="宋体" w:eastAsia="宋体" w:cs="宋体"/>
                <w:color w:val="0000FF"/>
                <w:sz w:val="21"/>
                <w:szCs w:val="21"/>
                <w:lang w:eastAsia="zh-CN"/>
              </w:rPr>
              <w:t>。</w:t>
            </w:r>
          </w:p>
          <w:p w14:paraId="638035C6">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（二）评分依据：</w:t>
            </w:r>
          </w:p>
          <w:p w14:paraId="5FFC5AB3">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1.第1项</w:t>
            </w:r>
            <w:r>
              <w:rPr>
                <w:rFonts w:hint="eastAsia" w:ascii="宋体" w:hAnsi="宋体" w:eastAsia="宋体" w:cs="宋体"/>
                <w:color w:val="0000FF"/>
                <w:sz w:val="21"/>
                <w:szCs w:val="21"/>
              </w:rPr>
              <w:t>要求提供有效的认证证书</w:t>
            </w:r>
            <w:r>
              <w:rPr>
                <w:rFonts w:hint="eastAsia" w:ascii="宋体" w:hAnsi="宋体" w:eastAsia="宋体" w:cs="宋体"/>
                <w:color w:val="0000FF"/>
                <w:sz w:val="21"/>
                <w:szCs w:val="21"/>
                <w:lang w:val="en-US" w:eastAsia="zh-CN"/>
              </w:rPr>
              <w:t>及全国认证认可信息公共服务平台（http://cx.cnca.cn/）的证书查询记录</w:t>
            </w:r>
            <w:r>
              <w:rPr>
                <w:rFonts w:hint="eastAsia" w:ascii="宋体" w:hAnsi="宋体" w:eastAsia="宋体" w:cs="宋体"/>
                <w:color w:val="0000FF"/>
                <w:sz w:val="21"/>
                <w:szCs w:val="21"/>
              </w:rPr>
              <w:t>作为得分依据</w:t>
            </w:r>
            <w:r>
              <w:rPr>
                <w:rFonts w:hint="eastAsia" w:ascii="宋体" w:hAnsi="宋体" w:eastAsia="宋体" w:cs="宋体"/>
                <w:color w:val="0000FF"/>
                <w:sz w:val="21"/>
                <w:szCs w:val="21"/>
                <w:lang w:val="en-US" w:eastAsia="zh-CN"/>
              </w:rPr>
              <w:t>。认证证书在公开渠道无法查询的，需提供颁发机构的证明材料，证明证书真实有效</w:t>
            </w:r>
            <w:r>
              <w:rPr>
                <w:rFonts w:hint="eastAsia" w:ascii="宋体" w:hAnsi="宋体" w:eastAsia="宋体" w:cs="宋体"/>
                <w:color w:val="0000FF"/>
                <w:sz w:val="21"/>
                <w:szCs w:val="21"/>
                <w:lang w:eastAsia="zh-CN"/>
              </w:rPr>
              <w:t>，如投标人为新成立企业且成立时间不足3个月，或投标人处于该证书申请阶段尚未试运行的，提供加盖投标人公章的情况说明视为满足要求，给予对应分值；</w:t>
            </w:r>
            <w:r>
              <w:rPr>
                <w:rFonts w:hint="eastAsia" w:ascii="宋体" w:hAnsi="宋体" w:eastAsia="宋体" w:cs="宋体"/>
                <w:color w:val="0000FF"/>
                <w:sz w:val="21"/>
                <w:szCs w:val="21"/>
                <w:lang w:val="en-US" w:eastAsia="zh-CN"/>
              </w:rPr>
              <w:t>第2项要求提供官方公示文件复印件或证书复印件</w:t>
            </w:r>
            <w:r>
              <w:rPr>
                <w:rFonts w:hint="eastAsia" w:ascii="宋体" w:hAnsi="宋体" w:eastAsia="宋体" w:cs="宋体"/>
                <w:color w:val="0000FF"/>
                <w:sz w:val="21"/>
                <w:szCs w:val="21"/>
                <w:lang w:eastAsia="zh-CN"/>
              </w:rPr>
              <w:t>。</w:t>
            </w:r>
          </w:p>
          <w:p w14:paraId="61EAD446">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rPr>
              <w:t>评分中出现无证明资料或专家无法凭所提供资料判断是否得分的情况，一律作不得分处理。</w:t>
            </w:r>
          </w:p>
          <w:p w14:paraId="4AB515AB">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注：</w:t>
            </w:r>
          </w:p>
          <w:p w14:paraId="33DBB0BE">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1</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如证书颁发单位为相关行业协会（或学会）的，则需同时提供证书颁发单位在“中国社会组织政务服务平台”或“中国国家认证认可监督管理委员会”等合法查询渠道的的信息查询截图（截图需显示发证单位状态为正常）。</w:t>
            </w:r>
          </w:p>
          <w:p w14:paraId="16CB4D99">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0000FF"/>
                <w:sz w:val="21"/>
                <w:szCs w:val="21"/>
              </w:rPr>
            </w:pPr>
            <w:r>
              <w:rPr>
                <w:rFonts w:hint="eastAsia" w:ascii="宋体" w:hAnsi="宋体" w:eastAsia="宋体" w:cs="宋体"/>
                <w:color w:val="0000FF"/>
                <w:sz w:val="21"/>
                <w:szCs w:val="21"/>
              </w:rPr>
              <w:t>2</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如为《中华人民共和国境外非政府组织境内活动管理法》规定的“离岸社团”“山寨社团”，《取缔非法民间组织暂行办法》（民政部令第21号）规定的“非法社会组织”颁发的证书或出具的报告，均不得分。</w:t>
            </w:r>
          </w:p>
        </w:tc>
      </w:tr>
      <w:tr w14:paraId="4B3B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55B3C2EE">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136470F3">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2</w:t>
            </w:r>
          </w:p>
        </w:tc>
        <w:tc>
          <w:tcPr>
            <w:tcW w:w="1232" w:type="dxa"/>
            <w:vAlign w:val="center"/>
          </w:tcPr>
          <w:p w14:paraId="57F2DC18">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投标人同类项目业绩情况</w:t>
            </w:r>
          </w:p>
        </w:tc>
        <w:tc>
          <w:tcPr>
            <w:tcW w:w="739" w:type="dxa"/>
            <w:vAlign w:val="center"/>
          </w:tcPr>
          <w:p w14:paraId="3AF3363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5</w:t>
            </w:r>
          </w:p>
        </w:tc>
        <w:tc>
          <w:tcPr>
            <w:tcW w:w="5881" w:type="dxa"/>
            <w:vAlign w:val="center"/>
          </w:tcPr>
          <w:p w14:paraId="6A7893E2">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（一）评分内容：</w:t>
            </w:r>
          </w:p>
          <w:p w14:paraId="3B38AA1D">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投标人自</w:t>
            </w:r>
            <w:r>
              <w:rPr>
                <w:rFonts w:hint="eastAsia" w:ascii="宋体" w:hAnsi="宋体" w:cs="宋体"/>
                <w:color w:val="0000FF"/>
                <w:sz w:val="21"/>
                <w:szCs w:val="21"/>
                <w:lang w:eastAsia="zh-CN"/>
              </w:rPr>
              <w:t>20</w:t>
            </w:r>
            <w:r>
              <w:rPr>
                <w:rFonts w:hint="eastAsia" w:ascii="宋体" w:hAnsi="宋体" w:cs="宋体"/>
                <w:color w:val="0000FF"/>
                <w:sz w:val="21"/>
                <w:szCs w:val="21"/>
                <w:lang w:val="en-US" w:eastAsia="zh-CN"/>
              </w:rPr>
              <w:t>18</w:t>
            </w:r>
            <w:r>
              <w:rPr>
                <w:rFonts w:hint="eastAsia" w:ascii="宋体" w:hAnsi="宋体" w:cs="宋体"/>
                <w:color w:val="0000FF"/>
                <w:sz w:val="21"/>
                <w:szCs w:val="21"/>
                <w:lang w:eastAsia="zh-CN"/>
              </w:rPr>
              <w:t>年1月</w:t>
            </w:r>
            <w:r>
              <w:rPr>
                <w:rFonts w:hint="eastAsia" w:ascii="宋体" w:hAnsi="宋体" w:cs="宋体"/>
                <w:color w:val="0000FF"/>
                <w:sz w:val="21"/>
                <w:szCs w:val="21"/>
                <w:lang w:val="en-US" w:eastAsia="zh-CN"/>
              </w:rPr>
              <w:t>1日</w:t>
            </w:r>
            <w:r>
              <w:rPr>
                <w:rFonts w:hint="eastAsia" w:ascii="宋体" w:hAnsi="宋体" w:cs="宋体"/>
                <w:color w:val="0000FF"/>
                <w:sz w:val="21"/>
                <w:szCs w:val="21"/>
                <w:lang w:eastAsia="zh-CN"/>
              </w:rPr>
              <w:t>至本项目投标截止之日（以合同签订日期为准）承担过市级（或以上）国家机关</w:t>
            </w:r>
            <w:r>
              <w:rPr>
                <w:rFonts w:hint="eastAsia" w:ascii="宋体" w:hAnsi="宋体" w:cs="宋体"/>
                <w:color w:val="0000FF"/>
                <w:sz w:val="21"/>
                <w:szCs w:val="21"/>
                <w:lang w:val="en-US" w:eastAsia="zh-CN"/>
              </w:rPr>
              <w:t>或</w:t>
            </w:r>
            <w:r>
              <w:rPr>
                <w:rFonts w:hint="eastAsia" w:ascii="宋体" w:hAnsi="宋体" w:cs="宋体"/>
                <w:color w:val="0000FF"/>
                <w:sz w:val="21"/>
                <w:szCs w:val="21"/>
                <w:lang w:eastAsia="zh-CN"/>
              </w:rPr>
              <w:t>事业单位委托的生态环境科技创新类项目的，每</w:t>
            </w:r>
            <w:r>
              <w:rPr>
                <w:rFonts w:hint="eastAsia" w:ascii="宋体" w:hAnsi="宋体" w:cs="宋体"/>
                <w:color w:val="0000FF"/>
                <w:sz w:val="21"/>
                <w:szCs w:val="21"/>
                <w:lang w:val="en-US" w:eastAsia="zh-CN"/>
              </w:rPr>
              <w:t>1个得1分；承担过</w:t>
            </w:r>
            <w:r>
              <w:rPr>
                <w:rFonts w:hint="eastAsia" w:ascii="宋体" w:hAnsi="宋体" w:cs="宋体"/>
                <w:color w:val="0000FF"/>
                <w:sz w:val="21"/>
                <w:szCs w:val="21"/>
                <w:lang w:eastAsia="zh-CN"/>
              </w:rPr>
              <w:t>生态环境相关市级（或以上）科技计划项目或重点研发计划项目的，每</w:t>
            </w:r>
            <w:r>
              <w:rPr>
                <w:rFonts w:hint="eastAsia" w:ascii="宋体" w:hAnsi="宋体" w:cs="宋体"/>
                <w:color w:val="0000FF"/>
                <w:sz w:val="21"/>
                <w:szCs w:val="21"/>
                <w:lang w:val="en-US" w:eastAsia="zh-CN"/>
              </w:rPr>
              <w:t>1个</w:t>
            </w:r>
            <w:r>
              <w:rPr>
                <w:rFonts w:hint="eastAsia" w:ascii="宋体" w:hAnsi="宋体" w:cs="宋体"/>
                <w:color w:val="0000FF"/>
                <w:sz w:val="21"/>
                <w:szCs w:val="21"/>
                <w:lang w:eastAsia="zh-CN"/>
              </w:rPr>
              <w:t>得</w:t>
            </w:r>
            <w:r>
              <w:rPr>
                <w:rFonts w:hint="eastAsia" w:ascii="宋体" w:hAnsi="宋体" w:cs="宋体"/>
                <w:color w:val="0000FF"/>
                <w:sz w:val="21"/>
                <w:szCs w:val="21"/>
                <w:lang w:val="en-US" w:eastAsia="zh-CN"/>
              </w:rPr>
              <w:t>2.5分；此项最高得5分。</w:t>
            </w:r>
          </w:p>
          <w:p w14:paraId="249F985D">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（二）评分依据：</w:t>
            </w:r>
          </w:p>
          <w:p w14:paraId="737CB0B7">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1.要求同时提供合同关键信息（含签订合同双方的单位名称、合同项目名称、服务内容与含签订合同双方的落款盖章、签订日期的关键信息）作为得分依据。通过合同关键信息无法判断是否得分的，还须同时提供能证明得分的其它证明资料，如项目报告或合同甲方出具的证明文件等。</w:t>
            </w:r>
          </w:p>
          <w:p w14:paraId="78E357EF">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val="en-US" w:eastAsia="zh-CN"/>
              </w:rPr>
              <w:t>2</w:t>
            </w:r>
            <w:r>
              <w:rPr>
                <w:rFonts w:hint="eastAsia" w:ascii="宋体" w:hAnsi="宋体" w:cs="宋体"/>
                <w:color w:val="0000FF"/>
                <w:sz w:val="21"/>
                <w:szCs w:val="21"/>
                <w:lang w:eastAsia="zh-CN"/>
              </w:rPr>
              <w:t>.以上资料均要求提供复印件。评分中出现无证明资料或专家无法凭所提供资料判断是否得分的情况，一律作不得分处理。</w:t>
            </w:r>
          </w:p>
        </w:tc>
      </w:tr>
      <w:tr w14:paraId="50F3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01E3065F">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3C5A0EC0">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3</w:t>
            </w:r>
          </w:p>
        </w:tc>
        <w:tc>
          <w:tcPr>
            <w:tcW w:w="1232" w:type="dxa"/>
            <w:vAlign w:val="center"/>
          </w:tcPr>
          <w:p w14:paraId="732B55B9">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投标人获奖情况</w:t>
            </w:r>
          </w:p>
        </w:tc>
        <w:tc>
          <w:tcPr>
            <w:tcW w:w="739" w:type="dxa"/>
            <w:vAlign w:val="center"/>
          </w:tcPr>
          <w:p w14:paraId="471CA589">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5</w:t>
            </w:r>
          </w:p>
        </w:tc>
        <w:tc>
          <w:tcPr>
            <w:tcW w:w="5881" w:type="dxa"/>
            <w:vAlign w:val="center"/>
          </w:tcPr>
          <w:p w14:paraId="2029A3C2">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（一）评分内容：</w:t>
            </w:r>
          </w:p>
          <w:p w14:paraId="62FB7176">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每提供</w:t>
            </w:r>
            <w:r>
              <w:rPr>
                <w:rFonts w:hint="eastAsia" w:ascii="宋体" w:hAnsi="宋体" w:cs="宋体"/>
                <w:color w:val="0000FF"/>
                <w:sz w:val="21"/>
                <w:szCs w:val="21"/>
                <w:lang w:val="en-US" w:eastAsia="zh-CN"/>
              </w:rPr>
              <w:t>1</w:t>
            </w:r>
            <w:r>
              <w:rPr>
                <w:rFonts w:hint="eastAsia" w:ascii="宋体" w:hAnsi="宋体" w:cs="宋体"/>
                <w:color w:val="0000FF"/>
                <w:sz w:val="21"/>
                <w:szCs w:val="21"/>
                <w:lang w:eastAsia="zh-CN"/>
              </w:rPr>
              <w:t>个地市级科学技术</w:t>
            </w:r>
            <w:r>
              <w:rPr>
                <w:rFonts w:hint="eastAsia" w:ascii="宋体" w:hAnsi="宋体" w:cs="宋体"/>
                <w:color w:val="0000FF"/>
                <w:sz w:val="21"/>
                <w:szCs w:val="21"/>
                <w:lang w:val="en-US" w:eastAsia="zh-CN"/>
              </w:rPr>
              <w:t>或</w:t>
            </w:r>
            <w:r>
              <w:rPr>
                <w:rFonts w:hint="eastAsia" w:ascii="宋体" w:hAnsi="宋体" w:cs="宋体"/>
                <w:color w:val="0000FF"/>
                <w:sz w:val="21"/>
                <w:szCs w:val="21"/>
                <w:lang w:eastAsia="zh-CN"/>
              </w:rPr>
              <w:t>科技成果</w:t>
            </w:r>
            <w:r>
              <w:rPr>
                <w:rFonts w:hint="eastAsia" w:ascii="宋体" w:hAnsi="宋体" w:cs="宋体"/>
                <w:color w:val="0000FF"/>
                <w:sz w:val="21"/>
                <w:szCs w:val="21"/>
                <w:lang w:val="en-US" w:eastAsia="zh-CN"/>
              </w:rPr>
              <w:t>或</w:t>
            </w:r>
            <w:r>
              <w:rPr>
                <w:rFonts w:hint="eastAsia" w:ascii="宋体" w:hAnsi="宋体" w:cs="宋体"/>
                <w:color w:val="0000FF"/>
                <w:sz w:val="21"/>
                <w:szCs w:val="21"/>
                <w:lang w:eastAsia="zh-CN"/>
              </w:rPr>
              <w:t>产学研合作创新奖项的，得</w:t>
            </w:r>
            <w:r>
              <w:rPr>
                <w:rFonts w:hint="eastAsia" w:ascii="宋体" w:hAnsi="宋体" w:cs="宋体"/>
                <w:color w:val="0000FF"/>
                <w:sz w:val="21"/>
                <w:szCs w:val="21"/>
                <w:lang w:val="en-US" w:eastAsia="zh-CN"/>
              </w:rPr>
              <w:t>1</w:t>
            </w:r>
            <w:r>
              <w:rPr>
                <w:rFonts w:hint="eastAsia" w:ascii="宋体" w:hAnsi="宋体" w:cs="宋体"/>
                <w:color w:val="0000FF"/>
                <w:sz w:val="21"/>
                <w:szCs w:val="21"/>
                <w:lang w:eastAsia="zh-CN"/>
              </w:rPr>
              <w:t>分；每提供</w:t>
            </w:r>
            <w:r>
              <w:rPr>
                <w:rFonts w:hint="eastAsia" w:ascii="宋体" w:hAnsi="宋体" w:cs="宋体"/>
                <w:color w:val="0000FF"/>
                <w:sz w:val="21"/>
                <w:szCs w:val="21"/>
                <w:lang w:val="en-US" w:eastAsia="zh-CN"/>
              </w:rPr>
              <w:t>1</w:t>
            </w:r>
            <w:r>
              <w:rPr>
                <w:rFonts w:hint="eastAsia" w:ascii="宋体" w:hAnsi="宋体" w:cs="宋体"/>
                <w:color w:val="0000FF"/>
                <w:sz w:val="21"/>
                <w:szCs w:val="21"/>
                <w:lang w:eastAsia="zh-CN"/>
              </w:rPr>
              <w:t>个省部级或以上环境保护科学技术奖</w:t>
            </w:r>
            <w:r>
              <w:rPr>
                <w:rFonts w:hint="eastAsia" w:ascii="宋体" w:hAnsi="宋体" w:cs="宋体"/>
                <w:color w:val="0000FF"/>
                <w:sz w:val="21"/>
                <w:szCs w:val="21"/>
                <w:lang w:val="en-US" w:eastAsia="zh-CN"/>
              </w:rPr>
              <w:t>或</w:t>
            </w:r>
            <w:r>
              <w:rPr>
                <w:rFonts w:hint="eastAsia" w:ascii="宋体" w:hAnsi="宋体" w:cs="宋体"/>
                <w:color w:val="0000FF"/>
                <w:sz w:val="21"/>
                <w:szCs w:val="21"/>
                <w:lang w:eastAsia="zh-CN"/>
              </w:rPr>
              <w:t>科技成果</w:t>
            </w:r>
            <w:r>
              <w:rPr>
                <w:rFonts w:hint="eastAsia" w:ascii="宋体" w:hAnsi="宋体" w:cs="宋体"/>
                <w:color w:val="0000FF"/>
                <w:sz w:val="21"/>
                <w:szCs w:val="21"/>
                <w:lang w:val="en-US" w:eastAsia="zh-CN"/>
              </w:rPr>
              <w:t>或</w:t>
            </w:r>
            <w:r>
              <w:rPr>
                <w:rFonts w:hint="eastAsia" w:ascii="宋体" w:hAnsi="宋体" w:cs="宋体"/>
                <w:color w:val="0000FF"/>
                <w:sz w:val="21"/>
                <w:szCs w:val="21"/>
                <w:lang w:eastAsia="zh-CN"/>
              </w:rPr>
              <w:t>产学研合作创新等奖项的，</w:t>
            </w:r>
            <w:r>
              <w:rPr>
                <w:rFonts w:hint="eastAsia" w:ascii="宋体" w:hAnsi="宋体" w:cs="宋体"/>
                <w:color w:val="0000FF"/>
                <w:sz w:val="21"/>
                <w:szCs w:val="21"/>
                <w:lang w:val="en-US" w:eastAsia="zh-CN"/>
              </w:rPr>
              <w:t>得2.5分；</w:t>
            </w:r>
            <w:r>
              <w:rPr>
                <w:rFonts w:hint="eastAsia" w:ascii="宋体" w:hAnsi="宋体" w:cs="宋体"/>
                <w:color w:val="0000FF"/>
                <w:sz w:val="21"/>
                <w:szCs w:val="21"/>
                <w:lang w:eastAsia="zh-CN"/>
              </w:rPr>
              <w:t>本项</w:t>
            </w:r>
            <w:r>
              <w:rPr>
                <w:rFonts w:hint="eastAsia" w:ascii="宋体" w:hAnsi="宋体" w:cs="宋体"/>
                <w:color w:val="0000FF"/>
                <w:sz w:val="21"/>
                <w:szCs w:val="21"/>
                <w:lang w:val="en-US" w:eastAsia="zh-CN"/>
              </w:rPr>
              <w:t>最高</w:t>
            </w:r>
            <w:r>
              <w:rPr>
                <w:rFonts w:hint="eastAsia" w:ascii="宋体" w:hAnsi="宋体" w:cs="宋体"/>
                <w:color w:val="0000FF"/>
                <w:sz w:val="21"/>
                <w:szCs w:val="21"/>
                <w:lang w:eastAsia="zh-CN"/>
              </w:rPr>
              <w:t>得</w:t>
            </w:r>
            <w:r>
              <w:rPr>
                <w:rFonts w:hint="eastAsia" w:ascii="宋体" w:hAnsi="宋体" w:cs="宋体"/>
                <w:color w:val="0000FF"/>
                <w:sz w:val="21"/>
                <w:szCs w:val="21"/>
                <w:lang w:val="en-US" w:eastAsia="zh-CN"/>
              </w:rPr>
              <w:t>5</w:t>
            </w:r>
            <w:r>
              <w:rPr>
                <w:rFonts w:hint="eastAsia" w:ascii="宋体" w:hAnsi="宋体" w:cs="宋体"/>
                <w:color w:val="0000FF"/>
                <w:sz w:val="21"/>
                <w:szCs w:val="21"/>
                <w:lang w:eastAsia="zh-CN"/>
              </w:rPr>
              <w:t>分。</w:t>
            </w:r>
          </w:p>
          <w:p w14:paraId="2AD1E9D0">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（二）评分依据：</w:t>
            </w:r>
          </w:p>
          <w:p w14:paraId="7044A50E">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1.要求提供奖项照片或获奖（荣誉）证书等证明材料作为得分依据。</w:t>
            </w:r>
          </w:p>
          <w:p w14:paraId="210C9DE0">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2.以上资料均要求提供</w:t>
            </w:r>
            <w:r>
              <w:rPr>
                <w:rFonts w:hint="eastAsia" w:ascii="宋体" w:hAnsi="宋体" w:cs="宋体"/>
                <w:color w:val="0000FF"/>
                <w:sz w:val="21"/>
                <w:szCs w:val="21"/>
                <w:lang w:val="en-US" w:eastAsia="zh-CN"/>
              </w:rPr>
              <w:t>复印件</w:t>
            </w:r>
            <w:r>
              <w:rPr>
                <w:rFonts w:hint="eastAsia" w:ascii="宋体" w:hAnsi="宋体" w:cs="宋体"/>
                <w:color w:val="0000FF"/>
                <w:sz w:val="21"/>
                <w:szCs w:val="21"/>
                <w:lang w:eastAsia="zh-CN"/>
              </w:rPr>
              <w:t>。评分中出现无证明资料或专家无法凭所提供资料判断是否得分的情况，一律作不得分处理。</w:t>
            </w:r>
          </w:p>
          <w:p w14:paraId="456D67E2">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val="en-US" w:eastAsia="zh-CN"/>
              </w:rPr>
              <w:t>注：国家级奖项要求奖项颁发单位为国务院、国家部委（或奖励委员会）；省级奖项要求奖项颁发单位为省（自治区、直辖市）人民政府（或行业主管行政机关）；市级奖项要求奖项颁发单位为地级市人民政府（或行业主管行政机关）。</w:t>
            </w:r>
          </w:p>
        </w:tc>
      </w:tr>
      <w:tr w14:paraId="6EB9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7D3639C">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3CF411E6">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4</w:t>
            </w:r>
          </w:p>
        </w:tc>
        <w:tc>
          <w:tcPr>
            <w:tcW w:w="1232" w:type="dxa"/>
            <w:vAlign w:val="center"/>
          </w:tcPr>
          <w:p w14:paraId="79F01FE1">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拟安排的项目负责人情况（仅限一人）</w:t>
            </w:r>
          </w:p>
        </w:tc>
        <w:tc>
          <w:tcPr>
            <w:tcW w:w="739" w:type="dxa"/>
            <w:vAlign w:val="center"/>
          </w:tcPr>
          <w:p w14:paraId="1B6A4A1A">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5</w:t>
            </w:r>
          </w:p>
        </w:tc>
        <w:tc>
          <w:tcPr>
            <w:tcW w:w="5881" w:type="dxa"/>
            <w:vAlign w:val="center"/>
          </w:tcPr>
          <w:p w14:paraId="5D8CFCE7">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（一）评分内容：</w:t>
            </w:r>
          </w:p>
          <w:p w14:paraId="4E54F9A9">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eastAsia="zh-CN"/>
              </w:rPr>
              <w:t>1.具有本科学历的，得</w:t>
            </w:r>
            <w:r>
              <w:rPr>
                <w:rFonts w:hint="eastAsia" w:ascii="宋体" w:hAnsi="宋体" w:cs="宋体"/>
                <w:color w:val="0000FF"/>
                <w:sz w:val="21"/>
                <w:szCs w:val="21"/>
                <w:lang w:val="en-US" w:eastAsia="zh-CN"/>
              </w:rPr>
              <w:t>0.5</w:t>
            </w:r>
            <w:r>
              <w:rPr>
                <w:rFonts w:hint="eastAsia" w:ascii="宋体" w:hAnsi="宋体" w:cs="宋体"/>
                <w:color w:val="0000FF"/>
                <w:sz w:val="21"/>
                <w:szCs w:val="21"/>
                <w:lang w:eastAsia="zh-CN"/>
              </w:rPr>
              <w:t>分；具有硕士</w:t>
            </w:r>
            <w:r>
              <w:rPr>
                <w:rFonts w:hint="eastAsia" w:ascii="宋体" w:hAnsi="宋体" w:cs="宋体"/>
                <w:color w:val="0000FF"/>
                <w:sz w:val="21"/>
                <w:szCs w:val="21"/>
                <w:lang w:val="en-US" w:eastAsia="zh-CN"/>
              </w:rPr>
              <w:t>研究生</w:t>
            </w:r>
            <w:r>
              <w:rPr>
                <w:rFonts w:hint="eastAsia" w:ascii="宋体" w:hAnsi="宋体" w:cs="宋体"/>
                <w:color w:val="0000FF"/>
                <w:sz w:val="21"/>
                <w:szCs w:val="21"/>
                <w:lang w:eastAsia="zh-CN"/>
              </w:rPr>
              <w:t>学历的，得</w:t>
            </w:r>
            <w:r>
              <w:rPr>
                <w:rFonts w:hint="eastAsia" w:ascii="宋体" w:hAnsi="宋体" w:cs="宋体"/>
                <w:color w:val="0000FF"/>
                <w:sz w:val="21"/>
                <w:szCs w:val="21"/>
                <w:lang w:val="en-US" w:eastAsia="zh-CN"/>
              </w:rPr>
              <w:t>1分；具有博士研究生学历的，得2分</w:t>
            </w:r>
            <w:r>
              <w:rPr>
                <w:rFonts w:hint="eastAsia" w:ascii="宋体" w:hAnsi="宋体" w:cs="宋体"/>
                <w:color w:val="0000FF"/>
                <w:sz w:val="21"/>
                <w:szCs w:val="21"/>
                <w:lang w:eastAsia="zh-CN"/>
              </w:rPr>
              <w:t>；</w:t>
            </w:r>
            <w:r>
              <w:rPr>
                <w:rFonts w:hint="eastAsia" w:ascii="宋体" w:hAnsi="宋体" w:cs="宋体"/>
                <w:color w:val="0000FF"/>
                <w:sz w:val="21"/>
                <w:szCs w:val="21"/>
                <w:lang w:val="en-US" w:eastAsia="zh-CN"/>
              </w:rPr>
              <w:t>此小项最高得2分。</w:t>
            </w:r>
          </w:p>
          <w:p w14:paraId="1D67581B">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2.负责过市级或以上科技计划项目的，得1.5分。</w:t>
            </w:r>
          </w:p>
          <w:p w14:paraId="79468C28">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3.以主要作者（排名第一）发表科创或创新创业或环境科技相关论文的，每1篇得0.75分，此小项最高得1.5分。</w:t>
            </w:r>
          </w:p>
          <w:p w14:paraId="28BFE23F">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（二）评分依据：</w:t>
            </w:r>
          </w:p>
          <w:p w14:paraId="0E9D9F43">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1.</w:t>
            </w:r>
            <w:r>
              <w:rPr>
                <w:rFonts w:hint="eastAsia" w:ascii="宋体" w:hAnsi="宋体" w:cs="宋体"/>
                <w:color w:val="0000FF"/>
                <w:sz w:val="21"/>
                <w:szCs w:val="21"/>
                <w:lang w:val="en-US" w:eastAsia="zh-CN"/>
              </w:rPr>
              <w:t>第1项要求提供毕业证书复印件，第2项</w:t>
            </w:r>
            <w:r>
              <w:rPr>
                <w:rFonts w:hint="eastAsia" w:ascii="宋体" w:hAnsi="宋体" w:cs="宋体"/>
                <w:color w:val="0000FF"/>
                <w:sz w:val="21"/>
                <w:szCs w:val="21"/>
                <w:lang w:eastAsia="zh-CN"/>
              </w:rPr>
              <w:t>要求提供项目合同关键信息（关键信息包含但不限于合同封面、服务内容页、服务人员页、双方盖章页）作为得分依据，通过合同关键信息无法判断是否得分的，还须同时提供合同甲方出具的证明文件，</w:t>
            </w:r>
            <w:r>
              <w:rPr>
                <w:rFonts w:hint="eastAsia" w:ascii="宋体" w:hAnsi="宋体" w:cs="宋体"/>
                <w:color w:val="0000FF"/>
                <w:sz w:val="21"/>
                <w:szCs w:val="21"/>
                <w:lang w:val="en-US" w:eastAsia="zh-CN"/>
              </w:rPr>
              <w:t>第3项要求提供</w:t>
            </w:r>
            <w:r>
              <w:rPr>
                <w:rFonts w:hint="eastAsia" w:ascii="宋体" w:hAnsi="宋体" w:cs="宋体"/>
                <w:color w:val="0000FF"/>
                <w:sz w:val="21"/>
                <w:szCs w:val="21"/>
                <w:lang w:eastAsia="zh-CN"/>
              </w:rPr>
              <w:t>论文关键页，</w:t>
            </w:r>
            <w:r>
              <w:rPr>
                <w:rFonts w:hint="eastAsia" w:ascii="宋体" w:hAnsi="宋体" w:cs="宋体"/>
                <w:color w:val="0000FF"/>
                <w:sz w:val="21"/>
                <w:szCs w:val="21"/>
                <w:lang w:val="en-US" w:eastAsia="zh-CN"/>
              </w:rPr>
              <w:t>需体现项目负责人姓名</w:t>
            </w:r>
            <w:r>
              <w:rPr>
                <w:rFonts w:hint="eastAsia" w:ascii="宋体" w:hAnsi="宋体" w:cs="宋体"/>
                <w:color w:val="0000FF"/>
                <w:sz w:val="21"/>
                <w:szCs w:val="21"/>
                <w:lang w:eastAsia="zh-CN"/>
              </w:rPr>
              <w:t>。</w:t>
            </w:r>
          </w:p>
          <w:p w14:paraId="33A4FAF6">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val="en-US" w:eastAsia="zh-CN"/>
              </w:rPr>
              <w:t>2.提供</w:t>
            </w:r>
            <w:r>
              <w:rPr>
                <w:rFonts w:hint="eastAsia" w:ascii="宋体" w:hAnsi="宋体" w:cs="宋体"/>
                <w:color w:val="0000FF"/>
                <w:sz w:val="21"/>
                <w:szCs w:val="21"/>
                <w:lang w:eastAsia="zh-CN"/>
              </w:rPr>
              <w:t>项目负责人最近一个月的社会保险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AC08F89">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val="en-US" w:eastAsia="zh-CN"/>
              </w:rPr>
              <w:t>3.</w:t>
            </w:r>
            <w:r>
              <w:rPr>
                <w:rFonts w:hint="eastAsia" w:ascii="宋体" w:hAnsi="宋体" w:cs="宋体"/>
                <w:color w:val="0000FF"/>
                <w:sz w:val="21"/>
                <w:szCs w:val="21"/>
                <w:lang w:eastAsia="zh-CN"/>
              </w:rPr>
              <w:t>以上资料均要求提供</w:t>
            </w:r>
            <w:r>
              <w:rPr>
                <w:rFonts w:hint="eastAsia" w:ascii="宋体" w:hAnsi="宋体" w:cs="宋体"/>
                <w:color w:val="0000FF"/>
                <w:sz w:val="21"/>
                <w:szCs w:val="21"/>
                <w:lang w:val="en-US" w:eastAsia="zh-CN"/>
              </w:rPr>
              <w:t>复印件</w:t>
            </w:r>
            <w:r>
              <w:rPr>
                <w:rFonts w:hint="eastAsia" w:ascii="宋体" w:hAnsi="宋体" w:cs="宋体"/>
                <w:color w:val="0000FF"/>
                <w:sz w:val="21"/>
                <w:szCs w:val="21"/>
                <w:lang w:eastAsia="zh-CN"/>
              </w:rPr>
              <w:t>。评分中出现无证明资料或专家无法凭所提供资料判断是否得分的情况，一律作不得分处理。</w:t>
            </w:r>
          </w:p>
        </w:tc>
      </w:tr>
      <w:tr w14:paraId="39BE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65007E65">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01FD1BD7">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5</w:t>
            </w:r>
          </w:p>
        </w:tc>
        <w:tc>
          <w:tcPr>
            <w:tcW w:w="1232" w:type="dxa"/>
            <w:vAlign w:val="center"/>
          </w:tcPr>
          <w:p w14:paraId="6673588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拟安排的项目主要团队成员（主要技术人员）情况（项目负责人除外）</w:t>
            </w:r>
          </w:p>
        </w:tc>
        <w:tc>
          <w:tcPr>
            <w:tcW w:w="739" w:type="dxa"/>
            <w:vAlign w:val="center"/>
          </w:tcPr>
          <w:p w14:paraId="314A3E45">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12</w:t>
            </w:r>
          </w:p>
        </w:tc>
        <w:tc>
          <w:tcPr>
            <w:tcW w:w="5881" w:type="dxa"/>
            <w:vAlign w:val="center"/>
          </w:tcPr>
          <w:p w14:paraId="6AFEA00F">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（一）评分内容：</w:t>
            </w:r>
          </w:p>
          <w:p w14:paraId="5384480A">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1.团队中配备有生态环境相关专业正高级（教授或研究员）职称的得3分；配备有生态环境相关专业副高级（副教授或副研究员）职称的得1分；配备有生态环境相关专业中级（讲师或助理研究员）职称的得0.5分；本小项最高得3分。</w:t>
            </w:r>
          </w:p>
          <w:p w14:paraId="7B976090">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2.团队中每配备有1名生态环境相关专业博士学位的得2分；每配备有1名有生态环境相关专业硕士学位的得0.5分；本小项最高得4分。</w:t>
            </w:r>
          </w:p>
          <w:p w14:paraId="477399C2">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3.团队中配备有咨询工程师（投资）证书的，得2分。</w:t>
            </w:r>
          </w:p>
          <w:p w14:paraId="41F121B8">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4.团队中配备有以主要作者（排名第一或通讯作者）发表生态环境相关SCI论文的，得3分。</w:t>
            </w:r>
          </w:p>
          <w:p w14:paraId="402431CC">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同一人满足以上多项要求的不可重复得分，只计最高得分。</w:t>
            </w:r>
          </w:p>
          <w:p w14:paraId="682C9D36">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（二）评分依据：</w:t>
            </w:r>
          </w:p>
          <w:p w14:paraId="39F05617">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1.</w:t>
            </w:r>
            <w:r>
              <w:rPr>
                <w:rFonts w:hint="eastAsia" w:ascii="宋体" w:hAnsi="宋体" w:cs="宋体"/>
                <w:color w:val="0000FF"/>
                <w:sz w:val="21"/>
                <w:szCs w:val="21"/>
                <w:lang w:val="en-US" w:eastAsia="zh-CN"/>
              </w:rPr>
              <w:t>第1项</w:t>
            </w:r>
            <w:r>
              <w:rPr>
                <w:rFonts w:hint="eastAsia" w:ascii="宋体" w:hAnsi="宋体" w:cs="宋体"/>
                <w:color w:val="0000FF"/>
                <w:sz w:val="21"/>
                <w:szCs w:val="21"/>
                <w:lang w:eastAsia="zh-CN"/>
              </w:rPr>
              <w:t>要求提供</w:t>
            </w:r>
            <w:r>
              <w:rPr>
                <w:rFonts w:hint="eastAsia" w:ascii="宋体" w:hAnsi="宋体" w:cs="宋体"/>
                <w:color w:val="0000FF"/>
                <w:sz w:val="21"/>
                <w:szCs w:val="21"/>
                <w:lang w:val="en-US" w:eastAsia="zh-CN"/>
              </w:rPr>
              <w:t>职称证书，第2项要求提供学位证书，第3项要求提供咨询工程师（投资）证书，第4项要求提供</w:t>
            </w:r>
            <w:r>
              <w:rPr>
                <w:rFonts w:hint="eastAsia" w:ascii="宋体" w:hAnsi="宋体" w:cs="宋体"/>
                <w:color w:val="0000FF"/>
                <w:sz w:val="21"/>
                <w:szCs w:val="21"/>
                <w:lang w:eastAsia="zh-CN"/>
              </w:rPr>
              <w:t>论文关键页</w:t>
            </w:r>
            <w:r>
              <w:rPr>
                <w:rFonts w:hint="eastAsia" w:ascii="宋体" w:hAnsi="宋体" w:cs="宋体"/>
                <w:color w:val="0000FF"/>
                <w:sz w:val="21"/>
                <w:szCs w:val="21"/>
                <w:lang w:val="en-US" w:eastAsia="zh-CN"/>
              </w:rPr>
              <w:t>复印件</w:t>
            </w:r>
            <w:r>
              <w:rPr>
                <w:rFonts w:hint="eastAsia" w:ascii="宋体" w:hAnsi="宋体" w:cs="宋体"/>
                <w:color w:val="0000FF"/>
                <w:sz w:val="21"/>
                <w:szCs w:val="21"/>
                <w:lang w:eastAsia="zh-CN"/>
              </w:rPr>
              <w:t>，</w:t>
            </w:r>
            <w:r>
              <w:rPr>
                <w:rFonts w:hint="eastAsia" w:ascii="宋体" w:hAnsi="宋体" w:cs="宋体"/>
                <w:color w:val="0000FF"/>
                <w:sz w:val="21"/>
                <w:szCs w:val="21"/>
                <w:lang w:val="en-US" w:eastAsia="zh-CN"/>
              </w:rPr>
              <w:t>需体现项目团队成员姓名</w:t>
            </w:r>
            <w:r>
              <w:rPr>
                <w:rFonts w:hint="eastAsia" w:ascii="宋体" w:hAnsi="宋体" w:cs="宋体"/>
                <w:color w:val="0000FF"/>
                <w:sz w:val="21"/>
                <w:szCs w:val="21"/>
                <w:lang w:eastAsia="zh-CN"/>
              </w:rPr>
              <w:t>。</w:t>
            </w:r>
          </w:p>
          <w:p w14:paraId="57D9E5E3">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2.</w:t>
            </w:r>
            <w:r>
              <w:rPr>
                <w:rFonts w:hint="eastAsia" w:ascii="宋体" w:hAnsi="宋体" w:cs="宋体"/>
                <w:color w:val="0000FF"/>
                <w:sz w:val="21"/>
                <w:szCs w:val="21"/>
                <w:lang w:val="en-US" w:eastAsia="zh-CN"/>
              </w:rPr>
              <w:t>提供</w:t>
            </w:r>
            <w:r>
              <w:rPr>
                <w:rFonts w:hint="eastAsia" w:ascii="宋体" w:hAnsi="宋体" w:cs="宋体"/>
                <w:color w:val="0000FF"/>
                <w:sz w:val="21"/>
                <w:szCs w:val="21"/>
                <w:lang w:eastAsia="zh-CN"/>
              </w:rPr>
              <w:t>项目主要团队成员最近一个月的社会保险证明。</w:t>
            </w:r>
          </w:p>
          <w:p w14:paraId="5AFA6EC7">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0CA5D7C1">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3.以上资料均要求提供</w:t>
            </w:r>
            <w:r>
              <w:rPr>
                <w:rFonts w:hint="eastAsia" w:ascii="宋体" w:hAnsi="宋体" w:cs="宋体"/>
                <w:color w:val="0000FF"/>
                <w:sz w:val="21"/>
                <w:szCs w:val="21"/>
                <w:lang w:val="en-US" w:eastAsia="zh-CN"/>
              </w:rPr>
              <w:t>复印件</w:t>
            </w:r>
            <w:r>
              <w:rPr>
                <w:rFonts w:hint="eastAsia" w:ascii="宋体" w:hAnsi="宋体" w:cs="宋体"/>
                <w:color w:val="0000FF"/>
                <w:sz w:val="21"/>
                <w:szCs w:val="21"/>
                <w:lang w:eastAsia="zh-CN"/>
              </w:rPr>
              <w:t>。评分中出现无证明资料或专家无法凭所提供资料判断是否得分的情况，一律作不得分处理。</w:t>
            </w:r>
          </w:p>
        </w:tc>
      </w:tr>
      <w:tr w14:paraId="4D00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B5E0E68">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3AAE3FEB">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6</w:t>
            </w:r>
          </w:p>
        </w:tc>
        <w:tc>
          <w:tcPr>
            <w:tcW w:w="1232" w:type="dxa"/>
            <w:vAlign w:val="center"/>
          </w:tcPr>
          <w:p w14:paraId="1B1E5386">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投标人自主知识产权产品（创新、设计）情况</w:t>
            </w:r>
          </w:p>
        </w:tc>
        <w:tc>
          <w:tcPr>
            <w:tcW w:w="739" w:type="dxa"/>
            <w:vAlign w:val="center"/>
          </w:tcPr>
          <w:p w14:paraId="5909B82C">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4</w:t>
            </w:r>
          </w:p>
        </w:tc>
        <w:tc>
          <w:tcPr>
            <w:tcW w:w="5881" w:type="dxa"/>
            <w:vAlign w:val="center"/>
          </w:tcPr>
          <w:p w14:paraId="1C975F85">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（一）评分内容：</w:t>
            </w:r>
          </w:p>
          <w:p w14:paraId="07C99F79">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1.具有生态环境相关的发明专利的，每提供一个得1分，最高得2分；</w:t>
            </w:r>
          </w:p>
          <w:p w14:paraId="6A9C43EC">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val="en-US" w:eastAsia="zh-CN"/>
              </w:rPr>
            </w:pPr>
            <w:r>
              <w:rPr>
                <w:rFonts w:hint="eastAsia" w:ascii="宋体" w:hAnsi="宋体" w:cs="宋体"/>
                <w:color w:val="0000FF"/>
                <w:sz w:val="21"/>
                <w:szCs w:val="21"/>
                <w:lang w:val="en-US" w:eastAsia="zh-CN"/>
              </w:rPr>
              <w:t>2.具有生态环境相关的计算机软件著作权的，每提供一个得1分，最高得2分。</w:t>
            </w:r>
          </w:p>
          <w:p w14:paraId="54D1766C">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（二）评分依据:</w:t>
            </w:r>
          </w:p>
          <w:p w14:paraId="211B64F9">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1.要求提供投标人合法使用产权（专利）的证明材料。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r>
              <w:rPr>
                <w:rFonts w:hint="eastAsia" w:ascii="宋体" w:hAnsi="宋体" w:cs="宋体"/>
                <w:color w:val="0000FF"/>
                <w:sz w:val="21"/>
                <w:szCs w:val="21"/>
                <w:lang w:eastAsia="zh-CN"/>
              </w:rPr>
              <w:br w:type="textWrapping"/>
            </w:r>
            <w:r>
              <w:rPr>
                <w:rFonts w:hint="eastAsia" w:ascii="宋体" w:hAnsi="宋体" w:cs="宋体"/>
                <w:color w:val="0000FF"/>
                <w:sz w:val="21"/>
                <w:szCs w:val="21"/>
                <w:lang w:eastAsia="zh-CN"/>
              </w:rPr>
              <w:t>2.以上资料均要求提供复印件，原件备查。评分中出现无证明资料或专家无法凭所提供资料判断是否得分的情况，一律作不得分处理。</w:t>
            </w:r>
          </w:p>
        </w:tc>
      </w:tr>
      <w:tr w14:paraId="442C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22F591F4">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28DC8BD2">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7</w:t>
            </w:r>
          </w:p>
        </w:tc>
        <w:tc>
          <w:tcPr>
            <w:tcW w:w="1232" w:type="dxa"/>
            <w:vAlign w:val="center"/>
          </w:tcPr>
          <w:p w14:paraId="1FF5DD0A">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项目拟使用的车辆、场地、工具、机器等情况</w:t>
            </w:r>
          </w:p>
        </w:tc>
        <w:tc>
          <w:tcPr>
            <w:tcW w:w="739" w:type="dxa"/>
            <w:vAlign w:val="center"/>
          </w:tcPr>
          <w:p w14:paraId="16F01D34">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1</w:t>
            </w:r>
          </w:p>
        </w:tc>
        <w:tc>
          <w:tcPr>
            <w:tcW w:w="5881" w:type="dxa"/>
            <w:vAlign w:val="center"/>
          </w:tcPr>
          <w:p w14:paraId="04DAA6EE">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（一）评分内容：</w:t>
            </w:r>
          </w:p>
          <w:p w14:paraId="46643750">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自备（自有或租赁均可）数据传输、储存、应用等工作配套的设备及外出工作保障所需车辆以保证项目顺利实施。</w:t>
            </w:r>
          </w:p>
          <w:p w14:paraId="4EC7623F">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（二）评分依据:</w:t>
            </w:r>
          </w:p>
          <w:p w14:paraId="1D8DCE66">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要求投标人提供承诺（格式自定）作为得分依据。完全满足得</w:t>
            </w:r>
            <w:r>
              <w:rPr>
                <w:rFonts w:hint="eastAsia" w:ascii="宋体" w:hAnsi="宋体" w:cs="宋体"/>
                <w:color w:val="0000FF"/>
                <w:sz w:val="21"/>
                <w:szCs w:val="21"/>
                <w:lang w:val="en-US" w:eastAsia="zh-CN"/>
              </w:rPr>
              <w:t>1</w:t>
            </w:r>
            <w:r>
              <w:rPr>
                <w:rFonts w:hint="eastAsia" w:ascii="宋体" w:hAnsi="宋体" w:cs="宋体"/>
                <w:color w:val="0000FF"/>
                <w:sz w:val="21"/>
                <w:szCs w:val="21"/>
                <w:lang w:eastAsia="zh-CN"/>
              </w:rPr>
              <w:t>分，未提供承诺或承诺内容不满足要求均不得分。</w:t>
            </w:r>
          </w:p>
        </w:tc>
      </w:tr>
      <w:tr w14:paraId="7E0A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5B76467D">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7E642995">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8</w:t>
            </w:r>
          </w:p>
        </w:tc>
        <w:tc>
          <w:tcPr>
            <w:tcW w:w="1232" w:type="dxa"/>
            <w:vAlign w:val="center"/>
          </w:tcPr>
          <w:p w14:paraId="36E53140">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rPr>
              <w:t>服务响应时间</w:t>
            </w:r>
          </w:p>
        </w:tc>
        <w:tc>
          <w:tcPr>
            <w:tcW w:w="739" w:type="dxa"/>
            <w:vAlign w:val="center"/>
          </w:tcPr>
          <w:p w14:paraId="7CF6426F">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2</w:t>
            </w:r>
          </w:p>
        </w:tc>
        <w:tc>
          <w:tcPr>
            <w:tcW w:w="5881" w:type="dxa"/>
            <w:vAlign w:val="center"/>
          </w:tcPr>
          <w:p w14:paraId="5CBF7B84">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（一）评分内容：</w:t>
            </w:r>
          </w:p>
          <w:p w14:paraId="31C9F163">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val="en-US" w:eastAsia="zh-CN"/>
              </w:rPr>
              <w:t>1.</w:t>
            </w:r>
            <w:r>
              <w:rPr>
                <w:rFonts w:hint="eastAsia" w:ascii="宋体" w:hAnsi="宋体" w:cs="宋体"/>
                <w:color w:val="0000FF"/>
                <w:sz w:val="21"/>
                <w:szCs w:val="21"/>
                <w:lang w:eastAsia="zh-CN"/>
              </w:rPr>
              <w:t>投标人接到采购人通知1小时（含）内提供服务，得</w:t>
            </w:r>
            <w:r>
              <w:rPr>
                <w:rFonts w:hint="eastAsia" w:ascii="宋体" w:hAnsi="宋体" w:cs="宋体"/>
                <w:color w:val="0000FF"/>
                <w:sz w:val="21"/>
                <w:szCs w:val="21"/>
                <w:lang w:val="en-US" w:eastAsia="zh-CN"/>
              </w:rPr>
              <w:t>2</w:t>
            </w:r>
            <w:r>
              <w:rPr>
                <w:rFonts w:hint="eastAsia" w:ascii="宋体" w:hAnsi="宋体" w:cs="宋体"/>
                <w:color w:val="0000FF"/>
                <w:sz w:val="21"/>
                <w:szCs w:val="21"/>
                <w:lang w:eastAsia="zh-CN"/>
              </w:rPr>
              <w:t>分；</w:t>
            </w:r>
          </w:p>
          <w:p w14:paraId="6FB4A847">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val="en-US" w:eastAsia="zh-CN"/>
              </w:rPr>
              <w:t>2.</w:t>
            </w:r>
            <w:r>
              <w:rPr>
                <w:rFonts w:hint="eastAsia" w:ascii="宋体" w:hAnsi="宋体" w:cs="宋体"/>
                <w:color w:val="0000FF"/>
                <w:sz w:val="21"/>
                <w:szCs w:val="21"/>
                <w:lang w:eastAsia="zh-CN"/>
              </w:rPr>
              <w:t>投标人接到采购人通知6小时（含）内提供服务，得</w:t>
            </w:r>
            <w:r>
              <w:rPr>
                <w:rFonts w:hint="eastAsia" w:ascii="宋体" w:hAnsi="宋体" w:cs="宋体"/>
                <w:color w:val="0000FF"/>
                <w:sz w:val="21"/>
                <w:szCs w:val="21"/>
                <w:lang w:val="en-US" w:eastAsia="zh-CN"/>
              </w:rPr>
              <w:t>1</w:t>
            </w:r>
            <w:r>
              <w:rPr>
                <w:rFonts w:hint="eastAsia" w:ascii="宋体" w:hAnsi="宋体" w:cs="宋体"/>
                <w:color w:val="0000FF"/>
                <w:sz w:val="21"/>
                <w:szCs w:val="21"/>
                <w:lang w:eastAsia="zh-CN"/>
              </w:rPr>
              <w:t>分；</w:t>
            </w:r>
          </w:p>
          <w:p w14:paraId="1FD8EB92">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val="en-US" w:eastAsia="zh-CN"/>
              </w:rPr>
              <w:t>3.</w:t>
            </w:r>
            <w:r>
              <w:rPr>
                <w:rFonts w:hint="eastAsia" w:ascii="宋体" w:hAnsi="宋体" w:cs="宋体"/>
                <w:color w:val="0000FF"/>
                <w:sz w:val="21"/>
                <w:szCs w:val="21"/>
                <w:lang w:eastAsia="zh-CN"/>
              </w:rPr>
              <w:t>投标人接到采购人通知12小时（含）内提供服务，得</w:t>
            </w:r>
            <w:r>
              <w:rPr>
                <w:rFonts w:hint="eastAsia" w:ascii="宋体" w:hAnsi="宋体" w:cs="宋体"/>
                <w:color w:val="0000FF"/>
                <w:sz w:val="21"/>
                <w:szCs w:val="21"/>
                <w:lang w:val="en-US" w:eastAsia="zh-CN"/>
              </w:rPr>
              <w:t>0.5</w:t>
            </w:r>
            <w:r>
              <w:rPr>
                <w:rFonts w:hint="eastAsia" w:ascii="宋体" w:hAnsi="宋体" w:cs="宋体"/>
                <w:color w:val="0000FF"/>
                <w:sz w:val="21"/>
                <w:szCs w:val="21"/>
                <w:lang w:eastAsia="zh-CN"/>
              </w:rPr>
              <w:t>分。</w:t>
            </w:r>
          </w:p>
          <w:p w14:paraId="516FC3A7">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val="en-US" w:eastAsia="zh-CN"/>
              </w:rPr>
              <w:t>4.</w:t>
            </w:r>
            <w:r>
              <w:rPr>
                <w:rFonts w:hint="eastAsia" w:ascii="宋体" w:hAnsi="宋体" w:cs="宋体"/>
                <w:color w:val="0000FF"/>
                <w:sz w:val="21"/>
                <w:szCs w:val="21"/>
                <w:lang w:eastAsia="zh-CN"/>
              </w:rPr>
              <w:t>其他情况，不得分。</w:t>
            </w:r>
          </w:p>
          <w:p w14:paraId="1AAB0C2F">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（二）评分依据:</w:t>
            </w:r>
          </w:p>
          <w:p w14:paraId="061EB926">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提供服务响应时间承诺（格式自拟）及到场时间的保障方案作为证明材料，专家应对到场时间的保障方案作的合理性进行判断，若判断为不合理，此项不得分。</w:t>
            </w:r>
          </w:p>
        </w:tc>
      </w:tr>
      <w:tr w14:paraId="1C9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3CA55DD3">
            <w:pPr>
              <w:keepNext w:val="0"/>
              <w:keepLines w:val="0"/>
              <w:pageBreakBefore w:val="0"/>
              <w:kinsoku/>
              <w:wordWrap/>
              <w:overflowPunct/>
              <w:topLinePunct w:val="0"/>
              <w:bidi w:val="0"/>
              <w:spacing w:line="240" w:lineRule="auto"/>
              <w:jc w:val="center"/>
              <w:outlineLvl w:val="2"/>
              <w:rPr>
                <w:rFonts w:hint="eastAsia" w:ascii="宋体" w:hAnsi="宋体" w:eastAsia="宋体" w:cs="宋体"/>
                <w:color w:val="0000FF"/>
                <w:sz w:val="21"/>
                <w:szCs w:val="21"/>
                <w:highlight w:val="none"/>
              </w:rPr>
            </w:pPr>
          </w:p>
        </w:tc>
        <w:tc>
          <w:tcPr>
            <w:tcW w:w="651" w:type="dxa"/>
            <w:vAlign w:val="center"/>
          </w:tcPr>
          <w:p w14:paraId="09AC73AD">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9</w:t>
            </w:r>
          </w:p>
        </w:tc>
        <w:tc>
          <w:tcPr>
            <w:tcW w:w="1232" w:type="dxa"/>
            <w:vAlign w:val="center"/>
          </w:tcPr>
          <w:p w14:paraId="071A7DE5">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Style w:val="12"/>
                <w:rFonts w:hint="eastAsia" w:ascii="宋体" w:hAnsi="宋体" w:eastAsia="宋体" w:cs="宋体"/>
                <w:color w:val="0000FF"/>
                <w:sz w:val="21"/>
                <w:szCs w:val="21"/>
              </w:rPr>
              <w:t>商务要求条款偏离情况</w:t>
            </w:r>
          </w:p>
        </w:tc>
        <w:tc>
          <w:tcPr>
            <w:tcW w:w="739" w:type="dxa"/>
            <w:vAlign w:val="center"/>
          </w:tcPr>
          <w:p w14:paraId="49B99BD4">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lang w:val="en-US" w:eastAsia="zh-CN"/>
              </w:rPr>
              <w:t>2</w:t>
            </w:r>
          </w:p>
        </w:tc>
        <w:tc>
          <w:tcPr>
            <w:tcW w:w="5881" w:type="dxa"/>
            <w:vAlign w:val="center"/>
          </w:tcPr>
          <w:p w14:paraId="3DE6930C">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投标人须如实填写《商务偏离表》，评审委员会根据第</w:t>
            </w:r>
            <w:r>
              <w:rPr>
                <w:rFonts w:hint="eastAsia" w:ascii="宋体" w:hAnsi="宋体" w:cs="宋体"/>
                <w:color w:val="0000FF"/>
                <w:sz w:val="21"/>
                <w:szCs w:val="21"/>
                <w:lang w:val="en-US" w:eastAsia="zh-CN"/>
              </w:rPr>
              <w:t>四</w:t>
            </w:r>
            <w:r>
              <w:rPr>
                <w:rFonts w:hint="eastAsia" w:ascii="宋体" w:hAnsi="宋体" w:cs="宋体"/>
                <w:color w:val="0000FF"/>
                <w:sz w:val="21"/>
                <w:szCs w:val="21"/>
                <w:lang w:eastAsia="zh-CN"/>
              </w:rPr>
              <w:t>章 需求及技术规格</w:t>
            </w:r>
            <w:r>
              <w:rPr>
                <w:rFonts w:hint="eastAsia" w:ascii="宋体" w:hAnsi="宋体" w:cs="宋体"/>
                <w:color w:val="0000FF"/>
                <w:sz w:val="21"/>
                <w:szCs w:val="21"/>
                <w:lang w:val="en-US" w:eastAsia="zh-CN"/>
              </w:rPr>
              <w:t>“第四节、商务需求明细”</w:t>
            </w:r>
            <w:r>
              <w:rPr>
                <w:rFonts w:hint="eastAsia" w:ascii="宋体" w:hAnsi="宋体" w:cs="宋体"/>
                <w:color w:val="0000FF"/>
                <w:sz w:val="21"/>
                <w:szCs w:val="21"/>
                <w:lang w:eastAsia="zh-CN"/>
              </w:rPr>
              <w:t>条款响应情况进行打分（标注“★”的条款和支付要求不参与本项评审，如有负偏离则投标无效），全部满足的得</w:t>
            </w:r>
            <w:r>
              <w:rPr>
                <w:rFonts w:hint="eastAsia" w:ascii="宋体" w:hAnsi="宋体" w:cs="宋体"/>
                <w:color w:val="0000FF"/>
                <w:sz w:val="21"/>
                <w:szCs w:val="21"/>
                <w:lang w:val="en-US" w:eastAsia="zh-CN"/>
              </w:rPr>
              <w:t>2</w:t>
            </w:r>
            <w:r>
              <w:rPr>
                <w:rFonts w:hint="eastAsia" w:ascii="宋体" w:hAnsi="宋体" w:cs="宋体"/>
                <w:color w:val="0000FF"/>
                <w:sz w:val="21"/>
                <w:szCs w:val="21"/>
                <w:lang w:eastAsia="zh-CN"/>
              </w:rPr>
              <w:t>分，每负偏离一项扣</w:t>
            </w:r>
            <w:r>
              <w:rPr>
                <w:rFonts w:hint="eastAsia" w:ascii="宋体" w:hAnsi="宋体" w:cs="宋体"/>
                <w:color w:val="0000FF"/>
                <w:sz w:val="21"/>
                <w:szCs w:val="21"/>
                <w:lang w:val="en-US" w:eastAsia="zh-CN"/>
              </w:rPr>
              <w:t>0.23</w:t>
            </w:r>
            <w:r>
              <w:rPr>
                <w:rFonts w:hint="eastAsia" w:ascii="宋体" w:hAnsi="宋体" w:cs="宋体"/>
                <w:color w:val="0000FF"/>
                <w:sz w:val="21"/>
                <w:szCs w:val="21"/>
                <w:lang w:eastAsia="zh-CN"/>
              </w:rPr>
              <w:t>分，本评分项最低得0分。</w:t>
            </w:r>
          </w:p>
          <w:p w14:paraId="3B04E7E1">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注：以序号“一、”的同级序号作为一个评分项。</w:t>
            </w:r>
          </w:p>
        </w:tc>
      </w:tr>
      <w:tr w14:paraId="7E9D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54B3615">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4</w:t>
            </w:r>
          </w:p>
        </w:tc>
        <w:tc>
          <w:tcPr>
            <w:tcW w:w="2622" w:type="dxa"/>
            <w:gridSpan w:val="3"/>
            <w:vAlign w:val="center"/>
          </w:tcPr>
          <w:p w14:paraId="2D846233">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诚信情况</w:t>
            </w:r>
          </w:p>
        </w:tc>
        <w:tc>
          <w:tcPr>
            <w:tcW w:w="5881" w:type="dxa"/>
            <w:vAlign w:val="center"/>
          </w:tcPr>
          <w:p w14:paraId="53E9367F">
            <w:pPr>
              <w:pStyle w:val="7"/>
              <w:keepNext w:val="0"/>
              <w:keepLines w:val="0"/>
              <w:pageBreakBefore w:val="0"/>
              <w:numPr>
                <w:ilvl w:val="12"/>
                <w:numId w:val="0"/>
              </w:numPr>
              <w:pBdr>
                <w:bottom w:val="none" w:color="auto" w:sz="0" w:space="0"/>
              </w:pBdr>
              <w:tabs>
                <w:tab w:val="clear" w:pos="4153"/>
                <w:tab w:val="clear" w:pos="8306"/>
              </w:tabs>
              <w:kinsoku/>
              <w:wordWrap/>
              <w:overflowPunct/>
              <w:topLinePunct w:val="0"/>
              <w:bidi w:val="0"/>
              <w:spacing w:line="240" w:lineRule="auto"/>
              <w:rPr>
                <w:rFonts w:hint="eastAsia" w:ascii="宋体" w:hAnsi="宋体" w:eastAsia="宋体" w:cs="宋体"/>
                <w:b/>
                <w:color w:val="0000FF"/>
                <w:sz w:val="21"/>
                <w:szCs w:val="21"/>
                <w:highlight w:val="none"/>
              </w:rPr>
            </w:pPr>
            <w:r>
              <w:rPr>
                <w:rFonts w:hint="eastAsia" w:ascii="宋体" w:hAnsi="宋体" w:eastAsia="宋体" w:cs="宋体"/>
                <w:b/>
                <w:bCs/>
                <w:color w:val="0000FF"/>
                <w:sz w:val="21"/>
                <w:szCs w:val="21"/>
                <w:highlight w:val="none"/>
                <w:lang w:val="en-US" w:eastAsia="zh-CN"/>
              </w:rPr>
              <w:t>5</w:t>
            </w:r>
          </w:p>
        </w:tc>
      </w:tr>
      <w:tr w14:paraId="4F51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754B8861">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p>
        </w:tc>
        <w:tc>
          <w:tcPr>
            <w:tcW w:w="651" w:type="dxa"/>
            <w:vAlign w:val="center"/>
          </w:tcPr>
          <w:p w14:paraId="2318B79B">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序号</w:t>
            </w:r>
          </w:p>
        </w:tc>
        <w:tc>
          <w:tcPr>
            <w:tcW w:w="1232" w:type="dxa"/>
            <w:vAlign w:val="center"/>
          </w:tcPr>
          <w:p w14:paraId="74F47648">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评分因素</w:t>
            </w:r>
          </w:p>
        </w:tc>
        <w:tc>
          <w:tcPr>
            <w:tcW w:w="739" w:type="dxa"/>
            <w:vAlign w:val="center"/>
          </w:tcPr>
          <w:p w14:paraId="1E744285">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权重</w:t>
            </w:r>
          </w:p>
        </w:tc>
        <w:tc>
          <w:tcPr>
            <w:tcW w:w="5881" w:type="dxa"/>
            <w:vAlign w:val="center"/>
          </w:tcPr>
          <w:p w14:paraId="2A48B547">
            <w:pPr>
              <w:keepNext w:val="0"/>
              <w:keepLines w:val="0"/>
              <w:pageBreakBefore w:val="0"/>
              <w:kinsoku/>
              <w:wordWrap/>
              <w:overflowPunct/>
              <w:topLinePunct w:val="0"/>
              <w:bidi w:val="0"/>
              <w:spacing w:line="240" w:lineRule="auto"/>
              <w:jc w:val="center"/>
              <w:rPr>
                <w:rFonts w:hint="eastAsia" w:ascii="宋体" w:hAnsi="宋体" w:eastAsia="宋体" w:cs="宋体"/>
                <w:b/>
                <w:color w:val="0000FF"/>
                <w:sz w:val="21"/>
                <w:szCs w:val="21"/>
                <w:highlight w:val="none"/>
              </w:rPr>
            </w:pPr>
            <w:r>
              <w:rPr>
                <w:rFonts w:hint="eastAsia" w:ascii="宋体" w:hAnsi="宋体" w:eastAsia="宋体" w:cs="宋体"/>
                <w:b/>
                <w:color w:val="0000FF"/>
                <w:sz w:val="21"/>
                <w:szCs w:val="21"/>
                <w:highlight w:val="none"/>
              </w:rPr>
              <w:t>评分准则</w:t>
            </w:r>
          </w:p>
        </w:tc>
      </w:tr>
      <w:tr w14:paraId="2C6C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AFD0DDA">
            <w:pPr>
              <w:keepNext w:val="0"/>
              <w:keepLines w:val="0"/>
              <w:pageBreakBefore w:val="0"/>
              <w:kinsoku/>
              <w:wordWrap/>
              <w:overflowPunct/>
              <w:topLinePunct w:val="0"/>
              <w:bidi w:val="0"/>
              <w:spacing w:line="240" w:lineRule="auto"/>
              <w:jc w:val="center"/>
              <w:outlineLvl w:val="0"/>
              <w:rPr>
                <w:rFonts w:hint="eastAsia" w:ascii="宋体" w:hAnsi="宋体" w:eastAsia="宋体" w:cs="宋体"/>
                <w:color w:val="0000FF"/>
                <w:sz w:val="21"/>
                <w:szCs w:val="21"/>
                <w:highlight w:val="none"/>
              </w:rPr>
            </w:pPr>
          </w:p>
        </w:tc>
        <w:tc>
          <w:tcPr>
            <w:tcW w:w="651" w:type="dxa"/>
            <w:vAlign w:val="center"/>
          </w:tcPr>
          <w:p w14:paraId="75610A97">
            <w:pPr>
              <w:keepNext w:val="0"/>
              <w:keepLines w:val="0"/>
              <w:pageBreakBefore w:val="0"/>
              <w:kinsoku/>
              <w:wordWrap/>
              <w:overflowPunct/>
              <w:topLinePunct w:val="0"/>
              <w:bidi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232" w:type="dxa"/>
            <w:vAlign w:val="center"/>
          </w:tcPr>
          <w:p w14:paraId="57416801">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市财政局诚信管理情况</w:t>
            </w:r>
          </w:p>
        </w:tc>
        <w:tc>
          <w:tcPr>
            <w:tcW w:w="739" w:type="dxa"/>
            <w:vAlign w:val="center"/>
          </w:tcPr>
          <w:p w14:paraId="67CD0683">
            <w:pPr>
              <w:keepNext w:val="0"/>
              <w:keepLines w:val="0"/>
              <w:pageBreakBefore w:val="0"/>
              <w:kinsoku/>
              <w:wordWrap/>
              <w:overflowPunct/>
              <w:topLinePunct w:val="0"/>
              <w:bidi w:val="0"/>
              <w:adjustRightInd w:val="0"/>
              <w:snapToGrid w:val="0"/>
              <w:spacing w:line="240" w:lineRule="auto"/>
              <w:jc w:val="center"/>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5</w:t>
            </w:r>
          </w:p>
        </w:tc>
        <w:tc>
          <w:tcPr>
            <w:tcW w:w="5881" w:type="dxa"/>
            <w:vAlign w:val="center"/>
          </w:tcPr>
          <w:p w14:paraId="539F5726">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（一）评分内容</w:t>
            </w:r>
          </w:p>
          <w:p w14:paraId="62EF77E3">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cs="宋体"/>
                <w:color w:val="0000FF"/>
                <w:sz w:val="21"/>
                <w:szCs w:val="21"/>
                <w:lang w:val="en-US" w:eastAsia="zh-CN"/>
              </w:rPr>
              <w:t>满</w:t>
            </w:r>
            <w:r>
              <w:rPr>
                <w:rFonts w:hint="eastAsia" w:ascii="宋体" w:hAnsi="宋体" w:cs="宋体"/>
                <w:color w:val="0000FF"/>
                <w:sz w:val="21"/>
                <w:szCs w:val="21"/>
                <w:lang w:eastAsia="zh-CN"/>
              </w:rPr>
              <w:t>分。投标人无需提供任何证明材料，评标过程中由工作人员向评审委员会提供供应商诚信查询结果。</w:t>
            </w:r>
          </w:p>
          <w:p w14:paraId="64E600CC">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（二）评分依据</w:t>
            </w:r>
          </w:p>
          <w:p w14:paraId="056275B9">
            <w:pPr>
              <w:keepNext w:val="0"/>
              <w:keepLines w:val="0"/>
              <w:pageBreakBefore w:val="0"/>
              <w:kinsoku/>
              <w:wordWrap/>
              <w:overflowPunct/>
              <w:topLinePunct w:val="0"/>
              <w:bidi w:val="0"/>
              <w:adjustRightInd w:val="0"/>
              <w:snapToGrid w:val="0"/>
              <w:spacing w:line="240" w:lineRule="auto"/>
              <w:rPr>
                <w:rFonts w:hint="eastAsia" w:ascii="宋体" w:hAnsi="宋体" w:cs="宋体"/>
                <w:color w:val="0000FF"/>
                <w:sz w:val="21"/>
                <w:szCs w:val="21"/>
                <w:lang w:eastAsia="zh-CN"/>
              </w:rPr>
            </w:pPr>
            <w:r>
              <w:rPr>
                <w:rFonts w:hint="eastAsia" w:ascii="宋体" w:hAnsi="宋体" w:cs="宋体"/>
                <w:color w:val="0000FF"/>
                <w:sz w:val="21"/>
                <w:szCs w:val="21"/>
                <w:lang w:eastAsia="zh-CN"/>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14:paraId="342C6D05">
      <w:pPr>
        <w:spacing w:line="440" w:lineRule="exact"/>
        <w:ind w:firstLine="422" w:firstLineChars="200"/>
        <w:rPr>
          <w:rFonts w:ascii="宋体" w:hAnsi="宋体"/>
          <w:szCs w:val="21"/>
        </w:rPr>
      </w:pPr>
      <w:r>
        <w:rPr>
          <w:rFonts w:hint="eastAsia" w:ascii="宋体" w:hAnsi="宋体"/>
          <w:b/>
          <w:szCs w:val="21"/>
        </w:rPr>
        <w:t>说明：</w:t>
      </w:r>
      <w:r>
        <w:rPr>
          <w:rFonts w:hint="eastAsia" w:ascii="宋体" w:hAnsi="宋体"/>
          <w:szCs w:val="21"/>
        </w:rPr>
        <w:t>1、本评分表中每一栏的得分最高不得超过该项评审指标的分值。2、表中要求提供相关计分证明文件的内容，投标文件中须明确加以说明，未按要求提供相关文件或说明不清楚的按不符合要求处理。</w:t>
      </w:r>
    </w:p>
    <w:p w14:paraId="712DD452">
      <w:pPr>
        <w:spacing w:line="440" w:lineRule="exact"/>
        <w:ind w:firstLine="422" w:firstLineChars="200"/>
        <w:rPr>
          <w:rFonts w:ascii="宋体" w:hAnsi="宋体"/>
          <w:b/>
          <w:szCs w:val="21"/>
        </w:rPr>
      </w:pPr>
      <w:r>
        <w:rPr>
          <w:rFonts w:hint="eastAsia" w:ascii="宋体" w:hAnsi="宋体"/>
          <w:b/>
          <w:szCs w:val="21"/>
        </w:rPr>
        <w:t>三、评标及定标程序</w:t>
      </w:r>
    </w:p>
    <w:p w14:paraId="34C8B6DD">
      <w:pPr>
        <w:spacing w:line="440" w:lineRule="exact"/>
        <w:ind w:firstLine="422" w:firstLineChars="200"/>
        <w:rPr>
          <w:rFonts w:ascii="宋体" w:hAnsi="宋体"/>
          <w:b/>
          <w:szCs w:val="21"/>
        </w:rPr>
      </w:pPr>
      <w:r>
        <w:rPr>
          <w:rFonts w:hint="eastAsia" w:ascii="宋体" w:hAnsi="宋体"/>
          <w:b/>
          <w:szCs w:val="21"/>
        </w:rPr>
        <w:t>（一）授权评标委员会确定中标单位的方式</w:t>
      </w:r>
    </w:p>
    <w:p w14:paraId="3753FEF0">
      <w:pPr>
        <w:pStyle w:val="13"/>
        <w:numPr>
          <w:ilvl w:val="0"/>
          <w:numId w:val="1"/>
        </w:numPr>
        <w:spacing w:line="440" w:lineRule="exact"/>
        <w:ind w:firstLineChars="0"/>
        <w:rPr>
          <w:rFonts w:ascii="宋体" w:hAnsi="宋体"/>
          <w:b/>
          <w:szCs w:val="21"/>
        </w:rPr>
      </w:pPr>
      <w:r>
        <w:rPr>
          <w:rFonts w:ascii="宋体" w:hAnsi="宋体"/>
          <w:b/>
          <w:szCs w:val="21"/>
        </w:rPr>
        <w:t>综合评分法</w:t>
      </w:r>
    </w:p>
    <w:p w14:paraId="4A75CD8D">
      <w:pPr>
        <w:spacing w:line="440" w:lineRule="exact"/>
        <w:ind w:firstLine="422" w:firstLineChars="200"/>
        <w:rPr>
          <w:rFonts w:ascii="Calibri" w:hAnsi="Calibri"/>
          <w:b/>
          <w:szCs w:val="21"/>
        </w:rPr>
      </w:pPr>
      <w:r>
        <w:rPr>
          <w:rFonts w:hint="eastAsia" w:ascii="宋体" w:hAnsi="宋体"/>
          <w:b/>
          <w:szCs w:val="21"/>
        </w:rPr>
        <w:t>1、</w:t>
      </w:r>
      <w:r>
        <w:rPr>
          <w:rFonts w:ascii="Calibri" w:hAnsi="宋体"/>
          <w:b/>
          <w:szCs w:val="21"/>
        </w:rPr>
        <w:t>符合性检查</w:t>
      </w:r>
    </w:p>
    <w:p w14:paraId="638F6FC2">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314EA2CD">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36585178">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38C20C93">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14:paraId="6481B2FE">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14:paraId="604D12C8">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14:paraId="3C3FEEBA">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14:paraId="09D78AF0">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14:paraId="2E0B1A05">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14:paraId="45C835CB">
      <w:pPr>
        <w:spacing w:line="440" w:lineRule="exact"/>
        <w:ind w:firstLine="420" w:firstLineChars="200"/>
        <w:rPr>
          <w:szCs w:val="21"/>
        </w:rPr>
      </w:pPr>
      <w:r>
        <w:rPr>
          <w:rFonts w:hint="eastAsia" w:ascii="宋体" w:hAnsi="宋体"/>
          <w:bCs/>
          <w:szCs w:val="21"/>
        </w:rPr>
        <w:t>（2）评标委员会按照综合评分的排名结果推荐中标候选供应商，</w:t>
      </w:r>
      <w:r>
        <w:rPr>
          <w:rFonts w:hint="eastAsia" w:ascii="宋体" w:hAnsi="宋体"/>
          <w:szCs w:val="21"/>
        </w:rPr>
        <w:t>排名</w:t>
      </w:r>
      <w:r>
        <w:rPr>
          <w:rFonts w:hint="eastAsia" w:ascii="宋体" w:hAnsi="宋体"/>
          <w:szCs w:val="21"/>
          <w:highlight w:val="yellow"/>
        </w:rPr>
        <w:t>前三</w:t>
      </w:r>
      <w:r>
        <w:rPr>
          <w:rFonts w:hint="eastAsia" w:ascii="宋体" w:hAnsi="宋体"/>
          <w:szCs w:val="21"/>
        </w:rPr>
        <w:t>的投标单位</w:t>
      </w:r>
      <w:r>
        <w:rPr>
          <w:rFonts w:hint="eastAsia" w:ascii="宋体" w:hAnsi="宋体"/>
          <w:bCs/>
          <w:szCs w:val="21"/>
        </w:rPr>
        <w:t>作为推荐的候选中标供应商。</w:t>
      </w:r>
    </w:p>
    <w:p w14:paraId="44F6C8F9">
      <w:pPr>
        <w:spacing w:line="440" w:lineRule="exact"/>
        <w:ind w:firstLine="422" w:firstLineChars="200"/>
        <w:rPr>
          <w:rFonts w:ascii="宋体" w:hAnsi="宋体"/>
          <w:b/>
          <w:bCs/>
          <w:szCs w:val="21"/>
        </w:rPr>
      </w:pPr>
      <w:r>
        <w:rPr>
          <w:rFonts w:hint="eastAsia" w:ascii="宋体" w:hAnsi="宋体"/>
          <w:b/>
          <w:bCs/>
          <w:szCs w:val="21"/>
        </w:rPr>
        <w:t>3.2  定标</w:t>
      </w:r>
    </w:p>
    <w:p w14:paraId="6D8F7AB3">
      <w:pPr>
        <w:spacing w:line="440" w:lineRule="exact"/>
        <w:ind w:firstLine="420" w:firstLineChars="200"/>
        <w:rPr>
          <w:rFonts w:ascii="Calibri" w:hAnsi="Calibri"/>
          <w:szCs w:val="21"/>
        </w:rPr>
      </w:pPr>
      <w:r>
        <w:rPr>
          <w:rFonts w:hint="eastAsia" w:ascii="宋体" w:hAnsi="宋体"/>
          <w:bCs/>
          <w:szCs w:val="21"/>
        </w:rPr>
        <w:t>采购方授权评标委员会确定中标单位，确定评标总得分最高且</w:t>
      </w:r>
      <w:r>
        <w:rPr>
          <w:rFonts w:ascii="宋体" w:hAnsi="宋体"/>
          <w:bCs/>
          <w:szCs w:val="21"/>
        </w:rPr>
        <w:t>排名第一</w:t>
      </w:r>
      <w:r>
        <w:rPr>
          <w:rFonts w:hint="eastAsia" w:ascii="宋体" w:hAnsi="宋体"/>
          <w:bCs/>
          <w:szCs w:val="21"/>
        </w:rPr>
        <w:t>的投标人为中标单位。</w:t>
      </w:r>
    </w:p>
    <w:p w14:paraId="7E694881">
      <w:pPr>
        <w:pStyle w:val="13"/>
        <w:numPr>
          <w:ilvl w:val="0"/>
          <w:numId w:val="1"/>
        </w:numPr>
        <w:spacing w:line="440" w:lineRule="exact"/>
        <w:ind w:firstLineChars="0"/>
        <w:rPr>
          <w:rFonts w:ascii="宋体" w:hAnsi="宋体"/>
          <w:b/>
          <w:szCs w:val="21"/>
        </w:rPr>
      </w:pPr>
      <w:r>
        <w:rPr>
          <w:b/>
          <w:szCs w:val="21"/>
        </w:rPr>
        <w:t>最低价法</w:t>
      </w:r>
    </w:p>
    <w:p w14:paraId="28F5A8FC">
      <w:pPr>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14:paraId="4E9F650A">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35162708">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1BE228CB">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471C60FC">
      <w:pPr>
        <w:spacing w:line="440" w:lineRule="exact"/>
        <w:ind w:firstLine="422" w:firstLineChars="200"/>
        <w:rPr>
          <w:rFonts w:ascii="Calibri" w:hAnsi="Calibri"/>
          <w:b/>
          <w:szCs w:val="21"/>
        </w:rPr>
      </w:pPr>
      <w:r>
        <w:rPr>
          <w:rFonts w:hint="eastAsia" w:ascii="宋体" w:hAnsi="宋体"/>
          <w:b/>
          <w:szCs w:val="21"/>
        </w:rPr>
        <w:t>2、</w:t>
      </w:r>
      <w:r>
        <w:rPr>
          <w:rFonts w:ascii="Calibri" w:hAnsi="宋体"/>
          <w:b/>
          <w:szCs w:val="21"/>
        </w:rPr>
        <w:t>中标</w:t>
      </w:r>
      <w:r>
        <w:rPr>
          <w:rFonts w:hint="eastAsia" w:ascii="Calibri" w:hAnsi="宋体"/>
          <w:b/>
          <w:szCs w:val="21"/>
        </w:rPr>
        <w:t>单位</w:t>
      </w:r>
      <w:r>
        <w:rPr>
          <w:rFonts w:ascii="Calibri" w:hAnsi="宋体"/>
          <w:b/>
          <w:szCs w:val="21"/>
        </w:rPr>
        <w:t>的确定</w:t>
      </w:r>
    </w:p>
    <w:p w14:paraId="4DC5A9AE">
      <w:pPr>
        <w:spacing w:line="440" w:lineRule="exact"/>
        <w:ind w:firstLine="422" w:firstLineChars="200"/>
        <w:rPr>
          <w:rFonts w:ascii="宋体" w:hAnsi="宋体"/>
          <w:b/>
          <w:szCs w:val="21"/>
        </w:rPr>
      </w:pPr>
      <w:r>
        <w:rPr>
          <w:rFonts w:ascii="宋体" w:hAnsi="宋体"/>
          <w:b/>
          <w:szCs w:val="21"/>
        </w:rPr>
        <w:t>2</w:t>
      </w:r>
      <w:r>
        <w:rPr>
          <w:rFonts w:hint="eastAsia" w:ascii="宋体" w:hAnsi="宋体"/>
          <w:b/>
          <w:szCs w:val="21"/>
        </w:rPr>
        <w:t xml:space="preserve">.1  </w:t>
      </w:r>
      <w:r>
        <w:rPr>
          <w:rFonts w:hint="eastAsia" w:ascii="宋体" w:hAnsi="宋体"/>
          <w:b/>
          <w:bCs/>
          <w:szCs w:val="21"/>
        </w:rPr>
        <w:t>候选中标供应商推荐</w:t>
      </w:r>
    </w:p>
    <w:p w14:paraId="63002B68">
      <w:pPr>
        <w:spacing w:line="440" w:lineRule="exact"/>
        <w:ind w:firstLine="435"/>
        <w:rPr>
          <w:rFonts w:ascii="宋体" w:hAnsi="宋体"/>
          <w:szCs w:val="21"/>
        </w:rPr>
      </w:pPr>
      <w:r>
        <w:rPr>
          <w:rFonts w:hint="eastAsia" w:ascii="宋体" w:hAnsi="宋体"/>
          <w:szCs w:val="21"/>
        </w:rPr>
        <w:t>（1）</w:t>
      </w:r>
      <w:r>
        <w:rPr>
          <w:rFonts w:ascii="宋体" w:hAnsi="宋体"/>
          <w:szCs w:val="21"/>
        </w:rPr>
        <w:t>评标委员会对通过上述检查且最终报价不超过预算控制金额</w:t>
      </w:r>
      <w:r>
        <w:rPr>
          <w:rFonts w:hint="eastAsia" w:ascii="宋体" w:hAnsi="宋体"/>
          <w:szCs w:val="21"/>
        </w:rPr>
        <w:t>的投标单位进行审查，并</w:t>
      </w:r>
      <w:r>
        <w:rPr>
          <w:rFonts w:ascii="Calibri" w:hAnsi="宋体"/>
          <w:szCs w:val="21"/>
        </w:rPr>
        <w:t>按投标报价由低到高</w:t>
      </w:r>
      <w:r>
        <w:rPr>
          <w:rFonts w:hint="eastAsia" w:ascii="Calibri" w:hAnsi="宋体"/>
          <w:szCs w:val="21"/>
        </w:rPr>
        <w:t>排序；</w:t>
      </w:r>
      <w:r>
        <w:rPr>
          <w:rFonts w:ascii="Calibri" w:hAnsi="宋体"/>
          <w:szCs w:val="21"/>
        </w:rPr>
        <w:t>投标报价相同的，按技术指标优劣顺序排列</w:t>
      </w:r>
      <w:r>
        <w:rPr>
          <w:rFonts w:hint="eastAsia" w:ascii="Calibri" w:hAnsi="宋体"/>
          <w:szCs w:val="21"/>
        </w:rPr>
        <w:t>；技术指标仍然相同的，则采用抽签方式确定排序，</w:t>
      </w:r>
      <w:r>
        <w:rPr>
          <w:rFonts w:hint="eastAsia" w:asciiTheme="minorEastAsia" w:hAnsiTheme="minorEastAsia" w:eastAsiaTheme="minorEastAsia"/>
          <w:szCs w:val="21"/>
        </w:rPr>
        <w:t>具体操作办法及流程由评标委员会确定</w:t>
      </w:r>
      <w:r>
        <w:rPr>
          <w:rFonts w:ascii="Calibri" w:hAnsi="宋体"/>
          <w:szCs w:val="21"/>
        </w:rPr>
        <w:t>。</w:t>
      </w:r>
      <w:r>
        <w:rPr>
          <w:rFonts w:hint="eastAsia" w:ascii="宋体" w:hAnsi="宋体"/>
          <w:szCs w:val="21"/>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14:paraId="61F33D21">
      <w:pPr>
        <w:spacing w:line="440" w:lineRule="exact"/>
        <w:ind w:firstLine="435"/>
        <w:rPr>
          <w:rFonts w:ascii="宋体" w:hAnsi="宋体"/>
          <w:b/>
          <w:bCs/>
          <w:color w:val="FF00FF"/>
          <w:szCs w:val="21"/>
        </w:rPr>
      </w:pPr>
      <w:r>
        <w:rPr>
          <w:rFonts w:hint="eastAsia" w:ascii="宋体" w:hAnsi="宋体"/>
          <w:bCs/>
          <w:szCs w:val="21"/>
        </w:rPr>
        <w:t>（2）评标委员会按照上述投标</w:t>
      </w:r>
      <w:r>
        <w:rPr>
          <w:rFonts w:ascii="宋体" w:hAnsi="宋体"/>
          <w:bCs/>
          <w:szCs w:val="21"/>
        </w:rPr>
        <w:t>报价的</w:t>
      </w:r>
      <w:r>
        <w:rPr>
          <w:rFonts w:hint="eastAsia" w:ascii="宋体" w:hAnsi="宋体"/>
          <w:bCs/>
          <w:szCs w:val="21"/>
        </w:rPr>
        <w:t>排序结果推荐中标候选供应商，</w:t>
      </w:r>
      <w:r>
        <w:rPr>
          <w:rFonts w:hint="eastAsia" w:ascii="宋体" w:hAnsi="宋体"/>
          <w:szCs w:val="21"/>
        </w:rPr>
        <w:t>排名</w:t>
      </w:r>
      <w:r>
        <w:rPr>
          <w:rFonts w:hint="eastAsia" w:ascii="宋体" w:hAnsi="宋体"/>
          <w:szCs w:val="21"/>
          <w:highlight w:val="yellow"/>
        </w:rPr>
        <w:t>前三</w:t>
      </w:r>
      <w:r>
        <w:rPr>
          <w:rFonts w:hint="eastAsia" w:ascii="宋体" w:hAnsi="宋体"/>
          <w:szCs w:val="21"/>
        </w:rPr>
        <w:t>的投标单位</w:t>
      </w:r>
      <w:r>
        <w:rPr>
          <w:rFonts w:hint="eastAsia" w:ascii="宋体" w:hAnsi="宋体"/>
          <w:bCs/>
          <w:szCs w:val="21"/>
        </w:rPr>
        <w:t>作为推荐的候选中标供应商。</w:t>
      </w:r>
    </w:p>
    <w:p w14:paraId="2F816FB9">
      <w:pPr>
        <w:spacing w:line="440" w:lineRule="exact"/>
        <w:ind w:firstLine="435"/>
        <w:rPr>
          <w:rFonts w:ascii="宋体" w:hAnsi="宋体"/>
          <w:b/>
          <w:szCs w:val="21"/>
        </w:rPr>
      </w:pPr>
      <w:r>
        <w:rPr>
          <w:rFonts w:hint="eastAsia" w:ascii="宋体" w:hAnsi="宋体"/>
          <w:b/>
          <w:szCs w:val="21"/>
        </w:rPr>
        <w:t>2</w:t>
      </w:r>
      <w:r>
        <w:rPr>
          <w:rFonts w:ascii="宋体" w:hAnsi="宋体"/>
          <w:b/>
          <w:szCs w:val="21"/>
        </w:rPr>
        <w:t xml:space="preserve">.2  </w:t>
      </w:r>
      <w:r>
        <w:rPr>
          <w:rFonts w:hint="eastAsia" w:ascii="宋体" w:hAnsi="宋体"/>
          <w:b/>
          <w:szCs w:val="21"/>
        </w:rPr>
        <w:t>定标</w:t>
      </w:r>
    </w:p>
    <w:p w14:paraId="3ECEA1DE">
      <w:pPr>
        <w:spacing w:line="440" w:lineRule="exact"/>
        <w:ind w:firstLine="435"/>
        <w:rPr>
          <w:rFonts w:ascii="宋体" w:hAnsi="宋体"/>
          <w:szCs w:val="21"/>
        </w:rPr>
      </w:pPr>
      <w:r>
        <w:rPr>
          <w:rFonts w:ascii="宋体" w:hAnsi="宋体"/>
          <w:szCs w:val="21"/>
        </w:rPr>
        <w:t>采购方授权评标委员会确定中标单位，</w:t>
      </w:r>
      <w:r>
        <w:rPr>
          <w:rFonts w:hint="eastAsia" w:ascii="宋体" w:hAnsi="宋体"/>
          <w:szCs w:val="21"/>
        </w:rPr>
        <w:t>确定</w:t>
      </w:r>
      <w:r>
        <w:rPr>
          <w:rFonts w:ascii="宋体" w:hAnsi="宋体"/>
          <w:szCs w:val="21"/>
        </w:rPr>
        <w:t>投标</w:t>
      </w:r>
      <w:r>
        <w:rPr>
          <w:rFonts w:hint="eastAsia" w:ascii="宋体" w:hAnsi="宋体"/>
          <w:szCs w:val="21"/>
        </w:rPr>
        <w:t>报价</w:t>
      </w:r>
      <w:r>
        <w:rPr>
          <w:rFonts w:ascii="宋体" w:hAnsi="宋体"/>
          <w:szCs w:val="21"/>
        </w:rPr>
        <w:t>最低</w:t>
      </w:r>
      <w:r>
        <w:rPr>
          <w:rFonts w:hint="eastAsia" w:ascii="宋体" w:hAnsi="宋体"/>
          <w:szCs w:val="21"/>
        </w:rPr>
        <w:t>且</w:t>
      </w:r>
      <w:r>
        <w:rPr>
          <w:rFonts w:ascii="宋体" w:hAnsi="宋体"/>
          <w:szCs w:val="21"/>
        </w:rPr>
        <w:t>排名第一的投标供应商为中标</w:t>
      </w:r>
      <w:r>
        <w:rPr>
          <w:rFonts w:hint="eastAsia" w:ascii="宋体" w:hAnsi="宋体"/>
          <w:szCs w:val="21"/>
        </w:rPr>
        <w:t>单位。</w:t>
      </w:r>
    </w:p>
    <w:p w14:paraId="3255E44C">
      <w:pPr>
        <w:spacing w:line="440" w:lineRule="exact"/>
        <w:ind w:firstLine="422" w:firstLineChars="200"/>
        <w:rPr>
          <w:b/>
        </w:rPr>
      </w:pPr>
      <w:r>
        <w:rPr>
          <w:rFonts w:hint="eastAsia"/>
          <w:b/>
        </w:rPr>
        <w:t>（二）评标和定标分离的方式</w:t>
      </w:r>
    </w:p>
    <w:p w14:paraId="08D48B8B">
      <w:pPr>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14:paraId="6F7CAC64">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3FDF17E4">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03F0A00C">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68758275">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14:paraId="2D0C1A01">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14:paraId="1F14D4B2">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14:paraId="24D633A8">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14:paraId="39173ECA">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14:paraId="73AAB51F">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14:paraId="4DDB70A7">
      <w:pPr>
        <w:spacing w:line="440" w:lineRule="exact"/>
        <w:ind w:firstLine="420" w:firstLineChars="200"/>
        <w:rPr>
          <w:szCs w:val="21"/>
        </w:rPr>
      </w:pPr>
      <w:r>
        <w:rPr>
          <w:rFonts w:hint="eastAsia" w:ascii="宋体" w:hAnsi="宋体"/>
          <w:bCs/>
          <w:szCs w:val="21"/>
        </w:rPr>
        <w:t>（2）评标委员会按照综合评分的排名结果推荐中标候选供应商，</w:t>
      </w:r>
      <w:r>
        <w:rPr>
          <w:rFonts w:hint="eastAsia" w:ascii="宋体" w:hAnsi="宋体"/>
          <w:szCs w:val="21"/>
        </w:rPr>
        <w:t>排名前三的投标单位</w:t>
      </w:r>
      <w:r>
        <w:rPr>
          <w:rFonts w:hint="eastAsia" w:ascii="宋体" w:hAnsi="宋体"/>
          <w:bCs/>
          <w:szCs w:val="21"/>
        </w:rPr>
        <w:t>作为推荐的候选中标供应商（排名不分先后）。</w:t>
      </w:r>
    </w:p>
    <w:p w14:paraId="749DA011">
      <w:pPr>
        <w:spacing w:line="440" w:lineRule="exact"/>
        <w:ind w:firstLine="422" w:firstLineChars="200"/>
        <w:rPr>
          <w:rFonts w:ascii="宋体" w:hAnsi="宋体"/>
          <w:b/>
          <w:bCs/>
          <w:szCs w:val="21"/>
        </w:rPr>
      </w:pPr>
      <w:r>
        <w:rPr>
          <w:rFonts w:hint="eastAsia" w:ascii="宋体" w:hAnsi="宋体"/>
          <w:b/>
          <w:bCs/>
          <w:szCs w:val="21"/>
        </w:rPr>
        <w:t>3.2  定标</w:t>
      </w:r>
    </w:p>
    <w:p w14:paraId="16C7DEF7">
      <w:pPr>
        <w:spacing w:line="440" w:lineRule="exact"/>
        <w:ind w:firstLine="420" w:firstLineChars="200"/>
        <w:rPr>
          <w:rFonts w:ascii="宋体" w:hAnsi="宋体"/>
          <w:bCs/>
          <w:szCs w:val="21"/>
        </w:rPr>
      </w:pPr>
      <w:r>
        <w:rPr>
          <w:rFonts w:hint="eastAsia" w:ascii="宋体" w:hAnsi="宋体"/>
          <w:bCs/>
          <w:szCs w:val="21"/>
        </w:rPr>
        <w:t>采购单位从评标委员会推荐的候选中标供应商中，</w:t>
      </w:r>
      <w:r>
        <w:rPr>
          <w:rFonts w:ascii="宋体" w:hAnsi="宋体"/>
          <w:bCs/>
          <w:szCs w:val="21"/>
        </w:rPr>
        <w:t>采用</w:t>
      </w:r>
      <w:r>
        <w:rPr>
          <w:rFonts w:ascii="宋体" w:hAnsi="宋体"/>
          <w:b/>
          <w:bCs/>
          <w:szCs w:val="21"/>
        </w:rPr>
        <w:t>自定法</w:t>
      </w:r>
      <w:r>
        <w:rPr>
          <w:rFonts w:hint="eastAsia" w:ascii="宋体" w:hAnsi="宋体"/>
          <w:bCs/>
          <w:szCs w:val="21"/>
        </w:rPr>
        <w:t>自行选择确定一名中标单位，具体操作程序按照《深圳市政府采购评标定标分离管理办法》要求执行。</w:t>
      </w:r>
    </w:p>
    <w:p w14:paraId="14D1B4C8">
      <w:pPr>
        <w:spacing w:line="440" w:lineRule="exact"/>
        <w:ind w:firstLine="386" w:firstLineChars="183"/>
        <w:rPr>
          <w:rFonts w:hint="eastAsia" w:ascii="宋体" w:hAnsi="宋体"/>
          <w:szCs w:val="21"/>
          <w:highlight w:val="none"/>
        </w:rPr>
      </w:pPr>
      <w:r>
        <w:rPr>
          <w:rFonts w:hint="eastAsia" w:ascii="宋体" w:hAnsi="宋体"/>
          <w:b/>
          <w:szCs w:val="21"/>
        </w:rPr>
        <w:t>4、质疑投诉处理：</w:t>
      </w:r>
      <w:r>
        <w:rPr>
          <w:rFonts w:hint="eastAsia" w:ascii="宋体" w:hAnsi="宋体"/>
          <w:szCs w:val="21"/>
        </w:rPr>
        <w:t>确定中标单位后</w:t>
      </w:r>
      <w:r>
        <w:rPr>
          <w:rFonts w:hint="eastAsia" w:ascii="宋体" w:hAnsi="宋体"/>
          <w:szCs w:val="21"/>
          <w:highlight w:val="none"/>
        </w:rPr>
        <w:t>出现质疑投诉的，按照以下程序进行处理：（1）中标单位因质疑、投诉等问题被取消或</w:t>
      </w:r>
      <w:r>
        <w:rPr>
          <w:rFonts w:ascii="宋体" w:hAnsi="宋体"/>
          <w:szCs w:val="21"/>
          <w:highlight w:val="none"/>
        </w:rPr>
        <w:t>放弃</w:t>
      </w:r>
      <w:r>
        <w:rPr>
          <w:rFonts w:hint="eastAsia" w:ascii="宋体" w:hAnsi="宋体"/>
          <w:szCs w:val="21"/>
          <w:highlight w:val="none"/>
        </w:rPr>
        <w:t>候选中标资格，候选</w:t>
      </w:r>
      <w:r>
        <w:rPr>
          <w:rFonts w:ascii="宋体" w:hAnsi="宋体"/>
          <w:szCs w:val="21"/>
          <w:highlight w:val="none"/>
        </w:rPr>
        <w:t>中标</w:t>
      </w:r>
      <w:r>
        <w:rPr>
          <w:rFonts w:hint="eastAsia" w:ascii="宋体" w:hAnsi="宋体"/>
          <w:szCs w:val="21"/>
          <w:highlight w:val="none"/>
        </w:rPr>
        <w:t>供应商</w:t>
      </w:r>
      <w:r>
        <w:rPr>
          <w:rFonts w:ascii="宋体" w:hAnsi="宋体"/>
          <w:szCs w:val="21"/>
          <w:highlight w:val="none"/>
        </w:rPr>
        <w:t>不再</w:t>
      </w:r>
      <w:r>
        <w:rPr>
          <w:rFonts w:hint="eastAsia" w:ascii="宋体" w:hAnsi="宋体"/>
          <w:szCs w:val="21"/>
          <w:highlight w:val="none"/>
        </w:rPr>
        <w:t>替补</w:t>
      </w:r>
      <w:r>
        <w:rPr>
          <w:rFonts w:ascii="宋体" w:hAnsi="宋体"/>
          <w:szCs w:val="21"/>
          <w:highlight w:val="none"/>
        </w:rPr>
        <w:t>，</w:t>
      </w:r>
      <w:r>
        <w:rPr>
          <w:rFonts w:hint="eastAsia" w:ascii="宋体" w:hAnsi="宋体"/>
          <w:szCs w:val="21"/>
          <w:highlight w:val="none"/>
        </w:rPr>
        <w:t>如有效</w:t>
      </w:r>
      <w:r>
        <w:rPr>
          <w:rFonts w:ascii="宋体" w:hAnsi="宋体"/>
          <w:szCs w:val="21"/>
          <w:highlight w:val="none"/>
        </w:rPr>
        <w:t>投标</w:t>
      </w:r>
      <w:r>
        <w:rPr>
          <w:rFonts w:hint="eastAsia" w:ascii="宋体" w:hAnsi="宋体"/>
          <w:szCs w:val="21"/>
          <w:highlight w:val="none"/>
        </w:rPr>
        <w:t>供应商满足</w:t>
      </w:r>
      <w:r>
        <w:rPr>
          <w:rFonts w:ascii="宋体" w:hAnsi="宋体"/>
          <w:szCs w:val="21"/>
          <w:highlight w:val="none"/>
        </w:rPr>
        <w:t>法定数量</w:t>
      </w:r>
      <w:r>
        <w:rPr>
          <w:rFonts w:hint="eastAsia" w:ascii="宋体" w:hAnsi="宋体"/>
          <w:szCs w:val="21"/>
          <w:highlight w:val="none"/>
        </w:rPr>
        <w:t>，可按</w:t>
      </w:r>
      <w:r>
        <w:rPr>
          <w:rFonts w:ascii="宋体" w:hAnsi="宋体"/>
          <w:szCs w:val="21"/>
          <w:highlight w:val="none"/>
        </w:rPr>
        <w:t>相关规定</w:t>
      </w:r>
      <w:r>
        <w:rPr>
          <w:rFonts w:hint="eastAsia" w:ascii="宋体" w:hAnsi="宋体"/>
          <w:szCs w:val="21"/>
          <w:highlight w:val="none"/>
        </w:rPr>
        <w:t>在</w:t>
      </w:r>
      <w:r>
        <w:rPr>
          <w:rFonts w:ascii="宋体" w:hAnsi="宋体"/>
          <w:szCs w:val="21"/>
          <w:highlight w:val="none"/>
        </w:rPr>
        <w:t>其他</w:t>
      </w:r>
      <w:r>
        <w:rPr>
          <w:rFonts w:hint="eastAsia" w:ascii="宋体" w:hAnsi="宋体"/>
          <w:szCs w:val="21"/>
          <w:highlight w:val="none"/>
        </w:rPr>
        <w:t>候选</w:t>
      </w:r>
      <w:r>
        <w:rPr>
          <w:rFonts w:ascii="宋体" w:hAnsi="宋体"/>
          <w:szCs w:val="21"/>
          <w:highlight w:val="none"/>
        </w:rPr>
        <w:t>中标</w:t>
      </w:r>
      <w:r>
        <w:rPr>
          <w:rFonts w:hint="eastAsia" w:ascii="宋体" w:hAnsi="宋体"/>
          <w:szCs w:val="21"/>
          <w:highlight w:val="none"/>
        </w:rPr>
        <w:t>供应商中另行</w:t>
      </w:r>
      <w:r>
        <w:rPr>
          <w:rFonts w:ascii="宋体" w:hAnsi="宋体"/>
          <w:szCs w:val="21"/>
          <w:highlight w:val="none"/>
        </w:rPr>
        <w:t>确定中标</w:t>
      </w:r>
      <w:r>
        <w:rPr>
          <w:rFonts w:hint="eastAsia" w:ascii="宋体" w:hAnsi="宋体"/>
          <w:szCs w:val="21"/>
          <w:highlight w:val="none"/>
        </w:rPr>
        <w:t>单位</w:t>
      </w:r>
      <w:r>
        <w:rPr>
          <w:rFonts w:ascii="宋体" w:hAnsi="宋体"/>
          <w:szCs w:val="21"/>
          <w:highlight w:val="none"/>
        </w:rPr>
        <w:t>，或者</w:t>
      </w:r>
      <w:r>
        <w:rPr>
          <w:rFonts w:hint="eastAsia" w:ascii="宋体" w:hAnsi="宋体"/>
          <w:szCs w:val="21"/>
          <w:highlight w:val="none"/>
        </w:rPr>
        <w:t>重新组织招标；（2）候选中标供应商因质疑、投诉等问题被取消候选中标资格，如有效</w:t>
      </w:r>
      <w:r>
        <w:rPr>
          <w:rFonts w:ascii="宋体" w:hAnsi="宋体"/>
          <w:szCs w:val="21"/>
          <w:highlight w:val="none"/>
        </w:rPr>
        <w:t>投标</w:t>
      </w:r>
      <w:r>
        <w:rPr>
          <w:rFonts w:hint="eastAsia" w:ascii="宋体" w:hAnsi="宋体"/>
          <w:szCs w:val="21"/>
          <w:highlight w:val="none"/>
        </w:rPr>
        <w:t>供应商满足</w:t>
      </w:r>
      <w:r>
        <w:rPr>
          <w:rFonts w:ascii="宋体" w:hAnsi="宋体"/>
          <w:szCs w:val="21"/>
          <w:highlight w:val="none"/>
        </w:rPr>
        <w:t>法定数量</w:t>
      </w:r>
      <w:r>
        <w:rPr>
          <w:rFonts w:hint="eastAsia" w:ascii="宋体" w:hAnsi="宋体"/>
          <w:szCs w:val="21"/>
          <w:highlight w:val="none"/>
        </w:rPr>
        <w:t>，则维持原中标结果；如有效</w:t>
      </w:r>
      <w:r>
        <w:rPr>
          <w:rFonts w:ascii="宋体" w:hAnsi="宋体"/>
          <w:szCs w:val="21"/>
          <w:highlight w:val="none"/>
        </w:rPr>
        <w:t>投标</w:t>
      </w:r>
      <w:r>
        <w:rPr>
          <w:rFonts w:hint="eastAsia" w:ascii="宋体" w:hAnsi="宋体"/>
          <w:szCs w:val="21"/>
          <w:highlight w:val="none"/>
        </w:rPr>
        <w:t>供应商不足</w:t>
      </w:r>
      <w:r>
        <w:rPr>
          <w:rFonts w:ascii="宋体" w:hAnsi="宋体"/>
          <w:szCs w:val="21"/>
          <w:highlight w:val="none"/>
        </w:rPr>
        <w:t>法定数量</w:t>
      </w:r>
      <w:r>
        <w:rPr>
          <w:rFonts w:hint="eastAsia" w:ascii="宋体" w:hAnsi="宋体"/>
          <w:szCs w:val="21"/>
          <w:highlight w:val="none"/>
        </w:rPr>
        <w:t>，则该项目作废标处理，重新组织招标。</w:t>
      </w:r>
    </w:p>
    <w:p w14:paraId="2049F92E">
      <w:pPr>
        <w:numPr>
          <w:ilvl w:val="0"/>
          <w:numId w:val="2"/>
        </w:numPr>
        <w:spacing w:line="360" w:lineRule="exact"/>
        <w:ind w:firstLine="422" w:firstLineChars="200"/>
        <w:rPr>
          <w:rFonts w:hint="eastAsia" w:ascii="宋体" w:hAnsi="宋体"/>
          <w:b/>
          <w:bCs/>
          <w:szCs w:val="21"/>
          <w:highlight w:val="none"/>
        </w:rPr>
      </w:pPr>
      <w:r>
        <w:rPr>
          <w:rFonts w:hint="eastAsia" w:ascii="宋体" w:hAnsi="宋体" w:eastAsia="宋体" w:cs="宋体"/>
          <w:b/>
          <w:color w:val="auto"/>
          <w:sz w:val="21"/>
          <w:szCs w:val="21"/>
          <w:highlight w:val="none"/>
        </w:rPr>
        <w:t>需要落实的政府采购政策</w:t>
      </w:r>
    </w:p>
    <w:p w14:paraId="77355002">
      <w:pPr>
        <w:spacing w:line="440" w:lineRule="exact"/>
        <w:ind w:firstLine="420" w:firstLineChars="200"/>
        <w:rPr>
          <w:rFonts w:hint="eastAsia" w:ascii="宋体" w:hAnsi="宋体" w:cs="Times New Roman"/>
          <w:bCs/>
          <w:szCs w:val="21"/>
          <w:highlight w:val="none"/>
        </w:rPr>
      </w:pPr>
      <w:r>
        <w:rPr>
          <w:rFonts w:hint="eastAsia" w:ascii="宋体" w:hAnsi="宋体" w:cs="Times New Roman"/>
          <w:bCs/>
          <w:szCs w:val="21"/>
          <w:highlight w:val="none"/>
        </w:rPr>
        <w:t>《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w:t>
      </w:r>
      <w:r>
        <w:rPr>
          <w:rFonts w:hint="eastAsia" w:ascii="宋体" w:hAnsi="宋体" w:cs="Times New Roman"/>
          <w:bCs/>
          <w:szCs w:val="21"/>
          <w:highlight w:val="none"/>
          <w:lang w:eastAsia="zh-CN"/>
        </w:rPr>
        <w:t>、《绿色建筑和绿色建材政府采购需求标准》(财办库(2022)35号)、《绿色数据中心政府采购需求标准(试行)&gt;(财办库(2023)7号)</w:t>
      </w:r>
      <w:r>
        <w:rPr>
          <w:rFonts w:hint="eastAsia" w:ascii="宋体" w:hAnsi="宋体" w:cs="Times New Roman"/>
          <w:bCs/>
          <w:szCs w:val="21"/>
          <w:highlight w:val="none"/>
        </w:rPr>
        <w:t>等。</w:t>
      </w:r>
    </w:p>
    <w:p w14:paraId="45C1D86F">
      <w:pPr>
        <w:spacing w:line="440" w:lineRule="exact"/>
        <w:ind w:firstLine="420" w:firstLineChars="200"/>
        <w:rPr>
          <w:rFonts w:hint="eastAsia" w:ascii="宋体" w:hAnsi="宋体" w:cs="Times New Roman"/>
          <w:bCs/>
          <w:szCs w:val="21"/>
          <w:highlight w:val="none"/>
        </w:rPr>
      </w:pPr>
      <w:r>
        <w:rPr>
          <w:rFonts w:hint="eastAsia" w:ascii="宋体" w:hAnsi="宋体" w:cs="Times New Roman"/>
          <w:bCs/>
          <w:szCs w:val="21"/>
          <w:highlight w:val="none"/>
        </w:rPr>
        <w:t>本项目如涉及商品包装、快递包装，应当满足以下要求：</w:t>
      </w:r>
    </w:p>
    <w:p w14:paraId="6F1FED88">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（一）</w:t>
      </w:r>
      <w:r>
        <w:rPr>
          <w:rFonts w:hint="eastAsia" w:ascii="宋体" w:hAnsi="宋体" w:eastAsia="宋体" w:cs="宋体"/>
          <w:color w:val="auto"/>
          <w:sz w:val="21"/>
          <w:szCs w:val="21"/>
          <w:highlight w:val="none"/>
        </w:rPr>
        <w:t>商品包装环保要求</w:t>
      </w:r>
    </w:p>
    <w:p w14:paraId="7AE76A33">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商品包装层数不得超过3层，空隙率不大于40%；</w:t>
      </w:r>
    </w:p>
    <w:p w14:paraId="1AF81E60">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商品包装尽可能使用单一材质的包装材料，如因功能需求必需使用不同材质，不同材质间应便于分离；</w:t>
      </w:r>
    </w:p>
    <w:p w14:paraId="58486A0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商品包装中铅、汞、镉、六价铬的总含量应不大于100mg/kg；（必要时，采购人可要求履约验收时提供第三方检测机构出具的检测报告复印件）</w:t>
      </w:r>
    </w:p>
    <w:p w14:paraId="4341FC29">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商品包装印刷使用的油墨中挥发性有机化合物(VOCs)含量应不大于5%（以重量计）；（必要时，采购人可要求履约验收时提供第三方检测机构出具的检测报告复印件）</w:t>
      </w:r>
    </w:p>
    <w:p w14:paraId="44838185">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塑料材质商品包装上呈现的印刷颜色不得超过6色；</w:t>
      </w:r>
    </w:p>
    <w:p w14:paraId="3ED7960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纸质商品包装应使用75%以上的可再生纤维原料生产；</w:t>
      </w:r>
    </w:p>
    <w:p w14:paraId="56A52F45">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highlight w:val="none"/>
        </w:rPr>
        <w:t>木质商品包装的原料应来源于可持续性森林。</w:t>
      </w:r>
    </w:p>
    <w:p w14:paraId="726CC576">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（二）</w:t>
      </w:r>
      <w:r>
        <w:rPr>
          <w:rFonts w:hint="eastAsia" w:ascii="宋体" w:hAnsi="宋体" w:eastAsia="宋体" w:cs="宋体"/>
          <w:color w:val="auto"/>
          <w:sz w:val="21"/>
          <w:szCs w:val="21"/>
          <w:highlight w:val="none"/>
        </w:rPr>
        <w:t>商品包装检测方法</w:t>
      </w:r>
    </w:p>
    <w:p w14:paraId="2BB523A0">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商品包装中重金属（铅、汞、镉、六价铬）总量的检测按照GB/T10004-2008《包装用塑料复合膜、袋干法复合、挤出复合》规定的方法进行。</w:t>
      </w:r>
    </w:p>
    <w:p w14:paraId="36F4A87C">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商品包装印刷使用的油墨中挥发性有机化合物(VOCs)的检测按照GB/T23986-2009《色漆和清漆挥发性有机化合物(VOC)含量的测定气相色谱法》规定的方法进行。</w:t>
      </w:r>
    </w:p>
    <w:p w14:paraId="3E408A5A">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（三）</w:t>
      </w:r>
      <w:r>
        <w:rPr>
          <w:rFonts w:hint="eastAsia" w:ascii="宋体" w:hAnsi="宋体" w:eastAsia="宋体" w:cs="宋体"/>
          <w:color w:val="auto"/>
          <w:sz w:val="21"/>
          <w:szCs w:val="21"/>
          <w:highlight w:val="none"/>
        </w:rPr>
        <w:t>快递包装环保要求</w:t>
      </w:r>
    </w:p>
    <w:p w14:paraId="47441956">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快递包装中重金属（铅、汞、镉、六价铬）总量应不大于100mg/kg；（必要时，采购人可要求履约验收时提供第三方检测机构出具的检测报告复印件）</w:t>
      </w:r>
    </w:p>
    <w:p w14:paraId="6EC1EFC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快递包装印刷使用的油墨中不应添加邻苯二甲酸酯，其挥发性有机化合物(VOCs)含量应不大于5%（以重量计）；（必要时，采购人可要求履约验收时提供第三方检测机构出具的检测报告复印件）</w:t>
      </w:r>
    </w:p>
    <w:p w14:paraId="46AAA6BE">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快递包装中使用纸基材的包装材料，纸基材中的有机氯的含量应不大于150mg/kg；（必要时，采购人可要求履约验收时提供第三方检测机构出具的检测报告复印件）</w:t>
      </w:r>
    </w:p>
    <w:p w14:paraId="79C7342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快递包装中使用塑料基材的包装材料不得使用邻苯二甲酸二异壬酯、邻苯二甲酸二正辛酯、邻苯二甲酸二(2-乙基)己酯、邻苯二甲酸二异癸酯、邻苯二甲酸丁基苄基酯、邻苯二甲酸二丁酯等作为增塑剂；</w:t>
      </w:r>
    </w:p>
    <w:p w14:paraId="3C6B3A48">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快递中使用的塑料包装袋不得使用聚氯乙烯作为原料，且原料应为单一材质制成，生物分解率大于60%；（必要时，采购人可要求履约验收时提供第三方检测机构出具的检测报告复印件）</w:t>
      </w:r>
    </w:p>
    <w:p w14:paraId="336A2A0A">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快递中使用的充气类填充物不得使用聚氯乙烯作为原料，且原料为单一材质制成，生物分解率大于60%；</w:t>
      </w:r>
    </w:p>
    <w:p w14:paraId="1B744295">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highlight w:val="none"/>
        </w:rPr>
        <w:t>快递中使用的集装袋应为单一材质制成，其重复使用次数应不小于80次；</w:t>
      </w:r>
    </w:p>
    <w:p w14:paraId="6593FB23">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highlight w:val="none"/>
        </w:rPr>
        <w:t>快递中应使用幅宽不大于45mm的生物降解胶带；（必要时，采购人可要求履约验收时提供第三方检测机构出具的检测报告复印件）</w:t>
      </w:r>
    </w:p>
    <w:p w14:paraId="5CCAF474">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highlight w:val="none"/>
        </w:rPr>
        <w:t>快递包装中不得使用溶剂型胶粘剂；</w:t>
      </w:r>
    </w:p>
    <w:p w14:paraId="3F9D4A43">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sz w:val="21"/>
          <w:szCs w:val="21"/>
          <w:highlight w:val="none"/>
        </w:rPr>
        <w:t>快递应使用电子面单；</w:t>
      </w:r>
    </w:p>
    <w:p w14:paraId="1BDC102E">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11.</w:t>
      </w:r>
      <w:r>
        <w:rPr>
          <w:rFonts w:hint="eastAsia" w:ascii="宋体" w:hAnsi="宋体" w:eastAsia="宋体" w:cs="宋体"/>
          <w:color w:val="auto"/>
          <w:sz w:val="21"/>
          <w:szCs w:val="21"/>
          <w:highlight w:val="none"/>
        </w:rPr>
        <w:t>直接使用商品包装作为快递包装的商品，其商品包装满足《商品包装政府采购需求标准（试行）》即可；</w:t>
      </w:r>
    </w:p>
    <w:p w14:paraId="4953C56D">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12.</w:t>
      </w:r>
      <w:r>
        <w:rPr>
          <w:rFonts w:hint="eastAsia" w:ascii="宋体" w:hAnsi="宋体" w:eastAsia="宋体" w:cs="宋体"/>
          <w:color w:val="auto"/>
          <w:sz w:val="21"/>
          <w:szCs w:val="21"/>
          <w:highlight w:val="none"/>
        </w:rPr>
        <w:t>快递包装产品质量和封装方式应符合相关国家或行业标准技术指标要求。</w:t>
      </w:r>
    </w:p>
    <w:p w14:paraId="28E998B8">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（四）</w:t>
      </w:r>
      <w:r>
        <w:rPr>
          <w:rFonts w:hint="eastAsia" w:ascii="宋体" w:hAnsi="宋体" w:eastAsia="宋体" w:cs="宋体"/>
          <w:color w:val="auto"/>
          <w:sz w:val="21"/>
          <w:szCs w:val="21"/>
          <w:highlight w:val="none"/>
        </w:rPr>
        <w:t xml:space="preserve">快递包装检测方法 </w:t>
      </w:r>
    </w:p>
    <w:p w14:paraId="04C0BE1C">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快递包装中重金属（铅、汞、镉、六价铬）总量的检测按照GB/T10004-2008《包装用塑料复合膜、袋干法复合、挤出复合》规定的方法进行。</w:t>
      </w:r>
    </w:p>
    <w:p w14:paraId="3943D91E">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快递包装印刷使用的油墨中挥发性有机化合物(VOCs)的检测按照GB/T23986-2009《色漆和清漆挥发性有机化合物(VOC)含量的测定气相色谱法》规定的方法进行。</w:t>
      </w:r>
    </w:p>
    <w:p w14:paraId="704CD330">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快递包装所使用的塑料包装的生物降解率的检测按照GB/T20197-2006《降解塑料的定义、分类、标识和降解性能要求》规定的方法进行。</w:t>
      </w:r>
    </w:p>
    <w:p w14:paraId="141BB987">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快递包装使用纸基材的包装材料中有机氯的检测按照GB/T22904-2008《纸浆、纸和纸板总氯和有机氯的检定》规定的方法进行。</w:t>
      </w:r>
    </w:p>
    <w:p w14:paraId="45EAC166">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快递包装中使用的生物降解胶带的生物降解率的检测按照GB/T19277.1《受控堆肥条件下材料最终需氧生物分解能力的测定采用测定释放的二氧化碳的方法 第1部分：通用方法》规定的方法进行。</w:t>
      </w:r>
    </w:p>
    <w:p w14:paraId="0828570A">
      <w:pPr>
        <w:numPr>
          <w:ilvl w:val="0"/>
          <w:numId w:val="0"/>
        </w:numPr>
        <w:snapToGrid w:val="0"/>
        <w:spacing w:line="360" w:lineRule="auto"/>
        <w:ind w:left="420" w:leftChars="0" w:hanging="420" w:firstLineChars="0"/>
        <w:rPr>
          <w:rFonts w:hint="eastAsia" w:ascii="宋体" w:hAnsi="宋体"/>
          <w:szCs w:val="21"/>
          <w:highlight w:val="none"/>
        </w:rPr>
      </w:pPr>
      <w:r>
        <w:rPr>
          <w:rFonts w:hint="eastAsia" w:ascii="宋体" w:hAnsi="宋体" w:eastAsia="宋体" w:cs="Times New Roman"/>
          <w:kern w:val="2"/>
          <w:sz w:val="21"/>
          <w:szCs w:val="21"/>
          <w:lang w:val="en-US" w:eastAsia="zh-CN" w:bidi="ar-SA"/>
        </w:rPr>
        <w:t>（五）</w:t>
      </w:r>
      <w:r>
        <w:rPr>
          <w:rFonts w:hint="eastAsia" w:ascii="宋体" w:hAnsi="宋体" w:eastAsia="宋体" w:cs="宋体"/>
          <w:color w:val="auto"/>
          <w:sz w:val="21"/>
          <w:szCs w:val="21"/>
          <w:highlight w:val="none"/>
        </w:rPr>
        <w:t>项目验收时，采购人将根据上述要求对商品包装和快递包装组织验收工作。</w:t>
      </w:r>
    </w:p>
    <w:p w14:paraId="29DD14E2">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1">
    <w:nsid w:val="2DFAF0AD"/>
    <w:multiLevelType w:val="singleLevel"/>
    <w:tmpl w:val="2DFAF0A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64F27"/>
    <w:rsid w:val="1776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rPr>
      <w:rFonts w:ascii="仿宋_GB2312" w:eastAsia="仿宋_GB2312"/>
      <w:sz w:val="32"/>
    </w:rPr>
  </w:style>
  <w:style w:type="paragraph" w:styleId="4">
    <w:name w:val="Title"/>
    <w:basedOn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annotation text"/>
    <w:basedOn w:val="1"/>
    <w:qFormat/>
    <w:uiPriority w:val="0"/>
    <w:pPr>
      <w:jc w:val="left"/>
    </w:pPr>
  </w:style>
  <w:style w:type="paragraph" w:styleId="6">
    <w:name w:val="Plain Text"/>
    <w:basedOn w:val="1"/>
    <w:qFormat/>
    <w:uiPriority w:val="99"/>
    <w:rPr>
      <w:rFonts w:ascii="宋体" w:hAnsi="Courier New"/>
    </w:rPr>
  </w:style>
  <w:style w:type="paragraph" w:styleId="7">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paragraph" w:styleId="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table" w:styleId="10">
    <w:name w:val="Table Grid"/>
    <w:basedOn w:val="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annotation reference"/>
    <w:basedOn w:val="11"/>
    <w:qFormat/>
    <w:uiPriority w:val="0"/>
    <w:rPr>
      <w:sz w:val="21"/>
      <w:szCs w:val="21"/>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2025-04-30T10:07:00Z</dcterms:created>
  <dc:creator>深咨集团王文乐</dc:creator>
  <cp:lastModifiedBy>深咨集团王文乐</cp:lastModifiedBy>
  <dcterms:modified xsi:type="dcterms:W3CDTF">2025-04-30T10:07:34Z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78B0F04C52634E7CA9070A544789AB4F_11</vt:lpwstr>
  </property>
  <property fmtid="{D5CDD505-2E9C-101B-9397-08002B2CF9AE}" pid="4" name="KSOTemplateDocerSaveRecord">
    <vt:lpwstr>eyJoZGlkIjoiMWUwNWIxZTg3YzE0MjE3OTJmNGVkZjY2MjNjZjJlNzciLCJ1c2VySWQiOiIyMzk4NTU4MDYifQ==</vt:lpwstr>
  </property>
</Properties>
</file>