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0D0D4">
      <w:pPr>
        <w:shd w:val="clear"/>
        <w:spacing w:line="330" w:lineRule="exact"/>
        <w:jc w:val="center"/>
        <w:outlineLvl w:val="0"/>
        <w:rPr>
          <w:rFonts w:ascii="微软雅黑" w:hAnsi="微软雅黑" w:eastAsia="微软雅黑" w:cs="微软雅黑"/>
          <w:b/>
          <w:color w:val="000000"/>
          <w:sz w:val="32"/>
          <w:szCs w:val="32"/>
          <w:highlight w:val="none"/>
        </w:rPr>
      </w:pPr>
      <w:bookmarkStart w:id="0" w:name="_Toc2865"/>
      <w:r>
        <w:rPr>
          <w:rFonts w:hint="eastAsia" w:ascii="微软雅黑" w:hAnsi="微软雅黑" w:eastAsia="微软雅黑" w:cs="微软雅黑"/>
          <w:b/>
          <w:color w:val="000000"/>
          <w:sz w:val="32"/>
          <w:szCs w:val="32"/>
          <w:highlight w:val="none"/>
        </w:rPr>
        <w:t>第四章  需求及技术规格</w:t>
      </w:r>
      <w:bookmarkEnd w:id="0"/>
    </w:p>
    <w:p w14:paraId="0A56353B">
      <w:pPr>
        <w:shd w:val="clear"/>
        <w:spacing w:line="360" w:lineRule="exact"/>
        <w:ind w:firstLine="422" w:firstLineChars="200"/>
        <w:rPr>
          <w:rFonts w:ascii="宋体" w:hAnsi="宋体"/>
          <w:b/>
          <w:bCs/>
          <w:color w:val="000000"/>
          <w:szCs w:val="21"/>
          <w:highlight w:val="none"/>
        </w:rPr>
      </w:pPr>
    </w:p>
    <w:p w14:paraId="003ACF81">
      <w:pPr>
        <w:shd w:val="clear"/>
        <w:jc w:val="center"/>
        <w:outlineLvl w:val="1"/>
        <w:rPr>
          <w:rFonts w:ascii="微软雅黑" w:hAnsi="微软雅黑" w:eastAsia="微软雅黑" w:cs="微软雅黑"/>
          <w:b/>
          <w:color w:val="000000"/>
          <w:sz w:val="24"/>
          <w:szCs w:val="24"/>
          <w:highlight w:val="none"/>
        </w:rPr>
      </w:pPr>
      <w:bookmarkStart w:id="1" w:name="_Toc4607"/>
      <w:r>
        <w:rPr>
          <w:rFonts w:hint="eastAsia" w:ascii="微软雅黑" w:hAnsi="微软雅黑" w:eastAsia="微软雅黑" w:cs="微软雅黑"/>
          <w:b/>
          <w:color w:val="000000"/>
          <w:sz w:val="24"/>
          <w:szCs w:val="24"/>
          <w:highlight w:val="none"/>
        </w:rPr>
        <w:t>第一节  说明</w:t>
      </w:r>
      <w:bookmarkEnd w:id="1"/>
    </w:p>
    <w:p w14:paraId="05E784B0">
      <w:pPr>
        <w:shd w:val="clear"/>
        <w:spacing w:line="440" w:lineRule="exact"/>
        <w:ind w:firstLine="420" w:firstLineChars="200"/>
        <w:rPr>
          <w:rFonts w:ascii="宋体" w:hAnsi="宋体"/>
          <w:bCs/>
          <w:color w:val="000000"/>
          <w:szCs w:val="21"/>
          <w:highlight w:val="none"/>
        </w:rPr>
      </w:pPr>
      <w:r>
        <w:rPr>
          <w:rFonts w:hint="eastAsia" w:ascii="宋体" w:hAnsi="宋体"/>
          <w:color w:val="000000"/>
          <w:szCs w:val="21"/>
          <w:highlight w:val="none"/>
        </w:rPr>
        <w:t>1、</w:t>
      </w:r>
      <w:r>
        <w:rPr>
          <w:rFonts w:hint="eastAsia" w:ascii="宋体" w:hAnsi="宋体"/>
          <w:szCs w:val="21"/>
          <w:highlight w:val="none"/>
        </w:rPr>
        <w:t>投标人必须对本招标文件所列的所有采购内容进行投标，不得将项目中的内容拆开投标，如果项目有分包的，投标人也可以只对其中一个或几个分包进行投标，但不得将一个包中的内容拆开投标，否则将导致其投标被拒绝。投标人须认真填写第五章的偏离表，偏离表将作为重要的评标依据。</w:t>
      </w:r>
    </w:p>
    <w:p w14:paraId="4F56CB22">
      <w:pPr>
        <w:shd w:val="clear"/>
        <w:spacing w:line="440" w:lineRule="exact"/>
        <w:ind w:firstLine="519" w:firstLineChars="246"/>
        <w:rPr>
          <w:rFonts w:ascii="宋体" w:hAnsi="宋体"/>
          <w:b/>
          <w:color w:val="0000FF"/>
          <w:highlight w:val="none"/>
        </w:rPr>
      </w:pPr>
      <w:r>
        <w:rPr>
          <w:rFonts w:hint="eastAsia" w:ascii="宋体" w:hAnsi="宋体"/>
          <w:b/>
          <w:color w:val="0000FF"/>
          <w:highlight w:val="none"/>
        </w:rPr>
        <w:t>重点说明：偏离表中“偏离度”由投标人自行判断后填写，内容仅供评委参考，</w:t>
      </w:r>
      <w:r>
        <w:rPr>
          <w:rFonts w:ascii="宋体" w:hAnsi="宋体"/>
          <w:b/>
          <w:color w:val="0000FF"/>
          <w:highlight w:val="none"/>
        </w:rPr>
        <w:t>评标委员会将根据</w:t>
      </w:r>
      <w:r>
        <w:rPr>
          <w:rFonts w:hint="eastAsia" w:ascii="宋体" w:hAnsi="宋体"/>
          <w:b/>
          <w:color w:val="0000FF"/>
          <w:highlight w:val="none"/>
        </w:rPr>
        <w:t>具体响应内容</w:t>
      </w:r>
      <w:r>
        <w:rPr>
          <w:rFonts w:ascii="宋体" w:hAnsi="宋体"/>
          <w:b/>
          <w:color w:val="0000FF"/>
          <w:highlight w:val="none"/>
        </w:rPr>
        <w:t>给予是否偏离的认定，并以此</w:t>
      </w:r>
      <w:r>
        <w:rPr>
          <w:rFonts w:hint="eastAsia" w:ascii="宋体" w:hAnsi="宋体"/>
          <w:b/>
          <w:color w:val="0000FF"/>
          <w:highlight w:val="none"/>
        </w:rPr>
        <w:t>作为</w:t>
      </w:r>
      <w:r>
        <w:rPr>
          <w:rFonts w:ascii="宋体" w:hAnsi="宋体"/>
          <w:b/>
          <w:color w:val="0000FF"/>
          <w:highlight w:val="none"/>
        </w:rPr>
        <w:t>最终评判</w:t>
      </w:r>
      <w:r>
        <w:rPr>
          <w:rFonts w:hint="eastAsia" w:ascii="宋体" w:hAnsi="宋体"/>
          <w:b/>
          <w:color w:val="0000FF"/>
          <w:szCs w:val="22"/>
          <w:highlight w:val="none"/>
        </w:rPr>
        <w:t>。</w:t>
      </w:r>
      <w:r>
        <w:rPr>
          <w:rFonts w:hint="eastAsia" w:ascii="宋体" w:hAnsi="宋体"/>
          <w:b/>
          <w:color w:val="0000FF"/>
          <w:highlight w:val="none"/>
        </w:rPr>
        <w:t>需求中要求提供证书、检测报告、承诺函或其他证明文件的，如投标人未按要求提供或提供的文件无法证明对应事项的，该项要求的响应偏离度评委会有权认定为“负偏离”，若该项要求为不可偏离项或实质性要求，做无效标处理；若该项要求非不可偏离项，则按评分标准做相应扣分处理。</w:t>
      </w:r>
    </w:p>
    <w:p w14:paraId="11594706">
      <w:pPr>
        <w:shd w:val="clear"/>
        <w:spacing w:line="440" w:lineRule="exact"/>
        <w:ind w:firstLine="422" w:firstLineChars="200"/>
        <w:rPr>
          <w:rFonts w:ascii="宋体" w:hAnsi="宋体"/>
          <w:b/>
          <w:bCs/>
          <w:color w:val="0000FF"/>
          <w:szCs w:val="21"/>
          <w:highlight w:val="none"/>
        </w:rPr>
      </w:pPr>
      <w:r>
        <w:rPr>
          <w:rFonts w:hint="eastAsia" w:ascii="宋体" w:hAnsi="宋体"/>
          <w:b/>
          <w:bCs/>
          <w:color w:val="000000"/>
          <w:szCs w:val="21"/>
          <w:highlight w:val="none"/>
        </w:rPr>
        <w:t>2、</w:t>
      </w:r>
      <w:r>
        <w:rPr>
          <w:rFonts w:ascii="宋体" w:hAnsi="宋体"/>
          <w:b/>
          <w:bCs/>
          <w:color w:val="0000FF"/>
          <w:szCs w:val="21"/>
          <w:highlight w:val="none"/>
        </w:rPr>
        <w:t>本招标文件要求中，凡标有</w:t>
      </w:r>
      <w:r>
        <w:rPr>
          <w:rFonts w:hint="eastAsia" w:ascii="宋体" w:hAnsi="宋体"/>
          <w:b/>
          <w:bCs/>
          <w:color w:val="0000FF"/>
          <w:szCs w:val="21"/>
          <w:highlight w:val="none"/>
        </w:rPr>
        <w:t>“★”</w:t>
      </w:r>
      <w:r>
        <w:rPr>
          <w:rFonts w:ascii="宋体" w:hAnsi="宋体"/>
          <w:b/>
          <w:bCs/>
          <w:color w:val="0000FF"/>
          <w:szCs w:val="21"/>
          <w:highlight w:val="none"/>
        </w:rPr>
        <w:t>的地方均被视为</w:t>
      </w:r>
      <w:r>
        <w:rPr>
          <w:rFonts w:hint="eastAsia" w:ascii="宋体" w:hAnsi="宋体"/>
          <w:b/>
          <w:bCs/>
          <w:color w:val="0000FF"/>
          <w:szCs w:val="21"/>
          <w:highlight w:val="none"/>
        </w:rPr>
        <w:t>不可偏离条款，</w:t>
      </w:r>
      <w:r>
        <w:rPr>
          <w:rFonts w:ascii="宋体" w:hAnsi="宋体"/>
          <w:b/>
          <w:bCs/>
          <w:color w:val="0000FF"/>
          <w:szCs w:val="21"/>
          <w:highlight w:val="none"/>
        </w:rPr>
        <w:t>投标人要特别加以注意</w:t>
      </w:r>
      <w:r>
        <w:rPr>
          <w:rFonts w:hint="eastAsia" w:ascii="宋体" w:hAnsi="宋体"/>
          <w:b/>
          <w:bCs/>
          <w:color w:val="0000FF"/>
          <w:szCs w:val="21"/>
          <w:highlight w:val="none"/>
        </w:rPr>
        <w:t>并予以响应，</w:t>
      </w:r>
      <w:r>
        <w:rPr>
          <w:rFonts w:ascii="宋体" w:hAnsi="宋体"/>
          <w:b/>
          <w:bCs/>
          <w:color w:val="0000FF"/>
          <w:szCs w:val="21"/>
          <w:highlight w:val="none"/>
        </w:rPr>
        <w:t>否则，若有一项带</w:t>
      </w:r>
      <w:r>
        <w:rPr>
          <w:rFonts w:hint="eastAsia" w:ascii="宋体" w:hAnsi="宋体"/>
          <w:b/>
          <w:bCs/>
          <w:color w:val="0000FF"/>
          <w:szCs w:val="21"/>
          <w:highlight w:val="none"/>
        </w:rPr>
        <w:t>“★”</w:t>
      </w:r>
      <w:r>
        <w:rPr>
          <w:rFonts w:ascii="宋体" w:hAnsi="宋体"/>
          <w:b/>
          <w:bCs/>
          <w:color w:val="0000FF"/>
          <w:szCs w:val="21"/>
          <w:highlight w:val="none"/>
        </w:rPr>
        <w:t>的</w:t>
      </w:r>
      <w:r>
        <w:rPr>
          <w:rFonts w:hint="eastAsia" w:ascii="宋体" w:hAnsi="宋体"/>
          <w:b/>
          <w:bCs/>
          <w:color w:val="0000FF"/>
          <w:szCs w:val="21"/>
          <w:highlight w:val="none"/>
        </w:rPr>
        <w:t>要求</w:t>
      </w:r>
      <w:r>
        <w:rPr>
          <w:rFonts w:ascii="宋体" w:hAnsi="宋体"/>
          <w:b/>
          <w:bCs/>
          <w:color w:val="0000FF"/>
          <w:szCs w:val="21"/>
          <w:highlight w:val="none"/>
        </w:rPr>
        <w:t>未响应或不满足，将按投标无效处理</w:t>
      </w:r>
      <w:r>
        <w:rPr>
          <w:rFonts w:hint="eastAsia" w:ascii="宋体" w:hAnsi="宋体"/>
          <w:b/>
          <w:bCs/>
          <w:color w:val="0000FF"/>
          <w:szCs w:val="21"/>
          <w:highlight w:val="none"/>
        </w:rPr>
        <w:t>；</w:t>
      </w:r>
      <w:r>
        <w:rPr>
          <w:rFonts w:ascii="宋体" w:hAnsi="宋体"/>
          <w:b/>
          <w:bCs/>
          <w:color w:val="0000FF"/>
          <w:szCs w:val="21"/>
          <w:highlight w:val="none"/>
        </w:rPr>
        <w:t>凡标有</w:t>
      </w:r>
      <w:r>
        <w:rPr>
          <w:rFonts w:hint="eastAsia" w:ascii="宋体" w:hAnsi="宋体"/>
          <w:b/>
          <w:bCs/>
          <w:color w:val="0000FF"/>
          <w:szCs w:val="21"/>
          <w:highlight w:val="none"/>
        </w:rPr>
        <w:t xml:space="preserve"> “▲”</w:t>
      </w:r>
      <w:r>
        <w:rPr>
          <w:rFonts w:ascii="宋体" w:hAnsi="宋体"/>
          <w:b/>
          <w:bCs/>
          <w:color w:val="0000FF"/>
          <w:szCs w:val="21"/>
          <w:highlight w:val="none"/>
        </w:rPr>
        <w:t>的地方均被视为重要要求</w:t>
      </w:r>
      <w:r>
        <w:rPr>
          <w:rFonts w:hint="eastAsia" w:ascii="宋体" w:hAnsi="宋体"/>
          <w:b/>
          <w:bCs/>
          <w:color w:val="0000FF"/>
          <w:szCs w:val="21"/>
          <w:highlight w:val="none"/>
        </w:rPr>
        <w:t>，若有带“▲”的要求未响应或不满足的，将按加重扣分处理</w:t>
      </w:r>
      <w:r>
        <w:rPr>
          <w:rFonts w:ascii="宋体" w:hAnsi="宋体"/>
          <w:b/>
          <w:bCs/>
          <w:color w:val="0000FF"/>
          <w:szCs w:val="21"/>
          <w:highlight w:val="none"/>
        </w:rPr>
        <w:t>。</w:t>
      </w:r>
    </w:p>
    <w:p w14:paraId="6D6348F9">
      <w:pPr>
        <w:shd w:val="clear"/>
        <w:spacing w:line="440" w:lineRule="exact"/>
        <w:jc w:val="center"/>
        <w:rPr>
          <w:rFonts w:ascii="宋体" w:hAnsi="宋体"/>
          <w:b/>
          <w:bCs/>
          <w:color w:val="000000"/>
          <w:szCs w:val="21"/>
          <w:highlight w:val="none"/>
        </w:rPr>
      </w:pPr>
    </w:p>
    <w:p w14:paraId="0F7570E2">
      <w:pPr>
        <w:shd w:val="clear"/>
        <w:jc w:val="center"/>
        <w:outlineLvl w:val="1"/>
        <w:rPr>
          <w:rFonts w:ascii="微软雅黑" w:hAnsi="微软雅黑" w:eastAsia="微软雅黑" w:cs="微软雅黑"/>
          <w:b/>
          <w:color w:val="000000"/>
          <w:sz w:val="24"/>
          <w:szCs w:val="24"/>
          <w:highlight w:val="none"/>
        </w:rPr>
      </w:pPr>
      <w:bookmarkStart w:id="2" w:name="_Toc22997"/>
      <w:r>
        <w:rPr>
          <w:rFonts w:hint="eastAsia" w:ascii="微软雅黑" w:hAnsi="微软雅黑" w:eastAsia="微软雅黑" w:cs="微软雅黑"/>
          <w:b/>
          <w:color w:val="000000"/>
          <w:sz w:val="24"/>
          <w:szCs w:val="24"/>
          <w:highlight w:val="none"/>
        </w:rPr>
        <w:t>第二节  需求一览表</w:t>
      </w:r>
      <w:bookmarkEnd w:id="2"/>
    </w:p>
    <w:tbl>
      <w:tblPr>
        <w:tblStyle w:val="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947"/>
        <w:gridCol w:w="840"/>
        <w:gridCol w:w="732"/>
        <w:gridCol w:w="4997"/>
      </w:tblGrid>
      <w:tr w14:paraId="6D41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vAlign w:val="center"/>
          </w:tcPr>
          <w:p w14:paraId="4D5E3BAC">
            <w:pPr>
              <w:shd w:val="clear"/>
              <w:jc w:val="center"/>
              <w:rPr>
                <w:b/>
                <w:highlight w:val="none"/>
              </w:rPr>
            </w:pPr>
            <w:r>
              <w:rPr>
                <w:b/>
                <w:highlight w:val="none"/>
              </w:rPr>
              <w:t>序号</w:t>
            </w:r>
          </w:p>
        </w:tc>
        <w:tc>
          <w:tcPr>
            <w:tcW w:w="1947" w:type="dxa"/>
            <w:vAlign w:val="center"/>
          </w:tcPr>
          <w:p w14:paraId="55002248">
            <w:pPr>
              <w:shd w:val="clear"/>
              <w:jc w:val="center"/>
              <w:rPr>
                <w:b/>
                <w:highlight w:val="none"/>
              </w:rPr>
            </w:pPr>
            <w:r>
              <w:rPr>
                <w:rFonts w:hint="eastAsia"/>
                <w:b/>
                <w:highlight w:val="none"/>
              </w:rPr>
              <w:t>工程</w:t>
            </w:r>
            <w:r>
              <w:rPr>
                <w:b/>
                <w:highlight w:val="none"/>
              </w:rPr>
              <w:t>名称</w:t>
            </w:r>
          </w:p>
        </w:tc>
        <w:tc>
          <w:tcPr>
            <w:tcW w:w="840" w:type="dxa"/>
            <w:vAlign w:val="center"/>
          </w:tcPr>
          <w:p w14:paraId="3D11E1CF">
            <w:pPr>
              <w:shd w:val="clear"/>
              <w:jc w:val="center"/>
              <w:rPr>
                <w:b/>
                <w:highlight w:val="none"/>
              </w:rPr>
            </w:pPr>
            <w:r>
              <w:rPr>
                <w:b/>
                <w:highlight w:val="none"/>
              </w:rPr>
              <w:t>数量</w:t>
            </w:r>
          </w:p>
        </w:tc>
        <w:tc>
          <w:tcPr>
            <w:tcW w:w="732" w:type="dxa"/>
            <w:vAlign w:val="center"/>
          </w:tcPr>
          <w:p w14:paraId="6477306E">
            <w:pPr>
              <w:shd w:val="clear"/>
              <w:jc w:val="center"/>
              <w:rPr>
                <w:b/>
                <w:highlight w:val="none"/>
              </w:rPr>
            </w:pPr>
            <w:r>
              <w:rPr>
                <w:b/>
                <w:highlight w:val="none"/>
              </w:rPr>
              <w:t>单位</w:t>
            </w:r>
          </w:p>
        </w:tc>
        <w:tc>
          <w:tcPr>
            <w:tcW w:w="4997" w:type="dxa"/>
            <w:vAlign w:val="center"/>
          </w:tcPr>
          <w:p w14:paraId="0CE8720B">
            <w:pPr>
              <w:shd w:val="clear"/>
              <w:jc w:val="center"/>
              <w:rPr>
                <w:b/>
                <w:highlight w:val="none"/>
              </w:rPr>
            </w:pPr>
            <w:r>
              <w:rPr>
                <w:rFonts w:hint="eastAsia"/>
                <w:b/>
                <w:highlight w:val="none"/>
              </w:rPr>
              <w:t>预算控制金额</w:t>
            </w:r>
          </w:p>
        </w:tc>
      </w:tr>
      <w:tr w14:paraId="26B8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vAlign w:val="center"/>
          </w:tcPr>
          <w:p w14:paraId="414EB407">
            <w:pPr>
              <w:shd w:val="clear"/>
              <w:jc w:val="center"/>
              <w:rPr>
                <w:rFonts w:ascii="宋体" w:hAnsi="宋体"/>
                <w:color w:val="0000FF"/>
                <w:highlight w:val="none"/>
              </w:rPr>
            </w:pPr>
            <w:r>
              <w:rPr>
                <w:rFonts w:ascii="宋体" w:hAnsi="宋体"/>
                <w:color w:val="0000FF"/>
                <w:highlight w:val="none"/>
              </w:rPr>
              <w:t>1</w:t>
            </w:r>
          </w:p>
        </w:tc>
        <w:tc>
          <w:tcPr>
            <w:tcW w:w="1947" w:type="dxa"/>
            <w:vAlign w:val="center"/>
          </w:tcPr>
          <w:p w14:paraId="0164A034">
            <w:pPr>
              <w:shd w:val="clear"/>
              <w:jc w:val="center"/>
              <w:rPr>
                <w:rFonts w:ascii="宋体" w:hAnsi="宋体"/>
                <w:color w:val="0000FF"/>
                <w:highlight w:val="none"/>
              </w:rPr>
            </w:pPr>
            <w:r>
              <w:rPr>
                <w:rFonts w:hint="eastAsia" w:ascii="宋体" w:hAnsi="宋体"/>
                <w:color w:val="0000FF"/>
                <w:highlight w:val="none"/>
              </w:rPr>
              <w:t>深圳市第二人民医院医创中心GMP实验室改造项目</w:t>
            </w:r>
          </w:p>
        </w:tc>
        <w:tc>
          <w:tcPr>
            <w:tcW w:w="840" w:type="dxa"/>
            <w:vAlign w:val="center"/>
          </w:tcPr>
          <w:p w14:paraId="717C1FCA">
            <w:pPr>
              <w:shd w:val="clear"/>
              <w:jc w:val="center"/>
              <w:rPr>
                <w:rFonts w:ascii="宋体" w:hAnsi="宋体"/>
                <w:color w:val="0000FF"/>
                <w:highlight w:val="none"/>
              </w:rPr>
            </w:pPr>
            <w:r>
              <w:rPr>
                <w:rFonts w:ascii="宋体" w:hAnsi="宋体"/>
                <w:color w:val="0000FF"/>
                <w:highlight w:val="none"/>
              </w:rPr>
              <w:t>1</w:t>
            </w:r>
          </w:p>
        </w:tc>
        <w:tc>
          <w:tcPr>
            <w:tcW w:w="732" w:type="dxa"/>
            <w:vAlign w:val="center"/>
          </w:tcPr>
          <w:p w14:paraId="2258A618">
            <w:pPr>
              <w:shd w:val="clear"/>
              <w:jc w:val="center"/>
              <w:rPr>
                <w:rFonts w:ascii="宋体" w:hAnsi="宋体"/>
                <w:color w:val="0000FF"/>
                <w:highlight w:val="none"/>
              </w:rPr>
            </w:pPr>
            <w:r>
              <w:rPr>
                <w:rFonts w:ascii="宋体" w:hAnsi="宋体"/>
                <w:color w:val="0000FF"/>
                <w:highlight w:val="none"/>
              </w:rPr>
              <w:t>项</w:t>
            </w:r>
          </w:p>
        </w:tc>
        <w:tc>
          <w:tcPr>
            <w:tcW w:w="4997" w:type="dxa"/>
            <w:vAlign w:val="center"/>
          </w:tcPr>
          <w:p w14:paraId="2335DC3C">
            <w:pPr>
              <w:shd w:val="clear"/>
              <w:jc w:val="center"/>
              <w:rPr>
                <w:rFonts w:ascii="宋体" w:hAnsi="宋体"/>
                <w:color w:val="0000FF"/>
                <w:highlight w:val="none"/>
              </w:rPr>
            </w:pPr>
            <w:r>
              <w:rPr>
                <w:rFonts w:hint="eastAsia" w:ascii="宋体" w:hAnsi="宋体"/>
                <w:color w:val="0000FF"/>
                <w:highlight w:val="none"/>
              </w:rPr>
              <w:t>人民币992590.41元（不可竞争费：安全文明施工措施费20012.08元，暂列金50000元，报关费4000元）</w:t>
            </w:r>
          </w:p>
        </w:tc>
      </w:tr>
    </w:tbl>
    <w:p w14:paraId="531518CF">
      <w:pPr>
        <w:shd w:val="clear"/>
        <w:spacing w:line="360" w:lineRule="exact"/>
        <w:ind w:firstLine="460" w:firstLineChars="218"/>
        <w:rPr>
          <w:rFonts w:ascii="宋体" w:hAnsi="宋体"/>
          <w:b/>
          <w:bCs/>
          <w:szCs w:val="21"/>
          <w:highlight w:val="none"/>
        </w:rPr>
      </w:pPr>
    </w:p>
    <w:p w14:paraId="38565950">
      <w:pPr>
        <w:shd w:val="clear"/>
        <w:jc w:val="center"/>
        <w:outlineLvl w:val="1"/>
        <w:rPr>
          <w:rFonts w:ascii="微软雅黑" w:hAnsi="微软雅黑" w:eastAsia="微软雅黑" w:cs="微软雅黑"/>
          <w:b/>
          <w:color w:val="000000"/>
          <w:sz w:val="24"/>
          <w:szCs w:val="24"/>
          <w:highlight w:val="none"/>
        </w:rPr>
      </w:pPr>
      <w:bookmarkStart w:id="3" w:name="_Toc10689"/>
      <w:r>
        <w:rPr>
          <w:rFonts w:hint="eastAsia" w:ascii="微软雅黑" w:hAnsi="微软雅黑" w:eastAsia="微软雅黑" w:cs="微软雅黑"/>
          <w:b/>
          <w:color w:val="000000"/>
          <w:sz w:val="24"/>
          <w:szCs w:val="24"/>
          <w:highlight w:val="none"/>
        </w:rPr>
        <w:t>第三节  技术需求明细</w:t>
      </w:r>
      <w:bookmarkEnd w:id="3"/>
    </w:p>
    <w:p w14:paraId="47578DE5">
      <w:pPr>
        <w:pStyle w:val="8"/>
        <w:shd w:val="clear"/>
        <w:spacing w:line="440" w:lineRule="exact"/>
        <w:ind w:firstLine="422"/>
        <w:jc w:val="left"/>
        <w:rPr>
          <w:rFonts w:ascii="宋体" w:hAnsi="宋体" w:cs="宋体"/>
          <w:b/>
          <w:bCs/>
          <w:color w:val="0000FF"/>
          <w:szCs w:val="21"/>
          <w:highlight w:val="none"/>
        </w:rPr>
      </w:pPr>
      <w:r>
        <w:rPr>
          <w:rFonts w:hint="eastAsia" w:ascii="宋体" w:hAnsi="宋体" w:cs="宋体"/>
          <w:b/>
          <w:bCs/>
          <w:color w:val="0000FF"/>
          <w:szCs w:val="21"/>
          <w:highlight w:val="none"/>
        </w:rPr>
        <w:t>一、项目管理要求</w:t>
      </w:r>
    </w:p>
    <w:p w14:paraId="09FB79F2">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1.中标单位施工必须达到有关部门规定的安全文明施工标准，服从采购单位管理各项规定要求，避免干扰采购单位正常工作秩序，认真做好施工现场防护、防火、噪音、用电等安全文明施工各项管理工作，承担相应一切责任，确保施工场地区域道路通畅，保持施工现场整洁，做到工完场清，达到国家卫生城市标准。</w:t>
      </w:r>
    </w:p>
    <w:p w14:paraId="26F6244C">
      <w:pPr>
        <w:shd w:val="clear"/>
        <w:spacing w:line="440" w:lineRule="exact"/>
        <w:ind w:firstLine="420" w:firstLineChars="200"/>
        <w:jc w:val="left"/>
        <w:rPr>
          <w:rFonts w:ascii="宋体" w:hAnsi="宋体" w:cs="宋体"/>
          <w:color w:val="0000FF"/>
          <w:kern w:val="0"/>
          <w:szCs w:val="21"/>
          <w:highlight w:val="none"/>
        </w:rPr>
      </w:pPr>
      <w:r>
        <w:rPr>
          <w:rFonts w:hint="eastAsia" w:ascii="宋体" w:hAnsi="宋体" w:cs="宋体"/>
          <w:color w:val="0000FF"/>
          <w:kern w:val="0"/>
          <w:szCs w:val="21"/>
          <w:highlight w:val="none"/>
        </w:rPr>
        <w:t>2.中标单位必须在施工现场显眼位置设置正规施工警示牌、工程概况牌，标注“温馨提示”语言。靠近人行通道边（或建设方以为有必要的其他周边）必须用整齐美观的板材围护密封施工。</w:t>
      </w:r>
    </w:p>
    <w:p w14:paraId="77C9252C">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3.中标单位必须在施工过程中注意自身及周边安全，做好现场及周边安全设施搭设，遵守有关安全保护规程，负责施工过程中的所有事故处理和费用。</w:t>
      </w:r>
    </w:p>
    <w:p w14:paraId="607EDC20">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4.实行项目经理负责制，并按投标文件配备项目管理班子。如未经采购人同意更换项目班子成员，采购人有权取消投标人的中标资格或单方面终止合同，由此造成的违约责任由承包人承担。</w:t>
      </w:r>
    </w:p>
    <w:p w14:paraId="4E9590A2">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5.中标单位必须自行解决车辆在该区域内通行、施工材料存放、用水用电、施工人员基地等问题。</w:t>
      </w:r>
    </w:p>
    <w:p w14:paraId="65FF295C">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6.中标单位应严格遵守国家、深圳市有关施工管理方面的法律、法规，以及市交通运输主管部门制定的有关规定，必须按深圳市有关规定接受监督，如有违约，按相关条约从重处罚。</w:t>
      </w:r>
    </w:p>
    <w:p w14:paraId="17826711">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7.中标单位必须编制详细工程施工方案（施工组织设计、施工技术方案、施工进度计划、施工质量保证体系、施工安全保证体系、安全文明施工方案等）及设备、材料进场计划并严格按施工方案进行施工。</w:t>
      </w:r>
    </w:p>
    <w:p w14:paraId="004947A0">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8.中标单位必须作好施工场地开工前及完工后的现场照片记录、施工记录等资料的整理、竣工资料的编制等工作。</w:t>
      </w:r>
    </w:p>
    <w:p w14:paraId="34C65C1D">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9.中标单位必须安全文明施工，确保施工场地区域道路通畅，保持施工现场整洁，做到工完场清，达到创建国家卫生城市标准。</w:t>
      </w:r>
    </w:p>
    <w:p w14:paraId="52AD824A">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10.中标单位必须在施工过程中注意自身及周边安全，负责施工过程中的所有事故处理和费用。</w:t>
      </w:r>
    </w:p>
    <w:p w14:paraId="232BF8BE">
      <w:pPr>
        <w:shd w:val="clear"/>
        <w:spacing w:line="440" w:lineRule="exact"/>
        <w:ind w:firstLine="420" w:firstLineChars="200"/>
        <w:jc w:val="left"/>
        <w:rPr>
          <w:rFonts w:ascii="宋体" w:hAnsi="宋体" w:cs="宋体"/>
          <w:color w:val="0000FF"/>
          <w:kern w:val="0"/>
          <w:szCs w:val="21"/>
          <w:highlight w:val="none"/>
        </w:rPr>
      </w:pPr>
      <w:r>
        <w:rPr>
          <w:rFonts w:hint="eastAsia" w:ascii="宋体" w:hAnsi="宋体" w:cs="宋体"/>
          <w:color w:val="0000FF"/>
          <w:kern w:val="0"/>
          <w:szCs w:val="21"/>
          <w:highlight w:val="none"/>
        </w:rPr>
        <w:t>11.中标单位必须做好施工场地相关事宜联系工作。</w:t>
      </w:r>
    </w:p>
    <w:p w14:paraId="556751B5">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12.中标单位必须充分了解施工场地的具体情况，任何因忽视或误解工地情况而导致的索赔或工期延长申请将不获批准。</w:t>
      </w:r>
    </w:p>
    <w:p w14:paraId="690CD7AF">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13.中标单位必须严格执行深圳市及</w:t>
      </w:r>
      <w:r>
        <w:rPr>
          <w:rFonts w:hint="eastAsia" w:ascii="宋体" w:hAnsi="宋体" w:cs="宋体"/>
          <w:color w:val="0000FF"/>
          <w:kern w:val="0"/>
          <w:szCs w:val="21"/>
          <w:highlight w:val="none"/>
          <w:lang w:eastAsia="zh-CN"/>
        </w:rPr>
        <w:t>采购人</w:t>
      </w:r>
      <w:r>
        <w:rPr>
          <w:rFonts w:hint="eastAsia" w:ascii="宋体" w:hAnsi="宋体" w:cs="宋体"/>
          <w:color w:val="0000FF"/>
          <w:kern w:val="0"/>
          <w:szCs w:val="21"/>
          <w:highlight w:val="none"/>
        </w:rPr>
        <w:t>的相关疫情防控政策。</w:t>
      </w:r>
    </w:p>
    <w:p w14:paraId="59C0A75A">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14.中标单位还必须完成以下工作：</w:t>
      </w:r>
    </w:p>
    <w:p w14:paraId="21220201">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lang w:val="en-US" w:eastAsia="zh-CN"/>
        </w:rPr>
        <w:t>①</w:t>
      </w:r>
      <w:r>
        <w:rPr>
          <w:rFonts w:hint="eastAsia" w:ascii="宋体" w:hAnsi="宋体" w:cs="宋体"/>
          <w:color w:val="0000FF"/>
          <w:kern w:val="0"/>
          <w:szCs w:val="21"/>
          <w:highlight w:val="none"/>
        </w:rPr>
        <w:t>施工区域内所有的保洁清理工作；</w:t>
      </w:r>
    </w:p>
    <w:p w14:paraId="7F71393C">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lang w:val="en-US" w:eastAsia="zh-CN"/>
        </w:rPr>
        <w:t>②</w:t>
      </w:r>
      <w:r>
        <w:rPr>
          <w:rFonts w:hint="eastAsia" w:ascii="宋体" w:hAnsi="宋体" w:cs="宋体"/>
          <w:color w:val="0000FF"/>
          <w:kern w:val="0"/>
          <w:szCs w:val="21"/>
          <w:highlight w:val="none"/>
        </w:rPr>
        <w:t>保洁标准与施工区域内原有保洁标准相同。上述工作属招标工程范围内。</w:t>
      </w:r>
    </w:p>
    <w:p w14:paraId="145C6C1D">
      <w:pPr>
        <w:pStyle w:val="4"/>
        <w:shd w:val="clear"/>
        <w:spacing w:line="440" w:lineRule="exact"/>
        <w:ind w:firstLine="422" w:firstLineChars="200"/>
        <w:rPr>
          <w:rFonts w:hAnsi="宋体" w:cs="宋体"/>
          <w:b/>
          <w:bCs/>
          <w:color w:val="0000FF"/>
          <w:szCs w:val="21"/>
          <w:highlight w:val="none"/>
        </w:rPr>
      </w:pPr>
      <w:r>
        <w:rPr>
          <w:rFonts w:hint="eastAsia" w:hAnsi="宋体" w:cs="宋体"/>
          <w:b/>
          <w:bCs/>
          <w:color w:val="0000FF"/>
          <w:szCs w:val="21"/>
          <w:highlight w:val="none"/>
        </w:rPr>
        <w:t>二、技术要求:</w:t>
      </w:r>
    </w:p>
    <w:p w14:paraId="6E0C633A">
      <w:pPr>
        <w:pStyle w:val="4"/>
        <w:shd w:val="clear"/>
        <w:spacing w:line="440" w:lineRule="exact"/>
        <w:ind w:firstLine="422" w:firstLineChars="200"/>
        <w:rPr>
          <w:rFonts w:hAnsi="宋体" w:cs="宋体"/>
          <w:b/>
          <w:bCs/>
          <w:color w:val="0000FF"/>
          <w:szCs w:val="21"/>
          <w:highlight w:val="none"/>
          <w:u w:val="single"/>
        </w:rPr>
      </w:pPr>
      <w:r>
        <w:rPr>
          <w:rFonts w:hint="eastAsia" w:hAnsi="宋体" w:cs="宋体"/>
          <w:b/>
          <w:bCs/>
          <w:color w:val="0000FF"/>
          <w:szCs w:val="21"/>
          <w:highlight w:val="none"/>
          <w:u w:val="single"/>
        </w:rPr>
        <w:t>设计标准及规范要求：</w:t>
      </w:r>
    </w:p>
    <w:p w14:paraId="480AACC0">
      <w:pPr>
        <w:pStyle w:val="4"/>
        <w:shd w:val="clear"/>
        <w:spacing w:line="440" w:lineRule="exact"/>
        <w:ind w:firstLine="420" w:firstLineChars="200"/>
        <w:rPr>
          <w:rFonts w:hAnsi="宋体" w:cs="宋体"/>
          <w:color w:val="0000FF"/>
          <w:szCs w:val="21"/>
          <w:highlight w:val="none"/>
        </w:rPr>
      </w:pPr>
      <w:r>
        <w:rPr>
          <w:rFonts w:hint="eastAsia" w:hAnsi="宋体" w:cs="宋体"/>
          <w:color w:val="0000FF"/>
          <w:szCs w:val="21"/>
          <w:highlight w:val="none"/>
        </w:rPr>
        <w:t>按照国家现行标准、规范、规程等开展设计工作，设计深度和广度满足要求。设计质量要求：符合国家现行的相关标准及规范要求。包括但不限于：</w:t>
      </w:r>
    </w:p>
    <w:p w14:paraId="1078E0B2">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《洁净厂房设计规范》  (GB50073-2013)</w:t>
      </w:r>
    </w:p>
    <w:p w14:paraId="66B00362">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《细胞培养洁净室设计技术规范》  (GBT 42398-2023)</w:t>
      </w:r>
    </w:p>
    <w:p w14:paraId="2612FE17">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《生物安全实验室建筑技术规范》GB 50346-2011</w:t>
      </w:r>
    </w:p>
    <w:p w14:paraId="557A3AA2">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《医学生物安全二级实验室建筑技术标准》T/CECS 662-2020</w:t>
      </w:r>
    </w:p>
    <w:p w14:paraId="0DEEFE16">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《医院洁净手术部建筑技术规范》(GB50333-2013)</w:t>
      </w:r>
    </w:p>
    <w:p w14:paraId="1FF9F23E">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《综合医院建筑设计规范》(GB51039-2014)</w:t>
      </w:r>
    </w:p>
    <w:p w14:paraId="50BDDA9A">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《民用建筑设计统一标准》GB50352-2019</w:t>
      </w:r>
    </w:p>
    <w:p w14:paraId="3F99469D">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《民用建筑供暖通风与空气调节设计规范》GB50736-2012</w:t>
      </w:r>
    </w:p>
    <w:p w14:paraId="516367DE">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《建筑设计防火规范》GB 50016-2014（2018 年版）</w:t>
      </w:r>
    </w:p>
    <w:p w14:paraId="6A8A2015">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《洁净室施工及验收规范》(GB50591-2010)</w:t>
      </w:r>
    </w:p>
    <w:p w14:paraId="66CC33C6">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《医院消毒卫生标准》GB15982-2012</w:t>
      </w:r>
    </w:p>
    <w:p w14:paraId="34396396">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《建筑给水排水设计规范》GB50015</w:t>
      </w:r>
      <w:r>
        <w:rPr>
          <w:rFonts w:hint="eastAsia" w:hAnsi="宋体" w:cs="宋体"/>
          <w:color w:val="0000FF"/>
          <w:szCs w:val="21"/>
          <w:highlight w:val="none"/>
          <w:lang w:val="en-US" w:eastAsia="zh-CN"/>
        </w:rPr>
        <w:t>-</w:t>
      </w:r>
      <w:r>
        <w:rPr>
          <w:rFonts w:hint="eastAsia" w:hAnsi="宋体" w:cs="宋体"/>
          <w:color w:val="0000FF"/>
          <w:szCs w:val="21"/>
          <w:highlight w:val="none"/>
        </w:rPr>
        <w:t xml:space="preserve">2010 </w:t>
      </w:r>
    </w:p>
    <w:p w14:paraId="443B3378">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《建筑内部装修设计防火规范》GB 50222-2017</w:t>
      </w:r>
    </w:p>
    <w:p w14:paraId="64B33925">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《环境空气质量标准》GB3095-2012</w:t>
      </w:r>
    </w:p>
    <w:p w14:paraId="78CDD3D1">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《室内空气质量标准》GB/T</w:t>
      </w:r>
      <w:r>
        <w:rPr>
          <w:rFonts w:hint="eastAsia" w:hAnsi="宋体" w:cs="宋体"/>
          <w:color w:val="0000FF"/>
          <w:szCs w:val="21"/>
          <w:highlight w:val="none"/>
          <w:lang w:val="en-US" w:eastAsia="zh-CN"/>
        </w:rPr>
        <w:t xml:space="preserve"> </w:t>
      </w:r>
      <w:r>
        <w:rPr>
          <w:rFonts w:hint="eastAsia" w:hAnsi="宋体" w:cs="宋体"/>
          <w:color w:val="0000FF"/>
          <w:szCs w:val="21"/>
          <w:highlight w:val="none"/>
        </w:rPr>
        <w:t>18883-2002</w:t>
      </w:r>
    </w:p>
    <w:p w14:paraId="2632E309">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《通风管道技术规程》JGJ141-2004</w:t>
      </w:r>
    </w:p>
    <w:p w14:paraId="616405D8">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《全国民用建筑工程设计技术措施》（暖通空调·动力）2009年版</w:t>
      </w:r>
    </w:p>
    <w:p w14:paraId="5EE2B767">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《民用建筑电气设计规范》GB51348-2019</w:t>
      </w:r>
    </w:p>
    <w:p w14:paraId="1868CBB1">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《供配电系统设计规范》（GB50052-2009）</w:t>
      </w:r>
    </w:p>
    <w:p w14:paraId="18BCD33F">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《低压配电设计规范》GB50054-2011</w:t>
      </w:r>
    </w:p>
    <w:p w14:paraId="079DC109">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《通用用电设备配电设计规范》GB50055-2011</w:t>
      </w:r>
    </w:p>
    <w:p w14:paraId="05EFB803">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《火灾自动报警系统设计规范》GB50116-2013</w:t>
      </w:r>
    </w:p>
    <w:p w14:paraId="2009A56A">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《综合布线系统工程设计规范》GB 50311-2016</w:t>
      </w:r>
    </w:p>
    <w:p w14:paraId="27F834CA">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《视频安防监控系统工程设计规范》GB 50395-2015</w:t>
      </w:r>
    </w:p>
    <w:p w14:paraId="4549BBBE">
      <w:pPr>
        <w:pStyle w:val="4"/>
        <w:numPr>
          <w:ilvl w:val="0"/>
          <w:numId w:val="1"/>
        </w:numPr>
        <w:shd w:val="clear"/>
        <w:spacing w:line="440" w:lineRule="exact"/>
        <w:ind w:left="0" w:firstLine="420" w:firstLineChars="200"/>
        <w:rPr>
          <w:rFonts w:hAnsi="宋体" w:cs="宋体"/>
          <w:color w:val="0000FF"/>
          <w:szCs w:val="21"/>
          <w:highlight w:val="none"/>
        </w:rPr>
      </w:pPr>
      <w:r>
        <w:rPr>
          <w:rFonts w:hint="eastAsia" w:hAnsi="宋体" w:cs="宋体"/>
          <w:color w:val="0000FF"/>
          <w:szCs w:val="21"/>
          <w:highlight w:val="none"/>
        </w:rPr>
        <w:t>招标人提供的原有图纸、施工资料及其它相关的规程、规范。</w:t>
      </w:r>
    </w:p>
    <w:p w14:paraId="6C782F87">
      <w:pPr>
        <w:pStyle w:val="4"/>
        <w:shd w:val="clear"/>
        <w:spacing w:line="440" w:lineRule="exact"/>
        <w:ind w:firstLine="422" w:firstLineChars="200"/>
        <w:rPr>
          <w:rFonts w:hAnsi="宋体" w:cs="宋体"/>
          <w:b/>
          <w:bCs/>
          <w:color w:val="0000FF"/>
          <w:szCs w:val="21"/>
          <w:highlight w:val="none"/>
        </w:rPr>
      </w:pPr>
      <w:r>
        <w:rPr>
          <w:rFonts w:hint="eastAsia" w:hAnsi="宋体" w:cs="宋体"/>
          <w:b/>
          <w:bCs/>
          <w:color w:val="0000FF"/>
          <w:szCs w:val="21"/>
          <w:highlight w:val="none"/>
        </w:rPr>
        <w:t>各专业系统技术要求：</w:t>
      </w:r>
    </w:p>
    <w:p w14:paraId="73DBB44B">
      <w:pPr>
        <w:pStyle w:val="9"/>
        <w:shd w:val="clear"/>
        <w:spacing w:line="440" w:lineRule="exact"/>
        <w:ind w:firstLine="422" w:firstLineChars="200"/>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一、</w:t>
      </w:r>
      <w:r>
        <w:rPr>
          <w:rFonts w:ascii="宋体" w:hAnsi="宋体" w:eastAsia="宋体" w:cs="宋体"/>
          <w:b/>
          <w:bCs/>
          <w:color w:val="0000FF"/>
          <w:sz w:val="21"/>
          <w:szCs w:val="21"/>
          <w:highlight w:val="none"/>
        </w:rPr>
        <w:t>装饰装修工程：</w:t>
      </w:r>
    </w:p>
    <w:p w14:paraId="3D0290D8">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（一）</w:t>
      </w:r>
      <w:r>
        <w:rPr>
          <w:rFonts w:ascii="宋体" w:hAnsi="宋体" w:eastAsia="宋体" w:cs="宋体"/>
          <w:color w:val="0000FF"/>
          <w:sz w:val="21"/>
          <w:szCs w:val="21"/>
          <w:highlight w:val="none"/>
        </w:rPr>
        <w:t>装饰部分技术要求</w:t>
      </w:r>
    </w:p>
    <w:p w14:paraId="256B36E2">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1.</w:t>
      </w:r>
      <w:r>
        <w:rPr>
          <w:rFonts w:ascii="宋体" w:hAnsi="宋体" w:eastAsia="宋体" w:cs="宋体"/>
          <w:color w:val="0000FF"/>
          <w:sz w:val="21"/>
          <w:szCs w:val="21"/>
          <w:highlight w:val="none"/>
        </w:rPr>
        <w:t>地面处理：工程范围内其他区域地面采用3mm厚水泥自流平处理后，表面铺贴≥2.</w:t>
      </w:r>
      <w:r>
        <w:rPr>
          <w:rFonts w:ascii="宋体" w:hAnsi="宋体" w:eastAsia="宋体" w:cs="宋体"/>
          <w:color w:val="0000FF"/>
          <w:sz w:val="21"/>
          <w:szCs w:val="21"/>
          <w:highlight w:val="none"/>
          <w:lang w:eastAsia="zh-CN"/>
        </w:rPr>
        <w:t>0</w:t>
      </w:r>
      <w:r>
        <w:rPr>
          <w:rFonts w:ascii="宋体" w:hAnsi="宋体" w:eastAsia="宋体" w:cs="宋体"/>
          <w:color w:val="0000FF"/>
          <w:sz w:val="21"/>
          <w:szCs w:val="21"/>
          <w:highlight w:val="none"/>
        </w:rPr>
        <w:t>mm厚PVC卷材地板胶，PVC地板胶翻边上墙</w:t>
      </w:r>
      <w:r>
        <w:rPr>
          <w:rFonts w:hint="eastAsia" w:ascii="宋体" w:hAnsi="宋体" w:eastAsia="宋体" w:cs="宋体"/>
          <w:color w:val="0000FF"/>
          <w:sz w:val="21"/>
          <w:szCs w:val="21"/>
          <w:highlight w:val="none"/>
        </w:rPr>
        <w:t>≥120mm</w:t>
      </w:r>
      <w:r>
        <w:rPr>
          <w:rFonts w:ascii="宋体" w:hAnsi="宋体" w:eastAsia="宋体" w:cs="宋体"/>
          <w:color w:val="0000FF"/>
          <w:sz w:val="21"/>
          <w:szCs w:val="21"/>
          <w:highlight w:val="none"/>
        </w:rPr>
        <w:t>；</w:t>
      </w:r>
    </w:p>
    <w:p w14:paraId="27591500">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2.</w:t>
      </w:r>
      <w:r>
        <w:rPr>
          <w:rFonts w:ascii="宋体" w:hAnsi="宋体" w:eastAsia="宋体" w:cs="宋体"/>
          <w:color w:val="0000FF"/>
          <w:sz w:val="21"/>
          <w:szCs w:val="21"/>
          <w:highlight w:val="none"/>
        </w:rPr>
        <w:t>墙面装修：墙体采用50厚玻镁彩钢板墙面，钢板厚度0.426mm，墙体阴、阳角处均安装铝合金R50mm外圆弧，高度自地面至吊顶。</w:t>
      </w:r>
    </w:p>
    <w:p w14:paraId="465178D0">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3.</w:t>
      </w:r>
      <w:r>
        <w:rPr>
          <w:rFonts w:ascii="宋体" w:hAnsi="宋体" w:eastAsia="宋体" w:cs="宋体"/>
          <w:color w:val="0000FF"/>
          <w:sz w:val="21"/>
          <w:szCs w:val="21"/>
          <w:highlight w:val="none"/>
        </w:rPr>
        <w:t>天花吊顶：</w:t>
      </w:r>
    </w:p>
    <w:p w14:paraId="4CE47E15">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3.1实验室内吊顶采用玻镁夹心彩钢板，性能同墙体一致；</w:t>
      </w:r>
    </w:p>
    <w:p w14:paraId="38CE8BE4">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3.2所有有吊顶的房间，灯具规格，安装位置及风口安装位置应根据各专业图纸及结合现场情况予以确定，做到合理、美观的施工要求。</w:t>
      </w:r>
    </w:p>
    <w:p w14:paraId="33347078">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4.</w:t>
      </w:r>
      <w:r>
        <w:rPr>
          <w:rFonts w:ascii="宋体" w:hAnsi="宋体" w:eastAsia="宋体" w:cs="宋体"/>
          <w:color w:val="0000FF"/>
          <w:sz w:val="21"/>
          <w:szCs w:val="21"/>
          <w:highlight w:val="none"/>
        </w:rPr>
        <w:t>门窗：</w:t>
      </w:r>
    </w:p>
    <w:p w14:paraId="157B74CE">
      <w:pPr>
        <w:pStyle w:val="9"/>
        <w:shd w:val="clear"/>
        <w:spacing w:line="440" w:lineRule="exact"/>
        <w:ind w:firstLine="420" w:firstLineChars="200"/>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▲4.1气密符合国家标准</w:t>
      </w:r>
      <w:r>
        <w:rPr>
          <w:rFonts w:hint="eastAsia" w:ascii="宋体" w:hAnsi="宋体" w:eastAsia="宋体" w:cs="宋体"/>
          <w:color w:val="0000FF"/>
          <w:sz w:val="21"/>
          <w:szCs w:val="21"/>
          <w:highlight w:val="none"/>
          <w:lang w:eastAsia="zh-CN"/>
        </w:rPr>
        <w:t>（</w:t>
      </w:r>
      <w:r>
        <w:rPr>
          <w:rFonts w:ascii="宋体" w:hAnsi="宋体" w:eastAsia="宋体" w:cs="宋体"/>
          <w:color w:val="0000FF"/>
          <w:sz w:val="21"/>
          <w:szCs w:val="21"/>
          <w:highlight w:val="none"/>
        </w:rPr>
        <w:t>GB/T 31433-2015</w:t>
      </w:r>
      <w:r>
        <w:rPr>
          <w:rFonts w:hint="eastAsia" w:ascii="宋体" w:hAnsi="宋体" w:eastAsia="宋体" w:cs="宋体"/>
          <w:color w:val="0000FF"/>
          <w:sz w:val="21"/>
          <w:szCs w:val="21"/>
          <w:highlight w:val="none"/>
        </w:rPr>
        <w:t>建筑幕墙、门窗通用技术条件</w:t>
      </w:r>
      <w:r>
        <w:rPr>
          <w:rFonts w:hint="eastAsia" w:ascii="宋体" w:hAnsi="宋体" w:eastAsia="宋体" w:cs="宋体"/>
          <w:color w:val="0000FF"/>
          <w:sz w:val="21"/>
          <w:szCs w:val="21"/>
          <w:highlight w:val="none"/>
          <w:lang w:eastAsia="zh-CN"/>
        </w:rPr>
        <w:t>）</w:t>
      </w:r>
      <w:r>
        <w:rPr>
          <w:rFonts w:ascii="宋体" w:hAnsi="宋体" w:eastAsia="宋体" w:cs="宋体"/>
          <w:color w:val="0000FF"/>
          <w:sz w:val="21"/>
          <w:szCs w:val="21"/>
          <w:highlight w:val="none"/>
        </w:rPr>
        <w:t>，正压：达到国标7级或以上，负压：达到国标7级或以上，具有良好的保温（GB/T 31433-2015</w:t>
      </w:r>
      <w:r>
        <w:rPr>
          <w:rFonts w:hint="eastAsia" w:ascii="宋体" w:hAnsi="宋体" w:eastAsia="宋体" w:cs="宋体"/>
          <w:color w:val="0000FF"/>
          <w:sz w:val="21"/>
          <w:szCs w:val="21"/>
          <w:highlight w:val="none"/>
        </w:rPr>
        <w:t>建筑幕墙、门窗通用技术条件</w:t>
      </w:r>
      <w:r>
        <w:rPr>
          <w:rFonts w:ascii="宋体" w:hAnsi="宋体" w:eastAsia="宋体" w:cs="宋体"/>
          <w:color w:val="0000FF"/>
          <w:sz w:val="21"/>
          <w:szCs w:val="21"/>
          <w:highlight w:val="none"/>
        </w:rPr>
        <w:t>）与隔声性能(GB/T  8485-2008</w:t>
      </w:r>
      <w:r>
        <w:rPr>
          <w:rFonts w:hint="eastAsia" w:ascii="宋体" w:hAnsi="宋体" w:eastAsia="宋体" w:cs="宋体"/>
          <w:color w:val="0000FF"/>
          <w:sz w:val="21"/>
          <w:szCs w:val="21"/>
          <w:highlight w:val="none"/>
        </w:rPr>
        <w:t>建筑门窗空气声隔声性能分级及检测方法</w:t>
      </w:r>
      <w:r>
        <w:rPr>
          <w:rFonts w:ascii="宋体" w:hAnsi="宋体" w:eastAsia="宋体" w:cs="宋体"/>
          <w:color w:val="0000FF"/>
          <w:sz w:val="21"/>
          <w:szCs w:val="21"/>
          <w:highlight w:val="none"/>
        </w:rPr>
        <w:t>)，传热系数 ：≤1.8W/㎡K，隔声指数为</w:t>
      </w:r>
      <w:r>
        <w:rPr>
          <w:rFonts w:hint="eastAsia" w:ascii="宋体" w:hAnsi="宋体" w:eastAsia="宋体" w:cs="宋体"/>
          <w:color w:val="0000FF"/>
          <w:sz w:val="21"/>
          <w:szCs w:val="21"/>
          <w:highlight w:val="none"/>
        </w:rPr>
        <w:t>Rw(C</w:t>
      </w:r>
      <w:r>
        <w:rPr>
          <w:rFonts w:hint="eastAsia" w:ascii="宋体" w:hAnsi="宋体" w:eastAsia="宋体" w:cs="宋体"/>
          <w:color w:val="0000FF"/>
          <w:sz w:val="21"/>
          <w:szCs w:val="21"/>
          <w:highlight w:val="none"/>
          <w:lang w:val="en-US" w:eastAsia="zh-CN"/>
        </w:rPr>
        <w:t>,</w:t>
      </w:r>
      <w:r>
        <w:rPr>
          <w:rFonts w:hint="eastAsia" w:ascii="宋体" w:hAnsi="宋体" w:eastAsia="宋体" w:cs="宋体"/>
          <w:color w:val="0000FF"/>
          <w:sz w:val="21"/>
          <w:szCs w:val="21"/>
          <w:highlight w:val="none"/>
        </w:rPr>
        <w:t>Ctr) = 37 dB（-2</w:t>
      </w:r>
      <w:r>
        <w:rPr>
          <w:rFonts w:hint="eastAsia" w:ascii="宋体" w:hAnsi="宋体" w:eastAsia="宋体" w:cs="宋体"/>
          <w:color w:val="0000FF"/>
          <w:sz w:val="21"/>
          <w:szCs w:val="21"/>
          <w:highlight w:val="none"/>
          <w:lang w:val="en-US" w:eastAsia="zh-CN"/>
        </w:rPr>
        <w:t>,</w:t>
      </w:r>
      <w:r>
        <w:rPr>
          <w:rFonts w:hint="eastAsia" w:ascii="宋体" w:hAnsi="宋体" w:eastAsia="宋体" w:cs="宋体"/>
          <w:color w:val="0000FF"/>
          <w:sz w:val="21"/>
          <w:szCs w:val="21"/>
          <w:highlight w:val="none"/>
        </w:rPr>
        <w:t>-6）</w:t>
      </w:r>
      <w:r>
        <w:rPr>
          <w:rFonts w:ascii="宋体" w:hAnsi="宋体" w:eastAsia="宋体" w:cs="宋体"/>
          <w:b/>
          <w:bCs/>
          <w:color w:val="0000FF"/>
          <w:sz w:val="21"/>
          <w:szCs w:val="21"/>
          <w:highlight w:val="none"/>
        </w:rPr>
        <w:t>（</w:t>
      </w:r>
      <w:r>
        <w:rPr>
          <w:rFonts w:ascii="宋体" w:hAnsi="宋体" w:eastAsia="宋体" w:cs="宋体"/>
          <w:b/>
          <w:bCs/>
          <w:color w:val="0000FF"/>
          <w:sz w:val="21"/>
          <w:szCs w:val="21"/>
          <w:highlight w:val="none"/>
          <w:lang w:eastAsia="zh-CN"/>
        </w:rPr>
        <w:t>投标文件</w:t>
      </w:r>
      <w:r>
        <w:rPr>
          <w:rFonts w:ascii="宋体" w:hAnsi="宋体" w:eastAsia="宋体" w:cs="宋体"/>
          <w:b/>
          <w:bCs/>
          <w:color w:val="0000FF"/>
          <w:sz w:val="21"/>
          <w:szCs w:val="21"/>
          <w:highlight w:val="none"/>
        </w:rPr>
        <w:t>中提供第三方检测机构出具</w:t>
      </w:r>
      <w:r>
        <w:rPr>
          <w:rFonts w:hint="eastAsia" w:ascii="宋体" w:hAnsi="宋体" w:eastAsia="宋体" w:cs="宋体"/>
          <w:b/>
          <w:bCs/>
          <w:color w:val="0000FF"/>
          <w:sz w:val="21"/>
          <w:szCs w:val="21"/>
          <w:highlight w:val="none"/>
        </w:rPr>
        <w:t>的具有CMA标识的</w:t>
      </w:r>
      <w:r>
        <w:rPr>
          <w:rFonts w:ascii="宋体" w:hAnsi="宋体" w:eastAsia="宋体" w:cs="宋体"/>
          <w:b/>
          <w:bCs/>
          <w:color w:val="0000FF"/>
          <w:sz w:val="21"/>
          <w:szCs w:val="21"/>
          <w:highlight w:val="none"/>
        </w:rPr>
        <w:t>检测报告）。</w:t>
      </w:r>
    </w:p>
    <w:p w14:paraId="4C7C69D5">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4.2抗风压性能（GB/T 31433-2015</w:t>
      </w:r>
      <w:r>
        <w:rPr>
          <w:rFonts w:hint="eastAsia" w:ascii="宋体" w:hAnsi="宋体" w:eastAsia="宋体" w:cs="宋体"/>
          <w:color w:val="0000FF"/>
          <w:sz w:val="21"/>
          <w:szCs w:val="21"/>
          <w:highlight w:val="none"/>
        </w:rPr>
        <w:t>建筑幕墙、门窗通用技术条件</w:t>
      </w:r>
      <w:r>
        <w:rPr>
          <w:rFonts w:ascii="宋体" w:hAnsi="宋体" w:eastAsia="宋体" w:cs="宋体"/>
          <w:color w:val="0000FF"/>
          <w:sz w:val="21"/>
          <w:szCs w:val="21"/>
          <w:highlight w:val="none"/>
        </w:rPr>
        <w:t>）：达到国标8级或以上。</w:t>
      </w:r>
    </w:p>
    <w:p w14:paraId="0803BDBC">
      <w:pPr>
        <w:pStyle w:val="9"/>
        <w:shd w:val="clear"/>
        <w:spacing w:line="440" w:lineRule="exact"/>
        <w:ind w:firstLine="420" w:firstLineChars="200"/>
        <w:jc w:val="both"/>
        <w:rPr>
          <w:rFonts w:hint="default" w:ascii="宋体" w:hAnsi="宋体" w:eastAsia="宋体" w:cs="宋体"/>
          <w:b/>
          <w:bCs/>
          <w:color w:val="0000FF"/>
          <w:sz w:val="21"/>
          <w:szCs w:val="21"/>
          <w:highlight w:val="none"/>
        </w:rPr>
      </w:pPr>
      <w:r>
        <w:rPr>
          <w:rFonts w:ascii="宋体" w:hAnsi="宋体" w:eastAsia="宋体" w:cs="宋体"/>
          <w:color w:val="0000FF"/>
          <w:sz w:val="21"/>
          <w:szCs w:val="21"/>
          <w:highlight w:val="none"/>
        </w:rPr>
        <w:t>▲4.</w:t>
      </w:r>
      <w:r>
        <w:rPr>
          <w:rFonts w:hint="eastAsia" w:ascii="宋体" w:hAnsi="宋体" w:eastAsia="宋体" w:cs="宋体"/>
          <w:color w:val="0000FF"/>
          <w:sz w:val="21"/>
          <w:szCs w:val="21"/>
          <w:highlight w:val="none"/>
          <w:lang w:val="en-US" w:eastAsia="zh-CN"/>
        </w:rPr>
        <w:t>3</w:t>
      </w:r>
      <w:r>
        <w:rPr>
          <w:rFonts w:ascii="宋体" w:hAnsi="宋体" w:eastAsia="宋体" w:cs="宋体"/>
          <w:color w:val="0000FF"/>
          <w:sz w:val="21"/>
          <w:szCs w:val="21"/>
          <w:highlight w:val="none"/>
        </w:rPr>
        <w:t>具有抗微生物的抗菌性能：按照国家</w:t>
      </w:r>
      <w:r>
        <w:rPr>
          <w:rFonts w:hint="eastAsia" w:ascii="宋体" w:hAnsi="宋体" w:eastAsia="宋体" w:cs="宋体"/>
          <w:color w:val="0000FF"/>
          <w:sz w:val="21"/>
          <w:szCs w:val="21"/>
          <w:highlight w:val="none"/>
        </w:rPr>
        <w:t>GB/T 21866-2025涂膜抗病毒活性和抗菌性测定法</w:t>
      </w:r>
      <w:r>
        <w:rPr>
          <w:rFonts w:hint="eastAsia" w:ascii="宋体" w:hAnsi="宋体" w:eastAsia="宋体" w:cs="宋体"/>
          <w:color w:val="0000FF"/>
          <w:sz w:val="21"/>
          <w:szCs w:val="21"/>
          <w:highlight w:val="none"/>
          <w:lang w:val="en-US" w:eastAsia="zh-CN"/>
        </w:rPr>
        <w:t>或</w:t>
      </w:r>
      <w:r>
        <w:rPr>
          <w:rFonts w:ascii="宋体" w:hAnsi="宋体" w:eastAsia="宋体" w:cs="宋体"/>
          <w:color w:val="0000FF"/>
          <w:sz w:val="21"/>
          <w:szCs w:val="21"/>
          <w:highlight w:val="none"/>
        </w:rPr>
        <w:t>GB/T21866-2008《抗菌涂膜（漆膜 ）抗菌测定法和抗菌效果》测试标准测试，大肠杆菌抗菌率≥99%,金黄色葡萄球菌抗菌率≥90%。</w:t>
      </w:r>
      <w:r>
        <w:rPr>
          <w:rFonts w:ascii="宋体" w:hAnsi="宋体" w:eastAsia="宋体" w:cs="宋体"/>
          <w:b/>
          <w:bCs/>
          <w:color w:val="0000FF"/>
          <w:sz w:val="21"/>
          <w:szCs w:val="21"/>
          <w:highlight w:val="none"/>
        </w:rPr>
        <w:t>（</w:t>
      </w:r>
      <w:r>
        <w:rPr>
          <w:rFonts w:ascii="宋体" w:hAnsi="宋体" w:eastAsia="宋体" w:cs="宋体"/>
          <w:b/>
          <w:bCs/>
          <w:color w:val="0000FF"/>
          <w:sz w:val="21"/>
          <w:szCs w:val="21"/>
          <w:highlight w:val="none"/>
          <w:lang w:eastAsia="zh-CN"/>
        </w:rPr>
        <w:t>投标文件</w:t>
      </w:r>
      <w:r>
        <w:rPr>
          <w:rFonts w:ascii="宋体" w:hAnsi="宋体" w:eastAsia="宋体" w:cs="宋体"/>
          <w:b/>
          <w:bCs/>
          <w:color w:val="0000FF"/>
          <w:sz w:val="21"/>
          <w:szCs w:val="21"/>
          <w:highlight w:val="none"/>
        </w:rPr>
        <w:t>中提供第三方检测机构出具</w:t>
      </w:r>
      <w:r>
        <w:rPr>
          <w:rFonts w:hint="eastAsia" w:ascii="宋体" w:hAnsi="宋体" w:eastAsia="宋体" w:cs="宋体"/>
          <w:b/>
          <w:bCs/>
          <w:color w:val="0000FF"/>
          <w:sz w:val="21"/>
          <w:szCs w:val="21"/>
          <w:highlight w:val="none"/>
        </w:rPr>
        <w:t>的具有CMA标识的</w:t>
      </w:r>
      <w:r>
        <w:rPr>
          <w:rFonts w:ascii="宋体" w:hAnsi="宋体" w:eastAsia="宋体" w:cs="宋体"/>
          <w:b/>
          <w:bCs/>
          <w:color w:val="0000FF"/>
          <w:sz w:val="21"/>
          <w:szCs w:val="21"/>
          <w:highlight w:val="none"/>
        </w:rPr>
        <w:t>检测报告）</w:t>
      </w:r>
    </w:p>
    <w:p w14:paraId="4F817BD2">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4.</w:t>
      </w:r>
      <w:r>
        <w:rPr>
          <w:rFonts w:hint="eastAsia" w:ascii="宋体" w:hAnsi="宋体" w:eastAsia="宋体" w:cs="宋体"/>
          <w:color w:val="0000FF"/>
          <w:sz w:val="21"/>
          <w:szCs w:val="21"/>
          <w:highlight w:val="none"/>
          <w:lang w:val="en-US" w:eastAsia="zh-CN"/>
        </w:rPr>
        <w:t>4</w:t>
      </w:r>
      <w:r>
        <w:rPr>
          <w:rFonts w:ascii="宋体" w:hAnsi="宋体" w:eastAsia="宋体" w:cs="宋体"/>
          <w:color w:val="0000FF"/>
          <w:sz w:val="21"/>
          <w:szCs w:val="21"/>
          <w:highlight w:val="none"/>
        </w:rPr>
        <w:t>材质：门体门框材质采用鞍钢热熔一级环保无花无油镀锌板，门框及门板用料厚度厚度1.0mm，门扇整体厚度为50mm。门体门框表面处理：由Epoxy Resin；curing agent；pigment；filler assistant等组合而成，利用高压静电电晕电场的原理，经过加热固化转化为耐久的涂层。</w:t>
      </w:r>
    </w:p>
    <w:p w14:paraId="6459D291">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4.</w:t>
      </w:r>
      <w:r>
        <w:rPr>
          <w:rFonts w:hint="eastAsia" w:ascii="宋体" w:hAnsi="宋体" w:eastAsia="宋体" w:cs="宋体"/>
          <w:color w:val="0000FF"/>
          <w:sz w:val="21"/>
          <w:szCs w:val="21"/>
          <w:highlight w:val="none"/>
          <w:lang w:val="en-US" w:eastAsia="zh-CN"/>
        </w:rPr>
        <w:t>5</w:t>
      </w:r>
      <w:r>
        <w:rPr>
          <w:rFonts w:ascii="宋体" w:hAnsi="宋体" w:eastAsia="宋体" w:cs="宋体"/>
          <w:color w:val="0000FF"/>
          <w:sz w:val="21"/>
          <w:szCs w:val="21"/>
          <w:highlight w:val="none"/>
        </w:rPr>
        <w:t>门框门体合页为整体304不锈钢可脱卸式静音合页，防腐蚀，无噪音，不回弹，强度好，不折断，使用寿命长。合页处内衬板采用U型3.0厚加工件加强设计，长期使用不变形，不下坠。</w:t>
      </w:r>
    </w:p>
    <w:p w14:paraId="7004DEEF">
      <w:pPr>
        <w:pStyle w:val="9"/>
        <w:shd w:val="clear"/>
        <w:spacing w:line="440" w:lineRule="exact"/>
        <w:ind w:firstLine="420" w:firstLineChars="200"/>
        <w:jc w:val="both"/>
        <w:rPr>
          <w:rFonts w:hint="default" w:ascii="宋体" w:hAnsi="宋体" w:eastAsia="宋体" w:cs="宋体"/>
          <w:strike/>
          <w:color w:val="0000FF"/>
          <w:sz w:val="21"/>
          <w:szCs w:val="21"/>
          <w:highlight w:val="none"/>
        </w:rPr>
      </w:pPr>
      <w:r>
        <w:rPr>
          <w:rFonts w:ascii="宋体" w:hAnsi="宋体" w:eastAsia="宋体" w:cs="宋体"/>
          <w:color w:val="0000FF"/>
          <w:sz w:val="21"/>
          <w:szCs w:val="21"/>
          <w:highlight w:val="none"/>
        </w:rPr>
        <w:t>▲4.</w:t>
      </w:r>
      <w:r>
        <w:rPr>
          <w:rFonts w:hint="eastAsia" w:ascii="宋体" w:hAnsi="宋体" w:eastAsia="宋体" w:cs="宋体"/>
          <w:color w:val="0000FF"/>
          <w:sz w:val="21"/>
          <w:szCs w:val="21"/>
          <w:highlight w:val="none"/>
          <w:lang w:val="en-US" w:eastAsia="zh-CN"/>
        </w:rPr>
        <w:t>6</w:t>
      </w:r>
      <w:r>
        <w:rPr>
          <w:rFonts w:ascii="宋体" w:hAnsi="宋体" w:eastAsia="宋体" w:cs="宋体"/>
          <w:color w:val="0000FF"/>
          <w:sz w:val="21"/>
          <w:szCs w:val="21"/>
          <w:highlight w:val="none"/>
        </w:rPr>
        <w:t>门板涂膜厚度检测结果≥82um。</w:t>
      </w:r>
    </w:p>
    <w:p w14:paraId="5FAB3FED">
      <w:pPr>
        <w:pStyle w:val="9"/>
        <w:shd w:val="clear"/>
        <w:spacing w:line="440" w:lineRule="exact"/>
        <w:ind w:firstLine="420" w:firstLineChars="200"/>
        <w:jc w:val="both"/>
        <w:rPr>
          <w:rFonts w:hint="default" w:ascii="宋体" w:hAnsi="宋体" w:eastAsia="宋体" w:cs="宋体"/>
          <w:strike/>
          <w:color w:val="0000FF"/>
          <w:sz w:val="21"/>
          <w:szCs w:val="21"/>
          <w:highlight w:val="none"/>
        </w:rPr>
      </w:pPr>
      <w:r>
        <w:rPr>
          <w:rFonts w:ascii="宋体" w:hAnsi="宋体" w:eastAsia="宋体" w:cs="宋体"/>
          <w:color w:val="0000FF"/>
          <w:sz w:val="21"/>
          <w:szCs w:val="21"/>
          <w:highlight w:val="none"/>
        </w:rPr>
        <w:t>▲4.</w:t>
      </w:r>
      <w:r>
        <w:rPr>
          <w:rFonts w:hint="eastAsia" w:ascii="宋体" w:hAnsi="宋体" w:eastAsia="宋体" w:cs="宋体"/>
          <w:color w:val="0000FF"/>
          <w:sz w:val="21"/>
          <w:szCs w:val="21"/>
          <w:highlight w:val="none"/>
          <w:lang w:val="en-US" w:eastAsia="zh-CN"/>
        </w:rPr>
        <w:t>7</w:t>
      </w:r>
      <w:r>
        <w:rPr>
          <w:rFonts w:ascii="宋体" w:hAnsi="宋体" w:eastAsia="宋体" w:cs="宋体"/>
          <w:color w:val="0000FF"/>
          <w:sz w:val="21"/>
          <w:szCs w:val="21"/>
          <w:highlight w:val="none"/>
        </w:rPr>
        <w:t>钢制门（洁净气密门）：1）启闭力:达到国标4级；2）抗静扭曲性能：对试件施加 350N静态荷载，卸载后残余变形小于5.0mm，启闭正常，性能指标达到国标4级；3）耐软重物撞击性能：对试件门扇中点和执手分别进行落高为400mm的1 次撞击后，试件无明显变形、无损坏及面板脱落现象，启闭无异常性能指标达到国标4级。</w:t>
      </w:r>
    </w:p>
    <w:p w14:paraId="5D92759D">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4.</w:t>
      </w:r>
      <w:r>
        <w:rPr>
          <w:rFonts w:hint="eastAsia" w:ascii="宋体" w:hAnsi="宋体" w:eastAsia="宋体" w:cs="宋体"/>
          <w:color w:val="0000FF"/>
          <w:sz w:val="21"/>
          <w:szCs w:val="21"/>
          <w:highlight w:val="none"/>
          <w:lang w:val="en-US" w:eastAsia="zh-CN"/>
        </w:rPr>
        <w:t>8</w:t>
      </w:r>
      <w:r>
        <w:rPr>
          <w:rFonts w:ascii="宋体" w:hAnsi="宋体" w:eastAsia="宋体" w:cs="宋体"/>
          <w:color w:val="0000FF"/>
          <w:sz w:val="21"/>
          <w:szCs w:val="21"/>
          <w:highlight w:val="none"/>
        </w:rPr>
        <w:t>门体视窗为双层黑色丝印钢化圆角（R100）玻璃，黑色丝印边为22mm;玻璃表面与门板平齐，保证门体表面光滑平整 。</w:t>
      </w:r>
    </w:p>
    <w:p w14:paraId="3287E332">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4.</w:t>
      </w:r>
      <w:r>
        <w:rPr>
          <w:rFonts w:hint="eastAsia" w:ascii="宋体" w:hAnsi="宋体" w:eastAsia="宋体" w:cs="宋体"/>
          <w:color w:val="0000FF"/>
          <w:sz w:val="21"/>
          <w:szCs w:val="21"/>
          <w:highlight w:val="none"/>
          <w:lang w:val="en-US" w:eastAsia="zh-CN"/>
        </w:rPr>
        <w:t>9</w:t>
      </w:r>
      <w:r>
        <w:rPr>
          <w:rFonts w:ascii="宋体" w:hAnsi="宋体" w:eastAsia="宋体" w:cs="宋体"/>
          <w:color w:val="0000FF"/>
          <w:sz w:val="21"/>
          <w:szCs w:val="21"/>
          <w:highlight w:val="none"/>
        </w:rPr>
        <w:t>门体装有硅胶密封条，底部配有自动升降密封装置，提高其密封效果。</w:t>
      </w:r>
    </w:p>
    <w:p w14:paraId="106A386A">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4.1</w:t>
      </w:r>
      <w:r>
        <w:rPr>
          <w:rFonts w:hint="eastAsia" w:ascii="宋体" w:hAnsi="宋体" w:eastAsia="宋体" w:cs="宋体"/>
          <w:color w:val="0000FF"/>
          <w:sz w:val="21"/>
          <w:szCs w:val="21"/>
          <w:highlight w:val="none"/>
          <w:lang w:val="en-US" w:eastAsia="zh-CN"/>
        </w:rPr>
        <w:t>0</w:t>
      </w:r>
      <w:r>
        <w:rPr>
          <w:rFonts w:ascii="宋体" w:hAnsi="宋体" w:eastAsia="宋体" w:cs="宋体"/>
          <w:color w:val="0000FF"/>
          <w:sz w:val="21"/>
          <w:szCs w:val="21"/>
          <w:highlight w:val="none"/>
        </w:rPr>
        <w:t>洁净专用锁体：面板3.0MM304不锈钢材质，把手304材质，把手盖，锁芯盖316材质，耐火性能按GB12955-2008</w:t>
      </w:r>
      <w:r>
        <w:rPr>
          <w:rFonts w:hint="eastAsia" w:ascii="宋体" w:hAnsi="宋体" w:eastAsia="宋体" w:cs="宋体"/>
          <w:color w:val="0000FF"/>
          <w:sz w:val="21"/>
          <w:szCs w:val="21"/>
          <w:highlight w:val="none"/>
        </w:rPr>
        <w:t>防火门</w:t>
      </w:r>
      <w:r>
        <w:rPr>
          <w:rFonts w:ascii="宋体" w:hAnsi="宋体" w:eastAsia="宋体" w:cs="宋体"/>
          <w:color w:val="0000FF"/>
          <w:sz w:val="21"/>
          <w:szCs w:val="21"/>
          <w:highlight w:val="none"/>
        </w:rPr>
        <w:t>标准  检测耐火性能1.5h。</w:t>
      </w:r>
    </w:p>
    <w:p w14:paraId="20062DF2">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4.1</w:t>
      </w:r>
      <w:r>
        <w:rPr>
          <w:rFonts w:hint="eastAsia" w:ascii="宋体" w:hAnsi="宋体" w:eastAsia="宋体" w:cs="宋体"/>
          <w:color w:val="0000FF"/>
          <w:sz w:val="21"/>
          <w:szCs w:val="21"/>
          <w:highlight w:val="none"/>
          <w:lang w:val="en-US" w:eastAsia="zh-CN"/>
        </w:rPr>
        <w:t>1</w:t>
      </w:r>
      <w:r>
        <w:rPr>
          <w:rFonts w:ascii="宋体" w:hAnsi="宋体" w:eastAsia="宋体" w:cs="宋体"/>
          <w:color w:val="0000FF"/>
          <w:sz w:val="21"/>
          <w:szCs w:val="21"/>
          <w:highlight w:val="none"/>
        </w:rPr>
        <w:t>填充材料阻燃性：按GB8624-2012（建筑材料及制品燃烧性能分级）标准，达到B1防火标准。</w:t>
      </w:r>
    </w:p>
    <w:p w14:paraId="765B9805">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4.1</w:t>
      </w:r>
      <w:r>
        <w:rPr>
          <w:rFonts w:hint="eastAsia" w:ascii="宋体" w:hAnsi="宋体" w:eastAsia="宋体" w:cs="宋体"/>
          <w:color w:val="0000FF"/>
          <w:sz w:val="21"/>
          <w:szCs w:val="21"/>
          <w:highlight w:val="none"/>
          <w:lang w:val="en-US" w:eastAsia="zh-CN"/>
        </w:rPr>
        <w:t>2</w:t>
      </w:r>
      <w:r>
        <w:rPr>
          <w:rFonts w:ascii="宋体" w:hAnsi="宋体" w:eastAsia="宋体" w:cs="宋体"/>
          <w:color w:val="0000FF"/>
          <w:sz w:val="21"/>
          <w:szCs w:val="21"/>
          <w:highlight w:val="none"/>
        </w:rPr>
        <w:t>门体使用胶水符合HJ2541-2016环境标志产品技术要求胶粘剂有害物质限量的要求。</w:t>
      </w:r>
    </w:p>
    <w:p w14:paraId="21083AD1">
      <w:pPr>
        <w:pStyle w:val="9"/>
        <w:shd w:val="clear"/>
        <w:spacing w:line="440" w:lineRule="exact"/>
        <w:ind w:firstLine="422" w:firstLineChars="200"/>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二、</w:t>
      </w:r>
      <w:r>
        <w:rPr>
          <w:rFonts w:ascii="宋体" w:hAnsi="宋体" w:eastAsia="宋体" w:cs="宋体"/>
          <w:b/>
          <w:bCs/>
          <w:color w:val="0000FF"/>
          <w:sz w:val="21"/>
          <w:szCs w:val="21"/>
          <w:highlight w:val="none"/>
        </w:rPr>
        <w:t>空调系统：</w:t>
      </w:r>
    </w:p>
    <w:p w14:paraId="4F8C71E0">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（一）</w:t>
      </w:r>
      <w:r>
        <w:rPr>
          <w:rFonts w:ascii="宋体" w:hAnsi="宋体" w:eastAsia="宋体" w:cs="宋体"/>
          <w:b/>
          <w:bCs/>
          <w:color w:val="0000FF"/>
          <w:sz w:val="21"/>
          <w:szCs w:val="21"/>
          <w:highlight w:val="none"/>
        </w:rPr>
        <w:t>空调系统整体要求</w:t>
      </w:r>
    </w:p>
    <w:p w14:paraId="0E6AE9E0">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hint="default" w:ascii="宋体" w:hAnsi="宋体" w:eastAsia="宋体" w:cs="宋体"/>
          <w:color w:val="0000FF"/>
          <w:sz w:val="21"/>
          <w:szCs w:val="21"/>
          <w:highlight w:val="none"/>
        </w:rPr>
        <w:t>1.</w:t>
      </w:r>
      <w:r>
        <w:rPr>
          <w:rFonts w:ascii="宋体" w:hAnsi="宋体" w:eastAsia="宋体" w:cs="宋体"/>
          <w:color w:val="0000FF"/>
          <w:sz w:val="21"/>
          <w:szCs w:val="21"/>
          <w:highlight w:val="none"/>
        </w:rPr>
        <w:t>选用节能环保的空气净化系统和先进的气流组织模式，实验室技术指标不应低于《</w:t>
      </w:r>
      <w:r>
        <w:rPr>
          <w:rFonts w:ascii="宋体" w:hAnsi="宋体" w:eastAsia="宋体" w:cs="宋体"/>
          <w:color w:val="0000FF"/>
          <w:sz w:val="21"/>
          <w:szCs w:val="21"/>
          <w:highlight w:val="none"/>
          <w:lang w:eastAsia="zh-CN"/>
        </w:rPr>
        <w:t>医学生物安全二级实验室建筑技术标准</w:t>
      </w:r>
      <w:r>
        <w:rPr>
          <w:rFonts w:ascii="宋体" w:hAnsi="宋体" w:eastAsia="宋体" w:cs="宋体"/>
          <w:color w:val="0000FF"/>
          <w:sz w:val="21"/>
          <w:szCs w:val="21"/>
          <w:highlight w:val="none"/>
        </w:rPr>
        <w:t>》</w:t>
      </w:r>
      <w:r>
        <w:rPr>
          <w:rFonts w:ascii="宋体" w:hAnsi="宋体" w:eastAsia="宋体" w:cs="宋体"/>
          <w:color w:val="0000FF"/>
          <w:sz w:val="21"/>
          <w:szCs w:val="21"/>
          <w:highlight w:val="none"/>
          <w:lang w:eastAsia="zh-CN"/>
        </w:rPr>
        <w:t>T/CECS 662-2020</w:t>
      </w:r>
      <w:r>
        <w:rPr>
          <w:rFonts w:ascii="宋体" w:hAnsi="宋体" w:eastAsia="宋体" w:cs="宋体"/>
          <w:color w:val="0000FF"/>
          <w:sz w:val="21"/>
          <w:szCs w:val="21"/>
          <w:highlight w:val="none"/>
        </w:rPr>
        <w:t>的主要技术指标。</w:t>
      </w:r>
    </w:p>
    <w:p w14:paraId="7DF518CE">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hint="default" w:ascii="宋体" w:hAnsi="宋体" w:eastAsia="宋体" w:cs="宋体"/>
          <w:color w:val="0000FF"/>
          <w:sz w:val="21"/>
          <w:szCs w:val="21"/>
          <w:highlight w:val="none"/>
        </w:rPr>
        <w:t>2.</w:t>
      </w:r>
      <w:r>
        <w:rPr>
          <w:rFonts w:ascii="宋体" w:hAnsi="宋体" w:eastAsia="宋体" w:cs="宋体"/>
          <w:color w:val="0000FF"/>
          <w:sz w:val="21"/>
          <w:szCs w:val="21"/>
          <w:highlight w:val="none"/>
        </w:rPr>
        <w:t>GMP实验室区域采用</w:t>
      </w:r>
      <w:r>
        <w:rPr>
          <w:rFonts w:ascii="宋体" w:hAnsi="宋体" w:eastAsia="宋体" w:cs="宋体"/>
          <w:color w:val="0000FF"/>
          <w:sz w:val="21"/>
          <w:szCs w:val="21"/>
          <w:highlight w:val="none"/>
          <w:lang w:eastAsia="zh-CN"/>
        </w:rPr>
        <w:t>一</w:t>
      </w:r>
      <w:r>
        <w:rPr>
          <w:rFonts w:ascii="宋体" w:hAnsi="宋体" w:eastAsia="宋体" w:cs="宋体"/>
          <w:color w:val="0000FF"/>
          <w:sz w:val="21"/>
          <w:szCs w:val="21"/>
          <w:highlight w:val="none"/>
        </w:rPr>
        <w:t>套直膨式净化循环空调机组</w:t>
      </w:r>
      <w:r>
        <w:rPr>
          <w:rFonts w:ascii="宋体" w:hAnsi="宋体" w:eastAsia="宋体" w:cs="宋体"/>
          <w:color w:val="0000FF"/>
          <w:sz w:val="21"/>
          <w:szCs w:val="21"/>
          <w:highlight w:val="none"/>
          <w:lang w:eastAsia="zh-CN"/>
        </w:rPr>
        <w:t>，非净化区域利旧原有多联机系统</w:t>
      </w:r>
      <w:r>
        <w:rPr>
          <w:rFonts w:ascii="宋体" w:hAnsi="宋体" w:eastAsia="宋体" w:cs="宋体"/>
          <w:color w:val="0000FF"/>
          <w:sz w:val="21"/>
          <w:szCs w:val="21"/>
          <w:highlight w:val="none"/>
        </w:rPr>
        <w:t>。</w:t>
      </w:r>
    </w:p>
    <w:p w14:paraId="400D991E">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3</w:t>
      </w:r>
      <w:r>
        <w:rPr>
          <w:rFonts w:hint="default" w:ascii="宋体" w:hAnsi="宋体" w:eastAsia="宋体" w:cs="宋体"/>
          <w:color w:val="0000FF"/>
          <w:sz w:val="21"/>
          <w:szCs w:val="21"/>
          <w:highlight w:val="none"/>
        </w:rPr>
        <w:t>.</w:t>
      </w:r>
      <w:r>
        <w:rPr>
          <w:rFonts w:ascii="宋体" w:hAnsi="宋体" w:eastAsia="宋体" w:cs="宋体"/>
          <w:color w:val="0000FF"/>
          <w:sz w:val="21"/>
          <w:szCs w:val="21"/>
          <w:highlight w:val="none"/>
        </w:rPr>
        <w:t>空调机组应有数据空调节能运行软件与之匹配。</w:t>
      </w:r>
    </w:p>
    <w:p w14:paraId="4387867E">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lang w:val="en-US" w:eastAsia="zh-CN"/>
        </w:rPr>
        <w:t>4</w:t>
      </w:r>
      <w:r>
        <w:rPr>
          <w:rFonts w:hint="default" w:ascii="宋体" w:hAnsi="宋体" w:eastAsia="宋体" w:cs="宋体"/>
          <w:b/>
          <w:bCs/>
          <w:color w:val="0000FF"/>
          <w:sz w:val="21"/>
          <w:szCs w:val="21"/>
          <w:highlight w:val="none"/>
        </w:rPr>
        <w:t>.</w:t>
      </w:r>
      <w:r>
        <w:rPr>
          <w:rFonts w:ascii="宋体" w:hAnsi="宋体" w:eastAsia="宋体" w:cs="宋体"/>
          <w:b/>
          <w:bCs/>
          <w:color w:val="0000FF"/>
          <w:sz w:val="21"/>
          <w:szCs w:val="21"/>
          <w:highlight w:val="none"/>
        </w:rPr>
        <w:t>▲制造商应有消毒产品生产企业卫生许可证。</w:t>
      </w:r>
    </w:p>
    <w:p w14:paraId="09A02170">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5</w:t>
      </w:r>
      <w:r>
        <w:rPr>
          <w:rFonts w:hint="default" w:ascii="宋体" w:hAnsi="宋体" w:eastAsia="宋体" w:cs="宋体"/>
          <w:color w:val="0000FF"/>
          <w:sz w:val="21"/>
          <w:szCs w:val="21"/>
          <w:highlight w:val="none"/>
        </w:rPr>
        <w:t>.</w:t>
      </w:r>
      <w:r>
        <w:rPr>
          <w:rFonts w:ascii="宋体" w:hAnsi="宋体" w:eastAsia="宋体" w:cs="宋体"/>
          <w:color w:val="0000FF"/>
          <w:sz w:val="21"/>
          <w:szCs w:val="21"/>
          <w:highlight w:val="none"/>
        </w:rPr>
        <w:t>空调机组与自控系统匹配，运行稳定。</w:t>
      </w:r>
    </w:p>
    <w:p w14:paraId="02397E24">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6</w:t>
      </w:r>
      <w:r>
        <w:rPr>
          <w:rFonts w:hint="default" w:ascii="宋体" w:hAnsi="宋体" w:eastAsia="宋体" w:cs="宋体"/>
          <w:color w:val="0000FF"/>
          <w:sz w:val="21"/>
          <w:szCs w:val="21"/>
          <w:highlight w:val="none"/>
        </w:rPr>
        <w:t>.</w:t>
      </w:r>
      <w:r>
        <w:rPr>
          <w:rFonts w:ascii="宋体" w:hAnsi="宋体" w:eastAsia="宋体" w:cs="宋体"/>
          <w:color w:val="0000FF"/>
          <w:sz w:val="21"/>
          <w:szCs w:val="21"/>
          <w:highlight w:val="none"/>
        </w:rPr>
        <w:t>▲空调须通过依据 GB8624-2012 《建筑材料及制品燃烧性能分级》国家标准检测，要求箱板燃烧性能不低于 B1 级</w:t>
      </w:r>
      <w:r>
        <w:rPr>
          <w:rFonts w:ascii="宋体" w:hAnsi="宋体" w:eastAsia="宋体" w:cs="宋体"/>
          <w:b/>
          <w:bCs/>
          <w:color w:val="0000FF"/>
          <w:sz w:val="21"/>
          <w:szCs w:val="21"/>
          <w:highlight w:val="none"/>
        </w:rPr>
        <w:t>（</w:t>
      </w:r>
      <w:r>
        <w:rPr>
          <w:rFonts w:ascii="宋体" w:hAnsi="宋体" w:eastAsia="宋体" w:cs="宋体"/>
          <w:b/>
          <w:bCs/>
          <w:color w:val="0000FF"/>
          <w:sz w:val="21"/>
          <w:szCs w:val="21"/>
          <w:highlight w:val="none"/>
          <w:lang w:eastAsia="zh-CN"/>
        </w:rPr>
        <w:t>投标文件</w:t>
      </w:r>
      <w:r>
        <w:rPr>
          <w:rFonts w:ascii="宋体" w:hAnsi="宋体" w:eastAsia="宋体" w:cs="宋体"/>
          <w:b/>
          <w:bCs/>
          <w:color w:val="0000FF"/>
          <w:sz w:val="21"/>
          <w:szCs w:val="21"/>
          <w:highlight w:val="none"/>
        </w:rPr>
        <w:t>中提供第三方检测机构出具</w:t>
      </w:r>
      <w:r>
        <w:rPr>
          <w:rFonts w:hint="eastAsia" w:ascii="宋体" w:hAnsi="宋体" w:eastAsia="宋体" w:cs="宋体"/>
          <w:b/>
          <w:bCs/>
          <w:color w:val="0000FF"/>
          <w:sz w:val="21"/>
          <w:szCs w:val="21"/>
          <w:highlight w:val="none"/>
        </w:rPr>
        <w:t>的具有CMA标识的</w:t>
      </w:r>
      <w:r>
        <w:rPr>
          <w:rFonts w:ascii="宋体" w:hAnsi="宋体" w:eastAsia="宋体" w:cs="宋体"/>
          <w:b/>
          <w:bCs/>
          <w:color w:val="0000FF"/>
          <w:sz w:val="21"/>
          <w:szCs w:val="21"/>
          <w:highlight w:val="none"/>
        </w:rPr>
        <w:t>检测报告）。</w:t>
      </w:r>
    </w:p>
    <w:p w14:paraId="676031D9">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7</w:t>
      </w:r>
      <w:r>
        <w:rPr>
          <w:rFonts w:hint="default" w:ascii="宋体" w:hAnsi="宋体" w:eastAsia="宋体" w:cs="宋体"/>
          <w:color w:val="0000FF"/>
          <w:sz w:val="21"/>
          <w:szCs w:val="21"/>
          <w:highlight w:val="none"/>
        </w:rPr>
        <w:t>.</w:t>
      </w:r>
      <w:r>
        <w:rPr>
          <w:rFonts w:ascii="宋体" w:hAnsi="宋体" w:eastAsia="宋体" w:cs="宋体"/>
          <w:color w:val="0000FF"/>
          <w:sz w:val="21"/>
          <w:szCs w:val="21"/>
          <w:highlight w:val="none"/>
        </w:rPr>
        <w:t>▲洁净空调机组通过中国节能产品认证；</w:t>
      </w:r>
    </w:p>
    <w:p w14:paraId="69F99D79">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lang w:val="en-US" w:eastAsia="zh-CN"/>
        </w:rPr>
        <w:t>8</w:t>
      </w:r>
      <w:r>
        <w:rPr>
          <w:rFonts w:hint="default" w:ascii="宋体" w:hAnsi="宋体" w:eastAsia="宋体" w:cs="宋体"/>
          <w:b/>
          <w:bCs/>
          <w:color w:val="0000FF"/>
          <w:sz w:val="21"/>
          <w:szCs w:val="21"/>
          <w:highlight w:val="none"/>
        </w:rPr>
        <w:t>.</w:t>
      </w:r>
      <w:r>
        <w:rPr>
          <w:rFonts w:ascii="宋体" w:hAnsi="宋体" w:eastAsia="宋体" w:cs="宋体"/>
          <w:color w:val="0000FF"/>
          <w:sz w:val="21"/>
          <w:szCs w:val="21"/>
          <w:highlight w:val="none"/>
        </w:rPr>
        <w:t>▲洁净空气调节机组有对白色葡萄球菌的除菌率≥90%检测试验报告；洁净空气调节机组有对肺炎克雷伯氏菌的除菌率≥90%检测试验报告；洁净空气调节机组有对空气自然菌的消亡率≥90%检测试验报告；洁净空气调节机组有对甲型流感病毒（H1N1）去除率≥90%检测试验报告。</w:t>
      </w:r>
      <w:r>
        <w:rPr>
          <w:rFonts w:ascii="宋体" w:hAnsi="宋体" w:eastAsia="宋体" w:cs="宋体"/>
          <w:b/>
          <w:bCs/>
          <w:color w:val="0000FF"/>
          <w:sz w:val="21"/>
          <w:szCs w:val="21"/>
          <w:highlight w:val="none"/>
        </w:rPr>
        <w:t>（</w:t>
      </w:r>
      <w:r>
        <w:rPr>
          <w:rFonts w:ascii="宋体" w:hAnsi="宋体" w:eastAsia="宋体" w:cs="宋体"/>
          <w:b/>
          <w:bCs/>
          <w:color w:val="0000FF"/>
          <w:sz w:val="21"/>
          <w:szCs w:val="21"/>
          <w:highlight w:val="none"/>
          <w:lang w:eastAsia="zh-CN"/>
        </w:rPr>
        <w:t>投标文件</w:t>
      </w:r>
      <w:r>
        <w:rPr>
          <w:rFonts w:ascii="宋体" w:hAnsi="宋体" w:eastAsia="宋体" w:cs="宋体"/>
          <w:b/>
          <w:bCs/>
          <w:color w:val="0000FF"/>
          <w:sz w:val="21"/>
          <w:szCs w:val="21"/>
          <w:highlight w:val="none"/>
        </w:rPr>
        <w:t>中提供第三方检测机构出具</w:t>
      </w:r>
      <w:r>
        <w:rPr>
          <w:rFonts w:hint="eastAsia" w:ascii="宋体" w:hAnsi="宋体" w:eastAsia="宋体" w:cs="宋体"/>
          <w:b/>
          <w:bCs/>
          <w:color w:val="0000FF"/>
          <w:sz w:val="21"/>
          <w:szCs w:val="21"/>
          <w:highlight w:val="none"/>
        </w:rPr>
        <w:t>的具有CMA标识的</w:t>
      </w:r>
      <w:r>
        <w:rPr>
          <w:rFonts w:ascii="宋体" w:hAnsi="宋体" w:eastAsia="宋体" w:cs="宋体"/>
          <w:b/>
          <w:bCs/>
          <w:color w:val="0000FF"/>
          <w:sz w:val="21"/>
          <w:szCs w:val="21"/>
          <w:highlight w:val="none"/>
        </w:rPr>
        <w:t>检测报告）。</w:t>
      </w:r>
    </w:p>
    <w:p w14:paraId="0DB899B5">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lang w:val="en-US" w:eastAsia="zh-CN"/>
        </w:rPr>
        <w:t>9</w:t>
      </w:r>
      <w:r>
        <w:rPr>
          <w:rFonts w:hint="default" w:ascii="宋体" w:hAnsi="宋体" w:eastAsia="宋体" w:cs="宋体"/>
          <w:b/>
          <w:bCs/>
          <w:color w:val="0000FF"/>
          <w:sz w:val="21"/>
          <w:szCs w:val="21"/>
          <w:highlight w:val="none"/>
        </w:rPr>
        <w:t>.</w:t>
      </w:r>
      <w:r>
        <w:rPr>
          <w:rFonts w:ascii="宋体" w:hAnsi="宋体" w:eastAsia="宋体" w:cs="宋体"/>
          <w:color w:val="0000FF"/>
          <w:sz w:val="21"/>
          <w:szCs w:val="21"/>
          <w:highlight w:val="none"/>
        </w:rPr>
        <w:t>▲抗菌翅片型换热器+抗菌型干式水盘有对大肠杆菌的抗菌率≥90%检测试验报告</w:t>
      </w:r>
      <w:r>
        <w:rPr>
          <w:rFonts w:ascii="宋体" w:hAnsi="宋体" w:eastAsia="宋体" w:cs="宋体"/>
          <w:color w:val="0000FF"/>
          <w:sz w:val="21"/>
          <w:szCs w:val="21"/>
          <w:highlight w:val="none"/>
          <w:lang w:eastAsia="zh-CN"/>
        </w:rPr>
        <w:t>；</w:t>
      </w:r>
      <w:r>
        <w:rPr>
          <w:rFonts w:ascii="宋体" w:hAnsi="宋体" w:eastAsia="宋体" w:cs="宋体"/>
          <w:color w:val="0000FF"/>
          <w:sz w:val="21"/>
          <w:szCs w:val="21"/>
          <w:highlight w:val="none"/>
        </w:rPr>
        <w:t>有对金黄色葡萄球菌的抗菌率≥90%检测试验报告</w:t>
      </w:r>
      <w:r>
        <w:rPr>
          <w:rFonts w:ascii="宋体" w:hAnsi="宋体" w:eastAsia="宋体" w:cs="宋体"/>
          <w:color w:val="0000FF"/>
          <w:sz w:val="21"/>
          <w:szCs w:val="21"/>
          <w:highlight w:val="none"/>
          <w:lang w:eastAsia="zh-CN"/>
        </w:rPr>
        <w:t>；</w:t>
      </w:r>
      <w:r>
        <w:rPr>
          <w:rFonts w:ascii="宋体" w:hAnsi="宋体" w:eastAsia="宋体" w:cs="宋体"/>
          <w:color w:val="0000FF"/>
          <w:sz w:val="21"/>
          <w:szCs w:val="21"/>
          <w:highlight w:val="none"/>
        </w:rPr>
        <w:t>有对白色念珠菌的抗菌率≥90%检测试验报告</w:t>
      </w:r>
      <w:r>
        <w:rPr>
          <w:rFonts w:ascii="宋体" w:hAnsi="宋体" w:eastAsia="宋体" w:cs="宋体"/>
          <w:color w:val="0000FF"/>
          <w:sz w:val="21"/>
          <w:szCs w:val="21"/>
          <w:highlight w:val="none"/>
          <w:lang w:eastAsia="zh-CN"/>
        </w:rPr>
        <w:t>；</w:t>
      </w:r>
      <w:r>
        <w:rPr>
          <w:rFonts w:ascii="宋体" w:hAnsi="宋体" w:eastAsia="宋体" w:cs="宋体"/>
          <w:color w:val="0000FF"/>
          <w:sz w:val="21"/>
          <w:szCs w:val="21"/>
          <w:highlight w:val="none"/>
        </w:rPr>
        <w:t>有对甲型流感病毒(H1N1)抗病毒活性率≥90%检测试验报告，检测依据:1S021702-2019塑料和其他非多孔表面抗病毒活性的测定。</w:t>
      </w:r>
      <w:r>
        <w:rPr>
          <w:rFonts w:ascii="宋体" w:hAnsi="宋体" w:eastAsia="宋体" w:cs="宋体"/>
          <w:b/>
          <w:bCs/>
          <w:color w:val="0000FF"/>
          <w:sz w:val="21"/>
          <w:szCs w:val="21"/>
          <w:highlight w:val="none"/>
        </w:rPr>
        <w:t>（</w:t>
      </w:r>
      <w:r>
        <w:rPr>
          <w:rFonts w:ascii="宋体" w:hAnsi="宋体" w:eastAsia="宋体" w:cs="宋体"/>
          <w:b/>
          <w:bCs/>
          <w:color w:val="0000FF"/>
          <w:sz w:val="21"/>
          <w:szCs w:val="21"/>
          <w:highlight w:val="none"/>
          <w:lang w:eastAsia="zh-CN"/>
        </w:rPr>
        <w:t>投标文件</w:t>
      </w:r>
      <w:r>
        <w:rPr>
          <w:rFonts w:ascii="宋体" w:hAnsi="宋体" w:eastAsia="宋体" w:cs="宋体"/>
          <w:b/>
          <w:bCs/>
          <w:color w:val="0000FF"/>
          <w:sz w:val="21"/>
          <w:szCs w:val="21"/>
          <w:highlight w:val="none"/>
        </w:rPr>
        <w:t>中提供第三方检测机构出具</w:t>
      </w:r>
      <w:r>
        <w:rPr>
          <w:rFonts w:hint="eastAsia" w:ascii="宋体" w:hAnsi="宋体" w:eastAsia="宋体" w:cs="宋体"/>
          <w:b/>
          <w:bCs/>
          <w:color w:val="0000FF"/>
          <w:sz w:val="21"/>
          <w:szCs w:val="21"/>
          <w:highlight w:val="none"/>
        </w:rPr>
        <w:t>的具有CMA标识的</w:t>
      </w:r>
      <w:r>
        <w:rPr>
          <w:rFonts w:ascii="宋体" w:hAnsi="宋体" w:eastAsia="宋体" w:cs="宋体"/>
          <w:b/>
          <w:bCs/>
          <w:color w:val="0000FF"/>
          <w:sz w:val="21"/>
          <w:szCs w:val="21"/>
          <w:highlight w:val="none"/>
        </w:rPr>
        <w:t>检测报告）。</w:t>
      </w:r>
    </w:p>
    <w:p w14:paraId="2683C11D">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（二）</w:t>
      </w:r>
      <w:r>
        <w:rPr>
          <w:rFonts w:ascii="宋体" w:hAnsi="宋体" w:eastAsia="宋体" w:cs="宋体"/>
          <w:b/>
          <w:bCs/>
          <w:color w:val="0000FF"/>
          <w:sz w:val="21"/>
          <w:szCs w:val="21"/>
          <w:highlight w:val="none"/>
        </w:rPr>
        <w:t>机组箱体要求：</w:t>
      </w:r>
    </w:p>
    <w:p w14:paraId="7D4C91C8">
      <w:pPr>
        <w:pStyle w:val="9"/>
        <w:shd w:val="clear"/>
        <w:spacing w:line="440" w:lineRule="exact"/>
        <w:ind w:firstLine="420" w:firstLineChars="200"/>
        <w:jc w:val="both"/>
        <w:rPr>
          <w:rFonts w:hint="default" w:ascii="宋体" w:hAnsi="宋体" w:eastAsia="宋体" w:cs="宋体"/>
          <w:color w:val="0000FF"/>
          <w:sz w:val="21"/>
          <w:szCs w:val="21"/>
          <w:highlight w:val="none"/>
          <w:lang w:eastAsia="zh-CN"/>
        </w:rPr>
      </w:pPr>
      <w:r>
        <w:rPr>
          <w:rFonts w:ascii="宋体" w:hAnsi="宋体" w:eastAsia="宋体" w:cs="宋体"/>
          <w:color w:val="0000FF"/>
          <w:sz w:val="21"/>
          <w:szCs w:val="21"/>
          <w:highlight w:val="none"/>
          <w:lang w:eastAsia="zh-CN"/>
        </w:rPr>
        <w:t>1.</w:t>
      </w:r>
      <w:r>
        <w:rPr>
          <w:rFonts w:ascii="宋体" w:hAnsi="宋体" w:eastAsia="宋体" w:cs="宋体"/>
          <w:color w:val="0000FF"/>
          <w:sz w:val="21"/>
          <w:szCs w:val="21"/>
          <w:highlight w:val="none"/>
        </w:rPr>
        <w:t>空气处理机组采用双层保温板设计，内外板材料标准配置均为白色烤漆镀锌钢板。框架选用铝合金框架，整体箱板厚度不小于50mm。外壁板厚度≥0.5mm，内壁板厚度≥0.5mm。传热系数不大于0.</w:t>
      </w:r>
      <w:r>
        <w:rPr>
          <w:rFonts w:ascii="宋体" w:hAnsi="宋体" w:eastAsia="宋体" w:cs="宋体"/>
          <w:color w:val="0000FF"/>
          <w:sz w:val="21"/>
          <w:szCs w:val="21"/>
          <w:highlight w:val="none"/>
          <w:lang w:eastAsia="zh-CN"/>
        </w:rPr>
        <w:t>58</w:t>
      </w:r>
      <w:r>
        <w:rPr>
          <w:rFonts w:ascii="宋体" w:hAnsi="宋体" w:eastAsia="宋体" w:cs="宋体"/>
          <w:color w:val="0000FF"/>
          <w:sz w:val="21"/>
          <w:szCs w:val="21"/>
          <w:highlight w:val="none"/>
        </w:rPr>
        <w:t>w/(㎡*K)，机组热绝缘性能保证应不低于 T2（M) 级</w:t>
      </w:r>
      <w:r>
        <w:rPr>
          <w:rFonts w:ascii="宋体" w:hAnsi="宋体" w:eastAsia="宋体" w:cs="宋体"/>
          <w:color w:val="0000FF"/>
          <w:sz w:val="21"/>
          <w:szCs w:val="21"/>
          <w:highlight w:val="none"/>
          <w:lang w:eastAsia="zh-CN"/>
        </w:rPr>
        <w:t>。</w:t>
      </w:r>
    </w:p>
    <w:p w14:paraId="2F86BB85">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2.</w:t>
      </w:r>
      <w:r>
        <w:rPr>
          <w:rFonts w:ascii="宋体" w:hAnsi="宋体" w:eastAsia="宋体" w:cs="宋体"/>
          <w:color w:val="0000FF"/>
          <w:sz w:val="21"/>
          <w:szCs w:val="21"/>
          <w:highlight w:val="none"/>
        </w:rPr>
        <w:t>箱体要求采用铝合金框架结构，保证机组的刚度和强度，机体在运转时不变形。在±1000pa条件下，机组变形量≤</w:t>
      </w:r>
      <w:r>
        <w:rPr>
          <w:rFonts w:ascii="宋体" w:hAnsi="宋体" w:eastAsia="宋体" w:cs="宋体"/>
          <w:color w:val="0000FF"/>
          <w:sz w:val="21"/>
          <w:szCs w:val="21"/>
          <w:highlight w:val="none"/>
          <w:lang w:eastAsia="zh-CN"/>
        </w:rPr>
        <w:t>0.5</w:t>
      </w:r>
      <w:r>
        <w:rPr>
          <w:rFonts w:ascii="宋体" w:hAnsi="宋体" w:eastAsia="宋体" w:cs="宋体"/>
          <w:color w:val="0000FF"/>
          <w:sz w:val="21"/>
          <w:szCs w:val="21"/>
          <w:highlight w:val="none"/>
        </w:rPr>
        <w:t>mm/m；且同时机组箱体机械强度不低于D1</w:t>
      </w:r>
      <w:r>
        <w:rPr>
          <w:rFonts w:ascii="宋体" w:hAnsi="宋体" w:eastAsia="宋体" w:cs="宋体"/>
          <w:color w:val="0000FF"/>
          <w:sz w:val="21"/>
          <w:szCs w:val="21"/>
          <w:highlight w:val="none"/>
          <w:lang w:eastAsia="zh-CN"/>
        </w:rPr>
        <w:t>（M)</w:t>
      </w:r>
      <w:r>
        <w:rPr>
          <w:rFonts w:ascii="宋体" w:hAnsi="宋体" w:eastAsia="宋体" w:cs="宋体"/>
          <w:color w:val="0000FF"/>
          <w:sz w:val="21"/>
          <w:szCs w:val="21"/>
          <w:highlight w:val="none"/>
        </w:rPr>
        <w:t>级。</w:t>
      </w:r>
    </w:p>
    <w:p w14:paraId="64EBD802">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w:t>
      </w:r>
      <w:r>
        <w:rPr>
          <w:rFonts w:ascii="宋体" w:hAnsi="宋体" w:eastAsia="宋体" w:cs="宋体"/>
          <w:color w:val="0000FF"/>
          <w:sz w:val="21"/>
          <w:szCs w:val="21"/>
          <w:highlight w:val="none"/>
          <w:lang w:eastAsia="zh-CN"/>
        </w:rPr>
        <w:t>3.</w:t>
      </w:r>
      <w:r>
        <w:rPr>
          <w:rFonts w:ascii="宋体" w:hAnsi="宋体" w:eastAsia="宋体" w:cs="宋体"/>
          <w:color w:val="0000FF"/>
          <w:sz w:val="21"/>
          <w:szCs w:val="21"/>
          <w:highlight w:val="none"/>
        </w:rPr>
        <w:t>箱体密封要求：机组应具有良好的防冷桥措施及密封性能。保证在运转时框架外壁及外面板不结露、机组的</w:t>
      </w:r>
      <w:r>
        <w:rPr>
          <w:rFonts w:ascii="宋体" w:hAnsi="宋体" w:eastAsia="宋体" w:cs="宋体"/>
          <w:color w:val="0000FF"/>
          <w:sz w:val="21"/>
          <w:szCs w:val="21"/>
          <w:highlight w:val="none"/>
          <w:lang w:eastAsia="zh-CN"/>
        </w:rPr>
        <w:t>热</w:t>
      </w:r>
      <w:r>
        <w:rPr>
          <w:rFonts w:ascii="宋体" w:hAnsi="宋体" w:eastAsia="宋体" w:cs="宋体"/>
          <w:color w:val="0000FF"/>
          <w:sz w:val="21"/>
          <w:szCs w:val="21"/>
          <w:highlight w:val="none"/>
        </w:rPr>
        <w:t>桥因子不低于TB</w:t>
      </w:r>
      <w:r>
        <w:rPr>
          <w:rFonts w:ascii="宋体" w:hAnsi="宋体" w:eastAsia="宋体" w:cs="宋体"/>
          <w:color w:val="0000FF"/>
          <w:sz w:val="21"/>
          <w:szCs w:val="21"/>
          <w:highlight w:val="none"/>
          <w:lang w:eastAsia="zh-CN"/>
        </w:rPr>
        <w:t>1（M)</w:t>
      </w:r>
      <w:r>
        <w:rPr>
          <w:rFonts w:ascii="宋体" w:hAnsi="宋体" w:eastAsia="宋体" w:cs="宋体"/>
          <w:color w:val="0000FF"/>
          <w:sz w:val="21"/>
          <w:szCs w:val="21"/>
          <w:highlight w:val="none"/>
        </w:rPr>
        <w:t>级；（依据EN1886：2007标准规定的试验方法，箱体漏风率在-400Pa下漏风率≤0.0</w:t>
      </w:r>
      <w:r>
        <w:rPr>
          <w:rFonts w:ascii="宋体" w:hAnsi="宋体" w:eastAsia="宋体" w:cs="宋体"/>
          <w:color w:val="0000FF"/>
          <w:sz w:val="21"/>
          <w:szCs w:val="21"/>
          <w:highlight w:val="none"/>
          <w:lang w:eastAsia="zh-CN"/>
        </w:rPr>
        <w:t>3</w:t>
      </w:r>
      <w:r>
        <w:rPr>
          <w:rFonts w:ascii="宋体" w:hAnsi="宋体" w:eastAsia="宋体" w:cs="宋体"/>
          <w:color w:val="0000FF"/>
          <w:sz w:val="21"/>
          <w:szCs w:val="21"/>
          <w:highlight w:val="none"/>
        </w:rPr>
        <w:t>/(s·㎡)，在+700Pa下漏风率≤0.0</w:t>
      </w:r>
      <w:r>
        <w:rPr>
          <w:rFonts w:ascii="宋体" w:hAnsi="宋体" w:eastAsia="宋体" w:cs="宋体"/>
          <w:color w:val="0000FF"/>
          <w:sz w:val="21"/>
          <w:szCs w:val="21"/>
          <w:highlight w:val="none"/>
          <w:lang w:eastAsia="zh-CN"/>
        </w:rPr>
        <w:t>3</w:t>
      </w:r>
      <w:r>
        <w:rPr>
          <w:rFonts w:ascii="宋体" w:hAnsi="宋体" w:eastAsia="宋体" w:cs="宋体"/>
          <w:color w:val="0000FF"/>
          <w:sz w:val="21"/>
          <w:szCs w:val="21"/>
          <w:highlight w:val="none"/>
        </w:rPr>
        <w:t>/(s·㎡)，在正压和负压测试下均达到L1（M)等级。</w:t>
      </w:r>
      <w:r>
        <w:rPr>
          <w:rFonts w:ascii="宋体" w:hAnsi="宋体" w:eastAsia="宋体" w:cs="宋体"/>
          <w:b/>
          <w:bCs/>
          <w:color w:val="0000FF"/>
          <w:sz w:val="21"/>
          <w:szCs w:val="21"/>
          <w:highlight w:val="none"/>
        </w:rPr>
        <w:t>（</w:t>
      </w:r>
      <w:r>
        <w:rPr>
          <w:rFonts w:ascii="宋体" w:hAnsi="宋体" w:eastAsia="宋体" w:cs="宋体"/>
          <w:b/>
          <w:bCs/>
          <w:color w:val="0000FF"/>
          <w:sz w:val="21"/>
          <w:szCs w:val="21"/>
          <w:highlight w:val="none"/>
          <w:lang w:eastAsia="zh-CN"/>
        </w:rPr>
        <w:t>投标文件</w:t>
      </w:r>
      <w:r>
        <w:rPr>
          <w:rFonts w:ascii="宋体" w:hAnsi="宋体" w:eastAsia="宋体" w:cs="宋体"/>
          <w:b/>
          <w:bCs/>
          <w:color w:val="0000FF"/>
          <w:sz w:val="21"/>
          <w:szCs w:val="21"/>
          <w:highlight w:val="none"/>
        </w:rPr>
        <w:t>中提供第三方检测机构出具</w:t>
      </w:r>
      <w:r>
        <w:rPr>
          <w:rFonts w:hint="eastAsia" w:ascii="宋体" w:hAnsi="宋体" w:eastAsia="宋体" w:cs="宋体"/>
          <w:b/>
          <w:bCs/>
          <w:color w:val="0000FF"/>
          <w:sz w:val="21"/>
          <w:szCs w:val="21"/>
          <w:highlight w:val="none"/>
        </w:rPr>
        <w:t>的具有CMA标识的</w:t>
      </w:r>
      <w:r>
        <w:rPr>
          <w:rFonts w:ascii="宋体" w:hAnsi="宋体" w:eastAsia="宋体" w:cs="宋体"/>
          <w:b/>
          <w:bCs/>
          <w:color w:val="0000FF"/>
          <w:sz w:val="21"/>
          <w:szCs w:val="21"/>
          <w:highlight w:val="none"/>
        </w:rPr>
        <w:t>检测报告）；</w:t>
      </w:r>
    </w:p>
    <w:p w14:paraId="10684539">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（三）</w:t>
      </w:r>
      <w:r>
        <w:rPr>
          <w:rFonts w:ascii="宋体" w:hAnsi="宋体" w:eastAsia="宋体" w:cs="宋体"/>
          <w:b/>
          <w:bCs/>
          <w:color w:val="0000FF"/>
          <w:sz w:val="21"/>
          <w:szCs w:val="21"/>
          <w:highlight w:val="none"/>
        </w:rPr>
        <w:t>机组表冷器要求：</w:t>
      </w:r>
    </w:p>
    <w:p w14:paraId="66718681">
      <w:pPr>
        <w:pStyle w:val="9"/>
        <w:shd w:val="clear"/>
        <w:spacing w:line="440" w:lineRule="exact"/>
        <w:ind w:firstLine="420" w:firstLineChars="200"/>
        <w:jc w:val="both"/>
        <w:rPr>
          <w:rFonts w:hint="default" w:ascii="宋体" w:hAnsi="宋体" w:eastAsia="宋体" w:cs="宋体"/>
          <w:color w:val="0000FF"/>
          <w:sz w:val="21"/>
          <w:szCs w:val="21"/>
          <w:highlight w:val="none"/>
          <w:lang w:eastAsia="zh-CN"/>
        </w:rPr>
      </w:pPr>
      <w:r>
        <w:rPr>
          <w:rFonts w:ascii="宋体" w:hAnsi="宋体" w:eastAsia="宋体" w:cs="宋体"/>
          <w:color w:val="0000FF"/>
          <w:sz w:val="21"/>
          <w:szCs w:val="21"/>
          <w:highlight w:val="none"/>
        </w:rPr>
        <w:t>▲</w:t>
      </w:r>
      <w:r>
        <w:rPr>
          <w:rFonts w:ascii="宋体" w:hAnsi="宋体" w:eastAsia="宋体" w:cs="宋体"/>
          <w:color w:val="0000FF"/>
          <w:sz w:val="21"/>
          <w:szCs w:val="21"/>
          <w:highlight w:val="none"/>
          <w:lang w:eastAsia="zh-CN"/>
        </w:rPr>
        <w:t>1.</w:t>
      </w:r>
      <w:r>
        <w:rPr>
          <w:rFonts w:ascii="宋体" w:hAnsi="宋体" w:eastAsia="宋体" w:cs="宋体"/>
          <w:color w:val="0000FF"/>
          <w:sz w:val="21"/>
          <w:szCs w:val="21"/>
          <w:highlight w:val="none"/>
        </w:rPr>
        <w:t>表冷器采用铜管穿铝翅片结构，铝翅片表面必须有防腐涂层，表冷器要有耐压测试第三方测试报告，表冷器加压至</w:t>
      </w:r>
      <w:r>
        <w:rPr>
          <w:rFonts w:hint="default" w:ascii="宋体" w:hAnsi="宋体" w:eastAsia="宋体" w:cs="宋体"/>
          <w:color w:val="0000FF"/>
          <w:sz w:val="21"/>
          <w:szCs w:val="21"/>
          <w:highlight w:val="none"/>
        </w:rPr>
        <w:t>2.8MP，时间保持10min，</w:t>
      </w:r>
      <w:r>
        <w:rPr>
          <w:rFonts w:ascii="宋体" w:hAnsi="宋体" w:eastAsia="宋体" w:cs="宋体"/>
          <w:color w:val="0000FF"/>
          <w:sz w:val="21"/>
          <w:szCs w:val="21"/>
          <w:highlight w:val="none"/>
        </w:rPr>
        <w:t>无泄漏变形现象。</w:t>
      </w:r>
      <w:r>
        <w:rPr>
          <w:rFonts w:ascii="宋体" w:hAnsi="宋体" w:eastAsia="宋体" w:cs="宋体"/>
          <w:b/>
          <w:bCs/>
          <w:color w:val="0000FF"/>
          <w:sz w:val="21"/>
          <w:szCs w:val="21"/>
          <w:highlight w:val="none"/>
        </w:rPr>
        <w:t>（</w:t>
      </w:r>
      <w:r>
        <w:rPr>
          <w:rFonts w:ascii="宋体" w:hAnsi="宋体" w:eastAsia="宋体" w:cs="宋体"/>
          <w:b/>
          <w:bCs/>
          <w:color w:val="0000FF"/>
          <w:sz w:val="21"/>
          <w:szCs w:val="21"/>
          <w:highlight w:val="none"/>
          <w:lang w:eastAsia="zh-CN"/>
        </w:rPr>
        <w:t>投标文件</w:t>
      </w:r>
      <w:r>
        <w:rPr>
          <w:rFonts w:ascii="宋体" w:hAnsi="宋体" w:eastAsia="宋体" w:cs="宋体"/>
          <w:b/>
          <w:bCs/>
          <w:color w:val="0000FF"/>
          <w:sz w:val="21"/>
          <w:szCs w:val="21"/>
          <w:highlight w:val="none"/>
        </w:rPr>
        <w:t>中提供第三方检测机构出具</w:t>
      </w:r>
      <w:r>
        <w:rPr>
          <w:rFonts w:hint="eastAsia" w:ascii="宋体" w:hAnsi="宋体" w:eastAsia="宋体" w:cs="宋体"/>
          <w:b/>
          <w:bCs/>
          <w:color w:val="0000FF"/>
          <w:sz w:val="21"/>
          <w:szCs w:val="21"/>
          <w:highlight w:val="none"/>
        </w:rPr>
        <w:t>的具有CMA标识的</w:t>
      </w:r>
      <w:r>
        <w:rPr>
          <w:rFonts w:ascii="宋体" w:hAnsi="宋体" w:eastAsia="宋体" w:cs="宋体"/>
          <w:b/>
          <w:bCs/>
          <w:color w:val="0000FF"/>
          <w:sz w:val="21"/>
          <w:szCs w:val="21"/>
          <w:highlight w:val="none"/>
        </w:rPr>
        <w:t>检测报告）</w:t>
      </w:r>
    </w:p>
    <w:p w14:paraId="4D1FC213">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2.</w:t>
      </w:r>
      <w:r>
        <w:rPr>
          <w:rFonts w:ascii="宋体" w:hAnsi="宋体" w:eastAsia="宋体" w:cs="宋体"/>
          <w:color w:val="0000FF"/>
          <w:sz w:val="21"/>
          <w:szCs w:val="21"/>
          <w:highlight w:val="none"/>
        </w:rPr>
        <w:t>空气处理机组的接水盘采用304不锈钢材质。</w:t>
      </w:r>
    </w:p>
    <w:p w14:paraId="1FA61B77">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（四）</w:t>
      </w:r>
      <w:r>
        <w:rPr>
          <w:rFonts w:ascii="宋体" w:hAnsi="宋体" w:eastAsia="宋体" w:cs="宋体"/>
          <w:b/>
          <w:bCs/>
          <w:color w:val="0000FF"/>
          <w:sz w:val="21"/>
          <w:szCs w:val="21"/>
          <w:highlight w:val="none"/>
        </w:rPr>
        <w:t>过滤器要求</w:t>
      </w:r>
    </w:p>
    <w:p w14:paraId="572AA535">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1.</w:t>
      </w:r>
      <w:r>
        <w:rPr>
          <w:rFonts w:ascii="宋体" w:hAnsi="宋体" w:eastAsia="宋体" w:cs="宋体"/>
          <w:color w:val="0000FF"/>
          <w:sz w:val="21"/>
          <w:szCs w:val="21"/>
          <w:highlight w:val="none"/>
        </w:rPr>
        <w:t>循环机组至少配初效、中效两级过滤，新风机组至少配置三级过滤。</w:t>
      </w:r>
    </w:p>
    <w:p w14:paraId="51FC3107">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w:t>
      </w:r>
      <w:r>
        <w:rPr>
          <w:rFonts w:ascii="宋体" w:hAnsi="宋体" w:eastAsia="宋体" w:cs="宋体"/>
          <w:color w:val="0000FF"/>
          <w:sz w:val="21"/>
          <w:szCs w:val="21"/>
          <w:highlight w:val="none"/>
          <w:lang w:eastAsia="zh-CN"/>
        </w:rPr>
        <w:t>2.</w:t>
      </w:r>
      <w:r>
        <w:rPr>
          <w:rFonts w:ascii="宋体" w:hAnsi="宋体" w:eastAsia="宋体" w:cs="宋体"/>
          <w:color w:val="0000FF"/>
          <w:sz w:val="21"/>
          <w:szCs w:val="21"/>
          <w:highlight w:val="none"/>
        </w:rPr>
        <w:t>空气处理机组内部的过滤器安装应有可靠的密封措施，不经过过滤器滤料的旁通风量可有效控制。过滤器的安装密封槽在+400pa压力下形成的旁通泄漏风量≤0.12%，在-400pa压力下形成的旁通泄漏风量≤0.14%。</w:t>
      </w:r>
      <w:r>
        <w:rPr>
          <w:rFonts w:ascii="宋体" w:hAnsi="宋体" w:eastAsia="宋体" w:cs="宋体"/>
          <w:b/>
          <w:bCs/>
          <w:color w:val="0000FF"/>
          <w:sz w:val="21"/>
          <w:szCs w:val="21"/>
          <w:highlight w:val="none"/>
        </w:rPr>
        <w:t>（</w:t>
      </w:r>
      <w:r>
        <w:rPr>
          <w:rFonts w:ascii="宋体" w:hAnsi="宋体" w:eastAsia="宋体" w:cs="宋体"/>
          <w:b/>
          <w:bCs/>
          <w:color w:val="0000FF"/>
          <w:sz w:val="21"/>
          <w:szCs w:val="21"/>
          <w:highlight w:val="none"/>
          <w:lang w:eastAsia="zh-CN"/>
        </w:rPr>
        <w:t>投标文件</w:t>
      </w:r>
      <w:r>
        <w:rPr>
          <w:rFonts w:ascii="宋体" w:hAnsi="宋体" w:eastAsia="宋体" w:cs="宋体"/>
          <w:b/>
          <w:bCs/>
          <w:color w:val="0000FF"/>
          <w:sz w:val="21"/>
          <w:szCs w:val="21"/>
          <w:highlight w:val="none"/>
        </w:rPr>
        <w:t>中提供第三方检测机构出具</w:t>
      </w:r>
      <w:r>
        <w:rPr>
          <w:rFonts w:hint="eastAsia" w:ascii="宋体" w:hAnsi="宋体" w:eastAsia="宋体" w:cs="宋体"/>
          <w:b/>
          <w:bCs/>
          <w:color w:val="0000FF"/>
          <w:sz w:val="21"/>
          <w:szCs w:val="21"/>
          <w:highlight w:val="none"/>
        </w:rPr>
        <w:t>的具有CMA标识的</w:t>
      </w:r>
      <w:r>
        <w:rPr>
          <w:rFonts w:ascii="宋体" w:hAnsi="宋体" w:eastAsia="宋体" w:cs="宋体"/>
          <w:b/>
          <w:bCs/>
          <w:color w:val="0000FF"/>
          <w:sz w:val="21"/>
          <w:szCs w:val="21"/>
          <w:highlight w:val="none"/>
        </w:rPr>
        <w:t>检测报告）。</w:t>
      </w:r>
    </w:p>
    <w:p w14:paraId="4D13A554">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3.</w:t>
      </w:r>
      <w:r>
        <w:rPr>
          <w:rFonts w:ascii="宋体" w:hAnsi="宋体" w:eastAsia="宋体" w:cs="宋体"/>
          <w:color w:val="0000FF"/>
          <w:sz w:val="21"/>
          <w:szCs w:val="21"/>
          <w:highlight w:val="none"/>
        </w:rPr>
        <w:t>初效过滤采用板式初效过滤器，过滤器材料为无纺布，滤料W型排布，有较大的过滤面积，过滤级别G4，标称厚度不小于50mm，在设计风量条件下初阻力不大于100Pa，过滤器计数效率≥50%（2.0μm）以上，滤材及滤框具有防腐性。</w:t>
      </w:r>
    </w:p>
    <w:p w14:paraId="24746388">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4.</w:t>
      </w:r>
      <w:r>
        <w:rPr>
          <w:rFonts w:ascii="宋体" w:hAnsi="宋体" w:eastAsia="宋体" w:cs="宋体"/>
          <w:color w:val="0000FF"/>
          <w:sz w:val="21"/>
          <w:szCs w:val="21"/>
          <w:highlight w:val="none"/>
        </w:rPr>
        <w:t>中效过滤采用袋式过滤器，材料为化纤材料，袋长不小于500，过滤级别F8，过滤器计数效率不低于90%（0.5μm）以上。需要提供足够的安装维修空间。</w:t>
      </w:r>
    </w:p>
    <w:p w14:paraId="38F9B2BA">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（五）</w:t>
      </w:r>
      <w:r>
        <w:rPr>
          <w:rFonts w:ascii="宋体" w:hAnsi="宋体" w:eastAsia="宋体" w:cs="宋体"/>
          <w:b/>
          <w:bCs/>
          <w:color w:val="0000FF"/>
          <w:sz w:val="21"/>
          <w:szCs w:val="21"/>
          <w:highlight w:val="none"/>
        </w:rPr>
        <w:t>加湿段要求</w:t>
      </w:r>
    </w:p>
    <w:p w14:paraId="3F659334">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1.</w:t>
      </w:r>
      <w:r>
        <w:rPr>
          <w:rFonts w:ascii="宋体" w:hAnsi="宋体" w:eastAsia="宋体" w:cs="宋体"/>
          <w:color w:val="0000FF"/>
          <w:sz w:val="21"/>
          <w:szCs w:val="21"/>
          <w:highlight w:val="none"/>
        </w:rPr>
        <w:t>采用清洁节能型进口电极式加湿器，</w:t>
      </w:r>
      <w:r>
        <w:rPr>
          <w:rFonts w:hint="eastAsia" w:ascii="宋体" w:hAnsi="宋体" w:eastAsia="宋体" w:cs="宋体"/>
          <w:color w:val="0000FF"/>
          <w:sz w:val="21"/>
          <w:szCs w:val="21"/>
          <w:highlight w:val="none"/>
        </w:rPr>
        <w:t>湿度要求：40%-60%</w:t>
      </w:r>
      <w:r>
        <w:rPr>
          <w:rFonts w:ascii="宋体" w:hAnsi="宋体" w:eastAsia="宋体" w:cs="宋体"/>
          <w:color w:val="0000FF"/>
          <w:sz w:val="21"/>
          <w:szCs w:val="21"/>
          <w:highlight w:val="none"/>
        </w:rPr>
        <w:t>。</w:t>
      </w:r>
    </w:p>
    <w:p w14:paraId="50291B93">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2.</w:t>
      </w:r>
      <w:r>
        <w:rPr>
          <w:rFonts w:ascii="宋体" w:hAnsi="宋体" w:eastAsia="宋体" w:cs="宋体"/>
          <w:color w:val="0000FF"/>
          <w:sz w:val="21"/>
          <w:szCs w:val="21"/>
          <w:highlight w:val="none"/>
        </w:rPr>
        <w:t>加湿器应满足蒸汽输出量在0-100%间线性可调。</w:t>
      </w:r>
    </w:p>
    <w:p w14:paraId="5B1E741B">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3.</w:t>
      </w:r>
      <w:r>
        <w:rPr>
          <w:rFonts w:ascii="宋体" w:hAnsi="宋体" w:eastAsia="宋体" w:cs="宋体"/>
          <w:color w:val="0000FF"/>
          <w:sz w:val="21"/>
          <w:szCs w:val="21"/>
          <w:highlight w:val="none"/>
        </w:rPr>
        <w:t>加湿器须能接收0～10V、2～10V、0～20mA、4～20mA等不同的控制或传感信号。</w:t>
      </w:r>
    </w:p>
    <w:p w14:paraId="30CAA7A2">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4.</w:t>
      </w:r>
      <w:r>
        <w:rPr>
          <w:rFonts w:ascii="宋体" w:hAnsi="宋体" w:eastAsia="宋体" w:cs="宋体"/>
          <w:color w:val="0000FF"/>
          <w:sz w:val="21"/>
          <w:szCs w:val="21"/>
          <w:highlight w:val="none"/>
        </w:rPr>
        <w:t>为保证洁净加湿、消除异味及降低故障率，加湿器的蒸汽输送管及蒸汽分布管均采用304不锈钢材质，并要有冷凝水排放措施。</w:t>
      </w:r>
    </w:p>
    <w:p w14:paraId="52FDA579">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5.</w:t>
      </w:r>
      <w:r>
        <w:rPr>
          <w:rFonts w:ascii="宋体" w:hAnsi="宋体" w:eastAsia="宋体" w:cs="宋体"/>
          <w:color w:val="0000FF"/>
          <w:sz w:val="21"/>
          <w:szCs w:val="21"/>
          <w:highlight w:val="none"/>
        </w:rPr>
        <w:t>加湿器有电气安全保护及防溢水功能，机电一体化，方便维护检修。</w:t>
      </w:r>
    </w:p>
    <w:p w14:paraId="32CAE2DA">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（六）</w:t>
      </w:r>
      <w:r>
        <w:rPr>
          <w:rFonts w:ascii="宋体" w:hAnsi="宋体" w:eastAsia="宋体" w:cs="宋体"/>
          <w:b/>
          <w:bCs/>
          <w:color w:val="0000FF"/>
          <w:sz w:val="21"/>
          <w:szCs w:val="21"/>
          <w:highlight w:val="none"/>
        </w:rPr>
        <w:t>电加热要求</w:t>
      </w:r>
    </w:p>
    <w:p w14:paraId="3D08FE08">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1.</w:t>
      </w:r>
      <w:r>
        <w:rPr>
          <w:rFonts w:ascii="宋体" w:hAnsi="宋体" w:eastAsia="宋体" w:cs="宋体"/>
          <w:color w:val="0000FF"/>
          <w:sz w:val="21"/>
          <w:szCs w:val="21"/>
          <w:highlight w:val="none"/>
        </w:rPr>
        <w:t>机组内应配备辅助电加热，以适应过渡季或再热所需。</w:t>
      </w:r>
    </w:p>
    <w:p w14:paraId="7328AED0">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2.</w:t>
      </w:r>
      <w:r>
        <w:rPr>
          <w:rFonts w:ascii="宋体" w:hAnsi="宋体" w:eastAsia="宋体" w:cs="宋体"/>
          <w:color w:val="0000FF"/>
          <w:sz w:val="21"/>
          <w:szCs w:val="21"/>
          <w:highlight w:val="none"/>
        </w:rPr>
        <w:t>电加热器采用PTC陶瓷发热无件，无高温烧红危险，具有可靠的安全性能。</w:t>
      </w:r>
    </w:p>
    <w:p w14:paraId="33345D42">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3.</w:t>
      </w:r>
      <w:r>
        <w:rPr>
          <w:rFonts w:ascii="宋体" w:hAnsi="宋体" w:eastAsia="宋体" w:cs="宋体"/>
          <w:color w:val="0000FF"/>
          <w:sz w:val="21"/>
          <w:szCs w:val="21"/>
          <w:highlight w:val="none"/>
        </w:rPr>
        <w:t>电加热的散热片选用机械压紧式，不得采用胶粘式，以保证在运行时不得产生异味。</w:t>
      </w:r>
    </w:p>
    <w:p w14:paraId="17376D2B">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4.</w:t>
      </w:r>
      <w:r>
        <w:rPr>
          <w:rFonts w:ascii="宋体" w:hAnsi="宋体" w:eastAsia="宋体" w:cs="宋体"/>
          <w:color w:val="0000FF"/>
          <w:sz w:val="21"/>
          <w:szCs w:val="21"/>
          <w:highlight w:val="none"/>
        </w:rPr>
        <w:t>具备机组启停联锁控制，防止无风投入。</w:t>
      </w:r>
    </w:p>
    <w:p w14:paraId="7D55CC8C">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5.</w:t>
      </w:r>
      <w:r>
        <w:rPr>
          <w:rFonts w:ascii="宋体" w:hAnsi="宋体" w:eastAsia="宋体" w:cs="宋体"/>
          <w:color w:val="0000FF"/>
          <w:sz w:val="21"/>
          <w:szCs w:val="21"/>
          <w:highlight w:val="none"/>
        </w:rPr>
        <w:t>具备温度过高断电装置，以确保过热现象。</w:t>
      </w:r>
    </w:p>
    <w:p w14:paraId="56FADF6C">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6.</w:t>
      </w:r>
      <w:r>
        <w:rPr>
          <w:rFonts w:ascii="宋体" w:hAnsi="宋体" w:eastAsia="宋体" w:cs="宋体"/>
          <w:color w:val="0000FF"/>
          <w:sz w:val="21"/>
          <w:szCs w:val="21"/>
          <w:highlight w:val="none"/>
        </w:rPr>
        <w:t>采用分极调节，每投入一级应保证温度变化不超过3摄氏度，以保证室内温度的稳定控制。</w:t>
      </w:r>
    </w:p>
    <w:p w14:paraId="5406214C">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（七）</w:t>
      </w:r>
      <w:r>
        <w:rPr>
          <w:rFonts w:ascii="宋体" w:hAnsi="宋体" w:eastAsia="宋体" w:cs="宋体"/>
          <w:b/>
          <w:bCs/>
          <w:color w:val="0000FF"/>
          <w:sz w:val="21"/>
          <w:szCs w:val="21"/>
          <w:highlight w:val="none"/>
        </w:rPr>
        <w:t>检修段要求：</w:t>
      </w:r>
    </w:p>
    <w:p w14:paraId="6A64D674">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1.</w:t>
      </w:r>
      <w:r>
        <w:rPr>
          <w:rFonts w:ascii="宋体" w:hAnsi="宋体" w:eastAsia="宋体" w:cs="宋体"/>
          <w:color w:val="0000FF"/>
          <w:sz w:val="21"/>
          <w:szCs w:val="21"/>
          <w:highlight w:val="none"/>
        </w:rPr>
        <w:t>机组在必要的位置设置检修段，检修段的长度应合适，以方便维修操作为宜。</w:t>
      </w:r>
    </w:p>
    <w:p w14:paraId="73AD71F8">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2.</w:t>
      </w:r>
      <w:r>
        <w:rPr>
          <w:rFonts w:ascii="宋体" w:hAnsi="宋体" w:eastAsia="宋体" w:cs="宋体"/>
          <w:color w:val="0000FF"/>
          <w:sz w:val="21"/>
          <w:szCs w:val="21"/>
          <w:highlight w:val="none"/>
        </w:rPr>
        <w:t>检修段设有检修门，检修门的宽度净宽度不小于500mm，高度不低于700mm，以方便检修。</w:t>
      </w:r>
    </w:p>
    <w:p w14:paraId="1DFC17A5">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3.</w:t>
      </w:r>
      <w:r>
        <w:rPr>
          <w:rFonts w:ascii="宋体" w:hAnsi="宋体" w:eastAsia="宋体" w:cs="宋体"/>
          <w:color w:val="0000FF"/>
          <w:sz w:val="21"/>
          <w:szCs w:val="21"/>
          <w:highlight w:val="none"/>
        </w:rPr>
        <w:t>检修门应采用与空调机组外壳相同的双层板制作，并具有相同的隔热、隔声、密封性能。</w:t>
      </w:r>
    </w:p>
    <w:p w14:paraId="6A380262">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4.</w:t>
      </w:r>
      <w:r>
        <w:rPr>
          <w:rFonts w:ascii="宋体" w:hAnsi="宋体" w:eastAsia="宋体" w:cs="宋体"/>
          <w:color w:val="0000FF"/>
          <w:sz w:val="21"/>
          <w:szCs w:val="21"/>
          <w:highlight w:val="none"/>
        </w:rPr>
        <w:t>检修门采用带铰链结构，具备多点锁紧功能，设把手，正压段配有双保险把手，保证密封性能。</w:t>
      </w:r>
    </w:p>
    <w:p w14:paraId="23781EAD">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（八）</w:t>
      </w:r>
      <w:r>
        <w:rPr>
          <w:rFonts w:ascii="宋体" w:hAnsi="宋体" w:eastAsia="宋体" w:cs="宋体"/>
          <w:b/>
          <w:bCs/>
          <w:color w:val="0000FF"/>
          <w:sz w:val="21"/>
          <w:szCs w:val="21"/>
          <w:highlight w:val="none"/>
        </w:rPr>
        <w:t>机组卫生工艺要求：</w:t>
      </w:r>
    </w:p>
    <w:p w14:paraId="451B0843">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机组卫生工艺，空调机组结构密封要满足医用空调机组的卫生要求，每台机组均在过滤器、积水盘等易滋生细菌的功能段设置紫外线杀菌灯，光照杀菌。</w:t>
      </w:r>
    </w:p>
    <w:p w14:paraId="60199669">
      <w:pPr>
        <w:pStyle w:val="9"/>
        <w:shd w:val="clear"/>
        <w:spacing w:line="440" w:lineRule="exact"/>
        <w:ind w:firstLine="422" w:firstLineChars="200"/>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三、给排水</w:t>
      </w:r>
      <w:r>
        <w:rPr>
          <w:rFonts w:ascii="宋体" w:hAnsi="宋体" w:eastAsia="宋体" w:cs="宋体"/>
          <w:b/>
          <w:bCs/>
          <w:color w:val="0000FF"/>
          <w:sz w:val="21"/>
          <w:szCs w:val="21"/>
          <w:highlight w:val="none"/>
        </w:rPr>
        <w:t>系统：</w:t>
      </w:r>
    </w:p>
    <w:p w14:paraId="5BAC7A2A">
      <w:pPr>
        <w:pStyle w:val="9"/>
        <w:shd w:val="clear"/>
        <w:spacing w:line="440" w:lineRule="exact"/>
        <w:ind w:firstLine="422" w:firstLineChars="200"/>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（一）</w:t>
      </w:r>
      <w:r>
        <w:rPr>
          <w:rFonts w:ascii="宋体" w:hAnsi="宋体" w:eastAsia="宋体" w:cs="宋体"/>
          <w:b/>
          <w:bCs/>
          <w:color w:val="0000FF"/>
          <w:sz w:val="21"/>
          <w:szCs w:val="21"/>
          <w:highlight w:val="none"/>
        </w:rPr>
        <w:t>总体技术要求:</w:t>
      </w:r>
    </w:p>
    <w:p w14:paraId="35AB388F">
      <w:pPr>
        <w:pStyle w:val="9"/>
        <w:shd w:val="clear"/>
        <w:spacing w:line="440" w:lineRule="exact"/>
        <w:ind w:firstLine="420" w:firstLineChars="200"/>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1.招标人</w:t>
      </w:r>
      <w:r>
        <w:rPr>
          <w:rFonts w:ascii="宋体" w:hAnsi="宋体" w:eastAsia="宋体" w:cs="宋体"/>
          <w:color w:val="0000FF"/>
          <w:sz w:val="21"/>
          <w:szCs w:val="21"/>
          <w:highlight w:val="none"/>
        </w:rPr>
        <w:t>负责提供压力0.3～0.4Mpa的水源至各楼层管井，并预留管道接口，其后的管道均由施工方负责。</w:t>
      </w:r>
    </w:p>
    <w:p w14:paraId="3DB36EC8">
      <w:pPr>
        <w:pStyle w:val="9"/>
        <w:shd w:val="clear"/>
        <w:spacing w:line="440" w:lineRule="exact"/>
        <w:ind w:firstLine="420" w:firstLineChars="200"/>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2.</w:t>
      </w:r>
      <w:r>
        <w:rPr>
          <w:rFonts w:ascii="宋体" w:hAnsi="宋体" w:eastAsia="宋体" w:cs="宋体"/>
          <w:color w:val="0000FF"/>
          <w:sz w:val="21"/>
          <w:szCs w:val="21"/>
          <w:highlight w:val="none"/>
        </w:rPr>
        <w:t>除洁具间、卫生间外，其余用水房间均设置冷热供水，均引自大楼供水主管，给水管道采用PPR材质，热熔连接，热水管DN15-DN20采用25mm橡塑保温材料。DN25-DN100采用32mm橡塑保温材料。</w:t>
      </w:r>
    </w:p>
    <w:p w14:paraId="7B3928BE">
      <w:pPr>
        <w:pStyle w:val="9"/>
        <w:shd w:val="clear"/>
        <w:spacing w:line="440" w:lineRule="exact"/>
        <w:ind w:firstLine="420" w:firstLineChars="200"/>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3.</w:t>
      </w:r>
      <w:r>
        <w:rPr>
          <w:rFonts w:ascii="宋体" w:hAnsi="宋体" w:eastAsia="宋体" w:cs="宋体"/>
          <w:color w:val="0000FF"/>
          <w:sz w:val="21"/>
          <w:szCs w:val="21"/>
          <w:highlight w:val="none"/>
        </w:rPr>
        <w:t>排水管材采用质量优良的</w:t>
      </w:r>
      <w:r>
        <w:rPr>
          <w:rFonts w:hint="eastAsia" w:ascii="宋体" w:hAnsi="宋体" w:eastAsia="宋体" w:cs="宋体"/>
          <w:color w:val="0000FF"/>
          <w:sz w:val="21"/>
          <w:szCs w:val="21"/>
          <w:highlight w:val="none"/>
        </w:rPr>
        <w:t>CPVC</w:t>
      </w:r>
      <w:r>
        <w:rPr>
          <w:rFonts w:ascii="宋体" w:hAnsi="宋体" w:eastAsia="宋体" w:cs="宋体"/>
          <w:color w:val="0000FF"/>
          <w:sz w:val="21"/>
          <w:szCs w:val="21"/>
          <w:highlight w:val="none"/>
        </w:rPr>
        <w:t>排水管，所有排水设备必须在排水口下部设置高水封装置。洁净区地漏须加密封盖。</w:t>
      </w:r>
    </w:p>
    <w:p w14:paraId="7B818ECB">
      <w:pPr>
        <w:pStyle w:val="9"/>
        <w:shd w:val="clear"/>
        <w:spacing w:line="440" w:lineRule="exact"/>
        <w:ind w:firstLine="420" w:firstLineChars="200"/>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4.</w:t>
      </w:r>
      <w:r>
        <w:rPr>
          <w:rFonts w:ascii="宋体" w:hAnsi="宋体" w:eastAsia="宋体" w:cs="宋体"/>
          <w:color w:val="0000FF"/>
          <w:sz w:val="21"/>
          <w:szCs w:val="21"/>
          <w:highlight w:val="none"/>
        </w:rPr>
        <w:t>穿墙及穿楼板的管道必须做套管，套管内的管段不应有接头，管道和套管之间用不燃性密封材料封口。做法参见《建筑安装工程施工图集》。</w:t>
      </w:r>
    </w:p>
    <w:p w14:paraId="24F09636">
      <w:pPr>
        <w:pStyle w:val="9"/>
        <w:shd w:val="clear"/>
        <w:spacing w:line="440" w:lineRule="exact"/>
        <w:ind w:firstLine="420" w:firstLineChars="200"/>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5.</w:t>
      </w:r>
      <w:r>
        <w:rPr>
          <w:rFonts w:ascii="宋体" w:hAnsi="宋体" w:eastAsia="宋体" w:cs="宋体"/>
          <w:color w:val="0000FF"/>
          <w:sz w:val="21"/>
          <w:szCs w:val="21"/>
          <w:highlight w:val="none"/>
        </w:rPr>
        <w:t>暗装阀门和排水检查口处，必须设检修门，检修门必须严密。</w:t>
      </w:r>
    </w:p>
    <w:p w14:paraId="55D74F99">
      <w:pPr>
        <w:pStyle w:val="9"/>
        <w:shd w:val="clear"/>
        <w:spacing w:line="440" w:lineRule="exact"/>
        <w:ind w:firstLine="420" w:firstLineChars="200"/>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6.</w:t>
      </w:r>
      <w:r>
        <w:rPr>
          <w:rFonts w:ascii="宋体" w:hAnsi="宋体" w:eastAsia="宋体" w:cs="宋体"/>
          <w:color w:val="0000FF"/>
          <w:sz w:val="21"/>
          <w:szCs w:val="21"/>
          <w:highlight w:val="none"/>
        </w:rPr>
        <w:t>给水管与卫生器具及设备的连接必须有空气隔断，严紧直接相连。洁净手术部内的排水设备，必须在排水口的下部设置高水封装置，并应有防止水封被破坏的措施。</w:t>
      </w:r>
    </w:p>
    <w:p w14:paraId="32B60C7C">
      <w:pPr>
        <w:pStyle w:val="9"/>
        <w:shd w:val="clear"/>
        <w:spacing w:line="440" w:lineRule="exact"/>
        <w:ind w:firstLine="420" w:firstLineChars="200"/>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7.</w:t>
      </w:r>
      <w:r>
        <w:rPr>
          <w:rFonts w:ascii="宋体" w:hAnsi="宋体" w:eastAsia="宋体" w:cs="宋体"/>
          <w:color w:val="0000FF"/>
          <w:sz w:val="21"/>
          <w:szCs w:val="21"/>
          <w:highlight w:val="none"/>
        </w:rPr>
        <w:t>给水管管径DN≤50采用铜截止阀，管径&gt;50采用金属硬密封碟阀。</w:t>
      </w:r>
    </w:p>
    <w:p w14:paraId="7607FFA8">
      <w:pPr>
        <w:pStyle w:val="9"/>
        <w:shd w:val="clear"/>
        <w:spacing w:line="440" w:lineRule="exact"/>
        <w:ind w:firstLine="420" w:firstLineChars="200"/>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8.</w:t>
      </w:r>
      <w:r>
        <w:rPr>
          <w:rFonts w:ascii="宋体" w:hAnsi="宋体" w:eastAsia="宋体" w:cs="宋体"/>
          <w:color w:val="0000FF"/>
          <w:sz w:val="21"/>
          <w:szCs w:val="21"/>
          <w:highlight w:val="none"/>
        </w:rPr>
        <w:t>洁净区内与设备连接的排水管，当采用螺纹连接时，应用聚四氯乙烯胶带填料，不得使用铅油、麻丝等填料。</w:t>
      </w:r>
    </w:p>
    <w:p w14:paraId="7EE13747">
      <w:pPr>
        <w:pStyle w:val="9"/>
        <w:shd w:val="clear"/>
        <w:spacing w:line="440" w:lineRule="exact"/>
        <w:ind w:firstLine="420" w:firstLineChars="200"/>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9.</w:t>
      </w:r>
      <w:r>
        <w:rPr>
          <w:rFonts w:ascii="宋体" w:hAnsi="宋体" w:eastAsia="宋体" w:cs="宋体"/>
          <w:color w:val="0000FF"/>
          <w:sz w:val="21"/>
          <w:szCs w:val="21"/>
          <w:highlight w:val="none"/>
        </w:rPr>
        <w:t>给排水管道的强度试验、气密性试验、排水管道的灌水试验及系统的通水试验应按国家有关规定进行。</w:t>
      </w:r>
    </w:p>
    <w:p w14:paraId="700C3D3C">
      <w:pPr>
        <w:pStyle w:val="9"/>
        <w:shd w:val="clear"/>
        <w:spacing w:line="440" w:lineRule="exact"/>
        <w:ind w:firstLine="422" w:firstLineChars="200"/>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四、电气</w:t>
      </w:r>
      <w:r>
        <w:rPr>
          <w:rFonts w:ascii="宋体" w:hAnsi="宋体" w:eastAsia="宋体" w:cs="宋体"/>
          <w:b/>
          <w:bCs/>
          <w:color w:val="0000FF"/>
          <w:sz w:val="21"/>
          <w:szCs w:val="21"/>
          <w:highlight w:val="none"/>
        </w:rPr>
        <w:t>系统：</w:t>
      </w:r>
    </w:p>
    <w:p w14:paraId="06969391">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rPr>
        <w:t>内容包括电气照明及设备配电系统、空调动力配电系统、综合布线系统、监控系统。</w:t>
      </w:r>
    </w:p>
    <w:p w14:paraId="7B0E3C85">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（一）</w:t>
      </w:r>
      <w:r>
        <w:rPr>
          <w:rFonts w:ascii="宋体" w:hAnsi="宋体" w:eastAsia="宋体" w:cs="宋体"/>
          <w:b/>
          <w:bCs/>
          <w:color w:val="0000FF"/>
          <w:sz w:val="21"/>
          <w:szCs w:val="21"/>
          <w:highlight w:val="none"/>
        </w:rPr>
        <w:t>电气设施布线系统</w:t>
      </w:r>
    </w:p>
    <w:p w14:paraId="3C754ECD">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1.</w:t>
      </w:r>
      <w:r>
        <w:rPr>
          <w:rFonts w:ascii="宋体" w:hAnsi="宋体" w:eastAsia="宋体" w:cs="宋体"/>
          <w:color w:val="0000FF"/>
          <w:sz w:val="21"/>
          <w:szCs w:val="21"/>
          <w:highlight w:val="none"/>
        </w:rPr>
        <w:t>电气设计安装内容包括：上述所有区域的设备设施照明、插座以及其专用空调设施配电；</w:t>
      </w:r>
    </w:p>
    <w:p w14:paraId="6E437C13">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2.</w:t>
      </w:r>
      <w:r>
        <w:rPr>
          <w:rFonts w:ascii="宋体" w:hAnsi="宋体" w:eastAsia="宋体" w:cs="宋体"/>
          <w:color w:val="0000FF"/>
          <w:sz w:val="21"/>
          <w:szCs w:val="21"/>
          <w:highlight w:val="none"/>
        </w:rPr>
        <w:t>空调设施均要求独立控制；</w:t>
      </w:r>
    </w:p>
    <w:p w14:paraId="3DC67169">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3.</w:t>
      </w:r>
      <w:r>
        <w:rPr>
          <w:rFonts w:ascii="宋体" w:hAnsi="宋体" w:eastAsia="宋体" w:cs="宋体"/>
          <w:color w:val="0000FF"/>
          <w:sz w:val="21"/>
          <w:szCs w:val="21"/>
          <w:highlight w:val="none"/>
        </w:rPr>
        <w:t>总电箱设置在原空调机房，电源从原配电房预留端口取电；</w:t>
      </w:r>
    </w:p>
    <w:p w14:paraId="19FBEF37">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4.</w:t>
      </w:r>
      <w:r>
        <w:rPr>
          <w:rFonts w:ascii="宋体" w:hAnsi="宋体" w:eastAsia="宋体" w:cs="宋体"/>
          <w:color w:val="0000FF"/>
          <w:sz w:val="21"/>
          <w:szCs w:val="21"/>
          <w:highlight w:val="none"/>
        </w:rPr>
        <w:t>辅房配电箱对同类设备，设置了单回路或多回路电源供电方式，以保证各类用电设备各自独立使用；</w:t>
      </w:r>
    </w:p>
    <w:p w14:paraId="01F8F953">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5.</w:t>
      </w:r>
      <w:r>
        <w:rPr>
          <w:rFonts w:ascii="宋体" w:hAnsi="宋体" w:eastAsia="宋体" w:cs="宋体"/>
          <w:color w:val="0000FF"/>
          <w:sz w:val="21"/>
          <w:szCs w:val="21"/>
          <w:highlight w:val="none"/>
        </w:rPr>
        <w:t>墙体接驳地线，其余区域的电气接驳按国家有关标准执行。</w:t>
      </w:r>
    </w:p>
    <w:p w14:paraId="6577457C">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（二）</w:t>
      </w:r>
      <w:r>
        <w:rPr>
          <w:rFonts w:ascii="宋体" w:hAnsi="宋体" w:eastAsia="宋体" w:cs="宋体"/>
          <w:b/>
          <w:bCs/>
          <w:color w:val="0000FF"/>
          <w:sz w:val="21"/>
          <w:szCs w:val="21"/>
          <w:highlight w:val="none"/>
        </w:rPr>
        <w:t>LED洁净灯要求</w:t>
      </w:r>
    </w:p>
    <w:p w14:paraId="70C876C1">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1.</w:t>
      </w:r>
      <w:r>
        <w:rPr>
          <w:rFonts w:ascii="宋体" w:hAnsi="宋体" w:eastAsia="宋体" w:cs="宋体"/>
          <w:color w:val="0000FF"/>
          <w:sz w:val="21"/>
          <w:szCs w:val="21"/>
          <w:highlight w:val="none"/>
        </w:rPr>
        <w:t>选用高效节能LED照明灯，照明可多点控制，在保证高质量的光源同时达到节能环保的效果；</w:t>
      </w:r>
    </w:p>
    <w:p w14:paraId="3C3F0EDA">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2.</w:t>
      </w:r>
      <w:r>
        <w:rPr>
          <w:rFonts w:ascii="宋体" w:hAnsi="宋体" w:eastAsia="宋体" w:cs="宋体"/>
          <w:color w:val="0000FF"/>
          <w:sz w:val="21"/>
          <w:szCs w:val="21"/>
          <w:highlight w:val="none"/>
        </w:rPr>
        <w:t>LED洁净灯的设计应减少光生物危害。蓝光危害评估的等级为RG0并保持长期稳定。</w:t>
      </w:r>
    </w:p>
    <w:p w14:paraId="10D7DE7B">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3.</w:t>
      </w:r>
      <w:r>
        <w:rPr>
          <w:rFonts w:ascii="宋体" w:hAnsi="宋体" w:eastAsia="宋体" w:cs="宋体"/>
          <w:color w:val="0000FF"/>
          <w:sz w:val="21"/>
          <w:szCs w:val="21"/>
          <w:highlight w:val="none"/>
        </w:rPr>
        <w:t>LED洁净灯一般显色指数（Ra）应不低于80；红饱和指数(R9) 应大于0，提高清晰度，减轻视觉疲劳。</w:t>
      </w:r>
    </w:p>
    <w:p w14:paraId="3A1ED1BD">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4.</w:t>
      </w:r>
      <w:r>
        <w:rPr>
          <w:rFonts w:ascii="宋体" w:hAnsi="宋体" w:eastAsia="宋体" w:cs="宋体"/>
          <w:color w:val="0000FF"/>
          <w:sz w:val="21"/>
          <w:szCs w:val="21"/>
          <w:highlight w:val="none"/>
        </w:rPr>
        <w:t>LED洁净灯初始光效应不低于90lm/W平均寿命不低于50000 h，以确保长期使用的功能保持。</w:t>
      </w:r>
    </w:p>
    <w:p w14:paraId="047FC4D3">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5.</w:t>
      </w:r>
      <w:r>
        <w:rPr>
          <w:rFonts w:ascii="宋体" w:hAnsi="宋体" w:eastAsia="宋体" w:cs="宋体"/>
          <w:color w:val="0000FF"/>
          <w:sz w:val="21"/>
          <w:szCs w:val="21"/>
          <w:highlight w:val="none"/>
        </w:rPr>
        <w:t>LED洁净灯设计应注重减少产生视觉疲劳的因素，减少光强对视觉的刺激，灯具发光角度120°，遮光角应小于30°，目视避开光强，降低炫光指数，色纯度Purity不低于4.4%。</w:t>
      </w:r>
    </w:p>
    <w:p w14:paraId="41DF6D9C">
      <w:pPr>
        <w:pStyle w:val="9"/>
        <w:shd w:val="clear"/>
        <w:spacing w:line="440" w:lineRule="exact"/>
        <w:ind w:firstLine="422" w:firstLineChars="200"/>
        <w:jc w:val="both"/>
        <w:rPr>
          <w:rFonts w:hint="default" w:ascii="宋体" w:hAnsi="宋体" w:eastAsia="宋体" w:cs="宋体"/>
          <w:b/>
          <w:bCs/>
          <w:color w:val="0000FF"/>
          <w:sz w:val="21"/>
          <w:szCs w:val="21"/>
          <w:highlight w:val="none"/>
        </w:rPr>
      </w:pPr>
      <w:r>
        <w:rPr>
          <w:rFonts w:ascii="宋体" w:hAnsi="宋体" w:eastAsia="宋体" w:cs="宋体"/>
          <w:b/>
          <w:bCs/>
          <w:color w:val="0000FF"/>
          <w:sz w:val="21"/>
          <w:szCs w:val="21"/>
          <w:highlight w:val="none"/>
          <w:lang w:eastAsia="zh-CN"/>
        </w:rPr>
        <w:t>（三）</w:t>
      </w:r>
      <w:r>
        <w:rPr>
          <w:rFonts w:ascii="宋体" w:hAnsi="宋体" w:eastAsia="宋体" w:cs="宋体"/>
          <w:b/>
          <w:bCs/>
          <w:color w:val="0000FF"/>
          <w:sz w:val="21"/>
          <w:szCs w:val="21"/>
          <w:highlight w:val="none"/>
        </w:rPr>
        <w:t>设备设施控制及网络系统</w:t>
      </w:r>
    </w:p>
    <w:p w14:paraId="6185C881">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1.</w:t>
      </w:r>
      <w:r>
        <w:rPr>
          <w:rFonts w:ascii="宋体" w:hAnsi="宋体" w:eastAsia="宋体" w:cs="宋体"/>
          <w:color w:val="0000FF"/>
          <w:sz w:val="21"/>
          <w:szCs w:val="21"/>
          <w:highlight w:val="none"/>
        </w:rPr>
        <w:t>电脑网络系统；</w:t>
      </w:r>
    </w:p>
    <w:p w14:paraId="6544D9AF">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2.</w:t>
      </w:r>
      <w:r>
        <w:rPr>
          <w:rFonts w:ascii="宋体" w:hAnsi="宋体" w:eastAsia="宋体" w:cs="宋体"/>
          <w:color w:val="0000FF"/>
          <w:sz w:val="21"/>
          <w:szCs w:val="21"/>
          <w:highlight w:val="none"/>
        </w:rPr>
        <w:t>配合农业科学院信息化，各实验室范围内均设有网络接口；</w:t>
      </w:r>
    </w:p>
    <w:p w14:paraId="5C653185">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3.</w:t>
      </w:r>
      <w:r>
        <w:rPr>
          <w:rFonts w:ascii="宋体" w:hAnsi="宋体" w:eastAsia="宋体" w:cs="宋体"/>
          <w:color w:val="0000FF"/>
          <w:sz w:val="21"/>
          <w:szCs w:val="21"/>
          <w:highlight w:val="none"/>
        </w:rPr>
        <w:t>所有网络均需接入院内网络（网线需要铺设并接通到指定位置）；</w:t>
      </w:r>
    </w:p>
    <w:p w14:paraId="470DF96E">
      <w:pPr>
        <w:pStyle w:val="9"/>
        <w:shd w:val="clear"/>
        <w:spacing w:line="440" w:lineRule="exact"/>
        <w:ind w:firstLine="420" w:firstLineChars="200"/>
        <w:jc w:val="both"/>
        <w:rPr>
          <w:rFonts w:hint="default" w:ascii="宋体" w:hAnsi="宋体" w:eastAsia="宋体" w:cs="宋体"/>
          <w:color w:val="0000FF"/>
          <w:sz w:val="21"/>
          <w:szCs w:val="21"/>
          <w:highlight w:val="none"/>
        </w:rPr>
      </w:pPr>
      <w:r>
        <w:rPr>
          <w:rFonts w:ascii="宋体" w:hAnsi="宋体" w:eastAsia="宋体" w:cs="宋体"/>
          <w:color w:val="0000FF"/>
          <w:sz w:val="21"/>
          <w:szCs w:val="21"/>
          <w:highlight w:val="none"/>
          <w:lang w:eastAsia="zh-CN"/>
        </w:rPr>
        <w:t>4.</w:t>
      </w:r>
      <w:r>
        <w:rPr>
          <w:rFonts w:ascii="宋体" w:hAnsi="宋体" w:eastAsia="宋体" w:cs="宋体"/>
          <w:color w:val="0000FF"/>
          <w:sz w:val="21"/>
          <w:szCs w:val="21"/>
          <w:highlight w:val="none"/>
        </w:rPr>
        <w:t>专用空调设施自动控制系统；LED触摸屏控制。</w:t>
      </w:r>
    </w:p>
    <w:p w14:paraId="721E8204">
      <w:pPr>
        <w:pStyle w:val="10"/>
        <w:shd w:val="clear"/>
        <w:spacing w:line="440" w:lineRule="exact"/>
        <w:ind w:firstLine="422" w:firstLineChars="200"/>
        <w:rPr>
          <w:rFonts w:hAnsi="宋体" w:cs="宋体"/>
          <w:b/>
          <w:bCs/>
          <w:color w:val="0000FF"/>
          <w:highlight w:val="none"/>
        </w:rPr>
      </w:pPr>
      <w:r>
        <w:rPr>
          <w:rFonts w:hint="eastAsia" w:hAnsi="宋体" w:cs="宋体"/>
          <w:b/>
          <w:bCs/>
          <w:color w:val="0000FF"/>
          <w:highlight w:val="none"/>
        </w:rPr>
        <w:t>五、质量要求:</w:t>
      </w:r>
    </w:p>
    <w:p w14:paraId="72D5E145">
      <w:pPr>
        <w:pStyle w:val="5"/>
        <w:shd w:val="clear"/>
        <w:spacing w:before="0" w:line="440" w:lineRule="exact"/>
        <w:rPr>
          <w:rFonts w:ascii="宋体" w:hAnsi="宋体" w:cs="宋体"/>
          <w:b/>
          <w:bCs/>
          <w:color w:val="0000FF"/>
          <w:sz w:val="21"/>
          <w:szCs w:val="21"/>
          <w:highlight w:val="none"/>
        </w:rPr>
      </w:pPr>
      <w:r>
        <w:rPr>
          <w:rFonts w:hint="eastAsia" w:ascii="宋体" w:hAnsi="宋体" w:cs="宋体"/>
          <w:color w:val="0000FF"/>
          <w:sz w:val="21"/>
          <w:szCs w:val="21"/>
          <w:highlight w:val="none"/>
        </w:rPr>
        <w:t>施工质量需达到国家、省、市及行业现行有关工程建设技术标准中的合格标准，符合国家现行的验收标准，质量合格。当国家、行业及工程所在地地方标准、规范存在不一致时，以较严格者为准，除非设计另有规定，但设计规定</w:t>
      </w:r>
      <w:r>
        <w:rPr>
          <w:rFonts w:hint="eastAsia" w:ascii="宋体" w:hAnsi="宋体" w:cs="宋体"/>
          <w:color w:val="0000FF"/>
          <w:sz w:val="21"/>
          <w:szCs w:val="21"/>
          <w:highlight w:val="none"/>
          <w:lang w:bidi="ar"/>
        </w:rPr>
        <w:t>不得低于</w:t>
      </w:r>
      <w:r>
        <w:rPr>
          <w:rFonts w:hint="eastAsia" w:ascii="宋体" w:hAnsi="宋体" w:cs="宋体"/>
          <w:color w:val="0000FF"/>
          <w:sz w:val="21"/>
          <w:szCs w:val="21"/>
          <w:highlight w:val="none"/>
        </w:rPr>
        <w:t>上述有关标准、规范、规程和验收标准的最低要求或无法通过有关审批部门要求，否则不得采用。</w:t>
      </w:r>
    </w:p>
    <w:p w14:paraId="11380774">
      <w:pPr>
        <w:shd w:val="clear"/>
        <w:spacing w:line="440" w:lineRule="exact"/>
        <w:ind w:firstLine="460" w:firstLineChars="218"/>
        <w:rPr>
          <w:rFonts w:ascii="宋体" w:hAnsi="宋体"/>
          <w:b/>
          <w:color w:val="0000FF"/>
          <w:szCs w:val="21"/>
          <w:highlight w:val="none"/>
        </w:rPr>
      </w:pPr>
    </w:p>
    <w:p w14:paraId="77FFBCBA">
      <w:pPr>
        <w:shd w:val="clear"/>
        <w:jc w:val="center"/>
        <w:outlineLvl w:val="1"/>
        <w:rPr>
          <w:rFonts w:ascii="微软雅黑" w:hAnsi="微软雅黑" w:eastAsia="微软雅黑" w:cs="微软雅黑"/>
          <w:b/>
          <w:color w:val="000000"/>
          <w:sz w:val="24"/>
          <w:szCs w:val="24"/>
          <w:highlight w:val="none"/>
        </w:rPr>
      </w:pPr>
      <w:bookmarkStart w:id="4" w:name="_Toc20264"/>
      <w:r>
        <w:rPr>
          <w:rFonts w:hint="eastAsia" w:ascii="微软雅黑" w:hAnsi="微软雅黑" w:eastAsia="微软雅黑" w:cs="微软雅黑"/>
          <w:b/>
          <w:color w:val="000000"/>
          <w:sz w:val="24"/>
          <w:szCs w:val="24"/>
          <w:highlight w:val="none"/>
        </w:rPr>
        <w:t>第四节  商务需求明细</w:t>
      </w:r>
      <w:bookmarkEnd w:id="4"/>
    </w:p>
    <w:p w14:paraId="7FC9EF87">
      <w:pPr>
        <w:shd w:val="clear"/>
        <w:tabs>
          <w:tab w:val="left" w:pos="56"/>
          <w:tab w:val="left" w:pos="126"/>
          <w:tab w:val="left" w:pos="756"/>
          <w:tab w:val="left" w:pos="900"/>
        </w:tabs>
        <w:spacing w:line="440" w:lineRule="exact"/>
        <w:ind w:firstLine="422" w:firstLineChars="200"/>
        <w:jc w:val="left"/>
        <w:rPr>
          <w:rFonts w:ascii="宋体" w:hAnsi="宋体" w:cs="宋体"/>
          <w:b/>
          <w:bCs/>
          <w:color w:val="0000FF"/>
          <w:szCs w:val="21"/>
          <w:highlight w:val="none"/>
        </w:rPr>
      </w:pPr>
      <w:r>
        <w:rPr>
          <w:rFonts w:hint="eastAsia" w:ascii="宋体" w:hAnsi="宋体" w:cs="宋体"/>
          <w:b/>
          <w:bCs/>
          <w:color w:val="0000FF"/>
          <w:szCs w:val="21"/>
          <w:highlight w:val="none"/>
        </w:rPr>
        <w:t>一、项目范围及施工周期</w:t>
      </w:r>
    </w:p>
    <w:p w14:paraId="3D919EC1">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 xml:space="preserve">1.工程名称： 深圳市第二人民医院医创中心GMP实验室改造项目                        </w:t>
      </w:r>
    </w:p>
    <w:p w14:paraId="245AD23C">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 xml:space="preserve">2.工程地点： 深圳市第二人民医院         </w:t>
      </w:r>
    </w:p>
    <w:p w14:paraId="058A4F85">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3.工作范围： 包括但不限于对内走廊、空调机房、制水间、解析间、外包间、物流储存间、换鞋、一更、二更、清洗间、洁具间、缓冲、洁净走廊、废弃物、工位器具间、脱包间、物料预处理、3D打印室/产品后处理、中检室、内包间，面积186.53m</w:t>
      </w:r>
      <w:r>
        <w:rPr>
          <w:rFonts w:hint="eastAsia" w:ascii="宋体" w:hAnsi="宋体" w:cs="宋体"/>
          <w:color w:val="0000FF"/>
          <w:kern w:val="0"/>
          <w:szCs w:val="21"/>
          <w:highlight w:val="none"/>
          <w:vertAlign w:val="superscript"/>
        </w:rPr>
        <w:t>2</w:t>
      </w:r>
      <w:r>
        <w:rPr>
          <w:rFonts w:hint="eastAsia" w:ascii="宋体" w:hAnsi="宋体" w:cs="宋体"/>
          <w:color w:val="0000FF"/>
          <w:kern w:val="0"/>
          <w:szCs w:val="21"/>
          <w:highlight w:val="none"/>
        </w:rPr>
        <w:t>，对改造区域内墙体、门窗、地面、天花等进行装修改造，并包含配套的水电、医用气体、暖通等工程。</w:t>
      </w:r>
    </w:p>
    <w:p w14:paraId="35222C60">
      <w:pPr>
        <w:pStyle w:val="8"/>
        <w:shd w:val="clear"/>
        <w:spacing w:line="440" w:lineRule="exact"/>
        <w:rPr>
          <w:rFonts w:ascii="宋体" w:hAnsi="宋体" w:cs="宋体"/>
          <w:color w:val="0000FF"/>
          <w:kern w:val="0"/>
          <w:szCs w:val="21"/>
          <w:highlight w:val="none"/>
        </w:rPr>
      </w:pPr>
      <w:r>
        <w:rPr>
          <w:rFonts w:hint="eastAsia" w:ascii="宋体" w:hAnsi="宋体" w:cs="宋体"/>
          <w:color w:val="0000FF"/>
          <w:kern w:val="0"/>
          <w:szCs w:val="21"/>
          <w:highlight w:val="none"/>
        </w:rPr>
        <w:t>4．完工期：合同签订之日起90个日历天内完成。</w:t>
      </w:r>
      <w:r>
        <w:rPr>
          <w:rFonts w:hint="eastAsia" w:ascii="宋体" w:hAnsi="宋体" w:cs="宋体"/>
          <w:b/>
          <w:color w:val="0000FF"/>
          <w:kern w:val="0"/>
          <w:szCs w:val="21"/>
          <w:highlight w:val="none"/>
        </w:rPr>
        <w:t xml:space="preserve"> </w:t>
      </w:r>
    </w:p>
    <w:p w14:paraId="0F3D61BF">
      <w:pPr>
        <w:shd w:val="clear"/>
        <w:spacing w:line="440" w:lineRule="exact"/>
        <w:ind w:firstLine="405" w:firstLineChars="192"/>
        <w:rPr>
          <w:rFonts w:ascii="宋体" w:hAnsi="宋体"/>
          <w:b/>
          <w:bCs/>
          <w:color w:val="0000FF"/>
          <w:szCs w:val="21"/>
          <w:highlight w:val="none"/>
        </w:rPr>
      </w:pPr>
      <w:r>
        <w:rPr>
          <w:rFonts w:hint="eastAsia" w:ascii="宋体" w:hAnsi="宋体"/>
          <w:b/>
          <w:bCs/>
          <w:color w:val="0000FF"/>
          <w:szCs w:val="21"/>
          <w:highlight w:val="none"/>
        </w:rPr>
        <w:t>二、售后服务要求</w:t>
      </w:r>
    </w:p>
    <w:p w14:paraId="076F9A36">
      <w:pPr>
        <w:shd w:val="clear"/>
        <w:spacing w:line="440" w:lineRule="exact"/>
        <w:ind w:firstLine="403" w:firstLineChars="192"/>
        <w:rPr>
          <w:rFonts w:ascii="宋体" w:hAnsi="宋体"/>
          <w:color w:val="0000FF"/>
          <w:szCs w:val="21"/>
          <w:highlight w:val="none"/>
        </w:rPr>
      </w:pPr>
      <w:r>
        <w:rPr>
          <w:rFonts w:hint="eastAsia" w:ascii="宋体" w:hAnsi="宋体"/>
          <w:color w:val="0000FF"/>
          <w:szCs w:val="21"/>
          <w:highlight w:val="none"/>
        </w:rPr>
        <w:t>1</w:t>
      </w:r>
      <w:r>
        <w:rPr>
          <w:rFonts w:hint="eastAsia" w:ascii="宋体" w:hAnsi="宋体"/>
          <w:color w:val="0000FF"/>
          <w:szCs w:val="21"/>
          <w:highlight w:val="none"/>
          <w:lang w:val="en-US" w:eastAsia="zh-CN"/>
        </w:rPr>
        <w:t>.免费保修期：</w:t>
      </w:r>
      <w:r>
        <w:rPr>
          <w:rFonts w:hint="eastAsia" w:ascii="宋体" w:hAnsi="宋体"/>
          <w:color w:val="0000FF"/>
          <w:szCs w:val="21"/>
          <w:highlight w:val="none"/>
        </w:rPr>
        <w:t>屋面防水工程、有防水要求的卫生间、房间和外墙面的防渗漏，为5年；供热与供冷系统，为2个采暖期、供冷期；电气管线、给排水管道、设备安装和装修工程，为2年。建设工程的保修期，自竣工验收合格之日起计算。</w:t>
      </w:r>
    </w:p>
    <w:p w14:paraId="7E3C5BDF">
      <w:pPr>
        <w:shd w:val="clear"/>
        <w:spacing w:line="440" w:lineRule="exact"/>
        <w:ind w:firstLine="403" w:firstLineChars="192"/>
        <w:rPr>
          <w:rFonts w:ascii="宋体" w:hAnsi="宋体"/>
          <w:color w:val="0000FF"/>
          <w:szCs w:val="21"/>
          <w:highlight w:val="none"/>
        </w:rPr>
      </w:pPr>
      <w:r>
        <w:rPr>
          <w:rFonts w:hint="eastAsia" w:ascii="宋体" w:hAnsi="宋体"/>
          <w:color w:val="0000FF"/>
          <w:szCs w:val="21"/>
          <w:highlight w:val="none"/>
        </w:rPr>
        <w:t>2</w:t>
      </w:r>
      <w:r>
        <w:rPr>
          <w:rFonts w:hint="eastAsia" w:ascii="宋体" w:hAnsi="宋体"/>
          <w:color w:val="0000FF"/>
          <w:szCs w:val="21"/>
          <w:highlight w:val="none"/>
          <w:lang w:val="en-US" w:eastAsia="zh-CN"/>
        </w:rPr>
        <w:t>.</w:t>
      </w:r>
      <w:r>
        <w:rPr>
          <w:rFonts w:hint="eastAsia" w:ascii="宋体" w:hAnsi="宋体"/>
          <w:color w:val="0000FF"/>
          <w:szCs w:val="21"/>
          <w:highlight w:val="none"/>
        </w:rPr>
        <w:t>在</w:t>
      </w:r>
      <w:r>
        <w:rPr>
          <w:rFonts w:hint="eastAsia" w:ascii="宋体" w:hAnsi="宋体"/>
          <w:color w:val="0000FF"/>
          <w:szCs w:val="21"/>
          <w:highlight w:val="none"/>
          <w:lang w:eastAsia="zh-CN"/>
        </w:rPr>
        <w:t>免费保修期</w:t>
      </w:r>
      <w:r>
        <w:rPr>
          <w:rFonts w:hint="eastAsia" w:ascii="宋体" w:hAnsi="宋体"/>
          <w:color w:val="0000FF"/>
          <w:szCs w:val="21"/>
          <w:highlight w:val="none"/>
        </w:rPr>
        <w:t>内，如发生质量问题，中标方应对产品予以维修或更换，全部服务费和更换产品或零配件的费用由中标方承担；如因人为损坏，则中标方收取维修成本费。中标方如不能修理或不能调换，发包方有权委托第三方维修，维修费用由中标方承担，采购单位有权在应支付中标方的质保金中直接扣除。中标方须向采购单位提供优质的售后技术支持服务，开通 24 小时热线电话接受采购单位的电话技术咨询；如故障不能排除，中标方应在2小时内提供现场服务，并在4小时内完成修复工作。若中标方未在规定时间到达现场，每次罚款1000元；若中标方同一维保地点两次维修未解决问题，罚款1000元；费用均从质保金内扣除。</w:t>
      </w:r>
    </w:p>
    <w:p w14:paraId="08F51727">
      <w:pPr>
        <w:shd w:val="clear"/>
        <w:spacing w:line="440" w:lineRule="exact"/>
        <w:ind w:firstLine="405" w:firstLineChars="192"/>
        <w:rPr>
          <w:rFonts w:ascii="宋体" w:hAnsi="宋体"/>
          <w:b/>
          <w:bCs/>
          <w:color w:val="0000FF"/>
          <w:szCs w:val="21"/>
          <w:highlight w:val="none"/>
        </w:rPr>
      </w:pPr>
      <w:r>
        <w:rPr>
          <w:rFonts w:hint="eastAsia" w:ascii="宋体" w:hAnsi="宋体"/>
          <w:b/>
          <w:bCs/>
          <w:color w:val="0000FF"/>
          <w:szCs w:val="21"/>
          <w:highlight w:val="none"/>
        </w:rPr>
        <w:t>三、付款方式</w:t>
      </w:r>
    </w:p>
    <w:p w14:paraId="7BB6D1DF">
      <w:pPr>
        <w:shd w:val="clear"/>
        <w:spacing w:line="440" w:lineRule="exact"/>
        <w:ind w:firstLine="403" w:firstLineChars="192"/>
        <w:rPr>
          <w:rFonts w:ascii="宋体" w:hAnsi="宋体"/>
          <w:color w:val="0000FF"/>
          <w:szCs w:val="21"/>
          <w:highlight w:val="none"/>
        </w:rPr>
      </w:pPr>
      <w:r>
        <w:rPr>
          <w:rFonts w:hint="eastAsia" w:ascii="宋体" w:hAnsi="宋体"/>
          <w:color w:val="0000FF"/>
          <w:szCs w:val="21"/>
          <w:highlight w:val="none"/>
        </w:rPr>
        <w:t>合同为总价包干（包含税金、人工、运输等一切成本在内）合同签订后需中标单位向招标方提供中标总金额3%作为履约保证金，合同签订后30个工作日内支付中标金额的30%作为预付款，项目施工完成后，经发包方验收合格后（以发包方管理人员签字为准），30个工作日内支付至中标金额的100%；保修期满后30个工作日内退还银行出具3%履约保函。</w:t>
      </w:r>
    </w:p>
    <w:p w14:paraId="2204ACE5">
      <w:pPr>
        <w:shd w:val="clear"/>
        <w:spacing w:line="440" w:lineRule="exact"/>
        <w:ind w:firstLine="403" w:firstLineChars="192"/>
        <w:rPr>
          <w:rFonts w:ascii="宋体" w:hAnsi="宋体"/>
          <w:color w:val="0000FF"/>
          <w:kern w:val="0"/>
          <w:szCs w:val="21"/>
          <w:highlight w:val="none"/>
        </w:rPr>
      </w:pPr>
      <w:r>
        <w:rPr>
          <w:rFonts w:hint="eastAsia" w:ascii="宋体" w:hAnsi="宋体"/>
          <w:color w:val="0000FF"/>
          <w:szCs w:val="21"/>
          <w:highlight w:val="none"/>
        </w:rPr>
        <w:t>若付款过程发生其他不可预见情况，双方协商一致，签订补充协议为准。</w:t>
      </w:r>
    </w:p>
    <w:p w14:paraId="4DE3FB7C">
      <w:pPr>
        <w:shd w:val="clear"/>
        <w:spacing w:line="440" w:lineRule="exact"/>
        <w:ind w:firstLine="405" w:firstLineChars="192"/>
        <w:rPr>
          <w:rFonts w:ascii="宋体" w:hAnsi="宋体"/>
          <w:b/>
          <w:color w:val="0000FF"/>
          <w:kern w:val="0"/>
          <w:szCs w:val="21"/>
          <w:highlight w:val="none"/>
        </w:rPr>
      </w:pPr>
      <w:r>
        <w:rPr>
          <w:rFonts w:hint="eastAsia" w:ascii="宋体" w:hAnsi="宋体"/>
          <w:b/>
          <w:color w:val="0000FF"/>
          <w:kern w:val="0"/>
          <w:szCs w:val="21"/>
          <w:highlight w:val="none"/>
        </w:rPr>
        <w:t>四、投标报价</w:t>
      </w:r>
    </w:p>
    <w:p w14:paraId="2CA643E0">
      <w:pPr>
        <w:shd w:val="clear"/>
        <w:spacing w:line="440" w:lineRule="exact"/>
        <w:ind w:firstLine="367" w:firstLineChars="175"/>
        <w:rPr>
          <w:rFonts w:ascii="宋体" w:hAnsi="宋体"/>
          <w:color w:val="0000FF"/>
          <w:szCs w:val="21"/>
          <w:highlight w:val="none"/>
        </w:rPr>
      </w:pPr>
      <w:r>
        <w:rPr>
          <w:rFonts w:hint="eastAsia" w:ascii="宋体" w:hAnsi="宋体"/>
          <w:color w:val="0000FF"/>
          <w:szCs w:val="21"/>
          <w:highlight w:val="none"/>
        </w:rPr>
        <w:t>1、各参加投标企业，在做本项工程报价书中，均以招标文件所列的工程量清单为准。如对工程量清单有疑问，由投标人向代理机构以书面形式加盖投标单位公章提出，代理机构交采购人解答后，将答疑结果在公共资源交易中心网站和代理机构网站上公布。</w:t>
      </w:r>
    </w:p>
    <w:p w14:paraId="20F8EA74">
      <w:pPr>
        <w:shd w:val="clear"/>
        <w:spacing w:line="440" w:lineRule="exact"/>
        <w:ind w:firstLine="367" w:firstLineChars="175"/>
        <w:rPr>
          <w:rFonts w:ascii="宋体" w:hAnsi="宋体"/>
          <w:color w:val="0000FF"/>
          <w:szCs w:val="21"/>
          <w:highlight w:val="none"/>
        </w:rPr>
      </w:pPr>
      <w:r>
        <w:rPr>
          <w:rFonts w:hint="eastAsia" w:ascii="宋体" w:hAnsi="宋体"/>
          <w:bCs/>
          <w:color w:val="0000FF"/>
          <w:szCs w:val="21"/>
          <w:highlight w:val="none"/>
        </w:rPr>
        <w:t>2、投标报</w:t>
      </w:r>
      <w:r>
        <w:rPr>
          <w:rFonts w:hint="eastAsia"/>
          <w:bCs/>
          <w:color w:val="0000FF"/>
          <w:szCs w:val="21"/>
          <w:highlight w:val="none"/>
        </w:rPr>
        <w:t>价</w:t>
      </w:r>
      <w:r>
        <w:rPr>
          <w:rFonts w:hint="eastAsia" w:ascii="宋体" w:hAnsi="宋体"/>
          <w:color w:val="0000FF"/>
          <w:szCs w:val="21"/>
          <w:highlight w:val="none"/>
        </w:rPr>
        <w:t>必须是完成本采购项目的全包价：包括</w:t>
      </w:r>
      <w:r>
        <w:rPr>
          <w:rFonts w:hint="eastAsia" w:ascii="宋体" w:hAnsi="宋体"/>
          <w:bCs/>
          <w:color w:val="0000FF"/>
          <w:szCs w:val="21"/>
          <w:highlight w:val="none"/>
        </w:rPr>
        <w:t>所需的设备及材料等的采购、以及安装、拆除、施工、</w:t>
      </w:r>
      <w:r>
        <w:rPr>
          <w:rFonts w:hint="eastAsia" w:ascii="宋体" w:hAnsi="宋体"/>
          <w:color w:val="0000FF"/>
          <w:szCs w:val="21"/>
          <w:highlight w:val="none"/>
        </w:rPr>
        <w:t>人工费、管理费、机械费、水费、电费、垃圾清运费、技术服务费、税金、保险费、利润等本采购项目所发生的一切各项费用。</w:t>
      </w:r>
    </w:p>
    <w:p w14:paraId="0DACFB62">
      <w:pPr>
        <w:shd w:val="clear"/>
        <w:spacing w:line="440" w:lineRule="exact"/>
        <w:ind w:firstLine="420" w:firstLineChars="200"/>
        <w:rPr>
          <w:rFonts w:hint="eastAsia" w:ascii="宋体" w:hAnsi="宋体"/>
          <w:color w:val="0000FF"/>
          <w:szCs w:val="21"/>
          <w:highlight w:val="none"/>
          <w:lang w:eastAsia="zh-CN"/>
        </w:rPr>
      </w:pPr>
      <w:r>
        <w:rPr>
          <w:rFonts w:hint="eastAsia" w:ascii="宋体" w:hAnsi="宋体"/>
          <w:bCs/>
          <w:color w:val="0000FF"/>
          <w:szCs w:val="21"/>
          <w:highlight w:val="none"/>
        </w:rPr>
        <w:t>3、</w:t>
      </w:r>
      <w:r>
        <w:rPr>
          <w:rFonts w:hint="eastAsia" w:ascii="宋体" w:hAnsi="宋体"/>
          <w:color w:val="0000FF"/>
          <w:szCs w:val="21"/>
          <w:highlight w:val="none"/>
        </w:rPr>
        <w:t>投标方必须按照招标文件中所要求的材料，数量及技术参数进行投标，对所投设备、材料必须注明产地、品牌、型号、规格、等级等技术参数</w:t>
      </w:r>
      <w:r>
        <w:rPr>
          <w:rFonts w:hint="eastAsia" w:ascii="宋体" w:hAnsi="宋体"/>
          <w:color w:val="0000FF"/>
          <w:szCs w:val="21"/>
          <w:highlight w:val="none"/>
          <w:lang w:eastAsia="zh-CN"/>
        </w:rPr>
        <w:t>。</w:t>
      </w:r>
    </w:p>
    <w:p w14:paraId="144FF8D1">
      <w:pPr>
        <w:shd w:val="clear"/>
        <w:spacing w:line="440" w:lineRule="exact"/>
        <w:ind w:firstLine="420" w:firstLineChars="200"/>
        <w:rPr>
          <w:rFonts w:ascii="宋体" w:hAnsi="宋体"/>
          <w:color w:val="0000FF"/>
          <w:szCs w:val="21"/>
          <w:highlight w:val="none"/>
        </w:rPr>
      </w:pPr>
      <w:r>
        <w:rPr>
          <w:rFonts w:hint="eastAsia" w:ascii="宋体" w:hAnsi="宋体"/>
          <w:color w:val="0000FF"/>
          <w:szCs w:val="21"/>
          <w:highlight w:val="none"/>
          <w:lang w:val="en-US" w:eastAsia="zh-CN"/>
        </w:rPr>
        <w:t>4、</w:t>
      </w:r>
      <w:r>
        <w:rPr>
          <w:rFonts w:hint="eastAsia" w:ascii="宋体" w:hAnsi="宋体"/>
          <w:color w:val="0000FF"/>
          <w:szCs w:val="21"/>
          <w:highlight w:val="none"/>
        </w:rPr>
        <w:t>本工程采用按施工图纸总价包干方式。合同总价已包含完成本工程施工图纸所载明的全部工程内容、施工工序、技术要求及相关费用。无论工程量清单是否存在缺项、漏项、工程量偏差或错项，均不调整合同总价，相关风险由投标人自行承担。投标人已对施工图纸及工程量清单进行全面复核，并确认清单与图纸不一致之处，均已包含在合同总价内。</w:t>
      </w:r>
    </w:p>
    <w:p w14:paraId="6E0C137C">
      <w:pPr>
        <w:shd w:val="clear"/>
        <w:spacing w:line="440" w:lineRule="exact"/>
        <w:ind w:firstLine="420" w:firstLineChars="200"/>
        <w:rPr>
          <w:rFonts w:ascii="宋体" w:hAnsi="宋体"/>
          <w:color w:val="0000FF"/>
          <w:szCs w:val="21"/>
          <w:highlight w:val="none"/>
        </w:rPr>
      </w:pPr>
    </w:p>
    <w:p w14:paraId="7B08D53B">
      <w:pPr>
        <w:shd w:val="clear"/>
        <w:jc w:val="center"/>
        <w:outlineLvl w:val="1"/>
        <w:rPr>
          <w:rFonts w:ascii="微软雅黑" w:hAnsi="微软雅黑" w:eastAsia="微软雅黑" w:cs="微软雅黑"/>
          <w:b/>
          <w:color w:val="000000"/>
          <w:sz w:val="24"/>
          <w:szCs w:val="24"/>
          <w:highlight w:val="none"/>
        </w:rPr>
      </w:pPr>
      <w:bookmarkStart w:id="5" w:name="_Toc353262376"/>
      <w:bookmarkStart w:id="6" w:name="_Toc15647"/>
      <w:bookmarkStart w:id="7" w:name="_Toc333420706"/>
      <w:r>
        <w:rPr>
          <w:rFonts w:hint="eastAsia" w:ascii="微软雅黑" w:hAnsi="微软雅黑" w:eastAsia="微软雅黑" w:cs="微软雅黑"/>
          <w:b/>
          <w:color w:val="000000"/>
          <w:sz w:val="24"/>
          <w:szCs w:val="24"/>
          <w:highlight w:val="none"/>
        </w:rPr>
        <w:t>第五节  投标文件否决性条款摘要</w:t>
      </w:r>
      <w:bookmarkEnd w:id="5"/>
      <w:bookmarkEnd w:id="6"/>
      <w:bookmarkEnd w:id="7"/>
    </w:p>
    <w:p w14:paraId="11D3381C">
      <w:pPr>
        <w:shd w:val="clear"/>
        <w:spacing w:line="440" w:lineRule="exact"/>
        <w:ind w:firstLine="422" w:firstLineChars="200"/>
        <w:rPr>
          <w:rFonts w:ascii="宋体" w:hAnsi="宋体"/>
          <w:b/>
          <w:szCs w:val="21"/>
          <w:highlight w:val="none"/>
        </w:rPr>
      </w:pPr>
      <w:r>
        <w:rPr>
          <w:rFonts w:ascii="宋体" w:hAnsi="宋体"/>
          <w:b/>
          <w:highlight w:val="none"/>
        </w:rPr>
        <w:t>1、</w:t>
      </w:r>
      <w:r>
        <w:rPr>
          <w:rFonts w:ascii="宋体" w:hAnsi="宋体"/>
          <w:b/>
          <w:szCs w:val="21"/>
          <w:highlight w:val="none"/>
        </w:rPr>
        <w:t>投标文件有下列情形之一的，不予受理：</w:t>
      </w:r>
    </w:p>
    <w:p w14:paraId="5C7FF0D5">
      <w:pPr>
        <w:shd w:val="clear"/>
        <w:spacing w:line="440" w:lineRule="exact"/>
        <w:ind w:firstLine="420" w:firstLineChars="200"/>
        <w:rPr>
          <w:rFonts w:ascii="宋体" w:hAnsi="宋体"/>
          <w:szCs w:val="21"/>
          <w:highlight w:val="none"/>
        </w:rPr>
      </w:pPr>
      <w:r>
        <w:rPr>
          <w:rFonts w:ascii="宋体" w:hAnsi="宋体"/>
          <w:highlight w:val="none"/>
        </w:rPr>
        <w:t xml:space="preserve">1.1  </w:t>
      </w:r>
      <w:r>
        <w:rPr>
          <w:rFonts w:ascii="宋体" w:hAnsi="宋体"/>
          <w:szCs w:val="21"/>
          <w:highlight w:val="none"/>
        </w:rPr>
        <w:t>在投标截止时间以后送达的，或者未送达指定地点的；</w:t>
      </w:r>
    </w:p>
    <w:p w14:paraId="6AF93D52">
      <w:pPr>
        <w:shd w:val="clear"/>
        <w:spacing w:line="440" w:lineRule="exact"/>
        <w:ind w:firstLine="420" w:firstLineChars="200"/>
        <w:rPr>
          <w:rFonts w:ascii="宋体" w:hAnsi="宋体"/>
          <w:highlight w:val="none"/>
        </w:rPr>
      </w:pPr>
      <w:r>
        <w:rPr>
          <w:rFonts w:ascii="宋体" w:hAnsi="宋体"/>
          <w:highlight w:val="none"/>
        </w:rPr>
        <w:t xml:space="preserve">1.2  </w:t>
      </w:r>
      <w:r>
        <w:rPr>
          <w:rFonts w:hint="eastAsia" w:ascii="宋体" w:hAnsi="宋体"/>
          <w:highlight w:val="none"/>
        </w:rPr>
        <w:t>投标文件未密封的；</w:t>
      </w:r>
    </w:p>
    <w:p w14:paraId="413306CD">
      <w:pPr>
        <w:shd w:val="clear"/>
        <w:spacing w:line="440" w:lineRule="exact"/>
        <w:ind w:firstLine="420" w:firstLineChars="200"/>
        <w:rPr>
          <w:rFonts w:ascii="宋体" w:hAnsi="宋体"/>
          <w:b/>
          <w:szCs w:val="21"/>
          <w:highlight w:val="none"/>
        </w:rPr>
      </w:pPr>
      <w:r>
        <w:rPr>
          <w:rFonts w:hint="eastAsia" w:ascii="宋体" w:hAnsi="宋体"/>
          <w:highlight w:val="none"/>
        </w:rPr>
        <w:t xml:space="preserve">1.3  </w:t>
      </w:r>
      <w:r>
        <w:rPr>
          <w:rFonts w:ascii="宋体" w:hAnsi="宋体"/>
          <w:szCs w:val="21"/>
          <w:highlight w:val="none"/>
        </w:rPr>
        <w:t>投标人的名称与</w:t>
      </w:r>
      <w:bookmarkStart w:id="8" w:name="_Toc76871384"/>
      <w:r>
        <w:rPr>
          <w:rFonts w:ascii="宋体" w:hAnsi="宋体"/>
          <w:szCs w:val="21"/>
          <w:highlight w:val="none"/>
        </w:rPr>
        <w:t>购买招标文件时登记</w:t>
      </w:r>
      <w:bookmarkEnd w:id="8"/>
      <w:r>
        <w:rPr>
          <w:rFonts w:ascii="宋体" w:hAnsi="宋体"/>
          <w:szCs w:val="21"/>
          <w:highlight w:val="none"/>
        </w:rPr>
        <w:t>的不一致的。</w:t>
      </w:r>
    </w:p>
    <w:p w14:paraId="79163558">
      <w:pPr>
        <w:shd w:val="clear"/>
        <w:spacing w:line="440" w:lineRule="exact"/>
        <w:ind w:firstLine="422" w:firstLineChars="200"/>
        <w:rPr>
          <w:rFonts w:ascii="宋体" w:hAnsi="宋体"/>
          <w:b/>
          <w:szCs w:val="21"/>
          <w:highlight w:val="none"/>
        </w:rPr>
      </w:pPr>
      <w:r>
        <w:rPr>
          <w:rFonts w:ascii="宋体" w:hAnsi="宋体"/>
          <w:b/>
          <w:highlight w:val="none"/>
        </w:rPr>
        <w:t>2</w:t>
      </w:r>
      <w:r>
        <w:rPr>
          <w:rFonts w:hint="eastAsia" w:ascii="宋体" w:hAnsi="宋体"/>
          <w:b/>
          <w:highlight w:val="none"/>
        </w:rPr>
        <w:t>、</w:t>
      </w:r>
      <w:r>
        <w:rPr>
          <w:rFonts w:ascii="宋体" w:hAnsi="宋体"/>
          <w:b/>
          <w:szCs w:val="21"/>
          <w:highlight w:val="none"/>
        </w:rPr>
        <w:t>投标文件有下列</w:t>
      </w:r>
      <w:r>
        <w:rPr>
          <w:rFonts w:hint="eastAsia" w:ascii="宋体" w:hAnsi="宋体"/>
          <w:b/>
          <w:szCs w:val="21"/>
          <w:highlight w:val="none"/>
        </w:rPr>
        <w:t>情形之一的，按无效标处理：</w:t>
      </w:r>
    </w:p>
    <w:p w14:paraId="5A548C66">
      <w:pPr>
        <w:shd w:val="clear"/>
        <w:spacing w:line="440" w:lineRule="exact"/>
        <w:ind w:firstLine="420" w:firstLineChars="200"/>
        <w:rPr>
          <w:rFonts w:ascii="宋体" w:hAnsi="宋体"/>
          <w:szCs w:val="21"/>
          <w:highlight w:val="none"/>
        </w:rPr>
      </w:pPr>
      <w:r>
        <w:rPr>
          <w:rFonts w:hint="eastAsia" w:ascii="宋体" w:hAnsi="宋体"/>
          <w:highlight w:val="none"/>
        </w:rPr>
        <w:t xml:space="preserve">2.1  </w:t>
      </w:r>
      <w:r>
        <w:rPr>
          <w:rFonts w:hint="eastAsia" w:ascii="宋体" w:hAnsi="宋体"/>
          <w:szCs w:val="21"/>
          <w:highlight w:val="none"/>
        </w:rPr>
        <w:t>投标人未按照招标文件的要求提供投标保证金的；</w:t>
      </w:r>
      <w:r>
        <w:rPr>
          <w:rFonts w:ascii="宋体" w:hAnsi="宋体"/>
          <w:szCs w:val="21"/>
          <w:highlight w:val="none"/>
        </w:rPr>
        <w:t xml:space="preserve"> </w:t>
      </w:r>
    </w:p>
    <w:p w14:paraId="17B32CAF">
      <w:pPr>
        <w:shd w:val="clear"/>
        <w:spacing w:line="440" w:lineRule="exact"/>
        <w:ind w:firstLine="420" w:firstLineChars="200"/>
        <w:rPr>
          <w:rFonts w:ascii="宋体" w:hAnsi="宋体"/>
          <w:szCs w:val="21"/>
          <w:highlight w:val="none"/>
        </w:rPr>
      </w:pPr>
      <w:r>
        <w:rPr>
          <w:rFonts w:hint="eastAsia" w:ascii="宋体" w:hAnsi="宋体"/>
          <w:szCs w:val="21"/>
          <w:highlight w:val="none"/>
        </w:rPr>
        <w:t>2.2  投标文件无法定代表人签字或盖章，或签字人无法定代表人有效授权委托书原件的；</w:t>
      </w:r>
    </w:p>
    <w:p w14:paraId="2336EC73">
      <w:pPr>
        <w:shd w:val="clear"/>
        <w:spacing w:line="440" w:lineRule="exact"/>
        <w:ind w:firstLine="420" w:firstLineChars="200"/>
        <w:rPr>
          <w:rFonts w:ascii="宋体" w:hAnsi="宋体"/>
          <w:szCs w:val="21"/>
          <w:highlight w:val="none"/>
        </w:rPr>
      </w:pPr>
      <w:r>
        <w:rPr>
          <w:rFonts w:hint="eastAsia" w:ascii="宋体" w:hAnsi="宋体"/>
          <w:szCs w:val="21"/>
          <w:highlight w:val="none"/>
        </w:rPr>
        <w:t>2.3  投标人资格条件不符合国家有关规定和招标文件要求；</w:t>
      </w:r>
    </w:p>
    <w:p w14:paraId="4560C633">
      <w:pPr>
        <w:shd w:val="clear"/>
        <w:spacing w:line="440" w:lineRule="exact"/>
        <w:ind w:firstLine="420" w:firstLineChars="200"/>
        <w:rPr>
          <w:rFonts w:ascii="宋体" w:hAnsi="宋体"/>
          <w:szCs w:val="21"/>
          <w:highlight w:val="none"/>
        </w:rPr>
      </w:pPr>
      <w:r>
        <w:rPr>
          <w:rFonts w:hint="eastAsia" w:ascii="宋体" w:hAnsi="宋体"/>
          <w:szCs w:val="21"/>
          <w:highlight w:val="none"/>
        </w:rPr>
        <w:t>2.4  投标总价或分项报价超过预算控制金额的；</w:t>
      </w:r>
      <w:r>
        <w:rPr>
          <w:rFonts w:ascii="宋体" w:hAnsi="宋体"/>
          <w:szCs w:val="21"/>
          <w:highlight w:val="none"/>
        </w:rPr>
        <w:t xml:space="preserve"> </w:t>
      </w:r>
    </w:p>
    <w:p w14:paraId="61EFA610">
      <w:pPr>
        <w:shd w:val="clear"/>
        <w:spacing w:line="440" w:lineRule="exact"/>
        <w:ind w:firstLine="420" w:firstLineChars="200"/>
        <w:rPr>
          <w:rFonts w:ascii="宋体" w:hAnsi="宋体"/>
          <w:szCs w:val="21"/>
          <w:highlight w:val="none"/>
        </w:rPr>
      </w:pPr>
      <w:r>
        <w:rPr>
          <w:rFonts w:hint="eastAsia" w:ascii="宋体" w:hAnsi="宋体"/>
          <w:szCs w:val="21"/>
          <w:highlight w:val="none"/>
        </w:rPr>
        <w:t>2.5  开标一览表出现无报价或报价为零或有选择性报价的；</w:t>
      </w:r>
    </w:p>
    <w:p w14:paraId="45723DDE">
      <w:pPr>
        <w:shd w:val="clear"/>
        <w:spacing w:line="440" w:lineRule="exact"/>
        <w:ind w:firstLine="420" w:firstLineChars="200"/>
        <w:rPr>
          <w:rFonts w:ascii="宋体" w:hAnsi="宋体"/>
          <w:szCs w:val="21"/>
          <w:highlight w:val="none"/>
        </w:rPr>
      </w:pPr>
      <w:r>
        <w:rPr>
          <w:rFonts w:hint="eastAsia" w:ascii="宋体" w:hAnsi="宋体"/>
          <w:szCs w:val="21"/>
          <w:highlight w:val="none"/>
        </w:rPr>
        <w:t xml:space="preserve">2.6  </w:t>
      </w:r>
      <w:r>
        <w:rPr>
          <w:rFonts w:hint="eastAsia" w:ascii="宋体" w:hAnsi="宋体"/>
          <w:spacing w:val="-2"/>
          <w:szCs w:val="21"/>
          <w:highlight w:val="none"/>
        </w:rPr>
        <w:t>投标人以他人的名义投标、串通投标、以行贿手段谋取中标或者以其他弄虚作假方式投标；</w:t>
      </w:r>
    </w:p>
    <w:p w14:paraId="2564EE93">
      <w:pPr>
        <w:shd w:val="clear"/>
        <w:spacing w:line="440" w:lineRule="exact"/>
        <w:ind w:firstLine="420" w:firstLineChars="200"/>
        <w:rPr>
          <w:rFonts w:ascii="宋体" w:hAnsi="宋体"/>
          <w:szCs w:val="21"/>
          <w:highlight w:val="none"/>
        </w:rPr>
      </w:pPr>
      <w:r>
        <w:rPr>
          <w:rFonts w:hint="eastAsia" w:ascii="宋体" w:hAnsi="宋体"/>
          <w:szCs w:val="21"/>
          <w:highlight w:val="none"/>
        </w:rPr>
        <w:t xml:space="preserve">2.7  </w:t>
      </w:r>
      <w:r>
        <w:rPr>
          <w:rFonts w:hint="eastAsia" w:ascii="宋体" w:hAnsi="宋体"/>
          <w:spacing w:val="-2"/>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szCs w:val="21"/>
          <w:highlight w:val="none"/>
        </w:rPr>
        <w:t>；</w:t>
      </w:r>
    </w:p>
    <w:p w14:paraId="5B7C564D">
      <w:pPr>
        <w:shd w:val="clear"/>
        <w:spacing w:line="440" w:lineRule="exact"/>
        <w:ind w:firstLine="420" w:firstLineChars="200"/>
        <w:rPr>
          <w:rFonts w:ascii="宋体" w:hAnsi="宋体"/>
          <w:szCs w:val="21"/>
          <w:highlight w:val="none"/>
        </w:rPr>
      </w:pPr>
      <w:r>
        <w:rPr>
          <w:rFonts w:hint="eastAsia" w:ascii="宋体" w:hAnsi="宋体"/>
          <w:szCs w:val="21"/>
          <w:highlight w:val="none"/>
        </w:rPr>
        <w:t>2.8  投标人拒不按照要求对投标文件进行澄清、说明或者补正的；</w:t>
      </w:r>
    </w:p>
    <w:p w14:paraId="643DBA61">
      <w:pPr>
        <w:shd w:val="clear"/>
        <w:spacing w:line="440" w:lineRule="exact"/>
        <w:ind w:firstLine="420" w:firstLineChars="200"/>
        <w:rPr>
          <w:rFonts w:ascii="宋体" w:hAnsi="宋体"/>
          <w:szCs w:val="21"/>
          <w:highlight w:val="none"/>
        </w:rPr>
      </w:pPr>
      <w:r>
        <w:rPr>
          <w:rFonts w:hint="eastAsia" w:ascii="宋体" w:hAnsi="宋体"/>
          <w:szCs w:val="21"/>
          <w:highlight w:val="none"/>
        </w:rPr>
        <w:t>2.9  文件的关键内容字迹模糊、无法辨认的；</w:t>
      </w:r>
    </w:p>
    <w:p w14:paraId="5F5B869E">
      <w:pPr>
        <w:shd w:val="clear"/>
        <w:spacing w:line="440" w:lineRule="exact"/>
        <w:ind w:firstLine="420" w:firstLineChars="200"/>
        <w:rPr>
          <w:rFonts w:ascii="宋体" w:hAnsi="宋体"/>
          <w:szCs w:val="21"/>
          <w:highlight w:val="none"/>
        </w:rPr>
      </w:pPr>
      <w:r>
        <w:rPr>
          <w:rFonts w:hint="eastAsia" w:ascii="宋体" w:hAnsi="宋体"/>
          <w:szCs w:val="21"/>
          <w:highlight w:val="none"/>
        </w:rPr>
        <w:t>2.10  投标函未按规定填写的；</w:t>
      </w:r>
    </w:p>
    <w:p w14:paraId="234314D6">
      <w:pPr>
        <w:shd w:val="clear"/>
        <w:spacing w:line="440" w:lineRule="exact"/>
        <w:ind w:firstLine="420" w:firstLineChars="200"/>
        <w:rPr>
          <w:rFonts w:ascii="宋体" w:hAnsi="宋体"/>
          <w:szCs w:val="21"/>
          <w:highlight w:val="none"/>
        </w:rPr>
      </w:pPr>
      <w:r>
        <w:rPr>
          <w:rFonts w:hint="eastAsia" w:ascii="宋体" w:hAnsi="宋体"/>
          <w:szCs w:val="21"/>
          <w:highlight w:val="none"/>
        </w:rPr>
        <w:t>2.11  投标有效期不足的；</w:t>
      </w:r>
    </w:p>
    <w:p w14:paraId="173713EF">
      <w:pPr>
        <w:shd w:val="clear"/>
        <w:spacing w:line="440" w:lineRule="exact"/>
        <w:ind w:firstLine="420" w:firstLineChars="200"/>
        <w:rPr>
          <w:rFonts w:ascii="宋体" w:hAnsi="宋体"/>
          <w:szCs w:val="21"/>
          <w:highlight w:val="none"/>
        </w:rPr>
      </w:pPr>
      <w:r>
        <w:rPr>
          <w:rFonts w:hint="eastAsia" w:ascii="宋体" w:hAnsi="宋体"/>
          <w:szCs w:val="21"/>
          <w:highlight w:val="none"/>
        </w:rPr>
        <w:t xml:space="preserve">2.12  </w:t>
      </w:r>
      <w:r>
        <w:rPr>
          <w:rFonts w:hint="eastAsia" w:ascii="宋体" w:hAnsi="宋体"/>
          <w:spacing w:val="-6"/>
          <w:szCs w:val="21"/>
          <w:highlight w:val="none"/>
        </w:rPr>
        <w:t>投标人的投标未能在实质上响应招标文件提出的所有实质性要求和条件（不可偏离条款）的；</w:t>
      </w:r>
    </w:p>
    <w:p w14:paraId="34C4CD28">
      <w:pPr>
        <w:shd w:val="clear"/>
        <w:spacing w:line="440" w:lineRule="exact"/>
        <w:ind w:firstLine="420" w:firstLineChars="200"/>
        <w:rPr>
          <w:rFonts w:ascii="宋体" w:hAnsi="宋体"/>
          <w:szCs w:val="21"/>
          <w:highlight w:val="none"/>
        </w:rPr>
      </w:pPr>
      <w:r>
        <w:rPr>
          <w:rFonts w:hint="eastAsia" w:ascii="宋体" w:hAnsi="宋体"/>
          <w:szCs w:val="21"/>
          <w:highlight w:val="none"/>
        </w:rPr>
        <w:t xml:space="preserve">2.13  </w:t>
      </w:r>
      <w:r>
        <w:rPr>
          <w:rFonts w:ascii="宋体" w:hAnsi="宋体"/>
          <w:szCs w:val="21"/>
          <w:highlight w:val="none"/>
        </w:rPr>
        <w:t>投标报价有严重缺漏项目的</w:t>
      </w:r>
      <w:r>
        <w:rPr>
          <w:rFonts w:hint="eastAsia" w:ascii="宋体" w:hAnsi="宋体"/>
          <w:szCs w:val="21"/>
          <w:highlight w:val="none"/>
        </w:rPr>
        <w:t>；</w:t>
      </w:r>
    </w:p>
    <w:p w14:paraId="3AEE1C8D">
      <w:pPr>
        <w:shd w:val="clear"/>
        <w:spacing w:line="440" w:lineRule="exact"/>
        <w:ind w:firstLine="420" w:firstLineChars="200"/>
        <w:rPr>
          <w:rFonts w:ascii="宋体" w:hAnsi="宋体"/>
          <w:szCs w:val="21"/>
          <w:highlight w:val="none"/>
        </w:rPr>
      </w:pPr>
      <w:r>
        <w:rPr>
          <w:rFonts w:hint="eastAsia" w:ascii="宋体" w:hAnsi="宋体"/>
          <w:szCs w:val="21"/>
          <w:highlight w:val="none"/>
        </w:rPr>
        <w:t>2.14  联合体投标未附联合体各方共同投标协议的；联合体成员</w:t>
      </w:r>
      <w:r>
        <w:rPr>
          <w:rFonts w:ascii="宋体" w:hAnsi="宋体"/>
          <w:szCs w:val="21"/>
          <w:highlight w:val="none"/>
        </w:rPr>
        <w:t>再以自己名义单独投标，</w:t>
      </w:r>
      <w:r>
        <w:rPr>
          <w:rFonts w:hint="eastAsia" w:ascii="宋体" w:hAnsi="宋体"/>
          <w:szCs w:val="21"/>
          <w:highlight w:val="none"/>
        </w:rPr>
        <w:t>及</w:t>
      </w:r>
      <w:r>
        <w:rPr>
          <w:rFonts w:ascii="宋体" w:hAnsi="宋体"/>
          <w:szCs w:val="21"/>
          <w:highlight w:val="none"/>
        </w:rPr>
        <w:t>组成或参加其他联合体在同一项目中投标</w:t>
      </w:r>
      <w:r>
        <w:rPr>
          <w:rFonts w:hint="eastAsia" w:ascii="宋体" w:hAnsi="宋体"/>
          <w:szCs w:val="21"/>
          <w:highlight w:val="none"/>
        </w:rPr>
        <w:t>的；</w:t>
      </w:r>
    </w:p>
    <w:p w14:paraId="67FD28C8">
      <w:pPr>
        <w:shd w:val="clear"/>
        <w:spacing w:line="440" w:lineRule="exact"/>
        <w:ind w:firstLine="420" w:firstLineChars="200"/>
        <w:rPr>
          <w:rFonts w:ascii="宋体" w:hAnsi="宋体"/>
          <w:szCs w:val="21"/>
          <w:highlight w:val="none"/>
        </w:rPr>
      </w:pPr>
      <w:r>
        <w:rPr>
          <w:rFonts w:hint="eastAsia" w:ascii="宋体" w:hAnsi="宋体"/>
          <w:szCs w:val="21"/>
          <w:highlight w:val="none"/>
        </w:rPr>
        <w:t xml:space="preserve">2.15  </w:t>
      </w:r>
      <w:r>
        <w:rPr>
          <w:rFonts w:ascii="宋体" w:hAnsi="宋体"/>
          <w:szCs w:val="21"/>
          <w:highlight w:val="none"/>
        </w:rPr>
        <w:t>投标人递交两份或多份内容不同</w:t>
      </w:r>
      <w:r>
        <w:rPr>
          <w:rFonts w:hint="eastAsia" w:ascii="宋体" w:hAnsi="宋体"/>
          <w:szCs w:val="21"/>
          <w:highlight w:val="none"/>
        </w:rPr>
        <w:t>投标方案（</w:t>
      </w:r>
      <w:r>
        <w:rPr>
          <w:rFonts w:ascii="宋体" w:hAnsi="宋体"/>
          <w:szCs w:val="21"/>
          <w:highlight w:val="none"/>
        </w:rPr>
        <w:t>招标文件规定提交备选投标方案的除外</w:t>
      </w:r>
      <w:r>
        <w:rPr>
          <w:rFonts w:hint="eastAsia" w:ascii="宋体" w:hAnsi="宋体"/>
          <w:szCs w:val="21"/>
          <w:highlight w:val="none"/>
        </w:rPr>
        <w:t>）</w:t>
      </w:r>
      <w:r>
        <w:rPr>
          <w:rFonts w:ascii="宋体" w:hAnsi="宋体"/>
          <w:szCs w:val="21"/>
          <w:highlight w:val="none"/>
        </w:rPr>
        <w:t>；</w:t>
      </w:r>
    </w:p>
    <w:p w14:paraId="3A231B01">
      <w:pPr>
        <w:shd w:val="clear"/>
        <w:spacing w:line="440" w:lineRule="exact"/>
        <w:ind w:firstLine="420" w:firstLineChars="200"/>
        <w:rPr>
          <w:rFonts w:ascii="宋体" w:hAnsi="宋体"/>
          <w:szCs w:val="21"/>
          <w:highlight w:val="none"/>
        </w:rPr>
      </w:pPr>
      <w:r>
        <w:rPr>
          <w:rFonts w:hint="eastAsia" w:ascii="宋体" w:hAnsi="宋体"/>
          <w:szCs w:val="21"/>
          <w:highlight w:val="none"/>
        </w:rPr>
        <w:t>2.16  投标文件只对</w:t>
      </w:r>
      <w:r>
        <w:rPr>
          <w:rFonts w:ascii="宋体" w:hAnsi="宋体"/>
          <w:szCs w:val="21"/>
          <w:highlight w:val="none"/>
        </w:rPr>
        <w:t>同一</w:t>
      </w:r>
      <w:r>
        <w:rPr>
          <w:rFonts w:hint="eastAsia" w:ascii="宋体" w:hAnsi="宋体"/>
          <w:szCs w:val="21"/>
          <w:highlight w:val="none"/>
        </w:rPr>
        <w:t>项目</w:t>
      </w:r>
      <w:r>
        <w:rPr>
          <w:rFonts w:ascii="宋体" w:hAnsi="宋体"/>
          <w:szCs w:val="21"/>
          <w:highlight w:val="none"/>
        </w:rPr>
        <w:t>包中的</w:t>
      </w:r>
      <w:r>
        <w:rPr>
          <w:rFonts w:hint="eastAsia" w:ascii="宋体" w:hAnsi="宋体"/>
          <w:szCs w:val="21"/>
          <w:highlight w:val="none"/>
        </w:rPr>
        <w:t>部分</w:t>
      </w:r>
      <w:r>
        <w:rPr>
          <w:rFonts w:ascii="宋体" w:hAnsi="宋体"/>
          <w:szCs w:val="21"/>
          <w:highlight w:val="none"/>
        </w:rPr>
        <w:t>内容</w:t>
      </w:r>
      <w:r>
        <w:rPr>
          <w:rFonts w:hint="eastAsia" w:ascii="宋体" w:hAnsi="宋体"/>
          <w:szCs w:val="21"/>
          <w:highlight w:val="none"/>
        </w:rPr>
        <w:t>投标，或把</w:t>
      </w:r>
      <w:r>
        <w:rPr>
          <w:rFonts w:ascii="宋体" w:hAnsi="宋体"/>
          <w:szCs w:val="21"/>
          <w:highlight w:val="none"/>
        </w:rPr>
        <w:t>同一</w:t>
      </w:r>
      <w:r>
        <w:rPr>
          <w:rFonts w:hint="eastAsia" w:ascii="宋体" w:hAnsi="宋体"/>
          <w:szCs w:val="21"/>
          <w:highlight w:val="none"/>
        </w:rPr>
        <w:t>项目</w:t>
      </w:r>
      <w:r>
        <w:rPr>
          <w:rFonts w:ascii="宋体" w:hAnsi="宋体"/>
          <w:szCs w:val="21"/>
          <w:highlight w:val="none"/>
        </w:rPr>
        <w:t>包中</w:t>
      </w:r>
      <w:r>
        <w:rPr>
          <w:rFonts w:hint="eastAsia" w:ascii="宋体" w:hAnsi="宋体"/>
          <w:szCs w:val="21"/>
          <w:highlight w:val="none"/>
        </w:rPr>
        <w:t>的内容拆开的投标；</w:t>
      </w:r>
    </w:p>
    <w:p w14:paraId="4A769E66">
      <w:pPr>
        <w:shd w:val="clear"/>
        <w:spacing w:line="440" w:lineRule="exact"/>
        <w:ind w:firstLine="420" w:firstLineChars="200"/>
        <w:rPr>
          <w:rFonts w:ascii="宋体" w:hAnsi="宋体"/>
          <w:szCs w:val="21"/>
          <w:highlight w:val="none"/>
        </w:rPr>
      </w:pPr>
      <w:r>
        <w:rPr>
          <w:rFonts w:hint="eastAsia" w:ascii="宋体" w:hAnsi="宋体"/>
          <w:szCs w:val="21"/>
          <w:highlight w:val="none"/>
        </w:rPr>
        <w:t>2.17  评标委员会根据招标文件的规定对投标文件的计算错误进行修正，投标人不接受修正后的投标报价的；</w:t>
      </w:r>
    </w:p>
    <w:p w14:paraId="212E26F5">
      <w:pPr>
        <w:shd w:val="clear"/>
        <w:spacing w:line="440" w:lineRule="exact"/>
        <w:ind w:firstLine="420" w:firstLineChars="200"/>
        <w:rPr>
          <w:rFonts w:ascii="宋体" w:hAnsi="宋体"/>
          <w:szCs w:val="21"/>
          <w:highlight w:val="none"/>
        </w:rPr>
      </w:pPr>
      <w:r>
        <w:rPr>
          <w:rFonts w:hint="eastAsia" w:ascii="宋体" w:hAnsi="宋体"/>
          <w:szCs w:val="21"/>
          <w:highlight w:val="none"/>
        </w:rPr>
        <w:t>2.18  投标文件符合法律、法规及</w:t>
      </w:r>
      <w:r>
        <w:rPr>
          <w:rFonts w:hint="eastAsia" w:ascii="宋体" w:hAnsi="宋体"/>
          <w:highlight w:val="none"/>
        </w:rPr>
        <w:t>招标文件中规定的其他否决因素的。</w:t>
      </w:r>
    </w:p>
    <w:p w14:paraId="31F084C9">
      <w:pPr>
        <w:shd w:val="clear"/>
        <w:spacing w:line="440" w:lineRule="exact"/>
        <w:ind w:firstLine="422" w:firstLineChars="200"/>
        <w:rPr>
          <w:rFonts w:ascii="宋体" w:hAnsi="宋体"/>
          <w:b/>
          <w:bCs/>
          <w:color w:val="000000"/>
          <w:szCs w:val="21"/>
          <w:highlight w:val="none"/>
        </w:rPr>
      </w:pPr>
    </w:p>
    <w:p w14:paraId="5005C56C">
      <w:pPr>
        <w:shd w:val="clear"/>
        <w:jc w:val="center"/>
        <w:outlineLvl w:val="1"/>
        <w:rPr>
          <w:rFonts w:ascii="微软雅黑" w:hAnsi="微软雅黑" w:eastAsia="微软雅黑" w:cs="微软雅黑"/>
          <w:b/>
          <w:color w:val="000000"/>
          <w:sz w:val="24"/>
          <w:szCs w:val="24"/>
          <w:highlight w:val="none"/>
        </w:rPr>
      </w:pPr>
      <w:bookmarkStart w:id="9" w:name="_Toc16291"/>
      <w:r>
        <w:rPr>
          <w:rFonts w:hint="eastAsia" w:ascii="微软雅黑" w:hAnsi="微软雅黑" w:eastAsia="微软雅黑" w:cs="微软雅黑"/>
          <w:b/>
          <w:color w:val="000000"/>
          <w:sz w:val="24"/>
          <w:szCs w:val="24"/>
          <w:highlight w:val="none"/>
        </w:rPr>
        <w:t>第六节  评标方法及程序</w:t>
      </w:r>
      <w:bookmarkEnd w:id="9"/>
    </w:p>
    <w:p w14:paraId="3DE7D6ED">
      <w:pPr>
        <w:shd w:val="clear"/>
        <w:spacing w:line="440" w:lineRule="exact"/>
        <w:ind w:firstLine="422" w:firstLineChars="200"/>
        <w:rPr>
          <w:rFonts w:ascii="宋体" w:hAnsi="宋体"/>
          <w:b/>
          <w:bCs/>
          <w:szCs w:val="21"/>
          <w:highlight w:val="none"/>
        </w:rPr>
      </w:pPr>
      <w:r>
        <w:rPr>
          <w:rFonts w:hint="eastAsia" w:ascii="宋体" w:hAnsi="宋体"/>
          <w:b/>
          <w:bCs/>
          <w:szCs w:val="21"/>
          <w:highlight w:val="none"/>
        </w:rPr>
        <w:t>一、本项目评标及定标方法</w:t>
      </w:r>
    </w:p>
    <w:tbl>
      <w:tblPr>
        <w:tblStyle w:val="6"/>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5"/>
        <w:gridCol w:w="1770"/>
        <w:gridCol w:w="6660"/>
      </w:tblGrid>
      <w:tr w14:paraId="3ED8C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85" w:type="dxa"/>
            <w:vAlign w:val="center"/>
          </w:tcPr>
          <w:p w14:paraId="50AC67FB">
            <w:pPr>
              <w:shd w:val="clear"/>
              <w:spacing w:line="440" w:lineRule="exact"/>
              <w:jc w:val="center"/>
              <w:rPr>
                <w:rFonts w:ascii="宋体" w:hAnsi="宋体"/>
                <w:b/>
                <w:bCs/>
                <w:color w:val="0000FF"/>
                <w:szCs w:val="21"/>
                <w:highlight w:val="none"/>
              </w:rPr>
            </w:pPr>
            <w:r>
              <w:rPr>
                <w:rFonts w:hint="eastAsia" w:ascii="宋体" w:hAnsi="宋体"/>
                <w:b/>
                <w:bCs/>
                <w:color w:val="0000FF"/>
                <w:szCs w:val="21"/>
                <w:highlight w:val="none"/>
              </w:rPr>
              <w:t>序号</w:t>
            </w:r>
          </w:p>
        </w:tc>
        <w:tc>
          <w:tcPr>
            <w:tcW w:w="1770" w:type="dxa"/>
            <w:vAlign w:val="center"/>
          </w:tcPr>
          <w:p w14:paraId="7DB2DCE8">
            <w:pPr>
              <w:shd w:val="clear"/>
              <w:spacing w:line="440" w:lineRule="exact"/>
              <w:jc w:val="center"/>
              <w:rPr>
                <w:rFonts w:ascii="宋体" w:hAnsi="宋体"/>
                <w:b/>
                <w:bCs/>
                <w:color w:val="0000FF"/>
                <w:szCs w:val="21"/>
                <w:highlight w:val="none"/>
              </w:rPr>
            </w:pPr>
            <w:r>
              <w:rPr>
                <w:rFonts w:hint="eastAsia" w:ascii="宋体" w:hAnsi="宋体"/>
                <w:b/>
                <w:bCs/>
                <w:color w:val="0000FF"/>
                <w:szCs w:val="21"/>
                <w:highlight w:val="none"/>
              </w:rPr>
              <w:t>项目</w:t>
            </w:r>
          </w:p>
        </w:tc>
        <w:tc>
          <w:tcPr>
            <w:tcW w:w="6660" w:type="dxa"/>
            <w:vAlign w:val="center"/>
          </w:tcPr>
          <w:p w14:paraId="4C5C60C7">
            <w:pPr>
              <w:shd w:val="clear"/>
              <w:spacing w:line="440" w:lineRule="exact"/>
              <w:jc w:val="center"/>
              <w:rPr>
                <w:rFonts w:ascii="宋体" w:hAnsi="宋体"/>
                <w:b/>
                <w:bCs/>
                <w:color w:val="0000FF"/>
                <w:szCs w:val="21"/>
                <w:highlight w:val="none"/>
              </w:rPr>
            </w:pPr>
            <w:r>
              <w:rPr>
                <w:rFonts w:hint="eastAsia" w:ascii="宋体" w:hAnsi="宋体"/>
                <w:b/>
                <w:bCs/>
                <w:color w:val="0000FF"/>
                <w:szCs w:val="21"/>
                <w:highlight w:val="none"/>
              </w:rPr>
              <w:t>内容</w:t>
            </w:r>
          </w:p>
        </w:tc>
      </w:tr>
      <w:tr w14:paraId="17A85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85" w:type="dxa"/>
            <w:vAlign w:val="center"/>
          </w:tcPr>
          <w:p w14:paraId="23A0A0F6">
            <w:pPr>
              <w:shd w:val="clear"/>
              <w:spacing w:line="440" w:lineRule="exact"/>
              <w:jc w:val="center"/>
              <w:rPr>
                <w:rFonts w:ascii="宋体" w:hAnsi="宋体"/>
                <w:bCs/>
                <w:color w:val="0000FF"/>
                <w:szCs w:val="21"/>
                <w:highlight w:val="none"/>
              </w:rPr>
            </w:pPr>
            <w:r>
              <w:rPr>
                <w:rFonts w:hint="eastAsia" w:ascii="宋体" w:hAnsi="宋体"/>
                <w:bCs/>
                <w:color w:val="0000FF"/>
                <w:szCs w:val="21"/>
                <w:highlight w:val="none"/>
              </w:rPr>
              <w:t>1</w:t>
            </w:r>
          </w:p>
        </w:tc>
        <w:tc>
          <w:tcPr>
            <w:tcW w:w="1770" w:type="dxa"/>
            <w:vAlign w:val="center"/>
          </w:tcPr>
          <w:p w14:paraId="5B03CD88">
            <w:pPr>
              <w:shd w:val="clear"/>
              <w:spacing w:line="440" w:lineRule="exact"/>
              <w:rPr>
                <w:rFonts w:ascii="宋体" w:hAnsi="宋体"/>
                <w:bCs/>
                <w:color w:val="0000FF"/>
                <w:szCs w:val="21"/>
                <w:highlight w:val="none"/>
              </w:rPr>
            </w:pPr>
            <w:r>
              <w:rPr>
                <w:rFonts w:hint="eastAsia" w:ascii="宋体" w:hAnsi="宋体"/>
                <w:bCs/>
                <w:color w:val="0000FF"/>
                <w:szCs w:val="21"/>
                <w:highlight w:val="none"/>
              </w:rPr>
              <w:t>定标方式</w:t>
            </w:r>
          </w:p>
        </w:tc>
        <w:tc>
          <w:tcPr>
            <w:tcW w:w="6660" w:type="dxa"/>
            <w:vAlign w:val="center"/>
          </w:tcPr>
          <w:p w14:paraId="4BEB42C5">
            <w:pPr>
              <w:shd w:val="clear"/>
              <w:spacing w:line="440" w:lineRule="exact"/>
              <w:rPr>
                <w:rFonts w:ascii="宋体" w:hAnsi="宋体"/>
                <w:b/>
                <w:bCs/>
                <w:color w:val="0000FF"/>
                <w:szCs w:val="21"/>
                <w:highlight w:val="none"/>
              </w:rPr>
            </w:pPr>
            <w:r>
              <w:rPr>
                <w:rFonts w:hint="eastAsia" w:ascii="MS Mincho" w:hAnsi="MS Mincho" w:cs="MS Mincho"/>
                <w:snapToGrid w:val="0"/>
                <w:color w:val="0000FF"/>
                <w:kern w:val="0"/>
                <w:szCs w:val="21"/>
                <w:highlight w:val="none"/>
              </w:rPr>
              <w:t xml:space="preserve">■ </w:t>
            </w:r>
            <w:r>
              <w:rPr>
                <w:rFonts w:hint="eastAsia" w:ascii="宋体" w:hAnsi="宋体"/>
                <w:color w:val="0000FF"/>
                <w:szCs w:val="21"/>
                <w:highlight w:val="none"/>
              </w:rPr>
              <w:t xml:space="preserve">授权评标委员会确定中标单位   </w:t>
            </w:r>
            <w:r>
              <w:rPr>
                <w:rFonts w:hint="eastAsia" w:ascii="宋体" w:hAnsi="宋体"/>
                <w:snapToGrid w:val="0"/>
                <w:color w:val="0000FF"/>
                <w:kern w:val="0"/>
                <w:szCs w:val="21"/>
                <w:highlight w:val="none"/>
              </w:rPr>
              <w:t xml:space="preserve">□ </w:t>
            </w:r>
            <w:r>
              <w:rPr>
                <w:rFonts w:hint="eastAsia"/>
                <w:color w:val="0000FF"/>
                <w:highlight w:val="none"/>
              </w:rPr>
              <w:t>评标和定标分离</w:t>
            </w:r>
          </w:p>
        </w:tc>
      </w:tr>
      <w:tr w14:paraId="24ED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85" w:type="dxa"/>
            <w:vAlign w:val="center"/>
          </w:tcPr>
          <w:p w14:paraId="064B569F">
            <w:pPr>
              <w:shd w:val="clear"/>
              <w:spacing w:line="440" w:lineRule="exact"/>
              <w:jc w:val="center"/>
              <w:rPr>
                <w:rFonts w:ascii="宋体" w:hAnsi="宋体"/>
                <w:bCs/>
                <w:color w:val="0000FF"/>
                <w:szCs w:val="21"/>
                <w:highlight w:val="none"/>
              </w:rPr>
            </w:pPr>
            <w:r>
              <w:rPr>
                <w:rFonts w:hint="eastAsia" w:ascii="宋体" w:hAnsi="宋体"/>
                <w:bCs/>
                <w:color w:val="0000FF"/>
                <w:szCs w:val="21"/>
                <w:highlight w:val="none"/>
              </w:rPr>
              <w:t>2</w:t>
            </w:r>
          </w:p>
        </w:tc>
        <w:tc>
          <w:tcPr>
            <w:tcW w:w="1770" w:type="dxa"/>
            <w:vAlign w:val="center"/>
          </w:tcPr>
          <w:p w14:paraId="79D18E42">
            <w:pPr>
              <w:shd w:val="clear"/>
              <w:spacing w:line="440" w:lineRule="exact"/>
              <w:rPr>
                <w:rFonts w:ascii="宋体" w:hAnsi="宋体"/>
                <w:bCs/>
                <w:color w:val="0000FF"/>
                <w:szCs w:val="21"/>
                <w:highlight w:val="none"/>
              </w:rPr>
            </w:pPr>
            <w:r>
              <w:rPr>
                <w:rFonts w:hint="eastAsia" w:ascii="宋体" w:hAnsi="宋体"/>
                <w:bCs/>
                <w:color w:val="0000FF"/>
                <w:szCs w:val="21"/>
                <w:highlight w:val="none"/>
              </w:rPr>
              <w:t>评标方法</w:t>
            </w:r>
          </w:p>
        </w:tc>
        <w:tc>
          <w:tcPr>
            <w:tcW w:w="6660" w:type="dxa"/>
            <w:vAlign w:val="center"/>
          </w:tcPr>
          <w:p w14:paraId="21E3AF19">
            <w:pPr>
              <w:shd w:val="clear"/>
              <w:spacing w:line="440" w:lineRule="exact"/>
              <w:rPr>
                <w:rFonts w:ascii="宋体" w:hAnsi="宋体"/>
                <w:b/>
                <w:bCs/>
                <w:color w:val="0000FF"/>
                <w:szCs w:val="21"/>
                <w:highlight w:val="none"/>
              </w:rPr>
            </w:pPr>
            <w:r>
              <w:rPr>
                <w:rFonts w:hint="eastAsia" w:ascii="MS Mincho" w:hAnsi="MS Mincho" w:cs="MS Mincho"/>
                <w:snapToGrid w:val="0"/>
                <w:color w:val="0000FF"/>
                <w:kern w:val="0"/>
                <w:szCs w:val="21"/>
                <w:highlight w:val="none"/>
              </w:rPr>
              <w:t xml:space="preserve">■ </w:t>
            </w:r>
            <w:r>
              <w:rPr>
                <w:rFonts w:hint="eastAsia" w:ascii="宋体" w:hAnsi="宋体"/>
                <w:color w:val="0000FF"/>
                <w:szCs w:val="21"/>
                <w:highlight w:val="none"/>
              </w:rPr>
              <w:t xml:space="preserve">综合评分法    </w:t>
            </w:r>
            <w:r>
              <w:rPr>
                <w:rFonts w:ascii="宋体" w:hAnsi="宋体"/>
                <w:color w:val="0000FF"/>
                <w:szCs w:val="21"/>
                <w:highlight w:val="none"/>
              </w:rPr>
              <w:t xml:space="preserve">               </w:t>
            </w:r>
            <w:r>
              <w:rPr>
                <w:rFonts w:hint="eastAsia" w:ascii="宋体" w:hAnsi="宋体"/>
                <w:snapToGrid w:val="0"/>
                <w:color w:val="0000FF"/>
                <w:kern w:val="0"/>
                <w:szCs w:val="21"/>
                <w:highlight w:val="none"/>
              </w:rPr>
              <w:t xml:space="preserve">□ </w:t>
            </w:r>
            <w:r>
              <w:rPr>
                <w:rFonts w:hint="eastAsia" w:ascii="Calibri" w:hAnsi="Calibri"/>
                <w:color w:val="0000FF"/>
                <w:szCs w:val="21"/>
                <w:highlight w:val="none"/>
              </w:rPr>
              <w:t>最低价法</w:t>
            </w:r>
          </w:p>
        </w:tc>
      </w:tr>
      <w:tr w14:paraId="1430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85" w:type="dxa"/>
            <w:vAlign w:val="center"/>
          </w:tcPr>
          <w:p w14:paraId="3956C258">
            <w:pPr>
              <w:shd w:val="clear"/>
              <w:spacing w:line="440" w:lineRule="exact"/>
              <w:jc w:val="center"/>
              <w:rPr>
                <w:rFonts w:ascii="宋体" w:hAnsi="宋体"/>
                <w:bCs/>
                <w:color w:val="0000FF"/>
                <w:szCs w:val="21"/>
                <w:highlight w:val="none"/>
              </w:rPr>
            </w:pPr>
            <w:r>
              <w:rPr>
                <w:rFonts w:ascii="宋体" w:hAnsi="宋体"/>
                <w:bCs/>
                <w:color w:val="0000FF"/>
                <w:szCs w:val="21"/>
                <w:highlight w:val="none"/>
              </w:rPr>
              <w:t>3</w:t>
            </w:r>
          </w:p>
        </w:tc>
        <w:tc>
          <w:tcPr>
            <w:tcW w:w="1770" w:type="dxa"/>
            <w:vAlign w:val="center"/>
          </w:tcPr>
          <w:p w14:paraId="6EDA2AC2">
            <w:pPr>
              <w:shd w:val="clear"/>
              <w:spacing w:line="440" w:lineRule="exact"/>
              <w:rPr>
                <w:rFonts w:ascii="宋体" w:hAnsi="宋体"/>
                <w:bCs/>
                <w:color w:val="0000FF"/>
                <w:szCs w:val="21"/>
                <w:highlight w:val="none"/>
              </w:rPr>
            </w:pPr>
            <w:r>
              <w:rPr>
                <w:rFonts w:hint="eastAsia" w:ascii="宋体" w:hAnsi="宋体"/>
                <w:bCs/>
                <w:color w:val="0000FF"/>
                <w:szCs w:val="21"/>
                <w:highlight w:val="none"/>
              </w:rPr>
              <w:t>价格评审优惠政策</w:t>
            </w:r>
          </w:p>
        </w:tc>
        <w:tc>
          <w:tcPr>
            <w:tcW w:w="6660" w:type="dxa"/>
            <w:vAlign w:val="center"/>
          </w:tcPr>
          <w:p w14:paraId="6F0BB8EF">
            <w:pPr>
              <w:shd w:val="clear"/>
              <w:spacing w:line="440" w:lineRule="exact"/>
              <w:rPr>
                <w:rFonts w:asciiTheme="majorEastAsia" w:hAnsiTheme="majorEastAsia" w:eastAsiaTheme="majorEastAsia" w:cstheme="majorEastAsia"/>
                <w:color w:val="0000FF"/>
                <w:highlight w:val="none"/>
              </w:rPr>
            </w:pPr>
            <w:r>
              <w:rPr>
                <w:rFonts w:hint="eastAsia" w:asciiTheme="majorEastAsia" w:hAnsiTheme="majorEastAsia" w:eastAsiaTheme="majorEastAsia" w:cstheme="majorEastAsia"/>
                <w:color w:val="0000FF"/>
                <w:highlight w:val="none"/>
              </w:rPr>
              <w:t>1、小型企业、微型企业、监狱企业、残疾人福利性单位承担工程，对其价格给予5%的扣除，用扣除后的价格参与评审。满足多项优惠政策的企业，不重复享受多项价格扣除政策。</w:t>
            </w:r>
          </w:p>
          <w:p w14:paraId="7657F268">
            <w:pPr>
              <w:shd w:val="clear"/>
              <w:spacing w:line="440" w:lineRule="exact"/>
              <w:rPr>
                <w:rFonts w:asciiTheme="majorEastAsia" w:hAnsiTheme="majorEastAsia" w:eastAsiaTheme="majorEastAsia" w:cstheme="majorEastAsia"/>
                <w:color w:val="0000FF"/>
                <w:highlight w:val="none"/>
              </w:rPr>
            </w:pPr>
            <w:r>
              <w:rPr>
                <w:rFonts w:hint="eastAsia" w:asciiTheme="majorEastAsia" w:hAnsiTheme="majorEastAsia" w:eastAsiaTheme="majorEastAsia" w:cstheme="majorEastAsia"/>
                <w:color w:val="0000FF"/>
                <w:highlight w:val="none"/>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扣除，用扣除后的价格参加评审。联合体各方均为小微企业的，价格扣除比例为5%。</w:t>
            </w:r>
            <w:r>
              <w:rPr>
                <w:rFonts w:hint="eastAsia" w:asciiTheme="majorEastAsia" w:hAnsiTheme="majorEastAsia" w:eastAsiaTheme="majorEastAsia" w:cstheme="majorEastAsia"/>
                <w:b/>
                <w:color w:val="0000FF"/>
                <w:highlight w:val="none"/>
              </w:rPr>
              <w:t>（不接受联合体投标的项目，本条不适用）</w:t>
            </w:r>
            <w:r>
              <w:rPr>
                <w:rFonts w:hint="eastAsia" w:asciiTheme="majorEastAsia" w:hAnsiTheme="majorEastAsia" w:eastAsiaTheme="majorEastAsia" w:cstheme="majorEastAsia"/>
                <w:color w:val="0000FF"/>
                <w:highlight w:val="none"/>
              </w:rPr>
              <w:t>。</w:t>
            </w:r>
          </w:p>
          <w:p w14:paraId="5CBE85D5">
            <w:pPr>
              <w:shd w:val="clear"/>
              <w:spacing w:line="440" w:lineRule="exact"/>
              <w:rPr>
                <w:rFonts w:ascii="宋体" w:hAnsi="宋体"/>
                <w:color w:val="0000FF"/>
                <w:szCs w:val="21"/>
                <w:highlight w:val="none"/>
              </w:rPr>
            </w:pPr>
            <w:r>
              <w:rPr>
                <w:rFonts w:hint="eastAsia" w:asciiTheme="majorEastAsia" w:hAnsiTheme="majorEastAsia" w:eastAsiaTheme="majorEastAsia" w:cstheme="majorEastAsia"/>
                <w:color w:val="0000FF"/>
                <w:highlight w:val="none"/>
              </w:rPr>
              <w:t>3、优惠主体资格的认定资料为《中小企业声明函》《残疾人福利性单位声明函》《监狱企业声明函》等承诺性质的资料（声明函样式见“第五章 投标文件格式”）；监狱企业如需享受优惠政策，除上述资料外，还须提供省级以上监狱管理局、戒毒管理局出具的监狱企业证明文件。</w:t>
            </w:r>
          </w:p>
        </w:tc>
      </w:tr>
    </w:tbl>
    <w:p w14:paraId="0A980073">
      <w:pPr>
        <w:shd w:val="clear"/>
        <w:spacing w:line="440" w:lineRule="exact"/>
        <w:ind w:firstLine="422" w:firstLineChars="200"/>
        <w:rPr>
          <w:rFonts w:ascii="宋体" w:hAnsi="宋体"/>
          <w:b/>
          <w:bCs/>
          <w:color w:val="0000FF"/>
          <w:szCs w:val="21"/>
          <w:highlight w:val="none"/>
        </w:rPr>
      </w:pPr>
      <w:r>
        <w:rPr>
          <w:rFonts w:hint="eastAsia" w:ascii="宋体" w:hAnsi="宋体"/>
          <w:b/>
          <w:bCs/>
          <w:color w:val="0000FF"/>
          <w:szCs w:val="21"/>
          <w:highlight w:val="none"/>
        </w:rPr>
        <w:t>备注：</w:t>
      </w:r>
      <w:r>
        <w:rPr>
          <w:rFonts w:hint="eastAsia" w:ascii="宋体" w:hAnsi="宋体"/>
          <w:snapToGrid w:val="0"/>
          <w:color w:val="0000FF"/>
          <w:kern w:val="0"/>
          <w:szCs w:val="21"/>
          <w:highlight w:val="none"/>
        </w:rPr>
        <w:t>用“</w:t>
      </w:r>
      <w:r>
        <w:rPr>
          <w:rFonts w:hint="eastAsia" w:ascii="MS Mincho" w:hAnsi="MS Mincho" w:cs="MS Mincho"/>
          <w:snapToGrid w:val="0"/>
          <w:color w:val="0000FF"/>
          <w:kern w:val="0"/>
          <w:szCs w:val="21"/>
          <w:highlight w:val="none"/>
        </w:rPr>
        <w:t>■</w:t>
      </w:r>
      <w:r>
        <w:rPr>
          <w:rFonts w:hint="eastAsia" w:ascii="宋体" w:hAnsi="宋体"/>
          <w:snapToGrid w:val="0"/>
          <w:color w:val="0000FF"/>
          <w:kern w:val="0"/>
          <w:szCs w:val="21"/>
          <w:highlight w:val="none"/>
        </w:rPr>
        <w:t>”标识时表明该选项被采购人选用，用“□”标识时表明该选项未被采购人选用。</w:t>
      </w:r>
    </w:p>
    <w:p w14:paraId="6A139598">
      <w:pPr>
        <w:shd w:val="clear"/>
        <w:spacing w:line="440" w:lineRule="exact"/>
        <w:ind w:firstLine="422" w:firstLineChars="200"/>
        <w:rPr>
          <w:rFonts w:ascii="宋体" w:hAnsi="宋体"/>
          <w:b/>
          <w:bCs/>
          <w:color w:val="000000"/>
          <w:szCs w:val="21"/>
          <w:highlight w:val="none"/>
        </w:rPr>
      </w:pPr>
      <w:r>
        <w:rPr>
          <w:rFonts w:hint="eastAsia" w:ascii="宋体" w:hAnsi="宋体"/>
          <w:b/>
          <w:bCs/>
          <w:szCs w:val="21"/>
          <w:highlight w:val="none"/>
        </w:rPr>
        <w:t>二、本项目评标信息</w:t>
      </w:r>
    </w:p>
    <w:p w14:paraId="2378F505">
      <w:pPr>
        <w:shd w:val="clear"/>
        <w:spacing w:line="440" w:lineRule="exact"/>
        <w:ind w:firstLine="422" w:firstLineChars="200"/>
        <w:rPr>
          <w:rFonts w:ascii="宋体" w:hAnsi="宋体"/>
          <w:b/>
          <w:color w:val="000000"/>
          <w:szCs w:val="21"/>
          <w:highlight w:val="none"/>
        </w:rPr>
      </w:pPr>
      <w:r>
        <w:rPr>
          <w:rFonts w:hint="eastAsia" w:ascii="宋体" w:hAnsi="宋体"/>
          <w:b/>
          <w:bCs/>
          <w:color w:val="000000"/>
          <w:szCs w:val="21"/>
          <w:highlight w:val="none"/>
        </w:rPr>
        <w:t>1、</w:t>
      </w:r>
      <w:r>
        <w:rPr>
          <w:rFonts w:ascii="宋体" w:hAnsi="宋体"/>
          <w:b/>
          <w:bCs/>
          <w:color w:val="000000"/>
          <w:szCs w:val="21"/>
          <w:highlight w:val="none"/>
        </w:rPr>
        <w:t>符合性检查表</w:t>
      </w:r>
    </w:p>
    <w:tbl>
      <w:tblPr>
        <w:tblStyle w:val="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6706"/>
        <w:gridCol w:w="1497"/>
      </w:tblGrid>
      <w:tr w14:paraId="78DE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72C09B5A">
            <w:pPr>
              <w:shd w:val="clear"/>
              <w:spacing w:line="440" w:lineRule="exact"/>
              <w:jc w:val="center"/>
              <w:rPr>
                <w:rFonts w:ascii="宋体" w:hAnsi="宋体"/>
                <w:b/>
                <w:highlight w:val="none"/>
              </w:rPr>
            </w:pPr>
            <w:r>
              <w:rPr>
                <w:rFonts w:ascii="宋体" w:hAnsi="宋体"/>
                <w:b/>
                <w:highlight w:val="none"/>
              </w:rPr>
              <w:t>序号</w:t>
            </w:r>
          </w:p>
        </w:tc>
        <w:tc>
          <w:tcPr>
            <w:tcW w:w="6706" w:type="dxa"/>
            <w:vAlign w:val="center"/>
          </w:tcPr>
          <w:p w14:paraId="00D5545D">
            <w:pPr>
              <w:shd w:val="clear"/>
              <w:spacing w:line="440" w:lineRule="exact"/>
              <w:ind w:left="-828" w:firstLine="828"/>
              <w:jc w:val="center"/>
              <w:rPr>
                <w:rFonts w:ascii="宋体" w:hAnsi="宋体"/>
                <w:b/>
                <w:sz w:val="24"/>
                <w:highlight w:val="none"/>
              </w:rPr>
            </w:pPr>
            <w:r>
              <w:rPr>
                <w:rFonts w:ascii="宋体" w:hAnsi="宋体"/>
                <w:b/>
                <w:highlight w:val="none"/>
              </w:rPr>
              <w:t>评议内容</w:t>
            </w:r>
          </w:p>
        </w:tc>
        <w:tc>
          <w:tcPr>
            <w:tcW w:w="1497" w:type="dxa"/>
            <w:vAlign w:val="center"/>
          </w:tcPr>
          <w:p w14:paraId="4FB81D1F">
            <w:pPr>
              <w:shd w:val="clear"/>
              <w:spacing w:line="440" w:lineRule="exact"/>
              <w:ind w:left="44" w:hanging="44"/>
              <w:jc w:val="center"/>
              <w:rPr>
                <w:rFonts w:ascii="宋体" w:hAnsi="宋体"/>
                <w:b/>
                <w:sz w:val="24"/>
                <w:highlight w:val="none"/>
              </w:rPr>
            </w:pPr>
            <w:r>
              <w:rPr>
                <w:rFonts w:ascii="宋体" w:hAnsi="宋体"/>
                <w:b/>
                <w:highlight w:val="none"/>
              </w:rPr>
              <w:t>评议结果</w:t>
            </w:r>
          </w:p>
        </w:tc>
      </w:tr>
      <w:tr w14:paraId="280F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3833C21C">
            <w:pPr>
              <w:shd w:val="clear"/>
              <w:spacing w:line="440" w:lineRule="exact"/>
              <w:ind w:left="57"/>
              <w:jc w:val="center"/>
              <w:rPr>
                <w:rFonts w:ascii="宋体" w:hAnsi="宋体"/>
                <w:highlight w:val="none"/>
              </w:rPr>
            </w:pPr>
            <w:r>
              <w:rPr>
                <w:rFonts w:hint="eastAsia" w:ascii="宋体" w:hAnsi="宋体"/>
                <w:highlight w:val="none"/>
              </w:rPr>
              <w:t>1</w:t>
            </w:r>
          </w:p>
        </w:tc>
        <w:tc>
          <w:tcPr>
            <w:tcW w:w="6706" w:type="dxa"/>
            <w:vAlign w:val="center"/>
          </w:tcPr>
          <w:p w14:paraId="49F21BDD">
            <w:pPr>
              <w:shd w:val="clear"/>
              <w:spacing w:line="440" w:lineRule="exact"/>
              <w:rPr>
                <w:rFonts w:ascii="宋体" w:hAnsi="宋体"/>
                <w:sz w:val="24"/>
                <w:highlight w:val="none"/>
              </w:rPr>
            </w:pPr>
            <w:r>
              <w:rPr>
                <w:rFonts w:hint="eastAsia" w:hAnsi="宋体"/>
                <w:szCs w:val="21"/>
                <w:highlight w:val="none"/>
              </w:rPr>
              <w:t>按照招标文件的格式详细填写“投标函”</w:t>
            </w:r>
          </w:p>
        </w:tc>
        <w:tc>
          <w:tcPr>
            <w:tcW w:w="1497" w:type="dxa"/>
            <w:vAlign w:val="center"/>
          </w:tcPr>
          <w:p w14:paraId="07FDFA6E">
            <w:pPr>
              <w:shd w:val="clear"/>
              <w:spacing w:line="440" w:lineRule="exact"/>
              <w:jc w:val="center"/>
              <w:rPr>
                <w:rFonts w:ascii="宋体" w:hAnsi="宋体"/>
                <w:szCs w:val="21"/>
                <w:highlight w:val="none"/>
              </w:rPr>
            </w:pPr>
            <w:r>
              <w:rPr>
                <w:rFonts w:ascii="宋体" w:hAnsi="宋体"/>
                <w:szCs w:val="21"/>
                <w:highlight w:val="none"/>
              </w:rPr>
              <w:t>合格/不合格</w:t>
            </w:r>
          </w:p>
        </w:tc>
      </w:tr>
      <w:tr w14:paraId="596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4BA97ADC">
            <w:pPr>
              <w:shd w:val="clear"/>
              <w:spacing w:line="440" w:lineRule="exact"/>
              <w:ind w:left="57"/>
              <w:jc w:val="center"/>
              <w:rPr>
                <w:rFonts w:ascii="宋体" w:hAnsi="宋体"/>
                <w:highlight w:val="none"/>
              </w:rPr>
            </w:pPr>
            <w:r>
              <w:rPr>
                <w:rFonts w:hint="eastAsia" w:ascii="宋体" w:hAnsi="宋体"/>
                <w:highlight w:val="none"/>
              </w:rPr>
              <w:t>2</w:t>
            </w:r>
          </w:p>
        </w:tc>
        <w:tc>
          <w:tcPr>
            <w:tcW w:w="6706" w:type="dxa"/>
            <w:vAlign w:val="center"/>
          </w:tcPr>
          <w:p w14:paraId="2B0ECC76">
            <w:pPr>
              <w:shd w:val="clear"/>
              <w:spacing w:line="440" w:lineRule="exact"/>
              <w:rPr>
                <w:rFonts w:ascii="宋体" w:hAnsi="宋体"/>
                <w:highlight w:val="none"/>
              </w:rPr>
            </w:pPr>
            <w:r>
              <w:rPr>
                <w:rFonts w:hint="eastAsia" w:hAnsi="宋体"/>
                <w:szCs w:val="21"/>
                <w:highlight w:val="none"/>
              </w:rPr>
              <w:t>按照招标文件的格式详细填写“</w:t>
            </w:r>
            <w:r>
              <w:rPr>
                <w:rFonts w:hint="eastAsia" w:ascii="宋体" w:hAnsi="宋体"/>
                <w:highlight w:val="none"/>
              </w:rPr>
              <w:t>政府采购投标及履约承诺函</w:t>
            </w:r>
            <w:r>
              <w:rPr>
                <w:rFonts w:hint="eastAsia" w:hAnsi="宋体"/>
                <w:szCs w:val="21"/>
                <w:highlight w:val="none"/>
              </w:rPr>
              <w:t>”</w:t>
            </w:r>
          </w:p>
        </w:tc>
        <w:tc>
          <w:tcPr>
            <w:tcW w:w="1497" w:type="dxa"/>
            <w:vAlign w:val="center"/>
          </w:tcPr>
          <w:p w14:paraId="3FC81282">
            <w:pPr>
              <w:shd w:val="clear"/>
              <w:spacing w:line="440" w:lineRule="exact"/>
              <w:jc w:val="center"/>
              <w:rPr>
                <w:rFonts w:ascii="宋体" w:hAnsi="宋体"/>
                <w:szCs w:val="21"/>
                <w:highlight w:val="none"/>
              </w:rPr>
            </w:pPr>
            <w:r>
              <w:rPr>
                <w:rFonts w:ascii="宋体" w:hAnsi="宋体"/>
                <w:szCs w:val="21"/>
                <w:highlight w:val="none"/>
              </w:rPr>
              <w:t>合格/不合格</w:t>
            </w:r>
          </w:p>
        </w:tc>
      </w:tr>
      <w:tr w14:paraId="5DE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498DC63E">
            <w:pPr>
              <w:shd w:val="clear"/>
              <w:spacing w:line="440" w:lineRule="exact"/>
              <w:ind w:left="57"/>
              <w:jc w:val="center"/>
              <w:rPr>
                <w:rFonts w:ascii="宋体" w:hAnsi="宋体"/>
                <w:highlight w:val="none"/>
              </w:rPr>
            </w:pPr>
            <w:r>
              <w:rPr>
                <w:rFonts w:hint="eastAsia" w:ascii="宋体" w:hAnsi="宋体"/>
                <w:highlight w:val="none"/>
              </w:rPr>
              <w:t>3</w:t>
            </w:r>
          </w:p>
        </w:tc>
        <w:tc>
          <w:tcPr>
            <w:tcW w:w="6706" w:type="dxa"/>
            <w:vAlign w:val="center"/>
          </w:tcPr>
          <w:p w14:paraId="151F2319">
            <w:pPr>
              <w:shd w:val="clear"/>
              <w:spacing w:line="440" w:lineRule="exact"/>
              <w:rPr>
                <w:rFonts w:ascii="宋体" w:hAnsi="宋体"/>
                <w:highlight w:val="none"/>
              </w:rPr>
            </w:pPr>
            <w:r>
              <w:rPr>
                <w:rFonts w:hint="eastAsia" w:ascii="宋体" w:hAnsi="宋体"/>
                <w:highlight w:val="none"/>
              </w:rPr>
              <w:t>开标一览表未出现无报价、报价为零或有选择性报价的</w:t>
            </w:r>
          </w:p>
        </w:tc>
        <w:tc>
          <w:tcPr>
            <w:tcW w:w="1497" w:type="dxa"/>
            <w:vAlign w:val="center"/>
          </w:tcPr>
          <w:p w14:paraId="491F210D">
            <w:pPr>
              <w:shd w:val="clear"/>
              <w:spacing w:line="440" w:lineRule="exact"/>
              <w:jc w:val="center"/>
              <w:rPr>
                <w:rFonts w:ascii="宋体" w:hAnsi="宋体"/>
                <w:szCs w:val="21"/>
                <w:highlight w:val="none"/>
              </w:rPr>
            </w:pPr>
            <w:r>
              <w:rPr>
                <w:rFonts w:ascii="宋体" w:hAnsi="宋体"/>
                <w:szCs w:val="21"/>
                <w:highlight w:val="none"/>
              </w:rPr>
              <w:t>合格/不合格</w:t>
            </w:r>
          </w:p>
        </w:tc>
      </w:tr>
      <w:tr w14:paraId="08E0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18C0992E">
            <w:pPr>
              <w:shd w:val="clear"/>
              <w:spacing w:line="440" w:lineRule="exact"/>
              <w:ind w:left="57"/>
              <w:jc w:val="center"/>
              <w:rPr>
                <w:rFonts w:ascii="宋体" w:hAnsi="宋体"/>
                <w:highlight w:val="none"/>
              </w:rPr>
            </w:pPr>
            <w:r>
              <w:rPr>
                <w:rFonts w:hint="eastAsia" w:ascii="宋体" w:hAnsi="宋体"/>
                <w:highlight w:val="none"/>
              </w:rPr>
              <w:t>4</w:t>
            </w:r>
          </w:p>
        </w:tc>
        <w:tc>
          <w:tcPr>
            <w:tcW w:w="6706" w:type="dxa"/>
            <w:vAlign w:val="center"/>
          </w:tcPr>
          <w:p w14:paraId="46EEF64E">
            <w:pPr>
              <w:shd w:val="clear"/>
              <w:spacing w:line="440" w:lineRule="exact"/>
              <w:rPr>
                <w:rFonts w:ascii="宋体" w:hAnsi="宋体"/>
                <w:highlight w:val="none"/>
              </w:rPr>
            </w:pPr>
            <w:r>
              <w:rPr>
                <w:rFonts w:hint="eastAsia" w:ascii="宋体" w:hAnsi="宋体"/>
                <w:highlight w:val="none"/>
              </w:rPr>
              <w:t>投标总价</w:t>
            </w:r>
            <w:r>
              <w:rPr>
                <w:rFonts w:hint="eastAsia" w:ascii="宋体" w:hAnsi="宋体"/>
                <w:szCs w:val="21"/>
                <w:highlight w:val="none"/>
              </w:rPr>
              <w:t>或分项报价</w:t>
            </w:r>
            <w:r>
              <w:rPr>
                <w:rFonts w:hint="eastAsia" w:ascii="宋体" w:hAnsi="宋体"/>
                <w:highlight w:val="none"/>
              </w:rPr>
              <w:t>未超过预算控制金额</w:t>
            </w:r>
          </w:p>
        </w:tc>
        <w:tc>
          <w:tcPr>
            <w:tcW w:w="1497" w:type="dxa"/>
            <w:vAlign w:val="center"/>
          </w:tcPr>
          <w:p w14:paraId="0E2D3446">
            <w:pPr>
              <w:shd w:val="clear"/>
              <w:spacing w:line="440" w:lineRule="exact"/>
              <w:jc w:val="center"/>
              <w:rPr>
                <w:rFonts w:ascii="宋体" w:hAnsi="宋体"/>
                <w:szCs w:val="21"/>
                <w:highlight w:val="none"/>
              </w:rPr>
            </w:pPr>
            <w:r>
              <w:rPr>
                <w:rFonts w:ascii="宋体" w:hAnsi="宋体"/>
                <w:szCs w:val="21"/>
                <w:highlight w:val="none"/>
              </w:rPr>
              <w:t>合格/不合格</w:t>
            </w:r>
          </w:p>
        </w:tc>
      </w:tr>
      <w:tr w14:paraId="1BE1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11457C71">
            <w:pPr>
              <w:shd w:val="clear"/>
              <w:spacing w:line="440" w:lineRule="exact"/>
              <w:ind w:left="57"/>
              <w:jc w:val="center"/>
              <w:rPr>
                <w:rFonts w:ascii="宋体" w:hAnsi="宋体"/>
                <w:highlight w:val="none"/>
              </w:rPr>
            </w:pPr>
            <w:r>
              <w:rPr>
                <w:rFonts w:hint="eastAsia" w:ascii="宋体" w:hAnsi="宋体"/>
                <w:highlight w:val="none"/>
              </w:rPr>
              <w:t>5</w:t>
            </w:r>
          </w:p>
        </w:tc>
        <w:tc>
          <w:tcPr>
            <w:tcW w:w="6706" w:type="dxa"/>
          </w:tcPr>
          <w:p w14:paraId="579536A0">
            <w:pPr>
              <w:shd w:val="clear"/>
              <w:spacing w:line="440" w:lineRule="exact"/>
              <w:rPr>
                <w:rFonts w:ascii="宋体" w:hAnsi="宋体"/>
                <w:highlight w:val="none"/>
              </w:rPr>
            </w:pPr>
            <w:r>
              <w:rPr>
                <w:rFonts w:hint="eastAsia" w:ascii="宋体" w:hAnsi="宋体"/>
                <w:highlight w:val="none"/>
              </w:rPr>
              <w:t>政府采购评审中出现下列情形之一的，评审委员会应当启动异常低价投标（响应）审查程序：</w:t>
            </w:r>
          </w:p>
          <w:p w14:paraId="3860D327">
            <w:pPr>
              <w:shd w:val="clear"/>
              <w:spacing w:line="440" w:lineRule="exact"/>
              <w:rPr>
                <w:rFonts w:ascii="宋体" w:hAnsi="宋体"/>
                <w:highlight w:val="none"/>
              </w:rPr>
            </w:pPr>
            <w:r>
              <w:rPr>
                <w:rFonts w:hint="eastAsia" w:ascii="宋体" w:hAnsi="宋体"/>
                <w:highlight w:val="none"/>
              </w:rPr>
              <w:t>1.投标（响应）报价低于全部通过符合性审查供应商投标（响应）报价平均值</w:t>
            </w:r>
            <w:r>
              <w:rPr>
                <w:rFonts w:hint="eastAsia" w:ascii="宋体" w:hAnsi="宋体"/>
                <w:highlight w:val="none"/>
                <w:lang w:eastAsia="zh-CN"/>
              </w:rPr>
              <w:t>65</w:t>
            </w:r>
            <w:r>
              <w:rPr>
                <w:rFonts w:hint="eastAsia" w:ascii="宋体" w:hAnsi="宋体"/>
                <w:highlight w:val="none"/>
              </w:rPr>
              <w:t>%的，即投标（响应）报价&lt;全部通过符合性审查供应商投标（响应）报价平均值×</w:t>
            </w:r>
            <w:r>
              <w:rPr>
                <w:rFonts w:hint="eastAsia" w:ascii="宋体" w:hAnsi="宋体"/>
                <w:highlight w:val="none"/>
                <w:lang w:eastAsia="zh-CN"/>
              </w:rPr>
              <w:t>65</w:t>
            </w:r>
            <w:r>
              <w:rPr>
                <w:rFonts w:hint="eastAsia" w:ascii="宋体" w:hAnsi="宋体"/>
                <w:highlight w:val="none"/>
              </w:rPr>
              <w:t>%；</w:t>
            </w:r>
          </w:p>
          <w:p w14:paraId="6075EB97">
            <w:pPr>
              <w:shd w:val="clear"/>
              <w:spacing w:line="440" w:lineRule="exact"/>
              <w:rPr>
                <w:rFonts w:ascii="宋体" w:hAnsi="宋体"/>
                <w:highlight w:val="none"/>
              </w:rPr>
            </w:pPr>
            <w:r>
              <w:rPr>
                <w:rFonts w:hint="eastAsia" w:ascii="宋体" w:hAnsi="宋体"/>
                <w:highlight w:val="none"/>
              </w:rPr>
              <w:t>2.投标（响应）报价低于通过符合性审查的次低报价供应商投标（响应）报价</w:t>
            </w:r>
            <w:r>
              <w:rPr>
                <w:rFonts w:hint="eastAsia" w:ascii="宋体" w:hAnsi="宋体"/>
                <w:highlight w:val="none"/>
                <w:lang w:eastAsia="zh-CN"/>
              </w:rPr>
              <w:t>65</w:t>
            </w:r>
            <w:r>
              <w:rPr>
                <w:rFonts w:hint="eastAsia" w:ascii="宋体" w:hAnsi="宋体"/>
                <w:highlight w:val="none"/>
              </w:rPr>
              <w:t>%的，即投标（响应）报价&lt;通过符合性审查的次低报价供应商投标（响应）报价×</w:t>
            </w:r>
            <w:r>
              <w:rPr>
                <w:rFonts w:hint="eastAsia" w:ascii="宋体" w:hAnsi="宋体"/>
                <w:highlight w:val="none"/>
                <w:lang w:eastAsia="zh-CN"/>
              </w:rPr>
              <w:t>65</w:t>
            </w:r>
            <w:r>
              <w:rPr>
                <w:rFonts w:hint="eastAsia" w:ascii="宋体" w:hAnsi="宋体"/>
                <w:highlight w:val="none"/>
              </w:rPr>
              <w:t>%；</w:t>
            </w:r>
          </w:p>
          <w:p w14:paraId="5F3AE933">
            <w:pPr>
              <w:shd w:val="clear"/>
              <w:spacing w:line="440" w:lineRule="exact"/>
              <w:rPr>
                <w:rFonts w:ascii="宋体" w:hAnsi="宋体"/>
                <w:highlight w:val="none"/>
              </w:rPr>
            </w:pPr>
            <w:r>
              <w:rPr>
                <w:rFonts w:hint="eastAsia" w:ascii="宋体" w:hAnsi="宋体"/>
                <w:highlight w:val="none"/>
              </w:rPr>
              <w:t>3.投标（响应）报价低于采购项目最高限价65%的，即投标（响应）报价&lt;采购项目最高限价×65%；</w:t>
            </w:r>
          </w:p>
          <w:p w14:paraId="75BBB3A3">
            <w:pPr>
              <w:shd w:val="clear"/>
              <w:spacing w:line="440" w:lineRule="exact"/>
              <w:rPr>
                <w:rFonts w:ascii="宋体" w:hAnsi="宋体"/>
                <w:highlight w:val="none"/>
              </w:rPr>
            </w:pPr>
            <w:r>
              <w:rPr>
                <w:rFonts w:hint="eastAsia" w:ascii="宋体" w:hAnsi="宋体"/>
                <w:highlight w:val="none"/>
              </w:rPr>
              <w:t>4.评审委员会基于专业判断，认为供应商报价过低，有可能影响产品质量或者不能诚信履约的其他情形。</w:t>
            </w:r>
          </w:p>
          <w:p w14:paraId="69EEE280">
            <w:pPr>
              <w:shd w:val="clear"/>
              <w:spacing w:line="440" w:lineRule="exact"/>
              <w:rPr>
                <w:rFonts w:ascii="宋体" w:hAnsi="宋体"/>
                <w:highlight w:val="none"/>
              </w:rPr>
            </w:pPr>
            <w:r>
              <w:rPr>
                <w:rFonts w:hint="eastAsia" w:ascii="宋体" w:hAnsi="宋体"/>
                <w:highlight w:val="none"/>
              </w:rPr>
              <w:t>备注：</w:t>
            </w:r>
          </w:p>
          <w:p w14:paraId="52921F27">
            <w:pPr>
              <w:shd w:val="clear"/>
              <w:spacing w:line="440" w:lineRule="exact"/>
              <w:rPr>
                <w:rFonts w:ascii="宋体" w:hAnsi="宋体"/>
                <w:highlight w:val="none"/>
              </w:rPr>
            </w:pPr>
            <w:r>
              <w:rPr>
                <w:rFonts w:hint="eastAsia" w:ascii="宋体" w:hAnsi="宋体"/>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98029D">
            <w:pPr>
              <w:shd w:val="clear"/>
              <w:spacing w:line="440" w:lineRule="exact"/>
              <w:rPr>
                <w:rFonts w:ascii="宋体" w:hAnsi="宋体"/>
                <w:highlight w:val="none"/>
              </w:rPr>
            </w:pPr>
            <w:r>
              <w:rPr>
                <w:rFonts w:hint="eastAsia" w:ascii="宋体" w:hAnsi="宋体"/>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0A36125">
            <w:pPr>
              <w:shd w:val="clear"/>
              <w:spacing w:line="440" w:lineRule="exact"/>
              <w:rPr>
                <w:rFonts w:ascii="宋体" w:hAnsi="宋体"/>
                <w:highlight w:val="none"/>
              </w:rPr>
            </w:pPr>
            <w:r>
              <w:rPr>
                <w:rFonts w:hint="eastAsia" w:ascii="宋体" w:hAnsi="宋体"/>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2210CCF">
            <w:pPr>
              <w:shd w:val="clear"/>
              <w:spacing w:line="440" w:lineRule="exact"/>
              <w:rPr>
                <w:rFonts w:ascii="宋体" w:hAnsi="宋体"/>
                <w:highlight w:val="none"/>
              </w:rPr>
            </w:pPr>
            <w:r>
              <w:rPr>
                <w:rFonts w:hint="eastAsia" w:ascii="宋体" w:hAnsi="宋体"/>
                <w:highlight w:val="none"/>
              </w:rPr>
              <w:t>异常低价投标（响应）审查的启动原因、审查意见和审查结果应当在评审报告中记录，并随供应商提供的相关书面说明及证明材料，以及评审委员会有关互联网浏览、查询历史一并归档。</w:t>
            </w:r>
          </w:p>
        </w:tc>
        <w:tc>
          <w:tcPr>
            <w:tcW w:w="1497" w:type="dxa"/>
            <w:vAlign w:val="center"/>
          </w:tcPr>
          <w:p w14:paraId="0E0C4A63">
            <w:pPr>
              <w:shd w:val="clear"/>
              <w:spacing w:line="440" w:lineRule="exact"/>
              <w:jc w:val="center"/>
              <w:rPr>
                <w:rFonts w:ascii="宋体" w:hAnsi="宋体"/>
                <w:szCs w:val="21"/>
                <w:highlight w:val="none"/>
              </w:rPr>
            </w:pPr>
            <w:r>
              <w:rPr>
                <w:rFonts w:ascii="宋体" w:hAnsi="宋体"/>
                <w:szCs w:val="21"/>
                <w:highlight w:val="none"/>
              </w:rPr>
              <w:t>合格/不合格</w:t>
            </w:r>
          </w:p>
        </w:tc>
      </w:tr>
      <w:tr w14:paraId="7AE5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1D670E1F">
            <w:pPr>
              <w:shd w:val="clear"/>
              <w:spacing w:line="440" w:lineRule="exact"/>
              <w:ind w:left="57"/>
              <w:jc w:val="center"/>
              <w:rPr>
                <w:rFonts w:ascii="宋体" w:hAnsi="宋体"/>
                <w:highlight w:val="none"/>
              </w:rPr>
            </w:pPr>
            <w:r>
              <w:rPr>
                <w:rFonts w:hint="eastAsia" w:ascii="宋体" w:hAnsi="宋体"/>
                <w:highlight w:val="none"/>
              </w:rPr>
              <w:t>6</w:t>
            </w:r>
          </w:p>
        </w:tc>
        <w:tc>
          <w:tcPr>
            <w:tcW w:w="6706" w:type="dxa"/>
            <w:vAlign w:val="center"/>
          </w:tcPr>
          <w:p w14:paraId="22E0E932">
            <w:pPr>
              <w:shd w:val="clear"/>
              <w:spacing w:line="440" w:lineRule="exact"/>
              <w:rPr>
                <w:rFonts w:ascii="宋体" w:hAnsi="宋体"/>
                <w:spacing w:val="-4"/>
                <w:highlight w:val="none"/>
              </w:rPr>
            </w:pPr>
            <w:r>
              <w:rPr>
                <w:szCs w:val="21"/>
                <w:highlight w:val="none"/>
              </w:rPr>
              <w:t>实质性满足招标文件要求</w:t>
            </w:r>
            <w:r>
              <w:rPr>
                <w:rFonts w:hint="eastAsia"/>
                <w:szCs w:val="21"/>
                <w:highlight w:val="none"/>
              </w:rPr>
              <w:t>和条件</w:t>
            </w:r>
            <w:r>
              <w:rPr>
                <w:szCs w:val="21"/>
                <w:highlight w:val="none"/>
              </w:rPr>
              <w:t>（</w:t>
            </w:r>
            <w:r>
              <w:rPr>
                <w:rFonts w:hint="eastAsia" w:ascii="宋体" w:hAnsi="宋体"/>
                <w:highlight w:val="none"/>
              </w:rPr>
              <w:t>不可偏离项检查</w:t>
            </w:r>
            <w:r>
              <w:rPr>
                <w:szCs w:val="21"/>
                <w:highlight w:val="none"/>
              </w:rPr>
              <w:t>）</w:t>
            </w:r>
          </w:p>
        </w:tc>
        <w:tc>
          <w:tcPr>
            <w:tcW w:w="1497" w:type="dxa"/>
            <w:vAlign w:val="center"/>
          </w:tcPr>
          <w:p w14:paraId="3AF3CD89">
            <w:pPr>
              <w:shd w:val="clear"/>
              <w:spacing w:line="440" w:lineRule="exact"/>
              <w:jc w:val="center"/>
              <w:rPr>
                <w:rFonts w:ascii="宋体" w:hAnsi="宋体"/>
                <w:szCs w:val="21"/>
                <w:highlight w:val="none"/>
              </w:rPr>
            </w:pPr>
            <w:r>
              <w:rPr>
                <w:rFonts w:ascii="宋体" w:hAnsi="宋体"/>
                <w:szCs w:val="21"/>
                <w:highlight w:val="none"/>
              </w:rPr>
              <w:t>合格/不合格</w:t>
            </w:r>
          </w:p>
        </w:tc>
      </w:tr>
      <w:tr w14:paraId="31FF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6620BC95">
            <w:pPr>
              <w:shd w:val="clear"/>
              <w:spacing w:line="440" w:lineRule="exact"/>
              <w:ind w:left="57"/>
              <w:jc w:val="center"/>
              <w:rPr>
                <w:rFonts w:ascii="宋体" w:hAnsi="宋体"/>
                <w:highlight w:val="none"/>
              </w:rPr>
            </w:pPr>
            <w:r>
              <w:rPr>
                <w:rFonts w:hint="eastAsia" w:ascii="宋体" w:hAnsi="宋体"/>
                <w:highlight w:val="none"/>
              </w:rPr>
              <w:t>7</w:t>
            </w:r>
          </w:p>
        </w:tc>
        <w:tc>
          <w:tcPr>
            <w:tcW w:w="6706" w:type="dxa"/>
            <w:vAlign w:val="center"/>
          </w:tcPr>
          <w:p w14:paraId="18ECDF49">
            <w:pPr>
              <w:shd w:val="clear"/>
              <w:spacing w:line="440" w:lineRule="exact"/>
              <w:rPr>
                <w:rFonts w:ascii="宋体" w:hAnsi="宋体"/>
                <w:highlight w:val="none"/>
              </w:rPr>
            </w:pPr>
            <w:r>
              <w:rPr>
                <w:szCs w:val="21"/>
                <w:highlight w:val="none"/>
              </w:rPr>
              <w:t>投标文件载明的招标项目完成期限</w:t>
            </w:r>
            <w:r>
              <w:rPr>
                <w:rFonts w:hint="eastAsia"/>
                <w:szCs w:val="21"/>
                <w:highlight w:val="none"/>
              </w:rPr>
              <w:t>未</w:t>
            </w:r>
            <w:r>
              <w:rPr>
                <w:szCs w:val="21"/>
                <w:highlight w:val="none"/>
              </w:rPr>
              <w:t>超过招标文件规定的期限</w:t>
            </w:r>
          </w:p>
        </w:tc>
        <w:tc>
          <w:tcPr>
            <w:tcW w:w="1497" w:type="dxa"/>
            <w:vAlign w:val="center"/>
          </w:tcPr>
          <w:p w14:paraId="0860C40A">
            <w:pPr>
              <w:shd w:val="clear"/>
              <w:spacing w:line="440" w:lineRule="exact"/>
              <w:jc w:val="center"/>
              <w:rPr>
                <w:rFonts w:ascii="宋体" w:hAnsi="宋体"/>
                <w:szCs w:val="21"/>
                <w:highlight w:val="none"/>
              </w:rPr>
            </w:pPr>
            <w:r>
              <w:rPr>
                <w:rFonts w:ascii="宋体" w:hAnsi="宋体"/>
                <w:szCs w:val="21"/>
                <w:highlight w:val="none"/>
              </w:rPr>
              <w:t>合格/不合格</w:t>
            </w:r>
          </w:p>
        </w:tc>
      </w:tr>
      <w:tr w14:paraId="1F6F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639F760E">
            <w:pPr>
              <w:shd w:val="clear"/>
              <w:spacing w:line="440" w:lineRule="exact"/>
              <w:ind w:left="57"/>
              <w:jc w:val="center"/>
              <w:rPr>
                <w:rFonts w:ascii="宋体" w:hAnsi="宋体"/>
                <w:highlight w:val="none"/>
              </w:rPr>
            </w:pPr>
            <w:r>
              <w:rPr>
                <w:rFonts w:hint="eastAsia" w:ascii="宋体" w:hAnsi="宋体"/>
                <w:highlight w:val="none"/>
              </w:rPr>
              <w:t>8</w:t>
            </w:r>
          </w:p>
        </w:tc>
        <w:tc>
          <w:tcPr>
            <w:tcW w:w="6706" w:type="dxa"/>
            <w:vAlign w:val="center"/>
          </w:tcPr>
          <w:p w14:paraId="1B86D9C2">
            <w:pPr>
              <w:shd w:val="clear"/>
              <w:spacing w:line="440" w:lineRule="exact"/>
              <w:jc w:val="left"/>
              <w:rPr>
                <w:rFonts w:ascii="宋体" w:hAnsi="宋体"/>
                <w:highlight w:val="none"/>
              </w:rPr>
            </w:pPr>
            <w:r>
              <w:rPr>
                <w:rFonts w:hint="eastAsia" w:ascii="宋体" w:hAnsi="宋体"/>
                <w:highlight w:val="none"/>
              </w:rPr>
              <w:t>投标文件载明的免费保修期不低于招标文件规定的期限</w:t>
            </w:r>
          </w:p>
        </w:tc>
        <w:tc>
          <w:tcPr>
            <w:tcW w:w="1497" w:type="dxa"/>
            <w:vAlign w:val="center"/>
          </w:tcPr>
          <w:p w14:paraId="641DC710">
            <w:pPr>
              <w:shd w:val="clear"/>
              <w:spacing w:line="440" w:lineRule="exact"/>
              <w:ind w:left="57"/>
              <w:jc w:val="center"/>
              <w:rPr>
                <w:rFonts w:ascii="宋体" w:hAnsi="宋体"/>
                <w:highlight w:val="none"/>
              </w:rPr>
            </w:pPr>
            <w:r>
              <w:rPr>
                <w:rFonts w:ascii="宋体" w:hAnsi="宋体"/>
                <w:szCs w:val="21"/>
                <w:highlight w:val="none"/>
              </w:rPr>
              <w:t>合格/不合格</w:t>
            </w:r>
          </w:p>
        </w:tc>
      </w:tr>
      <w:tr w14:paraId="52C0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39BCBABB">
            <w:pPr>
              <w:shd w:val="clear"/>
              <w:spacing w:line="440" w:lineRule="exact"/>
              <w:ind w:left="57"/>
              <w:jc w:val="center"/>
              <w:rPr>
                <w:rFonts w:ascii="宋体" w:hAnsi="宋体"/>
                <w:highlight w:val="none"/>
              </w:rPr>
            </w:pPr>
            <w:r>
              <w:rPr>
                <w:rFonts w:hint="eastAsia" w:ascii="宋体" w:hAnsi="宋体"/>
                <w:highlight w:val="none"/>
              </w:rPr>
              <w:t>9</w:t>
            </w:r>
          </w:p>
        </w:tc>
        <w:tc>
          <w:tcPr>
            <w:tcW w:w="6706" w:type="dxa"/>
            <w:vAlign w:val="center"/>
          </w:tcPr>
          <w:p w14:paraId="7748B8CC">
            <w:pPr>
              <w:shd w:val="clear"/>
              <w:spacing w:line="440" w:lineRule="exact"/>
              <w:jc w:val="left"/>
              <w:rPr>
                <w:rFonts w:ascii="宋体" w:hAnsi="宋体"/>
                <w:highlight w:val="none"/>
              </w:rPr>
            </w:pPr>
            <w:r>
              <w:rPr>
                <w:rFonts w:hint="eastAsia" w:hAnsi="宋体"/>
                <w:szCs w:val="21"/>
                <w:highlight w:val="none"/>
              </w:rPr>
              <w:t>按招标文件的要求填报所投设备、材料具体完整的品牌、型号、产地</w:t>
            </w:r>
          </w:p>
        </w:tc>
        <w:tc>
          <w:tcPr>
            <w:tcW w:w="1497" w:type="dxa"/>
            <w:vAlign w:val="center"/>
          </w:tcPr>
          <w:p w14:paraId="6736FFCF">
            <w:pPr>
              <w:shd w:val="clear"/>
              <w:spacing w:line="440" w:lineRule="exact"/>
              <w:ind w:left="57"/>
              <w:jc w:val="center"/>
              <w:rPr>
                <w:rFonts w:ascii="宋体" w:hAnsi="宋体"/>
                <w:szCs w:val="21"/>
                <w:highlight w:val="none"/>
              </w:rPr>
            </w:pPr>
            <w:r>
              <w:rPr>
                <w:rFonts w:ascii="宋体" w:hAnsi="宋体"/>
                <w:szCs w:val="21"/>
                <w:highlight w:val="none"/>
              </w:rPr>
              <w:t>合格/不合格</w:t>
            </w:r>
          </w:p>
        </w:tc>
      </w:tr>
      <w:tr w14:paraId="7DB2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7A4CDF7D">
            <w:pPr>
              <w:shd w:val="clear"/>
              <w:spacing w:line="440" w:lineRule="exact"/>
              <w:ind w:left="57"/>
              <w:jc w:val="center"/>
              <w:rPr>
                <w:rFonts w:ascii="宋体" w:hAnsi="宋体"/>
                <w:highlight w:val="none"/>
              </w:rPr>
            </w:pPr>
            <w:r>
              <w:rPr>
                <w:rFonts w:hint="eastAsia" w:ascii="宋体" w:hAnsi="宋体"/>
                <w:highlight w:val="none"/>
              </w:rPr>
              <w:t>10</w:t>
            </w:r>
          </w:p>
        </w:tc>
        <w:tc>
          <w:tcPr>
            <w:tcW w:w="6706" w:type="dxa"/>
            <w:vAlign w:val="center"/>
          </w:tcPr>
          <w:p w14:paraId="51392169">
            <w:pPr>
              <w:shd w:val="clear"/>
              <w:spacing w:line="440" w:lineRule="exact"/>
              <w:jc w:val="left"/>
              <w:rPr>
                <w:rFonts w:ascii="宋体" w:hAnsi="宋体"/>
                <w:highlight w:val="none"/>
              </w:rPr>
            </w:pPr>
            <w:r>
              <w:rPr>
                <w:rFonts w:hint="eastAsia" w:hAnsi="宋体"/>
                <w:szCs w:val="21"/>
                <w:highlight w:val="none"/>
              </w:rPr>
              <w:t>《技术偏离表》和《商务偏离表》已提交</w:t>
            </w:r>
          </w:p>
        </w:tc>
        <w:tc>
          <w:tcPr>
            <w:tcW w:w="1497" w:type="dxa"/>
            <w:vAlign w:val="center"/>
          </w:tcPr>
          <w:p w14:paraId="48D272C8">
            <w:pPr>
              <w:shd w:val="clear"/>
              <w:spacing w:line="440" w:lineRule="exact"/>
              <w:ind w:left="57"/>
              <w:jc w:val="center"/>
              <w:rPr>
                <w:rFonts w:ascii="宋体" w:hAnsi="宋体"/>
                <w:szCs w:val="21"/>
                <w:highlight w:val="none"/>
              </w:rPr>
            </w:pPr>
            <w:r>
              <w:rPr>
                <w:rFonts w:ascii="宋体" w:hAnsi="宋体"/>
                <w:szCs w:val="21"/>
                <w:highlight w:val="none"/>
              </w:rPr>
              <w:t>合格/不合格</w:t>
            </w:r>
          </w:p>
        </w:tc>
      </w:tr>
      <w:tr w14:paraId="309D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26B80721">
            <w:pPr>
              <w:shd w:val="clear"/>
              <w:spacing w:line="440" w:lineRule="exact"/>
              <w:ind w:left="57"/>
              <w:jc w:val="center"/>
              <w:rPr>
                <w:rFonts w:ascii="宋体" w:hAnsi="宋体"/>
                <w:highlight w:val="none"/>
              </w:rPr>
            </w:pPr>
            <w:r>
              <w:rPr>
                <w:rFonts w:hint="eastAsia" w:ascii="宋体" w:hAnsi="宋体"/>
                <w:highlight w:val="none"/>
              </w:rPr>
              <w:t>11</w:t>
            </w:r>
          </w:p>
        </w:tc>
        <w:tc>
          <w:tcPr>
            <w:tcW w:w="6706" w:type="dxa"/>
            <w:vAlign w:val="center"/>
          </w:tcPr>
          <w:p w14:paraId="01318C1B">
            <w:pPr>
              <w:shd w:val="clear"/>
              <w:spacing w:line="440" w:lineRule="exact"/>
              <w:rPr>
                <w:rFonts w:ascii="宋体" w:hAnsi="宋体"/>
                <w:highlight w:val="none"/>
              </w:rPr>
            </w:pPr>
            <w:r>
              <w:rPr>
                <w:rFonts w:hint="eastAsia" w:ascii="宋体" w:hAnsi="宋体"/>
                <w:highlight w:val="none"/>
              </w:rPr>
              <w:t>不存在“否决性条款”列明的其他情况</w:t>
            </w:r>
          </w:p>
        </w:tc>
        <w:tc>
          <w:tcPr>
            <w:tcW w:w="1497" w:type="dxa"/>
            <w:vAlign w:val="center"/>
          </w:tcPr>
          <w:p w14:paraId="42E19C5B">
            <w:pPr>
              <w:shd w:val="clear"/>
              <w:spacing w:line="440" w:lineRule="exact"/>
              <w:jc w:val="center"/>
              <w:rPr>
                <w:rFonts w:ascii="宋体" w:hAnsi="宋体"/>
                <w:szCs w:val="21"/>
                <w:highlight w:val="none"/>
              </w:rPr>
            </w:pPr>
            <w:r>
              <w:rPr>
                <w:rFonts w:ascii="宋体" w:hAnsi="宋体"/>
                <w:szCs w:val="21"/>
                <w:highlight w:val="none"/>
              </w:rPr>
              <w:t>合格/不合格</w:t>
            </w:r>
          </w:p>
        </w:tc>
      </w:tr>
      <w:tr w14:paraId="70C6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14:paraId="6BAF59A4">
            <w:pPr>
              <w:shd w:val="clear"/>
              <w:spacing w:line="440" w:lineRule="exact"/>
              <w:ind w:left="57"/>
              <w:jc w:val="center"/>
              <w:rPr>
                <w:rFonts w:ascii="宋体" w:hAnsi="宋体"/>
                <w:highlight w:val="none"/>
              </w:rPr>
            </w:pPr>
            <w:r>
              <w:rPr>
                <w:rFonts w:hint="eastAsia" w:ascii="宋体" w:hAnsi="宋体"/>
                <w:highlight w:val="none"/>
              </w:rPr>
              <w:t>12</w:t>
            </w:r>
          </w:p>
        </w:tc>
        <w:tc>
          <w:tcPr>
            <w:tcW w:w="6706" w:type="dxa"/>
            <w:vAlign w:val="center"/>
          </w:tcPr>
          <w:p w14:paraId="6218F23E">
            <w:pPr>
              <w:shd w:val="clear"/>
              <w:spacing w:line="440" w:lineRule="exact"/>
              <w:rPr>
                <w:rFonts w:ascii="宋体" w:hAnsi="宋体"/>
                <w:szCs w:val="21"/>
                <w:highlight w:val="none"/>
              </w:rPr>
            </w:pPr>
            <w:r>
              <w:rPr>
                <w:rFonts w:ascii="宋体" w:hAnsi="宋体"/>
                <w:szCs w:val="21"/>
                <w:highlight w:val="none"/>
              </w:rPr>
              <w:t>结论</w:t>
            </w:r>
          </w:p>
        </w:tc>
        <w:tc>
          <w:tcPr>
            <w:tcW w:w="1497" w:type="dxa"/>
            <w:vAlign w:val="center"/>
          </w:tcPr>
          <w:p w14:paraId="0A71ED4C">
            <w:pPr>
              <w:shd w:val="clear"/>
              <w:spacing w:line="440" w:lineRule="exact"/>
              <w:jc w:val="center"/>
              <w:rPr>
                <w:rFonts w:ascii="宋体" w:hAnsi="宋体"/>
                <w:szCs w:val="21"/>
                <w:highlight w:val="none"/>
              </w:rPr>
            </w:pPr>
            <w:r>
              <w:rPr>
                <w:rFonts w:ascii="宋体" w:hAnsi="宋体"/>
                <w:szCs w:val="21"/>
                <w:highlight w:val="none"/>
              </w:rPr>
              <w:t>通过/不通过</w:t>
            </w:r>
          </w:p>
        </w:tc>
      </w:tr>
    </w:tbl>
    <w:p w14:paraId="10F84A62">
      <w:pPr>
        <w:shd w:val="clear"/>
        <w:spacing w:line="440" w:lineRule="exact"/>
        <w:ind w:firstLine="422" w:firstLineChars="200"/>
        <w:rPr>
          <w:rFonts w:ascii="宋体" w:hAnsi="宋体"/>
          <w:b/>
          <w:bCs/>
          <w:color w:val="000000"/>
          <w:szCs w:val="21"/>
          <w:highlight w:val="none"/>
        </w:rPr>
      </w:pPr>
      <w:r>
        <w:rPr>
          <w:rFonts w:hint="eastAsia" w:ascii="宋体" w:hAnsi="宋体"/>
          <w:b/>
          <w:color w:val="000000"/>
          <w:szCs w:val="21"/>
          <w:highlight w:val="none"/>
        </w:rPr>
        <w:t>2、评分表</w:t>
      </w:r>
      <w:r>
        <w:rPr>
          <w:rFonts w:hint="eastAsia" w:ascii="宋体" w:hAnsi="宋体"/>
          <w:b/>
          <w:bCs/>
          <w:color w:val="000000"/>
          <w:szCs w:val="21"/>
          <w:highlight w:val="none"/>
        </w:rPr>
        <w:t xml:space="preserve"> </w:t>
      </w:r>
      <w:r>
        <w:rPr>
          <w:rFonts w:ascii="宋体" w:hAnsi="宋体"/>
          <w:b/>
          <w:bCs/>
          <w:color w:val="000000"/>
          <w:szCs w:val="21"/>
          <w:highlight w:val="none"/>
        </w:rPr>
        <w:tab/>
      </w:r>
      <w:r>
        <w:rPr>
          <w:rFonts w:hint="eastAsia" w:ascii="宋体" w:hAnsi="宋体"/>
          <w:b/>
          <w:bCs/>
          <w:color w:val="000000"/>
          <w:szCs w:val="21"/>
          <w:highlight w:val="none"/>
        </w:rPr>
        <w:t xml:space="preserve"> </w:t>
      </w:r>
    </w:p>
    <w:tbl>
      <w:tblPr>
        <w:tblStyle w:val="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49"/>
        <w:gridCol w:w="1790"/>
        <w:gridCol w:w="971"/>
        <w:gridCol w:w="4993"/>
      </w:tblGrid>
      <w:tr w14:paraId="7A67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230D835B">
            <w:pPr>
              <w:shd w:val="clear"/>
              <w:jc w:val="center"/>
              <w:rPr>
                <w:rFonts w:ascii="宋体" w:hAnsi="宋体" w:cs="宋体"/>
                <w:b/>
                <w:color w:val="0000FF"/>
                <w:szCs w:val="21"/>
                <w:highlight w:val="none"/>
              </w:rPr>
            </w:pPr>
            <w:r>
              <w:rPr>
                <w:rFonts w:hint="eastAsia" w:ascii="宋体" w:hAnsi="宋体" w:cs="宋体"/>
                <w:b/>
                <w:color w:val="0000FF"/>
                <w:szCs w:val="21"/>
                <w:highlight w:val="none"/>
              </w:rPr>
              <w:t>序号</w:t>
            </w:r>
          </w:p>
        </w:tc>
        <w:tc>
          <w:tcPr>
            <w:tcW w:w="3510" w:type="dxa"/>
            <w:gridSpan w:val="3"/>
            <w:vAlign w:val="center"/>
          </w:tcPr>
          <w:p w14:paraId="648492DD">
            <w:pPr>
              <w:shd w:val="clear"/>
              <w:jc w:val="center"/>
              <w:rPr>
                <w:rFonts w:ascii="宋体" w:hAnsi="宋体" w:cs="宋体"/>
                <w:b/>
                <w:color w:val="0000FF"/>
                <w:szCs w:val="21"/>
                <w:highlight w:val="none"/>
              </w:rPr>
            </w:pPr>
            <w:r>
              <w:rPr>
                <w:rFonts w:hint="eastAsia" w:ascii="宋体" w:hAnsi="宋体" w:cs="宋体"/>
                <w:b/>
                <w:color w:val="0000FF"/>
                <w:szCs w:val="21"/>
                <w:highlight w:val="none"/>
              </w:rPr>
              <w:t>评分项</w:t>
            </w:r>
          </w:p>
        </w:tc>
        <w:tc>
          <w:tcPr>
            <w:tcW w:w="4993" w:type="dxa"/>
            <w:vAlign w:val="center"/>
          </w:tcPr>
          <w:p w14:paraId="4C8C99B5">
            <w:pPr>
              <w:shd w:val="clear"/>
              <w:jc w:val="center"/>
              <w:rPr>
                <w:rFonts w:ascii="宋体" w:hAnsi="宋体" w:cs="宋体"/>
                <w:b/>
                <w:color w:val="0000FF"/>
                <w:szCs w:val="21"/>
                <w:highlight w:val="none"/>
              </w:rPr>
            </w:pPr>
            <w:r>
              <w:rPr>
                <w:rFonts w:hint="eastAsia" w:ascii="宋体" w:hAnsi="宋体" w:cs="宋体"/>
                <w:b/>
                <w:color w:val="0000FF"/>
                <w:szCs w:val="21"/>
                <w:highlight w:val="none"/>
              </w:rPr>
              <w:t>权重</w:t>
            </w:r>
          </w:p>
        </w:tc>
      </w:tr>
      <w:tr w14:paraId="6C08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324B23E7">
            <w:pPr>
              <w:shd w:val="clear"/>
              <w:jc w:val="center"/>
              <w:rPr>
                <w:rFonts w:ascii="宋体" w:hAnsi="宋体" w:cs="宋体"/>
                <w:b/>
                <w:color w:val="0000FF"/>
                <w:szCs w:val="21"/>
                <w:highlight w:val="none"/>
              </w:rPr>
            </w:pPr>
            <w:r>
              <w:rPr>
                <w:rFonts w:hint="eastAsia" w:ascii="宋体" w:hAnsi="宋体" w:cs="宋体"/>
                <w:b/>
                <w:color w:val="0000FF"/>
                <w:szCs w:val="21"/>
                <w:highlight w:val="none"/>
              </w:rPr>
              <w:t>1</w:t>
            </w:r>
          </w:p>
        </w:tc>
        <w:tc>
          <w:tcPr>
            <w:tcW w:w="3510" w:type="dxa"/>
            <w:gridSpan w:val="3"/>
            <w:vAlign w:val="center"/>
          </w:tcPr>
          <w:p w14:paraId="795184E5">
            <w:pPr>
              <w:shd w:val="clear"/>
              <w:jc w:val="center"/>
              <w:rPr>
                <w:rFonts w:ascii="宋体" w:hAnsi="宋体" w:cs="宋体"/>
                <w:b/>
                <w:color w:val="0000FF"/>
                <w:szCs w:val="21"/>
                <w:highlight w:val="none"/>
              </w:rPr>
            </w:pPr>
            <w:r>
              <w:rPr>
                <w:rFonts w:hint="eastAsia" w:ascii="宋体" w:hAnsi="宋体" w:cs="宋体"/>
                <w:b/>
                <w:color w:val="0000FF"/>
                <w:szCs w:val="21"/>
                <w:highlight w:val="none"/>
              </w:rPr>
              <w:t>价格</w:t>
            </w:r>
          </w:p>
        </w:tc>
        <w:tc>
          <w:tcPr>
            <w:tcW w:w="4993" w:type="dxa"/>
            <w:vAlign w:val="center"/>
          </w:tcPr>
          <w:p w14:paraId="29B83AEF">
            <w:pPr>
              <w:shd w:val="clear"/>
              <w:jc w:val="center"/>
              <w:rPr>
                <w:rFonts w:ascii="宋体" w:hAnsi="宋体" w:cs="宋体"/>
                <w:b/>
                <w:color w:val="0000FF"/>
                <w:szCs w:val="21"/>
                <w:highlight w:val="none"/>
              </w:rPr>
            </w:pPr>
            <w:r>
              <w:rPr>
                <w:rFonts w:hint="eastAsia" w:ascii="宋体" w:hAnsi="宋体" w:cs="宋体"/>
                <w:b/>
                <w:color w:val="0000FF"/>
                <w:szCs w:val="21"/>
                <w:highlight w:val="none"/>
              </w:rPr>
              <w:t>40</w:t>
            </w:r>
          </w:p>
        </w:tc>
      </w:tr>
      <w:tr w14:paraId="13F4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0B12DF50">
            <w:pPr>
              <w:shd w:val="clear"/>
              <w:jc w:val="center"/>
              <w:rPr>
                <w:rFonts w:ascii="宋体" w:hAnsi="宋体" w:cs="宋体"/>
                <w:color w:val="0000FF"/>
                <w:szCs w:val="21"/>
                <w:highlight w:val="none"/>
              </w:rPr>
            </w:pPr>
          </w:p>
        </w:tc>
        <w:tc>
          <w:tcPr>
            <w:tcW w:w="8503" w:type="dxa"/>
            <w:gridSpan w:val="4"/>
            <w:vAlign w:val="center"/>
          </w:tcPr>
          <w:p w14:paraId="2A89E81F">
            <w:pPr>
              <w:shd w:val="clear"/>
              <w:rPr>
                <w:rFonts w:ascii="宋体" w:hAnsi="宋体" w:cs="宋体"/>
                <w:color w:val="0000FF"/>
                <w:szCs w:val="21"/>
                <w:highlight w:val="none"/>
              </w:rPr>
            </w:pPr>
            <w:r>
              <w:rPr>
                <w:rFonts w:hint="eastAsia" w:ascii="宋体" w:hAnsi="宋体" w:cs="宋体"/>
                <w:color w:val="0000FF"/>
                <w:szCs w:val="21"/>
                <w:highlight w:val="none"/>
              </w:rPr>
              <w:t>投标报价价格分=（评标基准价/投标报价）×权重；</w:t>
            </w:r>
          </w:p>
          <w:p w14:paraId="37AC08FA">
            <w:pPr>
              <w:shd w:val="clear"/>
              <w:jc w:val="left"/>
              <w:rPr>
                <w:rFonts w:ascii="宋体" w:hAnsi="宋体" w:cs="宋体"/>
                <w:color w:val="0000FF"/>
                <w:szCs w:val="21"/>
                <w:highlight w:val="none"/>
              </w:rPr>
            </w:pPr>
            <w:r>
              <w:rPr>
                <w:rFonts w:hint="eastAsia" w:ascii="宋体" w:hAnsi="宋体" w:cs="宋体"/>
                <w:color w:val="0000FF"/>
                <w:szCs w:val="21"/>
                <w:highlight w:val="none"/>
              </w:rPr>
              <w:t>评标基准价为满足招标文件要求且投标价格最低的投标报价。</w:t>
            </w:r>
          </w:p>
        </w:tc>
      </w:tr>
      <w:tr w14:paraId="3EEA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2775A73C">
            <w:pPr>
              <w:shd w:val="clear"/>
              <w:jc w:val="center"/>
              <w:rPr>
                <w:rFonts w:ascii="宋体" w:hAnsi="宋体" w:cs="宋体"/>
                <w:b/>
                <w:color w:val="0000FF"/>
                <w:szCs w:val="21"/>
                <w:highlight w:val="none"/>
              </w:rPr>
            </w:pPr>
            <w:r>
              <w:rPr>
                <w:rFonts w:hint="eastAsia" w:ascii="宋体" w:hAnsi="宋体" w:cs="宋体"/>
                <w:b/>
                <w:color w:val="0000FF"/>
                <w:szCs w:val="21"/>
                <w:highlight w:val="none"/>
              </w:rPr>
              <w:t>2</w:t>
            </w:r>
          </w:p>
        </w:tc>
        <w:tc>
          <w:tcPr>
            <w:tcW w:w="3510" w:type="dxa"/>
            <w:gridSpan w:val="3"/>
            <w:vAlign w:val="center"/>
          </w:tcPr>
          <w:p w14:paraId="360DD8F5">
            <w:pPr>
              <w:shd w:val="clear"/>
              <w:jc w:val="center"/>
              <w:rPr>
                <w:rFonts w:ascii="宋体" w:hAnsi="宋体" w:cs="宋体"/>
                <w:b/>
                <w:color w:val="0000FF"/>
                <w:szCs w:val="21"/>
                <w:highlight w:val="none"/>
              </w:rPr>
            </w:pPr>
            <w:r>
              <w:rPr>
                <w:rFonts w:hint="eastAsia" w:ascii="宋体" w:hAnsi="宋体" w:cs="宋体"/>
                <w:b/>
                <w:color w:val="0000FF"/>
                <w:szCs w:val="21"/>
                <w:highlight w:val="none"/>
              </w:rPr>
              <w:t>技术部分</w:t>
            </w:r>
          </w:p>
        </w:tc>
        <w:tc>
          <w:tcPr>
            <w:tcW w:w="4993" w:type="dxa"/>
            <w:vAlign w:val="center"/>
          </w:tcPr>
          <w:p w14:paraId="08E1155F">
            <w:pPr>
              <w:shd w:val="clear"/>
              <w:jc w:val="center"/>
              <w:rPr>
                <w:rFonts w:hint="default" w:ascii="宋体" w:hAnsi="宋体" w:eastAsia="宋体" w:cs="宋体"/>
                <w:b/>
                <w:color w:val="0000FF"/>
                <w:szCs w:val="21"/>
                <w:highlight w:val="none"/>
                <w:lang w:val="en-US" w:eastAsia="zh-CN"/>
              </w:rPr>
            </w:pPr>
            <w:r>
              <w:rPr>
                <w:rFonts w:hint="eastAsia" w:ascii="宋体" w:hAnsi="宋体" w:cs="宋体"/>
                <w:b/>
                <w:color w:val="0000FF"/>
                <w:szCs w:val="21"/>
                <w:highlight w:val="none"/>
                <w:lang w:val="en-US" w:eastAsia="zh-CN"/>
              </w:rPr>
              <w:t>45</w:t>
            </w:r>
          </w:p>
        </w:tc>
      </w:tr>
      <w:tr w14:paraId="520A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vAlign w:val="center"/>
          </w:tcPr>
          <w:p w14:paraId="35571E72">
            <w:pPr>
              <w:shd w:val="clear"/>
              <w:jc w:val="center"/>
              <w:rPr>
                <w:rFonts w:ascii="宋体" w:hAnsi="宋体" w:cs="宋体"/>
                <w:color w:val="0000FF"/>
                <w:szCs w:val="21"/>
                <w:highlight w:val="none"/>
              </w:rPr>
            </w:pPr>
          </w:p>
        </w:tc>
        <w:tc>
          <w:tcPr>
            <w:tcW w:w="749" w:type="dxa"/>
            <w:vAlign w:val="center"/>
          </w:tcPr>
          <w:p w14:paraId="3C76A44C">
            <w:pPr>
              <w:shd w:val="clear"/>
              <w:jc w:val="center"/>
              <w:rPr>
                <w:rFonts w:ascii="宋体" w:hAnsi="宋体" w:cs="宋体"/>
                <w:b/>
                <w:color w:val="0000FF"/>
                <w:szCs w:val="21"/>
                <w:highlight w:val="none"/>
              </w:rPr>
            </w:pPr>
            <w:r>
              <w:rPr>
                <w:rFonts w:hint="eastAsia" w:ascii="宋体" w:hAnsi="宋体" w:cs="宋体"/>
                <w:b/>
                <w:color w:val="0000FF"/>
                <w:szCs w:val="21"/>
                <w:highlight w:val="none"/>
              </w:rPr>
              <w:t>序号</w:t>
            </w:r>
          </w:p>
        </w:tc>
        <w:tc>
          <w:tcPr>
            <w:tcW w:w="1790" w:type="dxa"/>
            <w:vAlign w:val="center"/>
          </w:tcPr>
          <w:p w14:paraId="189B89CF">
            <w:pPr>
              <w:shd w:val="clear"/>
              <w:jc w:val="center"/>
              <w:rPr>
                <w:rFonts w:ascii="宋体" w:hAnsi="宋体" w:cs="宋体"/>
                <w:b/>
                <w:color w:val="0000FF"/>
                <w:szCs w:val="21"/>
                <w:highlight w:val="none"/>
              </w:rPr>
            </w:pPr>
            <w:r>
              <w:rPr>
                <w:rFonts w:hint="eastAsia" w:ascii="宋体" w:hAnsi="宋体" w:cs="宋体"/>
                <w:b/>
                <w:color w:val="0000FF"/>
                <w:szCs w:val="21"/>
                <w:highlight w:val="none"/>
              </w:rPr>
              <w:t>评分因素</w:t>
            </w:r>
          </w:p>
        </w:tc>
        <w:tc>
          <w:tcPr>
            <w:tcW w:w="971" w:type="dxa"/>
            <w:vAlign w:val="center"/>
          </w:tcPr>
          <w:p w14:paraId="6368D7E7">
            <w:pPr>
              <w:shd w:val="clear"/>
              <w:jc w:val="center"/>
              <w:rPr>
                <w:rFonts w:ascii="宋体" w:hAnsi="宋体" w:cs="宋体"/>
                <w:b/>
                <w:color w:val="0000FF"/>
                <w:szCs w:val="21"/>
                <w:highlight w:val="none"/>
              </w:rPr>
            </w:pPr>
            <w:r>
              <w:rPr>
                <w:rFonts w:hint="eastAsia" w:ascii="宋体" w:hAnsi="宋体" w:cs="宋体"/>
                <w:b/>
                <w:color w:val="0000FF"/>
                <w:szCs w:val="21"/>
                <w:highlight w:val="none"/>
              </w:rPr>
              <w:t>权重</w:t>
            </w:r>
          </w:p>
        </w:tc>
        <w:tc>
          <w:tcPr>
            <w:tcW w:w="4993" w:type="dxa"/>
            <w:vAlign w:val="center"/>
          </w:tcPr>
          <w:p w14:paraId="066A818A">
            <w:pPr>
              <w:shd w:val="clear"/>
              <w:jc w:val="center"/>
              <w:rPr>
                <w:rFonts w:ascii="宋体" w:hAnsi="宋体" w:cs="宋体"/>
                <w:b/>
                <w:color w:val="0000FF"/>
                <w:szCs w:val="21"/>
                <w:highlight w:val="none"/>
              </w:rPr>
            </w:pPr>
            <w:r>
              <w:rPr>
                <w:rFonts w:hint="eastAsia" w:ascii="宋体" w:hAnsi="宋体" w:cs="宋体"/>
                <w:b/>
                <w:color w:val="0000FF"/>
                <w:szCs w:val="21"/>
                <w:highlight w:val="none"/>
              </w:rPr>
              <w:t>评分准则</w:t>
            </w:r>
          </w:p>
        </w:tc>
      </w:tr>
      <w:tr w14:paraId="6D93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2" w:type="dxa"/>
            <w:vMerge w:val="continue"/>
            <w:vAlign w:val="center"/>
          </w:tcPr>
          <w:p w14:paraId="3AFCAC5C">
            <w:pPr>
              <w:shd w:val="clear"/>
              <w:jc w:val="center"/>
              <w:outlineLvl w:val="0"/>
              <w:rPr>
                <w:rFonts w:ascii="宋体" w:hAnsi="宋体" w:cs="宋体"/>
                <w:color w:val="0000FF"/>
                <w:szCs w:val="21"/>
                <w:highlight w:val="none"/>
              </w:rPr>
            </w:pPr>
          </w:p>
        </w:tc>
        <w:tc>
          <w:tcPr>
            <w:tcW w:w="749" w:type="dxa"/>
            <w:shd w:val="clear" w:color="auto" w:fill="auto"/>
            <w:vAlign w:val="center"/>
          </w:tcPr>
          <w:p w14:paraId="3E093E59">
            <w:pPr>
              <w:shd w:val="clear"/>
              <w:jc w:val="center"/>
              <w:rPr>
                <w:rFonts w:ascii="宋体" w:hAnsi="宋体" w:cs="宋体"/>
                <w:color w:val="0000FF"/>
                <w:szCs w:val="21"/>
                <w:highlight w:val="none"/>
              </w:rPr>
            </w:pPr>
            <w:r>
              <w:rPr>
                <w:rFonts w:hint="eastAsia" w:ascii="宋体" w:hAnsi="宋体" w:cs="宋体"/>
                <w:color w:val="0000FF"/>
                <w:szCs w:val="21"/>
                <w:highlight w:val="none"/>
              </w:rPr>
              <w:t>1</w:t>
            </w:r>
          </w:p>
        </w:tc>
        <w:tc>
          <w:tcPr>
            <w:tcW w:w="1790" w:type="dxa"/>
            <w:shd w:val="clear" w:color="auto" w:fill="auto"/>
            <w:vAlign w:val="center"/>
          </w:tcPr>
          <w:p w14:paraId="650B0085">
            <w:pPr>
              <w:widowControl/>
              <w:shd w:val="clear"/>
              <w:tabs>
                <w:tab w:val="left" w:pos="1988"/>
              </w:tabs>
              <w:jc w:val="center"/>
              <w:rPr>
                <w:rFonts w:ascii="宋体" w:hAnsi="宋体" w:cs="宋体"/>
                <w:color w:val="0000FF"/>
                <w:szCs w:val="21"/>
                <w:highlight w:val="none"/>
              </w:rPr>
            </w:pPr>
            <w:r>
              <w:rPr>
                <w:rFonts w:hint="eastAsia" w:ascii="宋体" w:hAnsi="宋体" w:cs="宋体"/>
                <w:color w:val="0000FF"/>
                <w:szCs w:val="21"/>
                <w:highlight w:val="none"/>
              </w:rPr>
              <w:t>设备性能、技术参数和设备质量的符合性</w:t>
            </w:r>
          </w:p>
        </w:tc>
        <w:tc>
          <w:tcPr>
            <w:tcW w:w="971" w:type="dxa"/>
            <w:shd w:val="clear" w:color="auto" w:fill="auto"/>
            <w:vAlign w:val="center"/>
          </w:tcPr>
          <w:p w14:paraId="19B641EF">
            <w:pPr>
              <w:widowControl/>
              <w:shd w:val="clear"/>
              <w:tabs>
                <w:tab w:val="left" w:pos="1988"/>
              </w:tabs>
              <w:jc w:val="center"/>
              <w:rPr>
                <w:rFonts w:hint="default" w:ascii="宋体" w:hAnsi="宋体" w:eastAsia="宋体" w:cs="宋体"/>
                <w:color w:val="0000FF"/>
                <w:szCs w:val="21"/>
                <w:highlight w:val="none"/>
                <w:lang w:val="en-US" w:eastAsia="zh-CN"/>
              </w:rPr>
            </w:pPr>
            <w:r>
              <w:rPr>
                <w:rFonts w:hint="eastAsia" w:ascii="宋体" w:hAnsi="宋体" w:cs="宋体"/>
                <w:color w:val="0000FF"/>
                <w:szCs w:val="21"/>
                <w:highlight w:val="none"/>
                <w:lang w:val="en-US" w:eastAsia="zh-CN"/>
              </w:rPr>
              <w:t>13</w:t>
            </w:r>
          </w:p>
        </w:tc>
        <w:tc>
          <w:tcPr>
            <w:tcW w:w="4993" w:type="dxa"/>
            <w:shd w:val="clear" w:color="auto" w:fill="auto"/>
            <w:vAlign w:val="top"/>
          </w:tcPr>
          <w:p w14:paraId="7F0105FF">
            <w:pPr>
              <w:pStyle w:val="4"/>
              <w:shd w:val="clear"/>
              <w:jc w:val="left"/>
              <w:rPr>
                <w:rFonts w:hint="eastAsia" w:hAnsi="宋体" w:eastAsia="宋体" w:cs="宋体"/>
                <w:strike/>
                <w:color w:val="0000FF"/>
                <w:szCs w:val="21"/>
                <w:highlight w:val="none"/>
                <w:lang w:eastAsia="zh-CN"/>
              </w:rPr>
            </w:pPr>
            <w:r>
              <w:rPr>
                <w:rFonts w:hint="eastAsia" w:hAnsi="宋体" w:cs="宋体"/>
                <w:color w:val="0000FF"/>
                <w:szCs w:val="21"/>
                <w:highlight w:val="none"/>
              </w:rPr>
              <w:t>（一）根据供应商对采购需求“各专业系统技术要求：”中带▲号技术参数（共</w:t>
            </w:r>
            <w:r>
              <w:rPr>
                <w:rFonts w:hint="eastAsia" w:hAnsi="宋体" w:cs="宋体"/>
                <w:color w:val="0000FF"/>
                <w:szCs w:val="21"/>
                <w:highlight w:val="none"/>
                <w:lang w:val="en-US" w:eastAsia="zh-CN"/>
              </w:rPr>
              <w:t>12</w:t>
            </w:r>
            <w:r>
              <w:rPr>
                <w:rFonts w:hint="eastAsia" w:hAnsi="宋体" w:cs="宋体"/>
                <w:color w:val="0000FF"/>
                <w:szCs w:val="21"/>
                <w:highlight w:val="none"/>
              </w:rPr>
              <w:t>条）的响应情况进行评审：完全满足，得</w:t>
            </w:r>
            <w:r>
              <w:rPr>
                <w:rFonts w:hint="eastAsia" w:hAnsi="宋体" w:cs="宋体"/>
                <w:color w:val="0000FF"/>
                <w:szCs w:val="21"/>
                <w:highlight w:val="none"/>
                <w:lang w:val="en-US" w:eastAsia="zh-CN"/>
              </w:rPr>
              <w:t>10</w:t>
            </w:r>
            <w:r>
              <w:rPr>
                <w:rFonts w:hint="eastAsia" w:hAnsi="宋体" w:cs="宋体"/>
                <w:color w:val="0000FF"/>
                <w:szCs w:val="21"/>
                <w:highlight w:val="none"/>
              </w:rPr>
              <w:t>分</w:t>
            </w:r>
            <w:r>
              <w:rPr>
                <w:rFonts w:hint="eastAsia" w:hAnsi="宋体" w:cs="宋体"/>
                <w:color w:val="0000FF"/>
                <w:szCs w:val="21"/>
                <w:highlight w:val="none"/>
                <w:lang w:eastAsia="zh-CN"/>
              </w:rPr>
              <w:t>，</w:t>
            </w:r>
            <w:r>
              <w:rPr>
                <w:rFonts w:hint="eastAsia" w:hAnsi="宋体" w:cs="宋体"/>
                <w:color w:val="0000FF"/>
                <w:szCs w:val="21"/>
                <w:highlight w:val="none"/>
              </w:rPr>
              <w:t>每出现一处负偏离，扣1分,扣完为止</w:t>
            </w:r>
            <w:r>
              <w:rPr>
                <w:rFonts w:hint="eastAsia" w:hAnsi="宋体" w:cs="宋体"/>
                <w:color w:val="0000FF"/>
                <w:szCs w:val="21"/>
                <w:highlight w:val="none"/>
                <w:lang w:eastAsia="zh-CN"/>
              </w:rPr>
              <w:t>。</w:t>
            </w:r>
          </w:p>
          <w:p w14:paraId="216C6DF5">
            <w:pPr>
              <w:pStyle w:val="4"/>
              <w:shd w:val="clear"/>
              <w:jc w:val="left"/>
              <w:rPr>
                <w:rFonts w:hint="eastAsia" w:hAnsi="宋体" w:eastAsia="宋体" w:cs="宋体"/>
                <w:strike/>
                <w:color w:val="0000FF"/>
                <w:szCs w:val="21"/>
                <w:highlight w:val="none"/>
                <w:lang w:eastAsia="zh-CN"/>
              </w:rPr>
            </w:pPr>
            <w:r>
              <w:rPr>
                <w:rFonts w:hint="eastAsia" w:hAnsi="宋体" w:cs="宋体"/>
                <w:color w:val="0000FF"/>
                <w:szCs w:val="21"/>
                <w:highlight w:val="none"/>
              </w:rPr>
              <w:t>（二）根据供应商对采购需求中不带▲号技术参数的响应情况进行评审：完全满足，得</w:t>
            </w:r>
            <w:r>
              <w:rPr>
                <w:rFonts w:hint="eastAsia" w:hAnsi="宋体" w:cs="宋体"/>
                <w:color w:val="0000FF"/>
                <w:szCs w:val="21"/>
                <w:highlight w:val="none"/>
                <w:lang w:val="en-US" w:eastAsia="zh-CN"/>
              </w:rPr>
              <w:t>3</w:t>
            </w:r>
            <w:r>
              <w:rPr>
                <w:rFonts w:hint="eastAsia" w:hAnsi="宋体" w:cs="宋体"/>
                <w:color w:val="0000FF"/>
                <w:szCs w:val="21"/>
                <w:highlight w:val="none"/>
              </w:rPr>
              <w:t>分</w:t>
            </w:r>
            <w:r>
              <w:rPr>
                <w:rFonts w:hint="eastAsia" w:hAnsi="宋体" w:cs="宋体"/>
                <w:color w:val="0000FF"/>
                <w:szCs w:val="21"/>
                <w:highlight w:val="none"/>
                <w:lang w:eastAsia="zh-CN"/>
              </w:rPr>
              <w:t>，</w:t>
            </w:r>
            <w:r>
              <w:rPr>
                <w:rFonts w:hint="eastAsia" w:hAnsi="宋体" w:cs="宋体"/>
                <w:color w:val="0000FF"/>
                <w:szCs w:val="21"/>
                <w:highlight w:val="none"/>
              </w:rPr>
              <w:t>每出现一项负偏离，扣0.5分，扣完为止</w:t>
            </w:r>
            <w:r>
              <w:rPr>
                <w:rFonts w:hint="eastAsia" w:hAnsi="宋体" w:cs="宋体"/>
                <w:color w:val="0000FF"/>
                <w:szCs w:val="21"/>
                <w:highlight w:val="none"/>
                <w:lang w:eastAsia="zh-CN"/>
              </w:rPr>
              <w:t>。</w:t>
            </w:r>
          </w:p>
          <w:p w14:paraId="0DE0670C">
            <w:pPr>
              <w:pStyle w:val="4"/>
              <w:shd w:val="clear"/>
              <w:jc w:val="left"/>
              <w:rPr>
                <w:rFonts w:hint="eastAsia" w:hAnsi="宋体" w:cs="宋体"/>
                <w:color w:val="0000FF"/>
                <w:szCs w:val="21"/>
                <w:highlight w:val="none"/>
              </w:rPr>
            </w:pPr>
            <w:r>
              <w:rPr>
                <w:rFonts w:hint="eastAsia" w:hAnsi="宋体" w:cs="宋体"/>
                <w:b/>
                <w:bCs/>
                <w:color w:val="0000FF"/>
                <w:szCs w:val="21"/>
                <w:highlight w:val="none"/>
              </w:rPr>
              <w:t>证明文件：</w:t>
            </w:r>
            <w:r>
              <w:rPr>
                <w:rFonts w:hint="eastAsia" w:hAnsi="宋体" w:cs="宋体"/>
                <w:color w:val="0000FF"/>
                <w:szCs w:val="21"/>
                <w:highlight w:val="none"/>
              </w:rPr>
              <w:t>采购需求中要求提供的相关证明材料的，必须按采购需求要求提供相关证明材料，如未按要求提供相关证明材料的，则视为“负偏离”，投标时若提供承诺书，须承诺在项目结果公示发出10个工作日内，向招标人完整、真实、合法地提交招标文件要求的相关证明资料，否则不予评分；无论供应商选择提供证明材料还是提供承诺书，供应商都必须如实填写设备材料的技术参数，对投标产品技术参数有无偏离情况给予说明，评委按照招标文件要求对各投标人所提供的技术参数进行打分。需求中每一个序号均以一项单独计算（标题不算），无论是否隶属于上一级编号。】</w:t>
            </w:r>
          </w:p>
          <w:p w14:paraId="36AA6C69">
            <w:pPr>
              <w:pStyle w:val="4"/>
              <w:shd w:val="clear"/>
              <w:jc w:val="left"/>
              <w:rPr>
                <w:rFonts w:hAnsi="宋体" w:cs="宋体"/>
                <w:color w:val="0000FF"/>
                <w:szCs w:val="21"/>
                <w:highlight w:val="none"/>
              </w:rPr>
            </w:pPr>
            <w:r>
              <w:rPr>
                <w:rFonts w:hint="eastAsia" w:hAnsi="宋体" w:cs="宋体"/>
                <w:b/>
                <w:bCs/>
                <w:color w:val="0000FF"/>
                <w:szCs w:val="21"/>
                <w:highlight w:val="none"/>
              </w:rPr>
              <w:t>投标人提供检测报告不超出机构检测范围的承诺函（格式自拟），如检验检测报告中明确备注说明相关检验检测项不在检验检测机构“CMA”资质许可（认定）范围内的，视为不符合该要求”。</w:t>
            </w:r>
          </w:p>
        </w:tc>
      </w:tr>
      <w:tr w14:paraId="419D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14:paraId="239BC741">
            <w:pPr>
              <w:shd w:val="clear"/>
              <w:jc w:val="center"/>
              <w:outlineLvl w:val="2"/>
              <w:rPr>
                <w:rFonts w:ascii="宋体" w:hAnsi="宋体" w:cs="宋体"/>
                <w:color w:val="0000FF"/>
                <w:szCs w:val="21"/>
                <w:highlight w:val="none"/>
              </w:rPr>
            </w:pPr>
          </w:p>
        </w:tc>
        <w:tc>
          <w:tcPr>
            <w:tcW w:w="749" w:type="dxa"/>
            <w:vAlign w:val="center"/>
          </w:tcPr>
          <w:p w14:paraId="1C2BD647">
            <w:pPr>
              <w:shd w:val="clear"/>
              <w:jc w:val="center"/>
              <w:rPr>
                <w:rFonts w:ascii="宋体" w:hAnsi="宋体" w:cs="宋体"/>
                <w:color w:val="0000FF"/>
                <w:szCs w:val="21"/>
                <w:highlight w:val="none"/>
              </w:rPr>
            </w:pPr>
            <w:r>
              <w:rPr>
                <w:rFonts w:ascii="宋体" w:hAnsi="宋体" w:cs="宋体"/>
                <w:color w:val="0000FF"/>
                <w:szCs w:val="21"/>
                <w:highlight w:val="none"/>
              </w:rPr>
              <w:t>2</w:t>
            </w:r>
          </w:p>
        </w:tc>
        <w:tc>
          <w:tcPr>
            <w:tcW w:w="1790" w:type="dxa"/>
            <w:vAlign w:val="center"/>
          </w:tcPr>
          <w:p w14:paraId="0192D5B6">
            <w:pPr>
              <w:widowControl/>
              <w:shd w:val="clear"/>
              <w:tabs>
                <w:tab w:val="left" w:pos="1988"/>
              </w:tabs>
              <w:jc w:val="center"/>
              <w:rPr>
                <w:rFonts w:ascii="宋体" w:hAnsi="宋体" w:cs="宋体"/>
                <w:color w:val="0000FF"/>
                <w:szCs w:val="21"/>
                <w:highlight w:val="none"/>
              </w:rPr>
            </w:pPr>
            <w:r>
              <w:rPr>
                <w:rFonts w:hint="eastAsia" w:ascii="宋体" w:hAnsi="宋体" w:cs="宋体"/>
                <w:color w:val="0000FF"/>
                <w:szCs w:val="21"/>
                <w:highlight w:val="none"/>
              </w:rPr>
              <w:t>施工组织方案</w:t>
            </w:r>
          </w:p>
        </w:tc>
        <w:tc>
          <w:tcPr>
            <w:tcW w:w="971" w:type="dxa"/>
            <w:vAlign w:val="center"/>
          </w:tcPr>
          <w:p w14:paraId="67B016A4">
            <w:pPr>
              <w:widowControl/>
              <w:shd w:val="clear"/>
              <w:tabs>
                <w:tab w:val="left" w:pos="1988"/>
              </w:tabs>
              <w:jc w:val="center"/>
              <w:rPr>
                <w:rFonts w:ascii="宋体" w:hAnsi="宋体" w:cs="宋体"/>
                <w:color w:val="0000FF"/>
                <w:szCs w:val="21"/>
                <w:highlight w:val="none"/>
              </w:rPr>
            </w:pPr>
            <w:r>
              <w:rPr>
                <w:rFonts w:hint="eastAsia" w:ascii="宋体" w:hAnsi="宋体" w:cs="宋体"/>
                <w:color w:val="0000FF"/>
                <w:szCs w:val="21"/>
                <w:highlight w:val="none"/>
              </w:rPr>
              <w:t>10</w:t>
            </w:r>
          </w:p>
        </w:tc>
        <w:tc>
          <w:tcPr>
            <w:tcW w:w="4993" w:type="dxa"/>
            <w:vAlign w:val="center"/>
          </w:tcPr>
          <w:p w14:paraId="23111F8B">
            <w:pPr>
              <w:widowControl/>
              <w:shd w:val="clear"/>
              <w:tabs>
                <w:tab w:val="left" w:pos="1988"/>
              </w:tabs>
              <w:rPr>
                <w:rFonts w:ascii="宋体" w:hAnsi="宋体" w:cs="宋体"/>
                <w:color w:val="0000FF"/>
                <w:szCs w:val="21"/>
                <w:highlight w:val="none"/>
              </w:rPr>
            </w:pPr>
            <w:r>
              <w:rPr>
                <w:rFonts w:hint="eastAsia" w:ascii="宋体" w:hAnsi="宋体" w:cs="宋体"/>
                <w:color w:val="0000FF"/>
                <w:szCs w:val="21"/>
                <w:highlight w:val="none"/>
              </w:rPr>
              <w:t>投标人须根据本项目的要求提出管理和实施组织方案，包括但不限于以下内容：</w:t>
            </w:r>
          </w:p>
          <w:p w14:paraId="10876E7C">
            <w:pPr>
              <w:widowControl/>
              <w:shd w:val="clear"/>
              <w:tabs>
                <w:tab w:val="left" w:pos="1988"/>
              </w:tabs>
              <w:rPr>
                <w:rFonts w:ascii="宋体" w:hAnsi="宋体" w:cs="宋体"/>
                <w:color w:val="0000FF"/>
                <w:szCs w:val="21"/>
                <w:highlight w:val="none"/>
              </w:rPr>
            </w:pPr>
            <w:r>
              <w:rPr>
                <w:rFonts w:hint="eastAsia" w:ascii="宋体" w:hAnsi="宋体" w:cs="宋体"/>
                <w:color w:val="0000FF"/>
                <w:szCs w:val="21"/>
                <w:highlight w:val="none"/>
              </w:rPr>
              <w:t>1.施工现场现状分析；</w:t>
            </w:r>
          </w:p>
          <w:p w14:paraId="00FB7C92">
            <w:pPr>
              <w:widowControl/>
              <w:shd w:val="clear"/>
              <w:tabs>
                <w:tab w:val="left" w:pos="1988"/>
              </w:tabs>
              <w:rPr>
                <w:rFonts w:ascii="宋体" w:hAnsi="宋体" w:cs="宋体"/>
                <w:color w:val="0000FF"/>
                <w:szCs w:val="21"/>
                <w:highlight w:val="none"/>
              </w:rPr>
            </w:pPr>
            <w:r>
              <w:rPr>
                <w:rFonts w:hint="eastAsia" w:ascii="宋体" w:hAnsi="宋体" w:cs="宋体"/>
                <w:color w:val="0000FF"/>
                <w:szCs w:val="21"/>
                <w:highlight w:val="none"/>
              </w:rPr>
              <w:t>2.准备阶段工作安排、施工进度计划、保证工期的技术措施方案；</w:t>
            </w:r>
          </w:p>
          <w:p w14:paraId="4252F955">
            <w:pPr>
              <w:widowControl/>
              <w:shd w:val="clear"/>
              <w:tabs>
                <w:tab w:val="left" w:pos="1988"/>
              </w:tabs>
              <w:rPr>
                <w:rFonts w:ascii="宋体" w:hAnsi="宋体" w:cs="宋体"/>
                <w:color w:val="0000FF"/>
                <w:szCs w:val="21"/>
                <w:highlight w:val="none"/>
              </w:rPr>
            </w:pPr>
            <w:r>
              <w:rPr>
                <w:rFonts w:hint="eastAsia" w:ascii="宋体" w:hAnsi="宋体" w:cs="宋体"/>
                <w:color w:val="0000FF"/>
                <w:szCs w:val="21"/>
                <w:highlight w:val="none"/>
              </w:rPr>
              <w:t>3.施工区段划分；</w:t>
            </w:r>
          </w:p>
          <w:p w14:paraId="64563FBC">
            <w:pPr>
              <w:widowControl/>
              <w:shd w:val="clear"/>
              <w:tabs>
                <w:tab w:val="left" w:pos="1988"/>
              </w:tabs>
              <w:rPr>
                <w:rFonts w:ascii="宋体" w:hAnsi="宋体" w:cs="宋体"/>
                <w:color w:val="0000FF"/>
                <w:szCs w:val="21"/>
                <w:highlight w:val="none"/>
              </w:rPr>
            </w:pPr>
            <w:r>
              <w:rPr>
                <w:rFonts w:hint="eastAsia" w:ascii="宋体" w:hAnsi="宋体" w:cs="宋体"/>
                <w:color w:val="0000FF"/>
                <w:szCs w:val="21"/>
                <w:highlight w:val="none"/>
              </w:rPr>
              <w:t>4.各功能区域工序安排施工的重难点分析及对策；</w:t>
            </w:r>
          </w:p>
          <w:p w14:paraId="79983C30">
            <w:pPr>
              <w:widowControl/>
              <w:shd w:val="clear"/>
              <w:tabs>
                <w:tab w:val="left" w:pos="1988"/>
              </w:tabs>
              <w:rPr>
                <w:rFonts w:ascii="宋体" w:hAnsi="宋体" w:cs="宋体"/>
                <w:color w:val="0000FF"/>
                <w:szCs w:val="21"/>
                <w:highlight w:val="none"/>
              </w:rPr>
            </w:pPr>
            <w:r>
              <w:rPr>
                <w:rFonts w:hint="eastAsia" w:ascii="宋体" w:hAnsi="宋体" w:cs="宋体"/>
                <w:color w:val="0000FF"/>
                <w:szCs w:val="21"/>
                <w:highlight w:val="none"/>
              </w:rPr>
              <w:t>5.成品保护重难点分析及对策；</w:t>
            </w:r>
          </w:p>
          <w:p w14:paraId="29504B4A">
            <w:pPr>
              <w:widowControl/>
              <w:shd w:val="clear"/>
              <w:tabs>
                <w:tab w:val="left" w:pos="1988"/>
              </w:tabs>
              <w:rPr>
                <w:rFonts w:ascii="宋体" w:hAnsi="宋体" w:cs="宋体"/>
                <w:color w:val="0000FF"/>
                <w:szCs w:val="21"/>
                <w:highlight w:val="none"/>
              </w:rPr>
            </w:pPr>
            <w:r>
              <w:rPr>
                <w:rFonts w:hint="eastAsia" w:ascii="宋体" w:hAnsi="宋体" w:cs="宋体"/>
                <w:color w:val="0000FF"/>
                <w:szCs w:val="21"/>
                <w:highlight w:val="none"/>
              </w:rPr>
              <w:t xml:space="preserve">6.服务质量承诺及保证措施等。 </w:t>
            </w:r>
          </w:p>
          <w:p w14:paraId="162330C2">
            <w:pPr>
              <w:shd w:val="clear"/>
              <w:rPr>
                <w:rFonts w:ascii="宋体" w:hAnsi="宋体" w:cs="宋体"/>
                <w:color w:val="0000FF"/>
                <w:szCs w:val="21"/>
                <w:highlight w:val="none"/>
                <w:lang w:val="zh-CN"/>
              </w:rPr>
            </w:pPr>
            <w:r>
              <w:rPr>
                <w:rFonts w:hint="eastAsia" w:ascii="宋体" w:hAnsi="宋体" w:cs="宋体"/>
                <w:color w:val="0000FF"/>
                <w:szCs w:val="21"/>
                <w:highlight w:val="none"/>
                <w:lang w:val="zh-CN"/>
              </w:rPr>
              <w:t>方案每满足以上一</w:t>
            </w:r>
            <w:r>
              <w:rPr>
                <w:rFonts w:hint="eastAsia" w:ascii="宋体" w:hAnsi="宋体" w:cs="宋体"/>
                <w:color w:val="0000FF"/>
                <w:szCs w:val="21"/>
                <w:highlight w:val="none"/>
              </w:rPr>
              <w:t>项内容</w:t>
            </w:r>
            <w:r>
              <w:rPr>
                <w:rFonts w:hint="eastAsia" w:ascii="宋体" w:hAnsi="宋体" w:cs="宋体"/>
                <w:color w:val="0000FF"/>
                <w:szCs w:val="21"/>
                <w:highlight w:val="none"/>
                <w:lang w:val="zh-CN"/>
              </w:rPr>
              <w:t>的得0.5分，总分3分，其它情况或不提供的不得分，在此基础上，根据各投标人的具体响应内容进一步评审:</w:t>
            </w:r>
          </w:p>
          <w:p w14:paraId="614FF158">
            <w:pPr>
              <w:widowControl/>
              <w:shd w:val="clear"/>
              <w:tabs>
                <w:tab w:val="left" w:pos="1988"/>
              </w:tabs>
              <w:rPr>
                <w:rFonts w:ascii="宋体" w:hAnsi="宋体" w:cs="宋体"/>
                <w:color w:val="0000FF"/>
                <w:szCs w:val="21"/>
                <w:highlight w:val="none"/>
              </w:rPr>
            </w:pPr>
            <w:r>
              <w:rPr>
                <w:rFonts w:hint="eastAsia" w:ascii="宋体" w:hAnsi="宋体" w:cs="宋体"/>
                <w:color w:val="0000FF"/>
                <w:szCs w:val="21"/>
                <w:highlight w:val="none"/>
              </w:rPr>
              <w:t xml:space="preserve">1.方案详细，内容全面，具体得7分。 </w:t>
            </w:r>
          </w:p>
          <w:p w14:paraId="7CB5F304">
            <w:pPr>
              <w:widowControl/>
              <w:shd w:val="clear"/>
              <w:tabs>
                <w:tab w:val="left" w:pos="1988"/>
              </w:tabs>
              <w:rPr>
                <w:rFonts w:ascii="宋体" w:hAnsi="宋体" w:cs="宋体"/>
                <w:color w:val="0000FF"/>
                <w:szCs w:val="21"/>
                <w:highlight w:val="none"/>
              </w:rPr>
            </w:pPr>
            <w:r>
              <w:rPr>
                <w:rFonts w:hint="eastAsia" w:ascii="宋体" w:hAnsi="宋体" w:cs="宋体"/>
                <w:color w:val="0000FF"/>
                <w:szCs w:val="21"/>
                <w:highlight w:val="none"/>
              </w:rPr>
              <w:t xml:space="preserve">2.方案较详细，内容较全面，具体得5分。 </w:t>
            </w:r>
          </w:p>
          <w:p w14:paraId="5A061F93">
            <w:pPr>
              <w:widowControl/>
              <w:shd w:val="clear"/>
              <w:tabs>
                <w:tab w:val="left" w:pos="1988"/>
              </w:tabs>
              <w:rPr>
                <w:rFonts w:ascii="宋体" w:hAnsi="宋体" w:cs="宋体"/>
                <w:color w:val="0000FF"/>
                <w:szCs w:val="21"/>
                <w:highlight w:val="none"/>
              </w:rPr>
            </w:pPr>
            <w:r>
              <w:rPr>
                <w:rFonts w:hint="eastAsia" w:ascii="宋体" w:hAnsi="宋体" w:cs="宋体"/>
                <w:color w:val="0000FF"/>
                <w:szCs w:val="21"/>
                <w:highlight w:val="none"/>
              </w:rPr>
              <w:t xml:space="preserve">3.方案有缺陷，内容顺序混乱、内容不全面、具体得2分。 </w:t>
            </w:r>
          </w:p>
          <w:p w14:paraId="633CFC0A">
            <w:pPr>
              <w:widowControl/>
              <w:shd w:val="clear"/>
              <w:tabs>
                <w:tab w:val="left" w:pos="1988"/>
              </w:tabs>
              <w:rPr>
                <w:rFonts w:ascii="宋体" w:hAnsi="宋体" w:cs="宋体"/>
                <w:color w:val="0000FF"/>
                <w:szCs w:val="21"/>
                <w:highlight w:val="none"/>
              </w:rPr>
            </w:pPr>
            <w:r>
              <w:rPr>
                <w:rFonts w:hint="eastAsia" w:ascii="宋体" w:hAnsi="宋体" w:cs="宋体"/>
                <w:color w:val="0000FF"/>
                <w:szCs w:val="21"/>
                <w:highlight w:val="none"/>
              </w:rPr>
              <w:t xml:space="preserve">4.方案有严重缺陷，内容顺序混乱，内容表述模糊得1分。 </w:t>
            </w:r>
          </w:p>
          <w:p w14:paraId="69ECBB6C">
            <w:pPr>
              <w:widowControl/>
              <w:shd w:val="clear"/>
              <w:tabs>
                <w:tab w:val="left" w:pos="1988"/>
              </w:tabs>
              <w:rPr>
                <w:rFonts w:ascii="宋体" w:hAnsi="宋体" w:cs="宋体"/>
                <w:color w:val="0000FF"/>
                <w:szCs w:val="21"/>
                <w:highlight w:val="none"/>
              </w:rPr>
            </w:pPr>
            <w:r>
              <w:rPr>
                <w:rFonts w:hint="eastAsia" w:ascii="宋体" w:hAnsi="宋体" w:cs="宋体"/>
                <w:color w:val="0000FF"/>
                <w:szCs w:val="21"/>
                <w:highlight w:val="none"/>
              </w:rPr>
              <w:t>5.未提供对应方案的不得分。</w:t>
            </w:r>
          </w:p>
        </w:tc>
      </w:tr>
      <w:tr w14:paraId="5C6B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14:paraId="2AF3282A">
            <w:pPr>
              <w:shd w:val="clear"/>
              <w:jc w:val="center"/>
              <w:rPr>
                <w:rFonts w:ascii="宋体" w:hAnsi="宋体" w:cs="宋体"/>
                <w:color w:val="0000FF"/>
                <w:szCs w:val="21"/>
                <w:highlight w:val="none"/>
              </w:rPr>
            </w:pPr>
          </w:p>
        </w:tc>
        <w:tc>
          <w:tcPr>
            <w:tcW w:w="749" w:type="dxa"/>
            <w:vAlign w:val="center"/>
          </w:tcPr>
          <w:p w14:paraId="340A11D1">
            <w:pPr>
              <w:shd w:val="clear"/>
              <w:jc w:val="center"/>
              <w:rPr>
                <w:rFonts w:ascii="宋体" w:hAnsi="宋体" w:cs="宋体"/>
                <w:color w:val="0000FF"/>
                <w:szCs w:val="21"/>
                <w:highlight w:val="none"/>
              </w:rPr>
            </w:pPr>
            <w:r>
              <w:rPr>
                <w:rFonts w:ascii="宋体" w:hAnsi="宋体" w:cs="宋体"/>
                <w:color w:val="0000FF"/>
                <w:szCs w:val="21"/>
                <w:highlight w:val="none"/>
              </w:rPr>
              <w:t>3</w:t>
            </w:r>
          </w:p>
        </w:tc>
        <w:tc>
          <w:tcPr>
            <w:tcW w:w="1790" w:type="dxa"/>
            <w:vAlign w:val="center"/>
          </w:tcPr>
          <w:p w14:paraId="302B8097">
            <w:pPr>
              <w:widowControl/>
              <w:shd w:val="clear"/>
              <w:tabs>
                <w:tab w:val="left" w:pos="1988"/>
              </w:tabs>
              <w:jc w:val="center"/>
              <w:rPr>
                <w:rFonts w:ascii="宋体" w:hAnsi="宋体" w:cs="宋体"/>
                <w:color w:val="0000FF"/>
                <w:szCs w:val="21"/>
                <w:highlight w:val="none"/>
              </w:rPr>
            </w:pPr>
            <w:r>
              <w:rPr>
                <w:rFonts w:hint="eastAsia" w:ascii="宋体" w:hAnsi="宋体" w:cs="宋体"/>
                <w:color w:val="0000FF"/>
                <w:szCs w:val="21"/>
                <w:highlight w:val="none"/>
              </w:rPr>
              <w:t xml:space="preserve">安全、文明施工及环保措施 </w:t>
            </w:r>
          </w:p>
        </w:tc>
        <w:tc>
          <w:tcPr>
            <w:tcW w:w="971" w:type="dxa"/>
            <w:vAlign w:val="center"/>
          </w:tcPr>
          <w:p w14:paraId="511B1867">
            <w:pPr>
              <w:widowControl/>
              <w:shd w:val="clear"/>
              <w:tabs>
                <w:tab w:val="left" w:pos="1988"/>
              </w:tabs>
              <w:jc w:val="center"/>
              <w:rPr>
                <w:rFonts w:ascii="宋体" w:hAnsi="宋体" w:cs="宋体"/>
                <w:color w:val="0000FF"/>
                <w:szCs w:val="21"/>
                <w:highlight w:val="none"/>
              </w:rPr>
            </w:pPr>
            <w:r>
              <w:rPr>
                <w:rFonts w:hint="eastAsia" w:ascii="宋体" w:hAnsi="宋体" w:cs="宋体"/>
                <w:color w:val="0000FF"/>
                <w:szCs w:val="21"/>
                <w:highlight w:val="none"/>
              </w:rPr>
              <w:t>10</w:t>
            </w:r>
          </w:p>
        </w:tc>
        <w:tc>
          <w:tcPr>
            <w:tcW w:w="4993" w:type="dxa"/>
          </w:tcPr>
          <w:p w14:paraId="22ED23EE">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投标人须根据本项目的要求提供安全文明施工方案，包括但不限于：</w:t>
            </w:r>
          </w:p>
          <w:p w14:paraId="2F0CDEBB">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1.安全防护制度和突发紧急情况应急措施；</w:t>
            </w:r>
          </w:p>
          <w:p w14:paraId="70ABC2EA">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2.施工扬尘污染防治措施；</w:t>
            </w:r>
          </w:p>
          <w:p w14:paraId="330DB499">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3.安全生产和劳动保护措施。</w:t>
            </w:r>
          </w:p>
          <w:p w14:paraId="1D006F8C">
            <w:pPr>
              <w:shd w:val="clear"/>
              <w:rPr>
                <w:rFonts w:ascii="宋体" w:hAnsi="宋体" w:cs="宋体"/>
                <w:color w:val="0000FF"/>
                <w:szCs w:val="21"/>
                <w:highlight w:val="none"/>
                <w:lang w:val="zh-CN"/>
              </w:rPr>
            </w:pPr>
            <w:r>
              <w:rPr>
                <w:rFonts w:hint="eastAsia" w:ascii="宋体" w:hAnsi="宋体" w:cs="宋体"/>
                <w:color w:val="0000FF"/>
                <w:szCs w:val="21"/>
                <w:highlight w:val="none"/>
                <w:lang w:val="zh-CN"/>
              </w:rPr>
              <w:t>方案每满足以上一</w:t>
            </w:r>
            <w:r>
              <w:rPr>
                <w:rFonts w:hint="eastAsia" w:ascii="宋体" w:hAnsi="宋体" w:cs="宋体"/>
                <w:color w:val="0000FF"/>
                <w:szCs w:val="21"/>
                <w:highlight w:val="none"/>
              </w:rPr>
              <w:t>项内容</w:t>
            </w:r>
            <w:r>
              <w:rPr>
                <w:rFonts w:hint="eastAsia" w:ascii="宋体" w:hAnsi="宋体" w:cs="宋体"/>
                <w:color w:val="0000FF"/>
                <w:szCs w:val="21"/>
                <w:highlight w:val="none"/>
                <w:lang w:val="zh-CN"/>
              </w:rPr>
              <w:t>的得0.5分，总分3分，其它情况或不提供的不得分，在此基础上，根据各投标人的具体响应内容进一步评审:</w:t>
            </w:r>
          </w:p>
          <w:p w14:paraId="345A5EFD">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 xml:space="preserve">1.方案详细，内容全面，具体得7分。 </w:t>
            </w:r>
          </w:p>
          <w:p w14:paraId="6FDD7947">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 xml:space="preserve">2.方案较详细，内容较全面，具体得5分。 </w:t>
            </w:r>
          </w:p>
          <w:p w14:paraId="49BD339C">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 xml:space="preserve">3.方案有缺陷，内容顺序混乱、内容不全面、具体得2分。 </w:t>
            </w:r>
          </w:p>
          <w:p w14:paraId="20C53525">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 xml:space="preserve">4.方案有严重缺陷，内容顺序混乱，内容表述模糊得1分。 </w:t>
            </w:r>
          </w:p>
          <w:p w14:paraId="740A38FE">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5.未提供对应方案的不得分。</w:t>
            </w:r>
          </w:p>
        </w:tc>
      </w:tr>
      <w:tr w14:paraId="4420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14:paraId="0806AF0B">
            <w:pPr>
              <w:shd w:val="clear"/>
              <w:jc w:val="center"/>
              <w:outlineLvl w:val="2"/>
              <w:rPr>
                <w:rFonts w:ascii="宋体" w:hAnsi="宋体" w:cs="宋体"/>
                <w:color w:val="0000FF"/>
                <w:szCs w:val="21"/>
                <w:highlight w:val="none"/>
              </w:rPr>
            </w:pPr>
          </w:p>
        </w:tc>
        <w:tc>
          <w:tcPr>
            <w:tcW w:w="749" w:type="dxa"/>
            <w:vAlign w:val="center"/>
          </w:tcPr>
          <w:p w14:paraId="6A66DFE7">
            <w:pPr>
              <w:shd w:val="clear"/>
              <w:jc w:val="center"/>
              <w:rPr>
                <w:rFonts w:ascii="宋体" w:hAnsi="宋体" w:cs="宋体"/>
                <w:color w:val="0000FF"/>
                <w:szCs w:val="21"/>
                <w:highlight w:val="none"/>
              </w:rPr>
            </w:pPr>
            <w:r>
              <w:rPr>
                <w:rFonts w:ascii="宋体" w:hAnsi="宋体" w:cs="宋体"/>
                <w:color w:val="0000FF"/>
                <w:szCs w:val="21"/>
                <w:highlight w:val="none"/>
              </w:rPr>
              <w:t>4</w:t>
            </w:r>
          </w:p>
        </w:tc>
        <w:tc>
          <w:tcPr>
            <w:tcW w:w="1790" w:type="dxa"/>
            <w:vAlign w:val="center"/>
          </w:tcPr>
          <w:p w14:paraId="4788A132">
            <w:pPr>
              <w:widowControl/>
              <w:shd w:val="clear"/>
              <w:tabs>
                <w:tab w:val="left" w:pos="1988"/>
              </w:tabs>
              <w:jc w:val="center"/>
              <w:rPr>
                <w:rFonts w:ascii="宋体" w:hAnsi="宋体" w:cs="宋体"/>
                <w:color w:val="0000FF"/>
                <w:szCs w:val="21"/>
                <w:highlight w:val="none"/>
              </w:rPr>
            </w:pPr>
            <w:r>
              <w:rPr>
                <w:rFonts w:hint="eastAsia" w:ascii="宋体" w:hAnsi="宋体" w:cs="宋体"/>
                <w:color w:val="0000FF"/>
                <w:szCs w:val="21"/>
                <w:highlight w:val="none"/>
              </w:rPr>
              <w:t>关键施工技术及工程项目实施的重点、难点分析和解决方案</w:t>
            </w:r>
          </w:p>
        </w:tc>
        <w:tc>
          <w:tcPr>
            <w:tcW w:w="971" w:type="dxa"/>
            <w:vAlign w:val="center"/>
          </w:tcPr>
          <w:p w14:paraId="175B371C">
            <w:pPr>
              <w:widowControl/>
              <w:shd w:val="clear"/>
              <w:tabs>
                <w:tab w:val="left" w:pos="1988"/>
              </w:tabs>
              <w:jc w:val="center"/>
              <w:rPr>
                <w:rFonts w:ascii="宋体" w:hAnsi="宋体" w:cs="宋体"/>
                <w:color w:val="0000FF"/>
                <w:szCs w:val="21"/>
                <w:highlight w:val="none"/>
              </w:rPr>
            </w:pPr>
            <w:r>
              <w:rPr>
                <w:rFonts w:hint="eastAsia" w:ascii="宋体" w:hAnsi="宋体" w:cs="宋体"/>
                <w:color w:val="0000FF"/>
                <w:szCs w:val="21"/>
                <w:highlight w:val="none"/>
              </w:rPr>
              <w:t>10</w:t>
            </w:r>
          </w:p>
        </w:tc>
        <w:tc>
          <w:tcPr>
            <w:tcW w:w="4993" w:type="dxa"/>
            <w:vAlign w:val="center"/>
          </w:tcPr>
          <w:p w14:paraId="180DE24F">
            <w:pPr>
              <w:shd w:val="clear"/>
              <w:jc w:val="left"/>
              <w:rPr>
                <w:rFonts w:ascii="宋体" w:hAnsi="宋体" w:cs="宋体"/>
                <w:color w:val="0000FF"/>
                <w:szCs w:val="21"/>
                <w:highlight w:val="none"/>
              </w:rPr>
            </w:pPr>
            <w:r>
              <w:rPr>
                <w:rFonts w:hint="eastAsia" w:ascii="宋体" w:hAnsi="宋体" w:cs="宋体"/>
                <w:color w:val="0000FF"/>
                <w:szCs w:val="21"/>
                <w:highlight w:val="none"/>
              </w:rPr>
              <w:t>投标人须根据本项目的要求提供关键施工技术及工程项目实施的重点、难点分析和解决方案，包括但不限于以下内容：</w:t>
            </w:r>
          </w:p>
          <w:p w14:paraId="70B4EFEB">
            <w:pPr>
              <w:shd w:val="clear"/>
              <w:jc w:val="left"/>
              <w:rPr>
                <w:rFonts w:ascii="宋体" w:hAnsi="宋体" w:cs="宋体"/>
                <w:color w:val="0000FF"/>
                <w:szCs w:val="21"/>
                <w:highlight w:val="none"/>
              </w:rPr>
            </w:pPr>
            <w:r>
              <w:rPr>
                <w:rFonts w:hint="eastAsia" w:ascii="宋体" w:hAnsi="宋体" w:cs="宋体"/>
                <w:color w:val="0000FF"/>
                <w:szCs w:val="21"/>
                <w:highlight w:val="none"/>
              </w:rPr>
              <w:t>1.关键施工技术及工程项目实施的重点、难点分析；</w:t>
            </w:r>
          </w:p>
          <w:p w14:paraId="203B9573">
            <w:pPr>
              <w:shd w:val="clear"/>
              <w:jc w:val="left"/>
              <w:rPr>
                <w:rFonts w:ascii="宋体" w:hAnsi="宋体" w:cs="宋体"/>
                <w:color w:val="0000FF"/>
                <w:szCs w:val="21"/>
                <w:highlight w:val="none"/>
              </w:rPr>
            </w:pPr>
            <w:r>
              <w:rPr>
                <w:rFonts w:hint="eastAsia" w:ascii="宋体" w:hAnsi="宋体" w:cs="宋体"/>
                <w:color w:val="0000FF"/>
                <w:szCs w:val="21"/>
                <w:highlight w:val="none"/>
              </w:rPr>
              <w:t>2.解决方案。</w:t>
            </w:r>
          </w:p>
          <w:p w14:paraId="6A6B2A50">
            <w:pPr>
              <w:shd w:val="clear"/>
              <w:rPr>
                <w:rFonts w:ascii="宋体" w:hAnsi="宋体" w:cs="宋体"/>
                <w:color w:val="0000FF"/>
                <w:szCs w:val="21"/>
                <w:highlight w:val="none"/>
                <w:lang w:val="zh-CN"/>
              </w:rPr>
            </w:pPr>
            <w:r>
              <w:rPr>
                <w:rFonts w:hint="eastAsia" w:ascii="宋体" w:hAnsi="宋体" w:cs="宋体"/>
                <w:color w:val="0000FF"/>
                <w:szCs w:val="21"/>
                <w:highlight w:val="none"/>
                <w:lang w:val="zh-CN"/>
              </w:rPr>
              <w:t>方案每满足以上一</w:t>
            </w:r>
            <w:r>
              <w:rPr>
                <w:rFonts w:hint="eastAsia" w:ascii="宋体" w:hAnsi="宋体" w:cs="宋体"/>
                <w:color w:val="0000FF"/>
                <w:szCs w:val="21"/>
                <w:highlight w:val="none"/>
              </w:rPr>
              <w:t>项内容</w:t>
            </w:r>
            <w:r>
              <w:rPr>
                <w:rFonts w:hint="eastAsia" w:ascii="宋体" w:hAnsi="宋体" w:cs="宋体"/>
                <w:color w:val="0000FF"/>
                <w:szCs w:val="21"/>
                <w:highlight w:val="none"/>
                <w:lang w:val="zh-CN"/>
              </w:rPr>
              <w:t>的得0.5分，总分3分，其它情况或不提供的不得分，在此基础上，根据各投标人的具体响应内容进一步评审:</w:t>
            </w:r>
          </w:p>
          <w:p w14:paraId="2E89208B">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 xml:space="preserve">1.方案详细，内容全面，具体得7分。 </w:t>
            </w:r>
          </w:p>
          <w:p w14:paraId="7D1EBFC3">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 xml:space="preserve">2.方案较详细，内容较全面，具体得5分。 </w:t>
            </w:r>
          </w:p>
          <w:p w14:paraId="578F269A">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 xml:space="preserve">3.方案有缺陷，内容顺序混乱、内容不全面、具体得2分。 </w:t>
            </w:r>
          </w:p>
          <w:p w14:paraId="18C60D42">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 xml:space="preserve">4.方案有严重缺陷，内容顺序混乱，内容表述模糊得1分。 </w:t>
            </w:r>
          </w:p>
          <w:p w14:paraId="3237D612">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5.未提供对应方案的不得分。</w:t>
            </w:r>
          </w:p>
        </w:tc>
      </w:tr>
      <w:tr w14:paraId="041F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14:paraId="14929E9A">
            <w:pPr>
              <w:shd w:val="clear"/>
              <w:jc w:val="center"/>
              <w:outlineLvl w:val="2"/>
              <w:rPr>
                <w:rFonts w:ascii="宋体" w:hAnsi="宋体" w:cs="宋体"/>
                <w:color w:val="0000FF"/>
                <w:szCs w:val="21"/>
                <w:highlight w:val="none"/>
              </w:rPr>
            </w:pPr>
          </w:p>
        </w:tc>
        <w:tc>
          <w:tcPr>
            <w:tcW w:w="749" w:type="dxa"/>
            <w:vAlign w:val="center"/>
          </w:tcPr>
          <w:p w14:paraId="610816FD">
            <w:pPr>
              <w:shd w:val="clear"/>
              <w:jc w:val="center"/>
              <w:rPr>
                <w:rFonts w:ascii="宋体" w:hAnsi="宋体" w:cs="宋体"/>
                <w:color w:val="0000FF"/>
                <w:szCs w:val="21"/>
                <w:highlight w:val="none"/>
              </w:rPr>
            </w:pPr>
            <w:r>
              <w:rPr>
                <w:rFonts w:ascii="宋体" w:hAnsi="宋体" w:cs="宋体"/>
                <w:color w:val="0000FF"/>
                <w:szCs w:val="21"/>
                <w:highlight w:val="none"/>
              </w:rPr>
              <w:t>5</w:t>
            </w:r>
          </w:p>
        </w:tc>
        <w:tc>
          <w:tcPr>
            <w:tcW w:w="1790" w:type="dxa"/>
            <w:vAlign w:val="center"/>
          </w:tcPr>
          <w:p w14:paraId="3BDEEA3B">
            <w:pPr>
              <w:shd w:val="clear"/>
              <w:jc w:val="center"/>
              <w:rPr>
                <w:rFonts w:ascii="宋体" w:hAnsi="宋体" w:cs="宋体"/>
                <w:color w:val="0000FF"/>
                <w:szCs w:val="21"/>
                <w:highlight w:val="none"/>
              </w:rPr>
            </w:pPr>
            <w:r>
              <w:rPr>
                <w:rFonts w:hint="eastAsia" w:ascii="宋体" w:hAnsi="宋体" w:cs="宋体"/>
                <w:color w:val="0000FF"/>
                <w:szCs w:val="21"/>
                <w:highlight w:val="none"/>
              </w:rPr>
              <w:t>环保节能</w:t>
            </w:r>
          </w:p>
        </w:tc>
        <w:tc>
          <w:tcPr>
            <w:tcW w:w="971" w:type="dxa"/>
            <w:vAlign w:val="center"/>
          </w:tcPr>
          <w:p w14:paraId="4AD3F751">
            <w:pPr>
              <w:shd w:val="clear"/>
              <w:jc w:val="center"/>
              <w:rPr>
                <w:rFonts w:hint="eastAsia" w:ascii="宋体" w:hAnsi="宋体" w:eastAsia="宋体" w:cs="宋体"/>
                <w:color w:val="0000FF"/>
                <w:szCs w:val="21"/>
                <w:highlight w:val="none"/>
                <w:lang w:eastAsia="zh-CN"/>
              </w:rPr>
            </w:pPr>
            <w:r>
              <w:rPr>
                <w:rFonts w:hint="eastAsia" w:ascii="宋体" w:hAnsi="宋体" w:cs="宋体"/>
                <w:color w:val="0000FF"/>
                <w:szCs w:val="21"/>
                <w:highlight w:val="none"/>
                <w:lang w:val="en-US" w:eastAsia="zh-CN"/>
              </w:rPr>
              <w:t>2</w:t>
            </w:r>
          </w:p>
        </w:tc>
        <w:tc>
          <w:tcPr>
            <w:tcW w:w="4993" w:type="dxa"/>
          </w:tcPr>
          <w:p w14:paraId="65CBAC22">
            <w:pPr>
              <w:widowControl/>
              <w:shd w:val="clear"/>
              <w:rPr>
                <w:rFonts w:ascii="宋体" w:hAnsi="宋体" w:cs="宋体"/>
                <w:b/>
                <w:bCs/>
                <w:color w:val="0000FF"/>
                <w:szCs w:val="21"/>
                <w:highlight w:val="none"/>
              </w:rPr>
            </w:pPr>
            <w:r>
              <w:rPr>
                <w:rFonts w:hint="eastAsia" w:ascii="宋体" w:hAnsi="宋体" w:cs="宋体"/>
                <w:b/>
                <w:bCs/>
                <w:color w:val="0000FF"/>
                <w:szCs w:val="21"/>
                <w:highlight w:val="none"/>
              </w:rPr>
              <w:t>（一）评分内容：</w:t>
            </w:r>
          </w:p>
          <w:p w14:paraId="2C378AEE">
            <w:pPr>
              <w:widowControl/>
              <w:shd w:val="clear"/>
              <w:rPr>
                <w:rFonts w:ascii="宋体" w:hAnsi="宋体" w:cs="宋体"/>
                <w:color w:val="0000FF"/>
                <w:szCs w:val="21"/>
                <w:highlight w:val="none"/>
              </w:rPr>
            </w:pPr>
            <w:r>
              <w:rPr>
                <w:rFonts w:hint="eastAsia" w:ascii="宋体" w:hAnsi="宋体" w:cs="宋体"/>
                <w:color w:val="0000FF"/>
                <w:szCs w:val="21"/>
                <w:highlight w:val="none"/>
              </w:rPr>
              <w:t>根据《关于印发节能产品政府采购品目清单的通知》（财库〔2019〕19号）以及《关于印发环境标志产品政府采购品目清单的通知》（财库〔2019〕18号）的要求，投标人所投任一产品属于《节能产品政府采购品目清单》或《环境标志产品政府采购品目清单》范围（政府强制采购产品以外，以第三章 用户需求书 二、货物需求明细中标记</w:t>
            </w:r>
            <w:r>
              <w:rPr>
                <w:rFonts w:hint="eastAsia" w:ascii="宋体" w:hAnsi="宋体" w:cs="宋体"/>
                <w:b/>
                <w:bCs/>
                <w:color w:val="0000FF"/>
                <w:szCs w:val="21"/>
                <w:highlight w:val="none"/>
              </w:rPr>
              <w:t>“优先采购”</w:t>
            </w:r>
            <w:r>
              <w:rPr>
                <w:rFonts w:hint="eastAsia" w:ascii="宋体" w:hAnsi="宋体" w:cs="宋体"/>
                <w:color w:val="0000FF"/>
                <w:szCs w:val="21"/>
                <w:highlight w:val="none"/>
              </w:rPr>
              <w:t>的产品为准），且该产品获得依据国家确定的认证机构出具的、处于有效期之内的节能产品认证证书或环境标志产品认证证书的，得满分。</w:t>
            </w:r>
          </w:p>
          <w:p w14:paraId="58EA7170">
            <w:pPr>
              <w:widowControl/>
              <w:shd w:val="clear"/>
              <w:rPr>
                <w:rFonts w:ascii="宋体" w:hAnsi="宋体" w:cs="宋体"/>
                <w:b/>
                <w:bCs/>
                <w:color w:val="0000FF"/>
                <w:szCs w:val="21"/>
                <w:highlight w:val="none"/>
              </w:rPr>
            </w:pPr>
            <w:r>
              <w:rPr>
                <w:rFonts w:hint="eastAsia" w:ascii="宋体" w:hAnsi="宋体" w:cs="宋体"/>
                <w:b/>
                <w:bCs/>
                <w:color w:val="0000FF"/>
                <w:szCs w:val="21"/>
                <w:highlight w:val="none"/>
              </w:rPr>
              <w:t>（二）评分依据：</w:t>
            </w:r>
          </w:p>
          <w:p w14:paraId="3EAD31FA">
            <w:pPr>
              <w:widowControl/>
              <w:shd w:val="clear"/>
              <w:wordWrap w:val="0"/>
              <w:textAlignment w:val="top"/>
              <w:rPr>
                <w:rFonts w:ascii="宋体" w:hAnsi="宋体" w:cs="宋体"/>
                <w:color w:val="0000FF"/>
                <w:szCs w:val="21"/>
                <w:highlight w:val="none"/>
              </w:rPr>
            </w:pPr>
            <w:r>
              <w:rPr>
                <w:rFonts w:hint="eastAsia" w:ascii="宋体" w:hAnsi="宋体" w:cs="宋体"/>
                <w:color w:val="0000FF"/>
                <w:szCs w:val="21"/>
                <w:highlight w:val="none"/>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14:paraId="4869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548463A2">
            <w:pPr>
              <w:shd w:val="clear"/>
              <w:jc w:val="center"/>
              <w:rPr>
                <w:rFonts w:ascii="宋体" w:hAnsi="宋体" w:cs="宋体"/>
                <w:b/>
                <w:color w:val="0000FF"/>
                <w:szCs w:val="21"/>
                <w:highlight w:val="none"/>
              </w:rPr>
            </w:pPr>
            <w:r>
              <w:rPr>
                <w:rFonts w:hint="eastAsia" w:ascii="宋体" w:hAnsi="宋体" w:cs="宋体"/>
                <w:b/>
                <w:color w:val="0000FF"/>
                <w:szCs w:val="21"/>
                <w:highlight w:val="none"/>
              </w:rPr>
              <w:t>3</w:t>
            </w:r>
          </w:p>
        </w:tc>
        <w:tc>
          <w:tcPr>
            <w:tcW w:w="3510" w:type="dxa"/>
            <w:gridSpan w:val="3"/>
            <w:vAlign w:val="center"/>
          </w:tcPr>
          <w:p w14:paraId="1AECD002">
            <w:pPr>
              <w:shd w:val="clear"/>
              <w:jc w:val="center"/>
              <w:rPr>
                <w:rFonts w:ascii="宋体" w:hAnsi="宋体" w:cs="宋体"/>
                <w:b/>
                <w:color w:val="0000FF"/>
                <w:szCs w:val="21"/>
                <w:highlight w:val="none"/>
              </w:rPr>
            </w:pPr>
            <w:r>
              <w:rPr>
                <w:rFonts w:hint="eastAsia" w:ascii="宋体" w:hAnsi="宋体" w:cs="宋体"/>
                <w:b/>
                <w:color w:val="0000FF"/>
                <w:szCs w:val="21"/>
                <w:highlight w:val="none"/>
              </w:rPr>
              <w:t>商务部分</w:t>
            </w:r>
          </w:p>
        </w:tc>
        <w:tc>
          <w:tcPr>
            <w:tcW w:w="4993" w:type="dxa"/>
            <w:vAlign w:val="center"/>
          </w:tcPr>
          <w:p w14:paraId="03D62C10">
            <w:pPr>
              <w:shd w:val="clear"/>
              <w:jc w:val="center"/>
              <w:rPr>
                <w:rFonts w:hint="default" w:ascii="宋体" w:hAnsi="宋体" w:eastAsia="宋体" w:cs="宋体"/>
                <w:b/>
                <w:color w:val="0000FF"/>
                <w:szCs w:val="21"/>
                <w:highlight w:val="none"/>
                <w:lang w:val="en-US" w:eastAsia="zh-CN"/>
              </w:rPr>
            </w:pPr>
            <w:r>
              <w:rPr>
                <w:rFonts w:hint="eastAsia" w:ascii="宋体" w:hAnsi="宋体" w:cs="宋体"/>
                <w:b/>
                <w:color w:val="0000FF"/>
                <w:szCs w:val="21"/>
                <w:highlight w:val="none"/>
                <w:lang w:val="en-US" w:eastAsia="zh-CN"/>
              </w:rPr>
              <w:t>15</w:t>
            </w:r>
          </w:p>
        </w:tc>
      </w:tr>
      <w:tr w14:paraId="6942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vAlign w:val="center"/>
          </w:tcPr>
          <w:p w14:paraId="0E2CC78F">
            <w:pPr>
              <w:shd w:val="clear"/>
              <w:jc w:val="center"/>
              <w:outlineLvl w:val="0"/>
              <w:rPr>
                <w:rFonts w:ascii="宋体" w:hAnsi="宋体" w:cs="宋体"/>
                <w:color w:val="0000FF"/>
                <w:szCs w:val="21"/>
                <w:highlight w:val="none"/>
              </w:rPr>
            </w:pPr>
          </w:p>
        </w:tc>
        <w:tc>
          <w:tcPr>
            <w:tcW w:w="749" w:type="dxa"/>
            <w:vAlign w:val="center"/>
          </w:tcPr>
          <w:p w14:paraId="0A543E87">
            <w:pPr>
              <w:shd w:val="clear"/>
              <w:jc w:val="center"/>
              <w:rPr>
                <w:rFonts w:ascii="宋体" w:hAnsi="宋体" w:cs="宋体"/>
                <w:b/>
                <w:color w:val="0000FF"/>
                <w:szCs w:val="21"/>
                <w:highlight w:val="none"/>
              </w:rPr>
            </w:pPr>
            <w:r>
              <w:rPr>
                <w:rFonts w:hint="eastAsia" w:ascii="宋体" w:hAnsi="宋体" w:cs="宋体"/>
                <w:b/>
                <w:color w:val="0000FF"/>
                <w:szCs w:val="21"/>
                <w:highlight w:val="none"/>
              </w:rPr>
              <w:t>序号</w:t>
            </w:r>
          </w:p>
        </w:tc>
        <w:tc>
          <w:tcPr>
            <w:tcW w:w="1790" w:type="dxa"/>
            <w:vAlign w:val="center"/>
          </w:tcPr>
          <w:p w14:paraId="38E090C1">
            <w:pPr>
              <w:shd w:val="clear"/>
              <w:jc w:val="center"/>
              <w:rPr>
                <w:rFonts w:ascii="宋体" w:hAnsi="宋体" w:cs="宋体"/>
                <w:b/>
                <w:color w:val="0000FF"/>
                <w:szCs w:val="21"/>
                <w:highlight w:val="none"/>
              </w:rPr>
            </w:pPr>
            <w:r>
              <w:rPr>
                <w:rFonts w:hint="eastAsia" w:ascii="宋体" w:hAnsi="宋体" w:cs="宋体"/>
                <w:b/>
                <w:color w:val="0000FF"/>
                <w:szCs w:val="21"/>
                <w:highlight w:val="none"/>
              </w:rPr>
              <w:t>评分因素</w:t>
            </w:r>
          </w:p>
        </w:tc>
        <w:tc>
          <w:tcPr>
            <w:tcW w:w="971" w:type="dxa"/>
            <w:vAlign w:val="center"/>
          </w:tcPr>
          <w:p w14:paraId="0A70403A">
            <w:pPr>
              <w:shd w:val="clear"/>
              <w:jc w:val="center"/>
              <w:rPr>
                <w:rFonts w:ascii="宋体" w:hAnsi="宋体" w:cs="宋体"/>
                <w:b/>
                <w:color w:val="0000FF"/>
                <w:szCs w:val="21"/>
                <w:highlight w:val="none"/>
              </w:rPr>
            </w:pPr>
            <w:r>
              <w:rPr>
                <w:rFonts w:hint="eastAsia" w:ascii="宋体" w:hAnsi="宋体" w:cs="宋体"/>
                <w:b/>
                <w:color w:val="0000FF"/>
                <w:szCs w:val="21"/>
                <w:highlight w:val="none"/>
              </w:rPr>
              <w:t>权重</w:t>
            </w:r>
          </w:p>
        </w:tc>
        <w:tc>
          <w:tcPr>
            <w:tcW w:w="4993" w:type="dxa"/>
            <w:vAlign w:val="center"/>
          </w:tcPr>
          <w:p w14:paraId="0187C3E2">
            <w:pPr>
              <w:shd w:val="clear"/>
              <w:jc w:val="center"/>
              <w:rPr>
                <w:rFonts w:ascii="宋体" w:hAnsi="宋体" w:cs="宋体"/>
                <w:b/>
                <w:color w:val="0000FF"/>
                <w:szCs w:val="21"/>
                <w:highlight w:val="none"/>
              </w:rPr>
            </w:pPr>
            <w:r>
              <w:rPr>
                <w:rFonts w:hint="eastAsia" w:ascii="宋体" w:hAnsi="宋体" w:cs="宋体"/>
                <w:b/>
                <w:color w:val="0000FF"/>
                <w:szCs w:val="21"/>
                <w:highlight w:val="none"/>
              </w:rPr>
              <w:t>评分准则</w:t>
            </w:r>
          </w:p>
        </w:tc>
      </w:tr>
      <w:tr w14:paraId="2250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14:paraId="43161040">
            <w:pPr>
              <w:shd w:val="clear"/>
              <w:jc w:val="center"/>
              <w:outlineLvl w:val="0"/>
              <w:rPr>
                <w:rFonts w:ascii="宋体" w:hAnsi="宋体" w:cs="宋体"/>
                <w:color w:val="0000FF"/>
                <w:szCs w:val="21"/>
                <w:highlight w:val="none"/>
              </w:rPr>
            </w:pPr>
          </w:p>
        </w:tc>
        <w:tc>
          <w:tcPr>
            <w:tcW w:w="749" w:type="dxa"/>
            <w:vAlign w:val="center"/>
          </w:tcPr>
          <w:p w14:paraId="109A56B2">
            <w:pPr>
              <w:shd w:val="clear"/>
              <w:jc w:val="center"/>
              <w:rPr>
                <w:rFonts w:ascii="宋体" w:hAnsi="宋体" w:cs="宋体"/>
                <w:color w:val="0000FF"/>
                <w:szCs w:val="21"/>
                <w:highlight w:val="none"/>
              </w:rPr>
            </w:pPr>
            <w:r>
              <w:rPr>
                <w:rFonts w:hint="eastAsia" w:ascii="宋体" w:hAnsi="宋体" w:cs="宋体"/>
                <w:color w:val="0000FF"/>
                <w:szCs w:val="21"/>
                <w:highlight w:val="none"/>
              </w:rPr>
              <w:t>1</w:t>
            </w:r>
          </w:p>
        </w:tc>
        <w:tc>
          <w:tcPr>
            <w:tcW w:w="1790" w:type="dxa"/>
            <w:vAlign w:val="center"/>
          </w:tcPr>
          <w:p w14:paraId="67B7FBCA">
            <w:pPr>
              <w:widowControl/>
              <w:shd w:val="clear"/>
              <w:tabs>
                <w:tab w:val="left" w:pos="1988"/>
              </w:tabs>
              <w:jc w:val="center"/>
              <w:rPr>
                <w:rFonts w:ascii="宋体" w:hAnsi="宋体" w:cs="宋体"/>
                <w:color w:val="0000FF"/>
                <w:szCs w:val="21"/>
                <w:highlight w:val="none"/>
              </w:rPr>
            </w:pPr>
            <w:r>
              <w:rPr>
                <w:rFonts w:hint="eastAsia" w:ascii="宋体" w:hAnsi="宋体" w:cs="宋体"/>
                <w:color w:val="0000FF"/>
                <w:szCs w:val="21"/>
                <w:highlight w:val="none"/>
              </w:rPr>
              <w:t>同类项目业绩</w:t>
            </w:r>
          </w:p>
        </w:tc>
        <w:tc>
          <w:tcPr>
            <w:tcW w:w="971" w:type="dxa"/>
            <w:vAlign w:val="center"/>
          </w:tcPr>
          <w:p w14:paraId="458DB3CD">
            <w:pPr>
              <w:widowControl/>
              <w:shd w:val="clear"/>
              <w:tabs>
                <w:tab w:val="left" w:pos="1988"/>
              </w:tabs>
              <w:jc w:val="center"/>
              <w:rPr>
                <w:rFonts w:ascii="宋体" w:hAnsi="宋体" w:cs="宋体"/>
                <w:color w:val="0000FF"/>
                <w:szCs w:val="21"/>
                <w:highlight w:val="none"/>
              </w:rPr>
            </w:pPr>
            <w:r>
              <w:rPr>
                <w:rFonts w:hint="eastAsia" w:ascii="宋体" w:hAnsi="宋体" w:cs="宋体"/>
                <w:color w:val="0000FF"/>
                <w:szCs w:val="21"/>
                <w:highlight w:val="none"/>
              </w:rPr>
              <w:t>5</w:t>
            </w:r>
          </w:p>
        </w:tc>
        <w:tc>
          <w:tcPr>
            <w:tcW w:w="4993" w:type="dxa"/>
          </w:tcPr>
          <w:p w14:paraId="48075F34">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供应商自2022年1月1日至投标截止日（以合同签订时间为准）承接的同类项目业绩（至少包含医疗机构洁净室工程），每提供一项得1分，最高得5分。</w:t>
            </w:r>
          </w:p>
          <w:p w14:paraId="65E462FE">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证明文件：投标文件中需提供中标/成交通知书、中标/成交公示截图及提供施工合同（提供合同关键页，须包括项目名称、签约时间、合同标的、双方盖章签字页）、该项目工程款发票（任一笔）扫描件。</w:t>
            </w:r>
          </w:p>
          <w:p w14:paraId="17068BBB">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rPr>
              <w:t>上述所须提供资料均须加盖响应供应商公章；未提供资料或提供资料不齐全的对应项不得分。</w:t>
            </w:r>
          </w:p>
        </w:tc>
      </w:tr>
      <w:tr w14:paraId="4BF9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14:paraId="112E317C">
            <w:pPr>
              <w:shd w:val="clear"/>
              <w:jc w:val="center"/>
              <w:outlineLvl w:val="2"/>
              <w:rPr>
                <w:rFonts w:ascii="宋体" w:hAnsi="宋体" w:cs="宋体"/>
                <w:color w:val="0000FF"/>
                <w:szCs w:val="21"/>
                <w:highlight w:val="none"/>
              </w:rPr>
            </w:pPr>
          </w:p>
        </w:tc>
        <w:tc>
          <w:tcPr>
            <w:tcW w:w="749" w:type="dxa"/>
            <w:vAlign w:val="center"/>
          </w:tcPr>
          <w:p w14:paraId="1C05F8AC">
            <w:pPr>
              <w:shd w:val="clear"/>
              <w:jc w:val="center"/>
              <w:rPr>
                <w:rFonts w:ascii="宋体" w:hAnsi="宋体" w:cs="宋体"/>
                <w:color w:val="0000FF"/>
                <w:szCs w:val="21"/>
                <w:highlight w:val="none"/>
              </w:rPr>
            </w:pPr>
            <w:r>
              <w:rPr>
                <w:rFonts w:hint="eastAsia" w:ascii="宋体" w:hAnsi="宋体" w:cs="宋体"/>
                <w:color w:val="0000FF"/>
                <w:szCs w:val="21"/>
                <w:highlight w:val="none"/>
              </w:rPr>
              <w:t>2</w:t>
            </w:r>
          </w:p>
        </w:tc>
        <w:tc>
          <w:tcPr>
            <w:tcW w:w="1790" w:type="dxa"/>
            <w:vAlign w:val="center"/>
          </w:tcPr>
          <w:p w14:paraId="544800CD">
            <w:pPr>
              <w:widowControl/>
              <w:shd w:val="clear"/>
              <w:tabs>
                <w:tab w:val="left" w:pos="1988"/>
              </w:tabs>
              <w:jc w:val="center"/>
              <w:rPr>
                <w:rFonts w:ascii="宋体" w:hAnsi="宋体" w:cs="宋体"/>
                <w:color w:val="0000FF"/>
                <w:szCs w:val="21"/>
                <w:highlight w:val="none"/>
              </w:rPr>
            </w:pPr>
            <w:r>
              <w:rPr>
                <w:rFonts w:hint="eastAsia" w:ascii="宋体" w:hAnsi="宋体" w:cs="宋体"/>
                <w:color w:val="0000FF"/>
                <w:szCs w:val="21"/>
                <w:highlight w:val="none"/>
              </w:rPr>
              <w:t>供应商售后服务能力</w:t>
            </w:r>
          </w:p>
        </w:tc>
        <w:tc>
          <w:tcPr>
            <w:tcW w:w="971" w:type="dxa"/>
            <w:vAlign w:val="center"/>
          </w:tcPr>
          <w:p w14:paraId="32FE2F3C">
            <w:pPr>
              <w:widowControl/>
              <w:shd w:val="clear"/>
              <w:tabs>
                <w:tab w:val="left" w:pos="1988"/>
              </w:tabs>
              <w:jc w:val="center"/>
              <w:rPr>
                <w:rFonts w:hint="eastAsia" w:ascii="宋体" w:hAnsi="宋体" w:eastAsia="宋体" w:cs="宋体"/>
                <w:color w:val="0000FF"/>
                <w:szCs w:val="21"/>
                <w:highlight w:val="none"/>
                <w:lang w:eastAsia="zh-CN"/>
              </w:rPr>
            </w:pPr>
            <w:r>
              <w:rPr>
                <w:rFonts w:hint="eastAsia" w:ascii="宋体" w:hAnsi="宋体" w:cs="宋体"/>
                <w:color w:val="0000FF"/>
                <w:szCs w:val="21"/>
                <w:highlight w:val="none"/>
                <w:lang w:val="en-US" w:eastAsia="zh-CN"/>
              </w:rPr>
              <w:t>2</w:t>
            </w:r>
          </w:p>
        </w:tc>
        <w:tc>
          <w:tcPr>
            <w:tcW w:w="4993" w:type="dxa"/>
          </w:tcPr>
          <w:p w14:paraId="6851C663">
            <w:pPr>
              <w:widowControl/>
              <w:shd w:val="clear"/>
              <w:tabs>
                <w:tab w:val="left" w:pos="1988"/>
              </w:tabs>
              <w:jc w:val="left"/>
              <w:rPr>
                <w:rFonts w:hint="eastAsia" w:ascii="宋体" w:hAnsi="宋体" w:cs="宋体"/>
                <w:color w:val="0000FF"/>
                <w:szCs w:val="21"/>
                <w:highlight w:val="none"/>
              </w:rPr>
            </w:pPr>
            <w:r>
              <w:rPr>
                <w:rFonts w:hint="eastAsia" w:ascii="宋体" w:hAnsi="宋体" w:cs="宋体"/>
                <w:color w:val="0000FF"/>
                <w:szCs w:val="21"/>
                <w:highlight w:val="none"/>
              </w:rPr>
              <w:t>供应商售后服务团队技工人员具有市应急管理局颁发的维修电工技能类证书的，每提供1名，得1分； 本项最高得2分。</w:t>
            </w:r>
          </w:p>
          <w:p w14:paraId="11EE6690">
            <w:pPr>
              <w:widowControl/>
              <w:shd w:val="clear"/>
              <w:tabs>
                <w:tab w:val="left" w:pos="1988"/>
              </w:tabs>
              <w:jc w:val="left"/>
              <w:rPr>
                <w:rFonts w:ascii="宋体" w:hAnsi="宋体" w:cs="宋体"/>
                <w:color w:val="0000FF"/>
                <w:szCs w:val="21"/>
                <w:highlight w:val="none"/>
              </w:rPr>
            </w:pPr>
            <w:r>
              <w:rPr>
                <w:rFonts w:hint="eastAsia" w:ascii="宋体" w:hAnsi="宋体" w:cs="宋体"/>
                <w:color w:val="0000FF"/>
                <w:szCs w:val="21"/>
                <w:highlight w:val="none"/>
                <w:lang w:val="en-US" w:eastAsia="zh-CN"/>
              </w:rPr>
              <w:t>证明文件：</w:t>
            </w:r>
            <w:r>
              <w:rPr>
                <w:rFonts w:hint="eastAsia" w:ascii="宋体" w:hAnsi="宋体" w:cs="宋体"/>
                <w:color w:val="0000FF"/>
                <w:szCs w:val="21"/>
                <w:highlight w:val="none"/>
              </w:rPr>
              <w:t>提供上述人员的职业技能等级证书复印件及技能人才评价证书全国联网查询系统上的查询截图（网址以http://zscx.osta.org.cn/为准，无提供或资料不齐全的，不得分。同一人如同时具有不同类别证书或不同级别证书的，以其中最高级别的证书计算，一人多证的不累计计算，若证书数据不能在上述系统中查询，须出示相应证书颁发机构的盖章说明材料）</w:t>
            </w:r>
          </w:p>
        </w:tc>
      </w:tr>
      <w:tr w14:paraId="786E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14:paraId="7CD0AC69">
            <w:pPr>
              <w:shd w:val="clear"/>
              <w:jc w:val="center"/>
              <w:outlineLvl w:val="2"/>
              <w:rPr>
                <w:rFonts w:ascii="宋体" w:hAnsi="宋体" w:cs="宋体"/>
                <w:color w:val="0000FF"/>
                <w:szCs w:val="21"/>
                <w:highlight w:val="none"/>
              </w:rPr>
            </w:pPr>
          </w:p>
        </w:tc>
        <w:tc>
          <w:tcPr>
            <w:tcW w:w="749" w:type="dxa"/>
            <w:vAlign w:val="center"/>
          </w:tcPr>
          <w:p w14:paraId="226E18BF">
            <w:pPr>
              <w:shd w:val="clear"/>
              <w:jc w:val="center"/>
              <w:rPr>
                <w:rFonts w:hint="eastAsia" w:ascii="宋体" w:hAnsi="宋体" w:eastAsia="宋体" w:cs="宋体"/>
                <w:color w:val="0000FF"/>
                <w:szCs w:val="21"/>
                <w:highlight w:val="none"/>
                <w:lang w:val="en-US" w:eastAsia="zh-CN"/>
              </w:rPr>
            </w:pPr>
            <w:r>
              <w:rPr>
                <w:rFonts w:hint="eastAsia" w:ascii="宋体" w:hAnsi="宋体" w:cs="宋体"/>
                <w:color w:val="0000FF"/>
                <w:szCs w:val="21"/>
                <w:highlight w:val="none"/>
                <w:lang w:val="en-US" w:eastAsia="zh-CN"/>
              </w:rPr>
              <w:t>3</w:t>
            </w:r>
          </w:p>
        </w:tc>
        <w:tc>
          <w:tcPr>
            <w:tcW w:w="1790" w:type="dxa"/>
            <w:vAlign w:val="center"/>
          </w:tcPr>
          <w:p w14:paraId="240ACFAA">
            <w:pPr>
              <w:shd w:val="clear"/>
              <w:jc w:val="center"/>
              <w:rPr>
                <w:rFonts w:ascii="宋体" w:hAnsi="宋体" w:cs="宋体"/>
                <w:color w:val="0000FF"/>
                <w:szCs w:val="21"/>
                <w:highlight w:val="none"/>
              </w:rPr>
            </w:pPr>
            <w:r>
              <w:rPr>
                <w:rFonts w:hint="eastAsia" w:ascii="宋体" w:hAnsi="宋体" w:cs="宋体"/>
                <w:color w:val="0000FF"/>
                <w:szCs w:val="21"/>
                <w:highlight w:val="none"/>
              </w:rPr>
              <w:t>人员配备</w:t>
            </w:r>
          </w:p>
        </w:tc>
        <w:tc>
          <w:tcPr>
            <w:tcW w:w="971" w:type="dxa"/>
            <w:vAlign w:val="center"/>
          </w:tcPr>
          <w:p w14:paraId="38E1FAE8">
            <w:pPr>
              <w:shd w:val="clear"/>
              <w:jc w:val="center"/>
              <w:rPr>
                <w:rFonts w:hint="eastAsia" w:ascii="宋体" w:hAnsi="宋体" w:eastAsia="宋体" w:cs="宋体"/>
                <w:color w:val="0000FF"/>
                <w:szCs w:val="21"/>
                <w:highlight w:val="none"/>
                <w:lang w:eastAsia="zh-CN"/>
              </w:rPr>
            </w:pPr>
            <w:r>
              <w:rPr>
                <w:rFonts w:hint="eastAsia" w:ascii="宋体" w:hAnsi="宋体" w:cs="宋体"/>
                <w:color w:val="0000FF"/>
                <w:szCs w:val="21"/>
                <w:highlight w:val="none"/>
                <w:lang w:val="en-US" w:eastAsia="zh-CN"/>
              </w:rPr>
              <w:t>4</w:t>
            </w:r>
          </w:p>
        </w:tc>
        <w:tc>
          <w:tcPr>
            <w:tcW w:w="4993" w:type="dxa"/>
            <w:vAlign w:val="center"/>
          </w:tcPr>
          <w:p w14:paraId="25D229DE">
            <w:pPr>
              <w:shd w:val="clear"/>
              <w:jc w:val="left"/>
              <w:rPr>
                <w:rFonts w:ascii="宋体" w:hAnsi="宋体" w:cs="宋体"/>
                <w:color w:val="0000FF"/>
                <w:szCs w:val="21"/>
                <w:highlight w:val="none"/>
              </w:rPr>
            </w:pPr>
            <w:r>
              <w:rPr>
                <w:rFonts w:hint="eastAsia" w:ascii="宋体" w:hAnsi="宋体" w:cs="宋体"/>
                <w:color w:val="0000FF"/>
                <w:szCs w:val="21"/>
                <w:highlight w:val="none"/>
              </w:rPr>
              <w:t>1.项目经理（仅限一人）具备国家注册</w:t>
            </w:r>
            <w:r>
              <w:rPr>
                <w:rFonts w:hint="eastAsia" w:ascii="宋体" w:hAnsi="宋体" w:cs="宋体"/>
                <w:color w:val="0000FF"/>
                <w:szCs w:val="21"/>
                <w:highlight w:val="none"/>
                <w:lang w:val="en-US" w:eastAsia="zh-CN"/>
              </w:rPr>
              <w:t>二级及以上</w:t>
            </w:r>
            <w:r>
              <w:rPr>
                <w:rFonts w:hint="eastAsia" w:ascii="宋体" w:hAnsi="宋体" w:cs="宋体"/>
                <w:color w:val="0000FF"/>
                <w:szCs w:val="21"/>
                <w:highlight w:val="none"/>
              </w:rPr>
              <w:t>建造师和安全管理B证得2分；</w:t>
            </w:r>
          </w:p>
          <w:p w14:paraId="425C4341">
            <w:pPr>
              <w:shd w:val="clear"/>
              <w:jc w:val="left"/>
              <w:rPr>
                <w:rFonts w:ascii="宋体" w:hAnsi="宋体" w:cs="宋体"/>
                <w:color w:val="0000FF"/>
                <w:szCs w:val="21"/>
                <w:highlight w:val="none"/>
              </w:rPr>
            </w:pPr>
            <w:r>
              <w:rPr>
                <w:rFonts w:hint="eastAsia" w:ascii="宋体" w:hAnsi="宋体" w:cs="宋体"/>
                <w:color w:val="0000FF"/>
                <w:szCs w:val="21"/>
                <w:highlight w:val="none"/>
              </w:rPr>
              <w:t>2.技术负责人（仅限一人）具备</w:t>
            </w:r>
            <w:r>
              <w:rPr>
                <w:rFonts w:hint="eastAsia" w:ascii="宋体" w:hAnsi="宋体" w:cs="宋体"/>
                <w:color w:val="0000FF"/>
                <w:szCs w:val="21"/>
                <w:highlight w:val="none"/>
                <w:lang w:val="en-US" w:eastAsia="zh-CN"/>
              </w:rPr>
              <w:t>建筑类专业</w:t>
            </w:r>
            <w:r>
              <w:rPr>
                <w:rFonts w:hint="eastAsia" w:ascii="宋体" w:hAnsi="宋体" w:cs="宋体"/>
                <w:color w:val="0000FF"/>
                <w:szCs w:val="21"/>
                <w:highlight w:val="none"/>
              </w:rPr>
              <w:t>中级以上工程师得1分，否则不得分；</w:t>
            </w:r>
          </w:p>
          <w:p w14:paraId="0883111A">
            <w:pPr>
              <w:shd w:val="clear"/>
              <w:jc w:val="left"/>
              <w:rPr>
                <w:rFonts w:ascii="宋体" w:hAnsi="宋体" w:cs="宋体"/>
                <w:color w:val="0000FF"/>
                <w:szCs w:val="21"/>
                <w:highlight w:val="none"/>
              </w:rPr>
            </w:pPr>
            <w:r>
              <w:rPr>
                <w:rFonts w:hint="eastAsia" w:ascii="宋体" w:hAnsi="宋体" w:cs="宋体"/>
                <w:color w:val="0000FF"/>
                <w:szCs w:val="21"/>
                <w:highlight w:val="none"/>
              </w:rPr>
              <w:t>3.其他项目管理人员如施工员、安全员、材料员、质量员、造价员、资料员按要求配备齐全并具有岗位培训合格证书或上岗证书，得1分，少一项扣0.5分，最低0分。</w:t>
            </w:r>
          </w:p>
          <w:p w14:paraId="14C791E9">
            <w:pPr>
              <w:shd w:val="clear"/>
              <w:jc w:val="left"/>
              <w:rPr>
                <w:rFonts w:ascii="宋体" w:hAnsi="宋体" w:cs="宋体"/>
                <w:color w:val="0000FF"/>
                <w:szCs w:val="21"/>
                <w:highlight w:val="none"/>
              </w:rPr>
            </w:pPr>
            <w:r>
              <w:rPr>
                <w:rFonts w:hint="eastAsia" w:ascii="宋体" w:hAnsi="宋体" w:cs="宋体"/>
                <w:color w:val="0000FF"/>
                <w:szCs w:val="21"/>
                <w:highlight w:val="none"/>
              </w:rPr>
              <w:t>总得分最高</w:t>
            </w:r>
            <w:r>
              <w:rPr>
                <w:rFonts w:hint="eastAsia" w:ascii="宋体" w:hAnsi="宋体" w:cs="宋体"/>
                <w:color w:val="0000FF"/>
                <w:szCs w:val="21"/>
                <w:highlight w:val="none"/>
                <w:lang w:val="en-US" w:eastAsia="zh-CN"/>
              </w:rPr>
              <w:t>4</w:t>
            </w:r>
            <w:r>
              <w:rPr>
                <w:rFonts w:hint="eastAsia" w:ascii="宋体" w:hAnsi="宋体" w:cs="宋体"/>
                <w:color w:val="0000FF"/>
                <w:szCs w:val="21"/>
                <w:highlight w:val="none"/>
              </w:rPr>
              <w:t>分。</w:t>
            </w:r>
          </w:p>
          <w:p w14:paraId="214FE1AA">
            <w:pPr>
              <w:shd w:val="clear"/>
              <w:jc w:val="left"/>
              <w:rPr>
                <w:rFonts w:ascii="宋体" w:hAnsi="宋体" w:cs="宋体"/>
                <w:color w:val="0000FF"/>
                <w:szCs w:val="21"/>
                <w:highlight w:val="none"/>
              </w:rPr>
            </w:pPr>
            <w:r>
              <w:rPr>
                <w:rFonts w:hint="eastAsia" w:ascii="宋体" w:hAnsi="宋体" w:cs="宋体"/>
                <w:color w:val="0000FF"/>
                <w:szCs w:val="21"/>
                <w:highlight w:val="none"/>
              </w:rPr>
              <w:t>证明文件：以上资料要求提供须提供证书扫描件、投标人为其缴交近1个月社保（社保部门资料或网页资料或窗口打印资料均可，如社保材料因社保部门原因暂时无法取得，则可以往前顺延一个月，但须提供社保部门出具的相关有效证明材料），若投标人成立不足1个月的，需提供成立情况说明函（格式自拟），无需提供相关人员社保，亦可得分；若为退休返聘人员，需提供说明函（格式自拟），无需提供相关人员社保，亦可得分，并加盖投标人公章，原件备查；评审时出现无证明资料或评审委员无法凭所提供资料判断是否得分的情况，一律作不得分处理。</w:t>
            </w:r>
          </w:p>
        </w:tc>
      </w:tr>
      <w:tr w14:paraId="5395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14:paraId="09E3949B">
            <w:pPr>
              <w:shd w:val="clear"/>
              <w:jc w:val="center"/>
              <w:outlineLvl w:val="2"/>
              <w:rPr>
                <w:rFonts w:ascii="宋体" w:hAnsi="宋体" w:cs="宋体"/>
                <w:color w:val="0000FF"/>
                <w:szCs w:val="21"/>
                <w:highlight w:val="none"/>
              </w:rPr>
            </w:pPr>
          </w:p>
        </w:tc>
        <w:tc>
          <w:tcPr>
            <w:tcW w:w="749" w:type="dxa"/>
            <w:vAlign w:val="center"/>
          </w:tcPr>
          <w:p w14:paraId="6226FC20">
            <w:pPr>
              <w:shd w:val="clear"/>
              <w:jc w:val="center"/>
              <w:rPr>
                <w:rFonts w:hint="eastAsia" w:ascii="宋体" w:hAnsi="宋体" w:eastAsia="宋体" w:cs="宋体"/>
                <w:color w:val="0000FF"/>
                <w:szCs w:val="21"/>
                <w:highlight w:val="none"/>
                <w:lang w:val="en-US" w:eastAsia="zh-CN"/>
              </w:rPr>
            </w:pPr>
            <w:r>
              <w:rPr>
                <w:rFonts w:hint="eastAsia" w:ascii="宋体" w:hAnsi="宋体" w:cs="宋体"/>
                <w:color w:val="0000FF"/>
                <w:szCs w:val="21"/>
                <w:highlight w:val="none"/>
                <w:lang w:val="en-US" w:eastAsia="zh-CN"/>
              </w:rPr>
              <w:t>4</w:t>
            </w:r>
          </w:p>
        </w:tc>
        <w:tc>
          <w:tcPr>
            <w:tcW w:w="1790" w:type="dxa"/>
            <w:vAlign w:val="center"/>
          </w:tcPr>
          <w:p w14:paraId="0670B8D3">
            <w:pPr>
              <w:widowControl/>
              <w:shd w:val="clear"/>
              <w:tabs>
                <w:tab w:val="left" w:pos="1988"/>
              </w:tabs>
              <w:jc w:val="center"/>
              <w:rPr>
                <w:rFonts w:ascii="宋体" w:hAnsi="宋体" w:cs="宋体"/>
                <w:color w:val="0000FF"/>
                <w:szCs w:val="21"/>
                <w:highlight w:val="none"/>
              </w:rPr>
            </w:pPr>
            <w:r>
              <w:rPr>
                <w:rFonts w:hint="eastAsia" w:ascii="宋体" w:hAnsi="宋体" w:cs="宋体"/>
                <w:color w:val="0000FF"/>
                <w:szCs w:val="21"/>
                <w:highlight w:val="none"/>
              </w:rPr>
              <w:t>认证情况</w:t>
            </w:r>
          </w:p>
        </w:tc>
        <w:tc>
          <w:tcPr>
            <w:tcW w:w="971" w:type="dxa"/>
            <w:vAlign w:val="center"/>
          </w:tcPr>
          <w:p w14:paraId="40601264">
            <w:pPr>
              <w:widowControl/>
              <w:shd w:val="clear"/>
              <w:tabs>
                <w:tab w:val="left" w:pos="1988"/>
              </w:tabs>
              <w:jc w:val="center"/>
              <w:rPr>
                <w:rFonts w:hint="eastAsia" w:ascii="宋体" w:hAnsi="宋体" w:eastAsia="宋体" w:cs="宋体"/>
                <w:color w:val="0000FF"/>
                <w:szCs w:val="21"/>
                <w:highlight w:val="none"/>
                <w:lang w:eastAsia="zh-CN"/>
              </w:rPr>
            </w:pPr>
            <w:r>
              <w:rPr>
                <w:rFonts w:hint="eastAsia" w:ascii="宋体" w:hAnsi="宋体" w:cs="宋体"/>
                <w:color w:val="0000FF"/>
                <w:szCs w:val="21"/>
                <w:highlight w:val="none"/>
                <w:lang w:val="en-US" w:eastAsia="zh-CN"/>
              </w:rPr>
              <w:t>2</w:t>
            </w:r>
          </w:p>
        </w:tc>
        <w:tc>
          <w:tcPr>
            <w:tcW w:w="4993" w:type="dxa"/>
          </w:tcPr>
          <w:p w14:paraId="350834F8">
            <w:pPr>
              <w:shd w:val="clear"/>
              <w:jc w:val="left"/>
              <w:rPr>
                <w:rFonts w:ascii="宋体" w:hAnsi="宋体" w:cs="宋体"/>
                <w:color w:val="0000FF"/>
                <w:szCs w:val="21"/>
                <w:highlight w:val="none"/>
              </w:rPr>
            </w:pPr>
            <w:r>
              <w:rPr>
                <w:rFonts w:hint="eastAsia" w:ascii="宋体" w:hAnsi="宋体" w:cs="宋体"/>
                <w:color w:val="0000FF"/>
                <w:szCs w:val="21"/>
                <w:highlight w:val="none"/>
              </w:rPr>
              <w:t>投标人具有质量管理体系、环境管理体系、职业健康安全管理体系认证证书，每少一项扣1分，最低0分；</w:t>
            </w:r>
            <w:r>
              <w:rPr>
                <w:rFonts w:hint="eastAsia" w:ascii="宋体" w:hAnsi="宋体" w:cs="宋体"/>
                <w:b/>
                <w:bCs/>
                <w:color w:val="0000FF"/>
                <w:szCs w:val="21"/>
                <w:highlight w:val="none"/>
              </w:rPr>
              <w:t xml:space="preserve">涉及工程施工领域:实验室。 </w:t>
            </w:r>
          </w:p>
          <w:p w14:paraId="6AC9E430">
            <w:pPr>
              <w:shd w:val="clear"/>
              <w:jc w:val="left"/>
              <w:rPr>
                <w:rFonts w:ascii="宋体" w:hAnsi="宋体" w:cs="宋体"/>
                <w:color w:val="0000FF"/>
                <w:szCs w:val="21"/>
                <w:highlight w:val="none"/>
              </w:rPr>
            </w:pPr>
            <w:r>
              <w:rPr>
                <w:rFonts w:hint="eastAsia" w:ascii="宋体" w:hAnsi="宋体" w:cs="宋体"/>
                <w:color w:val="0000FF"/>
                <w:szCs w:val="21"/>
                <w:highlight w:val="none"/>
              </w:rPr>
              <w:t>证明文件：提供证书复印件及全国认证认可信息公共服务平台上http://cx.cnca.cn查询结果的截图，证书状态必须为“有效”，不在有效期内或提供证书不符合要求不得分。公开信息中无法查询的，响应供应商必须提供发证机构出具的证明函。 如因成立时间不满足认证时间要求且办理认证所需要合理时间不足导致未能获得认证证书的，或者因办理新证(旧证续期)所需要合理时间不足导致未能获得认证证书的，供应商提供说明文件明确以上事项，说明合理且属实的，可对应得分。</w:t>
            </w:r>
          </w:p>
        </w:tc>
      </w:tr>
      <w:tr w14:paraId="3E47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14:paraId="78CB320C">
            <w:pPr>
              <w:shd w:val="clear"/>
              <w:jc w:val="center"/>
              <w:outlineLvl w:val="2"/>
              <w:rPr>
                <w:rFonts w:ascii="宋体" w:hAnsi="宋体" w:cs="宋体"/>
                <w:color w:val="0000FF"/>
                <w:szCs w:val="21"/>
                <w:highlight w:val="none"/>
              </w:rPr>
            </w:pPr>
          </w:p>
        </w:tc>
        <w:tc>
          <w:tcPr>
            <w:tcW w:w="749" w:type="dxa"/>
            <w:vAlign w:val="center"/>
          </w:tcPr>
          <w:p w14:paraId="2F3BD6F1">
            <w:pPr>
              <w:shd w:val="clear"/>
              <w:jc w:val="center"/>
              <w:rPr>
                <w:rFonts w:hint="eastAsia" w:ascii="宋体" w:hAnsi="宋体" w:eastAsia="宋体" w:cs="宋体"/>
                <w:color w:val="0000FF"/>
                <w:szCs w:val="21"/>
                <w:highlight w:val="none"/>
                <w:lang w:val="en-US" w:eastAsia="zh-CN"/>
              </w:rPr>
            </w:pPr>
            <w:r>
              <w:rPr>
                <w:rFonts w:hint="eastAsia" w:ascii="宋体" w:hAnsi="宋体" w:cs="宋体"/>
                <w:color w:val="0000FF"/>
                <w:szCs w:val="21"/>
                <w:highlight w:val="none"/>
                <w:lang w:val="en-US" w:eastAsia="zh-CN"/>
              </w:rPr>
              <w:t>5</w:t>
            </w:r>
          </w:p>
        </w:tc>
        <w:tc>
          <w:tcPr>
            <w:tcW w:w="1790" w:type="dxa"/>
            <w:vAlign w:val="center"/>
          </w:tcPr>
          <w:p w14:paraId="77BF0593">
            <w:pPr>
              <w:shd w:val="clear"/>
              <w:jc w:val="center"/>
              <w:rPr>
                <w:rFonts w:ascii="宋体" w:hAnsi="宋体" w:cs="宋体"/>
                <w:color w:val="0000FF"/>
                <w:szCs w:val="21"/>
                <w:highlight w:val="none"/>
              </w:rPr>
            </w:pPr>
            <w:r>
              <w:rPr>
                <w:rFonts w:hint="eastAsia" w:ascii="宋体" w:hAnsi="宋体" w:cs="宋体"/>
                <w:color w:val="0000FF"/>
                <w:szCs w:val="21"/>
                <w:highlight w:val="none"/>
              </w:rPr>
              <w:t>诚信</w:t>
            </w:r>
          </w:p>
        </w:tc>
        <w:tc>
          <w:tcPr>
            <w:tcW w:w="971" w:type="dxa"/>
            <w:vAlign w:val="center"/>
          </w:tcPr>
          <w:p w14:paraId="0235BC9F">
            <w:pPr>
              <w:shd w:val="clear"/>
              <w:jc w:val="center"/>
              <w:rPr>
                <w:rFonts w:ascii="宋体" w:hAnsi="宋体" w:cs="宋体"/>
                <w:color w:val="0000FF"/>
                <w:szCs w:val="21"/>
                <w:highlight w:val="none"/>
              </w:rPr>
            </w:pPr>
            <w:r>
              <w:rPr>
                <w:rFonts w:hint="eastAsia" w:ascii="宋体" w:hAnsi="宋体" w:cs="宋体"/>
                <w:color w:val="0000FF"/>
                <w:szCs w:val="21"/>
                <w:highlight w:val="none"/>
              </w:rPr>
              <w:t>2</w:t>
            </w:r>
          </w:p>
        </w:tc>
        <w:tc>
          <w:tcPr>
            <w:tcW w:w="4993" w:type="dxa"/>
            <w:vAlign w:val="center"/>
          </w:tcPr>
          <w:p w14:paraId="7A24EFF1">
            <w:pPr>
              <w:shd w:val="clear"/>
              <w:rPr>
                <w:rFonts w:ascii="宋体" w:hAnsi="宋体" w:cs="宋体"/>
                <w:color w:val="0000FF"/>
                <w:szCs w:val="21"/>
                <w:highlight w:val="none"/>
              </w:rPr>
            </w:pPr>
            <w:r>
              <w:rPr>
                <w:rFonts w:hint="eastAsia" w:ascii="宋体" w:hAnsi="宋体" w:cs="宋体"/>
                <w:color w:val="0000FF"/>
                <w:szCs w:val="21"/>
                <w:highlight w:val="none"/>
              </w:rPr>
              <w:t>投标人存在《深圳市财政局政府采购供应商信用信息管理办法》（深财规〔2023〕3号）列明的一般行政处罚信息、一般违法失信记录信息的，本项不得分，不存在上述情形的本项得满分。投标人无需提供任何证明材料，评标过程中由工作人员向评审委员会提供有关供应商诚信查询结果。</w:t>
            </w:r>
          </w:p>
          <w:p w14:paraId="4B58FCD9">
            <w:pPr>
              <w:shd w:val="clear"/>
              <w:rPr>
                <w:rFonts w:ascii="宋体" w:hAnsi="宋体" w:cs="宋体"/>
                <w:color w:val="0000FF"/>
                <w:szCs w:val="21"/>
                <w:highlight w:val="none"/>
              </w:rPr>
            </w:pPr>
            <w:r>
              <w:rPr>
                <w:rFonts w:hint="eastAsia" w:ascii="宋体" w:hAnsi="宋体" w:cs="宋体"/>
                <w:color w:val="0000FF"/>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2C24EC6E">
      <w:pPr>
        <w:shd w:val="clear"/>
        <w:spacing w:line="440" w:lineRule="exact"/>
        <w:ind w:firstLine="422" w:firstLineChars="200"/>
        <w:rPr>
          <w:rFonts w:ascii="宋体" w:hAnsi="宋体"/>
          <w:szCs w:val="21"/>
          <w:highlight w:val="none"/>
        </w:rPr>
      </w:pPr>
      <w:r>
        <w:rPr>
          <w:rFonts w:hint="eastAsia" w:ascii="宋体" w:hAnsi="宋体"/>
          <w:b/>
          <w:szCs w:val="21"/>
          <w:highlight w:val="none"/>
        </w:rPr>
        <w:t>说明：</w:t>
      </w:r>
      <w:r>
        <w:rPr>
          <w:rFonts w:hint="eastAsia" w:ascii="宋体" w:hAnsi="宋体"/>
          <w:szCs w:val="21"/>
          <w:highlight w:val="none"/>
        </w:rPr>
        <w:t>1、本评分表中每一栏的得分最高不得超过该项评审指标的分值。2、表中要求提供相关计分证明文件的内容，投标文件中须明确加以说明，未按要求提供相关文件或说明不清楚的按不符合要求处理。</w:t>
      </w:r>
    </w:p>
    <w:p w14:paraId="5156C39A">
      <w:pPr>
        <w:shd w:val="clear"/>
        <w:spacing w:line="440" w:lineRule="exact"/>
        <w:ind w:firstLine="422" w:firstLineChars="200"/>
        <w:rPr>
          <w:rFonts w:ascii="宋体" w:hAnsi="宋体"/>
          <w:b/>
          <w:szCs w:val="21"/>
          <w:highlight w:val="none"/>
        </w:rPr>
      </w:pPr>
      <w:r>
        <w:rPr>
          <w:rFonts w:hint="eastAsia" w:ascii="宋体" w:hAnsi="宋体"/>
          <w:b/>
          <w:szCs w:val="21"/>
          <w:highlight w:val="none"/>
        </w:rPr>
        <w:t>三、评标及定标程序</w:t>
      </w:r>
    </w:p>
    <w:p w14:paraId="14CB1425">
      <w:pPr>
        <w:shd w:val="clear"/>
        <w:spacing w:line="440" w:lineRule="exact"/>
        <w:ind w:firstLine="422" w:firstLineChars="200"/>
        <w:rPr>
          <w:rFonts w:ascii="宋体" w:hAnsi="宋体"/>
          <w:b/>
          <w:szCs w:val="21"/>
          <w:highlight w:val="none"/>
        </w:rPr>
      </w:pPr>
      <w:r>
        <w:rPr>
          <w:rFonts w:hint="eastAsia" w:ascii="宋体" w:hAnsi="宋体"/>
          <w:b/>
          <w:szCs w:val="21"/>
          <w:highlight w:val="none"/>
        </w:rPr>
        <w:t>（一）授权评标委员会确定中标单位的方式</w:t>
      </w:r>
    </w:p>
    <w:p w14:paraId="3B67588F">
      <w:pPr>
        <w:pStyle w:val="11"/>
        <w:numPr>
          <w:ilvl w:val="0"/>
          <w:numId w:val="2"/>
        </w:numPr>
        <w:shd w:val="clear"/>
        <w:spacing w:line="440" w:lineRule="exact"/>
        <w:ind w:firstLineChars="0"/>
        <w:rPr>
          <w:rFonts w:ascii="宋体" w:hAnsi="宋体"/>
          <w:b/>
          <w:szCs w:val="21"/>
          <w:highlight w:val="none"/>
        </w:rPr>
      </w:pPr>
      <w:r>
        <w:rPr>
          <w:rFonts w:ascii="宋体" w:hAnsi="宋体"/>
          <w:b/>
          <w:szCs w:val="21"/>
          <w:highlight w:val="none"/>
        </w:rPr>
        <w:t>综合评分法</w:t>
      </w:r>
    </w:p>
    <w:p w14:paraId="7499F734">
      <w:pPr>
        <w:shd w:val="clear"/>
        <w:spacing w:line="440" w:lineRule="exact"/>
        <w:ind w:firstLine="422" w:firstLineChars="200"/>
        <w:rPr>
          <w:rFonts w:ascii="Calibri" w:hAnsi="Calibri"/>
          <w:b/>
          <w:szCs w:val="21"/>
          <w:highlight w:val="none"/>
        </w:rPr>
      </w:pPr>
      <w:r>
        <w:rPr>
          <w:rFonts w:hint="eastAsia" w:ascii="宋体" w:hAnsi="宋体"/>
          <w:b/>
          <w:szCs w:val="21"/>
          <w:highlight w:val="none"/>
        </w:rPr>
        <w:t>1、</w:t>
      </w:r>
      <w:r>
        <w:rPr>
          <w:rFonts w:ascii="Calibri" w:hAnsi="宋体"/>
          <w:b/>
          <w:szCs w:val="21"/>
          <w:highlight w:val="none"/>
        </w:rPr>
        <w:t>符合性检查</w:t>
      </w:r>
    </w:p>
    <w:p w14:paraId="00F49451">
      <w:pPr>
        <w:shd w:val="clear"/>
        <w:spacing w:line="440" w:lineRule="exact"/>
        <w:ind w:firstLine="420" w:firstLineChars="200"/>
        <w:rPr>
          <w:rFonts w:ascii="宋体" w:hAnsi="宋体"/>
          <w:bCs/>
          <w:szCs w:val="21"/>
          <w:highlight w:val="none"/>
        </w:rPr>
      </w:pPr>
      <w:r>
        <w:rPr>
          <w:rFonts w:hint="eastAsia" w:ascii="宋体" w:hAnsi="宋体"/>
          <w:bCs/>
          <w:szCs w:val="21"/>
          <w:highlight w:val="none"/>
        </w:rPr>
        <w:t>（1）</w:t>
      </w:r>
      <w:r>
        <w:rPr>
          <w:rFonts w:ascii="宋体" w:hAnsi="宋体"/>
          <w:bCs/>
          <w:szCs w:val="21"/>
          <w:highlight w:val="none"/>
        </w:rPr>
        <w:t>评标委员会根据</w:t>
      </w:r>
      <w:r>
        <w:rPr>
          <w:rFonts w:hint="eastAsia" w:ascii="宋体" w:hAnsi="宋体"/>
          <w:bCs/>
          <w:szCs w:val="21"/>
          <w:highlight w:val="none"/>
        </w:rPr>
        <w:t>《</w:t>
      </w:r>
      <w:r>
        <w:rPr>
          <w:rFonts w:ascii="宋体" w:hAnsi="宋体"/>
          <w:bCs/>
          <w:szCs w:val="21"/>
          <w:highlight w:val="none"/>
        </w:rPr>
        <w:t>符合性检查表》的内容和标准，对所有</w:t>
      </w:r>
      <w:r>
        <w:rPr>
          <w:rFonts w:hint="eastAsia" w:ascii="宋体" w:hAnsi="宋体"/>
          <w:bCs/>
          <w:szCs w:val="21"/>
          <w:highlight w:val="none"/>
        </w:rPr>
        <w:t>通过资格性核查的</w:t>
      </w:r>
      <w:r>
        <w:rPr>
          <w:rFonts w:ascii="宋体" w:hAnsi="宋体"/>
          <w:bCs/>
          <w:szCs w:val="21"/>
          <w:highlight w:val="none"/>
        </w:rPr>
        <w:t>投标</w:t>
      </w:r>
      <w:r>
        <w:rPr>
          <w:rFonts w:hint="eastAsia" w:ascii="宋体" w:hAnsi="宋体"/>
          <w:bCs/>
          <w:szCs w:val="21"/>
          <w:highlight w:val="none"/>
        </w:rPr>
        <w:t>文件</w:t>
      </w:r>
      <w:r>
        <w:rPr>
          <w:rFonts w:ascii="宋体" w:hAnsi="宋体"/>
          <w:bCs/>
          <w:szCs w:val="21"/>
          <w:highlight w:val="none"/>
        </w:rPr>
        <w:t>进行</w:t>
      </w:r>
      <w:r>
        <w:rPr>
          <w:rFonts w:hint="eastAsia" w:ascii="宋体" w:hAnsi="宋体"/>
          <w:bCs/>
          <w:szCs w:val="21"/>
          <w:highlight w:val="none"/>
        </w:rPr>
        <w:t>审</w:t>
      </w:r>
      <w:r>
        <w:rPr>
          <w:rFonts w:ascii="宋体" w:hAnsi="宋体"/>
          <w:bCs/>
          <w:szCs w:val="21"/>
          <w:highlight w:val="none"/>
        </w:rPr>
        <w:t>查。</w:t>
      </w:r>
    </w:p>
    <w:p w14:paraId="679EFBDB">
      <w:pPr>
        <w:shd w:val="clear"/>
        <w:spacing w:line="440" w:lineRule="exact"/>
        <w:ind w:firstLine="420" w:firstLineChars="200"/>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符合性检查的对象是投标人提交的投标文件，评标委员会只就投标文件中所载明的情况进行</w:t>
      </w:r>
      <w:r>
        <w:rPr>
          <w:rFonts w:hint="eastAsia" w:ascii="宋体" w:hAnsi="宋体"/>
          <w:bCs/>
          <w:szCs w:val="21"/>
          <w:highlight w:val="none"/>
        </w:rPr>
        <w:t>审</w:t>
      </w:r>
      <w:r>
        <w:rPr>
          <w:rFonts w:ascii="宋体" w:hAnsi="宋体"/>
          <w:bCs/>
          <w:szCs w:val="21"/>
          <w:highlight w:val="none"/>
        </w:rPr>
        <w:t>查。</w:t>
      </w:r>
    </w:p>
    <w:p w14:paraId="361E0E38">
      <w:pPr>
        <w:shd w:val="clear"/>
        <w:spacing w:line="440" w:lineRule="exact"/>
        <w:ind w:firstLine="420" w:firstLineChars="200"/>
        <w:rPr>
          <w:rFonts w:ascii="Calibri" w:hAnsi="Calibri"/>
          <w:szCs w:val="21"/>
          <w:highlight w:val="none"/>
        </w:rPr>
      </w:pPr>
      <w:r>
        <w:rPr>
          <w:rFonts w:hint="eastAsia" w:ascii="宋体" w:hAnsi="宋体"/>
          <w:bCs/>
          <w:szCs w:val="21"/>
          <w:highlight w:val="none"/>
        </w:rPr>
        <w:t>（3）</w:t>
      </w:r>
      <w:r>
        <w:rPr>
          <w:rFonts w:ascii="宋体" w:hAnsi="宋体"/>
          <w:bCs/>
          <w:szCs w:val="21"/>
          <w:highlight w:val="none"/>
        </w:rPr>
        <w:t>符</w:t>
      </w:r>
      <w:r>
        <w:rPr>
          <w:rFonts w:ascii="Calibri" w:hAnsi="宋体"/>
          <w:szCs w:val="21"/>
          <w:highlight w:val="none"/>
        </w:rPr>
        <w:t>合性检查的结果是</w:t>
      </w:r>
      <w:r>
        <w:rPr>
          <w:rFonts w:ascii="Calibri" w:hAnsi="Calibri"/>
          <w:szCs w:val="21"/>
          <w:highlight w:val="none"/>
        </w:rPr>
        <w:t>“</w:t>
      </w:r>
      <w:r>
        <w:rPr>
          <w:rFonts w:ascii="Calibri" w:hAnsi="宋体"/>
          <w:szCs w:val="21"/>
          <w:highlight w:val="none"/>
        </w:rPr>
        <w:t>通过</w:t>
      </w:r>
      <w:r>
        <w:rPr>
          <w:rFonts w:ascii="Calibri" w:hAnsi="Calibri"/>
          <w:szCs w:val="21"/>
          <w:highlight w:val="none"/>
        </w:rPr>
        <w:t>”</w:t>
      </w:r>
      <w:r>
        <w:rPr>
          <w:rFonts w:ascii="Calibri" w:hAnsi="宋体"/>
          <w:szCs w:val="21"/>
          <w:highlight w:val="none"/>
        </w:rPr>
        <w:t>或</w:t>
      </w:r>
      <w:r>
        <w:rPr>
          <w:rFonts w:ascii="Calibri" w:hAnsi="Calibri"/>
          <w:szCs w:val="21"/>
          <w:highlight w:val="none"/>
        </w:rPr>
        <w:t>“</w:t>
      </w:r>
      <w:r>
        <w:rPr>
          <w:rFonts w:ascii="Calibri" w:hAnsi="宋体"/>
          <w:szCs w:val="21"/>
          <w:highlight w:val="none"/>
        </w:rPr>
        <w:t>不通过</w:t>
      </w:r>
      <w:r>
        <w:rPr>
          <w:rFonts w:ascii="Calibri" w:hAnsi="Calibri"/>
          <w:szCs w:val="21"/>
          <w:highlight w:val="none"/>
        </w:rPr>
        <w:t>”</w:t>
      </w:r>
      <w:r>
        <w:rPr>
          <w:rFonts w:ascii="Calibri" w:hAnsi="宋体"/>
          <w:szCs w:val="21"/>
          <w:highlight w:val="none"/>
        </w:rPr>
        <w:t>，只有逐条通过</w:t>
      </w:r>
      <w:r>
        <w:rPr>
          <w:rFonts w:ascii="宋体" w:hAnsi="宋体"/>
          <w:bCs/>
          <w:szCs w:val="21"/>
          <w:highlight w:val="none"/>
        </w:rPr>
        <w:t>《符合性检查表》</w:t>
      </w:r>
      <w:r>
        <w:rPr>
          <w:rFonts w:ascii="Calibri" w:hAnsi="宋体"/>
          <w:szCs w:val="21"/>
          <w:highlight w:val="none"/>
        </w:rPr>
        <w:t>各项检查的投标方能进入下一阶段的评标，否则将导致其投标被废标。</w:t>
      </w:r>
    </w:p>
    <w:p w14:paraId="06FAF658">
      <w:pPr>
        <w:shd w:val="clear"/>
        <w:spacing w:line="440" w:lineRule="exact"/>
        <w:ind w:firstLine="422" w:firstLineChars="200"/>
        <w:rPr>
          <w:rFonts w:ascii="宋体" w:hAnsi="宋体"/>
          <w:b/>
          <w:szCs w:val="21"/>
          <w:highlight w:val="none"/>
        </w:rPr>
      </w:pPr>
      <w:r>
        <w:rPr>
          <w:rFonts w:hint="eastAsia" w:ascii="宋体" w:hAnsi="宋体"/>
          <w:b/>
          <w:szCs w:val="21"/>
          <w:highlight w:val="none"/>
        </w:rPr>
        <w:t>2、</w:t>
      </w:r>
      <w:r>
        <w:rPr>
          <w:rFonts w:ascii="宋体" w:hAnsi="宋体"/>
          <w:b/>
          <w:szCs w:val="21"/>
          <w:highlight w:val="none"/>
        </w:rPr>
        <w:t>商务</w:t>
      </w:r>
      <w:r>
        <w:rPr>
          <w:rFonts w:hint="eastAsia" w:ascii="宋体" w:hAnsi="宋体"/>
          <w:b/>
          <w:szCs w:val="21"/>
          <w:highlight w:val="none"/>
        </w:rPr>
        <w:t>、</w:t>
      </w:r>
      <w:r>
        <w:rPr>
          <w:rFonts w:ascii="宋体" w:hAnsi="宋体"/>
          <w:b/>
          <w:szCs w:val="21"/>
          <w:highlight w:val="none"/>
        </w:rPr>
        <w:t>技术及价格评议</w:t>
      </w:r>
    </w:p>
    <w:p w14:paraId="5CDF6E18">
      <w:pPr>
        <w:shd w:val="clear"/>
        <w:spacing w:line="440" w:lineRule="exact"/>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评标委员会根据《</w:t>
      </w:r>
      <w:r>
        <w:rPr>
          <w:rFonts w:hint="eastAsia" w:ascii="宋体" w:hAnsi="宋体"/>
          <w:szCs w:val="21"/>
          <w:highlight w:val="none"/>
        </w:rPr>
        <w:t>评分表</w:t>
      </w:r>
      <w:r>
        <w:rPr>
          <w:rFonts w:ascii="宋体" w:hAnsi="宋体"/>
          <w:szCs w:val="21"/>
          <w:highlight w:val="none"/>
        </w:rPr>
        <w:t>》的内容和标准，对通过</w:t>
      </w:r>
      <w:r>
        <w:rPr>
          <w:rFonts w:hint="eastAsia" w:ascii="宋体" w:hAnsi="宋体"/>
          <w:bCs/>
          <w:szCs w:val="21"/>
          <w:highlight w:val="none"/>
        </w:rPr>
        <w:t>资格性和</w:t>
      </w:r>
      <w:r>
        <w:rPr>
          <w:rFonts w:ascii="宋体" w:hAnsi="宋体"/>
          <w:bCs/>
          <w:szCs w:val="21"/>
          <w:highlight w:val="none"/>
        </w:rPr>
        <w:t>符合性</w:t>
      </w:r>
      <w:r>
        <w:rPr>
          <w:rFonts w:ascii="宋体" w:hAnsi="宋体"/>
          <w:szCs w:val="21"/>
          <w:highlight w:val="none"/>
        </w:rPr>
        <w:t>检查的投标进行商务</w:t>
      </w:r>
      <w:r>
        <w:rPr>
          <w:rFonts w:hint="eastAsia" w:ascii="宋体" w:hAnsi="宋体"/>
          <w:szCs w:val="21"/>
          <w:highlight w:val="none"/>
        </w:rPr>
        <w:t>、</w:t>
      </w:r>
      <w:r>
        <w:rPr>
          <w:rFonts w:ascii="宋体" w:hAnsi="宋体"/>
          <w:szCs w:val="21"/>
          <w:highlight w:val="none"/>
        </w:rPr>
        <w:t>技术</w:t>
      </w:r>
      <w:r>
        <w:rPr>
          <w:rFonts w:hint="eastAsia" w:ascii="宋体" w:hAnsi="宋体"/>
          <w:szCs w:val="21"/>
          <w:highlight w:val="none"/>
        </w:rPr>
        <w:t>及价格</w:t>
      </w:r>
      <w:r>
        <w:rPr>
          <w:rFonts w:ascii="宋体" w:hAnsi="宋体"/>
          <w:szCs w:val="21"/>
          <w:highlight w:val="none"/>
        </w:rPr>
        <w:t>评议。</w:t>
      </w:r>
    </w:p>
    <w:p w14:paraId="72AE396D">
      <w:pPr>
        <w:shd w:val="clear"/>
        <w:spacing w:line="440" w:lineRule="exact"/>
        <w:ind w:firstLine="420" w:firstLineChars="200"/>
        <w:rPr>
          <w:rFonts w:ascii="Calibri" w:hAnsi="Calibri"/>
          <w:szCs w:val="21"/>
          <w:highlight w:val="none"/>
        </w:rPr>
      </w:pPr>
      <w:r>
        <w:rPr>
          <w:rFonts w:hint="eastAsia" w:ascii="宋体" w:hAnsi="宋体"/>
          <w:szCs w:val="21"/>
          <w:highlight w:val="none"/>
        </w:rPr>
        <w:t>（2）</w:t>
      </w:r>
      <w:r>
        <w:rPr>
          <w:rFonts w:ascii="宋体" w:hAnsi="宋体"/>
          <w:szCs w:val="21"/>
          <w:highlight w:val="none"/>
        </w:rPr>
        <w:t>评</w:t>
      </w:r>
      <w:r>
        <w:rPr>
          <w:rFonts w:ascii="Calibri" w:hAnsi="宋体"/>
          <w:szCs w:val="21"/>
          <w:highlight w:val="none"/>
        </w:rPr>
        <w:t>标委员会将对照招标文件中的商务、技术需求条款和投标文件中的商务、技术条款响应进行评议</w:t>
      </w:r>
      <w:r>
        <w:rPr>
          <w:rFonts w:hint="eastAsia" w:ascii="Calibri" w:hAnsi="宋体"/>
          <w:szCs w:val="21"/>
          <w:highlight w:val="none"/>
        </w:rPr>
        <w:t>；</w:t>
      </w:r>
      <w:r>
        <w:rPr>
          <w:rFonts w:ascii="Calibri" w:hAnsi="宋体"/>
          <w:szCs w:val="21"/>
          <w:highlight w:val="none"/>
        </w:rPr>
        <w:t>评标委员会成员将按照《</w:t>
      </w:r>
      <w:r>
        <w:rPr>
          <w:rFonts w:hint="eastAsia" w:ascii="Calibri" w:hAnsi="宋体"/>
          <w:szCs w:val="21"/>
          <w:highlight w:val="none"/>
        </w:rPr>
        <w:t>评分表</w:t>
      </w:r>
      <w:r>
        <w:rPr>
          <w:rFonts w:ascii="Calibri" w:hAnsi="宋体"/>
          <w:szCs w:val="21"/>
          <w:highlight w:val="none"/>
        </w:rPr>
        <w:t>》确定的</w:t>
      </w:r>
      <w:r>
        <w:rPr>
          <w:rFonts w:hint="eastAsia" w:ascii="Calibri" w:hAnsi="宋体"/>
          <w:szCs w:val="21"/>
          <w:highlight w:val="none"/>
        </w:rPr>
        <w:t>分值</w:t>
      </w:r>
      <w:r>
        <w:rPr>
          <w:rFonts w:ascii="Calibri" w:hAnsi="宋体"/>
          <w:szCs w:val="21"/>
          <w:highlight w:val="none"/>
        </w:rPr>
        <w:t>独立对每个投标的商务</w:t>
      </w:r>
      <w:r>
        <w:rPr>
          <w:rFonts w:hint="eastAsia" w:ascii="Calibri" w:hAnsi="宋体"/>
          <w:szCs w:val="21"/>
          <w:highlight w:val="none"/>
        </w:rPr>
        <w:t>、</w:t>
      </w:r>
      <w:r>
        <w:rPr>
          <w:rFonts w:ascii="Calibri" w:hAnsi="宋体"/>
          <w:szCs w:val="21"/>
          <w:highlight w:val="none"/>
        </w:rPr>
        <w:t>技术</w:t>
      </w:r>
      <w:r>
        <w:rPr>
          <w:rFonts w:hint="eastAsia" w:ascii="Calibri" w:hAnsi="宋体"/>
          <w:szCs w:val="21"/>
          <w:highlight w:val="none"/>
        </w:rPr>
        <w:t>及价格</w:t>
      </w:r>
      <w:r>
        <w:rPr>
          <w:rFonts w:ascii="Calibri" w:hAnsi="宋体"/>
          <w:szCs w:val="21"/>
          <w:highlight w:val="none"/>
        </w:rPr>
        <w:t>部分以打分的方式进行评议。</w:t>
      </w:r>
    </w:p>
    <w:p w14:paraId="2707B3E4">
      <w:pPr>
        <w:shd w:val="clear"/>
        <w:spacing w:line="440" w:lineRule="exact"/>
        <w:ind w:firstLine="422" w:firstLineChars="200"/>
        <w:rPr>
          <w:rFonts w:ascii="Calibri" w:hAnsi="Calibri"/>
          <w:b/>
          <w:szCs w:val="21"/>
          <w:highlight w:val="none"/>
        </w:rPr>
      </w:pPr>
      <w:r>
        <w:rPr>
          <w:rFonts w:hint="eastAsia" w:ascii="宋体" w:hAnsi="宋体"/>
          <w:b/>
          <w:szCs w:val="21"/>
          <w:highlight w:val="none"/>
        </w:rPr>
        <w:t>3、</w:t>
      </w:r>
      <w:r>
        <w:rPr>
          <w:rFonts w:ascii="Calibri" w:hAnsi="宋体"/>
          <w:b/>
          <w:szCs w:val="21"/>
          <w:highlight w:val="none"/>
        </w:rPr>
        <w:t>中标</w:t>
      </w:r>
      <w:r>
        <w:rPr>
          <w:rFonts w:hint="eastAsia" w:ascii="Calibri" w:hAnsi="宋体"/>
          <w:b/>
          <w:szCs w:val="21"/>
          <w:highlight w:val="none"/>
        </w:rPr>
        <w:t>单位</w:t>
      </w:r>
      <w:r>
        <w:rPr>
          <w:rFonts w:ascii="Calibri" w:hAnsi="宋体"/>
          <w:b/>
          <w:szCs w:val="21"/>
          <w:highlight w:val="none"/>
        </w:rPr>
        <w:t>的确定</w:t>
      </w:r>
    </w:p>
    <w:p w14:paraId="1428A099">
      <w:pPr>
        <w:shd w:val="clear"/>
        <w:spacing w:line="440" w:lineRule="exact"/>
        <w:ind w:firstLine="422" w:firstLineChars="200"/>
        <w:rPr>
          <w:rFonts w:ascii="宋体" w:hAnsi="宋体"/>
          <w:b/>
          <w:szCs w:val="21"/>
          <w:highlight w:val="none"/>
        </w:rPr>
      </w:pPr>
      <w:r>
        <w:rPr>
          <w:rFonts w:hint="eastAsia" w:ascii="宋体" w:hAnsi="宋体"/>
          <w:b/>
          <w:szCs w:val="21"/>
          <w:highlight w:val="none"/>
        </w:rPr>
        <w:t xml:space="preserve">3.1  </w:t>
      </w:r>
      <w:r>
        <w:rPr>
          <w:rFonts w:hint="eastAsia" w:ascii="宋体" w:hAnsi="宋体"/>
          <w:b/>
          <w:bCs/>
          <w:szCs w:val="21"/>
          <w:highlight w:val="none"/>
        </w:rPr>
        <w:t>候选中标供应商推荐</w:t>
      </w:r>
    </w:p>
    <w:p w14:paraId="709B77D8">
      <w:pPr>
        <w:shd w:val="clear"/>
        <w:spacing w:line="440" w:lineRule="exact"/>
        <w:ind w:firstLine="420" w:firstLineChars="200"/>
        <w:rPr>
          <w:rFonts w:ascii="宋体" w:hAnsi="宋体"/>
          <w:bCs/>
          <w:szCs w:val="21"/>
          <w:highlight w:val="none"/>
        </w:rPr>
      </w:pPr>
      <w:r>
        <w:rPr>
          <w:rFonts w:hint="eastAsia" w:ascii="宋体" w:hAnsi="宋体"/>
          <w:bCs/>
          <w:szCs w:val="21"/>
          <w:highlight w:val="none"/>
        </w:rPr>
        <w:t>（1）每个投标单位的评标总得分以</w:t>
      </w:r>
      <w:r>
        <w:rPr>
          <w:rFonts w:hint="eastAsia" w:ascii="宋体" w:hAnsi="宋体"/>
          <w:szCs w:val="21"/>
          <w:highlight w:val="none"/>
        </w:rPr>
        <w:t>所有评标委员会成员的独立评分汇总</w:t>
      </w:r>
      <w:r>
        <w:rPr>
          <w:rFonts w:hint="eastAsia" w:ascii="宋体" w:hAnsi="宋体"/>
          <w:bCs/>
          <w:szCs w:val="21"/>
          <w:highlight w:val="none"/>
        </w:rPr>
        <w:t>后确定，</w:t>
      </w:r>
      <w:r>
        <w:rPr>
          <w:rFonts w:ascii="宋体" w:hAnsi="宋体"/>
          <w:bCs/>
          <w:szCs w:val="21"/>
          <w:highlight w:val="none"/>
        </w:rPr>
        <w:t>评标总得分相同的，按投标报价由低到高顺序排列；评标总得分且投标报价相同的，按技术指标</w:t>
      </w:r>
      <w:r>
        <w:rPr>
          <w:rFonts w:hint="eastAsia" w:ascii="宋体" w:hAnsi="宋体"/>
          <w:bCs/>
          <w:szCs w:val="21"/>
          <w:highlight w:val="none"/>
        </w:rPr>
        <w:t>（技术部分）</w:t>
      </w:r>
      <w:r>
        <w:rPr>
          <w:rFonts w:ascii="宋体" w:hAnsi="宋体"/>
          <w:bCs/>
          <w:szCs w:val="21"/>
          <w:highlight w:val="none"/>
        </w:rPr>
        <w:t>得分优劣顺序排列</w:t>
      </w:r>
      <w:r>
        <w:rPr>
          <w:rFonts w:hint="eastAsia" w:ascii="Calibri" w:hAnsi="宋体"/>
          <w:szCs w:val="21"/>
          <w:highlight w:val="none"/>
        </w:rPr>
        <w:t>；如</w:t>
      </w:r>
      <w:r>
        <w:rPr>
          <w:rFonts w:ascii="Calibri" w:hAnsi="宋体"/>
          <w:szCs w:val="21"/>
          <w:highlight w:val="none"/>
        </w:rPr>
        <w:t>技术指标</w:t>
      </w:r>
      <w:r>
        <w:rPr>
          <w:rFonts w:hint="eastAsia" w:ascii="Calibri" w:hAnsi="宋体"/>
          <w:szCs w:val="21"/>
          <w:highlight w:val="none"/>
        </w:rPr>
        <w:t>（技术部分）</w:t>
      </w:r>
      <w:r>
        <w:rPr>
          <w:rFonts w:ascii="Calibri" w:hAnsi="宋体"/>
          <w:szCs w:val="21"/>
          <w:highlight w:val="none"/>
        </w:rPr>
        <w:t>得分</w:t>
      </w:r>
      <w:r>
        <w:rPr>
          <w:rFonts w:hint="eastAsia" w:ascii="Calibri" w:hAnsi="宋体"/>
          <w:szCs w:val="21"/>
          <w:highlight w:val="none"/>
        </w:rPr>
        <w:t>仍然相同的，则采用抽签方式确定排序，</w:t>
      </w:r>
      <w:r>
        <w:rPr>
          <w:rFonts w:hint="eastAsia" w:asciiTheme="minorEastAsia" w:hAnsiTheme="minorEastAsia" w:eastAsiaTheme="minorEastAsia"/>
          <w:szCs w:val="21"/>
          <w:highlight w:val="none"/>
        </w:rPr>
        <w:t>具体操作办法及流程由评标委员会确定</w:t>
      </w:r>
      <w:r>
        <w:rPr>
          <w:rFonts w:ascii="宋体" w:hAnsi="宋体"/>
          <w:bCs/>
          <w:szCs w:val="21"/>
          <w:highlight w:val="none"/>
        </w:rPr>
        <w:t>。</w:t>
      </w:r>
    </w:p>
    <w:p w14:paraId="291BF060">
      <w:pPr>
        <w:shd w:val="clear"/>
        <w:spacing w:line="440" w:lineRule="exact"/>
        <w:ind w:firstLine="420" w:firstLineChars="200"/>
        <w:rPr>
          <w:szCs w:val="21"/>
          <w:highlight w:val="none"/>
        </w:rPr>
      </w:pPr>
      <w:r>
        <w:rPr>
          <w:rFonts w:hint="eastAsia" w:ascii="宋体" w:hAnsi="宋体"/>
          <w:bCs/>
          <w:szCs w:val="21"/>
          <w:highlight w:val="none"/>
        </w:rPr>
        <w:t>（2）评标委员会按照综合评分的排名结果推荐中标候选供应商，</w:t>
      </w:r>
      <w:r>
        <w:rPr>
          <w:rFonts w:hint="eastAsia" w:ascii="宋体" w:hAnsi="宋体"/>
          <w:szCs w:val="21"/>
          <w:highlight w:val="none"/>
        </w:rPr>
        <w:t>排名前三的投标单位</w:t>
      </w:r>
      <w:r>
        <w:rPr>
          <w:rFonts w:hint="eastAsia" w:ascii="宋体" w:hAnsi="宋体"/>
          <w:bCs/>
          <w:szCs w:val="21"/>
          <w:highlight w:val="none"/>
        </w:rPr>
        <w:t>作为推荐的候选中标供应商。</w:t>
      </w:r>
    </w:p>
    <w:p w14:paraId="1514AD9E">
      <w:pPr>
        <w:shd w:val="clear"/>
        <w:spacing w:line="440" w:lineRule="exact"/>
        <w:ind w:firstLine="422" w:firstLineChars="200"/>
        <w:rPr>
          <w:rFonts w:ascii="宋体" w:hAnsi="宋体"/>
          <w:b/>
          <w:bCs/>
          <w:szCs w:val="21"/>
          <w:highlight w:val="none"/>
        </w:rPr>
      </w:pPr>
      <w:r>
        <w:rPr>
          <w:rFonts w:hint="eastAsia" w:ascii="宋体" w:hAnsi="宋体"/>
          <w:b/>
          <w:bCs/>
          <w:szCs w:val="21"/>
          <w:highlight w:val="none"/>
        </w:rPr>
        <w:t>3.2  定标</w:t>
      </w:r>
    </w:p>
    <w:p w14:paraId="4CF6E3A5">
      <w:pPr>
        <w:shd w:val="clear"/>
        <w:spacing w:line="440" w:lineRule="exact"/>
        <w:ind w:firstLine="420" w:firstLineChars="200"/>
        <w:rPr>
          <w:rFonts w:ascii="Calibri" w:hAnsi="Calibri"/>
          <w:szCs w:val="21"/>
          <w:highlight w:val="none"/>
        </w:rPr>
      </w:pPr>
      <w:r>
        <w:rPr>
          <w:rFonts w:hint="eastAsia" w:ascii="宋体" w:hAnsi="宋体"/>
          <w:bCs/>
          <w:szCs w:val="21"/>
          <w:highlight w:val="none"/>
        </w:rPr>
        <w:t>采购方授权评标委员会确定中标单位，确定评标总得分最高且</w:t>
      </w:r>
      <w:r>
        <w:rPr>
          <w:rFonts w:ascii="宋体" w:hAnsi="宋体"/>
          <w:bCs/>
          <w:szCs w:val="21"/>
          <w:highlight w:val="none"/>
        </w:rPr>
        <w:t>排名第一</w:t>
      </w:r>
      <w:r>
        <w:rPr>
          <w:rFonts w:hint="eastAsia" w:ascii="宋体" w:hAnsi="宋体"/>
          <w:bCs/>
          <w:szCs w:val="21"/>
          <w:highlight w:val="none"/>
        </w:rPr>
        <w:t>的投标人为中标单位。</w:t>
      </w:r>
    </w:p>
    <w:p w14:paraId="43C37D22">
      <w:pPr>
        <w:pStyle w:val="11"/>
        <w:numPr>
          <w:ilvl w:val="0"/>
          <w:numId w:val="2"/>
        </w:numPr>
        <w:shd w:val="clear"/>
        <w:spacing w:line="440" w:lineRule="exact"/>
        <w:ind w:firstLineChars="0"/>
        <w:rPr>
          <w:rFonts w:ascii="宋体" w:hAnsi="宋体"/>
          <w:b/>
          <w:szCs w:val="21"/>
          <w:highlight w:val="none"/>
        </w:rPr>
      </w:pPr>
      <w:r>
        <w:rPr>
          <w:b/>
          <w:szCs w:val="21"/>
          <w:highlight w:val="none"/>
        </w:rPr>
        <w:t>最低价法</w:t>
      </w:r>
    </w:p>
    <w:p w14:paraId="35505A50">
      <w:pPr>
        <w:shd w:val="clear"/>
        <w:spacing w:line="440" w:lineRule="exact"/>
        <w:ind w:firstLine="422" w:firstLineChars="200"/>
        <w:rPr>
          <w:rFonts w:ascii="宋体" w:hAnsi="宋体"/>
          <w:b/>
          <w:szCs w:val="21"/>
          <w:highlight w:val="none"/>
        </w:rPr>
      </w:pPr>
      <w:r>
        <w:rPr>
          <w:rFonts w:hint="eastAsia" w:ascii="宋体" w:hAnsi="宋体"/>
          <w:b/>
          <w:szCs w:val="21"/>
          <w:highlight w:val="none"/>
        </w:rPr>
        <w:t>1、</w:t>
      </w:r>
      <w:r>
        <w:rPr>
          <w:rFonts w:ascii="宋体" w:hAnsi="宋体"/>
          <w:b/>
          <w:szCs w:val="21"/>
          <w:highlight w:val="none"/>
        </w:rPr>
        <w:t>符合性检查</w:t>
      </w:r>
    </w:p>
    <w:p w14:paraId="389F45AD">
      <w:pPr>
        <w:shd w:val="clear"/>
        <w:spacing w:line="440" w:lineRule="exact"/>
        <w:ind w:firstLine="420" w:firstLineChars="200"/>
        <w:rPr>
          <w:rFonts w:ascii="宋体" w:hAnsi="宋体"/>
          <w:bCs/>
          <w:szCs w:val="21"/>
          <w:highlight w:val="none"/>
        </w:rPr>
      </w:pPr>
      <w:r>
        <w:rPr>
          <w:rFonts w:hint="eastAsia" w:ascii="宋体" w:hAnsi="宋体"/>
          <w:bCs/>
          <w:szCs w:val="21"/>
          <w:highlight w:val="none"/>
        </w:rPr>
        <w:t>（1）</w:t>
      </w:r>
      <w:r>
        <w:rPr>
          <w:rFonts w:ascii="宋体" w:hAnsi="宋体"/>
          <w:bCs/>
          <w:szCs w:val="21"/>
          <w:highlight w:val="none"/>
        </w:rPr>
        <w:t>评标委员会根据</w:t>
      </w:r>
      <w:r>
        <w:rPr>
          <w:rFonts w:hint="eastAsia" w:ascii="宋体" w:hAnsi="宋体"/>
          <w:bCs/>
          <w:szCs w:val="21"/>
          <w:highlight w:val="none"/>
        </w:rPr>
        <w:t>《</w:t>
      </w:r>
      <w:r>
        <w:rPr>
          <w:rFonts w:ascii="宋体" w:hAnsi="宋体"/>
          <w:bCs/>
          <w:szCs w:val="21"/>
          <w:highlight w:val="none"/>
        </w:rPr>
        <w:t>符合性检查表》的内容和标准，对所有</w:t>
      </w:r>
      <w:r>
        <w:rPr>
          <w:rFonts w:hint="eastAsia" w:ascii="宋体" w:hAnsi="宋体"/>
          <w:bCs/>
          <w:szCs w:val="21"/>
          <w:highlight w:val="none"/>
        </w:rPr>
        <w:t>通过资格性核查的</w:t>
      </w:r>
      <w:r>
        <w:rPr>
          <w:rFonts w:ascii="宋体" w:hAnsi="宋体"/>
          <w:bCs/>
          <w:szCs w:val="21"/>
          <w:highlight w:val="none"/>
        </w:rPr>
        <w:t>投标</w:t>
      </w:r>
      <w:r>
        <w:rPr>
          <w:rFonts w:hint="eastAsia" w:ascii="宋体" w:hAnsi="宋体"/>
          <w:bCs/>
          <w:szCs w:val="21"/>
          <w:highlight w:val="none"/>
        </w:rPr>
        <w:t>文件</w:t>
      </w:r>
      <w:r>
        <w:rPr>
          <w:rFonts w:ascii="宋体" w:hAnsi="宋体"/>
          <w:bCs/>
          <w:szCs w:val="21"/>
          <w:highlight w:val="none"/>
        </w:rPr>
        <w:t>进行</w:t>
      </w:r>
      <w:r>
        <w:rPr>
          <w:rFonts w:hint="eastAsia" w:ascii="宋体" w:hAnsi="宋体"/>
          <w:bCs/>
          <w:szCs w:val="21"/>
          <w:highlight w:val="none"/>
        </w:rPr>
        <w:t>审</w:t>
      </w:r>
      <w:r>
        <w:rPr>
          <w:rFonts w:ascii="宋体" w:hAnsi="宋体"/>
          <w:bCs/>
          <w:szCs w:val="21"/>
          <w:highlight w:val="none"/>
        </w:rPr>
        <w:t>查。</w:t>
      </w:r>
    </w:p>
    <w:p w14:paraId="1B64BA65">
      <w:pPr>
        <w:shd w:val="clear"/>
        <w:spacing w:line="440" w:lineRule="exact"/>
        <w:ind w:firstLine="420" w:firstLineChars="200"/>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符合性检查的对象是投标人提交的投标文件，评标委员会只就投标文件中所载明的情况进行</w:t>
      </w:r>
      <w:r>
        <w:rPr>
          <w:rFonts w:hint="eastAsia" w:ascii="宋体" w:hAnsi="宋体"/>
          <w:bCs/>
          <w:szCs w:val="21"/>
          <w:highlight w:val="none"/>
        </w:rPr>
        <w:t>审</w:t>
      </w:r>
      <w:r>
        <w:rPr>
          <w:rFonts w:ascii="宋体" w:hAnsi="宋体"/>
          <w:bCs/>
          <w:szCs w:val="21"/>
          <w:highlight w:val="none"/>
        </w:rPr>
        <w:t>查。</w:t>
      </w:r>
    </w:p>
    <w:p w14:paraId="31C5858B">
      <w:pPr>
        <w:shd w:val="clear"/>
        <w:spacing w:line="440" w:lineRule="exact"/>
        <w:ind w:firstLine="420" w:firstLineChars="200"/>
        <w:rPr>
          <w:rFonts w:ascii="Calibri" w:hAnsi="Calibri"/>
          <w:szCs w:val="21"/>
          <w:highlight w:val="none"/>
        </w:rPr>
      </w:pPr>
      <w:r>
        <w:rPr>
          <w:rFonts w:hint="eastAsia" w:ascii="宋体" w:hAnsi="宋体"/>
          <w:bCs/>
          <w:szCs w:val="21"/>
          <w:highlight w:val="none"/>
        </w:rPr>
        <w:t>（3）</w:t>
      </w:r>
      <w:r>
        <w:rPr>
          <w:rFonts w:ascii="宋体" w:hAnsi="宋体"/>
          <w:bCs/>
          <w:szCs w:val="21"/>
          <w:highlight w:val="none"/>
        </w:rPr>
        <w:t>符</w:t>
      </w:r>
      <w:r>
        <w:rPr>
          <w:rFonts w:ascii="Calibri" w:hAnsi="宋体"/>
          <w:szCs w:val="21"/>
          <w:highlight w:val="none"/>
        </w:rPr>
        <w:t>合性检查的结果是</w:t>
      </w:r>
      <w:r>
        <w:rPr>
          <w:rFonts w:ascii="Calibri" w:hAnsi="Calibri"/>
          <w:szCs w:val="21"/>
          <w:highlight w:val="none"/>
        </w:rPr>
        <w:t>“</w:t>
      </w:r>
      <w:r>
        <w:rPr>
          <w:rFonts w:ascii="Calibri" w:hAnsi="宋体"/>
          <w:szCs w:val="21"/>
          <w:highlight w:val="none"/>
        </w:rPr>
        <w:t>通过</w:t>
      </w:r>
      <w:r>
        <w:rPr>
          <w:rFonts w:ascii="Calibri" w:hAnsi="Calibri"/>
          <w:szCs w:val="21"/>
          <w:highlight w:val="none"/>
        </w:rPr>
        <w:t>”</w:t>
      </w:r>
      <w:r>
        <w:rPr>
          <w:rFonts w:ascii="Calibri" w:hAnsi="宋体"/>
          <w:szCs w:val="21"/>
          <w:highlight w:val="none"/>
        </w:rPr>
        <w:t>或</w:t>
      </w:r>
      <w:r>
        <w:rPr>
          <w:rFonts w:ascii="Calibri" w:hAnsi="Calibri"/>
          <w:szCs w:val="21"/>
          <w:highlight w:val="none"/>
        </w:rPr>
        <w:t>“</w:t>
      </w:r>
      <w:r>
        <w:rPr>
          <w:rFonts w:ascii="Calibri" w:hAnsi="宋体"/>
          <w:szCs w:val="21"/>
          <w:highlight w:val="none"/>
        </w:rPr>
        <w:t>不通过</w:t>
      </w:r>
      <w:r>
        <w:rPr>
          <w:rFonts w:ascii="Calibri" w:hAnsi="Calibri"/>
          <w:szCs w:val="21"/>
          <w:highlight w:val="none"/>
        </w:rPr>
        <w:t>”</w:t>
      </w:r>
      <w:r>
        <w:rPr>
          <w:rFonts w:ascii="Calibri" w:hAnsi="宋体"/>
          <w:szCs w:val="21"/>
          <w:highlight w:val="none"/>
        </w:rPr>
        <w:t>，只有逐条通过</w:t>
      </w:r>
      <w:r>
        <w:rPr>
          <w:rFonts w:ascii="宋体" w:hAnsi="宋体"/>
          <w:bCs/>
          <w:szCs w:val="21"/>
          <w:highlight w:val="none"/>
        </w:rPr>
        <w:t>《符合性检查表》</w:t>
      </w:r>
      <w:r>
        <w:rPr>
          <w:rFonts w:ascii="Calibri" w:hAnsi="宋体"/>
          <w:szCs w:val="21"/>
          <w:highlight w:val="none"/>
        </w:rPr>
        <w:t>各项检查的投标方能进入下一阶段的评标，否则将导致其投标被废标。</w:t>
      </w:r>
    </w:p>
    <w:p w14:paraId="7A653B91">
      <w:pPr>
        <w:shd w:val="clear"/>
        <w:spacing w:line="440" w:lineRule="exact"/>
        <w:ind w:firstLine="422" w:firstLineChars="200"/>
        <w:rPr>
          <w:rFonts w:ascii="Calibri" w:hAnsi="Calibri"/>
          <w:b/>
          <w:szCs w:val="21"/>
          <w:highlight w:val="none"/>
        </w:rPr>
      </w:pPr>
      <w:r>
        <w:rPr>
          <w:rFonts w:hint="eastAsia" w:ascii="宋体" w:hAnsi="宋体"/>
          <w:b/>
          <w:szCs w:val="21"/>
          <w:highlight w:val="none"/>
        </w:rPr>
        <w:t>2、</w:t>
      </w:r>
      <w:r>
        <w:rPr>
          <w:rFonts w:ascii="Calibri" w:hAnsi="宋体"/>
          <w:b/>
          <w:szCs w:val="21"/>
          <w:highlight w:val="none"/>
        </w:rPr>
        <w:t>中标</w:t>
      </w:r>
      <w:r>
        <w:rPr>
          <w:rFonts w:hint="eastAsia" w:ascii="Calibri" w:hAnsi="宋体"/>
          <w:b/>
          <w:szCs w:val="21"/>
          <w:highlight w:val="none"/>
        </w:rPr>
        <w:t>单位</w:t>
      </w:r>
      <w:r>
        <w:rPr>
          <w:rFonts w:ascii="Calibri" w:hAnsi="宋体"/>
          <w:b/>
          <w:szCs w:val="21"/>
          <w:highlight w:val="none"/>
        </w:rPr>
        <w:t>的确定</w:t>
      </w:r>
    </w:p>
    <w:p w14:paraId="59780648">
      <w:pPr>
        <w:shd w:val="clear"/>
        <w:spacing w:line="440" w:lineRule="exact"/>
        <w:ind w:firstLine="422" w:firstLineChars="200"/>
        <w:rPr>
          <w:rFonts w:ascii="宋体" w:hAnsi="宋体"/>
          <w:b/>
          <w:szCs w:val="21"/>
          <w:highlight w:val="none"/>
        </w:rPr>
      </w:pPr>
      <w:r>
        <w:rPr>
          <w:rFonts w:ascii="宋体" w:hAnsi="宋体"/>
          <w:b/>
          <w:szCs w:val="21"/>
          <w:highlight w:val="none"/>
        </w:rPr>
        <w:t>2</w:t>
      </w:r>
      <w:r>
        <w:rPr>
          <w:rFonts w:hint="eastAsia" w:ascii="宋体" w:hAnsi="宋体"/>
          <w:b/>
          <w:szCs w:val="21"/>
          <w:highlight w:val="none"/>
        </w:rPr>
        <w:t xml:space="preserve">.1  </w:t>
      </w:r>
      <w:r>
        <w:rPr>
          <w:rFonts w:hint="eastAsia" w:ascii="宋体" w:hAnsi="宋体"/>
          <w:b/>
          <w:bCs/>
          <w:szCs w:val="21"/>
          <w:highlight w:val="none"/>
        </w:rPr>
        <w:t>候选中标供应商推荐</w:t>
      </w:r>
    </w:p>
    <w:p w14:paraId="0D80306F">
      <w:pPr>
        <w:shd w:val="clear"/>
        <w:spacing w:line="440" w:lineRule="exact"/>
        <w:ind w:firstLine="435"/>
        <w:rPr>
          <w:rFonts w:ascii="宋体" w:hAnsi="宋体"/>
          <w:szCs w:val="21"/>
          <w:highlight w:val="none"/>
        </w:rPr>
      </w:pPr>
      <w:r>
        <w:rPr>
          <w:rFonts w:hint="eastAsia" w:ascii="宋体" w:hAnsi="宋体"/>
          <w:szCs w:val="21"/>
          <w:highlight w:val="none"/>
        </w:rPr>
        <w:t>（1）</w:t>
      </w:r>
      <w:r>
        <w:rPr>
          <w:rFonts w:ascii="宋体" w:hAnsi="宋体"/>
          <w:szCs w:val="21"/>
          <w:highlight w:val="none"/>
        </w:rPr>
        <w:t>评标委员会对通过上述检查且最终报价不超过预算控制金额</w:t>
      </w:r>
      <w:r>
        <w:rPr>
          <w:rFonts w:hint="eastAsia" w:ascii="宋体" w:hAnsi="宋体"/>
          <w:szCs w:val="21"/>
          <w:highlight w:val="none"/>
        </w:rPr>
        <w:t>的投标单位进行审查，并</w:t>
      </w:r>
      <w:r>
        <w:rPr>
          <w:rFonts w:ascii="Calibri" w:hAnsi="宋体"/>
          <w:szCs w:val="21"/>
          <w:highlight w:val="none"/>
        </w:rPr>
        <w:t>按投标报价由低到高</w:t>
      </w:r>
      <w:r>
        <w:rPr>
          <w:rFonts w:hint="eastAsia" w:ascii="Calibri" w:hAnsi="宋体"/>
          <w:szCs w:val="21"/>
          <w:highlight w:val="none"/>
        </w:rPr>
        <w:t>排序；</w:t>
      </w:r>
      <w:r>
        <w:rPr>
          <w:rFonts w:ascii="Calibri" w:hAnsi="宋体"/>
          <w:szCs w:val="21"/>
          <w:highlight w:val="none"/>
        </w:rPr>
        <w:t>投标报价相同的，按技术指标优劣顺序排列</w:t>
      </w:r>
      <w:r>
        <w:rPr>
          <w:rFonts w:hint="eastAsia" w:ascii="Calibri" w:hAnsi="宋体"/>
          <w:szCs w:val="21"/>
          <w:highlight w:val="none"/>
        </w:rPr>
        <w:t>；技术指标仍然相同的，则采用抽签方式确定排序，</w:t>
      </w:r>
      <w:r>
        <w:rPr>
          <w:rFonts w:hint="eastAsia" w:asciiTheme="minorEastAsia" w:hAnsiTheme="minorEastAsia" w:eastAsiaTheme="minorEastAsia"/>
          <w:szCs w:val="21"/>
          <w:highlight w:val="none"/>
        </w:rPr>
        <w:t>具体操作办法及流程由评标委员会确定</w:t>
      </w:r>
      <w:r>
        <w:rPr>
          <w:rFonts w:ascii="Calibri" w:hAnsi="宋体"/>
          <w:szCs w:val="21"/>
          <w:highlight w:val="none"/>
        </w:rPr>
        <w:t>。</w:t>
      </w:r>
      <w:r>
        <w:rPr>
          <w:rFonts w:hint="eastAsia" w:ascii="宋体" w:hAnsi="宋体"/>
          <w:szCs w:val="21"/>
          <w:highlight w:val="none"/>
        </w:rPr>
        <w:t>投标人在参与政府采购活动中存在诚信相关问题且在主管部门相关处理措施实施期限内的，在该企业投标报价的基础上上浮10%后参与价格评比。投标人无需提供任何证明材料，由本项目评审委员会在评标时通过深圳市政府采购网系统查询。</w:t>
      </w:r>
    </w:p>
    <w:p w14:paraId="59F590A2">
      <w:pPr>
        <w:shd w:val="clear"/>
        <w:spacing w:line="440" w:lineRule="exact"/>
        <w:ind w:firstLine="435"/>
        <w:rPr>
          <w:rFonts w:ascii="宋体" w:hAnsi="宋体"/>
          <w:b/>
          <w:bCs/>
          <w:color w:val="FF00FF"/>
          <w:szCs w:val="21"/>
          <w:highlight w:val="none"/>
        </w:rPr>
      </w:pPr>
      <w:r>
        <w:rPr>
          <w:rFonts w:hint="eastAsia" w:ascii="宋体" w:hAnsi="宋体"/>
          <w:bCs/>
          <w:szCs w:val="21"/>
          <w:highlight w:val="none"/>
        </w:rPr>
        <w:t>（2）评标委员会按照上述投标</w:t>
      </w:r>
      <w:r>
        <w:rPr>
          <w:rFonts w:ascii="宋体" w:hAnsi="宋体"/>
          <w:bCs/>
          <w:szCs w:val="21"/>
          <w:highlight w:val="none"/>
        </w:rPr>
        <w:t>报价的</w:t>
      </w:r>
      <w:r>
        <w:rPr>
          <w:rFonts w:hint="eastAsia" w:ascii="宋体" w:hAnsi="宋体"/>
          <w:bCs/>
          <w:szCs w:val="21"/>
          <w:highlight w:val="none"/>
        </w:rPr>
        <w:t>排序结果推荐中标候选供应商，</w:t>
      </w:r>
      <w:r>
        <w:rPr>
          <w:rFonts w:hint="eastAsia" w:ascii="宋体" w:hAnsi="宋体"/>
          <w:szCs w:val="21"/>
          <w:highlight w:val="none"/>
        </w:rPr>
        <w:t>排名前三的投标单位</w:t>
      </w:r>
      <w:r>
        <w:rPr>
          <w:rFonts w:hint="eastAsia" w:ascii="宋体" w:hAnsi="宋体"/>
          <w:bCs/>
          <w:szCs w:val="21"/>
          <w:highlight w:val="none"/>
        </w:rPr>
        <w:t>作为推荐的候选中标供应商。</w:t>
      </w:r>
    </w:p>
    <w:p w14:paraId="007780A7">
      <w:pPr>
        <w:shd w:val="clear"/>
        <w:spacing w:line="440" w:lineRule="exact"/>
        <w:ind w:firstLine="435"/>
        <w:rPr>
          <w:rFonts w:ascii="宋体" w:hAnsi="宋体"/>
          <w:b/>
          <w:szCs w:val="21"/>
          <w:highlight w:val="none"/>
        </w:rPr>
      </w:pPr>
      <w:r>
        <w:rPr>
          <w:rFonts w:hint="eastAsia" w:ascii="宋体" w:hAnsi="宋体"/>
          <w:b/>
          <w:szCs w:val="21"/>
          <w:highlight w:val="none"/>
        </w:rPr>
        <w:t>2</w:t>
      </w:r>
      <w:r>
        <w:rPr>
          <w:rFonts w:ascii="宋体" w:hAnsi="宋体"/>
          <w:b/>
          <w:szCs w:val="21"/>
          <w:highlight w:val="none"/>
        </w:rPr>
        <w:t xml:space="preserve">.2  </w:t>
      </w:r>
      <w:r>
        <w:rPr>
          <w:rFonts w:hint="eastAsia" w:ascii="宋体" w:hAnsi="宋体"/>
          <w:b/>
          <w:szCs w:val="21"/>
          <w:highlight w:val="none"/>
        </w:rPr>
        <w:t>定标</w:t>
      </w:r>
    </w:p>
    <w:p w14:paraId="4B38E3CF">
      <w:pPr>
        <w:shd w:val="clear"/>
        <w:spacing w:line="440" w:lineRule="exact"/>
        <w:ind w:firstLine="435"/>
        <w:rPr>
          <w:rFonts w:ascii="宋体" w:hAnsi="宋体"/>
          <w:szCs w:val="21"/>
          <w:highlight w:val="none"/>
        </w:rPr>
      </w:pPr>
      <w:r>
        <w:rPr>
          <w:rFonts w:ascii="宋体" w:hAnsi="宋体"/>
          <w:szCs w:val="21"/>
          <w:highlight w:val="none"/>
        </w:rPr>
        <w:t>采购方授权评标委员会确定中标单位，</w:t>
      </w:r>
      <w:r>
        <w:rPr>
          <w:rFonts w:hint="eastAsia" w:ascii="宋体" w:hAnsi="宋体"/>
          <w:szCs w:val="21"/>
          <w:highlight w:val="none"/>
        </w:rPr>
        <w:t>确定</w:t>
      </w:r>
      <w:r>
        <w:rPr>
          <w:rFonts w:ascii="宋体" w:hAnsi="宋体"/>
          <w:szCs w:val="21"/>
          <w:highlight w:val="none"/>
        </w:rPr>
        <w:t>投标</w:t>
      </w:r>
      <w:r>
        <w:rPr>
          <w:rFonts w:hint="eastAsia" w:ascii="宋体" w:hAnsi="宋体"/>
          <w:szCs w:val="21"/>
          <w:highlight w:val="none"/>
        </w:rPr>
        <w:t>报价</w:t>
      </w:r>
      <w:r>
        <w:rPr>
          <w:rFonts w:ascii="宋体" w:hAnsi="宋体"/>
          <w:szCs w:val="21"/>
          <w:highlight w:val="none"/>
        </w:rPr>
        <w:t>最低</w:t>
      </w:r>
      <w:r>
        <w:rPr>
          <w:rFonts w:hint="eastAsia" w:ascii="宋体" w:hAnsi="宋体"/>
          <w:szCs w:val="21"/>
          <w:highlight w:val="none"/>
        </w:rPr>
        <w:t>且</w:t>
      </w:r>
      <w:r>
        <w:rPr>
          <w:rFonts w:ascii="宋体" w:hAnsi="宋体"/>
          <w:szCs w:val="21"/>
          <w:highlight w:val="none"/>
        </w:rPr>
        <w:t>排名第一的投标供应商为中标</w:t>
      </w:r>
      <w:r>
        <w:rPr>
          <w:rFonts w:hint="eastAsia" w:ascii="宋体" w:hAnsi="宋体"/>
          <w:szCs w:val="21"/>
          <w:highlight w:val="none"/>
        </w:rPr>
        <w:t>单位。</w:t>
      </w:r>
    </w:p>
    <w:p w14:paraId="01415DF4">
      <w:pPr>
        <w:shd w:val="clear"/>
        <w:spacing w:line="440" w:lineRule="exact"/>
        <w:ind w:firstLine="422" w:firstLineChars="200"/>
        <w:rPr>
          <w:b/>
          <w:highlight w:val="none"/>
        </w:rPr>
      </w:pPr>
      <w:r>
        <w:rPr>
          <w:rFonts w:hint="eastAsia"/>
          <w:b/>
          <w:highlight w:val="none"/>
        </w:rPr>
        <w:t>（二）评标和定标分离的方式</w:t>
      </w:r>
    </w:p>
    <w:p w14:paraId="5450B651">
      <w:pPr>
        <w:shd w:val="clear"/>
        <w:spacing w:line="440" w:lineRule="exact"/>
        <w:ind w:firstLine="422" w:firstLineChars="200"/>
        <w:rPr>
          <w:rFonts w:ascii="宋体" w:hAnsi="宋体"/>
          <w:b/>
          <w:szCs w:val="21"/>
          <w:highlight w:val="none"/>
        </w:rPr>
      </w:pPr>
      <w:r>
        <w:rPr>
          <w:rFonts w:hint="eastAsia" w:ascii="宋体" w:hAnsi="宋体"/>
          <w:b/>
          <w:szCs w:val="21"/>
          <w:highlight w:val="none"/>
        </w:rPr>
        <w:t>1、</w:t>
      </w:r>
      <w:r>
        <w:rPr>
          <w:rFonts w:ascii="宋体" w:hAnsi="宋体"/>
          <w:b/>
          <w:szCs w:val="21"/>
          <w:highlight w:val="none"/>
        </w:rPr>
        <w:t>符合性检查</w:t>
      </w:r>
    </w:p>
    <w:p w14:paraId="44604F25">
      <w:pPr>
        <w:shd w:val="clear"/>
        <w:spacing w:line="440" w:lineRule="exact"/>
        <w:ind w:firstLine="420" w:firstLineChars="200"/>
        <w:rPr>
          <w:rFonts w:ascii="宋体" w:hAnsi="宋体"/>
          <w:bCs/>
          <w:szCs w:val="21"/>
          <w:highlight w:val="none"/>
        </w:rPr>
      </w:pPr>
      <w:r>
        <w:rPr>
          <w:rFonts w:hint="eastAsia" w:ascii="宋体" w:hAnsi="宋体"/>
          <w:bCs/>
          <w:szCs w:val="21"/>
          <w:highlight w:val="none"/>
        </w:rPr>
        <w:t>（1）</w:t>
      </w:r>
      <w:r>
        <w:rPr>
          <w:rFonts w:ascii="宋体" w:hAnsi="宋体"/>
          <w:bCs/>
          <w:szCs w:val="21"/>
          <w:highlight w:val="none"/>
        </w:rPr>
        <w:t>评标委员会根据</w:t>
      </w:r>
      <w:r>
        <w:rPr>
          <w:rFonts w:hint="eastAsia" w:ascii="宋体" w:hAnsi="宋体"/>
          <w:bCs/>
          <w:szCs w:val="21"/>
          <w:highlight w:val="none"/>
        </w:rPr>
        <w:t>《</w:t>
      </w:r>
      <w:r>
        <w:rPr>
          <w:rFonts w:ascii="宋体" w:hAnsi="宋体"/>
          <w:bCs/>
          <w:szCs w:val="21"/>
          <w:highlight w:val="none"/>
        </w:rPr>
        <w:t>符合性检查表》的内容和标准，对所有</w:t>
      </w:r>
      <w:r>
        <w:rPr>
          <w:rFonts w:hint="eastAsia" w:ascii="宋体" w:hAnsi="宋体"/>
          <w:bCs/>
          <w:szCs w:val="21"/>
          <w:highlight w:val="none"/>
        </w:rPr>
        <w:t>通过资格性核查的</w:t>
      </w:r>
      <w:r>
        <w:rPr>
          <w:rFonts w:ascii="宋体" w:hAnsi="宋体"/>
          <w:bCs/>
          <w:szCs w:val="21"/>
          <w:highlight w:val="none"/>
        </w:rPr>
        <w:t>投标</w:t>
      </w:r>
      <w:r>
        <w:rPr>
          <w:rFonts w:hint="eastAsia" w:ascii="宋体" w:hAnsi="宋体"/>
          <w:bCs/>
          <w:szCs w:val="21"/>
          <w:highlight w:val="none"/>
        </w:rPr>
        <w:t>文件</w:t>
      </w:r>
      <w:r>
        <w:rPr>
          <w:rFonts w:ascii="宋体" w:hAnsi="宋体"/>
          <w:bCs/>
          <w:szCs w:val="21"/>
          <w:highlight w:val="none"/>
        </w:rPr>
        <w:t>进行</w:t>
      </w:r>
      <w:r>
        <w:rPr>
          <w:rFonts w:hint="eastAsia" w:ascii="宋体" w:hAnsi="宋体"/>
          <w:bCs/>
          <w:szCs w:val="21"/>
          <w:highlight w:val="none"/>
        </w:rPr>
        <w:t>审</w:t>
      </w:r>
      <w:r>
        <w:rPr>
          <w:rFonts w:ascii="宋体" w:hAnsi="宋体"/>
          <w:bCs/>
          <w:szCs w:val="21"/>
          <w:highlight w:val="none"/>
        </w:rPr>
        <w:t>查。</w:t>
      </w:r>
    </w:p>
    <w:p w14:paraId="06C5C9C1">
      <w:pPr>
        <w:shd w:val="clear"/>
        <w:spacing w:line="440" w:lineRule="exact"/>
        <w:ind w:firstLine="420" w:firstLineChars="200"/>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符合性检查的对象是投标人提交的投标文件，评标委员会只就投标文件中所载明的情况进行</w:t>
      </w:r>
      <w:r>
        <w:rPr>
          <w:rFonts w:hint="eastAsia" w:ascii="宋体" w:hAnsi="宋体"/>
          <w:bCs/>
          <w:szCs w:val="21"/>
          <w:highlight w:val="none"/>
        </w:rPr>
        <w:t>审</w:t>
      </w:r>
      <w:r>
        <w:rPr>
          <w:rFonts w:ascii="宋体" w:hAnsi="宋体"/>
          <w:bCs/>
          <w:szCs w:val="21"/>
          <w:highlight w:val="none"/>
        </w:rPr>
        <w:t>查。</w:t>
      </w:r>
    </w:p>
    <w:p w14:paraId="17F4F826">
      <w:pPr>
        <w:shd w:val="clear"/>
        <w:spacing w:line="440" w:lineRule="exact"/>
        <w:ind w:firstLine="420" w:firstLineChars="200"/>
        <w:rPr>
          <w:rFonts w:ascii="Calibri" w:hAnsi="Calibri"/>
          <w:szCs w:val="21"/>
          <w:highlight w:val="none"/>
        </w:rPr>
      </w:pPr>
      <w:r>
        <w:rPr>
          <w:rFonts w:hint="eastAsia" w:ascii="宋体" w:hAnsi="宋体"/>
          <w:bCs/>
          <w:szCs w:val="21"/>
          <w:highlight w:val="none"/>
        </w:rPr>
        <w:t>（3）</w:t>
      </w:r>
      <w:r>
        <w:rPr>
          <w:rFonts w:ascii="宋体" w:hAnsi="宋体"/>
          <w:bCs/>
          <w:szCs w:val="21"/>
          <w:highlight w:val="none"/>
        </w:rPr>
        <w:t>符</w:t>
      </w:r>
      <w:r>
        <w:rPr>
          <w:rFonts w:ascii="Calibri" w:hAnsi="宋体"/>
          <w:szCs w:val="21"/>
          <w:highlight w:val="none"/>
        </w:rPr>
        <w:t>合性检查的结果是</w:t>
      </w:r>
      <w:r>
        <w:rPr>
          <w:rFonts w:ascii="Calibri" w:hAnsi="Calibri"/>
          <w:szCs w:val="21"/>
          <w:highlight w:val="none"/>
        </w:rPr>
        <w:t>“</w:t>
      </w:r>
      <w:r>
        <w:rPr>
          <w:rFonts w:ascii="Calibri" w:hAnsi="宋体"/>
          <w:szCs w:val="21"/>
          <w:highlight w:val="none"/>
        </w:rPr>
        <w:t>通过</w:t>
      </w:r>
      <w:r>
        <w:rPr>
          <w:rFonts w:ascii="Calibri" w:hAnsi="Calibri"/>
          <w:szCs w:val="21"/>
          <w:highlight w:val="none"/>
        </w:rPr>
        <w:t>”</w:t>
      </w:r>
      <w:r>
        <w:rPr>
          <w:rFonts w:ascii="Calibri" w:hAnsi="宋体"/>
          <w:szCs w:val="21"/>
          <w:highlight w:val="none"/>
        </w:rPr>
        <w:t>或</w:t>
      </w:r>
      <w:r>
        <w:rPr>
          <w:rFonts w:ascii="Calibri" w:hAnsi="Calibri"/>
          <w:szCs w:val="21"/>
          <w:highlight w:val="none"/>
        </w:rPr>
        <w:t>“</w:t>
      </w:r>
      <w:r>
        <w:rPr>
          <w:rFonts w:ascii="Calibri" w:hAnsi="宋体"/>
          <w:szCs w:val="21"/>
          <w:highlight w:val="none"/>
        </w:rPr>
        <w:t>不通过</w:t>
      </w:r>
      <w:r>
        <w:rPr>
          <w:rFonts w:ascii="Calibri" w:hAnsi="Calibri"/>
          <w:szCs w:val="21"/>
          <w:highlight w:val="none"/>
        </w:rPr>
        <w:t>”</w:t>
      </w:r>
      <w:r>
        <w:rPr>
          <w:rFonts w:ascii="Calibri" w:hAnsi="宋体"/>
          <w:szCs w:val="21"/>
          <w:highlight w:val="none"/>
        </w:rPr>
        <w:t>，只有逐条通过</w:t>
      </w:r>
      <w:r>
        <w:rPr>
          <w:rFonts w:ascii="宋体" w:hAnsi="宋体"/>
          <w:bCs/>
          <w:szCs w:val="21"/>
          <w:highlight w:val="none"/>
        </w:rPr>
        <w:t>《符合性检查表》</w:t>
      </w:r>
      <w:r>
        <w:rPr>
          <w:rFonts w:ascii="Calibri" w:hAnsi="宋体"/>
          <w:szCs w:val="21"/>
          <w:highlight w:val="none"/>
        </w:rPr>
        <w:t>各项检查的投标方能进入下一阶段的评标，否则将导致其投标被废标。</w:t>
      </w:r>
    </w:p>
    <w:p w14:paraId="60050CB5">
      <w:pPr>
        <w:shd w:val="clear"/>
        <w:spacing w:line="440" w:lineRule="exact"/>
        <w:ind w:firstLine="422" w:firstLineChars="200"/>
        <w:rPr>
          <w:rFonts w:ascii="宋体" w:hAnsi="宋体"/>
          <w:b/>
          <w:szCs w:val="21"/>
          <w:highlight w:val="none"/>
        </w:rPr>
      </w:pPr>
      <w:r>
        <w:rPr>
          <w:rFonts w:hint="eastAsia" w:ascii="宋体" w:hAnsi="宋体"/>
          <w:b/>
          <w:szCs w:val="21"/>
          <w:highlight w:val="none"/>
        </w:rPr>
        <w:t>2、</w:t>
      </w:r>
      <w:r>
        <w:rPr>
          <w:rFonts w:ascii="宋体" w:hAnsi="宋体"/>
          <w:b/>
          <w:szCs w:val="21"/>
          <w:highlight w:val="none"/>
        </w:rPr>
        <w:t>商务</w:t>
      </w:r>
      <w:r>
        <w:rPr>
          <w:rFonts w:hint="eastAsia" w:ascii="宋体" w:hAnsi="宋体"/>
          <w:b/>
          <w:szCs w:val="21"/>
          <w:highlight w:val="none"/>
        </w:rPr>
        <w:t>、</w:t>
      </w:r>
      <w:r>
        <w:rPr>
          <w:rFonts w:ascii="宋体" w:hAnsi="宋体"/>
          <w:b/>
          <w:szCs w:val="21"/>
          <w:highlight w:val="none"/>
        </w:rPr>
        <w:t>技术及价格评议</w:t>
      </w:r>
    </w:p>
    <w:p w14:paraId="738B173F">
      <w:pPr>
        <w:shd w:val="clear"/>
        <w:spacing w:line="440" w:lineRule="exact"/>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评标委员会根据《</w:t>
      </w:r>
      <w:r>
        <w:rPr>
          <w:rFonts w:hint="eastAsia" w:ascii="宋体" w:hAnsi="宋体"/>
          <w:szCs w:val="21"/>
          <w:highlight w:val="none"/>
        </w:rPr>
        <w:t>评分表</w:t>
      </w:r>
      <w:r>
        <w:rPr>
          <w:rFonts w:ascii="宋体" w:hAnsi="宋体"/>
          <w:szCs w:val="21"/>
          <w:highlight w:val="none"/>
        </w:rPr>
        <w:t>》的内容和标准，对通过</w:t>
      </w:r>
      <w:r>
        <w:rPr>
          <w:rFonts w:hint="eastAsia" w:ascii="宋体" w:hAnsi="宋体"/>
          <w:bCs/>
          <w:szCs w:val="21"/>
          <w:highlight w:val="none"/>
        </w:rPr>
        <w:t>资格性和</w:t>
      </w:r>
      <w:r>
        <w:rPr>
          <w:rFonts w:ascii="宋体" w:hAnsi="宋体"/>
          <w:bCs/>
          <w:szCs w:val="21"/>
          <w:highlight w:val="none"/>
        </w:rPr>
        <w:t>符合性</w:t>
      </w:r>
      <w:r>
        <w:rPr>
          <w:rFonts w:ascii="宋体" w:hAnsi="宋体"/>
          <w:szCs w:val="21"/>
          <w:highlight w:val="none"/>
        </w:rPr>
        <w:t>检查的投标进行商务</w:t>
      </w:r>
      <w:r>
        <w:rPr>
          <w:rFonts w:hint="eastAsia" w:ascii="宋体" w:hAnsi="宋体"/>
          <w:szCs w:val="21"/>
          <w:highlight w:val="none"/>
        </w:rPr>
        <w:t>、</w:t>
      </w:r>
      <w:r>
        <w:rPr>
          <w:rFonts w:ascii="宋体" w:hAnsi="宋体"/>
          <w:szCs w:val="21"/>
          <w:highlight w:val="none"/>
        </w:rPr>
        <w:t>技术</w:t>
      </w:r>
      <w:r>
        <w:rPr>
          <w:rFonts w:hint="eastAsia" w:ascii="宋体" w:hAnsi="宋体"/>
          <w:szCs w:val="21"/>
          <w:highlight w:val="none"/>
        </w:rPr>
        <w:t>及价格</w:t>
      </w:r>
      <w:r>
        <w:rPr>
          <w:rFonts w:ascii="宋体" w:hAnsi="宋体"/>
          <w:szCs w:val="21"/>
          <w:highlight w:val="none"/>
        </w:rPr>
        <w:t>评议。</w:t>
      </w:r>
    </w:p>
    <w:p w14:paraId="7482E4C2">
      <w:pPr>
        <w:shd w:val="clear"/>
        <w:spacing w:line="440" w:lineRule="exact"/>
        <w:ind w:firstLine="420" w:firstLineChars="200"/>
        <w:rPr>
          <w:rFonts w:ascii="Calibri" w:hAnsi="Calibri"/>
          <w:szCs w:val="21"/>
          <w:highlight w:val="none"/>
        </w:rPr>
      </w:pPr>
      <w:r>
        <w:rPr>
          <w:rFonts w:hint="eastAsia" w:ascii="宋体" w:hAnsi="宋体"/>
          <w:szCs w:val="21"/>
          <w:highlight w:val="none"/>
        </w:rPr>
        <w:t>（2）</w:t>
      </w:r>
      <w:r>
        <w:rPr>
          <w:rFonts w:ascii="宋体" w:hAnsi="宋体"/>
          <w:szCs w:val="21"/>
          <w:highlight w:val="none"/>
        </w:rPr>
        <w:t>评</w:t>
      </w:r>
      <w:r>
        <w:rPr>
          <w:rFonts w:ascii="Calibri" w:hAnsi="宋体"/>
          <w:szCs w:val="21"/>
          <w:highlight w:val="none"/>
        </w:rPr>
        <w:t>标委员会将对照招标文件中的商务、技术需求条款和投标文件中的商务、技术条款响应进行评议</w:t>
      </w:r>
      <w:r>
        <w:rPr>
          <w:rFonts w:hint="eastAsia" w:ascii="Calibri" w:hAnsi="宋体"/>
          <w:szCs w:val="21"/>
          <w:highlight w:val="none"/>
        </w:rPr>
        <w:t>；</w:t>
      </w:r>
      <w:r>
        <w:rPr>
          <w:rFonts w:ascii="Calibri" w:hAnsi="宋体"/>
          <w:szCs w:val="21"/>
          <w:highlight w:val="none"/>
        </w:rPr>
        <w:t>评标委员会成员将按照《</w:t>
      </w:r>
      <w:r>
        <w:rPr>
          <w:rFonts w:hint="eastAsia" w:ascii="Calibri" w:hAnsi="宋体"/>
          <w:szCs w:val="21"/>
          <w:highlight w:val="none"/>
        </w:rPr>
        <w:t>评分表</w:t>
      </w:r>
      <w:r>
        <w:rPr>
          <w:rFonts w:ascii="Calibri" w:hAnsi="宋体"/>
          <w:szCs w:val="21"/>
          <w:highlight w:val="none"/>
        </w:rPr>
        <w:t>》确定的</w:t>
      </w:r>
      <w:r>
        <w:rPr>
          <w:rFonts w:hint="eastAsia" w:ascii="Calibri" w:hAnsi="宋体"/>
          <w:szCs w:val="21"/>
          <w:highlight w:val="none"/>
        </w:rPr>
        <w:t>分值</w:t>
      </w:r>
      <w:r>
        <w:rPr>
          <w:rFonts w:ascii="Calibri" w:hAnsi="宋体"/>
          <w:szCs w:val="21"/>
          <w:highlight w:val="none"/>
        </w:rPr>
        <w:t>独立对每个投标的商务</w:t>
      </w:r>
      <w:r>
        <w:rPr>
          <w:rFonts w:hint="eastAsia" w:ascii="Calibri" w:hAnsi="宋体"/>
          <w:szCs w:val="21"/>
          <w:highlight w:val="none"/>
        </w:rPr>
        <w:t>、</w:t>
      </w:r>
      <w:r>
        <w:rPr>
          <w:rFonts w:ascii="Calibri" w:hAnsi="宋体"/>
          <w:szCs w:val="21"/>
          <w:highlight w:val="none"/>
        </w:rPr>
        <w:t>技术</w:t>
      </w:r>
      <w:r>
        <w:rPr>
          <w:rFonts w:hint="eastAsia" w:ascii="Calibri" w:hAnsi="宋体"/>
          <w:szCs w:val="21"/>
          <w:highlight w:val="none"/>
        </w:rPr>
        <w:t>及价格</w:t>
      </w:r>
      <w:r>
        <w:rPr>
          <w:rFonts w:ascii="Calibri" w:hAnsi="宋体"/>
          <w:szCs w:val="21"/>
          <w:highlight w:val="none"/>
        </w:rPr>
        <w:t>部分以打分的方式进行评议。</w:t>
      </w:r>
    </w:p>
    <w:p w14:paraId="449E47FE">
      <w:pPr>
        <w:shd w:val="clear"/>
        <w:spacing w:line="440" w:lineRule="exact"/>
        <w:ind w:firstLine="422" w:firstLineChars="200"/>
        <w:rPr>
          <w:rFonts w:ascii="Calibri" w:hAnsi="Calibri"/>
          <w:b/>
          <w:szCs w:val="21"/>
          <w:highlight w:val="none"/>
        </w:rPr>
      </w:pPr>
      <w:r>
        <w:rPr>
          <w:rFonts w:hint="eastAsia" w:ascii="宋体" w:hAnsi="宋体"/>
          <w:b/>
          <w:szCs w:val="21"/>
          <w:highlight w:val="none"/>
        </w:rPr>
        <w:t>3、</w:t>
      </w:r>
      <w:r>
        <w:rPr>
          <w:rFonts w:ascii="Calibri" w:hAnsi="宋体"/>
          <w:b/>
          <w:szCs w:val="21"/>
          <w:highlight w:val="none"/>
        </w:rPr>
        <w:t>中标</w:t>
      </w:r>
      <w:r>
        <w:rPr>
          <w:rFonts w:hint="eastAsia" w:ascii="Calibri" w:hAnsi="宋体"/>
          <w:b/>
          <w:szCs w:val="21"/>
          <w:highlight w:val="none"/>
        </w:rPr>
        <w:t>单位</w:t>
      </w:r>
      <w:r>
        <w:rPr>
          <w:rFonts w:ascii="Calibri" w:hAnsi="宋体"/>
          <w:b/>
          <w:szCs w:val="21"/>
          <w:highlight w:val="none"/>
        </w:rPr>
        <w:t>的确定</w:t>
      </w:r>
    </w:p>
    <w:p w14:paraId="6B5A0AFD">
      <w:pPr>
        <w:shd w:val="clear"/>
        <w:spacing w:line="440" w:lineRule="exact"/>
        <w:ind w:firstLine="422" w:firstLineChars="200"/>
        <w:rPr>
          <w:rFonts w:ascii="宋体" w:hAnsi="宋体"/>
          <w:b/>
          <w:szCs w:val="21"/>
          <w:highlight w:val="none"/>
        </w:rPr>
      </w:pPr>
      <w:r>
        <w:rPr>
          <w:rFonts w:hint="eastAsia" w:ascii="宋体" w:hAnsi="宋体"/>
          <w:b/>
          <w:szCs w:val="21"/>
          <w:highlight w:val="none"/>
        </w:rPr>
        <w:t xml:space="preserve">3.1  </w:t>
      </w:r>
      <w:r>
        <w:rPr>
          <w:rFonts w:hint="eastAsia" w:ascii="宋体" w:hAnsi="宋体"/>
          <w:b/>
          <w:bCs/>
          <w:szCs w:val="21"/>
          <w:highlight w:val="none"/>
        </w:rPr>
        <w:t>候选中标供应商推荐</w:t>
      </w:r>
    </w:p>
    <w:p w14:paraId="6BC8F285">
      <w:pPr>
        <w:shd w:val="clear"/>
        <w:spacing w:line="440" w:lineRule="exact"/>
        <w:ind w:firstLine="420" w:firstLineChars="200"/>
        <w:rPr>
          <w:rFonts w:ascii="宋体" w:hAnsi="宋体"/>
          <w:bCs/>
          <w:szCs w:val="21"/>
          <w:highlight w:val="none"/>
        </w:rPr>
      </w:pPr>
      <w:r>
        <w:rPr>
          <w:rFonts w:hint="eastAsia" w:ascii="宋体" w:hAnsi="宋体"/>
          <w:bCs/>
          <w:szCs w:val="21"/>
          <w:highlight w:val="none"/>
        </w:rPr>
        <w:t>（1）每个投标单位的评标总得分以</w:t>
      </w:r>
      <w:r>
        <w:rPr>
          <w:rFonts w:hint="eastAsia" w:ascii="宋体" w:hAnsi="宋体"/>
          <w:szCs w:val="21"/>
          <w:highlight w:val="none"/>
        </w:rPr>
        <w:t>所有评标委员会成员的独立评分汇总</w:t>
      </w:r>
      <w:r>
        <w:rPr>
          <w:rFonts w:hint="eastAsia" w:ascii="宋体" w:hAnsi="宋体"/>
          <w:bCs/>
          <w:szCs w:val="21"/>
          <w:highlight w:val="none"/>
        </w:rPr>
        <w:t>后确定，</w:t>
      </w:r>
      <w:r>
        <w:rPr>
          <w:rFonts w:ascii="宋体" w:hAnsi="宋体"/>
          <w:bCs/>
          <w:szCs w:val="21"/>
          <w:highlight w:val="none"/>
        </w:rPr>
        <w:t>评标总得分相同的，按投标报价由低到高顺序排列；评标总得分且投标报价相同的，按技术指标</w:t>
      </w:r>
      <w:r>
        <w:rPr>
          <w:rFonts w:hint="eastAsia" w:ascii="宋体" w:hAnsi="宋体"/>
          <w:bCs/>
          <w:szCs w:val="21"/>
          <w:highlight w:val="none"/>
        </w:rPr>
        <w:t>（技术部分）</w:t>
      </w:r>
      <w:r>
        <w:rPr>
          <w:rFonts w:ascii="宋体" w:hAnsi="宋体"/>
          <w:bCs/>
          <w:szCs w:val="21"/>
          <w:highlight w:val="none"/>
        </w:rPr>
        <w:t>得分优劣顺序排列</w:t>
      </w:r>
      <w:r>
        <w:rPr>
          <w:rFonts w:hint="eastAsia" w:ascii="Calibri" w:hAnsi="宋体"/>
          <w:szCs w:val="21"/>
          <w:highlight w:val="none"/>
        </w:rPr>
        <w:t>；如</w:t>
      </w:r>
      <w:r>
        <w:rPr>
          <w:rFonts w:ascii="Calibri" w:hAnsi="宋体"/>
          <w:szCs w:val="21"/>
          <w:highlight w:val="none"/>
        </w:rPr>
        <w:t>技术指标</w:t>
      </w:r>
      <w:r>
        <w:rPr>
          <w:rFonts w:hint="eastAsia" w:ascii="Calibri" w:hAnsi="宋体"/>
          <w:szCs w:val="21"/>
          <w:highlight w:val="none"/>
        </w:rPr>
        <w:t>（技术部分）</w:t>
      </w:r>
      <w:r>
        <w:rPr>
          <w:rFonts w:ascii="Calibri" w:hAnsi="宋体"/>
          <w:szCs w:val="21"/>
          <w:highlight w:val="none"/>
        </w:rPr>
        <w:t>得分</w:t>
      </w:r>
      <w:r>
        <w:rPr>
          <w:rFonts w:hint="eastAsia" w:ascii="Calibri" w:hAnsi="宋体"/>
          <w:szCs w:val="21"/>
          <w:highlight w:val="none"/>
        </w:rPr>
        <w:t>仍然相同的，则采用抽签方式确定排序，</w:t>
      </w:r>
      <w:r>
        <w:rPr>
          <w:rFonts w:hint="eastAsia" w:asciiTheme="minorEastAsia" w:hAnsiTheme="minorEastAsia" w:eastAsiaTheme="minorEastAsia"/>
          <w:szCs w:val="21"/>
          <w:highlight w:val="none"/>
        </w:rPr>
        <w:t>具体操作办法及流程由评标委员会确定</w:t>
      </w:r>
      <w:r>
        <w:rPr>
          <w:rFonts w:ascii="宋体" w:hAnsi="宋体"/>
          <w:bCs/>
          <w:szCs w:val="21"/>
          <w:highlight w:val="none"/>
        </w:rPr>
        <w:t>。</w:t>
      </w:r>
    </w:p>
    <w:p w14:paraId="25005FEA">
      <w:pPr>
        <w:shd w:val="clear"/>
        <w:spacing w:line="440" w:lineRule="exact"/>
        <w:ind w:firstLine="420" w:firstLineChars="200"/>
        <w:rPr>
          <w:szCs w:val="21"/>
          <w:highlight w:val="none"/>
        </w:rPr>
      </w:pPr>
      <w:r>
        <w:rPr>
          <w:rFonts w:hint="eastAsia" w:ascii="宋体" w:hAnsi="宋体"/>
          <w:bCs/>
          <w:szCs w:val="21"/>
          <w:highlight w:val="none"/>
        </w:rPr>
        <w:t>（2）评标委员会按照综合评分的排名结果推荐中标候选供应商，</w:t>
      </w:r>
      <w:r>
        <w:rPr>
          <w:rFonts w:hint="eastAsia" w:ascii="宋体" w:hAnsi="宋体"/>
          <w:szCs w:val="21"/>
          <w:highlight w:val="none"/>
        </w:rPr>
        <w:t>排名前三的投标单位</w:t>
      </w:r>
      <w:r>
        <w:rPr>
          <w:rFonts w:hint="eastAsia" w:ascii="宋体" w:hAnsi="宋体"/>
          <w:bCs/>
          <w:szCs w:val="21"/>
          <w:highlight w:val="none"/>
        </w:rPr>
        <w:t>作为推荐的候选中标供应商（排名不分先后）。</w:t>
      </w:r>
    </w:p>
    <w:p w14:paraId="1481D926">
      <w:pPr>
        <w:shd w:val="clear"/>
        <w:spacing w:line="440" w:lineRule="exact"/>
        <w:ind w:firstLine="422" w:firstLineChars="200"/>
        <w:rPr>
          <w:rFonts w:ascii="宋体" w:hAnsi="宋体"/>
          <w:b/>
          <w:bCs/>
          <w:szCs w:val="21"/>
          <w:highlight w:val="none"/>
        </w:rPr>
      </w:pPr>
      <w:r>
        <w:rPr>
          <w:rFonts w:hint="eastAsia" w:ascii="宋体" w:hAnsi="宋体"/>
          <w:b/>
          <w:bCs/>
          <w:szCs w:val="21"/>
          <w:highlight w:val="none"/>
        </w:rPr>
        <w:t>3.2  定标</w:t>
      </w:r>
    </w:p>
    <w:p w14:paraId="73CA5F34">
      <w:pPr>
        <w:shd w:val="clear"/>
        <w:spacing w:line="440" w:lineRule="exact"/>
        <w:ind w:firstLine="420" w:firstLineChars="200"/>
        <w:rPr>
          <w:rFonts w:ascii="宋体" w:hAnsi="宋体"/>
          <w:bCs/>
          <w:szCs w:val="21"/>
          <w:highlight w:val="none"/>
        </w:rPr>
      </w:pPr>
      <w:r>
        <w:rPr>
          <w:rFonts w:hint="eastAsia" w:ascii="宋体" w:hAnsi="宋体"/>
          <w:bCs/>
          <w:szCs w:val="21"/>
          <w:highlight w:val="none"/>
        </w:rPr>
        <w:t>采购单位从评标委员会推荐的候选中标供应商中，</w:t>
      </w:r>
      <w:r>
        <w:rPr>
          <w:rFonts w:ascii="宋体" w:hAnsi="宋体"/>
          <w:bCs/>
          <w:szCs w:val="21"/>
          <w:highlight w:val="none"/>
        </w:rPr>
        <w:t>采用</w:t>
      </w:r>
      <w:r>
        <w:rPr>
          <w:rFonts w:ascii="宋体" w:hAnsi="宋体"/>
          <w:b/>
          <w:bCs/>
          <w:szCs w:val="21"/>
          <w:highlight w:val="none"/>
        </w:rPr>
        <w:t>自定法</w:t>
      </w:r>
      <w:r>
        <w:rPr>
          <w:rFonts w:hint="eastAsia" w:ascii="宋体" w:hAnsi="宋体"/>
          <w:bCs/>
          <w:szCs w:val="21"/>
          <w:highlight w:val="none"/>
        </w:rPr>
        <w:t>自行选择确定一名中标单位，具体操作程序按照《深圳市政府采购评标定标分离管理办法》要求执行。</w:t>
      </w:r>
    </w:p>
    <w:p w14:paraId="5C0F3F09">
      <w:r>
        <w:rPr>
          <w:rFonts w:hint="eastAsia" w:ascii="宋体" w:hAnsi="宋体"/>
          <w:b/>
          <w:szCs w:val="21"/>
          <w:highlight w:val="none"/>
        </w:rPr>
        <w:t>4、质疑投诉处理：</w:t>
      </w:r>
      <w:r>
        <w:rPr>
          <w:rFonts w:hint="eastAsia" w:ascii="宋体" w:hAnsi="宋体"/>
          <w:szCs w:val="21"/>
          <w:highlight w:val="none"/>
        </w:rPr>
        <w:t>确定中标单位后出现质疑投诉的，按照以下程序进行处理：（1）中标单位因质疑、投诉等问题被取消或</w:t>
      </w:r>
      <w:r>
        <w:rPr>
          <w:rFonts w:ascii="宋体" w:hAnsi="宋体"/>
          <w:szCs w:val="21"/>
          <w:highlight w:val="none"/>
        </w:rPr>
        <w:t>放弃</w:t>
      </w:r>
      <w:r>
        <w:rPr>
          <w:rFonts w:hint="eastAsia" w:ascii="宋体" w:hAnsi="宋体"/>
          <w:szCs w:val="21"/>
          <w:highlight w:val="none"/>
        </w:rPr>
        <w:t>候选中标资格，候选</w:t>
      </w:r>
      <w:r>
        <w:rPr>
          <w:rFonts w:ascii="宋体" w:hAnsi="宋体"/>
          <w:szCs w:val="21"/>
          <w:highlight w:val="none"/>
        </w:rPr>
        <w:t>中标</w:t>
      </w:r>
      <w:r>
        <w:rPr>
          <w:rFonts w:hint="eastAsia" w:ascii="宋体" w:hAnsi="宋体"/>
          <w:szCs w:val="21"/>
          <w:highlight w:val="none"/>
        </w:rPr>
        <w:t>供应商</w:t>
      </w:r>
      <w:r>
        <w:rPr>
          <w:rFonts w:ascii="宋体" w:hAnsi="宋体"/>
          <w:szCs w:val="21"/>
          <w:highlight w:val="none"/>
        </w:rPr>
        <w:t>不再</w:t>
      </w:r>
      <w:r>
        <w:rPr>
          <w:rFonts w:hint="eastAsia" w:ascii="宋体" w:hAnsi="宋体"/>
          <w:szCs w:val="21"/>
          <w:highlight w:val="none"/>
        </w:rPr>
        <w:t>替补</w:t>
      </w:r>
      <w:r>
        <w:rPr>
          <w:rFonts w:ascii="宋体" w:hAnsi="宋体"/>
          <w:szCs w:val="21"/>
          <w:highlight w:val="none"/>
        </w:rPr>
        <w:t>，</w:t>
      </w:r>
      <w:r>
        <w:rPr>
          <w:rFonts w:hint="eastAsia" w:ascii="宋体" w:hAnsi="宋体"/>
          <w:szCs w:val="21"/>
          <w:highlight w:val="none"/>
        </w:rPr>
        <w:t>如有效</w:t>
      </w:r>
      <w:r>
        <w:rPr>
          <w:rFonts w:ascii="宋体" w:hAnsi="宋体"/>
          <w:szCs w:val="21"/>
          <w:highlight w:val="none"/>
        </w:rPr>
        <w:t>投标</w:t>
      </w:r>
      <w:r>
        <w:rPr>
          <w:rFonts w:hint="eastAsia" w:ascii="宋体" w:hAnsi="宋体"/>
          <w:szCs w:val="21"/>
          <w:highlight w:val="none"/>
        </w:rPr>
        <w:t>供应商满足</w:t>
      </w:r>
      <w:r>
        <w:rPr>
          <w:rFonts w:ascii="宋体" w:hAnsi="宋体"/>
          <w:szCs w:val="21"/>
          <w:highlight w:val="none"/>
        </w:rPr>
        <w:t>法定数量</w:t>
      </w:r>
      <w:r>
        <w:rPr>
          <w:rFonts w:hint="eastAsia" w:ascii="宋体" w:hAnsi="宋体"/>
          <w:szCs w:val="21"/>
          <w:highlight w:val="none"/>
        </w:rPr>
        <w:t>，可按</w:t>
      </w:r>
      <w:r>
        <w:rPr>
          <w:rFonts w:ascii="宋体" w:hAnsi="宋体"/>
          <w:szCs w:val="21"/>
          <w:highlight w:val="none"/>
        </w:rPr>
        <w:t>相关规定</w:t>
      </w:r>
      <w:r>
        <w:rPr>
          <w:rFonts w:hint="eastAsia" w:ascii="宋体" w:hAnsi="宋体"/>
          <w:szCs w:val="21"/>
          <w:highlight w:val="none"/>
        </w:rPr>
        <w:t>在</w:t>
      </w:r>
      <w:r>
        <w:rPr>
          <w:rFonts w:ascii="宋体" w:hAnsi="宋体"/>
          <w:szCs w:val="21"/>
          <w:highlight w:val="none"/>
        </w:rPr>
        <w:t>其他</w:t>
      </w:r>
      <w:r>
        <w:rPr>
          <w:rFonts w:hint="eastAsia" w:ascii="宋体" w:hAnsi="宋体"/>
          <w:szCs w:val="21"/>
          <w:highlight w:val="none"/>
        </w:rPr>
        <w:t>候选</w:t>
      </w:r>
      <w:r>
        <w:rPr>
          <w:rFonts w:ascii="宋体" w:hAnsi="宋体"/>
          <w:szCs w:val="21"/>
          <w:highlight w:val="none"/>
        </w:rPr>
        <w:t>中标</w:t>
      </w:r>
      <w:r>
        <w:rPr>
          <w:rFonts w:hint="eastAsia" w:ascii="宋体" w:hAnsi="宋体"/>
          <w:szCs w:val="21"/>
          <w:highlight w:val="none"/>
        </w:rPr>
        <w:t>供应商中另行</w:t>
      </w:r>
      <w:r>
        <w:rPr>
          <w:rFonts w:ascii="宋体" w:hAnsi="宋体"/>
          <w:szCs w:val="21"/>
          <w:highlight w:val="none"/>
        </w:rPr>
        <w:t>确定中标</w:t>
      </w:r>
      <w:r>
        <w:rPr>
          <w:rFonts w:hint="eastAsia" w:ascii="宋体" w:hAnsi="宋体"/>
          <w:szCs w:val="21"/>
          <w:highlight w:val="none"/>
        </w:rPr>
        <w:t>单位</w:t>
      </w:r>
      <w:r>
        <w:rPr>
          <w:rFonts w:ascii="宋体" w:hAnsi="宋体"/>
          <w:szCs w:val="21"/>
          <w:highlight w:val="none"/>
        </w:rPr>
        <w:t>，或者</w:t>
      </w:r>
      <w:r>
        <w:rPr>
          <w:rFonts w:hint="eastAsia" w:ascii="宋体" w:hAnsi="宋体"/>
          <w:szCs w:val="21"/>
          <w:highlight w:val="none"/>
        </w:rPr>
        <w:t>重新组织招标；（2）候选中标供应商因质疑、投诉等问题被取消候选中标资格，如有效</w:t>
      </w:r>
      <w:r>
        <w:rPr>
          <w:rFonts w:ascii="宋体" w:hAnsi="宋体"/>
          <w:szCs w:val="21"/>
          <w:highlight w:val="none"/>
        </w:rPr>
        <w:t>投标</w:t>
      </w:r>
      <w:r>
        <w:rPr>
          <w:rFonts w:hint="eastAsia" w:ascii="宋体" w:hAnsi="宋体"/>
          <w:szCs w:val="21"/>
          <w:highlight w:val="none"/>
        </w:rPr>
        <w:t>供应商满足</w:t>
      </w:r>
      <w:r>
        <w:rPr>
          <w:rFonts w:ascii="宋体" w:hAnsi="宋体"/>
          <w:szCs w:val="21"/>
          <w:highlight w:val="none"/>
        </w:rPr>
        <w:t>法定数量</w:t>
      </w:r>
      <w:r>
        <w:rPr>
          <w:rFonts w:hint="eastAsia" w:ascii="宋体" w:hAnsi="宋体"/>
          <w:szCs w:val="21"/>
          <w:highlight w:val="none"/>
        </w:rPr>
        <w:t>，则维持原中标结果；如有效</w:t>
      </w:r>
      <w:r>
        <w:rPr>
          <w:rFonts w:ascii="宋体" w:hAnsi="宋体"/>
          <w:szCs w:val="21"/>
          <w:highlight w:val="none"/>
        </w:rPr>
        <w:t>投标</w:t>
      </w:r>
      <w:r>
        <w:rPr>
          <w:rFonts w:hint="eastAsia" w:ascii="宋体" w:hAnsi="宋体"/>
          <w:szCs w:val="21"/>
          <w:highlight w:val="none"/>
        </w:rPr>
        <w:t>供应商不足</w:t>
      </w:r>
      <w:r>
        <w:rPr>
          <w:rFonts w:ascii="宋体" w:hAnsi="宋体"/>
          <w:szCs w:val="21"/>
          <w:highlight w:val="none"/>
        </w:rPr>
        <w:t>法定数量</w:t>
      </w:r>
      <w:r>
        <w:rPr>
          <w:rFonts w:hint="eastAsia" w:ascii="宋体" w:hAnsi="宋体"/>
          <w:szCs w:val="21"/>
          <w:highlight w:val="none"/>
        </w:rPr>
        <w:t>，则该项目作废标处理，重新组织招标。</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A216A"/>
    <w:multiLevelType w:val="multilevel"/>
    <w:tmpl w:val="2A8A216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1">
    <w:nsid w:val="46D059FF"/>
    <w:multiLevelType w:val="singleLevel"/>
    <w:tmpl w:val="46D059FF"/>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E5A45"/>
    <w:rsid w:val="3BAE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mbria" w:hAnsi="Cambria" w:cs="宋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before="120" w:line="400" w:lineRule="exact"/>
      <w:ind w:firstLine="600"/>
    </w:pPr>
    <w:rPr>
      <w:sz w:val="28"/>
    </w:rPr>
  </w:style>
  <w:style w:type="paragraph" w:styleId="4">
    <w:name w:val="Plain Text"/>
    <w:basedOn w:val="1"/>
    <w:qFormat/>
    <w:uiPriority w:val="99"/>
    <w:rPr>
      <w:rFonts w:ascii="宋体" w:hAnsi="Courier New"/>
    </w:rPr>
  </w:style>
  <w:style w:type="paragraph" w:styleId="5">
    <w:name w:val="Body Text First Indent 2"/>
    <w:basedOn w:val="3"/>
    <w:qFormat/>
    <w:uiPriority w:val="0"/>
    <w:pPr>
      <w:ind w:firstLine="420" w:firstLineChars="200"/>
    </w:pPr>
  </w:style>
  <w:style w:type="paragraph" w:customStyle="1" w:styleId="8">
    <w:name w:val="正文缩进1"/>
    <w:basedOn w:val="1"/>
    <w:qFormat/>
    <w:uiPriority w:val="0"/>
    <w:pPr>
      <w:ind w:firstLine="420" w:firstLineChars="200"/>
    </w:p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paragraph" w:customStyle="1" w:styleId="10">
    <w:name w:val="纯文本1"/>
    <w:basedOn w:val="1"/>
    <w:qFormat/>
    <w:uiPriority w:val="0"/>
    <w:rPr>
      <w:rFonts w:ascii="宋体" w:hAnsi="Courier New"/>
      <w:szCs w:val="21"/>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2026-04-17T07:08:00Z</dcterms:created>
  <dc:creator>深国招审核</dc:creator>
  <cp:lastModifiedBy>深国招审核</cp:lastModifiedBy>
  <dcterms:modified xsi:type="dcterms:W3CDTF">2026-04-17T07:08:50Z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F56B7FB2E0184062A332277C41EB7148_11</vt:lpwstr>
  </property>
  <property fmtid="{D5CDD505-2E9C-101B-9397-08002B2CF9AE}" pid="4" name="KSOTemplateDocerSaveRecord">
    <vt:lpwstr>eyJoZGlkIjoiMWUwNWIxZTg3YzE0MjE3OTJmNGVkZjY2MjNjZjJlNzciLCJ1c2VySWQiOiIyMzk4NTU4MDYifQ==</vt:lpwstr>
  </property>
</Properties>
</file>