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EEF9C">
      <w:pPr>
        <w:spacing w:line="0" w:lineRule="atLeast"/>
        <w:jc w:val="center"/>
        <w:outlineLvl w:val="0"/>
        <w:rPr>
          <w:rFonts w:ascii="微软雅黑" w:hAnsi="微软雅黑" w:eastAsia="微软雅黑" w:cs="微软雅黑"/>
          <w:b/>
          <w:color w:val="000000"/>
          <w:kern w:val="0"/>
          <w:sz w:val="32"/>
          <w:szCs w:val="32"/>
        </w:rPr>
      </w:pPr>
      <w:bookmarkStart w:id="0" w:name="_Toc20338"/>
      <w:r>
        <w:rPr>
          <w:rFonts w:hint="eastAsia" w:ascii="微软雅黑" w:hAnsi="微软雅黑" w:eastAsia="微软雅黑" w:cs="微软雅黑"/>
          <w:b/>
          <w:color w:val="000000"/>
          <w:kern w:val="0"/>
          <w:sz w:val="32"/>
          <w:szCs w:val="32"/>
        </w:rPr>
        <w:t>第四章  需求及技术规格</w:t>
      </w:r>
      <w:bookmarkEnd w:id="0"/>
    </w:p>
    <w:p w14:paraId="5084AF7D">
      <w:pPr>
        <w:spacing w:line="340" w:lineRule="exact"/>
        <w:ind w:left="-71" w:firstLine="447" w:firstLineChars="212"/>
        <w:rPr>
          <w:rFonts w:ascii="宋体" w:hAnsi="宋体"/>
          <w:b/>
          <w:bCs/>
          <w:color w:val="000000"/>
          <w:szCs w:val="21"/>
        </w:rPr>
      </w:pPr>
    </w:p>
    <w:p w14:paraId="313E5E84">
      <w:pPr>
        <w:jc w:val="center"/>
        <w:outlineLvl w:val="1"/>
        <w:rPr>
          <w:rFonts w:ascii="微软雅黑" w:hAnsi="微软雅黑" w:eastAsia="微软雅黑" w:cs="微软雅黑"/>
          <w:b/>
          <w:color w:val="000000"/>
          <w:sz w:val="24"/>
          <w:szCs w:val="24"/>
        </w:rPr>
      </w:pPr>
      <w:bookmarkStart w:id="1" w:name="_Toc13245"/>
      <w:r>
        <w:rPr>
          <w:rFonts w:hint="eastAsia" w:ascii="微软雅黑" w:hAnsi="微软雅黑" w:eastAsia="微软雅黑" w:cs="微软雅黑"/>
          <w:b/>
          <w:color w:val="000000"/>
          <w:sz w:val="24"/>
          <w:szCs w:val="24"/>
        </w:rPr>
        <w:t>第一节  说明</w:t>
      </w:r>
      <w:bookmarkEnd w:id="1"/>
    </w:p>
    <w:p w14:paraId="58AE23E9">
      <w:pPr>
        <w:spacing w:line="440" w:lineRule="exact"/>
        <w:ind w:firstLine="420" w:firstLineChars="200"/>
        <w:rPr>
          <w:rFonts w:ascii="宋体" w:hAnsi="宋体"/>
          <w:bCs/>
          <w:color w:val="000000"/>
          <w:szCs w:val="21"/>
        </w:rPr>
      </w:pPr>
      <w:r>
        <w:rPr>
          <w:rFonts w:hint="eastAsia" w:ascii="宋体" w:hAnsi="宋体"/>
          <w:color w:val="000000"/>
          <w:szCs w:val="21"/>
        </w:rPr>
        <w:t>1、</w:t>
      </w:r>
      <w:r>
        <w:rPr>
          <w:rFonts w:hint="eastAsia" w:ascii="宋体" w:hAnsi="宋体"/>
          <w:szCs w:val="21"/>
        </w:rPr>
        <w:t>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14:paraId="1AA28ABD">
      <w:pPr>
        <w:spacing w:line="440" w:lineRule="exact"/>
        <w:ind w:firstLine="413" w:firstLineChars="196"/>
        <w:rPr>
          <w:rFonts w:ascii="宋体" w:hAnsi="宋体"/>
          <w:b/>
        </w:rPr>
      </w:pPr>
      <w:r>
        <w:rPr>
          <w:rFonts w:hint="eastAsia" w:ascii="宋体" w:hAnsi="宋体"/>
          <w:b/>
        </w:rPr>
        <w:t>重点说明：偏离表中“偏离度”由投标人自行判断后填写，内容仅供评委参考，</w:t>
      </w:r>
      <w:r>
        <w:rPr>
          <w:rFonts w:ascii="宋体" w:hAnsi="宋体"/>
          <w:b/>
        </w:rPr>
        <w:t>评标委员会将根据</w:t>
      </w:r>
      <w:r>
        <w:rPr>
          <w:rFonts w:hint="eastAsia" w:ascii="宋体" w:hAnsi="宋体"/>
          <w:b/>
        </w:rPr>
        <w:t>具体响应内容</w:t>
      </w:r>
      <w:r>
        <w:rPr>
          <w:rFonts w:ascii="宋体" w:hAnsi="宋体"/>
          <w:b/>
        </w:rPr>
        <w:t>给予是否偏离的认定，并以此</w:t>
      </w:r>
      <w:r>
        <w:rPr>
          <w:rFonts w:hint="eastAsia" w:ascii="宋体" w:hAnsi="宋体"/>
          <w:b/>
        </w:rPr>
        <w:t>作为</w:t>
      </w:r>
      <w:r>
        <w:rPr>
          <w:rFonts w:ascii="宋体" w:hAnsi="宋体"/>
          <w:b/>
        </w:rPr>
        <w:t>最终评判</w:t>
      </w:r>
      <w:r>
        <w:rPr>
          <w:rFonts w:hint="eastAsia" w:ascii="宋体" w:hAnsi="宋体"/>
          <w:b/>
          <w:szCs w:val="22"/>
        </w:rPr>
        <w:t>。</w:t>
      </w:r>
      <w:r>
        <w:rPr>
          <w:rFonts w:hint="eastAsia" w:ascii="宋体" w:hAnsi="宋体"/>
          <w:b/>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14:paraId="115EC6E7">
      <w:pPr>
        <w:spacing w:line="44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本招标文件要求中，凡标有</w:t>
      </w:r>
      <w:r>
        <w:rPr>
          <w:rFonts w:hint="eastAsia" w:ascii="宋体" w:hAnsi="宋体"/>
          <w:b/>
          <w:bCs/>
          <w:szCs w:val="21"/>
        </w:rPr>
        <w:t>“★”</w:t>
      </w:r>
      <w:r>
        <w:rPr>
          <w:rFonts w:ascii="宋体" w:hAnsi="宋体"/>
          <w:b/>
          <w:bCs/>
          <w:szCs w:val="21"/>
        </w:rPr>
        <w:t>的地方均被视为</w:t>
      </w:r>
      <w:r>
        <w:rPr>
          <w:rFonts w:hint="eastAsia" w:ascii="宋体" w:hAnsi="宋体"/>
          <w:b/>
          <w:bCs/>
          <w:szCs w:val="21"/>
        </w:rPr>
        <w:t>不可偏离条款，</w:t>
      </w:r>
      <w:r>
        <w:rPr>
          <w:rFonts w:ascii="宋体" w:hAnsi="宋体"/>
          <w:b/>
          <w:bCs/>
          <w:szCs w:val="21"/>
        </w:rPr>
        <w:t>投标人要特别加以注意</w:t>
      </w:r>
      <w:r>
        <w:rPr>
          <w:rFonts w:hint="eastAsia" w:ascii="宋体" w:hAnsi="宋体"/>
          <w:b/>
          <w:bCs/>
          <w:szCs w:val="21"/>
        </w:rPr>
        <w:t>并予以响应，</w:t>
      </w:r>
      <w:r>
        <w:rPr>
          <w:rFonts w:ascii="宋体" w:hAnsi="宋体"/>
          <w:b/>
          <w:bCs/>
          <w:szCs w:val="21"/>
        </w:rPr>
        <w:t>否则，若有一项带</w:t>
      </w:r>
      <w:r>
        <w:rPr>
          <w:rFonts w:hint="eastAsia" w:ascii="宋体" w:hAnsi="宋体"/>
          <w:b/>
          <w:bCs/>
          <w:szCs w:val="21"/>
        </w:rPr>
        <w:t>“★”</w:t>
      </w:r>
      <w:r>
        <w:rPr>
          <w:rFonts w:ascii="宋体" w:hAnsi="宋体"/>
          <w:b/>
          <w:bCs/>
          <w:szCs w:val="21"/>
        </w:rPr>
        <w:t>的</w:t>
      </w:r>
      <w:r>
        <w:rPr>
          <w:rFonts w:hint="eastAsia" w:ascii="宋体" w:hAnsi="宋体"/>
          <w:b/>
          <w:bCs/>
          <w:szCs w:val="21"/>
        </w:rPr>
        <w:t>要求</w:t>
      </w:r>
      <w:r>
        <w:rPr>
          <w:rFonts w:ascii="宋体" w:hAnsi="宋体"/>
          <w:b/>
          <w:bCs/>
          <w:szCs w:val="21"/>
        </w:rPr>
        <w:t>未响应或不满足，将按投标无效处理</w:t>
      </w:r>
      <w:r>
        <w:rPr>
          <w:rFonts w:hint="eastAsia" w:ascii="宋体" w:hAnsi="宋体"/>
          <w:b/>
          <w:bCs/>
          <w:szCs w:val="21"/>
        </w:rPr>
        <w:t>；</w:t>
      </w:r>
      <w:r>
        <w:rPr>
          <w:rFonts w:ascii="宋体" w:hAnsi="宋体"/>
          <w:b/>
          <w:bCs/>
          <w:szCs w:val="21"/>
        </w:rPr>
        <w:t>凡标有</w:t>
      </w:r>
      <w:r>
        <w:rPr>
          <w:rFonts w:hint="eastAsia" w:ascii="宋体" w:hAnsi="宋体"/>
          <w:b/>
          <w:bCs/>
          <w:szCs w:val="21"/>
        </w:rPr>
        <w:t xml:space="preserve"> “▲”</w:t>
      </w:r>
      <w:r>
        <w:rPr>
          <w:rFonts w:ascii="宋体" w:hAnsi="宋体"/>
          <w:b/>
          <w:bCs/>
          <w:szCs w:val="21"/>
        </w:rPr>
        <w:t>的地方均被视为重要要求</w:t>
      </w:r>
      <w:r>
        <w:rPr>
          <w:rFonts w:hint="eastAsia" w:ascii="宋体" w:hAnsi="宋体"/>
          <w:b/>
          <w:bCs/>
          <w:szCs w:val="21"/>
        </w:rPr>
        <w:t>，若有带“▲”的要求未响应或不满足的，将按加重扣分处理</w:t>
      </w:r>
      <w:r>
        <w:rPr>
          <w:rFonts w:ascii="宋体" w:hAnsi="宋体"/>
          <w:b/>
          <w:bCs/>
          <w:szCs w:val="21"/>
        </w:rPr>
        <w:t>。</w:t>
      </w:r>
    </w:p>
    <w:p w14:paraId="10FE1986">
      <w:pPr>
        <w:spacing w:line="440" w:lineRule="exact"/>
        <w:ind w:firstLine="422" w:firstLineChars="200"/>
        <w:rPr>
          <w:rFonts w:ascii="宋体" w:hAnsi="宋体"/>
          <w:b/>
          <w:szCs w:val="21"/>
        </w:rPr>
      </w:pPr>
      <w:r>
        <w:rPr>
          <w:rFonts w:hint="eastAsia" w:ascii="宋体" w:hAnsi="宋体"/>
          <w:b/>
          <w:szCs w:val="21"/>
        </w:rPr>
        <w:t>3、相同品牌产品投标的说明：</w:t>
      </w:r>
    </w:p>
    <w:p w14:paraId="2042E74E">
      <w:pPr>
        <w:spacing w:line="440" w:lineRule="exact"/>
        <w:ind w:firstLine="420" w:firstLineChars="200"/>
        <w:rPr>
          <w:rFonts w:ascii="宋体" w:hAnsi="宋体"/>
          <w:szCs w:val="21"/>
        </w:rPr>
      </w:pPr>
      <w:r>
        <w:rPr>
          <w:rFonts w:hint="eastAsia" w:ascii="宋体" w:hAnsi="宋体"/>
          <w:szCs w:val="21"/>
        </w:rPr>
        <w:t>采用最低价法评标的，提供相同品牌产品的不同投标人参加同一合同项下投标的，以其中通过资格审查、符合性审查且报价最低的参加评标；报价相同的，由采购人或者采购人委托评标委员会确定技术指标最优的一个投标人参加评标；技术指标仍相同的，采取随机抽取方式确定，其他投标无效。</w:t>
      </w:r>
    </w:p>
    <w:p w14:paraId="7F5B612D">
      <w:pPr>
        <w:spacing w:line="440" w:lineRule="exact"/>
        <w:ind w:firstLine="420" w:firstLineChars="200"/>
        <w:rPr>
          <w:rFonts w:ascii="宋体" w:hAnsi="宋体"/>
          <w:szCs w:val="21"/>
        </w:rPr>
      </w:pPr>
      <w:r>
        <w:rPr>
          <w:rFonts w:hint="eastAsia" w:ascii="宋体" w:hAnsi="宋体"/>
          <w:szCs w:val="21"/>
        </w:rPr>
        <w:t>使用综合评分法评标的，提供相同品牌产品且通过资格审查、符合性审查的不同投标人参加同一合同项下投标的，按一家投标人计算，评审后得分最高的同品牌投标人获得中标人推荐资格；评审得分相同的，由采购人或者采购人委托评标委员会确定技术得分最高的一个投标人获得中标人推荐资格；技术得分仍相同的，确定投标报价最低的一个投标人获得中标人推荐资格；投标报价仍相同，采取随机抽取方式确定，其他同品牌投标人不作为中标候选人。</w:t>
      </w:r>
    </w:p>
    <w:p w14:paraId="082272C4">
      <w:pPr>
        <w:spacing w:line="440" w:lineRule="exact"/>
        <w:ind w:firstLine="422" w:firstLineChars="200"/>
        <w:rPr>
          <w:rFonts w:ascii="宋体" w:hAnsi="宋体"/>
          <w:bCs/>
          <w:szCs w:val="21"/>
        </w:rPr>
      </w:pPr>
      <w:r>
        <w:rPr>
          <w:rFonts w:ascii="宋体" w:hAnsi="宋体"/>
          <w:b/>
          <w:szCs w:val="21"/>
        </w:rPr>
        <w:t>4</w:t>
      </w:r>
      <w:r>
        <w:rPr>
          <w:rFonts w:hint="eastAsia" w:ascii="宋体" w:hAnsi="宋体"/>
          <w:b/>
          <w:szCs w:val="21"/>
        </w:rPr>
        <w:t>、进口产品：</w:t>
      </w:r>
      <w:r>
        <w:rPr>
          <w:rFonts w:hint="eastAsia" w:ascii="宋体" w:hAnsi="宋体"/>
          <w:szCs w:val="21"/>
        </w:rPr>
        <w:t>对于接受进口产品投标的，即使在进口产品中，也优先采购向我国企业转让技术、与我国企业签订消化吸收再创新方案的供应商的进口产品是指在采用综合评分法时，如果有两家以上经评审最高得分相同时具有优先性；在采用最低价评标法时，如果经评审最低价在两家以上时具有优先性。供应商如果满足上述条件，须自行在投标文件中提供上述证明文件，否则，不具备优先性。</w:t>
      </w:r>
    </w:p>
    <w:p w14:paraId="1D329ED8">
      <w:pPr>
        <w:spacing w:line="360" w:lineRule="exact"/>
        <w:ind w:firstLine="420" w:firstLineChars="200"/>
        <w:rPr>
          <w:rFonts w:ascii="宋体" w:hAnsi="宋体"/>
          <w:color w:val="000000"/>
          <w:szCs w:val="21"/>
        </w:rPr>
      </w:pPr>
    </w:p>
    <w:p w14:paraId="2D88BEEE">
      <w:pPr>
        <w:jc w:val="center"/>
        <w:outlineLvl w:val="1"/>
        <w:rPr>
          <w:rFonts w:ascii="微软雅黑" w:hAnsi="微软雅黑" w:eastAsia="微软雅黑" w:cs="微软雅黑"/>
          <w:b/>
          <w:color w:val="000000"/>
          <w:sz w:val="24"/>
          <w:szCs w:val="24"/>
        </w:rPr>
      </w:pPr>
      <w:bookmarkStart w:id="2" w:name="_Toc16581"/>
      <w:r>
        <w:rPr>
          <w:rFonts w:hint="eastAsia" w:ascii="微软雅黑" w:hAnsi="微软雅黑" w:eastAsia="微软雅黑" w:cs="微软雅黑"/>
          <w:b/>
          <w:color w:val="000000"/>
          <w:sz w:val="24"/>
          <w:szCs w:val="24"/>
        </w:rPr>
        <w:t>第二节  需求一览表</w:t>
      </w:r>
      <w:bookmarkEnd w:id="2"/>
    </w:p>
    <w:tbl>
      <w:tblPr>
        <w:tblStyle w:val="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896"/>
        <w:gridCol w:w="710"/>
        <w:gridCol w:w="710"/>
        <w:gridCol w:w="1275"/>
        <w:gridCol w:w="1594"/>
      </w:tblGrid>
      <w:tr w14:paraId="72A4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0" w:type="dxa"/>
            <w:vAlign w:val="center"/>
          </w:tcPr>
          <w:p w14:paraId="0600F1C2">
            <w:pPr>
              <w:jc w:val="center"/>
              <w:rPr>
                <w:rFonts w:ascii="宋体" w:hAnsi="宋体" w:cs="宋体"/>
                <w:b/>
                <w:color w:val="0000FF"/>
                <w:szCs w:val="21"/>
              </w:rPr>
            </w:pPr>
            <w:r>
              <w:rPr>
                <w:rFonts w:hint="eastAsia" w:ascii="宋体" w:hAnsi="宋体" w:cs="宋体"/>
                <w:b/>
                <w:color w:val="0000FF"/>
                <w:szCs w:val="21"/>
              </w:rPr>
              <w:t>序号</w:t>
            </w:r>
          </w:p>
        </w:tc>
        <w:tc>
          <w:tcPr>
            <w:tcW w:w="3896" w:type="dxa"/>
            <w:vAlign w:val="center"/>
          </w:tcPr>
          <w:p w14:paraId="0F713950">
            <w:pPr>
              <w:jc w:val="center"/>
              <w:rPr>
                <w:rFonts w:ascii="宋体" w:hAnsi="宋体" w:cs="宋体"/>
                <w:b/>
                <w:color w:val="0000FF"/>
                <w:szCs w:val="21"/>
              </w:rPr>
            </w:pPr>
            <w:r>
              <w:rPr>
                <w:rFonts w:hint="eastAsia" w:ascii="宋体" w:hAnsi="宋体" w:cs="宋体"/>
                <w:b/>
                <w:color w:val="0000FF"/>
                <w:szCs w:val="21"/>
              </w:rPr>
              <w:t>货物名称</w:t>
            </w:r>
          </w:p>
        </w:tc>
        <w:tc>
          <w:tcPr>
            <w:tcW w:w="710" w:type="dxa"/>
            <w:vAlign w:val="center"/>
          </w:tcPr>
          <w:p w14:paraId="5626F7A1">
            <w:pPr>
              <w:jc w:val="center"/>
              <w:rPr>
                <w:rFonts w:ascii="宋体" w:hAnsi="宋体" w:cs="宋体"/>
                <w:b/>
                <w:color w:val="0000FF"/>
                <w:szCs w:val="21"/>
              </w:rPr>
            </w:pPr>
            <w:r>
              <w:rPr>
                <w:rFonts w:hint="eastAsia" w:ascii="宋体" w:hAnsi="宋体" w:cs="宋体"/>
                <w:b/>
                <w:color w:val="0000FF"/>
                <w:szCs w:val="21"/>
              </w:rPr>
              <w:t>数量</w:t>
            </w:r>
          </w:p>
        </w:tc>
        <w:tc>
          <w:tcPr>
            <w:tcW w:w="710" w:type="dxa"/>
            <w:vAlign w:val="center"/>
          </w:tcPr>
          <w:p w14:paraId="59973459">
            <w:pPr>
              <w:jc w:val="center"/>
              <w:rPr>
                <w:rFonts w:ascii="宋体" w:hAnsi="宋体" w:cs="宋体"/>
                <w:b/>
                <w:color w:val="0000FF"/>
                <w:szCs w:val="21"/>
              </w:rPr>
            </w:pPr>
            <w:r>
              <w:rPr>
                <w:rFonts w:hint="eastAsia" w:ascii="宋体" w:hAnsi="宋体" w:cs="宋体"/>
                <w:b/>
                <w:color w:val="0000FF"/>
                <w:szCs w:val="21"/>
              </w:rPr>
              <w:t>单位</w:t>
            </w:r>
          </w:p>
        </w:tc>
        <w:tc>
          <w:tcPr>
            <w:tcW w:w="1275" w:type="dxa"/>
            <w:vAlign w:val="center"/>
          </w:tcPr>
          <w:p w14:paraId="67AB21C9">
            <w:pPr>
              <w:jc w:val="center"/>
              <w:rPr>
                <w:rFonts w:ascii="宋体" w:hAnsi="宋体" w:cs="宋体"/>
                <w:b/>
                <w:color w:val="0000FF"/>
                <w:szCs w:val="21"/>
              </w:rPr>
            </w:pPr>
            <w:r>
              <w:rPr>
                <w:rFonts w:hint="eastAsia" w:ascii="宋体" w:hAnsi="宋体" w:cs="宋体"/>
                <w:b/>
                <w:color w:val="0000FF"/>
                <w:szCs w:val="21"/>
              </w:rPr>
              <w:t>备注</w:t>
            </w:r>
          </w:p>
        </w:tc>
        <w:tc>
          <w:tcPr>
            <w:tcW w:w="1594" w:type="dxa"/>
            <w:vAlign w:val="center"/>
          </w:tcPr>
          <w:p w14:paraId="273C126D">
            <w:pPr>
              <w:jc w:val="center"/>
              <w:rPr>
                <w:rFonts w:ascii="宋体" w:hAnsi="宋体" w:cs="宋体"/>
                <w:b/>
                <w:color w:val="0000FF"/>
                <w:szCs w:val="21"/>
              </w:rPr>
            </w:pPr>
            <w:r>
              <w:rPr>
                <w:rFonts w:hint="eastAsia" w:ascii="宋体" w:hAnsi="宋体" w:cs="宋体"/>
                <w:b/>
                <w:color w:val="0000FF"/>
                <w:szCs w:val="21"/>
              </w:rPr>
              <w:t>预算控制金额</w:t>
            </w:r>
          </w:p>
        </w:tc>
      </w:tr>
      <w:tr w14:paraId="708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vAlign w:val="center"/>
          </w:tcPr>
          <w:p w14:paraId="140C6D60">
            <w:pPr>
              <w:jc w:val="center"/>
              <w:rPr>
                <w:rFonts w:ascii="宋体" w:hAnsi="宋体" w:cs="宋体"/>
                <w:color w:val="0000FF"/>
                <w:szCs w:val="21"/>
              </w:rPr>
            </w:pPr>
            <w:r>
              <w:rPr>
                <w:rFonts w:hint="eastAsia" w:ascii="宋体" w:hAnsi="宋体" w:cs="宋体"/>
                <w:color w:val="0000FF"/>
                <w:szCs w:val="21"/>
              </w:rPr>
              <w:t>1</w:t>
            </w:r>
          </w:p>
        </w:tc>
        <w:tc>
          <w:tcPr>
            <w:tcW w:w="3896" w:type="dxa"/>
            <w:vAlign w:val="center"/>
          </w:tcPr>
          <w:p w14:paraId="6B44D5CC">
            <w:pPr>
              <w:jc w:val="center"/>
              <w:rPr>
                <w:rFonts w:ascii="宋体" w:hAnsi="宋体" w:cs="宋体"/>
                <w:color w:val="0000FF"/>
                <w:szCs w:val="21"/>
              </w:rPr>
            </w:pPr>
            <w:r>
              <w:rPr>
                <w:rFonts w:hint="eastAsia" w:ascii="宋体" w:hAnsi="宋体" w:cs="宋体"/>
                <w:color w:val="0000FF"/>
                <w:szCs w:val="21"/>
              </w:rPr>
              <w:t>超声治疗仪（聚焦超声皮肤治疗仪）</w:t>
            </w:r>
          </w:p>
        </w:tc>
        <w:tc>
          <w:tcPr>
            <w:tcW w:w="710" w:type="dxa"/>
            <w:vAlign w:val="center"/>
          </w:tcPr>
          <w:p w14:paraId="0EB04FF1">
            <w:pPr>
              <w:jc w:val="center"/>
              <w:rPr>
                <w:rFonts w:ascii="宋体" w:hAnsi="宋体" w:cs="宋体"/>
                <w:color w:val="0000FF"/>
                <w:szCs w:val="21"/>
              </w:rPr>
            </w:pPr>
            <w:r>
              <w:rPr>
                <w:rFonts w:hint="eastAsia" w:ascii="宋体" w:hAnsi="宋体" w:cs="宋体"/>
                <w:color w:val="0000FF"/>
                <w:szCs w:val="21"/>
              </w:rPr>
              <w:t>1</w:t>
            </w:r>
          </w:p>
        </w:tc>
        <w:tc>
          <w:tcPr>
            <w:tcW w:w="710" w:type="dxa"/>
            <w:vAlign w:val="center"/>
          </w:tcPr>
          <w:p w14:paraId="0D056D36">
            <w:pPr>
              <w:jc w:val="center"/>
              <w:rPr>
                <w:rFonts w:ascii="宋体" w:hAnsi="宋体" w:cs="宋体"/>
                <w:color w:val="0000FF"/>
                <w:szCs w:val="21"/>
              </w:rPr>
            </w:pPr>
            <w:r>
              <w:rPr>
                <w:rFonts w:hint="eastAsia" w:ascii="宋体" w:hAnsi="宋体" w:cs="宋体"/>
                <w:color w:val="0000FF"/>
                <w:szCs w:val="21"/>
              </w:rPr>
              <w:t>台</w:t>
            </w:r>
          </w:p>
        </w:tc>
        <w:tc>
          <w:tcPr>
            <w:tcW w:w="1275" w:type="dxa"/>
            <w:vAlign w:val="center"/>
          </w:tcPr>
          <w:p w14:paraId="082F5F7B">
            <w:pPr>
              <w:jc w:val="center"/>
              <w:rPr>
                <w:rFonts w:ascii="宋体" w:hAnsi="宋体" w:cs="宋体"/>
                <w:b/>
                <w:bCs/>
                <w:color w:val="0000FF"/>
                <w:szCs w:val="21"/>
              </w:rPr>
            </w:pPr>
            <w:r>
              <w:rPr>
                <w:rFonts w:hint="eastAsia" w:ascii="宋体" w:hAnsi="宋体" w:cs="宋体"/>
                <w:b/>
                <w:bCs/>
                <w:color w:val="0000FF"/>
                <w:szCs w:val="21"/>
              </w:rPr>
              <w:t>拒绝进口</w:t>
            </w:r>
          </w:p>
        </w:tc>
        <w:tc>
          <w:tcPr>
            <w:tcW w:w="1594" w:type="dxa"/>
            <w:vAlign w:val="center"/>
          </w:tcPr>
          <w:p w14:paraId="6E087BA0">
            <w:pPr>
              <w:jc w:val="center"/>
              <w:rPr>
                <w:rFonts w:ascii="宋体" w:hAnsi="宋体" w:cs="宋体"/>
                <w:color w:val="0000FF"/>
                <w:szCs w:val="21"/>
              </w:rPr>
            </w:pPr>
            <w:r>
              <w:rPr>
                <w:rFonts w:hint="eastAsia" w:ascii="宋体" w:hAnsi="宋体" w:cs="宋体"/>
                <w:color w:val="0000FF"/>
                <w:szCs w:val="21"/>
              </w:rPr>
              <w:t>95万元</w:t>
            </w:r>
          </w:p>
        </w:tc>
      </w:tr>
    </w:tbl>
    <w:p w14:paraId="036888E5">
      <w:pPr>
        <w:spacing w:line="440" w:lineRule="exact"/>
        <w:ind w:firstLine="422" w:firstLineChars="200"/>
        <w:rPr>
          <w:rFonts w:ascii="宋体" w:hAnsi="宋体"/>
          <w:b/>
          <w:szCs w:val="21"/>
        </w:rPr>
      </w:pPr>
      <w:r>
        <w:rPr>
          <w:rFonts w:hint="eastAsia" w:ascii="宋体" w:hAnsi="宋体"/>
          <w:b/>
          <w:szCs w:val="21"/>
        </w:rPr>
        <w:t>注：</w:t>
      </w:r>
    </w:p>
    <w:p w14:paraId="5F13337E">
      <w:pPr>
        <w:spacing w:line="440" w:lineRule="exact"/>
        <w:ind w:firstLine="422" w:firstLineChars="200"/>
        <w:rPr>
          <w:rFonts w:ascii="宋体" w:hAnsi="宋体"/>
          <w:b/>
          <w:szCs w:val="21"/>
        </w:rPr>
      </w:pPr>
      <w:r>
        <w:rPr>
          <w:rFonts w:hint="eastAsia" w:ascii="宋体" w:hAnsi="宋体"/>
          <w:b/>
          <w:szCs w:val="21"/>
        </w:rPr>
        <w:t>1、备注栏注明“拒绝进口”的产品不接受投标人选用进口产品参与投标；注明“接受进口”的产品允许投标人选用进口产品参与投标，但不排斥国内产品。</w:t>
      </w:r>
    </w:p>
    <w:p w14:paraId="7828F7BB">
      <w:pPr>
        <w:spacing w:line="440" w:lineRule="exact"/>
        <w:ind w:firstLine="422" w:firstLineChars="200"/>
        <w:rPr>
          <w:rFonts w:ascii="宋体" w:hAnsi="宋体"/>
          <w:b/>
          <w:szCs w:val="21"/>
        </w:rPr>
      </w:pPr>
      <w:r>
        <w:rPr>
          <w:rFonts w:hint="eastAsia" w:ascii="宋体" w:hAnsi="宋体"/>
          <w:b/>
          <w:szCs w:val="21"/>
        </w:rPr>
        <w:t>2、进口产品是指通过中国海关报关验放进入中国境内且产自关境外的产品。具体以财库</w:t>
      </w:r>
      <w:r>
        <w:rPr>
          <w:rFonts w:ascii="宋体" w:hAnsi="宋体"/>
          <w:b/>
          <w:szCs w:val="21"/>
        </w:rPr>
        <w:t>[</w:t>
      </w:r>
      <w:r>
        <w:rPr>
          <w:rFonts w:hint="eastAsia" w:ascii="宋体" w:hAnsi="宋体"/>
          <w:b/>
          <w:szCs w:val="21"/>
        </w:rPr>
        <w:t>2007</w:t>
      </w:r>
      <w:r>
        <w:rPr>
          <w:rFonts w:ascii="宋体" w:hAnsi="宋体"/>
          <w:b/>
          <w:szCs w:val="21"/>
        </w:rPr>
        <w:t>]</w:t>
      </w:r>
      <w:r>
        <w:rPr>
          <w:rFonts w:hint="eastAsia" w:ascii="宋体" w:hAnsi="宋体"/>
          <w:b/>
          <w:szCs w:val="21"/>
        </w:rPr>
        <w:t>119 号文、财办库</w:t>
      </w:r>
      <w:r>
        <w:rPr>
          <w:rFonts w:ascii="宋体" w:hAnsi="宋体"/>
          <w:b/>
          <w:szCs w:val="21"/>
        </w:rPr>
        <w:t>[</w:t>
      </w:r>
      <w:r>
        <w:rPr>
          <w:rFonts w:hint="eastAsia" w:ascii="宋体" w:hAnsi="宋体"/>
          <w:b/>
          <w:szCs w:val="21"/>
        </w:rPr>
        <w:t>2008</w:t>
      </w:r>
      <w:r>
        <w:rPr>
          <w:rFonts w:ascii="宋体" w:hAnsi="宋体"/>
          <w:b/>
          <w:szCs w:val="21"/>
        </w:rPr>
        <w:t>]</w:t>
      </w:r>
      <w:r>
        <w:rPr>
          <w:rFonts w:hint="eastAsia" w:ascii="宋体" w:hAnsi="宋体"/>
          <w:b/>
          <w:szCs w:val="21"/>
        </w:rPr>
        <w:t>248 号文及深财购[2009]5号文的相关内容为准。</w:t>
      </w:r>
    </w:p>
    <w:p w14:paraId="0EF0A706">
      <w:pPr>
        <w:spacing w:line="440" w:lineRule="exact"/>
        <w:ind w:firstLine="422" w:firstLineChars="200"/>
        <w:rPr>
          <w:rFonts w:ascii="宋体" w:hAnsi="宋体"/>
          <w:b/>
          <w:bCs/>
          <w:szCs w:val="21"/>
        </w:rPr>
      </w:pPr>
    </w:p>
    <w:p w14:paraId="584C3CDF">
      <w:pPr>
        <w:jc w:val="center"/>
        <w:outlineLvl w:val="1"/>
        <w:rPr>
          <w:rFonts w:ascii="微软雅黑" w:hAnsi="微软雅黑" w:eastAsia="微软雅黑" w:cs="微软雅黑"/>
          <w:b/>
          <w:color w:val="000000"/>
          <w:sz w:val="24"/>
          <w:szCs w:val="24"/>
        </w:rPr>
      </w:pPr>
      <w:bookmarkStart w:id="3" w:name="_Toc2403"/>
      <w:r>
        <w:rPr>
          <w:rFonts w:hint="eastAsia" w:ascii="微软雅黑" w:hAnsi="微软雅黑" w:eastAsia="微软雅黑" w:cs="微软雅黑"/>
          <w:b/>
          <w:color w:val="000000"/>
          <w:sz w:val="24"/>
          <w:szCs w:val="24"/>
        </w:rPr>
        <w:t>第三节  技术需求明细</w:t>
      </w:r>
      <w:bookmarkEnd w:id="3"/>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E1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E99B5B6">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1、波束类型：会</w:t>
            </w:r>
            <w:r>
              <w:rPr>
                <w:rFonts w:hint="eastAsia" w:ascii="宋体" w:hAnsi="宋体" w:cs="宋体"/>
                <w:color w:val="0000FF"/>
                <w:kern w:val="0"/>
                <w:szCs w:val="21"/>
                <w:lang w:eastAsia="zh-CN" w:bidi="ar"/>
              </w:rPr>
              <w:t>（</w:t>
            </w:r>
            <w:r>
              <w:rPr>
                <w:color w:val="0000FF"/>
                <w:szCs w:val="22"/>
              </w:rPr>
              <w:t>汇</w:t>
            </w:r>
            <w:r>
              <w:rPr>
                <w:rFonts w:hint="eastAsia" w:ascii="宋体" w:hAnsi="宋体" w:cs="宋体"/>
                <w:color w:val="0000FF"/>
                <w:kern w:val="0"/>
                <w:szCs w:val="21"/>
                <w:lang w:eastAsia="zh-CN" w:bidi="ar"/>
              </w:rPr>
              <w:t>）</w:t>
            </w:r>
            <w:r>
              <w:rPr>
                <w:rFonts w:hint="eastAsia" w:ascii="宋体" w:hAnsi="宋体" w:cs="宋体"/>
                <w:color w:val="0000FF"/>
                <w:kern w:val="0"/>
                <w:szCs w:val="21"/>
                <w:lang w:bidi="ar"/>
              </w:rPr>
              <w:t>聚型</w:t>
            </w:r>
          </w:p>
        </w:tc>
      </w:tr>
      <w:tr w14:paraId="5FDC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AA58CC0">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2、超声输出方式：脉冲式</w:t>
            </w:r>
          </w:p>
        </w:tc>
      </w:tr>
      <w:tr w14:paraId="78D0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7D15D262">
            <w:pPr>
              <w:widowControl/>
              <w:spacing w:line="440" w:lineRule="exact"/>
              <w:jc w:val="left"/>
              <w:textAlignment w:val="baseline"/>
              <w:rPr>
                <w:rFonts w:hint="eastAsia" w:ascii="宋体" w:hAnsi="宋体" w:cs="宋体"/>
                <w:color w:val="0000FF"/>
                <w:szCs w:val="21"/>
              </w:rPr>
            </w:pPr>
            <w:r>
              <w:rPr>
                <w:rFonts w:hint="eastAsia"/>
                <w:color w:val="0000FF"/>
                <w:szCs w:val="22"/>
              </w:rPr>
              <w:t>▲3、声工作频率：≥2种，至少包含4MHz、6.5MHz；(需提供彩页或技术白皮书并标注相关参数佐证支持，中标后，中标人须提供原件，供招标人核验、存档备查。）</w:t>
            </w:r>
          </w:p>
        </w:tc>
      </w:tr>
      <w:tr w14:paraId="36C5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48C042F8">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4、焦平面距离：包括但不限于2.0mm、3.0mm、4.5mm</w:t>
            </w:r>
          </w:p>
        </w:tc>
      </w:tr>
      <w:tr w14:paraId="7F05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5A17C74">
            <w:pPr>
              <w:widowControl/>
              <w:spacing w:line="440" w:lineRule="exact"/>
              <w:jc w:val="left"/>
              <w:textAlignment w:val="baseline"/>
              <w:rPr>
                <w:rFonts w:ascii="宋体" w:hAnsi="宋体" w:cs="宋体"/>
                <w:b/>
                <w:bCs/>
                <w:color w:val="0000FF"/>
                <w:szCs w:val="21"/>
              </w:rPr>
            </w:pPr>
            <w:r>
              <w:rPr>
                <w:rFonts w:hint="eastAsia" w:ascii="宋体" w:hAnsi="宋体" w:cs="宋体"/>
                <w:b/>
                <w:bCs/>
                <w:color w:val="0000FF"/>
                <w:kern w:val="0"/>
                <w:szCs w:val="21"/>
                <w:lang w:bidi="ar"/>
              </w:rPr>
              <w:t>▲5、</w:t>
            </w:r>
            <w:r>
              <w:rPr>
                <w:rFonts w:hint="eastAsia" w:ascii="宋体" w:hAnsi="宋体" w:cs="宋体"/>
                <w:b/>
                <w:bCs/>
                <w:color w:val="0000FF"/>
                <w:szCs w:val="21"/>
              </w:rPr>
              <w:t>最大额定输出声功率≥10W，可分档调节(需提供彩页或技术白皮书并标注相关参数佐证支持，中标后，中标人须提供原件，供招标人核验、存档备查。）</w:t>
            </w:r>
          </w:p>
        </w:tc>
      </w:tr>
      <w:tr w14:paraId="1573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5C35F62A">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6、输出声功率的时间稳定性：设备连续工作0.5小时内，额定输出声功率的变化应不超过±20%。</w:t>
            </w:r>
          </w:p>
        </w:tc>
      </w:tr>
      <w:tr w14:paraId="0055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6F5C6AFC">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7、定时器：具备定时器功能，在预定时间到达后停止治疗头超声输出并给出指示信号。</w:t>
            </w:r>
          </w:p>
        </w:tc>
      </w:tr>
      <w:tr w14:paraId="6F4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5A8E8AC0">
            <w:pPr>
              <w:widowControl/>
              <w:spacing w:line="440" w:lineRule="exact"/>
              <w:jc w:val="left"/>
              <w:textAlignment w:val="baseline"/>
              <w:rPr>
                <w:rFonts w:ascii="宋体" w:hAnsi="宋体" w:cs="宋体"/>
                <w:b w:val="0"/>
                <w:bCs w:val="0"/>
                <w:color w:val="0000FF"/>
                <w:szCs w:val="21"/>
              </w:rPr>
            </w:pPr>
            <w:r>
              <w:rPr>
                <w:rFonts w:hint="eastAsia" w:ascii="宋体" w:hAnsi="宋体" w:cs="宋体"/>
                <w:b w:val="0"/>
                <w:bCs w:val="0"/>
                <w:color w:val="0000FF"/>
                <w:kern w:val="0"/>
                <w:szCs w:val="21"/>
                <w:lang w:bidi="ar"/>
              </w:rPr>
              <w:t>8、适用范围：</w:t>
            </w:r>
            <w:r>
              <w:rPr>
                <w:rFonts w:hint="eastAsia" w:ascii="宋体" w:hAnsi="宋体" w:cs="宋体"/>
                <w:b w:val="0"/>
                <w:bCs w:val="0"/>
                <w:color w:val="0000FF"/>
                <w:szCs w:val="21"/>
              </w:rPr>
              <w:t>利用聚焦超声热效应作用于皮下组织，用于改善中下面部和颏下、颈部的皮肤松弛。不可用于眼及眼周、鼻部、口周、耳廓、甲状腺及颈动脉区域。产品须由具有相应资质的专业医师使用，治疗前须使用皮肤超声诊断设备对皮下组织进行测量，以确定所适合的治疗深度</w:t>
            </w:r>
            <w:r>
              <w:rPr>
                <w:rFonts w:hint="eastAsia" w:ascii="宋体" w:hAnsi="宋体" w:cs="宋体"/>
                <w:b w:val="0"/>
                <w:bCs w:val="0"/>
                <w:color w:val="0000FF"/>
                <w:kern w:val="0"/>
                <w:szCs w:val="21"/>
                <w:lang w:bidi="ar"/>
              </w:rPr>
              <w:t>。</w:t>
            </w:r>
            <w:r>
              <w:rPr>
                <w:rFonts w:hint="eastAsia" w:ascii="宋体" w:hAnsi="宋体" w:cs="宋体"/>
                <w:b w:val="0"/>
                <w:bCs w:val="0"/>
                <w:color w:val="0000FF"/>
                <w:szCs w:val="21"/>
              </w:rPr>
              <w:t>(需提供技术白皮书佐证支持，中标后，中标人须提供原件，供招标人核验、存档备查。）</w:t>
            </w:r>
          </w:p>
        </w:tc>
      </w:tr>
      <w:tr w14:paraId="29E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4E0F4EBF">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9、侧壁不需要的超声辐射：≤100mW/cm</w:t>
            </w:r>
            <w:r>
              <w:rPr>
                <w:rFonts w:hint="eastAsia" w:ascii="宋体" w:hAnsi="宋体" w:cs="宋体"/>
                <w:color w:val="0000FF"/>
                <w:kern w:val="0"/>
                <w:szCs w:val="21"/>
                <w:vertAlign w:val="superscript"/>
                <w:lang w:bidi="ar"/>
              </w:rPr>
              <w:t>2</w:t>
            </w:r>
          </w:p>
        </w:tc>
      </w:tr>
      <w:tr w14:paraId="7146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67CD112C">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10、治疗头超温：≤41℃</w:t>
            </w:r>
          </w:p>
        </w:tc>
      </w:tr>
      <w:tr w14:paraId="339E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49138677">
            <w:pPr>
              <w:widowControl/>
              <w:spacing w:line="440" w:lineRule="exact"/>
              <w:jc w:val="left"/>
              <w:textAlignment w:val="baseline"/>
              <w:rPr>
                <w:rFonts w:ascii="宋体" w:hAnsi="宋体" w:cs="宋体"/>
                <w:color w:val="0000FF"/>
                <w:szCs w:val="21"/>
              </w:rPr>
            </w:pPr>
            <w:r>
              <w:rPr>
                <w:rFonts w:hint="eastAsia" w:ascii="宋体" w:hAnsi="宋体" w:cs="宋体"/>
                <w:color w:val="0000FF"/>
                <w:kern w:val="0"/>
                <w:szCs w:val="21"/>
                <w:lang w:bidi="ar"/>
              </w:rPr>
              <w:t>11、噪声：≤65dB(A)</w:t>
            </w:r>
          </w:p>
        </w:tc>
      </w:tr>
      <w:tr w14:paraId="0BEC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35C73E4C">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12、脚踏开关防进液的防护程度：IPX8；</w:t>
            </w:r>
          </w:p>
        </w:tc>
      </w:tr>
      <w:tr w14:paraId="474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64FDE961">
            <w:pPr>
              <w:widowControl/>
              <w:spacing w:line="440" w:lineRule="exact"/>
              <w:jc w:val="left"/>
              <w:textAlignment w:val="baseline"/>
              <w:rPr>
                <w:rFonts w:ascii="宋体" w:hAnsi="宋体" w:cs="宋体"/>
                <w:color w:val="0000FF"/>
                <w:kern w:val="0"/>
                <w:szCs w:val="21"/>
                <w:lang w:bidi="ar"/>
              </w:rPr>
            </w:pPr>
            <w:r>
              <w:rPr>
                <w:rFonts w:hint="eastAsia" w:ascii="宋体" w:hAnsi="宋体" w:cs="宋体"/>
                <w:color w:val="0000FF"/>
                <w:kern w:val="0"/>
                <w:szCs w:val="21"/>
                <w:lang w:bidi="ar"/>
              </w:rPr>
              <w:t>13、圆锥形手柄：可针对不同治疗层次选择≥3种类型治疗头</w:t>
            </w:r>
          </w:p>
        </w:tc>
      </w:tr>
      <w:tr w14:paraId="32F4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46E176DA">
            <w:pPr>
              <w:widowControl/>
              <w:spacing w:line="440" w:lineRule="exact"/>
              <w:jc w:val="left"/>
              <w:textAlignment w:val="baseline"/>
              <w:rPr>
                <w:rFonts w:ascii="宋体" w:hAnsi="宋体" w:cs="宋体"/>
                <w:color w:val="0000FF"/>
                <w:kern w:val="0"/>
                <w:szCs w:val="21"/>
                <w:lang w:bidi="ar"/>
              </w:rPr>
            </w:pPr>
            <w:r>
              <w:rPr>
                <w:rFonts w:hint="eastAsia" w:ascii="宋体" w:hAnsi="宋体" w:cs="宋体"/>
                <w:color w:val="0000FF"/>
                <w:kern w:val="0"/>
                <w:szCs w:val="21"/>
                <w:lang w:bidi="ar"/>
              </w:rPr>
              <w:t>14、圆锥形手柄具有AI多维感控系统，通过滑动传感器检测功能，手柄停止运动立即停止输出超声能量。</w:t>
            </w:r>
          </w:p>
        </w:tc>
      </w:tr>
      <w:tr w14:paraId="5705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3DC5C5A5">
            <w:pPr>
              <w:widowControl/>
              <w:spacing w:line="440" w:lineRule="exact"/>
              <w:jc w:val="left"/>
              <w:textAlignment w:val="baseline"/>
              <w:rPr>
                <w:rFonts w:ascii="宋体" w:hAnsi="宋体" w:cs="宋体"/>
                <w:b/>
                <w:bCs/>
                <w:color w:val="0000FF"/>
                <w:szCs w:val="21"/>
              </w:rPr>
            </w:pPr>
            <w:r>
              <w:rPr>
                <w:rFonts w:hint="eastAsia" w:ascii="宋体" w:hAnsi="宋体" w:cs="宋体"/>
                <w:b/>
                <w:bCs/>
                <w:color w:val="0000FF"/>
                <w:kern w:val="0"/>
                <w:szCs w:val="21"/>
                <w:lang w:bidi="ar"/>
              </w:rPr>
              <w:t>▲15、矩形手柄：</w:t>
            </w:r>
            <w:r>
              <w:rPr>
                <w:rFonts w:hint="eastAsia" w:ascii="宋体" w:hAnsi="宋体" w:cs="宋体"/>
                <w:b/>
                <w:bCs/>
                <w:color w:val="0000FF"/>
                <w:szCs w:val="21"/>
              </w:rPr>
              <w:t>治疗头与手柄一体化设计不可拆卸，可选</w:t>
            </w:r>
            <w:r>
              <w:rPr>
                <w:rFonts w:hint="eastAsia" w:ascii="宋体" w:hAnsi="宋体" w:cs="宋体"/>
                <w:b/>
                <w:bCs/>
                <w:color w:val="0000FF"/>
                <w:kern w:val="0"/>
                <w:szCs w:val="21"/>
                <w:lang w:bidi="ar"/>
              </w:rPr>
              <w:t>≥2种手柄。</w:t>
            </w:r>
            <w:r>
              <w:rPr>
                <w:rFonts w:hint="eastAsia" w:ascii="宋体" w:hAnsi="宋体" w:cs="宋体"/>
                <w:b/>
                <w:bCs/>
                <w:color w:val="0000FF"/>
                <w:szCs w:val="21"/>
              </w:rPr>
              <w:t>(需提供彩页或技术白皮书并标注相关参数佐证支持，中标后，中标人须提供原件，供招标人核验、存档备查。）</w:t>
            </w:r>
          </w:p>
        </w:tc>
      </w:tr>
      <w:tr w14:paraId="4BE5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224F748">
            <w:pPr>
              <w:widowControl/>
              <w:spacing w:line="440" w:lineRule="exact"/>
              <w:jc w:val="left"/>
              <w:textAlignment w:val="baseline"/>
              <w:rPr>
                <w:rFonts w:ascii="宋体" w:hAnsi="宋体" w:cs="宋体"/>
                <w:b/>
                <w:bCs/>
                <w:color w:val="0000FF"/>
                <w:kern w:val="0"/>
                <w:szCs w:val="21"/>
                <w:lang w:bidi="ar"/>
              </w:rPr>
            </w:pPr>
            <w:r>
              <w:rPr>
                <w:rFonts w:hint="eastAsia" w:ascii="宋体" w:hAnsi="宋体" w:cs="宋体"/>
                <w:b/>
                <w:bCs/>
                <w:color w:val="0000FF"/>
                <w:kern w:val="0"/>
                <w:szCs w:val="21"/>
                <w:lang w:bidi="ar"/>
              </w:rPr>
              <w:t>▲16、同一设备最多可同时连接不少于两个矩形治疗手柄以及一个圆锥形治疗手柄，无需频繁拆卸更换。</w:t>
            </w:r>
            <w:r>
              <w:rPr>
                <w:rFonts w:hint="eastAsia" w:ascii="宋体" w:hAnsi="宋体" w:cs="宋体"/>
                <w:b/>
                <w:bCs/>
                <w:color w:val="0000FF"/>
                <w:szCs w:val="21"/>
              </w:rPr>
              <w:t>(需提供彩页或技术白皮书并标注相关参数佐证支持，中标后，中标人须提供原件，供招标人核验、存档备查。）</w:t>
            </w:r>
          </w:p>
        </w:tc>
      </w:tr>
      <w:tr w14:paraId="06EE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99C6FF4">
            <w:pPr>
              <w:widowControl/>
              <w:spacing w:line="440" w:lineRule="exact"/>
              <w:jc w:val="left"/>
              <w:textAlignment w:val="baseline"/>
              <w:rPr>
                <w:rFonts w:ascii="宋体" w:hAnsi="宋体" w:cs="宋体"/>
                <w:b/>
                <w:bCs/>
                <w:color w:val="0000FF"/>
                <w:kern w:val="0"/>
                <w:szCs w:val="21"/>
                <w:lang w:bidi="ar"/>
              </w:rPr>
            </w:pPr>
            <w:r>
              <w:rPr>
                <w:rFonts w:hint="eastAsia" w:ascii="宋体" w:hAnsi="宋体" w:cs="宋体"/>
                <w:b/>
                <w:bCs/>
                <w:color w:val="0000FF"/>
                <w:kern w:val="0"/>
                <w:szCs w:val="21"/>
                <w:lang w:bidi="ar"/>
              </w:rPr>
              <w:t>▲17.1、单条矩形手柄治疗头≥4.9万发</w:t>
            </w:r>
            <w:r>
              <w:rPr>
                <w:rFonts w:hint="eastAsia" w:ascii="宋体" w:hAnsi="宋体" w:cs="宋体"/>
                <w:b/>
                <w:bCs/>
                <w:color w:val="0000FF"/>
                <w:szCs w:val="21"/>
              </w:rPr>
              <w:t>(需提供彩页或技术白皮书并标注相关参数佐证支持，中标后，中标人须提供原件，供招标人核验、存档备查。）</w:t>
            </w:r>
          </w:p>
        </w:tc>
      </w:tr>
      <w:tr w14:paraId="7D62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22C81BF9">
            <w:pPr>
              <w:widowControl/>
              <w:spacing w:line="440" w:lineRule="exact"/>
              <w:jc w:val="left"/>
              <w:textAlignment w:val="baseline"/>
              <w:rPr>
                <w:rFonts w:ascii="宋体" w:hAnsi="宋体" w:cs="宋体"/>
                <w:b/>
                <w:bCs/>
                <w:color w:val="0000FF"/>
                <w:kern w:val="0"/>
                <w:szCs w:val="21"/>
                <w:lang w:bidi="ar"/>
              </w:rPr>
            </w:pPr>
            <w:r>
              <w:rPr>
                <w:rFonts w:hint="eastAsia" w:ascii="宋体" w:hAnsi="宋体" w:cs="宋体"/>
                <w:b/>
                <w:bCs/>
                <w:color w:val="0000FF"/>
                <w:kern w:val="0"/>
                <w:szCs w:val="21"/>
                <w:lang w:bidi="ar"/>
              </w:rPr>
              <w:t>▲17.2、单个超声炮治疗头≥49万发。</w:t>
            </w:r>
            <w:r>
              <w:rPr>
                <w:rFonts w:hint="eastAsia" w:ascii="宋体" w:hAnsi="宋体" w:cs="宋体"/>
                <w:b/>
                <w:bCs/>
                <w:color w:val="0000FF"/>
                <w:szCs w:val="21"/>
              </w:rPr>
              <w:t>(需提供彩页或技术白皮书并标注相关参数佐证支持，中标后，中标人须提供原件，供招标人核验、存档备查。）</w:t>
            </w:r>
          </w:p>
        </w:tc>
      </w:tr>
      <w:tr w14:paraId="279C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003C7020">
            <w:pPr>
              <w:widowControl/>
              <w:spacing w:line="440" w:lineRule="exact"/>
              <w:jc w:val="left"/>
              <w:textAlignment w:val="baseline"/>
              <w:rPr>
                <w:rFonts w:ascii="宋体" w:hAnsi="宋体" w:cs="宋体"/>
                <w:b/>
                <w:bCs/>
                <w:color w:val="0000FF"/>
                <w:szCs w:val="21"/>
              </w:rPr>
            </w:pPr>
            <w:r>
              <w:rPr>
                <w:rFonts w:hint="eastAsia" w:ascii="宋体" w:hAnsi="宋体" w:cs="宋体"/>
                <w:b/>
                <w:bCs/>
                <w:color w:val="0000FF"/>
                <w:kern w:val="0"/>
                <w:szCs w:val="21"/>
                <w:lang w:bidi="ar"/>
              </w:rPr>
              <w:t>▲</w:t>
            </w:r>
            <w:r>
              <w:rPr>
                <w:rFonts w:hint="eastAsia" w:ascii="宋体" w:hAnsi="宋体" w:cs="宋体"/>
                <w:b/>
                <w:bCs/>
                <w:color w:val="0000FF"/>
                <w:szCs w:val="21"/>
              </w:rPr>
              <w:t>18、设备分为主机、台车两部分，主机和台车同时具备脚踏开关接口及电源线接口。(需提供彩页或技术白皮书并标注相关参数佐证支持，中标后，中标人须提供原件，供招标人核验、存档备查。）</w:t>
            </w:r>
          </w:p>
        </w:tc>
      </w:tr>
      <w:tr w14:paraId="523E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9F5D9E6">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19、开机可自定义开机密码，避免非专业人员误操作。</w:t>
            </w:r>
          </w:p>
        </w:tc>
      </w:tr>
      <w:tr w14:paraId="260C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3267569">
            <w:pPr>
              <w:widowControl/>
              <w:spacing w:line="440" w:lineRule="exact"/>
              <w:jc w:val="left"/>
              <w:textAlignment w:val="baseline"/>
              <w:rPr>
                <w:rFonts w:ascii="宋体" w:hAnsi="宋体" w:cs="宋体"/>
                <w:b/>
                <w:bCs/>
                <w:color w:val="0000FF"/>
                <w:szCs w:val="21"/>
              </w:rPr>
            </w:pPr>
            <w:r>
              <w:rPr>
                <w:rFonts w:hint="eastAsia" w:ascii="宋体" w:hAnsi="宋体" w:cs="宋体"/>
                <w:b/>
                <w:bCs/>
                <w:color w:val="0000FF"/>
                <w:kern w:val="0"/>
                <w:szCs w:val="21"/>
                <w:lang w:bidi="ar"/>
              </w:rPr>
              <w:t>▲</w:t>
            </w:r>
            <w:r>
              <w:rPr>
                <w:rFonts w:hint="eastAsia" w:ascii="宋体" w:hAnsi="宋体" w:cs="宋体"/>
                <w:b/>
                <w:bCs/>
                <w:color w:val="0000FF"/>
                <w:szCs w:val="21"/>
              </w:rPr>
              <w:t>20、系统支持新建客户档案，方便随时查看患者的历史诊疗记录。(需提供彩页或技术白皮书、设备客户档案图像页面佐证支持）</w:t>
            </w:r>
          </w:p>
        </w:tc>
      </w:tr>
      <w:tr w14:paraId="77D7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4F78964">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21、治疗界面多种参数可调，包括输出功率、点间隔、长度、定时等</w:t>
            </w:r>
          </w:p>
        </w:tc>
      </w:tr>
      <w:tr w14:paraId="6EC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2BC486FB">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22、手柄四种治疗模式可调，包括但不限于S1模式（单发）、M1模式、M2模式、M3模式，最高可达35Hz。</w:t>
            </w:r>
          </w:p>
        </w:tc>
      </w:tr>
      <w:tr w14:paraId="000E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F94BC32">
            <w:pPr>
              <w:widowControl/>
              <w:spacing w:line="440" w:lineRule="exact"/>
              <w:jc w:val="left"/>
              <w:textAlignment w:val="baseline"/>
              <w:rPr>
                <w:rFonts w:ascii="宋体" w:hAnsi="宋体" w:cs="宋体"/>
                <w:b w:val="0"/>
                <w:bCs w:val="0"/>
                <w:color w:val="0000FF"/>
                <w:szCs w:val="21"/>
              </w:rPr>
            </w:pPr>
            <w:r>
              <w:rPr>
                <w:rFonts w:hint="eastAsia" w:ascii="宋体" w:hAnsi="宋体" w:cs="宋体"/>
                <w:b w:val="0"/>
                <w:bCs w:val="0"/>
                <w:color w:val="0000FF"/>
                <w:szCs w:val="21"/>
              </w:rPr>
              <w:t>23、设备设计使用年限≥10年。（提供产品铭牌）</w:t>
            </w:r>
          </w:p>
        </w:tc>
      </w:tr>
      <w:tr w14:paraId="6A4F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1A82FA57">
            <w:pPr>
              <w:widowControl/>
              <w:spacing w:line="440" w:lineRule="exact"/>
              <w:jc w:val="left"/>
              <w:textAlignment w:val="baseline"/>
              <w:rPr>
                <w:rFonts w:ascii="宋体" w:hAnsi="宋体" w:cs="宋体"/>
                <w:color w:val="0000FF"/>
                <w:szCs w:val="21"/>
              </w:rPr>
            </w:pPr>
            <w:r>
              <w:rPr>
                <w:rFonts w:hint="eastAsia" w:ascii="宋体" w:hAnsi="宋体" w:cs="宋体"/>
                <w:color w:val="0000FF"/>
                <w:szCs w:val="21"/>
              </w:rPr>
              <w:t>24、主机屏幕：≥15英寸显示竖屏。</w:t>
            </w:r>
          </w:p>
        </w:tc>
      </w:tr>
      <w:tr w14:paraId="41E7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14:paraId="76AEDE6D">
            <w:pPr>
              <w:widowControl/>
              <w:spacing w:line="440" w:lineRule="exact"/>
              <w:jc w:val="left"/>
              <w:textAlignment w:val="baseline"/>
              <w:rPr>
                <w:rFonts w:ascii="宋体" w:hAnsi="宋体" w:cs="宋体"/>
                <w:b/>
                <w:bCs/>
                <w:color w:val="0000FF"/>
                <w:kern w:val="0"/>
                <w:szCs w:val="21"/>
                <w:lang w:bidi="ar"/>
              </w:rPr>
            </w:pPr>
            <w:r>
              <w:rPr>
                <w:rFonts w:hint="eastAsia" w:ascii="宋体" w:hAnsi="宋体" w:cs="宋体"/>
                <w:b/>
                <w:bCs/>
                <w:color w:val="0000FF"/>
                <w:kern w:val="0"/>
                <w:szCs w:val="21"/>
                <w:lang w:bidi="ar"/>
              </w:rPr>
              <w:t>▲</w:t>
            </w:r>
            <w:r>
              <w:rPr>
                <w:rFonts w:hint="eastAsia" w:ascii="宋体" w:hAnsi="宋体" w:cs="宋体"/>
                <w:b/>
                <w:bCs/>
                <w:color w:val="0000FF"/>
                <w:szCs w:val="21"/>
              </w:rPr>
              <w:t>25、设备可选配置影像模块，可用于治疗前人体临床超声检查。(需提供彩页或技术白皮书并标注相关参数佐证支持，中标后，中标人须提供原件，供招标人核验、存档备查。）</w:t>
            </w:r>
          </w:p>
        </w:tc>
      </w:tr>
    </w:tbl>
    <w:p w14:paraId="71CFEC66">
      <w:pPr>
        <w:spacing w:line="440" w:lineRule="exact"/>
        <w:ind w:firstLine="0" w:firstLineChars="0"/>
        <w:jc w:val="center"/>
        <w:rPr>
          <w:rFonts w:ascii="宋体" w:hAnsi="宋体" w:cs="宋体"/>
          <w:b/>
          <w:bCs/>
          <w:color w:val="0000FF"/>
          <w:szCs w:val="21"/>
        </w:rPr>
      </w:pPr>
      <w:r>
        <w:rPr>
          <w:rFonts w:hint="eastAsia" w:ascii="宋体" w:hAnsi="宋体" w:cs="宋体"/>
          <w:b/>
          <w:bCs/>
          <w:color w:val="0000FF"/>
          <w:szCs w:val="21"/>
        </w:rPr>
        <w:t>★配置清单</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4781"/>
        <w:gridCol w:w="1341"/>
        <w:gridCol w:w="1390"/>
      </w:tblGrid>
      <w:tr w14:paraId="7C49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exact"/>
          <w:jc w:val="center"/>
        </w:trPr>
        <w:tc>
          <w:tcPr>
            <w:tcW w:w="591" w:type="pct"/>
            <w:vAlign w:val="center"/>
          </w:tcPr>
          <w:p w14:paraId="0233B95A">
            <w:pPr>
              <w:widowControl/>
              <w:spacing w:line="440" w:lineRule="exact"/>
              <w:jc w:val="center"/>
              <w:textAlignment w:val="baseline"/>
              <w:rPr>
                <w:rFonts w:ascii="宋体" w:hAnsi="宋体" w:cs="宋体"/>
                <w:b/>
                <w:color w:val="0000FF"/>
                <w:szCs w:val="21"/>
              </w:rPr>
            </w:pPr>
            <w:r>
              <w:rPr>
                <w:rFonts w:hint="eastAsia" w:ascii="宋体" w:hAnsi="宋体" w:cs="宋体"/>
                <w:b/>
                <w:color w:val="0000FF"/>
                <w:szCs w:val="21"/>
              </w:rPr>
              <w:t>序 号</w:t>
            </w:r>
          </w:p>
        </w:tc>
        <w:tc>
          <w:tcPr>
            <w:tcW w:w="2805" w:type="pct"/>
            <w:vAlign w:val="center"/>
          </w:tcPr>
          <w:p w14:paraId="3FFD48DE">
            <w:pPr>
              <w:widowControl/>
              <w:spacing w:line="440" w:lineRule="exact"/>
              <w:jc w:val="center"/>
              <w:textAlignment w:val="baseline"/>
              <w:rPr>
                <w:rFonts w:ascii="宋体" w:hAnsi="宋体" w:cs="宋体"/>
                <w:b/>
                <w:color w:val="0000FF"/>
                <w:szCs w:val="21"/>
              </w:rPr>
            </w:pPr>
            <w:r>
              <w:rPr>
                <w:rFonts w:hint="eastAsia" w:ascii="宋体" w:hAnsi="宋体" w:cs="宋体"/>
                <w:b/>
                <w:color w:val="0000FF"/>
                <w:szCs w:val="21"/>
              </w:rPr>
              <w:t>部件名称</w:t>
            </w:r>
          </w:p>
        </w:tc>
        <w:tc>
          <w:tcPr>
            <w:tcW w:w="787" w:type="pct"/>
            <w:vAlign w:val="center"/>
          </w:tcPr>
          <w:p w14:paraId="36A90BA9">
            <w:pPr>
              <w:widowControl/>
              <w:spacing w:line="440" w:lineRule="exact"/>
              <w:jc w:val="center"/>
              <w:textAlignment w:val="baseline"/>
              <w:rPr>
                <w:rFonts w:ascii="宋体" w:hAnsi="宋体" w:cs="宋体"/>
                <w:b/>
                <w:color w:val="0000FF"/>
                <w:szCs w:val="21"/>
              </w:rPr>
            </w:pPr>
            <w:r>
              <w:rPr>
                <w:rFonts w:hint="eastAsia" w:ascii="宋体" w:hAnsi="宋体" w:cs="宋体"/>
                <w:b/>
                <w:color w:val="0000FF"/>
                <w:szCs w:val="21"/>
              </w:rPr>
              <w:t>数量</w:t>
            </w:r>
          </w:p>
        </w:tc>
        <w:tc>
          <w:tcPr>
            <w:tcW w:w="815" w:type="pct"/>
            <w:vAlign w:val="center"/>
          </w:tcPr>
          <w:p w14:paraId="551785F7">
            <w:pPr>
              <w:widowControl/>
              <w:spacing w:line="440" w:lineRule="exact"/>
              <w:jc w:val="center"/>
              <w:textAlignment w:val="baseline"/>
              <w:rPr>
                <w:rFonts w:ascii="宋体" w:hAnsi="宋体" w:cs="宋体"/>
                <w:b/>
                <w:color w:val="0000FF"/>
                <w:szCs w:val="21"/>
              </w:rPr>
            </w:pPr>
            <w:r>
              <w:rPr>
                <w:rFonts w:hint="eastAsia" w:ascii="宋体" w:hAnsi="宋体" w:cs="宋体"/>
                <w:b/>
                <w:color w:val="0000FF"/>
                <w:szCs w:val="21"/>
              </w:rPr>
              <w:t>备注</w:t>
            </w:r>
          </w:p>
        </w:tc>
      </w:tr>
      <w:tr w14:paraId="540A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7813965B">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w:t>
            </w:r>
          </w:p>
        </w:tc>
        <w:tc>
          <w:tcPr>
            <w:tcW w:w="2805" w:type="pct"/>
            <w:vAlign w:val="center"/>
          </w:tcPr>
          <w:p w14:paraId="1CA083FA">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主机</w:t>
            </w:r>
          </w:p>
        </w:tc>
        <w:tc>
          <w:tcPr>
            <w:tcW w:w="787" w:type="pct"/>
            <w:vAlign w:val="center"/>
          </w:tcPr>
          <w:p w14:paraId="3F682313">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1台</w:t>
            </w:r>
          </w:p>
        </w:tc>
        <w:tc>
          <w:tcPr>
            <w:tcW w:w="815" w:type="pct"/>
            <w:vAlign w:val="center"/>
          </w:tcPr>
          <w:p w14:paraId="40358870">
            <w:pPr>
              <w:widowControl/>
              <w:spacing w:line="440" w:lineRule="exact"/>
              <w:jc w:val="center"/>
              <w:textAlignment w:val="baseline"/>
              <w:rPr>
                <w:rFonts w:ascii="宋体" w:hAnsi="宋体" w:cs="宋体"/>
                <w:color w:val="0000FF"/>
                <w:szCs w:val="21"/>
              </w:rPr>
            </w:pPr>
          </w:p>
        </w:tc>
      </w:tr>
      <w:tr w14:paraId="5927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237E27B6">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2</w:t>
            </w:r>
          </w:p>
        </w:tc>
        <w:tc>
          <w:tcPr>
            <w:tcW w:w="2805" w:type="pct"/>
            <w:vAlign w:val="center"/>
          </w:tcPr>
          <w:p w14:paraId="588CCBF6">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台车</w:t>
            </w:r>
          </w:p>
        </w:tc>
        <w:tc>
          <w:tcPr>
            <w:tcW w:w="787" w:type="pct"/>
            <w:vAlign w:val="center"/>
          </w:tcPr>
          <w:p w14:paraId="0E9EC0E2">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1台</w:t>
            </w:r>
          </w:p>
        </w:tc>
        <w:tc>
          <w:tcPr>
            <w:tcW w:w="815" w:type="pct"/>
            <w:vAlign w:val="center"/>
          </w:tcPr>
          <w:p w14:paraId="3881834C">
            <w:pPr>
              <w:widowControl/>
              <w:spacing w:line="440" w:lineRule="exact"/>
              <w:jc w:val="center"/>
              <w:textAlignment w:val="baseline"/>
              <w:rPr>
                <w:rFonts w:ascii="宋体" w:hAnsi="宋体" w:cs="宋体"/>
                <w:color w:val="0000FF"/>
                <w:szCs w:val="21"/>
              </w:rPr>
            </w:pPr>
          </w:p>
        </w:tc>
      </w:tr>
      <w:tr w14:paraId="4A17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537EB562">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3</w:t>
            </w:r>
          </w:p>
        </w:tc>
        <w:tc>
          <w:tcPr>
            <w:tcW w:w="2805" w:type="pct"/>
            <w:vAlign w:val="center"/>
          </w:tcPr>
          <w:p w14:paraId="1AAA9CF9">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手柄支架</w:t>
            </w:r>
          </w:p>
        </w:tc>
        <w:tc>
          <w:tcPr>
            <w:tcW w:w="787" w:type="pct"/>
            <w:vAlign w:val="center"/>
          </w:tcPr>
          <w:p w14:paraId="53815E37">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1个</w:t>
            </w:r>
          </w:p>
        </w:tc>
        <w:tc>
          <w:tcPr>
            <w:tcW w:w="815" w:type="pct"/>
            <w:vAlign w:val="center"/>
          </w:tcPr>
          <w:p w14:paraId="69C2BA66">
            <w:pPr>
              <w:widowControl/>
              <w:spacing w:line="440" w:lineRule="exact"/>
              <w:jc w:val="center"/>
              <w:textAlignment w:val="baseline"/>
              <w:rPr>
                <w:rFonts w:ascii="宋体" w:hAnsi="宋体" w:cs="宋体"/>
                <w:color w:val="0000FF"/>
                <w:szCs w:val="21"/>
              </w:rPr>
            </w:pPr>
          </w:p>
        </w:tc>
      </w:tr>
      <w:tr w14:paraId="1508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268E9211">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4</w:t>
            </w:r>
          </w:p>
        </w:tc>
        <w:tc>
          <w:tcPr>
            <w:tcW w:w="2805" w:type="pct"/>
            <w:vAlign w:val="center"/>
          </w:tcPr>
          <w:p w14:paraId="71A1AC51">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矩形手柄</w:t>
            </w:r>
          </w:p>
        </w:tc>
        <w:tc>
          <w:tcPr>
            <w:tcW w:w="787" w:type="pct"/>
            <w:vAlign w:val="center"/>
          </w:tcPr>
          <w:p w14:paraId="1BBB3EAB">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1个</w:t>
            </w:r>
          </w:p>
        </w:tc>
        <w:tc>
          <w:tcPr>
            <w:tcW w:w="815" w:type="pct"/>
            <w:vAlign w:val="center"/>
          </w:tcPr>
          <w:p w14:paraId="70B1375F">
            <w:pPr>
              <w:widowControl/>
              <w:spacing w:line="440" w:lineRule="exact"/>
              <w:jc w:val="center"/>
              <w:textAlignment w:val="baseline"/>
              <w:rPr>
                <w:rFonts w:ascii="宋体" w:hAnsi="宋体" w:cs="宋体"/>
                <w:color w:val="0000FF"/>
                <w:szCs w:val="21"/>
              </w:rPr>
            </w:pPr>
          </w:p>
        </w:tc>
      </w:tr>
      <w:tr w14:paraId="6204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0595829B">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5</w:t>
            </w:r>
          </w:p>
        </w:tc>
        <w:tc>
          <w:tcPr>
            <w:tcW w:w="2805" w:type="pct"/>
            <w:vAlign w:val="center"/>
          </w:tcPr>
          <w:p w14:paraId="4D352F79">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脚踏开关组件</w:t>
            </w:r>
          </w:p>
        </w:tc>
        <w:tc>
          <w:tcPr>
            <w:tcW w:w="787" w:type="pct"/>
            <w:vAlign w:val="center"/>
          </w:tcPr>
          <w:p w14:paraId="6777C066">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1套</w:t>
            </w:r>
          </w:p>
        </w:tc>
        <w:tc>
          <w:tcPr>
            <w:tcW w:w="815" w:type="pct"/>
            <w:vAlign w:val="center"/>
          </w:tcPr>
          <w:p w14:paraId="38BDB8A0">
            <w:pPr>
              <w:widowControl/>
              <w:spacing w:line="440" w:lineRule="exact"/>
              <w:jc w:val="center"/>
              <w:textAlignment w:val="baseline"/>
              <w:rPr>
                <w:rFonts w:ascii="宋体" w:hAnsi="宋体" w:cs="宋体"/>
                <w:color w:val="0000FF"/>
                <w:szCs w:val="21"/>
              </w:rPr>
            </w:pPr>
          </w:p>
        </w:tc>
      </w:tr>
      <w:tr w14:paraId="4167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3C63DBBA">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6</w:t>
            </w:r>
          </w:p>
        </w:tc>
        <w:tc>
          <w:tcPr>
            <w:tcW w:w="2805" w:type="pct"/>
            <w:vAlign w:val="center"/>
          </w:tcPr>
          <w:p w14:paraId="6FE6FA8E">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授权卡</w:t>
            </w:r>
          </w:p>
        </w:tc>
        <w:tc>
          <w:tcPr>
            <w:tcW w:w="787" w:type="pct"/>
            <w:vAlign w:val="center"/>
          </w:tcPr>
          <w:p w14:paraId="45F178CB">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1个</w:t>
            </w:r>
          </w:p>
        </w:tc>
        <w:tc>
          <w:tcPr>
            <w:tcW w:w="815" w:type="pct"/>
            <w:vAlign w:val="center"/>
          </w:tcPr>
          <w:p w14:paraId="1253366D">
            <w:pPr>
              <w:widowControl/>
              <w:spacing w:line="440" w:lineRule="exact"/>
              <w:jc w:val="center"/>
              <w:textAlignment w:val="baseline"/>
              <w:rPr>
                <w:rFonts w:ascii="宋体" w:hAnsi="宋体" w:cs="宋体"/>
                <w:color w:val="0000FF"/>
                <w:szCs w:val="21"/>
              </w:rPr>
            </w:pPr>
          </w:p>
        </w:tc>
      </w:tr>
      <w:tr w14:paraId="2533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17FEB723">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7</w:t>
            </w:r>
          </w:p>
        </w:tc>
        <w:tc>
          <w:tcPr>
            <w:tcW w:w="2805" w:type="pct"/>
            <w:vAlign w:val="center"/>
          </w:tcPr>
          <w:p w14:paraId="0B905762">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电源线</w:t>
            </w:r>
          </w:p>
        </w:tc>
        <w:tc>
          <w:tcPr>
            <w:tcW w:w="787" w:type="pct"/>
            <w:vAlign w:val="center"/>
          </w:tcPr>
          <w:p w14:paraId="4DC6A0C6">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1根</w:t>
            </w:r>
          </w:p>
        </w:tc>
        <w:tc>
          <w:tcPr>
            <w:tcW w:w="815" w:type="pct"/>
            <w:vAlign w:val="center"/>
          </w:tcPr>
          <w:p w14:paraId="6CD22124">
            <w:pPr>
              <w:widowControl/>
              <w:spacing w:line="440" w:lineRule="exact"/>
              <w:jc w:val="center"/>
              <w:textAlignment w:val="baseline"/>
              <w:rPr>
                <w:rFonts w:ascii="宋体" w:hAnsi="宋体" w:cs="宋体"/>
                <w:color w:val="0000FF"/>
                <w:szCs w:val="21"/>
              </w:rPr>
            </w:pPr>
          </w:p>
        </w:tc>
      </w:tr>
      <w:tr w14:paraId="1DF0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37435326">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8</w:t>
            </w:r>
          </w:p>
        </w:tc>
        <w:tc>
          <w:tcPr>
            <w:tcW w:w="2805" w:type="pct"/>
            <w:vAlign w:val="center"/>
          </w:tcPr>
          <w:p w14:paraId="69E872C4">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合格证</w:t>
            </w:r>
          </w:p>
        </w:tc>
        <w:tc>
          <w:tcPr>
            <w:tcW w:w="787" w:type="pct"/>
            <w:vAlign w:val="center"/>
          </w:tcPr>
          <w:p w14:paraId="359C887D">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1份</w:t>
            </w:r>
          </w:p>
        </w:tc>
        <w:tc>
          <w:tcPr>
            <w:tcW w:w="815" w:type="pct"/>
            <w:vAlign w:val="center"/>
          </w:tcPr>
          <w:p w14:paraId="7C6C9A23">
            <w:pPr>
              <w:widowControl/>
              <w:spacing w:line="440" w:lineRule="exact"/>
              <w:jc w:val="center"/>
              <w:textAlignment w:val="baseline"/>
              <w:rPr>
                <w:rFonts w:ascii="宋体" w:hAnsi="宋体" w:cs="宋体"/>
                <w:color w:val="0000FF"/>
                <w:szCs w:val="21"/>
              </w:rPr>
            </w:pPr>
          </w:p>
        </w:tc>
      </w:tr>
      <w:tr w14:paraId="13C8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27825DA3">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9</w:t>
            </w:r>
          </w:p>
        </w:tc>
        <w:tc>
          <w:tcPr>
            <w:tcW w:w="2805" w:type="pct"/>
            <w:vAlign w:val="center"/>
          </w:tcPr>
          <w:p w14:paraId="4047F7E4">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保修卡</w:t>
            </w:r>
          </w:p>
        </w:tc>
        <w:tc>
          <w:tcPr>
            <w:tcW w:w="787" w:type="pct"/>
            <w:vAlign w:val="center"/>
          </w:tcPr>
          <w:p w14:paraId="4AFFFB90">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1份</w:t>
            </w:r>
          </w:p>
        </w:tc>
        <w:tc>
          <w:tcPr>
            <w:tcW w:w="815" w:type="pct"/>
            <w:vAlign w:val="center"/>
          </w:tcPr>
          <w:p w14:paraId="6C85244A">
            <w:pPr>
              <w:widowControl/>
              <w:spacing w:line="440" w:lineRule="exact"/>
              <w:jc w:val="center"/>
              <w:textAlignment w:val="baseline"/>
              <w:rPr>
                <w:rFonts w:ascii="宋体" w:hAnsi="宋体" w:cs="宋体"/>
                <w:color w:val="0000FF"/>
                <w:szCs w:val="21"/>
              </w:rPr>
            </w:pPr>
          </w:p>
        </w:tc>
      </w:tr>
      <w:tr w14:paraId="0ED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91" w:type="pct"/>
            <w:vAlign w:val="center"/>
          </w:tcPr>
          <w:p w14:paraId="6F370115">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10</w:t>
            </w:r>
          </w:p>
        </w:tc>
        <w:tc>
          <w:tcPr>
            <w:tcW w:w="2805" w:type="pct"/>
            <w:vAlign w:val="center"/>
          </w:tcPr>
          <w:p w14:paraId="2CB2CAF2">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说明书</w:t>
            </w:r>
          </w:p>
        </w:tc>
        <w:tc>
          <w:tcPr>
            <w:tcW w:w="787" w:type="pct"/>
            <w:vAlign w:val="center"/>
          </w:tcPr>
          <w:p w14:paraId="3D038F90">
            <w:pPr>
              <w:widowControl/>
              <w:spacing w:line="440" w:lineRule="exact"/>
              <w:jc w:val="center"/>
              <w:textAlignment w:val="baseline"/>
              <w:rPr>
                <w:rFonts w:ascii="宋体" w:hAnsi="宋体" w:cs="宋体"/>
                <w:color w:val="0000FF"/>
                <w:szCs w:val="21"/>
              </w:rPr>
            </w:pPr>
            <w:r>
              <w:rPr>
                <w:rFonts w:hint="eastAsia" w:ascii="宋体" w:hAnsi="宋体" w:cs="宋体"/>
                <w:color w:val="0000FF"/>
                <w:szCs w:val="21"/>
              </w:rPr>
              <w:t>1份</w:t>
            </w:r>
          </w:p>
        </w:tc>
        <w:tc>
          <w:tcPr>
            <w:tcW w:w="815" w:type="pct"/>
            <w:vAlign w:val="center"/>
          </w:tcPr>
          <w:p w14:paraId="7A4CB18E">
            <w:pPr>
              <w:widowControl/>
              <w:spacing w:line="440" w:lineRule="exact"/>
              <w:jc w:val="center"/>
              <w:textAlignment w:val="baseline"/>
              <w:rPr>
                <w:rFonts w:ascii="宋体" w:hAnsi="宋体" w:cs="宋体"/>
                <w:color w:val="0000FF"/>
                <w:szCs w:val="21"/>
              </w:rPr>
            </w:pPr>
          </w:p>
        </w:tc>
      </w:tr>
    </w:tbl>
    <w:p w14:paraId="332BF0F4">
      <w:pPr>
        <w:jc w:val="center"/>
        <w:outlineLvl w:val="1"/>
        <w:rPr>
          <w:rFonts w:ascii="微软雅黑" w:hAnsi="微软雅黑" w:eastAsia="微软雅黑" w:cs="微软雅黑"/>
          <w:b/>
          <w:color w:val="000000"/>
          <w:sz w:val="24"/>
          <w:szCs w:val="24"/>
        </w:rPr>
      </w:pPr>
      <w:bookmarkStart w:id="4" w:name="_Toc18456"/>
      <w:r>
        <w:rPr>
          <w:rFonts w:hint="eastAsia" w:ascii="微软雅黑" w:hAnsi="微软雅黑" w:eastAsia="微软雅黑" w:cs="微软雅黑"/>
          <w:b/>
          <w:color w:val="000000"/>
          <w:sz w:val="24"/>
          <w:szCs w:val="24"/>
        </w:rPr>
        <w:t>第四节  商务需求明细</w:t>
      </w:r>
      <w:bookmarkEnd w:id="4"/>
    </w:p>
    <w:p w14:paraId="0631B439">
      <w:pPr>
        <w:spacing w:line="440" w:lineRule="exact"/>
        <w:ind w:firstLine="420" w:firstLineChars="200"/>
        <w:rPr>
          <w:rFonts w:ascii="宋体" w:hAnsi="宋体" w:cs="宋体"/>
          <w:color w:val="0000FF"/>
          <w:szCs w:val="21"/>
        </w:rPr>
      </w:pPr>
      <w:r>
        <w:rPr>
          <w:rFonts w:hint="eastAsia" w:ascii="宋体" w:hAnsi="宋体" w:cs="宋体"/>
          <w:color w:val="0000FF"/>
          <w:szCs w:val="21"/>
        </w:rPr>
        <w:t>一、免费保修期内售后服务要求</w:t>
      </w:r>
    </w:p>
    <w:p w14:paraId="66A66781">
      <w:pPr>
        <w:spacing w:line="440" w:lineRule="exact"/>
        <w:ind w:firstLine="420" w:firstLineChars="200"/>
        <w:rPr>
          <w:rFonts w:ascii="宋体" w:hAnsi="宋体" w:cs="宋体"/>
          <w:color w:val="0000FF"/>
          <w:szCs w:val="21"/>
        </w:rPr>
      </w:pPr>
      <w:r>
        <w:rPr>
          <w:rFonts w:hint="eastAsia" w:ascii="宋体" w:hAnsi="宋体" w:cs="宋体"/>
          <w:color w:val="0000FF"/>
          <w:szCs w:val="21"/>
        </w:rPr>
        <w:t>1.维修及维护服务</w:t>
      </w:r>
      <w:r>
        <w:rPr>
          <w:rFonts w:hint="eastAsia" w:ascii="宋体" w:hAnsi="宋体" w:cs="宋体"/>
          <w:color w:val="0000FF"/>
          <w:szCs w:val="21"/>
        </w:rPr>
        <w:tab/>
      </w:r>
    </w:p>
    <w:p w14:paraId="4E57AC18">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★1.1 所投货物(含所有配置及软硬件校准和升级)免费保修期不少于 </w:t>
      </w:r>
      <w:r>
        <w:rPr>
          <w:rFonts w:hint="eastAsia" w:ascii="宋体" w:hAnsi="宋体" w:cs="宋体"/>
          <w:color w:val="0000FF"/>
          <w:szCs w:val="21"/>
          <w:u w:val="single"/>
        </w:rPr>
        <w:t>5年</w:t>
      </w:r>
      <w:r>
        <w:rPr>
          <w:rFonts w:hint="eastAsia" w:ascii="宋体" w:hAnsi="宋体" w:cs="宋体"/>
          <w:color w:val="0000FF"/>
          <w:szCs w:val="21"/>
        </w:rPr>
        <w:t>，时间自最终验收合格交付使用并完成入库手续之日起计算。中标人必须提供设备制造商售后服务，终身维修。</w:t>
      </w:r>
    </w:p>
    <w:p w14:paraId="69FADC6A">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1.2 免费保修期内，年度定期预防性维护保养次数应不少于 </w:t>
      </w:r>
      <w:r>
        <w:rPr>
          <w:rFonts w:hint="eastAsia" w:ascii="宋体" w:hAnsi="宋体" w:cs="宋体"/>
          <w:color w:val="0000FF"/>
          <w:szCs w:val="21"/>
          <w:u w:val="single"/>
        </w:rPr>
        <w:t>4 次</w:t>
      </w:r>
      <w:r>
        <w:rPr>
          <w:rFonts w:hint="eastAsia" w:ascii="宋体" w:hAnsi="宋体" w:cs="宋体"/>
          <w:color w:val="0000FF"/>
          <w:szCs w:val="21"/>
        </w:rPr>
        <w:t>。免费更换零配件、免工时费。每次预防性维护保养后需出具符合设备制造商标准的保养记录，每年度提供符合设备制造商技术标准或经国家质量监督管理机构指定的第三方认可的质控报告。</w:t>
      </w:r>
    </w:p>
    <w:p w14:paraId="4B59581A">
      <w:pPr>
        <w:pStyle w:val="2"/>
        <w:spacing w:line="440" w:lineRule="exact"/>
        <w:ind w:firstLine="420" w:firstLineChars="200"/>
        <w:rPr>
          <w:rFonts w:ascii="宋体" w:hAnsi="宋体" w:cs="宋体"/>
          <w:color w:val="0000FF"/>
          <w:szCs w:val="21"/>
        </w:rPr>
      </w:pPr>
      <w:r>
        <w:rPr>
          <w:rFonts w:hint="eastAsia" w:ascii="宋体" w:hAnsi="宋体" w:cs="宋体"/>
          <w:color w:val="0000FF"/>
          <w:szCs w:val="21"/>
        </w:rPr>
        <w:t>1.3 由设备制造商提供售后服务，4 小时内响应，24 小时维修到位(不可抗力情况除外)。</w:t>
      </w:r>
    </w:p>
    <w:p w14:paraId="3DA65AFB">
      <w:pPr>
        <w:spacing w:line="440" w:lineRule="exact"/>
        <w:ind w:firstLine="420" w:firstLineChars="200"/>
        <w:rPr>
          <w:rFonts w:ascii="宋体" w:hAnsi="宋体" w:cs="宋体"/>
          <w:color w:val="0000FF"/>
          <w:szCs w:val="21"/>
        </w:rPr>
      </w:pPr>
      <w:r>
        <w:rPr>
          <w:rFonts w:hint="eastAsia" w:ascii="宋体" w:hAnsi="宋体" w:cs="宋体"/>
          <w:color w:val="0000FF"/>
          <w:szCs w:val="21"/>
        </w:rPr>
        <w:t>如需更换消耗品和零配件的，需在48小时之内完成。如遇产品重大故障，超72小时无法解决的，提供备用机。</w:t>
      </w:r>
    </w:p>
    <w:p w14:paraId="595B916E">
      <w:pPr>
        <w:spacing w:line="440" w:lineRule="exact"/>
        <w:ind w:firstLine="420" w:firstLineChars="200"/>
        <w:rPr>
          <w:rFonts w:ascii="宋体" w:hAnsi="宋体" w:cs="宋体"/>
          <w:color w:val="0000FF"/>
          <w:szCs w:val="21"/>
        </w:rPr>
      </w:pPr>
      <w:r>
        <w:rPr>
          <w:rFonts w:hint="eastAsia" w:ascii="宋体" w:hAnsi="宋体" w:cs="宋体"/>
          <w:color w:val="0000FF"/>
          <w:szCs w:val="21"/>
        </w:rPr>
        <w:t>2.★质量保证</w:t>
      </w:r>
      <w:r>
        <w:rPr>
          <w:rFonts w:hint="eastAsia" w:ascii="宋体" w:hAnsi="宋体" w:cs="宋体"/>
          <w:color w:val="0000FF"/>
          <w:szCs w:val="21"/>
        </w:rPr>
        <w:tab/>
      </w:r>
    </w:p>
    <w:p w14:paraId="1232713A">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 免费保修期内，中标人应确保年开机率在95%（不含）以上，否则按照如下约定执行: ①年开机率90%（不含）~95%(含)，中标人须延续设备制造商免费保修期半年；②年开机率在85%（不含）~90%(含)，中标人须延续设备制造商免费保修期一年；③年开机率低于85%(含85%)，中标人须无条件更换新机并赔偿采购人的直接经济损失和间接经济损失。注:年开机率=(365-停机天数)/365)。</w:t>
      </w:r>
    </w:p>
    <w:p w14:paraId="63026166">
      <w:pPr>
        <w:spacing w:line="440" w:lineRule="exact"/>
        <w:ind w:firstLine="420" w:firstLineChars="200"/>
        <w:rPr>
          <w:rFonts w:ascii="宋体" w:hAnsi="宋体" w:cs="宋体"/>
          <w:color w:val="0000FF"/>
          <w:szCs w:val="21"/>
        </w:rPr>
      </w:pPr>
      <w:r>
        <w:rPr>
          <w:rFonts w:hint="eastAsia" w:ascii="宋体" w:hAnsi="宋体" w:cs="宋体"/>
          <w:color w:val="0000FF"/>
          <w:szCs w:val="21"/>
        </w:rPr>
        <w:t>二、免费保修期外售后服务要求</w:t>
      </w:r>
    </w:p>
    <w:p w14:paraId="0BD3B805">
      <w:pPr>
        <w:spacing w:line="440" w:lineRule="exact"/>
        <w:ind w:firstLine="420" w:firstLineChars="200"/>
        <w:rPr>
          <w:rFonts w:ascii="宋体" w:hAnsi="宋体" w:cs="宋体"/>
          <w:color w:val="0000FF"/>
          <w:szCs w:val="21"/>
        </w:rPr>
      </w:pPr>
      <w:r>
        <w:rPr>
          <w:rFonts w:hint="eastAsia" w:ascii="宋体" w:hAnsi="宋体" w:cs="宋体"/>
          <w:color w:val="0000FF"/>
          <w:szCs w:val="21"/>
        </w:rPr>
        <w:t>1.服务内容及要求</w:t>
      </w:r>
      <w:r>
        <w:rPr>
          <w:rFonts w:hint="eastAsia" w:ascii="宋体" w:hAnsi="宋体" w:cs="宋体"/>
          <w:color w:val="0000FF"/>
          <w:szCs w:val="21"/>
        </w:rPr>
        <w:tab/>
      </w:r>
    </w:p>
    <w:p w14:paraId="3F4F4179">
      <w:pPr>
        <w:pStyle w:val="2"/>
        <w:spacing w:line="440" w:lineRule="exact"/>
        <w:ind w:firstLine="420" w:firstLineChars="200"/>
        <w:rPr>
          <w:rFonts w:ascii="宋体" w:hAnsi="宋体" w:cs="宋体"/>
          <w:color w:val="0000FF"/>
          <w:szCs w:val="21"/>
        </w:rPr>
      </w:pPr>
      <w:r>
        <w:rPr>
          <w:rFonts w:hint="eastAsia" w:ascii="宋体" w:hAnsi="宋体" w:cs="宋体"/>
          <w:color w:val="0000FF"/>
          <w:szCs w:val="21"/>
        </w:rPr>
        <w:t>1.1 设备制造商提供售后服务，4 小时内响应，24 小时维修到位(不可抗力情况除外)。</w:t>
      </w:r>
    </w:p>
    <w:p w14:paraId="7D096D0C">
      <w:pPr>
        <w:spacing w:line="440" w:lineRule="exact"/>
        <w:ind w:firstLine="420" w:firstLineChars="200"/>
        <w:rPr>
          <w:rFonts w:ascii="宋体" w:hAnsi="宋体" w:cs="宋体"/>
          <w:color w:val="0000FF"/>
          <w:szCs w:val="21"/>
        </w:rPr>
      </w:pPr>
      <w:r>
        <w:rPr>
          <w:rFonts w:hint="eastAsia" w:ascii="宋体" w:hAnsi="宋体" w:cs="宋体"/>
          <w:color w:val="0000FF"/>
          <w:szCs w:val="21"/>
        </w:rPr>
        <w:t>如需更换消耗品和零配件的，需在48小时之内完成，如遇产品重大故障，超72小时无法解决的，提供备用机。</w:t>
      </w:r>
    </w:p>
    <w:p w14:paraId="419CF041">
      <w:pPr>
        <w:spacing w:line="440" w:lineRule="exact"/>
        <w:ind w:firstLine="420" w:firstLineChars="200"/>
        <w:rPr>
          <w:rFonts w:ascii="宋体" w:hAnsi="宋体" w:cs="宋体"/>
          <w:color w:val="0000FF"/>
          <w:szCs w:val="21"/>
        </w:rPr>
      </w:pPr>
      <w:r>
        <w:rPr>
          <w:rFonts w:hint="eastAsia" w:ascii="宋体" w:hAnsi="宋体" w:cs="宋体"/>
          <w:color w:val="0000FF"/>
          <w:szCs w:val="21"/>
        </w:rPr>
        <w:t>★1.2 免费保修期满后，设备制造商以优惠价格供应原厂维修零配件、消耗品和延续保修合同及仅人工保修服务。</w:t>
      </w:r>
    </w:p>
    <w:p w14:paraId="6BA36D48">
      <w:pPr>
        <w:spacing w:line="440" w:lineRule="exact"/>
        <w:ind w:firstLine="420" w:firstLineChars="200"/>
        <w:rPr>
          <w:rFonts w:ascii="宋体" w:hAnsi="宋体" w:cs="宋体"/>
          <w:color w:val="0000FF"/>
          <w:szCs w:val="21"/>
        </w:rPr>
      </w:pPr>
      <w:r>
        <w:rPr>
          <w:rFonts w:hint="eastAsia" w:ascii="宋体" w:hAnsi="宋体" w:cs="宋体"/>
          <w:color w:val="0000FF"/>
          <w:szCs w:val="21"/>
        </w:rPr>
        <w:t>1.3 价格最高的前5项零配件、消耗品和延续全保修、仅人工保修服务的优惠报价需填写于《零配件、消耗品和延续保修合同报价明细清单》中。</w:t>
      </w:r>
    </w:p>
    <w:p w14:paraId="311D5520">
      <w:pPr>
        <w:spacing w:line="440" w:lineRule="exact"/>
        <w:ind w:firstLine="420" w:firstLineChars="200"/>
        <w:rPr>
          <w:rFonts w:ascii="宋体" w:hAnsi="宋体" w:cs="宋体"/>
          <w:color w:val="0000FF"/>
          <w:szCs w:val="21"/>
        </w:rPr>
      </w:pPr>
      <w:r>
        <w:rPr>
          <w:rFonts w:hint="eastAsia" w:ascii="宋体" w:hAnsi="宋体" w:cs="宋体"/>
          <w:color w:val="0000FF"/>
          <w:szCs w:val="21"/>
        </w:rPr>
        <w:t>1.4 免费保修期外，采购人采购零配件、消耗品和延续保修服务明细内容时，可就价格进行谈判，最终谈判价格不能高于《零配件、消耗品和延续保修合同报价明细清单》中优惠报价。</w:t>
      </w:r>
    </w:p>
    <w:p w14:paraId="785040EB">
      <w:pPr>
        <w:spacing w:line="440" w:lineRule="exact"/>
        <w:ind w:firstLine="420" w:firstLineChars="200"/>
        <w:rPr>
          <w:rFonts w:ascii="宋体" w:hAnsi="宋体" w:cs="宋体"/>
          <w:color w:val="0000FF"/>
          <w:szCs w:val="21"/>
        </w:rPr>
      </w:pPr>
      <w:r>
        <w:rPr>
          <w:rFonts w:hint="eastAsia" w:ascii="宋体" w:hAnsi="宋体" w:cs="宋体"/>
          <w:color w:val="0000FF"/>
          <w:szCs w:val="21"/>
        </w:rPr>
        <w:t>1.5 中标人及设备制造商不得以任何理由不按时进行维修，不得要求采购人购买所谓“保修服务”(即:不论设备有无故障先买保修服务)，不得在设备中嵌设任何不利于采购人使用与维修设备的障碍。</w:t>
      </w:r>
    </w:p>
    <w:p w14:paraId="5E1E1B6F">
      <w:pPr>
        <w:spacing w:line="440" w:lineRule="exact"/>
        <w:ind w:firstLine="420" w:firstLineChars="200"/>
        <w:rPr>
          <w:rFonts w:ascii="宋体" w:hAnsi="宋体" w:cs="宋体"/>
          <w:color w:val="0000FF"/>
          <w:szCs w:val="21"/>
        </w:rPr>
      </w:pPr>
      <w:r>
        <w:rPr>
          <w:rFonts w:hint="eastAsia" w:ascii="宋体" w:hAnsi="宋体" w:cs="宋体"/>
          <w:color w:val="0000FF"/>
          <w:szCs w:val="21"/>
        </w:rPr>
        <w:t>★1.6 投标人承诺中标后90个日历日内，设备专机专用的医用一次性使用耗材和试剂需在深圳市医用耗材阳光交易和监管平台注册，并提供医用耗材阳光交易和监管平台最低供货价。</w:t>
      </w:r>
      <w:r>
        <w:rPr>
          <w:rFonts w:hint="eastAsia" w:ascii="宋体" w:hAnsi="宋体" w:cs="宋体"/>
          <w:b/>
          <w:bCs/>
          <w:color w:val="0000FF"/>
          <w:szCs w:val="21"/>
        </w:rPr>
        <w:t>【提供承诺函承诺以上要求(格式自拟)】。若无配套医用专机专用耗材和试剂，投标人需提供说明函（格式自拟）。</w:t>
      </w:r>
    </w:p>
    <w:p w14:paraId="79099DAC">
      <w:pPr>
        <w:spacing w:line="440" w:lineRule="exact"/>
        <w:ind w:firstLine="420" w:firstLineChars="200"/>
        <w:rPr>
          <w:rFonts w:ascii="宋体" w:hAnsi="宋体" w:cs="宋体"/>
          <w:color w:val="0000FF"/>
          <w:szCs w:val="21"/>
        </w:rPr>
      </w:pPr>
      <w:r>
        <w:rPr>
          <w:rFonts w:hint="eastAsia" w:ascii="宋体" w:hAnsi="宋体" w:cs="宋体"/>
          <w:color w:val="0000FF"/>
          <w:szCs w:val="21"/>
        </w:rPr>
        <w:t>三、其他商务要求</w:t>
      </w:r>
    </w:p>
    <w:p w14:paraId="3EF17891">
      <w:pPr>
        <w:spacing w:line="440" w:lineRule="exact"/>
        <w:ind w:firstLine="420" w:firstLineChars="200"/>
        <w:rPr>
          <w:rFonts w:ascii="宋体" w:hAnsi="宋体" w:cs="宋体"/>
          <w:color w:val="0000FF"/>
          <w:szCs w:val="21"/>
        </w:rPr>
      </w:pPr>
      <w:r>
        <w:rPr>
          <w:rFonts w:hint="eastAsia" w:ascii="宋体" w:hAnsi="宋体" w:cs="宋体"/>
          <w:color w:val="0000FF"/>
          <w:szCs w:val="21"/>
        </w:rPr>
        <w:t>1.交货要求</w:t>
      </w:r>
      <w:r>
        <w:rPr>
          <w:rFonts w:hint="eastAsia" w:ascii="宋体" w:hAnsi="宋体" w:cs="宋体"/>
          <w:color w:val="0000FF"/>
          <w:szCs w:val="21"/>
        </w:rPr>
        <w:tab/>
      </w:r>
    </w:p>
    <w:p w14:paraId="36C49327">
      <w:pPr>
        <w:spacing w:line="440" w:lineRule="exact"/>
        <w:ind w:firstLine="422" w:firstLineChars="200"/>
        <w:rPr>
          <w:rFonts w:ascii="宋体" w:hAnsi="宋体" w:cs="宋体"/>
          <w:b/>
          <w:bCs/>
          <w:color w:val="0000FF"/>
          <w:szCs w:val="21"/>
        </w:rPr>
      </w:pPr>
      <w:r>
        <w:rPr>
          <w:rFonts w:hint="eastAsia" w:ascii="宋体" w:hAnsi="宋体" w:cs="宋体"/>
          <w:b/>
          <w:bCs/>
          <w:color w:val="0000FF"/>
          <w:szCs w:val="21"/>
        </w:rPr>
        <w:t xml:space="preserve">★1.1 中标人在签订合同之日起，国产设备 </w:t>
      </w:r>
      <w:r>
        <w:rPr>
          <w:rFonts w:hint="eastAsia" w:ascii="宋体" w:hAnsi="宋体" w:cs="宋体"/>
          <w:b/>
          <w:bCs/>
          <w:color w:val="0000FF"/>
          <w:szCs w:val="21"/>
          <w:u w:val="single"/>
        </w:rPr>
        <w:t>60日</w:t>
      </w:r>
      <w:r>
        <w:rPr>
          <w:rFonts w:hint="eastAsia" w:ascii="宋体" w:hAnsi="宋体" w:cs="宋体"/>
          <w:b/>
          <w:bCs/>
          <w:color w:val="0000FF"/>
          <w:szCs w:val="21"/>
        </w:rPr>
        <w:t>历日内，进口设备</w:t>
      </w:r>
      <w:r>
        <w:rPr>
          <w:rFonts w:hint="eastAsia" w:ascii="宋体" w:hAnsi="宋体" w:cs="宋体"/>
          <w:b/>
          <w:bCs/>
          <w:color w:val="0000FF"/>
          <w:szCs w:val="21"/>
          <w:u w:val="single"/>
        </w:rPr>
        <w:t xml:space="preserve"> 90日</w:t>
      </w:r>
      <w:r>
        <w:rPr>
          <w:rFonts w:hint="eastAsia" w:ascii="宋体" w:hAnsi="宋体" w:cs="宋体"/>
          <w:b/>
          <w:bCs/>
          <w:color w:val="0000FF"/>
          <w:szCs w:val="21"/>
        </w:rPr>
        <w:t>历日内交货并安装调试完毕，交付采购人验收；并且保证交付验收之日起10日内产品可以正常投入使用。</w:t>
      </w:r>
    </w:p>
    <w:p w14:paraId="7C209E68">
      <w:pPr>
        <w:spacing w:line="440" w:lineRule="exact"/>
        <w:ind w:firstLine="420" w:firstLineChars="200"/>
        <w:rPr>
          <w:rFonts w:ascii="宋体" w:hAnsi="宋体" w:cs="宋体"/>
          <w:color w:val="0000FF"/>
          <w:szCs w:val="21"/>
        </w:rPr>
      </w:pPr>
      <w:r>
        <w:rPr>
          <w:rFonts w:hint="eastAsia" w:ascii="宋体" w:hAnsi="宋体" w:cs="宋体"/>
          <w:color w:val="0000FF"/>
          <w:szCs w:val="21"/>
        </w:rPr>
        <w:t>1.2 签订合同后，如涉及机房装修改造，中标人需立即向采购人出具机房装修要求的相关资料。并提供机房内与安装设备直接相关的器具和部件，包括从配电箱到主机的电缆线，专用导轨吊架和地梁钢结构等设备专用配件，采购人仅负责通用要求的放射防护装修。</w:t>
      </w:r>
    </w:p>
    <w:p w14:paraId="59653F6D">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★1.3 设备制造商负责货物的终身维修，提供至少 </w:t>
      </w:r>
      <w:r>
        <w:rPr>
          <w:rFonts w:hint="eastAsia" w:ascii="宋体" w:hAnsi="宋体" w:cs="宋体"/>
          <w:color w:val="0000FF"/>
          <w:szCs w:val="21"/>
          <w:u w:val="single"/>
        </w:rPr>
        <w:t>10 年</w:t>
      </w:r>
      <w:r>
        <w:rPr>
          <w:rFonts w:hint="eastAsia" w:ascii="宋体" w:hAnsi="宋体" w:cs="宋体"/>
          <w:color w:val="0000FF"/>
          <w:szCs w:val="21"/>
        </w:rPr>
        <w:t>原厂维修配件供应及软件升级。并配合采购人完成设备端信息化接口改造（免费维保期内配件及软件升级和接口改造服务费用包含在投标总价中）。</w:t>
      </w:r>
    </w:p>
    <w:p w14:paraId="4BA5B9B3">
      <w:pPr>
        <w:spacing w:line="440" w:lineRule="exact"/>
        <w:ind w:firstLine="420" w:firstLineChars="200"/>
        <w:rPr>
          <w:rFonts w:ascii="宋体" w:hAnsi="宋体" w:cs="宋体"/>
          <w:color w:val="0000FF"/>
          <w:szCs w:val="21"/>
          <w:highlight w:val="yellow"/>
        </w:rPr>
      </w:pPr>
      <w:r>
        <w:rPr>
          <w:rFonts w:hint="eastAsia" w:ascii="宋体" w:hAnsi="宋体" w:cs="宋体"/>
          <w:color w:val="0000FF"/>
          <w:szCs w:val="21"/>
        </w:rPr>
        <w:t>★</w:t>
      </w:r>
      <w:r>
        <w:rPr>
          <w:rFonts w:hint="eastAsia" w:ascii="宋体" w:hAnsi="宋体" w:cs="宋体"/>
          <w:b/>
          <w:bCs/>
          <w:color w:val="0000FF"/>
          <w:szCs w:val="21"/>
        </w:rPr>
        <w:t>投标人承诺，若所投产品为国产产品，中标后设备验收时必须提供设备生产厂家维保承诺函原件（加盖设备生产厂商公章），承诺内容包括但不限于：《免费保修期内售后服务要求》内容（投标人提供承诺函，格式自拟）。若所投产品为进口产品，投标人投标时必须提供由设备制造商(或中国总代理)签署合法有效的维保承诺函（加盖设备生产厂商或中国总代理公章） 承诺内容包括但不限于：《免费保修期内售后服务要求》内容（提供生产厂家或中国总代理承诺函，格式自拟，原件备查）。</w:t>
      </w:r>
    </w:p>
    <w:p w14:paraId="566FD9A4">
      <w:pPr>
        <w:spacing w:line="440" w:lineRule="exact"/>
        <w:ind w:firstLine="420" w:firstLineChars="200"/>
        <w:rPr>
          <w:rFonts w:ascii="宋体" w:hAnsi="宋体" w:cs="宋体"/>
          <w:color w:val="0000FF"/>
          <w:szCs w:val="21"/>
        </w:rPr>
      </w:pPr>
      <w:r>
        <w:rPr>
          <w:rFonts w:hint="eastAsia" w:ascii="宋体" w:hAnsi="宋体" w:cs="宋体"/>
          <w:color w:val="0000FF"/>
          <w:szCs w:val="21"/>
        </w:rPr>
        <w:t>1.4 中标人应提供设备的技术文件，包括但不限于设备配置清单、产品说明书、图纸、操作手册、维护手册(含维修密码及接口数据)、质量保证文件、服务指南等，所有外文资料须提供中文译本。文件应随货物一并交付至采购人指定地点。</w:t>
      </w:r>
    </w:p>
    <w:p w14:paraId="4CD530FE">
      <w:pPr>
        <w:pStyle w:val="2"/>
        <w:spacing w:line="440" w:lineRule="exact"/>
        <w:ind w:firstLine="420" w:firstLineChars="200"/>
        <w:rPr>
          <w:rFonts w:ascii="宋体" w:hAnsi="宋体" w:cs="宋体"/>
          <w:color w:val="0000FF"/>
          <w:szCs w:val="21"/>
        </w:rPr>
      </w:pPr>
      <w:r>
        <w:rPr>
          <w:rFonts w:hint="eastAsia" w:ascii="宋体" w:hAnsi="宋体" w:cs="宋体"/>
          <w:color w:val="0000FF"/>
          <w:szCs w:val="21"/>
        </w:rPr>
        <w:t>★1.5投标人须承诺提供的货物为全新经检验合格的产品。产品如需要计量检测的应提供相关计量检定部门出具的合法检定报告。其中，中标后，进口设备必须具有报关证明文件、原产地证明和商检合格证明文件</w:t>
      </w:r>
      <w:r>
        <w:rPr>
          <w:rFonts w:hint="eastAsia" w:ascii="宋体" w:hAnsi="宋体" w:cs="宋体"/>
          <w:b/>
          <w:bCs/>
          <w:color w:val="0000FF"/>
          <w:szCs w:val="21"/>
        </w:rPr>
        <w:t>【提供承诺函承诺以上内容，格式自拟】</w:t>
      </w:r>
      <w:r>
        <w:rPr>
          <w:rFonts w:hint="eastAsia" w:ascii="宋体" w:hAnsi="宋体" w:cs="宋体"/>
          <w:color w:val="0000FF"/>
          <w:szCs w:val="21"/>
        </w:rPr>
        <w:t>。</w:t>
      </w:r>
    </w:p>
    <w:p w14:paraId="49E5219F">
      <w:pPr>
        <w:spacing w:line="440" w:lineRule="exact"/>
        <w:ind w:firstLine="420" w:firstLineChars="200"/>
        <w:rPr>
          <w:rFonts w:ascii="宋体" w:hAnsi="宋体" w:cs="宋体"/>
          <w:color w:val="0000FF"/>
          <w:szCs w:val="21"/>
        </w:rPr>
      </w:pPr>
      <w:r>
        <w:rPr>
          <w:rFonts w:hint="eastAsia" w:ascii="宋体" w:hAnsi="宋体" w:cs="宋体"/>
          <w:color w:val="0000FF"/>
          <w:szCs w:val="21"/>
        </w:rPr>
        <w:t>2.运输、安装和验收</w:t>
      </w:r>
      <w:r>
        <w:rPr>
          <w:rFonts w:hint="eastAsia" w:ascii="宋体" w:hAnsi="宋体" w:cs="宋体"/>
          <w:color w:val="0000FF"/>
          <w:szCs w:val="21"/>
        </w:rPr>
        <w:tab/>
      </w:r>
    </w:p>
    <w:p w14:paraId="16975C6C">
      <w:pPr>
        <w:spacing w:line="440" w:lineRule="exact"/>
        <w:ind w:firstLine="420" w:firstLineChars="200"/>
        <w:rPr>
          <w:rFonts w:ascii="宋体" w:hAnsi="宋体" w:cs="宋体"/>
          <w:color w:val="0000FF"/>
          <w:szCs w:val="21"/>
        </w:rPr>
      </w:pPr>
      <w:r>
        <w:rPr>
          <w:rFonts w:hint="eastAsia" w:ascii="宋体" w:hAnsi="宋体" w:cs="宋体"/>
          <w:color w:val="0000FF"/>
          <w:szCs w:val="21"/>
        </w:rPr>
        <w:t>2.1 中标人负责将货物安全无损运抵采购人指定地点，并承担设备的包装、运输、保险、装卸、安装调试、培训、商检及计量检测、关税、增值税和进口代理等费用。</w:t>
      </w:r>
    </w:p>
    <w:p w14:paraId="109AB246">
      <w:pPr>
        <w:spacing w:line="440" w:lineRule="exact"/>
        <w:ind w:firstLine="420" w:firstLineChars="200"/>
        <w:rPr>
          <w:rFonts w:ascii="宋体" w:hAnsi="宋体" w:cs="宋体"/>
          <w:color w:val="0000FF"/>
          <w:szCs w:val="21"/>
        </w:rPr>
      </w:pPr>
      <w:r>
        <w:rPr>
          <w:rFonts w:hint="eastAsia" w:ascii="宋体" w:hAnsi="宋体" w:cs="宋体"/>
          <w:color w:val="0000FF"/>
          <w:szCs w:val="21"/>
        </w:rPr>
        <w:t>2.2 采购人在必要时有权要求中标人提供设备相关的第三方检验检测报告。如果发现所交货物与投标文件中所承诺的不符或存在质量、技术缺陷等，采购人可以拒绝接收该货物，投标人应采取补足、更换或退货等措施，以满足规格的要求，由此发生的一切损失和费用由中标人承担。</w:t>
      </w:r>
    </w:p>
    <w:p w14:paraId="27178B55">
      <w:pPr>
        <w:spacing w:line="440" w:lineRule="exact"/>
        <w:ind w:firstLine="420" w:firstLineChars="200"/>
        <w:rPr>
          <w:rFonts w:ascii="宋体" w:hAnsi="宋体" w:cs="宋体"/>
          <w:color w:val="0000FF"/>
          <w:szCs w:val="21"/>
        </w:rPr>
      </w:pPr>
      <w:r>
        <w:rPr>
          <w:rFonts w:hint="eastAsia" w:ascii="宋体" w:hAnsi="宋体" w:cs="宋体"/>
          <w:color w:val="0000FF"/>
          <w:szCs w:val="21"/>
        </w:rPr>
        <w:t>2.3 中标人与采购人设备验收人员共同确认安装条件符合相关技术要求后方可发出货物，中标人负责货物的现场安装和调试，提供货物安装、调试和维修所需的专用工具和辅助材料。</w:t>
      </w:r>
    </w:p>
    <w:p w14:paraId="73B70D03">
      <w:pPr>
        <w:spacing w:line="440" w:lineRule="exact"/>
        <w:ind w:firstLine="420" w:firstLineChars="200"/>
        <w:rPr>
          <w:rFonts w:ascii="宋体" w:hAnsi="宋体" w:cs="宋体"/>
          <w:color w:val="0000FF"/>
          <w:szCs w:val="21"/>
        </w:rPr>
      </w:pPr>
      <w:r>
        <w:rPr>
          <w:rFonts w:hint="eastAsia" w:ascii="宋体" w:hAnsi="宋体" w:cs="宋体"/>
          <w:color w:val="0000FF"/>
          <w:szCs w:val="21"/>
        </w:rPr>
        <w:t>★2.4 由中标人代表和采购人组成验收小组对产品进行验收。验收标准按照国家规定标准执行。经检验设备正常运作后签署验收报告。</w:t>
      </w:r>
    </w:p>
    <w:p w14:paraId="68C44213">
      <w:pPr>
        <w:spacing w:line="440" w:lineRule="exact"/>
        <w:ind w:firstLine="420" w:firstLineChars="200"/>
        <w:rPr>
          <w:rFonts w:ascii="宋体" w:hAnsi="宋体" w:cs="宋体"/>
          <w:color w:val="0000FF"/>
          <w:szCs w:val="21"/>
        </w:rPr>
      </w:pPr>
      <w:r>
        <w:rPr>
          <w:rFonts w:hint="eastAsia" w:ascii="宋体" w:hAnsi="宋体" w:cs="宋体"/>
          <w:color w:val="0000FF"/>
          <w:szCs w:val="21"/>
        </w:rPr>
        <w:t>2.5 设备安装过程中不得损坏安装场地内已有设备、器具和装修等物品，如有损坏，中标人应无条件恢复原状，针对无法修复的中标人应当赔偿采购人的损失。</w:t>
      </w:r>
    </w:p>
    <w:p w14:paraId="07CFEF54">
      <w:pPr>
        <w:spacing w:line="440" w:lineRule="exact"/>
        <w:ind w:firstLine="420" w:firstLineChars="200"/>
        <w:rPr>
          <w:rFonts w:ascii="宋体" w:hAnsi="宋体" w:cs="宋体"/>
          <w:color w:val="0000FF"/>
          <w:szCs w:val="21"/>
        </w:rPr>
      </w:pPr>
      <w:r>
        <w:rPr>
          <w:rFonts w:hint="eastAsia" w:ascii="宋体" w:hAnsi="宋体" w:cs="宋体"/>
          <w:color w:val="0000FF"/>
          <w:szCs w:val="21"/>
        </w:rPr>
        <w:t>2.6 如安装过程需要吊装、搬运工人超3人等情况，需提前一周向采购人医学装备部、后勤保卫部申报，办理入场手续，所有院外工作人员在院区内工作，需接受采购人监管，佩戴采购人发放的工牌，禁止吸烟及一切危害公共安全的行为，对有可能造成消防报警的，需提前申报。</w:t>
      </w:r>
    </w:p>
    <w:p w14:paraId="56A36A7C">
      <w:pPr>
        <w:spacing w:line="440" w:lineRule="exact"/>
        <w:ind w:firstLine="420" w:firstLineChars="200"/>
        <w:rPr>
          <w:rFonts w:ascii="宋体" w:hAnsi="宋体" w:cs="宋体"/>
          <w:color w:val="0000FF"/>
          <w:szCs w:val="21"/>
        </w:rPr>
      </w:pPr>
      <w:r>
        <w:rPr>
          <w:rFonts w:hint="eastAsia" w:ascii="宋体" w:hAnsi="宋体" w:cs="宋体"/>
          <w:color w:val="0000FF"/>
          <w:szCs w:val="21"/>
        </w:rPr>
        <w:t>2.7 医疗设备的包装箱使用后由中标人负责处理。</w:t>
      </w:r>
    </w:p>
    <w:p w14:paraId="2A8DD265">
      <w:pPr>
        <w:spacing w:line="440" w:lineRule="exact"/>
        <w:ind w:firstLine="420" w:firstLineChars="200"/>
        <w:rPr>
          <w:rFonts w:ascii="宋体" w:hAnsi="宋体" w:cs="宋体"/>
          <w:color w:val="0000FF"/>
          <w:szCs w:val="21"/>
        </w:rPr>
      </w:pPr>
      <w:r>
        <w:rPr>
          <w:rFonts w:hint="eastAsia" w:ascii="宋体" w:hAnsi="宋体" w:cs="宋体"/>
          <w:color w:val="0000FF"/>
          <w:szCs w:val="21"/>
        </w:rPr>
        <w:t>★2.8 废气排放、排污等接口须无条件改造为符合采购人现有标准和制式。</w:t>
      </w:r>
    </w:p>
    <w:p w14:paraId="4CF90202">
      <w:pPr>
        <w:pStyle w:val="2"/>
        <w:spacing w:line="440" w:lineRule="exact"/>
        <w:ind w:firstLine="420" w:firstLineChars="200"/>
        <w:rPr>
          <w:rFonts w:ascii="宋体" w:hAnsi="宋体" w:cs="宋体"/>
          <w:color w:val="0000FF"/>
          <w:szCs w:val="21"/>
        </w:rPr>
      </w:pPr>
      <w:r>
        <w:rPr>
          <w:rFonts w:hint="eastAsia" w:ascii="宋体" w:hAnsi="宋体" w:cs="宋体"/>
          <w:color w:val="0000FF"/>
          <w:szCs w:val="21"/>
          <w:highlight w:val="yellow"/>
        </w:rPr>
        <w:t>★2.9 如所投产品受行业主管部门规定强制认证或检测或许可的（如3C认证或工信部进网许可证等），中标人须在签订合同前向采购单位提供相关认证证书或检测报告或许可证书。</w:t>
      </w:r>
    </w:p>
    <w:p w14:paraId="685808EE">
      <w:pPr>
        <w:spacing w:line="440" w:lineRule="exact"/>
        <w:ind w:firstLine="420" w:firstLineChars="200"/>
        <w:rPr>
          <w:rFonts w:ascii="宋体" w:hAnsi="宋体" w:cs="宋体"/>
          <w:color w:val="0000FF"/>
          <w:szCs w:val="21"/>
        </w:rPr>
      </w:pPr>
      <w:r>
        <w:rPr>
          <w:rFonts w:hint="eastAsia" w:ascii="宋体" w:hAnsi="宋体" w:cs="宋体"/>
          <w:color w:val="0000FF"/>
          <w:szCs w:val="21"/>
        </w:rPr>
        <w:t>3.培训</w:t>
      </w:r>
      <w:r>
        <w:rPr>
          <w:rFonts w:hint="eastAsia" w:ascii="宋体" w:hAnsi="宋体" w:cs="宋体"/>
          <w:color w:val="0000FF"/>
          <w:szCs w:val="21"/>
        </w:rPr>
        <w:tab/>
      </w:r>
    </w:p>
    <w:p w14:paraId="64BFB530">
      <w:pPr>
        <w:spacing w:line="440" w:lineRule="exact"/>
        <w:ind w:firstLine="420" w:firstLineChars="200"/>
        <w:rPr>
          <w:rFonts w:ascii="宋体" w:hAnsi="宋体" w:cs="宋体"/>
          <w:color w:val="0000FF"/>
          <w:szCs w:val="21"/>
        </w:rPr>
      </w:pPr>
      <w:r>
        <w:rPr>
          <w:rFonts w:hint="eastAsia" w:ascii="宋体" w:hAnsi="宋体" w:cs="宋体"/>
          <w:color w:val="0000FF"/>
          <w:szCs w:val="21"/>
        </w:rPr>
        <w:t>中标人应派专业技术人员对采购人指定人员进行定期培训及指导（费用包含在投标报价中），直至其完全掌握设备的基本故障处理技术。中标人责成设备生产商提供标准化操作流程、日常保养流程、质控流程、PPT版本操作教程及操作视频、电子说明书等。</w:t>
      </w:r>
    </w:p>
    <w:p w14:paraId="092F37D7">
      <w:pPr>
        <w:spacing w:line="440" w:lineRule="exact"/>
        <w:ind w:firstLine="420" w:firstLineChars="200"/>
        <w:rPr>
          <w:rFonts w:ascii="宋体" w:hAnsi="宋体" w:cs="宋体"/>
          <w:color w:val="0000FF"/>
          <w:szCs w:val="21"/>
        </w:rPr>
      </w:pPr>
      <w:r>
        <w:rPr>
          <w:rFonts w:hint="eastAsia" w:ascii="宋体" w:hAnsi="宋体" w:cs="宋体"/>
          <w:color w:val="0000FF"/>
          <w:szCs w:val="21"/>
        </w:rPr>
        <w:t>4.知识产权</w:t>
      </w:r>
      <w:r>
        <w:rPr>
          <w:rFonts w:hint="eastAsia" w:ascii="宋体" w:hAnsi="宋体" w:cs="宋体"/>
          <w:color w:val="0000FF"/>
          <w:szCs w:val="21"/>
        </w:rPr>
        <w:tab/>
      </w:r>
    </w:p>
    <w:p w14:paraId="5AD8F8C2">
      <w:pPr>
        <w:spacing w:line="440" w:lineRule="exact"/>
        <w:ind w:firstLine="420" w:firstLineChars="200"/>
        <w:rPr>
          <w:rFonts w:ascii="宋体" w:hAnsi="宋体" w:cs="宋体"/>
          <w:color w:val="0000FF"/>
          <w:szCs w:val="21"/>
        </w:rPr>
      </w:pPr>
      <w:r>
        <w:rPr>
          <w:rFonts w:hint="eastAsia" w:ascii="宋体" w:hAnsi="宋体" w:cs="宋体"/>
          <w:color w:val="0000FF"/>
          <w:szCs w:val="21"/>
        </w:rPr>
        <w:t>4.1 中标人应保证提供货物或其任何一部分的商标、专利、外观设计等知识产权来源合法，不得侵犯第三方的知识产权。采购人不对中标人提供的货物的商标、</w:t>
      </w:r>
      <w:r>
        <w:fldChar w:fldCharType="begin"/>
      </w:r>
      <w:r>
        <w:instrText xml:space="preserve"> HYPERLINK "http://www.64365.com/baike/zl1/" \t "_blank" \o "专利" </w:instrText>
      </w:r>
      <w:r>
        <w:fldChar w:fldCharType="separate"/>
      </w:r>
      <w:r>
        <w:rPr>
          <w:rFonts w:hint="eastAsia" w:ascii="宋体" w:hAnsi="宋体" w:cs="宋体"/>
          <w:color w:val="0000FF"/>
          <w:szCs w:val="21"/>
        </w:rPr>
        <w:t>专利</w:t>
      </w:r>
      <w:r>
        <w:rPr>
          <w:rFonts w:hint="eastAsia" w:ascii="宋体" w:hAnsi="宋体" w:cs="宋体"/>
          <w:color w:val="0000FF"/>
          <w:szCs w:val="21"/>
        </w:rPr>
        <w:fldChar w:fldCharType="end"/>
      </w:r>
      <w:r>
        <w:rPr>
          <w:rFonts w:hint="eastAsia" w:ascii="宋体" w:hAnsi="宋体" w:cs="宋体"/>
          <w:color w:val="0000FF"/>
          <w:szCs w:val="21"/>
        </w:rPr>
        <w:t>、外观设计是否侵犯他人的权利负责。中标人应保证采购人在使用本采购合同项下的货物或其任何一部分时免受第三方侵犯其知识产权、</w:t>
      </w:r>
      <w:r>
        <w:fldChar w:fldCharType="begin"/>
      </w:r>
      <w:r>
        <w:instrText xml:space="preserve"> HYPERLINK "http://www.64365.com/baike/sbq/" \t "_blank" \o "商标权" </w:instrText>
      </w:r>
      <w:r>
        <w:fldChar w:fldCharType="separate"/>
      </w:r>
      <w:r>
        <w:rPr>
          <w:rFonts w:hint="eastAsia" w:ascii="宋体" w:hAnsi="宋体" w:cs="宋体"/>
          <w:color w:val="0000FF"/>
          <w:szCs w:val="21"/>
        </w:rPr>
        <w:t>商标权</w:t>
      </w:r>
      <w:r>
        <w:rPr>
          <w:rFonts w:hint="eastAsia" w:ascii="宋体" w:hAnsi="宋体" w:cs="宋体"/>
          <w:color w:val="0000FF"/>
          <w:szCs w:val="21"/>
        </w:rPr>
        <w:fldChar w:fldCharType="end"/>
      </w:r>
      <w:r>
        <w:rPr>
          <w:rFonts w:hint="eastAsia" w:ascii="宋体" w:hAnsi="宋体" w:cs="宋体"/>
          <w:color w:val="0000FF"/>
          <w:szCs w:val="21"/>
        </w:rPr>
        <w:t>、著作权或其它知识产权的起诉，中标人应保证所提供软件的合法性，所发生的任何知识产权纠纷与采购人无关。如因中标人提供货物引发知识产权争议或违法导致甲方受损的，中标人应赔偿采购人的一切合理损失，包括但不限于实际损失、预期损失和对方要求赔偿损失及支出的律师费、交通费和差旅费等。</w:t>
      </w:r>
    </w:p>
    <w:p w14:paraId="2D40B2A7">
      <w:pPr>
        <w:spacing w:line="440" w:lineRule="exact"/>
        <w:ind w:firstLine="420" w:firstLineChars="200"/>
        <w:rPr>
          <w:rFonts w:ascii="宋体" w:hAnsi="宋体" w:cs="宋体"/>
          <w:color w:val="0000FF"/>
          <w:szCs w:val="21"/>
        </w:rPr>
      </w:pPr>
      <w:r>
        <w:rPr>
          <w:rFonts w:hint="eastAsia" w:ascii="宋体" w:hAnsi="宋体" w:cs="宋体"/>
          <w:color w:val="0000FF"/>
          <w:szCs w:val="21"/>
        </w:rPr>
        <w:t>4.2 采购人购买设备后，有权对该设备与其他设备进行配套、整合或适当改进，而免受侵犯专利权的起诉。若因为知识产权纠纷造成的一切损害赔偿及损失由投标人承担，包括但不限于实际损失、预期损失和对方要求赔偿损失及支出的律师费、交通费和差旅费等。</w:t>
      </w:r>
    </w:p>
    <w:p w14:paraId="4302BCC6">
      <w:pPr>
        <w:spacing w:line="440" w:lineRule="exact"/>
        <w:ind w:firstLine="420" w:firstLineChars="200"/>
        <w:rPr>
          <w:rFonts w:ascii="宋体" w:hAnsi="宋体" w:cs="宋体"/>
          <w:color w:val="0000FF"/>
          <w:szCs w:val="21"/>
        </w:rPr>
      </w:pPr>
      <w:r>
        <w:rPr>
          <w:rFonts w:hint="eastAsia" w:ascii="宋体" w:hAnsi="宋体" w:cs="宋体"/>
          <w:color w:val="0000FF"/>
          <w:szCs w:val="21"/>
        </w:rPr>
        <w:t>★5.付款方式</w:t>
      </w:r>
      <w:r>
        <w:rPr>
          <w:rFonts w:hint="eastAsia" w:ascii="宋体" w:hAnsi="宋体" w:cs="宋体"/>
          <w:color w:val="0000FF"/>
          <w:szCs w:val="21"/>
        </w:rPr>
        <w:tab/>
      </w:r>
    </w:p>
    <w:p w14:paraId="40860363">
      <w:pPr>
        <w:spacing w:line="440" w:lineRule="exact"/>
        <w:ind w:firstLine="420" w:firstLineChars="200"/>
        <w:rPr>
          <w:rFonts w:ascii="宋体" w:hAnsi="宋体" w:cs="宋体"/>
          <w:color w:val="0000FF"/>
          <w:szCs w:val="21"/>
        </w:rPr>
      </w:pPr>
      <w:r>
        <w:rPr>
          <w:rFonts w:hint="eastAsia" w:ascii="宋体" w:hAnsi="宋体" w:cs="宋体"/>
          <w:color w:val="0000FF"/>
          <w:szCs w:val="21"/>
        </w:rPr>
        <w:t>项目验收合格，中标人提供合同全额发票并办理设备入库后，采购人在</w:t>
      </w:r>
      <w:r>
        <w:rPr>
          <w:rFonts w:hint="eastAsia" w:ascii="宋体" w:hAnsi="宋体" w:cs="宋体"/>
          <w:color w:val="0000FF"/>
          <w:szCs w:val="21"/>
          <w:highlight w:val="yellow"/>
        </w:rPr>
        <w:t>10个工作日内</w:t>
      </w:r>
      <w:r>
        <w:rPr>
          <w:rFonts w:hint="eastAsia" w:ascii="宋体" w:hAnsi="宋体" w:cs="宋体"/>
          <w:color w:val="0000FF"/>
          <w:szCs w:val="21"/>
        </w:rPr>
        <w:t xml:space="preserve">向中标人支付合同全款。 </w:t>
      </w:r>
    </w:p>
    <w:p w14:paraId="42B5497C">
      <w:pPr>
        <w:spacing w:line="440" w:lineRule="exact"/>
        <w:ind w:firstLine="420" w:firstLineChars="200"/>
        <w:rPr>
          <w:rFonts w:ascii="宋体" w:hAnsi="宋体" w:cs="宋体"/>
          <w:color w:val="0000FF"/>
          <w:szCs w:val="21"/>
        </w:rPr>
      </w:pPr>
      <w:r>
        <w:rPr>
          <w:rFonts w:hint="eastAsia" w:ascii="宋体" w:hAnsi="宋体" w:cs="宋体"/>
          <w:color w:val="0000FF"/>
          <w:szCs w:val="21"/>
        </w:rPr>
        <w:t>★6.违约责任</w:t>
      </w:r>
      <w:r>
        <w:rPr>
          <w:rFonts w:hint="eastAsia" w:ascii="宋体" w:hAnsi="宋体" w:cs="宋体"/>
          <w:color w:val="0000FF"/>
          <w:szCs w:val="21"/>
        </w:rPr>
        <w:tab/>
      </w:r>
    </w:p>
    <w:p w14:paraId="2BE0EAD3">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6.1 若本合同约定交付期限届满，中标人不能按照约定交货，中标人应按照未交货合同金额的1%/日历日向采购人支付违约金；如逾期超过30日历日(含)的，采购人有权解除本合同，并要求中标人按照本合同总金额的30%支付违约金并赔偿损失。并按主管部门相关规定处理。若违约金无法弥补采购人的损失，中标人还应赔偿采购人因此造成的损失。                                                                                                                                                         </w:t>
      </w:r>
    </w:p>
    <w:p w14:paraId="5C7E7FD7">
      <w:pPr>
        <w:spacing w:line="440" w:lineRule="exact"/>
        <w:ind w:firstLine="420" w:firstLineChars="200"/>
        <w:rPr>
          <w:rFonts w:ascii="宋体" w:hAnsi="宋体" w:cs="宋体"/>
          <w:color w:val="0000FF"/>
          <w:szCs w:val="21"/>
        </w:rPr>
      </w:pPr>
      <w:r>
        <w:rPr>
          <w:rFonts w:hint="eastAsia" w:ascii="宋体" w:hAnsi="宋体" w:cs="宋体"/>
          <w:color w:val="0000FF"/>
          <w:szCs w:val="21"/>
        </w:rPr>
        <w:t>6.2 若中标人交付的产品、工程或服务不符合招标文件要求和其投标承诺的，或在投标阶段为了中标而盲目虚假承诺、低价恶性竞争，在履约阶段则通过偷工减料、以次充好而获取利润的，将被拒收产品并赔偿全货款30%的违约金，且将被列入履约“差评”供应商清单，并按主管部门相关规定处理。若违约金无法弥补采购人的损失，中标人还应赔偿采购人因此造成的损失。</w:t>
      </w:r>
    </w:p>
    <w:p w14:paraId="7E760345">
      <w:pPr>
        <w:spacing w:line="440" w:lineRule="exact"/>
        <w:ind w:firstLine="420" w:firstLineChars="200"/>
        <w:rPr>
          <w:rFonts w:ascii="宋体" w:hAnsi="宋体" w:cs="宋体"/>
          <w:color w:val="0000FF"/>
          <w:szCs w:val="21"/>
        </w:rPr>
      </w:pPr>
      <w:r>
        <w:rPr>
          <w:rFonts w:hint="eastAsia" w:ascii="宋体" w:hAnsi="宋体" w:cs="宋体"/>
          <w:color w:val="0000FF"/>
          <w:szCs w:val="21"/>
        </w:rPr>
        <w:t>6.3若中标人未按照商务要求第（一）条中的维修及维保服务条款约定的提供培训、维保服务（不良服务），商务要求第（三）条中的培训条款的相关规定，需赔偿全货款5%的违约金。</w:t>
      </w:r>
    </w:p>
    <w:p w14:paraId="66DBAF99">
      <w:pPr>
        <w:spacing w:line="440" w:lineRule="exact"/>
        <w:ind w:firstLine="420" w:firstLineChars="200"/>
        <w:rPr>
          <w:rFonts w:ascii="宋体" w:hAnsi="宋体" w:cs="宋体"/>
          <w:color w:val="0000FF"/>
          <w:szCs w:val="21"/>
        </w:rPr>
      </w:pPr>
      <w:r>
        <w:rPr>
          <w:rFonts w:hint="eastAsia" w:ascii="宋体" w:hAnsi="宋体" w:cs="宋体"/>
          <w:color w:val="0000FF"/>
          <w:szCs w:val="21"/>
        </w:rPr>
        <w:t>7.数据接口要求</w:t>
      </w:r>
      <w:r>
        <w:rPr>
          <w:rFonts w:hint="eastAsia" w:ascii="宋体" w:hAnsi="宋体" w:cs="宋体"/>
          <w:color w:val="0000FF"/>
          <w:szCs w:val="21"/>
        </w:rPr>
        <w:tab/>
      </w:r>
    </w:p>
    <w:p w14:paraId="63667261">
      <w:pPr>
        <w:spacing w:line="440" w:lineRule="exact"/>
        <w:ind w:firstLine="420" w:firstLineChars="200"/>
        <w:rPr>
          <w:rFonts w:ascii="宋体" w:hAnsi="宋体" w:cs="宋体"/>
          <w:color w:val="0000FF"/>
          <w:szCs w:val="21"/>
        </w:rPr>
      </w:pPr>
      <w:r>
        <w:rPr>
          <w:rFonts w:hint="eastAsia" w:ascii="宋体" w:hAnsi="宋体" w:cs="宋体"/>
          <w:color w:val="0000FF"/>
          <w:szCs w:val="21"/>
        </w:rPr>
        <w:t>中标人应无偿配合采购人信息部将设备连接到信息系统中。连接信息系统过程中如产生费由中标人承担。中标人不能向采购人信息系统如HIS、PACS、LIS等提出另行支付接口费等费用。</w:t>
      </w:r>
    </w:p>
    <w:p w14:paraId="4740A1C4">
      <w:pPr>
        <w:spacing w:line="440" w:lineRule="exact"/>
        <w:ind w:firstLine="420" w:firstLineChars="200"/>
        <w:rPr>
          <w:rFonts w:ascii="宋体" w:hAnsi="宋体" w:cs="宋体"/>
          <w:color w:val="0000FF"/>
          <w:szCs w:val="21"/>
        </w:rPr>
      </w:pPr>
      <w:r>
        <w:rPr>
          <w:rFonts w:hint="eastAsia" w:ascii="宋体" w:hAnsi="宋体" w:cs="宋体"/>
          <w:color w:val="0000FF"/>
          <w:szCs w:val="21"/>
        </w:rPr>
        <w:t>8.其他</w:t>
      </w:r>
      <w:r>
        <w:rPr>
          <w:rFonts w:hint="eastAsia" w:ascii="宋体" w:hAnsi="宋体" w:cs="宋体"/>
          <w:color w:val="0000FF"/>
          <w:szCs w:val="21"/>
        </w:rPr>
        <w:tab/>
      </w:r>
    </w:p>
    <w:p w14:paraId="23F4FB8F">
      <w:pPr>
        <w:spacing w:line="440" w:lineRule="exact"/>
        <w:ind w:firstLine="420" w:firstLineChars="200"/>
        <w:rPr>
          <w:rFonts w:ascii="宋体" w:hAnsi="宋体" w:cs="宋体"/>
          <w:color w:val="0000FF"/>
          <w:szCs w:val="21"/>
        </w:rPr>
      </w:pPr>
      <w:r>
        <w:rPr>
          <w:rFonts w:hint="eastAsia" w:ascii="宋体" w:hAnsi="宋体" w:cs="宋体"/>
          <w:color w:val="0000FF"/>
          <w:szCs w:val="21"/>
        </w:rPr>
        <w:t>8.1 投标人应按其投标文件中的承诺，进行其他售后服务工作。</w:t>
      </w:r>
    </w:p>
    <w:p w14:paraId="2AD4638B">
      <w:pPr>
        <w:spacing w:line="440" w:lineRule="exact"/>
        <w:ind w:firstLine="420" w:firstLineChars="200"/>
        <w:rPr>
          <w:rFonts w:ascii="宋体" w:hAnsi="宋体" w:cs="宋体"/>
          <w:color w:val="0000FF"/>
          <w:szCs w:val="21"/>
        </w:rPr>
      </w:pPr>
      <w:r>
        <w:rPr>
          <w:rFonts w:hint="eastAsia" w:ascii="宋体" w:hAnsi="宋体" w:cs="宋体"/>
          <w:color w:val="0000FF"/>
          <w:szCs w:val="21"/>
        </w:rPr>
        <w:t xml:space="preserve">8.2 </w:t>
      </w:r>
      <w:r>
        <w:rPr>
          <w:rFonts w:hint="eastAsia" w:ascii="宋体" w:hAnsi="宋体" w:cs="宋体"/>
          <w:bCs/>
          <w:color w:val="0000FF"/>
          <w:szCs w:val="21"/>
        </w:rPr>
        <w:t>如投标供应商在投标文件中的响应内容出现表述不一致或前后矛盾等情形，以较为有利于采购人的条款为准。</w:t>
      </w:r>
    </w:p>
    <w:p w14:paraId="34C1AA61">
      <w:pPr>
        <w:spacing w:line="440" w:lineRule="exact"/>
        <w:ind w:firstLine="420" w:firstLineChars="200"/>
        <w:rPr>
          <w:rFonts w:ascii="宋体" w:hAnsi="宋体" w:cs="宋体"/>
          <w:color w:val="0000FF"/>
          <w:szCs w:val="21"/>
        </w:rPr>
      </w:pPr>
      <w:r>
        <w:rPr>
          <w:rFonts w:hint="eastAsia" w:ascii="宋体" w:hAnsi="宋体" w:cs="宋体"/>
          <w:color w:val="0000FF"/>
          <w:szCs w:val="21"/>
        </w:rPr>
        <w:t>四、其他要求</w:t>
      </w:r>
    </w:p>
    <w:p w14:paraId="424F472E">
      <w:pPr>
        <w:spacing w:line="440" w:lineRule="exact"/>
        <w:ind w:firstLine="420" w:firstLineChars="200"/>
        <w:rPr>
          <w:rFonts w:ascii="宋体" w:hAnsi="宋体" w:cs="宋体"/>
          <w:color w:val="0000FF"/>
          <w:szCs w:val="21"/>
        </w:rPr>
      </w:pPr>
      <w:r>
        <w:rPr>
          <w:rFonts w:hint="eastAsia" w:ascii="宋体" w:hAnsi="宋体" w:cs="宋体"/>
          <w:color w:val="0000FF"/>
          <w:szCs w:val="21"/>
        </w:rPr>
        <w:t>1.投标报价为全包价，包送货、安装、调试、培训。故障响应时间和售后服务等条款由投标人在投标文件中列明。</w:t>
      </w:r>
    </w:p>
    <w:p w14:paraId="5A0A8026">
      <w:pPr>
        <w:spacing w:line="440" w:lineRule="exact"/>
        <w:ind w:firstLine="420" w:firstLineChars="200"/>
        <w:rPr>
          <w:rFonts w:ascii="宋体" w:hAnsi="宋体" w:cs="宋体"/>
          <w:color w:val="0000FF"/>
          <w:szCs w:val="21"/>
        </w:rPr>
      </w:pPr>
      <w:r>
        <w:rPr>
          <w:rFonts w:hint="eastAsia" w:ascii="宋体" w:hAnsi="宋体" w:cs="宋体"/>
          <w:color w:val="0000FF"/>
          <w:szCs w:val="21"/>
        </w:rPr>
        <w:t>2.所提供设备必须为原装全新合格正品，投标商须在投标文件中报出投标设备（配置）的品牌、产地、型号、规格和详细的技术指标等。</w:t>
      </w:r>
    </w:p>
    <w:p w14:paraId="71545B67">
      <w:pPr>
        <w:spacing w:line="440" w:lineRule="exact"/>
        <w:ind w:firstLine="420" w:firstLineChars="200"/>
        <w:rPr>
          <w:rFonts w:ascii="宋体" w:hAnsi="宋体"/>
          <w:color w:val="000000"/>
          <w:szCs w:val="21"/>
        </w:rPr>
      </w:pPr>
    </w:p>
    <w:p w14:paraId="72A70E07">
      <w:pPr>
        <w:jc w:val="center"/>
        <w:outlineLvl w:val="1"/>
        <w:rPr>
          <w:rFonts w:ascii="微软雅黑" w:hAnsi="微软雅黑" w:eastAsia="微软雅黑" w:cs="微软雅黑"/>
          <w:b/>
          <w:color w:val="000000"/>
          <w:sz w:val="24"/>
          <w:szCs w:val="24"/>
        </w:rPr>
      </w:pPr>
      <w:bookmarkStart w:id="5" w:name="_Toc19264"/>
      <w:bookmarkStart w:id="6" w:name="_Toc333420706"/>
      <w:r>
        <w:rPr>
          <w:rFonts w:hint="eastAsia" w:ascii="微软雅黑" w:hAnsi="微软雅黑" w:eastAsia="微软雅黑" w:cs="微软雅黑"/>
          <w:b/>
          <w:color w:val="000000"/>
          <w:sz w:val="24"/>
          <w:szCs w:val="24"/>
        </w:rPr>
        <w:t>第五节  投标文件否决性条款摘要</w:t>
      </w:r>
      <w:bookmarkEnd w:id="5"/>
      <w:bookmarkEnd w:id="6"/>
    </w:p>
    <w:p w14:paraId="633F8C82">
      <w:pPr>
        <w:spacing w:line="440" w:lineRule="exact"/>
        <w:ind w:firstLine="422" w:firstLineChars="200"/>
        <w:rPr>
          <w:rFonts w:ascii="宋体" w:hAnsi="宋体"/>
          <w:b/>
          <w:szCs w:val="21"/>
        </w:rPr>
      </w:pPr>
      <w:r>
        <w:rPr>
          <w:rFonts w:ascii="宋体" w:hAnsi="宋体"/>
          <w:b/>
        </w:rPr>
        <w:t>1、</w:t>
      </w:r>
      <w:r>
        <w:rPr>
          <w:rFonts w:ascii="宋体" w:hAnsi="宋体"/>
          <w:b/>
          <w:szCs w:val="21"/>
        </w:rPr>
        <w:t>投标文件有下列情形之一的，不予受理：</w:t>
      </w:r>
    </w:p>
    <w:p w14:paraId="3EBFA774">
      <w:pPr>
        <w:spacing w:line="440" w:lineRule="exact"/>
        <w:ind w:firstLine="420" w:firstLineChars="200"/>
        <w:rPr>
          <w:rFonts w:ascii="宋体" w:hAnsi="宋体"/>
          <w:szCs w:val="21"/>
        </w:rPr>
      </w:pPr>
      <w:r>
        <w:rPr>
          <w:rFonts w:ascii="宋体" w:hAnsi="宋体"/>
        </w:rPr>
        <w:t xml:space="preserve">1.1  </w:t>
      </w:r>
      <w:r>
        <w:rPr>
          <w:rFonts w:ascii="宋体" w:hAnsi="宋体"/>
          <w:szCs w:val="21"/>
        </w:rPr>
        <w:t>在投标截止时间以后送达的，或者未送达指定地点的；</w:t>
      </w:r>
    </w:p>
    <w:p w14:paraId="2FD97F11">
      <w:pPr>
        <w:spacing w:line="440" w:lineRule="exact"/>
        <w:ind w:firstLine="420" w:firstLineChars="200"/>
        <w:rPr>
          <w:rFonts w:ascii="宋体" w:hAnsi="宋体"/>
        </w:rPr>
      </w:pPr>
      <w:r>
        <w:rPr>
          <w:rFonts w:ascii="宋体" w:hAnsi="宋体"/>
        </w:rPr>
        <w:t xml:space="preserve">1.2  </w:t>
      </w:r>
      <w:r>
        <w:rPr>
          <w:rFonts w:hint="eastAsia" w:ascii="宋体" w:hAnsi="宋体"/>
        </w:rPr>
        <w:t>投标文件未密封的；</w:t>
      </w:r>
    </w:p>
    <w:p w14:paraId="6B71467F">
      <w:pPr>
        <w:spacing w:line="440" w:lineRule="exact"/>
        <w:ind w:firstLine="420" w:firstLineChars="200"/>
        <w:rPr>
          <w:rFonts w:ascii="宋体" w:hAnsi="宋体"/>
          <w:b/>
          <w:szCs w:val="21"/>
        </w:rPr>
      </w:pPr>
      <w:r>
        <w:rPr>
          <w:rFonts w:hint="eastAsia" w:ascii="宋体" w:hAnsi="宋体"/>
        </w:rPr>
        <w:t xml:space="preserve">1.3  </w:t>
      </w:r>
      <w:r>
        <w:rPr>
          <w:rFonts w:ascii="宋体" w:hAnsi="宋体"/>
          <w:szCs w:val="21"/>
        </w:rPr>
        <w:t>投标人的名称与</w:t>
      </w:r>
      <w:bookmarkStart w:id="7" w:name="_Toc76871384"/>
      <w:r>
        <w:rPr>
          <w:rFonts w:ascii="宋体" w:hAnsi="宋体"/>
          <w:szCs w:val="21"/>
        </w:rPr>
        <w:t>购买招标文件时登记</w:t>
      </w:r>
      <w:bookmarkEnd w:id="7"/>
      <w:r>
        <w:rPr>
          <w:rFonts w:ascii="宋体" w:hAnsi="宋体"/>
          <w:szCs w:val="21"/>
        </w:rPr>
        <w:t>的不一致的。</w:t>
      </w:r>
    </w:p>
    <w:p w14:paraId="4D045D86">
      <w:pPr>
        <w:spacing w:line="440" w:lineRule="exact"/>
        <w:ind w:firstLine="422" w:firstLineChars="200"/>
        <w:rPr>
          <w:rFonts w:ascii="宋体" w:hAnsi="宋体"/>
          <w:b/>
          <w:szCs w:val="21"/>
        </w:rPr>
      </w:pPr>
      <w:r>
        <w:rPr>
          <w:rFonts w:ascii="宋体" w:hAnsi="宋体"/>
          <w:b/>
        </w:rPr>
        <w:t>2</w:t>
      </w:r>
      <w:r>
        <w:rPr>
          <w:rFonts w:hint="eastAsia" w:ascii="宋体" w:hAnsi="宋体"/>
          <w:b/>
        </w:rPr>
        <w:t>、</w:t>
      </w:r>
      <w:r>
        <w:rPr>
          <w:rFonts w:ascii="宋体" w:hAnsi="宋体"/>
          <w:b/>
          <w:szCs w:val="21"/>
        </w:rPr>
        <w:t>投标文件有下列</w:t>
      </w:r>
      <w:r>
        <w:rPr>
          <w:rFonts w:hint="eastAsia" w:ascii="宋体" w:hAnsi="宋体"/>
          <w:b/>
          <w:szCs w:val="21"/>
        </w:rPr>
        <w:t>情形之一的，按无效标处理：</w:t>
      </w:r>
    </w:p>
    <w:p w14:paraId="3D138930">
      <w:pPr>
        <w:spacing w:line="440" w:lineRule="exact"/>
        <w:ind w:firstLine="420" w:firstLineChars="200"/>
        <w:rPr>
          <w:rFonts w:ascii="宋体" w:hAnsi="宋体"/>
          <w:szCs w:val="21"/>
        </w:rPr>
      </w:pPr>
      <w:r>
        <w:rPr>
          <w:rFonts w:hint="eastAsia" w:ascii="宋体" w:hAnsi="宋体"/>
        </w:rPr>
        <w:t xml:space="preserve">2.1  </w:t>
      </w:r>
      <w:r>
        <w:rPr>
          <w:rFonts w:hint="eastAsia" w:ascii="宋体" w:hAnsi="宋体"/>
          <w:szCs w:val="21"/>
        </w:rPr>
        <w:t>投标人未按照招标文件的要求提供投标保证金的；</w:t>
      </w:r>
      <w:r>
        <w:rPr>
          <w:rFonts w:ascii="宋体" w:hAnsi="宋体"/>
          <w:szCs w:val="21"/>
        </w:rPr>
        <w:t xml:space="preserve"> </w:t>
      </w:r>
    </w:p>
    <w:p w14:paraId="4CCCBB84">
      <w:pPr>
        <w:spacing w:line="440" w:lineRule="exact"/>
        <w:ind w:firstLine="420" w:firstLineChars="200"/>
        <w:rPr>
          <w:rFonts w:ascii="宋体" w:hAnsi="宋体"/>
          <w:szCs w:val="21"/>
        </w:rPr>
      </w:pPr>
      <w:r>
        <w:rPr>
          <w:rFonts w:hint="eastAsia" w:ascii="宋体" w:hAnsi="宋体"/>
          <w:szCs w:val="21"/>
        </w:rPr>
        <w:t>2.2  投标文件无法定代表人签字或盖章，或签字人无法定代表人有效授权委托书原件的；</w:t>
      </w:r>
    </w:p>
    <w:p w14:paraId="1BF629AF">
      <w:pPr>
        <w:spacing w:line="440" w:lineRule="exact"/>
        <w:ind w:firstLine="420" w:firstLineChars="200"/>
        <w:rPr>
          <w:rFonts w:ascii="宋体" w:hAnsi="宋体"/>
          <w:szCs w:val="21"/>
        </w:rPr>
      </w:pPr>
      <w:r>
        <w:rPr>
          <w:rFonts w:hint="eastAsia" w:ascii="宋体" w:hAnsi="宋体"/>
          <w:szCs w:val="21"/>
        </w:rPr>
        <w:t>2.3  投标人资格条件不符合国家有关规定和招标文件要求；</w:t>
      </w:r>
    </w:p>
    <w:p w14:paraId="573624A4">
      <w:pPr>
        <w:spacing w:line="440" w:lineRule="exact"/>
        <w:ind w:firstLine="420" w:firstLineChars="200"/>
        <w:rPr>
          <w:rFonts w:ascii="宋体" w:hAnsi="宋体"/>
          <w:szCs w:val="21"/>
        </w:rPr>
      </w:pPr>
      <w:r>
        <w:rPr>
          <w:rFonts w:hint="eastAsia" w:ascii="宋体" w:hAnsi="宋体"/>
          <w:szCs w:val="21"/>
        </w:rPr>
        <w:t>2.4  投标总价或分项报价超过预算控制金额的；</w:t>
      </w:r>
      <w:r>
        <w:rPr>
          <w:rFonts w:ascii="宋体" w:hAnsi="宋体"/>
          <w:szCs w:val="21"/>
        </w:rPr>
        <w:t xml:space="preserve"> </w:t>
      </w:r>
    </w:p>
    <w:p w14:paraId="4BE9D059">
      <w:pPr>
        <w:spacing w:line="440" w:lineRule="exact"/>
        <w:ind w:firstLine="420" w:firstLineChars="200"/>
        <w:rPr>
          <w:rFonts w:ascii="宋体" w:hAnsi="宋体"/>
          <w:szCs w:val="21"/>
        </w:rPr>
      </w:pPr>
      <w:r>
        <w:rPr>
          <w:rFonts w:hint="eastAsia" w:ascii="宋体" w:hAnsi="宋体"/>
          <w:szCs w:val="21"/>
        </w:rPr>
        <w:t>2.5  开标一览表出现无报价或报价为零或有选择性报价的；</w:t>
      </w:r>
    </w:p>
    <w:p w14:paraId="36D82ABF">
      <w:pPr>
        <w:spacing w:line="440" w:lineRule="exact"/>
        <w:ind w:firstLine="420" w:firstLineChars="200"/>
        <w:rPr>
          <w:rFonts w:ascii="宋体" w:hAnsi="宋体"/>
          <w:szCs w:val="21"/>
        </w:rPr>
      </w:pPr>
      <w:r>
        <w:rPr>
          <w:rFonts w:hint="eastAsia" w:ascii="宋体" w:hAnsi="宋体"/>
          <w:szCs w:val="21"/>
        </w:rPr>
        <w:t xml:space="preserve">2.6  </w:t>
      </w:r>
      <w:r>
        <w:rPr>
          <w:rFonts w:hint="eastAsia" w:ascii="宋体" w:hAnsi="宋体"/>
          <w:spacing w:val="-2"/>
          <w:szCs w:val="21"/>
        </w:rPr>
        <w:t>投标人以他人的名义投标、串通投标、以行贿手段谋取中标或者以其他弄虚作假方式投标；</w:t>
      </w:r>
    </w:p>
    <w:p w14:paraId="4FA0EA3C">
      <w:pPr>
        <w:spacing w:line="440" w:lineRule="exact"/>
        <w:ind w:firstLine="420" w:firstLineChars="200"/>
        <w:rPr>
          <w:rFonts w:ascii="宋体" w:hAnsi="宋体"/>
          <w:szCs w:val="21"/>
        </w:rPr>
      </w:pPr>
      <w:r>
        <w:rPr>
          <w:rFonts w:hint="eastAsia" w:ascii="宋体" w:hAnsi="宋体"/>
          <w:szCs w:val="21"/>
        </w:rPr>
        <w:t xml:space="preserve">2.7  </w:t>
      </w:r>
      <w:r>
        <w:rPr>
          <w:rFonts w:hint="eastAsia" w:ascii="宋体" w:hAnsi="宋体"/>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14:paraId="084D5EE8">
      <w:pPr>
        <w:spacing w:line="440" w:lineRule="exact"/>
        <w:ind w:firstLine="420" w:firstLineChars="200"/>
        <w:rPr>
          <w:rFonts w:ascii="宋体" w:hAnsi="宋体"/>
          <w:szCs w:val="21"/>
        </w:rPr>
      </w:pPr>
      <w:r>
        <w:rPr>
          <w:rFonts w:hint="eastAsia" w:ascii="宋体" w:hAnsi="宋体"/>
          <w:szCs w:val="21"/>
        </w:rPr>
        <w:t>2.8  投标人拒不按照要求对投标文件进行澄清、说明或者补正的；</w:t>
      </w:r>
    </w:p>
    <w:p w14:paraId="03C61B21">
      <w:pPr>
        <w:spacing w:line="440" w:lineRule="exact"/>
        <w:ind w:firstLine="420" w:firstLineChars="200"/>
        <w:rPr>
          <w:rFonts w:ascii="宋体" w:hAnsi="宋体"/>
          <w:szCs w:val="21"/>
        </w:rPr>
      </w:pPr>
      <w:r>
        <w:rPr>
          <w:rFonts w:hint="eastAsia" w:ascii="宋体" w:hAnsi="宋体"/>
          <w:szCs w:val="21"/>
        </w:rPr>
        <w:t>2.9  文件的关键内容字迹模糊、无法辨认的；</w:t>
      </w:r>
    </w:p>
    <w:p w14:paraId="5AF3A7E7">
      <w:pPr>
        <w:spacing w:line="440" w:lineRule="exact"/>
        <w:ind w:firstLine="420" w:firstLineChars="200"/>
        <w:rPr>
          <w:rFonts w:ascii="宋体" w:hAnsi="宋体"/>
          <w:szCs w:val="21"/>
        </w:rPr>
      </w:pPr>
      <w:r>
        <w:rPr>
          <w:rFonts w:hint="eastAsia" w:ascii="宋体" w:hAnsi="宋体"/>
          <w:szCs w:val="21"/>
        </w:rPr>
        <w:t>2.10  投标函未按规定填写的；</w:t>
      </w:r>
    </w:p>
    <w:p w14:paraId="29866165">
      <w:pPr>
        <w:spacing w:line="440" w:lineRule="exact"/>
        <w:ind w:firstLine="420" w:firstLineChars="200"/>
        <w:rPr>
          <w:rFonts w:ascii="宋体" w:hAnsi="宋体"/>
          <w:szCs w:val="21"/>
        </w:rPr>
      </w:pPr>
      <w:r>
        <w:rPr>
          <w:rFonts w:hint="eastAsia" w:ascii="宋体" w:hAnsi="宋体"/>
          <w:szCs w:val="21"/>
        </w:rPr>
        <w:t>2.11  投标有效期不足的；</w:t>
      </w:r>
    </w:p>
    <w:p w14:paraId="18804BE7">
      <w:pPr>
        <w:spacing w:line="440" w:lineRule="exact"/>
        <w:ind w:firstLine="420" w:firstLineChars="200"/>
        <w:rPr>
          <w:rFonts w:ascii="宋体" w:hAnsi="宋体"/>
          <w:szCs w:val="21"/>
        </w:rPr>
      </w:pPr>
      <w:r>
        <w:rPr>
          <w:rFonts w:hint="eastAsia" w:ascii="宋体" w:hAnsi="宋体"/>
          <w:szCs w:val="21"/>
        </w:rPr>
        <w:t xml:space="preserve">2.12  </w:t>
      </w:r>
      <w:r>
        <w:rPr>
          <w:rFonts w:hint="eastAsia" w:ascii="宋体" w:hAnsi="宋体"/>
          <w:spacing w:val="-6"/>
          <w:szCs w:val="21"/>
        </w:rPr>
        <w:t>投标人的投标未能在实质上响应招标文件提出的所有实质性要求和条件（不可偏离条款）的；</w:t>
      </w:r>
    </w:p>
    <w:p w14:paraId="52D41E1F">
      <w:pPr>
        <w:spacing w:line="440" w:lineRule="exact"/>
        <w:ind w:firstLine="420" w:firstLineChars="200"/>
        <w:rPr>
          <w:rFonts w:ascii="宋体" w:hAnsi="宋体"/>
          <w:szCs w:val="21"/>
        </w:rPr>
      </w:pPr>
      <w:r>
        <w:rPr>
          <w:rFonts w:hint="eastAsia" w:ascii="宋体" w:hAnsi="宋体"/>
          <w:szCs w:val="21"/>
        </w:rPr>
        <w:t xml:space="preserve">2.13  </w:t>
      </w:r>
      <w:r>
        <w:rPr>
          <w:rFonts w:ascii="宋体" w:hAnsi="宋体"/>
          <w:szCs w:val="21"/>
        </w:rPr>
        <w:t>投标报价有严重缺漏项目的</w:t>
      </w:r>
      <w:r>
        <w:rPr>
          <w:rFonts w:hint="eastAsia" w:ascii="宋体" w:hAnsi="宋体"/>
          <w:szCs w:val="21"/>
        </w:rPr>
        <w:t>；</w:t>
      </w:r>
    </w:p>
    <w:p w14:paraId="5EEC46B5">
      <w:pPr>
        <w:spacing w:line="440" w:lineRule="exact"/>
        <w:ind w:firstLine="420" w:firstLineChars="200"/>
        <w:rPr>
          <w:rFonts w:ascii="宋体" w:hAnsi="宋体"/>
          <w:szCs w:val="21"/>
        </w:rPr>
      </w:pPr>
      <w:r>
        <w:rPr>
          <w:rFonts w:hint="eastAsia" w:ascii="宋体" w:hAnsi="宋体"/>
          <w:szCs w:val="21"/>
        </w:rPr>
        <w:t>2.14  联合体投标未附联合体各方共同投标协议的；联合体成员</w:t>
      </w:r>
      <w:r>
        <w:rPr>
          <w:rFonts w:ascii="宋体" w:hAnsi="宋体"/>
          <w:szCs w:val="21"/>
        </w:rPr>
        <w:t>再以自己名义单独投标，</w:t>
      </w:r>
      <w:r>
        <w:rPr>
          <w:rFonts w:hint="eastAsia" w:ascii="宋体" w:hAnsi="宋体"/>
          <w:szCs w:val="21"/>
        </w:rPr>
        <w:t>及</w:t>
      </w:r>
      <w:r>
        <w:rPr>
          <w:rFonts w:ascii="宋体" w:hAnsi="宋体"/>
          <w:szCs w:val="21"/>
        </w:rPr>
        <w:t>组成或参加其他联合体在同一项目中投标</w:t>
      </w:r>
      <w:r>
        <w:rPr>
          <w:rFonts w:hint="eastAsia" w:ascii="宋体" w:hAnsi="宋体"/>
          <w:szCs w:val="21"/>
        </w:rPr>
        <w:t>的；</w:t>
      </w:r>
    </w:p>
    <w:p w14:paraId="39220379">
      <w:pPr>
        <w:spacing w:line="440" w:lineRule="exact"/>
        <w:ind w:firstLine="420" w:firstLineChars="200"/>
        <w:rPr>
          <w:rFonts w:ascii="宋体" w:hAnsi="宋体"/>
          <w:szCs w:val="21"/>
        </w:rPr>
      </w:pPr>
      <w:r>
        <w:rPr>
          <w:rFonts w:hint="eastAsia" w:ascii="宋体" w:hAnsi="宋体"/>
          <w:szCs w:val="21"/>
        </w:rPr>
        <w:t xml:space="preserve">2.15  </w:t>
      </w:r>
      <w:r>
        <w:rPr>
          <w:rFonts w:ascii="宋体" w:hAnsi="宋体"/>
          <w:szCs w:val="21"/>
        </w:rPr>
        <w:t>投标人递交两份或多份内容不同</w:t>
      </w:r>
      <w:r>
        <w:rPr>
          <w:rFonts w:hint="eastAsia" w:ascii="宋体" w:hAnsi="宋体"/>
          <w:szCs w:val="21"/>
        </w:rPr>
        <w:t>投标方案（</w:t>
      </w:r>
      <w:r>
        <w:rPr>
          <w:rFonts w:ascii="宋体" w:hAnsi="宋体"/>
          <w:szCs w:val="21"/>
        </w:rPr>
        <w:t>招标文件规定提交备选投标方案的除外</w:t>
      </w:r>
      <w:r>
        <w:rPr>
          <w:rFonts w:hint="eastAsia" w:ascii="宋体" w:hAnsi="宋体"/>
          <w:szCs w:val="21"/>
        </w:rPr>
        <w:t>）</w:t>
      </w:r>
      <w:r>
        <w:rPr>
          <w:rFonts w:ascii="宋体" w:hAnsi="宋体"/>
          <w:szCs w:val="21"/>
        </w:rPr>
        <w:t>；</w:t>
      </w:r>
    </w:p>
    <w:p w14:paraId="3DBAEBBF">
      <w:pPr>
        <w:spacing w:line="440" w:lineRule="exact"/>
        <w:ind w:firstLine="420" w:firstLineChars="200"/>
        <w:rPr>
          <w:rFonts w:ascii="宋体" w:hAnsi="宋体"/>
          <w:szCs w:val="21"/>
        </w:rPr>
      </w:pPr>
      <w:r>
        <w:rPr>
          <w:rFonts w:hint="eastAsia" w:ascii="宋体" w:hAnsi="宋体"/>
          <w:szCs w:val="21"/>
        </w:rPr>
        <w:t>2.16  投标文件只对</w:t>
      </w:r>
      <w:r>
        <w:rPr>
          <w:rFonts w:ascii="宋体" w:hAnsi="宋体"/>
          <w:szCs w:val="21"/>
        </w:rPr>
        <w:t>同一</w:t>
      </w:r>
      <w:r>
        <w:rPr>
          <w:rFonts w:hint="eastAsia" w:ascii="宋体" w:hAnsi="宋体"/>
          <w:szCs w:val="21"/>
        </w:rPr>
        <w:t>项目</w:t>
      </w:r>
      <w:r>
        <w:rPr>
          <w:rFonts w:ascii="宋体" w:hAnsi="宋体"/>
          <w:szCs w:val="21"/>
        </w:rPr>
        <w:t>包中的</w:t>
      </w:r>
      <w:r>
        <w:rPr>
          <w:rFonts w:hint="eastAsia" w:ascii="宋体" w:hAnsi="宋体"/>
          <w:szCs w:val="21"/>
        </w:rPr>
        <w:t>部分</w:t>
      </w:r>
      <w:r>
        <w:rPr>
          <w:rFonts w:ascii="宋体" w:hAnsi="宋体"/>
          <w:szCs w:val="21"/>
        </w:rPr>
        <w:t>内容</w:t>
      </w:r>
      <w:r>
        <w:rPr>
          <w:rFonts w:hint="eastAsia" w:ascii="宋体" w:hAnsi="宋体"/>
          <w:szCs w:val="21"/>
        </w:rPr>
        <w:t>投标，或把</w:t>
      </w:r>
      <w:r>
        <w:rPr>
          <w:rFonts w:ascii="宋体" w:hAnsi="宋体"/>
          <w:szCs w:val="21"/>
        </w:rPr>
        <w:t>同一</w:t>
      </w:r>
      <w:r>
        <w:rPr>
          <w:rFonts w:hint="eastAsia" w:ascii="宋体" w:hAnsi="宋体"/>
          <w:szCs w:val="21"/>
        </w:rPr>
        <w:t>项目</w:t>
      </w:r>
      <w:r>
        <w:rPr>
          <w:rFonts w:ascii="宋体" w:hAnsi="宋体"/>
          <w:szCs w:val="21"/>
        </w:rPr>
        <w:t>包中</w:t>
      </w:r>
      <w:r>
        <w:rPr>
          <w:rFonts w:hint="eastAsia" w:ascii="宋体" w:hAnsi="宋体"/>
          <w:szCs w:val="21"/>
        </w:rPr>
        <w:t>的内容拆开的投标；</w:t>
      </w:r>
    </w:p>
    <w:p w14:paraId="19B02002">
      <w:pPr>
        <w:spacing w:line="440" w:lineRule="exact"/>
        <w:ind w:firstLine="420" w:firstLineChars="200"/>
        <w:rPr>
          <w:rFonts w:ascii="宋体" w:hAnsi="宋体"/>
          <w:szCs w:val="21"/>
        </w:rPr>
      </w:pPr>
      <w:r>
        <w:rPr>
          <w:rFonts w:hint="eastAsia" w:ascii="宋体" w:hAnsi="宋体"/>
          <w:szCs w:val="21"/>
        </w:rPr>
        <w:t>2.17  评标委员会根据招标文件的规定对投标文件的计算错误进行修正，投标人不接受修正后的投标报价的；</w:t>
      </w:r>
    </w:p>
    <w:p w14:paraId="56903024">
      <w:pPr>
        <w:spacing w:line="440" w:lineRule="exact"/>
        <w:ind w:firstLine="420" w:firstLineChars="200"/>
        <w:rPr>
          <w:rFonts w:ascii="宋体" w:hAnsi="宋体"/>
          <w:szCs w:val="21"/>
        </w:rPr>
      </w:pPr>
      <w:r>
        <w:rPr>
          <w:rFonts w:hint="eastAsia" w:ascii="宋体" w:hAnsi="宋体"/>
          <w:szCs w:val="21"/>
        </w:rPr>
        <w:t>2.18  投标文件符合法律、法规及</w:t>
      </w:r>
      <w:r>
        <w:rPr>
          <w:rFonts w:hint="eastAsia" w:ascii="宋体" w:hAnsi="宋体"/>
        </w:rPr>
        <w:t>招标文件中规定的其他否决因素的。</w:t>
      </w:r>
    </w:p>
    <w:p w14:paraId="27585A71">
      <w:pPr>
        <w:spacing w:line="440" w:lineRule="exact"/>
        <w:ind w:firstLine="422" w:firstLineChars="200"/>
        <w:rPr>
          <w:rFonts w:ascii="宋体" w:hAnsi="宋体"/>
          <w:b/>
          <w:bCs/>
          <w:color w:val="000000"/>
          <w:szCs w:val="21"/>
        </w:rPr>
      </w:pPr>
    </w:p>
    <w:p w14:paraId="5537BC7A">
      <w:pPr>
        <w:jc w:val="center"/>
        <w:outlineLvl w:val="1"/>
        <w:rPr>
          <w:rFonts w:ascii="微软雅黑" w:hAnsi="微软雅黑" w:eastAsia="微软雅黑" w:cs="微软雅黑"/>
          <w:b/>
          <w:color w:val="000000"/>
          <w:sz w:val="24"/>
          <w:szCs w:val="24"/>
        </w:rPr>
      </w:pPr>
      <w:bookmarkStart w:id="8" w:name="_Toc10529"/>
      <w:r>
        <w:rPr>
          <w:rFonts w:hint="eastAsia" w:ascii="微软雅黑" w:hAnsi="微软雅黑" w:eastAsia="微软雅黑" w:cs="微软雅黑"/>
          <w:b/>
          <w:color w:val="000000"/>
          <w:sz w:val="24"/>
          <w:szCs w:val="24"/>
        </w:rPr>
        <w:t>第六节  评标方法及程序</w:t>
      </w:r>
      <w:bookmarkEnd w:id="8"/>
    </w:p>
    <w:p w14:paraId="414C41A1">
      <w:pPr>
        <w:spacing w:line="440" w:lineRule="exact"/>
        <w:ind w:firstLine="422" w:firstLineChars="200"/>
        <w:rPr>
          <w:rFonts w:ascii="宋体" w:hAnsi="宋体"/>
          <w:b/>
          <w:bCs/>
          <w:szCs w:val="21"/>
        </w:rPr>
      </w:pPr>
      <w:r>
        <w:rPr>
          <w:rFonts w:hint="eastAsia" w:ascii="宋体" w:hAnsi="宋体"/>
          <w:b/>
          <w:bCs/>
          <w:szCs w:val="21"/>
        </w:rPr>
        <w:t>一、本项目评标及定标方法</w:t>
      </w:r>
    </w:p>
    <w:tbl>
      <w:tblPr>
        <w:tblStyle w:val="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36"/>
        <w:gridCol w:w="6534"/>
      </w:tblGrid>
      <w:tr w14:paraId="3D3A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70" w:type="dxa"/>
            <w:vAlign w:val="center"/>
          </w:tcPr>
          <w:p w14:paraId="6DBE63A3">
            <w:pPr>
              <w:spacing w:line="440" w:lineRule="exact"/>
              <w:jc w:val="center"/>
              <w:rPr>
                <w:rFonts w:ascii="宋体" w:hAnsi="宋体"/>
                <w:b/>
                <w:bCs/>
                <w:szCs w:val="21"/>
              </w:rPr>
            </w:pPr>
            <w:r>
              <w:rPr>
                <w:rFonts w:hint="eastAsia" w:ascii="宋体" w:hAnsi="宋体"/>
                <w:b/>
                <w:bCs/>
                <w:szCs w:val="21"/>
              </w:rPr>
              <w:t>序号</w:t>
            </w:r>
          </w:p>
        </w:tc>
        <w:tc>
          <w:tcPr>
            <w:tcW w:w="1736" w:type="dxa"/>
            <w:vAlign w:val="center"/>
          </w:tcPr>
          <w:p w14:paraId="0D0A58F2">
            <w:pPr>
              <w:spacing w:line="440" w:lineRule="exact"/>
              <w:jc w:val="center"/>
              <w:rPr>
                <w:rFonts w:ascii="宋体" w:hAnsi="宋体"/>
                <w:b/>
                <w:bCs/>
                <w:szCs w:val="21"/>
              </w:rPr>
            </w:pPr>
            <w:r>
              <w:rPr>
                <w:rFonts w:hint="eastAsia" w:ascii="宋体" w:hAnsi="宋体"/>
                <w:b/>
                <w:bCs/>
                <w:szCs w:val="21"/>
              </w:rPr>
              <w:t>项目</w:t>
            </w:r>
          </w:p>
        </w:tc>
        <w:tc>
          <w:tcPr>
            <w:tcW w:w="6534" w:type="dxa"/>
            <w:vAlign w:val="center"/>
          </w:tcPr>
          <w:p w14:paraId="0E0C8C7F">
            <w:pPr>
              <w:spacing w:line="440" w:lineRule="exact"/>
              <w:jc w:val="center"/>
              <w:rPr>
                <w:rFonts w:ascii="宋体" w:hAnsi="宋体"/>
                <w:b/>
                <w:bCs/>
                <w:szCs w:val="21"/>
              </w:rPr>
            </w:pPr>
            <w:r>
              <w:rPr>
                <w:rFonts w:hint="eastAsia" w:ascii="宋体" w:hAnsi="宋体"/>
                <w:b/>
                <w:bCs/>
                <w:szCs w:val="21"/>
              </w:rPr>
              <w:t>内容</w:t>
            </w:r>
          </w:p>
        </w:tc>
      </w:tr>
      <w:tr w14:paraId="5A3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634C3FAD">
            <w:pPr>
              <w:spacing w:line="440" w:lineRule="exact"/>
              <w:jc w:val="center"/>
              <w:rPr>
                <w:rFonts w:ascii="宋体" w:hAnsi="宋体"/>
                <w:bCs/>
                <w:szCs w:val="21"/>
              </w:rPr>
            </w:pPr>
            <w:r>
              <w:rPr>
                <w:rFonts w:hint="eastAsia" w:ascii="宋体" w:hAnsi="宋体"/>
                <w:bCs/>
                <w:szCs w:val="21"/>
              </w:rPr>
              <w:t>1</w:t>
            </w:r>
          </w:p>
        </w:tc>
        <w:tc>
          <w:tcPr>
            <w:tcW w:w="1736" w:type="dxa"/>
            <w:vAlign w:val="center"/>
          </w:tcPr>
          <w:p w14:paraId="0B1DD3DC">
            <w:pPr>
              <w:spacing w:line="440" w:lineRule="exact"/>
              <w:jc w:val="center"/>
              <w:rPr>
                <w:rFonts w:ascii="宋体" w:hAnsi="宋体"/>
                <w:bCs/>
                <w:szCs w:val="21"/>
              </w:rPr>
            </w:pPr>
            <w:r>
              <w:rPr>
                <w:rFonts w:hint="eastAsia" w:ascii="宋体" w:hAnsi="宋体"/>
                <w:bCs/>
                <w:szCs w:val="21"/>
              </w:rPr>
              <w:t>定标方式</w:t>
            </w:r>
          </w:p>
        </w:tc>
        <w:tc>
          <w:tcPr>
            <w:tcW w:w="6534" w:type="dxa"/>
            <w:vAlign w:val="center"/>
          </w:tcPr>
          <w:p w14:paraId="5EE034AE">
            <w:pPr>
              <w:spacing w:line="440" w:lineRule="exact"/>
              <w:rPr>
                <w:rFonts w:ascii="宋体" w:hAnsi="宋体"/>
                <w:b/>
                <w:bCs/>
                <w:szCs w:val="21"/>
              </w:rPr>
            </w:pPr>
            <w:r>
              <w:rPr>
                <w:rFonts w:hint="eastAsia" w:ascii="MS Mincho" w:hAnsi="MS Mincho" w:cs="MS Mincho"/>
                <w:snapToGrid w:val="0"/>
                <w:kern w:val="0"/>
                <w:szCs w:val="21"/>
              </w:rPr>
              <w:t xml:space="preserve">■ </w:t>
            </w:r>
            <w:r>
              <w:rPr>
                <w:rFonts w:hint="eastAsia" w:ascii="宋体" w:hAnsi="宋体"/>
                <w:szCs w:val="21"/>
              </w:rPr>
              <w:t xml:space="preserve">授权评标委员会确定中标单位   </w:t>
            </w:r>
            <w:r>
              <w:rPr>
                <w:rFonts w:hint="eastAsia" w:ascii="宋体" w:hAnsi="宋体"/>
                <w:snapToGrid w:val="0"/>
                <w:kern w:val="0"/>
                <w:szCs w:val="21"/>
              </w:rPr>
              <w:t xml:space="preserve">□ </w:t>
            </w:r>
            <w:r>
              <w:rPr>
                <w:rFonts w:hint="eastAsia"/>
              </w:rPr>
              <w:t>评标和定标分离</w:t>
            </w:r>
          </w:p>
        </w:tc>
      </w:tr>
      <w:tr w14:paraId="231E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653A2872">
            <w:pPr>
              <w:spacing w:line="440" w:lineRule="exact"/>
              <w:jc w:val="center"/>
              <w:rPr>
                <w:rFonts w:ascii="宋体" w:hAnsi="宋体"/>
                <w:bCs/>
                <w:szCs w:val="21"/>
              </w:rPr>
            </w:pPr>
            <w:r>
              <w:rPr>
                <w:rFonts w:hint="eastAsia" w:ascii="宋体" w:hAnsi="宋体"/>
                <w:bCs/>
                <w:szCs w:val="21"/>
              </w:rPr>
              <w:t>2</w:t>
            </w:r>
          </w:p>
        </w:tc>
        <w:tc>
          <w:tcPr>
            <w:tcW w:w="1736" w:type="dxa"/>
            <w:vAlign w:val="center"/>
          </w:tcPr>
          <w:p w14:paraId="2A54147D">
            <w:pPr>
              <w:spacing w:line="440" w:lineRule="exact"/>
              <w:jc w:val="center"/>
              <w:rPr>
                <w:rFonts w:ascii="宋体" w:hAnsi="宋体"/>
                <w:bCs/>
                <w:szCs w:val="21"/>
              </w:rPr>
            </w:pPr>
            <w:r>
              <w:rPr>
                <w:rFonts w:hint="eastAsia" w:ascii="宋体" w:hAnsi="宋体"/>
                <w:bCs/>
                <w:szCs w:val="21"/>
              </w:rPr>
              <w:t>评标方法</w:t>
            </w:r>
          </w:p>
        </w:tc>
        <w:tc>
          <w:tcPr>
            <w:tcW w:w="6534" w:type="dxa"/>
            <w:vAlign w:val="center"/>
          </w:tcPr>
          <w:p w14:paraId="1C0438E6">
            <w:pPr>
              <w:spacing w:line="440" w:lineRule="exact"/>
              <w:rPr>
                <w:rFonts w:ascii="宋体" w:hAnsi="宋体"/>
                <w:b/>
                <w:bCs/>
                <w:szCs w:val="21"/>
              </w:rPr>
            </w:pPr>
            <w:r>
              <w:rPr>
                <w:rFonts w:hint="eastAsia" w:ascii="MS Mincho" w:hAnsi="MS Mincho" w:cs="MS Mincho"/>
                <w:snapToGrid w:val="0"/>
                <w:kern w:val="0"/>
                <w:szCs w:val="21"/>
              </w:rPr>
              <w:t xml:space="preserve">■ </w:t>
            </w:r>
            <w:r>
              <w:rPr>
                <w:rFonts w:hint="eastAsia" w:ascii="宋体" w:hAnsi="宋体"/>
                <w:szCs w:val="21"/>
              </w:rPr>
              <w:t xml:space="preserve">综合评分法    </w:t>
            </w:r>
            <w:r>
              <w:rPr>
                <w:rFonts w:ascii="宋体" w:hAnsi="宋体"/>
                <w:szCs w:val="21"/>
              </w:rPr>
              <w:t xml:space="preserve">               </w:t>
            </w:r>
            <w:r>
              <w:rPr>
                <w:rFonts w:hint="eastAsia" w:ascii="宋体" w:hAnsi="宋体"/>
                <w:snapToGrid w:val="0"/>
                <w:kern w:val="0"/>
                <w:szCs w:val="21"/>
              </w:rPr>
              <w:t xml:space="preserve">□ </w:t>
            </w:r>
            <w:r>
              <w:rPr>
                <w:rFonts w:hint="eastAsia" w:ascii="Calibri" w:hAnsi="Calibri"/>
                <w:szCs w:val="21"/>
              </w:rPr>
              <w:t>最低价法</w:t>
            </w:r>
          </w:p>
        </w:tc>
      </w:tr>
      <w:tr w14:paraId="6BA4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400DE89D">
            <w:pPr>
              <w:spacing w:line="440" w:lineRule="exact"/>
              <w:jc w:val="center"/>
              <w:rPr>
                <w:rFonts w:ascii="宋体" w:hAnsi="宋体"/>
                <w:bCs/>
                <w:szCs w:val="21"/>
              </w:rPr>
            </w:pPr>
            <w:r>
              <w:rPr>
                <w:rFonts w:ascii="宋体" w:hAnsi="宋体"/>
                <w:bCs/>
                <w:szCs w:val="21"/>
              </w:rPr>
              <w:t>3</w:t>
            </w:r>
          </w:p>
        </w:tc>
        <w:tc>
          <w:tcPr>
            <w:tcW w:w="1736" w:type="dxa"/>
            <w:vAlign w:val="center"/>
          </w:tcPr>
          <w:p w14:paraId="39D2CDE0">
            <w:pPr>
              <w:spacing w:line="440" w:lineRule="exact"/>
              <w:jc w:val="center"/>
              <w:rPr>
                <w:rFonts w:ascii="宋体" w:hAnsi="宋体"/>
                <w:bCs/>
                <w:szCs w:val="21"/>
              </w:rPr>
            </w:pPr>
            <w:r>
              <w:rPr>
                <w:rFonts w:hint="eastAsia" w:ascii="宋体" w:hAnsi="宋体"/>
                <w:bCs/>
                <w:szCs w:val="21"/>
              </w:rPr>
              <w:t>价格评审优惠政策</w:t>
            </w:r>
          </w:p>
        </w:tc>
        <w:tc>
          <w:tcPr>
            <w:tcW w:w="6534" w:type="dxa"/>
            <w:vAlign w:val="center"/>
          </w:tcPr>
          <w:p w14:paraId="5EA0BF3F">
            <w:pPr>
              <w:spacing w:line="440" w:lineRule="exact"/>
              <w:rPr>
                <w:rFonts w:asciiTheme="majorEastAsia" w:hAnsiTheme="majorEastAsia" w:eastAsiaTheme="majorEastAsia" w:cstheme="majorEastAsia"/>
              </w:rPr>
            </w:pPr>
            <w:r>
              <w:rPr>
                <w:rFonts w:hint="eastAsia" w:asciiTheme="majorEastAsia" w:hAnsiTheme="majorEastAsia" w:eastAsiaTheme="majorEastAsia" w:cstheme="majorEastAsia"/>
              </w:rPr>
              <w:t>1、货物由符合政策要求的小型企业、微型企业、监狱企业、残疾人福利性单位制造，对其价格给予10%的扣除，用扣除后的价格参与评审。满足多项优惠政策的企业，不重复享受多项价格扣除政策。</w:t>
            </w:r>
          </w:p>
          <w:p w14:paraId="3DAD3BC6">
            <w:pPr>
              <w:spacing w:line="440" w:lineRule="exact"/>
              <w:rPr>
                <w:rFonts w:asciiTheme="majorEastAsia" w:hAnsiTheme="majorEastAsia" w:eastAsiaTheme="majorEastAsia" w:cstheme="majorEastAsia"/>
              </w:rPr>
            </w:pPr>
            <w:r>
              <w:rPr>
                <w:rFonts w:hint="eastAsia" w:asciiTheme="majorEastAsia" w:hAnsiTheme="majorEastAsia" w:eastAsiaTheme="majorEastAsia" w:cstheme="majorEastAsia"/>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3%扣除，用扣除后的价格参加评审。联合体各方均为小微企业的，价格扣除比例为10%。</w:t>
            </w:r>
            <w:r>
              <w:rPr>
                <w:rFonts w:hint="eastAsia" w:asciiTheme="majorEastAsia" w:hAnsiTheme="majorEastAsia" w:eastAsiaTheme="majorEastAsia" w:cstheme="majorEastAsia"/>
                <w:b/>
              </w:rPr>
              <w:t>（不接受联合体投标的项目，本条不适用）</w:t>
            </w:r>
            <w:r>
              <w:rPr>
                <w:rFonts w:hint="eastAsia" w:asciiTheme="majorEastAsia" w:hAnsiTheme="majorEastAsia" w:eastAsiaTheme="majorEastAsia" w:cstheme="majorEastAsia"/>
              </w:rPr>
              <w:t>。</w:t>
            </w:r>
          </w:p>
          <w:p w14:paraId="45CE211A">
            <w:pPr>
              <w:spacing w:line="440" w:lineRule="exact"/>
              <w:rPr>
                <w:rFonts w:ascii="宋体" w:hAnsi="宋体"/>
                <w:b/>
                <w:bCs/>
                <w:szCs w:val="21"/>
              </w:rPr>
            </w:pPr>
            <w:r>
              <w:rPr>
                <w:rFonts w:hint="eastAsia" w:asciiTheme="majorEastAsia" w:hAnsiTheme="majorEastAsia" w:eastAsiaTheme="majorEastAsia" w:cstheme="majorEastAsia"/>
              </w:rPr>
              <w:t>3、优惠主体资格的认定资料为《中小企业声明函》《残疾人福利性单位声明函》《监狱企业声明函》等承诺性质的资料（声明函样式见“第五章 投标文件格式”）；监狱企业如需享受优惠政策，除上述资料外，还须提供省级以上监狱管理局、戒毒管理局出具的监狱企业证明文件。</w:t>
            </w:r>
          </w:p>
        </w:tc>
      </w:tr>
      <w:tr w14:paraId="7B08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1FF2A6C0">
            <w:pPr>
              <w:spacing w:line="440" w:lineRule="exact"/>
              <w:jc w:val="center"/>
              <w:rPr>
                <w:rFonts w:ascii="宋体" w:hAnsi="宋体"/>
                <w:bCs/>
                <w:szCs w:val="21"/>
              </w:rPr>
            </w:pPr>
          </w:p>
        </w:tc>
        <w:tc>
          <w:tcPr>
            <w:tcW w:w="1736" w:type="dxa"/>
            <w:vAlign w:val="center"/>
          </w:tcPr>
          <w:p w14:paraId="1587FA12">
            <w:pPr>
              <w:spacing w:line="440" w:lineRule="exact"/>
              <w:rPr>
                <w:rFonts w:ascii="宋体" w:hAnsi="宋体"/>
                <w:bCs/>
                <w:szCs w:val="21"/>
              </w:rPr>
            </w:pPr>
          </w:p>
        </w:tc>
        <w:tc>
          <w:tcPr>
            <w:tcW w:w="6534" w:type="dxa"/>
            <w:vAlign w:val="center"/>
          </w:tcPr>
          <w:p w14:paraId="0209C157">
            <w:pPr>
              <w:spacing w:line="440" w:lineRule="exact"/>
              <w:rPr>
                <w:b/>
                <w:bCs/>
              </w:rPr>
            </w:pPr>
            <w:r>
              <w:rPr>
                <w:rFonts w:hint="eastAsia"/>
                <w:b/>
                <w:bCs/>
              </w:rPr>
              <w:t>1、关于享受对本国产品的政府采购支持政策的主体、价格扣除比例等事项的说明</w:t>
            </w:r>
          </w:p>
          <w:p w14:paraId="5EB5A70D">
            <w:pPr>
              <w:spacing w:line="440" w:lineRule="exact"/>
              <w:rPr>
                <w:szCs w:val="24"/>
              </w:rPr>
            </w:pPr>
            <w:r>
              <w:rPr>
                <w:rFonts w:hint="eastAsia"/>
                <w:szCs w:val="24"/>
              </w:rPr>
              <w:t>（1）适用主体：国有企业、民营企业、外资企业等各类经营主体平等享受对本国产品的政府采购支持政策。</w:t>
            </w:r>
          </w:p>
          <w:p w14:paraId="27AF5CB9">
            <w:pPr>
              <w:pStyle w:val="6"/>
              <w:spacing w:line="440" w:lineRule="exact"/>
              <w:rPr>
                <w:rFonts w:ascii="Times New Roman" w:hAnsi="Times New Roman"/>
                <w:szCs w:val="24"/>
              </w:rPr>
            </w:pPr>
            <w:r>
              <w:rPr>
                <w:rFonts w:hint="eastAsia" w:ascii="Times New Roman" w:hAnsi="Times New Roman"/>
                <w:szCs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8D0522E">
            <w:pPr>
              <w:pStyle w:val="6"/>
              <w:spacing w:line="440" w:lineRule="exact"/>
              <w:rPr>
                <w:rFonts w:ascii="Times New Roman" w:hAnsi="Times New Roman"/>
                <w:szCs w:val="24"/>
              </w:rPr>
            </w:pPr>
            <w:r>
              <w:rPr>
                <w:rFonts w:hint="eastAsia" w:ascii="Times New Roman" w:hAnsi="Times New Roman"/>
                <w:szCs w:val="24"/>
              </w:rPr>
              <w:t>（3）价格扣除：政府采购活动中既有本国产品又有非本国产品参与竞争的，依法对本国产品给予价格评审优惠，</w:t>
            </w:r>
            <w:r>
              <w:rPr>
                <w:rFonts w:hint="eastAsia" w:ascii="Times New Roman" w:hAnsi="Times New Roman"/>
                <w:b/>
                <w:bCs/>
                <w:color w:val="FF0000"/>
                <w:szCs w:val="24"/>
              </w:rPr>
              <w:t>对本国产品的报价给予20%的价格扣除</w:t>
            </w:r>
            <w:r>
              <w:rPr>
                <w:rFonts w:hint="eastAsia" w:ascii="Times New Roman" w:hAnsi="Times New Roman"/>
                <w:color w:val="000000" w:themeColor="text1"/>
                <w:szCs w:val="24"/>
                <w14:textFill>
                  <w14:solidFill>
                    <w14:schemeClr w14:val="tx1"/>
                  </w14:solidFill>
                </w14:textFill>
              </w:rPr>
              <w:t>，</w:t>
            </w:r>
            <w:r>
              <w:rPr>
                <w:rFonts w:hint="eastAsia" w:ascii="Times New Roman" w:hAnsi="Times New Roman"/>
                <w:szCs w:val="24"/>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w:t>
            </w:r>
            <w:r>
              <w:rPr>
                <w:rFonts w:hint="eastAsia" w:ascii="Times New Roman" w:hAnsi="Times New Roman"/>
                <w:b/>
                <w:bCs/>
                <w:color w:val="FF0000"/>
                <w:szCs w:val="24"/>
              </w:rPr>
              <w:t>总报价给予20%的价格扣除</w:t>
            </w:r>
            <w:r>
              <w:rPr>
                <w:rFonts w:hint="eastAsia" w:ascii="Times New Roman" w:hAnsi="Times New Roman"/>
                <w:szCs w:val="24"/>
              </w:rPr>
              <w:t>，用扣除后的价格参与评审。</w:t>
            </w:r>
          </w:p>
          <w:p w14:paraId="196B32C5">
            <w:pPr>
              <w:pStyle w:val="6"/>
              <w:spacing w:line="440" w:lineRule="exact"/>
            </w:pPr>
            <w:r>
              <w:rPr>
                <w:rFonts w:hint="eastAsia" w:ascii="Times New Roman" w:hAnsi="Times New Roman"/>
                <w:szCs w:val="24"/>
              </w:rPr>
              <w:t>（4）供应商出具符合要求的《关于符合本国产品标准的声明函》或财政部会同有关部门规定的有关证明文件，该产品视为本国产品。</w:t>
            </w:r>
            <w:r>
              <w:rPr>
                <w:rFonts w:hint="eastAsia"/>
              </w:rPr>
              <w:t>声明函样式见本招标文件第一册专用条款“第四章  投标文件组成要求及格式”中“三、投标人情况及资格证明文件”章节提供的格式）。</w:t>
            </w:r>
          </w:p>
          <w:p w14:paraId="5D54231A">
            <w:pPr>
              <w:pStyle w:val="6"/>
              <w:spacing w:line="440" w:lineRule="exact"/>
              <w:rPr>
                <w:b/>
                <w:bCs/>
              </w:rPr>
            </w:pPr>
            <w:r>
              <w:rPr>
                <w:rFonts w:hint="eastAsia"/>
                <w:b/>
                <w:bCs/>
              </w:rPr>
              <w:t>2、关于同时满足中小企业扶持政策和对本国产品的支持政策的事项说明</w:t>
            </w:r>
          </w:p>
          <w:p w14:paraId="6CB4AADE">
            <w:pPr>
              <w:pStyle w:val="6"/>
              <w:spacing w:line="440" w:lineRule="exact"/>
              <w:rPr>
                <w:rFonts w:ascii="Times New Roman" w:hAnsi="Times New Roman"/>
                <w:szCs w:val="24"/>
              </w:rPr>
            </w:pPr>
            <w:r>
              <w:rPr>
                <w:rFonts w:hint="eastAsia" w:ascii="Times New Roman" w:hAnsi="Times New Roman"/>
                <w:szCs w:val="24"/>
              </w:rPr>
              <w:t>本国产品政策实施后，政府采购活动中既有本国产品又有非本国产品参与竞争的，依法对本国产品给予价格评审优惠，对本国产品的报价给予20%的价格扣除，用扣除后的价格参与评审。</w:t>
            </w:r>
            <w:r>
              <w:rPr>
                <w:rFonts w:hint="eastAsia" w:ascii="Times New Roman" w:hAnsi="Times New Roman"/>
                <w:b/>
                <w:bCs/>
                <w:color w:val="FF0000"/>
                <w:szCs w:val="24"/>
              </w:rPr>
              <w:t>同时，若提供本国产品的供应商也符合政府采购支持中小企业政策，也按规定给与价格评审优惠。需要说明的是，相关价格评审扣除优惠，都应该在供应商报价基础上计算。</w:t>
            </w:r>
            <w:r>
              <w:rPr>
                <w:rFonts w:hint="eastAsia" w:ascii="Times New Roman" w:hAnsi="Times New Roman"/>
                <w:szCs w:val="24"/>
              </w:rPr>
              <w:t>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7B8A548D">
            <w:pPr>
              <w:pStyle w:val="6"/>
              <w:spacing w:line="440" w:lineRule="exact"/>
              <w:rPr>
                <w:rFonts w:ascii="Times New Roman" w:hAnsi="Times New Roman"/>
                <w:szCs w:val="24"/>
              </w:rPr>
            </w:pPr>
            <w:r>
              <w:rPr>
                <w:rFonts w:hint="eastAsia" w:ascii="Times New Roman" w:hAnsi="Times New Roman"/>
                <w:szCs w:val="24"/>
              </w:rPr>
              <w:t>（1）预留份额专门面向中小企业采购的项目，不再享受小微企业价格扣除优惠。若供应商所投货物同时满足对本国产品的支持政策的规定，应享受该政策20%价格扣除优惠；</w:t>
            </w:r>
          </w:p>
          <w:p w14:paraId="0CBEA11B">
            <w:pPr>
              <w:pStyle w:val="6"/>
              <w:spacing w:line="440" w:lineRule="exact"/>
              <w:rPr>
                <w:rFonts w:ascii="Times New Roman" w:hAnsi="Times New Roman"/>
                <w:szCs w:val="24"/>
              </w:rPr>
            </w:pPr>
            <w:r>
              <w:rPr>
                <w:rFonts w:hint="eastAsia" w:ascii="Times New Roman" w:hAnsi="Times New Roman"/>
                <w:szCs w:val="24"/>
              </w:rPr>
              <w:t>（2）未预留份额专门面向中小企业采购的项目，供应商同时满足小微企业和所投产品符合本国产品支持政策规定的，应同时对该供应商投标总报价给予多项价格扣除优惠，用扣除后的价格参与评审。</w:t>
            </w:r>
          </w:p>
          <w:p w14:paraId="116505E5">
            <w:pPr>
              <w:pStyle w:val="6"/>
              <w:spacing w:line="440" w:lineRule="exact"/>
              <w:rPr>
                <w:rFonts w:asciiTheme="majorEastAsia" w:hAnsiTheme="majorEastAsia" w:eastAsiaTheme="majorEastAsia" w:cstheme="majorEastAsia"/>
              </w:rPr>
            </w:pPr>
            <w:r>
              <w:rPr>
                <w:rFonts w:hint="eastAsia"/>
                <w:b/>
                <w:bCs/>
              </w:rPr>
              <w:t>3、</w:t>
            </w:r>
            <w:r>
              <w:rPr>
                <w:b/>
                <w:bCs/>
              </w:rPr>
              <w:t>上述支持政策不改变最终中标</w:t>
            </w:r>
            <w:r>
              <w:rPr>
                <w:rFonts w:hint="eastAsia"/>
                <w:b/>
                <w:bCs/>
              </w:rPr>
              <w:t>（</w:t>
            </w:r>
            <w:r>
              <w:rPr>
                <w:b/>
                <w:bCs/>
              </w:rPr>
              <w:t>成交</w:t>
            </w:r>
            <w:r>
              <w:rPr>
                <w:rFonts w:hint="eastAsia"/>
                <w:b/>
                <w:bCs/>
              </w:rPr>
              <w:t>）</w:t>
            </w:r>
            <w:r>
              <w:rPr>
                <w:b/>
                <w:bCs/>
              </w:rPr>
              <w:t>价格，政府采购合同仍按照中标</w:t>
            </w:r>
            <w:r>
              <w:rPr>
                <w:rFonts w:hint="eastAsia"/>
                <w:b/>
                <w:bCs/>
              </w:rPr>
              <w:t>（</w:t>
            </w:r>
            <w:r>
              <w:rPr>
                <w:b/>
                <w:bCs/>
              </w:rPr>
              <w:t>成交</w:t>
            </w:r>
            <w:r>
              <w:rPr>
                <w:rFonts w:hint="eastAsia"/>
                <w:b/>
                <w:bCs/>
              </w:rPr>
              <w:t>）</w:t>
            </w:r>
            <w:r>
              <w:rPr>
                <w:b/>
                <w:bCs/>
              </w:rPr>
              <w:t>供应商的报价签订。</w:t>
            </w:r>
          </w:p>
        </w:tc>
      </w:tr>
    </w:tbl>
    <w:p w14:paraId="7BC29778">
      <w:pPr>
        <w:spacing w:line="440" w:lineRule="exact"/>
        <w:ind w:firstLine="422" w:firstLineChars="200"/>
        <w:rPr>
          <w:rFonts w:ascii="宋体" w:hAnsi="宋体"/>
          <w:b/>
          <w:bCs/>
          <w:szCs w:val="21"/>
        </w:rPr>
      </w:pPr>
      <w:r>
        <w:rPr>
          <w:rFonts w:hint="eastAsia" w:ascii="宋体" w:hAnsi="宋体"/>
          <w:b/>
          <w:bCs/>
          <w:szCs w:val="21"/>
        </w:rPr>
        <w:t>备注：</w:t>
      </w:r>
      <w:r>
        <w:rPr>
          <w:rFonts w:hint="eastAsia" w:ascii="宋体" w:hAnsi="宋体"/>
          <w:snapToGrid w:val="0"/>
          <w:kern w:val="0"/>
          <w:szCs w:val="21"/>
        </w:rPr>
        <w:t>用“</w:t>
      </w:r>
      <w:r>
        <w:rPr>
          <w:rFonts w:hint="eastAsia" w:ascii="MS Mincho" w:hAnsi="MS Mincho" w:cs="MS Mincho"/>
          <w:snapToGrid w:val="0"/>
          <w:kern w:val="0"/>
          <w:szCs w:val="21"/>
        </w:rPr>
        <w:t>■</w:t>
      </w:r>
      <w:r>
        <w:rPr>
          <w:rFonts w:hint="eastAsia" w:ascii="宋体" w:hAnsi="宋体"/>
          <w:snapToGrid w:val="0"/>
          <w:kern w:val="0"/>
          <w:szCs w:val="21"/>
        </w:rPr>
        <w:t>”标识时表明该选项被采购人选用，用“□”标识时表明该选项未被采购人选用。</w:t>
      </w:r>
    </w:p>
    <w:p w14:paraId="132ACA4C">
      <w:pPr>
        <w:spacing w:line="440" w:lineRule="exact"/>
        <w:ind w:firstLine="422" w:firstLineChars="200"/>
        <w:rPr>
          <w:rFonts w:ascii="宋体" w:hAnsi="宋体"/>
          <w:b/>
          <w:bCs/>
          <w:color w:val="000000"/>
          <w:szCs w:val="21"/>
        </w:rPr>
      </w:pPr>
      <w:r>
        <w:rPr>
          <w:rFonts w:hint="eastAsia" w:ascii="宋体" w:hAnsi="宋体"/>
          <w:b/>
          <w:bCs/>
          <w:szCs w:val="21"/>
        </w:rPr>
        <w:t>二、本项目评标信息</w:t>
      </w:r>
    </w:p>
    <w:p w14:paraId="47CBF7D8">
      <w:pPr>
        <w:spacing w:line="440" w:lineRule="exact"/>
        <w:ind w:firstLine="422" w:firstLineChars="200"/>
        <w:rPr>
          <w:rFonts w:ascii="宋体" w:hAnsi="宋体"/>
          <w:b/>
          <w:bCs/>
          <w:color w:val="000000"/>
          <w:szCs w:val="21"/>
        </w:rPr>
      </w:pPr>
      <w:r>
        <w:rPr>
          <w:rFonts w:hint="eastAsia" w:ascii="宋体" w:hAnsi="宋体"/>
          <w:b/>
          <w:bCs/>
          <w:color w:val="000000"/>
          <w:szCs w:val="21"/>
        </w:rPr>
        <w:t>1、</w:t>
      </w:r>
      <w:r>
        <w:rPr>
          <w:rFonts w:ascii="宋体" w:hAnsi="宋体"/>
          <w:b/>
          <w:bCs/>
          <w:color w:val="000000"/>
          <w:szCs w:val="21"/>
        </w:rPr>
        <w:t>符合性检查表</w:t>
      </w:r>
    </w:p>
    <w:tbl>
      <w:tblPr>
        <w:tblStyle w:val="3"/>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6661"/>
        <w:gridCol w:w="1514"/>
      </w:tblGrid>
      <w:tr w14:paraId="1C3C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3CD796C5">
            <w:pPr>
              <w:spacing w:line="440" w:lineRule="exact"/>
              <w:jc w:val="center"/>
              <w:rPr>
                <w:rFonts w:ascii="宋体" w:hAnsi="宋体"/>
                <w:b/>
              </w:rPr>
            </w:pPr>
            <w:r>
              <w:rPr>
                <w:rFonts w:ascii="宋体" w:hAnsi="宋体"/>
                <w:b/>
              </w:rPr>
              <w:t>序号</w:t>
            </w:r>
          </w:p>
        </w:tc>
        <w:tc>
          <w:tcPr>
            <w:tcW w:w="6661" w:type="dxa"/>
            <w:shd w:val="clear" w:color="auto" w:fill="auto"/>
            <w:vAlign w:val="center"/>
          </w:tcPr>
          <w:p w14:paraId="13066132">
            <w:pPr>
              <w:spacing w:line="440" w:lineRule="exact"/>
              <w:ind w:left="-828" w:firstLine="828"/>
              <w:jc w:val="center"/>
              <w:rPr>
                <w:rFonts w:ascii="宋体" w:hAnsi="宋体"/>
                <w:b/>
                <w:sz w:val="24"/>
              </w:rPr>
            </w:pPr>
            <w:r>
              <w:rPr>
                <w:rFonts w:ascii="宋体" w:hAnsi="宋体"/>
                <w:b/>
              </w:rPr>
              <w:t>评议内容</w:t>
            </w:r>
          </w:p>
        </w:tc>
        <w:tc>
          <w:tcPr>
            <w:tcW w:w="1514" w:type="dxa"/>
            <w:shd w:val="clear" w:color="auto" w:fill="auto"/>
            <w:vAlign w:val="center"/>
          </w:tcPr>
          <w:p w14:paraId="71092DBD">
            <w:pPr>
              <w:spacing w:line="440" w:lineRule="exact"/>
              <w:ind w:left="44" w:hanging="44"/>
              <w:jc w:val="center"/>
              <w:rPr>
                <w:rFonts w:ascii="宋体" w:hAnsi="宋体"/>
                <w:b/>
                <w:sz w:val="24"/>
              </w:rPr>
            </w:pPr>
            <w:r>
              <w:rPr>
                <w:rFonts w:ascii="宋体" w:hAnsi="宋体"/>
                <w:b/>
              </w:rPr>
              <w:t>评议结果</w:t>
            </w:r>
          </w:p>
        </w:tc>
      </w:tr>
      <w:tr w14:paraId="2357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3CF461EB">
            <w:pPr>
              <w:spacing w:line="440" w:lineRule="exact"/>
              <w:ind w:left="57"/>
              <w:jc w:val="center"/>
              <w:rPr>
                <w:rFonts w:ascii="宋体" w:hAnsi="宋体"/>
              </w:rPr>
            </w:pPr>
            <w:r>
              <w:rPr>
                <w:rFonts w:hint="eastAsia" w:ascii="宋体" w:hAnsi="宋体"/>
              </w:rPr>
              <w:t>1</w:t>
            </w:r>
          </w:p>
        </w:tc>
        <w:tc>
          <w:tcPr>
            <w:tcW w:w="6661" w:type="dxa"/>
            <w:shd w:val="clear" w:color="auto" w:fill="auto"/>
            <w:vAlign w:val="center"/>
          </w:tcPr>
          <w:p w14:paraId="23A99A92">
            <w:pPr>
              <w:spacing w:line="440" w:lineRule="exact"/>
              <w:rPr>
                <w:rFonts w:ascii="宋体" w:hAnsi="宋体"/>
                <w:sz w:val="24"/>
              </w:rPr>
            </w:pPr>
            <w:r>
              <w:rPr>
                <w:rFonts w:hint="eastAsia" w:hAnsi="宋体"/>
                <w:szCs w:val="21"/>
              </w:rPr>
              <w:t>按照招标文件的格式详细填写“投标函”</w:t>
            </w:r>
          </w:p>
        </w:tc>
        <w:tc>
          <w:tcPr>
            <w:tcW w:w="1514" w:type="dxa"/>
            <w:shd w:val="clear" w:color="auto" w:fill="auto"/>
            <w:vAlign w:val="center"/>
          </w:tcPr>
          <w:p w14:paraId="661A3333">
            <w:pPr>
              <w:spacing w:line="440" w:lineRule="exact"/>
              <w:jc w:val="center"/>
              <w:rPr>
                <w:rFonts w:ascii="宋体" w:hAnsi="宋体"/>
                <w:szCs w:val="21"/>
              </w:rPr>
            </w:pPr>
            <w:r>
              <w:rPr>
                <w:rFonts w:ascii="宋体" w:hAnsi="宋体"/>
                <w:szCs w:val="21"/>
              </w:rPr>
              <w:t>合格/不合格</w:t>
            </w:r>
          </w:p>
        </w:tc>
      </w:tr>
      <w:tr w14:paraId="299C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6DFAE266">
            <w:pPr>
              <w:spacing w:line="440" w:lineRule="exact"/>
              <w:ind w:left="57"/>
              <w:jc w:val="center"/>
              <w:rPr>
                <w:rFonts w:ascii="宋体" w:hAnsi="宋体"/>
              </w:rPr>
            </w:pPr>
            <w:r>
              <w:rPr>
                <w:rFonts w:hint="eastAsia" w:ascii="宋体" w:hAnsi="宋体"/>
              </w:rPr>
              <w:t>2</w:t>
            </w:r>
          </w:p>
        </w:tc>
        <w:tc>
          <w:tcPr>
            <w:tcW w:w="6661" w:type="dxa"/>
            <w:shd w:val="clear" w:color="auto" w:fill="auto"/>
            <w:vAlign w:val="center"/>
          </w:tcPr>
          <w:p w14:paraId="78B6E9CD">
            <w:pPr>
              <w:spacing w:line="440" w:lineRule="exact"/>
              <w:rPr>
                <w:rFonts w:ascii="宋体" w:hAnsi="宋体"/>
              </w:rPr>
            </w:pPr>
            <w:r>
              <w:rPr>
                <w:rFonts w:hint="eastAsia" w:hAnsi="宋体"/>
                <w:szCs w:val="21"/>
              </w:rPr>
              <w:t>按照招标文件的格式详细填写“</w:t>
            </w:r>
            <w:r>
              <w:rPr>
                <w:rFonts w:hint="eastAsia" w:ascii="宋体" w:hAnsi="宋体"/>
              </w:rPr>
              <w:t>政府采购投标及履约承诺函</w:t>
            </w:r>
            <w:r>
              <w:rPr>
                <w:rFonts w:hint="eastAsia" w:hAnsi="宋体"/>
                <w:szCs w:val="21"/>
              </w:rPr>
              <w:t>”</w:t>
            </w:r>
          </w:p>
        </w:tc>
        <w:tc>
          <w:tcPr>
            <w:tcW w:w="1514" w:type="dxa"/>
            <w:shd w:val="clear" w:color="auto" w:fill="auto"/>
            <w:vAlign w:val="center"/>
          </w:tcPr>
          <w:p w14:paraId="3A652E23">
            <w:pPr>
              <w:spacing w:line="440" w:lineRule="exact"/>
              <w:jc w:val="center"/>
              <w:rPr>
                <w:rFonts w:ascii="宋体" w:hAnsi="宋体"/>
                <w:szCs w:val="21"/>
              </w:rPr>
            </w:pPr>
            <w:r>
              <w:rPr>
                <w:rFonts w:ascii="宋体" w:hAnsi="宋体"/>
                <w:szCs w:val="21"/>
              </w:rPr>
              <w:t>合格/不合格</w:t>
            </w:r>
          </w:p>
        </w:tc>
      </w:tr>
      <w:tr w14:paraId="5E20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454DACBE">
            <w:pPr>
              <w:spacing w:line="440" w:lineRule="exact"/>
              <w:ind w:left="57"/>
              <w:jc w:val="center"/>
              <w:rPr>
                <w:rFonts w:ascii="宋体" w:hAnsi="宋体"/>
              </w:rPr>
            </w:pPr>
            <w:r>
              <w:rPr>
                <w:rFonts w:hint="eastAsia" w:ascii="宋体" w:hAnsi="宋体"/>
              </w:rPr>
              <w:t>3</w:t>
            </w:r>
          </w:p>
        </w:tc>
        <w:tc>
          <w:tcPr>
            <w:tcW w:w="6661" w:type="dxa"/>
            <w:shd w:val="clear" w:color="auto" w:fill="auto"/>
            <w:vAlign w:val="center"/>
          </w:tcPr>
          <w:p w14:paraId="33FB9B63">
            <w:pPr>
              <w:spacing w:line="440" w:lineRule="exact"/>
              <w:rPr>
                <w:rFonts w:ascii="宋体" w:hAnsi="宋体"/>
              </w:rPr>
            </w:pPr>
            <w:r>
              <w:rPr>
                <w:rFonts w:hint="eastAsia" w:ascii="宋体" w:hAnsi="宋体"/>
              </w:rPr>
              <w:t>开标一览表未出现无报价、报价为零或有选择性报价的</w:t>
            </w:r>
          </w:p>
        </w:tc>
        <w:tc>
          <w:tcPr>
            <w:tcW w:w="1514" w:type="dxa"/>
            <w:shd w:val="clear" w:color="auto" w:fill="auto"/>
            <w:vAlign w:val="center"/>
          </w:tcPr>
          <w:p w14:paraId="67095F74">
            <w:pPr>
              <w:spacing w:line="440" w:lineRule="exact"/>
              <w:jc w:val="center"/>
              <w:rPr>
                <w:rFonts w:ascii="宋体" w:hAnsi="宋体"/>
                <w:szCs w:val="21"/>
              </w:rPr>
            </w:pPr>
            <w:r>
              <w:rPr>
                <w:rFonts w:ascii="宋体" w:hAnsi="宋体"/>
                <w:szCs w:val="21"/>
              </w:rPr>
              <w:t>合格/不合格</w:t>
            </w:r>
          </w:p>
        </w:tc>
      </w:tr>
      <w:tr w14:paraId="4DFA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5602BCE4">
            <w:pPr>
              <w:spacing w:line="440" w:lineRule="exact"/>
              <w:ind w:left="57"/>
              <w:jc w:val="center"/>
              <w:rPr>
                <w:rFonts w:ascii="宋体" w:hAnsi="宋体"/>
              </w:rPr>
            </w:pPr>
            <w:r>
              <w:rPr>
                <w:rFonts w:hint="eastAsia" w:ascii="宋体" w:hAnsi="宋体"/>
              </w:rPr>
              <w:t>4</w:t>
            </w:r>
          </w:p>
        </w:tc>
        <w:tc>
          <w:tcPr>
            <w:tcW w:w="6661" w:type="dxa"/>
            <w:shd w:val="clear" w:color="auto" w:fill="auto"/>
            <w:vAlign w:val="center"/>
          </w:tcPr>
          <w:p w14:paraId="24E5E9F2">
            <w:pPr>
              <w:spacing w:line="440" w:lineRule="exact"/>
              <w:rPr>
                <w:rFonts w:ascii="宋体" w:hAnsi="宋体"/>
              </w:rPr>
            </w:pPr>
            <w:r>
              <w:rPr>
                <w:rFonts w:hint="eastAsia" w:ascii="宋体" w:hAnsi="宋体"/>
              </w:rPr>
              <w:t>投标总价</w:t>
            </w:r>
            <w:r>
              <w:rPr>
                <w:rFonts w:hint="eastAsia" w:ascii="宋体" w:hAnsi="宋体"/>
                <w:szCs w:val="21"/>
              </w:rPr>
              <w:t>或分项报价</w:t>
            </w:r>
            <w:r>
              <w:rPr>
                <w:rFonts w:hint="eastAsia" w:ascii="宋体" w:hAnsi="宋体"/>
              </w:rPr>
              <w:t>未超过预算控制金额</w:t>
            </w:r>
          </w:p>
        </w:tc>
        <w:tc>
          <w:tcPr>
            <w:tcW w:w="1514" w:type="dxa"/>
            <w:shd w:val="clear" w:color="auto" w:fill="auto"/>
            <w:vAlign w:val="center"/>
          </w:tcPr>
          <w:p w14:paraId="76026AA0">
            <w:pPr>
              <w:spacing w:line="440" w:lineRule="exact"/>
              <w:jc w:val="center"/>
              <w:rPr>
                <w:rFonts w:ascii="宋体" w:hAnsi="宋体"/>
                <w:szCs w:val="21"/>
              </w:rPr>
            </w:pPr>
            <w:r>
              <w:rPr>
                <w:rFonts w:ascii="宋体" w:hAnsi="宋体"/>
                <w:szCs w:val="21"/>
              </w:rPr>
              <w:t>合格/不合格</w:t>
            </w:r>
          </w:p>
        </w:tc>
      </w:tr>
      <w:tr w14:paraId="5373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2D98DEAC">
            <w:pPr>
              <w:spacing w:line="440" w:lineRule="exact"/>
              <w:ind w:left="57"/>
              <w:jc w:val="center"/>
              <w:rPr>
                <w:rFonts w:ascii="宋体" w:hAnsi="宋体"/>
              </w:rPr>
            </w:pPr>
            <w:r>
              <w:rPr>
                <w:rFonts w:hint="eastAsia" w:ascii="宋体" w:hAnsi="宋体"/>
              </w:rPr>
              <w:t>5</w:t>
            </w:r>
          </w:p>
        </w:tc>
        <w:tc>
          <w:tcPr>
            <w:tcW w:w="6661" w:type="dxa"/>
            <w:shd w:val="clear" w:color="auto" w:fill="auto"/>
            <w:vAlign w:val="center"/>
          </w:tcPr>
          <w:p w14:paraId="7F1B72D5">
            <w:pPr>
              <w:spacing w:line="440" w:lineRule="exact"/>
              <w:rPr>
                <w:rFonts w:asciiTheme="minorEastAsia" w:hAnsiTheme="minorEastAsia" w:eastAsiaTheme="minorEastAsia"/>
                <w:szCs w:val="21"/>
              </w:rPr>
            </w:pPr>
            <w:r>
              <w:rPr>
                <w:rFonts w:asciiTheme="minorEastAsia" w:hAnsiTheme="minorEastAsia" w:eastAsiaTheme="minorEastAsia"/>
                <w:szCs w:val="21"/>
              </w:rPr>
              <w:t>评标委员会认为投标人的报价明显低于其他通过符合性审查投标人的报价，有可能影响产品质量或者不能诚信履约的，投标人能在</w:t>
            </w:r>
            <w:r>
              <w:rPr>
                <w:rFonts w:hint="eastAsia" w:asciiTheme="minorEastAsia" w:hAnsiTheme="minorEastAsia" w:eastAsiaTheme="minorEastAsia"/>
                <w:szCs w:val="21"/>
              </w:rPr>
              <w:t>评标现场</w:t>
            </w:r>
            <w:r>
              <w:rPr>
                <w:rFonts w:asciiTheme="minorEastAsia" w:hAnsiTheme="minorEastAsia" w:eastAsiaTheme="minorEastAsia"/>
                <w:szCs w:val="21"/>
              </w:rPr>
              <w:t>合理的时间内提供书面说明</w:t>
            </w:r>
            <w:r>
              <w:rPr>
                <w:rFonts w:hint="eastAsia" w:asciiTheme="minorEastAsia" w:hAnsiTheme="minorEastAsia" w:eastAsiaTheme="minorEastAsia"/>
                <w:szCs w:val="21"/>
              </w:rPr>
              <w:t>（必要时提交相关证明材料）</w:t>
            </w:r>
            <w:r>
              <w:rPr>
                <w:rFonts w:asciiTheme="minorEastAsia" w:hAnsiTheme="minorEastAsia" w:eastAsiaTheme="minorEastAsia"/>
                <w:szCs w:val="21"/>
              </w:rPr>
              <w:t>或提交</w:t>
            </w:r>
            <w:r>
              <w:rPr>
                <w:rFonts w:hint="eastAsia" w:asciiTheme="minorEastAsia" w:hAnsiTheme="minorEastAsia" w:eastAsiaTheme="minorEastAsia"/>
                <w:szCs w:val="21"/>
              </w:rPr>
              <w:t>的书面说明</w:t>
            </w:r>
            <w:r>
              <w:rPr>
                <w:rFonts w:asciiTheme="minorEastAsia" w:hAnsiTheme="minorEastAsia" w:eastAsiaTheme="minorEastAsia"/>
                <w:szCs w:val="21"/>
              </w:rPr>
              <w:t>能证明其报价合理性</w:t>
            </w:r>
            <w:r>
              <w:rPr>
                <w:rFonts w:hint="eastAsia" w:asciiTheme="minorEastAsia" w:hAnsiTheme="minorEastAsia" w:eastAsiaTheme="minorEastAsia"/>
                <w:szCs w:val="21"/>
              </w:rPr>
              <w:t>。（若</w:t>
            </w:r>
            <w:r>
              <w:rPr>
                <w:rFonts w:asciiTheme="minorEastAsia" w:hAnsiTheme="minorEastAsia" w:eastAsiaTheme="minorEastAsia"/>
                <w:szCs w:val="21"/>
              </w:rPr>
              <w:t>评标委员会</w:t>
            </w:r>
            <w:r>
              <w:rPr>
                <w:rFonts w:hint="eastAsia" w:asciiTheme="minorEastAsia" w:hAnsiTheme="minorEastAsia" w:eastAsiaTheme="minorEastAsia"/>
                <w:szCs w:val="21"/>
              </w:rPr>
              <w:t>成员对是否须由投标人做出报价合理性说明，以及书面说明是否采纳等判断不一致的，按照“少数服从多数”的原则确定。）</w:t>
            </w:r>
          </w:p>
        </w:tc>
        <w:tc>
          <w:tcPr>
            <w:tcW w:w="1514" w:type="dxa"/>
            <w:shd w:val="clear" w:color="auto" w:fill="auto"/>
            <w:vAlign w:val="center"/>
          </w:tcPr>
          <w:p w14:paraId="5DE3DC9C">
            <w:pPr>
              <w:spacing w:line="440" w:lineRule="exact"/>
              <w:jc w:val="center"/>
              <w:rPr>
                <w:rFonts w:ascii="宋体" w:hAnsi="宋体"/>
                <w:szCs w:val="21"/>
              </w:rPr>
            </w:pPr>
            <w:r>
              <w:rPr>
                <w:rFonts w:ascii="宋体" w:hAnsi="宋体"/>
                <w:szCs w:val="21"/>
              </w:rPr>
              <w:t>合格/不合格</w:t>
            </w:r>
          </w:p>
        </w:tc>
      </w:tr>
      <w:tr w14:paraId="6932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3BE546CC">
            <w:pPr>
              <w:spacing w:line="440" w:lineRule="exact"/>
              <w:ind w:left="57"/>
              <w:jc w:val="center"/>
              <w:rPr>
                <w:rFonts w:ascii="宋体" w:hAnsi="宋体"/>
              </w:rPr>
            </w:pPr>
            <w:r>
              <w:rPr>
                <w:rFonts w:hint="eastAsia" w:ascii="宋体" w:hAnsi="宋体"/>
              </w:rPr>
              <w:t>6</w:t>
            </w:r>
          </w:p>
        </w:tc>
        <w:tc>
          <w:tcPr>
            <w:tcW w:w="6661" w:type="dxa"/>
            <w:shd w:val="clear" w:color="auto" w:fill="auto"/>
            <w:vAlign w:val="center"/>
          </w:tcPr>
          <w:p w14:paraId="6A4BE2D4">
            <w:pPr>
              <w:spacing w:line="440" w:lineRule="exact"/>
              <w:rPr>
                <w:rFonts w:ascii="宋体" w:hAnsi="宋体"/>
              </w:rPr>
            </w:pPr>
            <w:r>
              <w:rPr>
                <w:szCs w:val="21"/>
              </w:rPr>
              <w:t>实质性满足招标文件要求</w:t>
            </w:r>
            <w:r>
              <w:rPr>
                <w:rFonts w:hint="eastAsia"/>
                <w:szCs w:val="21"/>
              </w:rPr>
              <w:t>和条件</w:t>
            </w:r>
            <w:r>
              <w:rPr>
                <w:szCs w:val="21"/>
              </w:rPr>
              <w:t>（</w:t>
            </w:r>
            <w:r>
              <w:rPr>
                <w:rFonts w:hint="eastAsia" w:ascii="宋体" w:hAnsi="宋体"/>
              </w:rPr>
              <w:t>不可偏离项检查</w:t>
            </w:r>
            <w:r>
              <w:rPr>
                <w:szCs w:val="21"/>
              </w:rPr>
              <w:t>）</w:t>
            </w:r>
          </w:p>
        </w:tc>
        <w:tc>
          <w:tcPr>
            <w:tcW w:w="1514" w:type="dxa"/>
            <w:shd w:val="clear" w:color="auto" w:fill="auto"/>
            <w:vAlign w:val="center"/>
          </w:tcPr>
          <w:p w14:paraId="33AC509E">
            <w:pPr>
              <w:spacing w:line="440" w:lineRule="exact"/>
              <w:jc w:val="center"/>
              <w:rPr>
                <w:rFonts w:ascii="宋体" w:hAnsi="宋体"/>
                <w:szCs w:val="21"/>
              </w:rPr>
            </w:pPr>
            <w:r>
              <w:rPr>
                <w:rFonts w:ascii="宋体" w:hAnsi="宋体"/>
                <w:szCs w:val="21"/>
              </w:rPr>
              <w:t>合格/不合格</w:t>
            </w:r>
          </w:p>
        </w:tc>
      </w:tr>
      <w:tr w14:paraId="1FDC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79D50E2D">
            <w:pPr>
              <w:spacing w:line="440" w:lineRule="exact"/>
              <w:ind w:left="57"/>
              <w:jc w:val="center"/>
              <w:rPr>
                <w:rFonts w:ascii="宋体" w:hAnsi="宋体"/>
                <w:shd w:val="pct10" w:color="auto" w:fill="FFFFFF"/>
              </w:rPr>
            </w:pPr>
            <w:r>
              <w:rPr>
                <w:rFonts w:hint="eastAsia"/>
                <w:szCs w:val="21"/>
              </w:rPr>
              <w:t>7</w:t>
            </w:r>
          </w:p>
        </w:tc>
        <w:tc>
          <w:tcPr>
            <w:tcW w:w="6661" w:type="dxa"/>
            <w:shd w:val="clear" w:color="auto" w:fill="auto"/>
            <w:vAlign w:val="center"/>
          </w:tcPr>
          <w:p w14:paraId="51BDA6EC">
            <w:pPr>
              <w:spacing w:line="440" w:lineRule="exact"/>
              <w:rPr>
                <w:rFonts w:ascii="宋体" w:hAnsi="宋体"/>
              </w:rPr>
            </w:pPr>
            <w:r>
              <w:rPr>
                <w:szCs w:val="21"/>
              </w:rPr>
              <w:t>投标文件载明的招标项目完成期限</w:t>
            </w:r>
            <w:r>
              <w:rPr>
                <w:rFonts w:hint="eastAsia"/>
                <w:szCs w:val="21"/>
              </w:rPr>
              <w:t>未</w:t>
            </w:r>
            <w:r>
              <w:rPr>
                <w:szCs w:val="21"/>
              </w:rPr>
              <w:t>超过招标文件规定的期限</w:t>
            </w:r>
          </w:p>
        </w:tc>
        <w:tc>
          <w:tcPr>
            <w:tcW w:w="1514" w:type="dxa"/>
            <w:shd w:val="clear" w:color="auto" w:fill="auto"/>
            <w:vAlign w:val="center"/>
          </w:tcPr>
          <w:p w14:paraId="37A0E96E">
            <w:pPr>
              <w:spacing w:line="440" w:lineRule="exact"/>
              <w:jc w:val="center"/>
              <w:rPr>
                <w:rFonts w:ascii="宋体" w:hAnsi="宋体"/>
                <w:szCs w:val="21"/>
              </w:rPr>
            </w:pPr>
            <w:r>
              <w:rPr>
                <w:rFonts w:ascii="宋体" w:hAnsi="宋体"/>
                <w:szCs w:val="21"/>
              </w:rPr>
              <w:t>合格/不合格</w:t>
            </w:r>
          </w:p>
        </w:tc>
      </w:tr>
      <w:tr w14:paraId="2194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792A67CD">
            <w:pPr>
              <w:spacing w:line="440" w:lineRule="exact"/>
              <w:ind w:left="57"/>
              <w:jc w:val="center"/>
              <w:rPr>
                <w:rFonts w:ascii="宋体" w:hAnsi="宋体"/>
              </w:rPr>
            </w:pPr>
            <w:r>
              <w:rPr>
                <w:rFonts w:hint="eastAsia" w:ascii="宋体" w:hAnsi="宋体"/>
              </w:rPr>
              <w:t>8</w:t>
            </w:r>
          </w:p>
        </w:tc>
        <w:tc>
          <w:tcPr>
            <w:tcW w:w="6661" w:type="dxa"/>
            <w:shd w:val="clear" w:color="auto" w:fill="auto"/>
            <w:vAlign w:val="center"/>
          </w:tcPr>
          <w:p w14:paraId="17F43D8C">
            <w:pPr>
              <w:spacing w:line="440" w:lineRule="exact"/>
              <w:jc w:val="left"/>
              <w:rPr>
                <w:rFonts w:ascii="宋体" w:hAnsi="宋体"/>
                <w:shd w:val="pct10" w:color="auto" w:fill="FFFFFF"/>
              </w:rPr>
            </w:pPr>
            <w:r>
              <w:rPr>
                <w:rFonts w:hint="eastAsia"/>
                <w:szCs w:val="21"/>
              </w:rPr>
              <w:t>投标文件载明的免费保修期不低于招标文件规定的期限</w:t>
            </w:r>
          </w:p>
        </w:tc>
        <w:tc>
          <w:tcPr>
            <w:tcW w:w="1514" w:type="dxa"/>
            <w:shd w:val="clear" w:color="auto" w:fill="auto"/>
            <w:vAlign w:val="center"/>
          </w:tcPr>
          <w:p w14:paraId="51F94D7E">
            <w:pPr>
              <w:spacing w:line="440" w:lineRule="exact"/>
              <w:ind w:left="57"/>
              <w:jc w:val="center"/>
              <w:rPr>
                <w:rFonts w:ascii="宋体" w:hAnsi="宋体"/>
                <w:shd w:val="pct10" w:color="auto" w:fill="FFFFFF"/>
              </w:rPr>
            </w:pPr>
            <w:r>
              <w:rPr>
                <w:rFonts w:hint="eastAsia"/>
                <w:szCs w:val="21"/>
              </w:rPr>
              <w:t>合格/不合格</w:t>
            </w:r>
          </w:p>
        </w:tc>
      </w:tr>
      <w:tr w14:paraId="1500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16E10FD2">
            <w:pPr>
              <w:spacing w:line="440" w:lineRule="exact"/>
              <w:ind w:left="57"/>
              <w:jc w:val="center"/>
              <w:rPr>
                <w:rFonts w:ascii="宋体" w:hAnsi="宋体"/>
              </w:rPr>
            </w:pPr>
            <w:r>
              <w:rPr>
                <w:rFonts w:hint="eastAsia" w:ascii="宋体" w:hAnsi="宋体"/>
              </w:rPr>
              <w:t>9</w:t>
            </w:r>
          </w:p>
        </w:tc>
        <w:tc>
          <w:tcPr>
            <w:tcW w:w="6661" w:type="dxa"/>
            <w:shd w:val="clear" w:color="auto" w:fill="auto"/>
            <w:vAlign w:val="center"/>
          </w:tcPr>
          <w:p w14:paraId="31EE988C">
            <w:pPr>
              <w:spacing w:line="440" w:lineRule="exact"/>
              <w:jc w:val="left"/>
              <w:rPr>
                <w:rFonts w:ascii="宋体" w:hAnsi="宋体"/>
              </w:rPr>
            </w:pPr>
            <w:r>
              <w:rPr>
                <w:rFonts w:hint="eastAsia" w:hAnsi="宋体"/>
                <w:szCs w:val="21"/>
              </w:rPr>
              <w:t>按招标文件的要求填报所投产品具体完整的品牌、型号、产地</w:t>
            </w:r>
          </w:p>
        </w:tc>
        <w:tc>
          <w:tcPr>
            <w:tcW w:w="1514" w:type="dxa"/>
            <w:shd w:val="clear" w:color="auto" w:fill="auto"/>
            <w:vAlign w:val="center"/>
          </w:tcPr>
          <w:p w14:paraId="6CED216F">
            <w:pPr>
              <w:spacing w:line="440" w:lineRule="exact"/>
              <w:ind w:left="57"/>
              <w:jc w:val="center"/>
              <w:rPr>
                <w:rFonts w:ascii="宋体" w:hAnsi="宋体"/>
                <w:szCs w:val="21"/>
              </w:rPr>
            </w:pPr>
            <w:r>
              <w:rPr>
                <w:rFonts w:ascii="宋体" w:hAnsi="宋体"/>
                <w:szCs w:val="21"/>
              </w:rPr>
              <w:t>合格/不合格</w:t>
            </w:r>
          </w:p>
        </w:tc>
      </w:tr>
      <w:tr w14:paraId="3484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3B83B6D7">
            <w:pPr>
              <w:spacing w:line="440" w:lineRule="exact"/>
              <w:ind w:left="57"/>
              <w:jc w:val="center"/>
              <w:rPr>
                <w:rFonts w:ascii="宋体" w:hAnsi="宋体"/>
              </w:rPr>
            </w:pPr>
            <w:r>
              <w:rPr>
                <w:rFonts w:hint="eastAsia" w:ascii="宋体" w:hAnsi="宋体"/>
              </w:rPr>
              <w:t>10</w:t>
            </w:r>
          </w:p>
        </w:tc>
        <w:tc>
          <w:tcPr>
            <w:tcW w:w="6661" w:type="dxa"/>
            <w:shd w:val="clear" w:color="auto" w:fill="auto"/>
            <w:vAlign w:val="center"/>
          </w:tcPr>
          <w:p w14:paraId="7927EE8C">
            <w:pPr>
              <w:spacing w:line="440" w:lineRule="exact"/>
              <w:jc w:val="left"/>
              <w:rPr>
                <w:rFonts w:ascii="宋体" w:hAnsi="宋体"/>
              </w:rPr>
            </w:pPr>
            <w:r>
              <w:rPr>
                <w:rFonts w:hint="eastAsia" w:hAnsi="宋体"/>
                <w:szCs w:val="21"/>
              </w:rPr>
              <w:t>《技术偏离表》和《商务偏离表》已提交</w:t>
            </w:r>
          </w:p>
        </w:tc>
        <w:tc>
          <w:tcPr>
            <w:tcW w:w="1514" w:type="dxa"/>
            <w:shd w:val="clear" w:color="auto" w:fill="auto"/>
            <w:vAlign w:val="center"/>
          </w:tcPr>
          <w:p w14:paraId="436867DD">
            <w:pPr>
              <w:spacing w:line="440" w:lineRule="exact"/>
              <w:ind w:left="57"/>
              <w:jc w:val="center"/>
              <w:rPr>
                <w:rFonts w:ascii="宋体" w:hAnsi="宋体"/>
                <w:szCs w:val="21"/>
              </w:rPr>
            </w:pPr>
            <w:r>
              <w:rPr>
                <w:rFonts w:ascii="宋体" w:hAnsi="宋体"/>
                <w:szCs w:val="21"/>
              </w:rPr>
              <w:t>合格/不合格</w:t>
            </w:r>
          </w:p>
        </w:tc>
      </w:tr>
      <w:tr w14:paraId="5756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0E99FAFE">
            <w:pPr>
              <w:spacing w:line="440" w:lineRule="exact"/>
              <w:ind w:left="57"/>
              <w:jc w:val="center"/>
              <w:rPr>
                <w:rFonts w:ascii="宋体" w:hAnsi="宋体"/>
              </w:rPr>
            </w:pPr>
            <w:r>
              <w:rPr>
                <w:rFonts w:hint="eastAsia" w:ascii="宋体" w:hAnsi="宋体"/>
              </w:rPr>
              <w:t>11</w:t>
            </w:r>
          </w:p>
        </w:tc>
        <w:tc>
          <w:tcPr>
            <w:tcW w:w="6661" w:type="dxa"/>
            <w:shd w:val="clear" w:color="auto" w:fill="auto"/>
            <w:vAlign w:val="center"/>
          </w:tcPr>
          <w:p w14:paraId="47738C2F">
            <w:pPr>
              <w:spacing w:line="440" w:lineRule="exact"/>
              <w:rPr>
                <w:rFonts w:ascii="宋体" w:hAnsi="宋体"/>
              </w:rPr>
            </w:pPr>
            <w:r>
              <w:rPr>
                <w:rFonts w:hint="eastAsia" w:ascii="宋体" w:hAnsi="宋体"/>
              </w:rPr>
              <w:t>不存在“否决性条款”列明的其他情况</w:t>
            </w:r>
          </w:p>
        </w:tc>
        <w:tc>
          <w:tcPr>
            <w:tcW w:w="1514" w:type="dxa"/>
            <w:shd w:val="clear" w:color="auto" w:fill="auto"/>
            <w:vAlign w:val="center"/>
          </w:tcPr>
          <w:p w14:paraId="0CCD4A60">
            <w:pPr>
              <w:spacing w:line="440" w:lineRule="exact"/>
              <w:jc w:val="center"/>
              <w:rPr>
                <w:rFonts w:ascii="宋体" w:hAnsi="宋体"/>
                <w:szCs w:val="21"/>
              </w:rPr>
            </w:pPr>
            <w:r>
              <w:rPr>
                <w:rFonts w:ascii="宋体" w:hAnsi="宋体"/>
                <w:szCs w:val="21"/>
              </w:rPr>
              <w:t>合格/不合格</w:t>
            </w:r>
          </w:p>
        </w:tc>
      </w:tr>
      <w:tr w14:paraId="3974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shd w:val="clear" w:color="auto" w:fill="auto"/>
            <w:vAlign w:val="center"/>
          </w:tcPr>
          <w:p w14:paraId="49D966FD">
            <w:pPr>
              <w:spacing w:line="440" w:lineRule="exact"/>
              <w:ind w:left="57"/>
              <w:jc w:val="center"/>
              <w:rPr>
                <w:rFonts w:ascii="宋体" w:hAnsi="宋体"/>
              </w:rPr>
            </w:pPr>
            <w:r>
              <w:rPr>
                <w:rFonts w:hint="eastAsia" w:ascii="宋体" w:hAnsi="宋体"/>
              </w:rPr>
              <w:t>12</w:t>
            </w:r>
          </w:p>
        </w:tc>
        <w:tc>
          <w:tcPr>
            <w:tcW w:w="6661" w:type="dxa"/>
            <w:shd w:val="clear" w:color="auto" w:fill="auto"/>
            <w:vAlign w:val="center"/>
          </w:tcPr>
          <w:p w14:paraId="1E62AE4D">
            <w:pPr>
              <w:spacing w:line="440" w:lineRule="exact"/>
              <w:rPr>
                <w:rFonts w:ascii="宋体" w:hAnsi="宋体"/>
                <w:szCs w:val="21"/>
              </w:rPr>
            </w:pPr>
            <w:r>
              <w:rPr>
                <w:rFonts w:ascii="宋体" w:hAnsi="宋体"/>
                <w:szCs w:val="21"/>
              </w:rPr>
              <w:t>结论</w:t>
            </w:r>
          </w:p>
        </w:tc>
        <w:tc>
          <w:tcPr>
            <w:tcW w:w="1514" w:type="dxa"/>
            <w:shd w:val="clear" w:color="auto" w:fill="auto"/>
            <w:vAlign w:val="center"/>
          </w:tcPr>
          <w:p w14:paraId="4D59D35D">
            <w:pPr>
              <w:spacing w:line="440" w:lineRule="exact"/>
              <w:jc w:val="center"/>
              <w:rPr>
                <w:rFonts w:ascii="宋体" w:hAnsi="宋体"/>
                <w:szCs w:val="21"/>
              </w:rPr>
            </w:pPr>
            <w:r>
              <w:rPr>
                <w:rFonts w:ascii="宋体" w:hAnsi="宋体"/>
                <w:szCs w:val="21"/>
              </w:rPr>
              <w:t>通过/不通过</w:t>
            </w:r>
          </w:p>
        </w:tc>
      </w:tr>
    </w:tbl>
    <w:p w14:paraId="3F0B10EB">
      <w:pPr>
        <w:spacing w:line="440" w:lineRule="exact"/>
        <w:ind w:firstLine="422" w:firstLineChars="200"/>
        <w:rPr>
          <w:rFonts w:ascii="宋体" w:hAnsi="宋体"/>
          <w:b/>
          <w:bCs/>
          <w:color w:val="000000"/>
          <w:szCs w:val="21"/>
        </w:rPr>
      </w:pPr>
      <w:r>
        <w:rPr>
          <w:rFonts w:hint="eastAsia" w:ascii="宋体" w:hAnsi="宋体"/>
          <w:b/>
          <w:color w:val="000000"/>
          <w:szCs w:val="21"/>
        </w:rPr>
        <w:t>2、评分表</w:t>
      </w:r>
      <w:r>
        <w:rPr>
          <w:rFonts w:hint="eastAsia" w:ascii="宋体" w:hAnsi="宋体"/>
          <w:b/>
          <w:bCs/>
          <w:color w:val="000000"/>
          <w:szCs w:val="21"/>
        </w:rPr>
        <w:t xml:space="preserve"> </w:t>
      </w:r>
      <w:r>
        <w:rPr>
          <w:rFonts w:ascii="宋体" w:hAnsi="宋体"/>
          <w:b/>
          <w:bCs/>
          <w:color w:val="000000"/>
          <w:szCs w:val="21"/>
        </w:rPr>
        <w:tab/>
      </w:r>
    </w:p>
    <w:tbl>
      <w:tblPr>
        <w:tblStyle w:val="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31"/>
        <w:gridCol w:w="1223"/>
        <w:gridCol w:w="1030"/>
        <w:gridCol w:w="5320"/>
      </w:tblGrid>
      <w:tr w14:paraId="4704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0415BD2C">
            <w:pPr>
              <w:jc w:val="center"/>
              <w:rPr>
                <w:rFonts w:ascii="宋体" w:hAnsi="宋体" w:cs="宋体"/>
                <w:b/>
                <w:color w:val="0000FF"/>
                <w:szCs w:val="21"/>
              </w:rPr>
            </w:pPr>
            <w:r>
              <w:rPr>
                <w:rFonts w:hint="eastAsia" w:ascii="宋体" w:hAnsi="宋体" w:cs="宋体"/>
                <w:b/>
                <w:color w:val="0000FF"/>
                <w:szCs w:val="21"/>
              </w:rPr>
              <w:t>序号</w:t>
            </w:r>
          </w:p>
        </w:tc>
        <w:tc>
          <w:tcPr>
            <w:tcW w:w="2984" w:type="dxa"/>
            <w:gridSpan w:val="3"/>
            <w:vAlign w:val="center"/>
          </w:tcPr>
          <w:p w14:paraId="4A9166B6">
            <w:pPr>
              <w:jc w:val="center"/>
              <w:rPr>
                <w:rFonts w:ascii="宋体" w:hAnsi="宋体" w:cs="宋体"/>
                <w:b/>
                <w:color w:val="0000FF"/>
                <w:szCs w:val="21"/>
              </w:rPr>
            </w:pPr>
            <w:r>
              <w:rPr>
                <w:rFonts w:hint="eastAsia" w:ascii="宋体" w:hAnsi="宋体" w:cs="宋体"/>
                <w:b/>
                <w:color w:val="0000FF"/>
                <w:szCs w:val="21"/>
              </w:rPr>
              <w:t>评分项</w:t>
            </w:r>
          </w:p>
        </w:tc>
        <w:tc>
          <w:tcPr>
            <w:tcW w:w="5320" w:type="dxa"/>
            <w:vAlign w:val="center"/>
          </w:tcPr>
          <w:p w14:paraId="6F84BDC6">
            <w:pPr>
              <w:jc w:val="center"/>
              <w:rPr>
                <w:rFonts w:ascii="宋体" w:hAnsi="宋体" w:cs="宋体"/>
                <w:b/>
                <w:color w:val="0000FF"/>
                <w:szCs w:val="21"/>
              </w:rPr>
            </w:pPr>
            <w:r>
              <w:rPr>
                <w:rFonts w:hint="eastAsia" w:ascii="宋体" w:hAnsi="宋体" w:cs="宋体"/>
                <w:b/>
                <w:color w:val="0000FF"/>
                <w:szCs w:val="21"/>
              </w:rPr>
              <w:t>权重</w:t>
            </w:r>
          </w:p>
        </w:tc>
      </w:tr>
      <w:tr w14:paraId="1E06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E352705">
            <w:pPr>
              <w:jc w:val="center"/>
              <w:rPr>
                <w:rFonts w:ascii="宋体" w:hAnsi="宋体" w:cs="宋体"/>
                <w:b/>
                <w:color w:val="0000FF"/>
                <w:szCs w:val="21"/>
              </w:rPr>
            </w:pPr>
            <w:r>
              <w:rPr>
                <w:rFonts w:hint="eastAsia" w:ascii="宋体" w:hAnsi="宋体" w:cs="宋体"/>
                <w:b/>
                <w:color w:val="0000FF"/>
                <w:szCs w:val="21"/>
              </w:rPr>
              <w:t>1</w:t>
            </w:r>
          </w:p>
        </w:tc>
        <w:tc>
          <w:tcPr>
            <w:tcW w:w="2984" w:type="dxa"/>
            <w:gridSpan w:val="3"/>
            <w:vAlign w:val="center"/>
          </w:tcPr>
          <w:p w14:paraId="5CA07257">
            <w:pPr>
              <w:jc w:val="center"/>
              <w:rPr>
                <w:rFonts w:ascii="宋体" w:hAnsi="宋体" w:cs="宋体"/>
                <w:b/>
                <w:color w:val="0000FF"/>
                <w:szCs w:val="21"/>
              </w:rPr>
            </w:pPr>
            <w:r>
              <w:rPr>
                <w:rFonts w:hint="eastAsia" w:ascii="宋体" w:hAnsi="宋体" w:cs="宋体"/>
                <w:b/>
                <w:color w:val="0000FF"/>
                <w:szCs w:val="21"/>
              </w:rPr>
              <w:t>价格</w:t>
            </w:r>
          </w:p>
        </w:tc>
        <w:tc>
          <w:tcPr>
            <w:tcW w:w="5320" w:type="dxa"/>
            <w:vAlign w:val="center"/>
          </w:tcPr>
          <w:p w14:paraId="6B6A9963">
            <w:pPr>
              <w:jc w:val="center"/>
              <w:rPr>
                <w:rFonts w:ascii="宋体" w:hAnsi="宋体" w:cs="宋体"/>
                <w:b/>
                <w:color w:val="0000FF"/>
                <w:szCs w:val="21"/>
              </w:rPr>
            </w:pPr>
            <w:r>
              <w:rPr>
                <w:rFonts w:hint="eastAsia" w:ascii="宋体" w:hAnsi="宋体" w:cs="宋体"/>
                <w:b/>
                <w:color w:val="0000FF"/>
                <w:szCs w:val="21"/>
              </w:rPr>
              <w:t>30</w:t>
            </w:r>
          </w:p>
        </w:tc>
      </w:tr>
      <w:tr w14:paraId="1A93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9826780">
            <w:pPr>
              <w:jc w:val="center"/>
              <w:rPr>
                <w:rFonts w:ascii="宋体" w:hAnsi="宋体" w:cs="宋体"/>
                <w:color w:val="0000FF"/>
                <w:szCs w:val="21"/>
              </w:rPr>
            </w:pPr>
          </w:p>
        </w:tc>
        <w:tc>
          <w:tcPr>
            <w:tcW w:w="8304" w:type="dxa"/>
            <w:gridSpan w:val="4"/>
            <w:vAlign w:val="center"/>
          </w:tcPr>
          <w:p w14:paraId="42A6E551">
            <w:pPr>
              <w:rPr>
                <w:rFonts w:ascii="宋体" w:hAnsi="宋体" w:cs="宋体"/>
                <w:color w:val="0000FF"/>
                <w:szCs w:val="21"/>
              </w:rPr>
            </w:pPr>
            <w:r>
              <w:rPr>
                <w:rFonts w:hint="eastAsia" w:ascii="宋体" w:hAnsi="宋体" w:cs="宋体"/>
                <w:color w:val="0000FF"/>
                <w:szCs w:val="21"/>
              </w:rPr>
              <w:t>投标报价价格分=（评标基准价/投标报价）×30</w:t>
            </w:r>
          </w:p>
          <w:p w14:paraId="05E84BBB">
            <w:pPr>
              <w:jc w:val="left"/>
              <w:rPr>
                <w:rFonts w:ascii="宋体" w:hAnsi="宋体" w:cs="宋体"/>
                <w:color w:val="0000FF"/>
                <w:szCs w:val="21"/>
              </w:rPr>
            </w:pPr>
            <w:r>
              <w:rPr>
                <w:rFonts w:hint="eastAsia" w:ascii="宋体" w:hAnsi="宋体" w:cs="宋体"/>
                <w:color w:val="0000FF"/>
                <w:szCs w:val="21"/>
              </w:rPr>
              <w:t>评标基准价为满足招标文件要求且投标价格最低的投标报价。</w:t>
            </w:r>
          </w:p>
        </w:tc>
      </w:tr>
      <w:tr w14:paraId="1C2A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11A9B1CD">
            <w:pPr>
              <w:jc w:val="center"/>
              <w:rPr>
                <w:rFonts w:ascii="宋体" w:hAnsi="宋体" w:cs="宋体"/>
                <w:b/>
                <w:color w:val="0000FF"/>
                <w:szCs w:val="21"/>
              </w:rPr>
            </w:pPr>
            <w:r>
              <w:rPr>
                <w:rFonts w:hint="eastAsia" w:ascii="宋体" w:hAnsi="宋体" w:cs="宋体"/>
                <w:b/>
                <w:color w:val="0000FF"/>
                <w:szCs w:val="21"/>
              </w:rPr>
              <w:t>2</w:t>
            </w:r>
          </w:p>
        </w:tc>
        <w:tc>
          <w:tcPr>
            <w:tcW w:w="2984" w:type="dxa"/>
            <w:gridSpan w:val="3"/>
            <w:vAlign w:val="center"/>
          </w:tcPr>
          <w:p w14:paraId="6DB3AC64">
            <w:pPr>
              <w:jc w:val="center"/>
              <w:rPr>
                <w:rFonts w:ascii="宋体" w:hAnsi="宋体" w:cs="宋体"/>
                <w:b/>
                <w:color w:val="0000FF"/>
                <w:szCs w:val="21"/>
              </w:rPr>
            </w:pPr>
            <w:r>
              <w:rPr>
                <w:rFonts w:hint="eastAsia" w:ascii="宋体" w:hAnsi="宋体" w:cs="宋体"/>
                <w:b/>
                <w:color w:val="0000FF"/>
                <w:szCs w:val="21"/>
              </w:rPr>
              <w:t>技术部分</w:t>
            </w:r>
          </w:p>
        </w:tc>
        <w:tc>
          <w:tcPr>
            <w:tcW w:w="5320" w:type="dxa"/>
            <w:vAlign w:val="center"/>
          </w:tcPr>
          <w:p w14:paraId="100B402C">
            <w:pPr>
              <w:jc w:val="center"/>
              <w:rPr>
                <w:rFonts w:ascii="宋体" w:hAnsi="宋体" w:cs="宋体"/>
                <w:b/>
                <w:color w:val="0000FF"/>
                <w:szCs w:val="21"/>
              </w:rPr>
            </w:pPr>
            <w:r>
              <w:rPr>
                <w:rFonts w:hint="eastAsia" w:ascii="宋体" w:hAnsi="宋体" w:cs="宋体"/>
                <w:b/>
                <w:color w:val="0000FF"/>
                <w:szCs w:val="21"/>
              </w:rPr>
              <w:t>55</w:t>
            </w:r>
          </w:p>
        </w:tc>
      </w:tr>
      <w:tr w14:paraId="564D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5" w:type="dxa"/>
            <w:vMerge w:val="restart"/>
            <w:vAlign w:val="center"/>
          </w:tcPr>
          <w:p w14:paraId="0D8ECD93">
            <w:pPr>
              <w:jc w:val="center"/>
              <w:rPr>
                <w:rFonts w:ascii="宋体" w:hAnsi="宋体" w:cs="宋体"/>
                <w:color w:val="0000FF"/>
                <w:szCs w:val="21"/>
              </w:rPr>
            </w:pPr>
          </w:p>
        </w:tc>
        <w:tc>
          <w:tcPr>
            <w:tcW w:w="731" w:type="dxa"/>
            <w:vAlign w:val="center"/>
          </w:tcPr>
          <w:p w14:paraId="79918D2C">
            <w:pPr>
              <w:jc w:val="center"/>
              <w:rPr>
                <w:rFonts w:ascii="宋体" w:hAnsi="宋体" w:cs="宋体"/>
                <w:b/>
                <w:color w:val="0000FF"/>
                <w:szCs w:val="21"/>
              </w:rPr>
            </w:pPr>
            <w:r>
              <w:rPr>
                <w:rFonts w:hint="eastAsia" w:ascii="宋体" w:hAnsi="宋体" w:cs="宋体"/>
                <w:b/>
                <w:color w:val="0000FF"/>
                <w:szCs w:val="21"/>
              </w:rPr>
              <w:t>序号</w:t>
            </w:r>
          </w:p>
        </w:tc>
        <w:tc>
          <w:tcPr>
            <w:tcW w:w="1223" w:type="dxa"/>
            <w:vAlign w:val="center"/>
          </w:tcPr>
          <w:p w14:paraId="0D48FF96">
            <w:pPr>
              <w:jc w:val="center"/>
              <w:rPr>
                <w:rFonts w:ascii="宋体" w:hAnsi="宋体" w:cs="宋体"/>
                <w:b/>
                <w:color w:val="0000FF"/>
                <w:szCs w:val="21"/>
              </w:rPr>
            </w:pPr>
            <w:r>
              <w:rPr>
                <w:rFonts w:hint="eastAsia" w:ascii="宋体" w:hAnsi="宋体" w:cs="宋体"/>
                <w:b/>
                <w:color w:val="0000FF"/>
                <w:szCs w:val="21"/>
              </w:rPr>
              <w:t>评分因素</w:t>
            </w:r>
          </w:p>
        </w:tc>
        <w:tc>
          <w:tcPr>
            <w:tcW w:w="1030" w:type="dxa"/>
            <w:vAlign w:val="center"/>
          </w:tcPr>
          <w:p w14:paraId="502B393A">
            <w:pPr>
              <w:jc w:val="center"/>
              <w:rPr>
                <w:rFonts w:ascii="宋体" w:hAnsi="宋体" w:cs="宋体"/>
                <w:b/>
                <w:color w:val="0000FF"/>
                <w:szCs w:val="21"/>
              </w:rPr>
            </w:pPr>
            <w:r>
              <w:rPr>
                <w:rFonts w:hint="eastAsia" w:ascii="宋体" w:hAnsi="宋体" w:cs="宋体"/>
                <w:b/>
                <w:color w:val="0000FF"/>
                <w:szCs w:val="21"/>
              </w:rPr>
              <w:t>权重</w:t>
            </w:r>
          </w:p>
        </w:tc>
        <w:tc>
          <w:tcPr>
            <w:tcW w:w="5320" w:type="dxa"/>
            <w:vAlign w:val="center"/>
          </w:tcPr>
          <w:p w14:paraId="5E34B808">
            <w:pPr>
              <w:jc w:val="center"/>
              <w:rPr>
                <w:rFonts w:ascii="宋体" w:hAnsi="宋体" w:cs="宋体"/>
                <w:b/>
                <w:color w:val="0000FF"/>
                <w:szCs w:val="21"/>
              </w:rPr>
            </w:pPr>
            <w:r>
              <w:rPr>
                <w:rFonts w:hint="eastAsia" w:ascii="宋体" w:hAnsi="宋体" w:cs="宋体"/>
                <w:b/>
                <w:color w:val="0000FF"/>
                <w:szCs w:val="21"/>
              </w:rPr>
              <w:t>评分准则</w:t>
            </w:r>
          </w:p>
        </w:tc>
      </w:tr>
      <w:tr w14:paraId="689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14:paraId="6AF403B6">
            <w:pPr>
              <w:jc w:val="center"/>
              <w:outlineLvl w:val="0"/>
              <w:rPr>
                <w:rFonts w:ascii="宋体" w:hAnsi="宋体" w:cs="宋体"/>
                <w:color w:val="0000FF"/>
                <w:szCs w:val="21"/>
              </w:rPr>
            </w:pPr>
          </w:p>
        </w:tc>
        <w:tc>
          <w:tcPr>
            <w:tcW w:w="731" w:type="dxa"/>
            <w:vAlign w:val="center"/>
          </w:tcPr>
          <w:p w14:paraId="52621715">
            <w:pPr>
              <w:jc w:val="center"/>
              <w:rPr>
                <w:rFonts w:ascii="宋体" w:hAnsi="宋体" w:cs="宋体"/>
                <w:color w:val="0000FF"/>
                <w:szCs w:val="21"/>
              </w:rPr>
            </w:pPr>
            <w:r>
              <w:rPr>
                <w:rFonts w:hint="eastAsia" w:ascii="宋体" w:hAnsi="宋体" w:cs="宋体"/>
                <w:color w:val="0000FF"/>
                <w:szCs w:val="21"/>
              </w:rPr>
              <w:t>1</w:t>
            </w:r>
          </w:p>
        </w:tc>
        <w:tc>
          <w:tcPr>
            <w:tcW w:w="1223" w:type="dxa"/>
            <w:vAlign w:val="center"/>
          </w:tcPr>
          <w:p w14:paraId="75D3C685">
            <w:pPr>
              <w:jc w:val="center"/>
              <w:rPr>
                <w:rFonts w:ascii="宋体" w:hAnsi="宋体" w:cs="宋体"/>
                <w:color w:val="0000FF"/>
                <w:szCs w:val="21"/>
              </w:rPr>
            </w:pPr>
            <w:r>
              <w:rPr>
                <w:rFonts w:hint="eastAsia" w:ascii="宋体" w:hAnsi="宋体" w:cs="宋体"/>
                <w:color w:val="0000FF"/>
                <w:szCs w:val="21"/>
              </w:rPr>
              <w:t>技术参数响应情况</w:t>
            </w:r>
          </w:p>
        </w:tc>
        <w:tc>
          <w:tcPr>
            <w:tcW w:w="1030" w:type="dxa"/>
            <w:vAlign w:val="center"/>
          </w:tcPr>
          <w:p w14:paraId="3F9EFD40">
            <w:pPr>
              <w:jc w:val="center"/>
              <w:rPr>
                <w:rFonts w:ascii="宋体" w:hAnsi="宋体" w:cs="宋体"/>
                <w:color w:val="0000FF"/>
                <w:szCs w:val="21"/>
              </w:rPr>
            </w:pPr>
            <w:r>
              <w:rPr>
                <w:rFonts w:hint="eastAsia" w:ascii="宋体" w:hAnsi="宋体" w:cs="宋体"/>
                <w:color w:val="0000FF"/>
                <w:szCs w:val="21"/>
              </w:rPr>
              <w:t>45</w:t>
            </w:r>
          </w:p>
        </w:tc>
        <w:tc>
          <w:tcPr>
            <w:tcW w:w="5320" w:type="dxa"/>
            <w:shd w:val="clear" w:color="auto" w:fill="auto"/>
            <w:vAlign w:val="center"/>
          </w:tcPr>
          <w:p w14:paraId="2D49BF32">
            <w:pPr>
              <w:rPr>
                <w:rFonts w:ascii="宋体" w:hAnsi="宋体" w:cs="宋体"/>
                <w:color w:val="0000FF"/>
                <w:szCs w:val="21"/>
              </w:rPr>
            </w:pPr>
            <w:r>
              <w:rPr>
                <w:rFonts w:hint="eastAsia" w:ascii="宋体" w:hAnsi="宋体" w:cs="宋体"/>
                <w:color w:val="0000FF"/>
                <w:szCs w:val="21"/>
              </w:rPr>
              <w:t>（一）评分内容：</w:t>
            </w:r>
          </w:p>
          <w:p w14:paraId="2AB15F8B">
            <w:pPr>
              <w:rPr>
                <w:rFonts w:ascii="宋体" w:hAnsi="宋体" w:cs="宋体"/>
                <w:color w:val="0000FF"/>
                <w:szCs w:val="21"/>
              </w:rPr>
            </w:pPr>
            <w:r>
              <w:rPr>
                <w:rFonts w:hint="eastAsia" w:ascii="宋体" w:hAnsi="宋体" w:cs="宋体"/>
                <w:color w:val="0000FF"/>
                <w:szCs w:val="21"/>
              </w:rPr>
              <w:t>投标人应如实填写《技术偏离表》，评审委员会根据技术需求参数响应情况进行打分，各项非实质性技术参数指标及要求全部满足的得45分，其中“▲”号重要技术条款每负偏离一项扣</w:t>
            </w:r>
            <w:r>
              <w:rPr>
                <w:rFonts w:hint="eastAsia" w:ascii="宋体" w:hAnsi="宋体" w:cs="宋体"/>
                <w:color w:val="0000FF"/>
                <w:szCs w:val="21"/>
                <w:u w:val="single"/>
                <w:lang w:val="en-US" w:eastAsia="zh-CN"/>
              </w:rPr>
              <w:t>3</w:t>
            </w:r>
            <w:r>
              <w:rPr>
                <w:rFonts w:hint="eastAsia" w:ascii="宋体" w:hAnsi="宋体" w:cs="宋体"/>
                <w:color w:val="0000FF"/>
                <w:szCs w:val="21"/>
              </w:rPr>
              <w:t>分，非“▲”号条款为一般技术参数，每一项负偏离扣</w:t>
            </w:r>
            <w:r>
              <w:rPr>
                <w:rFonts w:hint="eastAsia" w:ascii="宋体" w:hAnsi="宋体" w:cs="宋体"/>
                <w:color w:val="0000FF"/>
                <w:szCs w:val="21"/>
                <w:u w:val="single"/>
                <w:lang w:val="en-US" w:eastAsia="zh-CN"/>
              </w:rPr>
              <w:t>1.1</w:t>
            </w:r>
            <w:r>
              <w:rPr>
                <w:rFonts w:hint="eastAsia" w:ascii="宋体" w:hAnsi="宋体" w:cs="宋体"/>
                <w:color w:val="0000FF"/>
                <w:szCs w:val="21"/>
              </w:rPr>
              <w:t>分，扣完为止。</w:t>
            </w:r>
          </w:p>
          <w:p w14:paraId="2E0D252E">
            <w:pPr>
              <w:rPr>
                <w:rFonts w:ascii="宋体" w:hAnsi="宋体" w:cs="宋体"/>
                <w:color w:val="0000FF"/>
                <w:szCs w:val="21"/>
              </w:rPr>
            </w:pPr>
            <w:r>
              <w:rPr>
                <w:rFonts w:hint="eastAsia" w:ascii="宋体" w:hAnsi="宋体" w:cs="宋体"/>
                <w:color w:val="0000FF"/>
                <w:szCs w:val="21"/>
              </w:rPr>
              <w:t>（二）评分依据：</w:t>
            </w:r>
          </w:p>
          <w:p w14:paraId="1568DB88">
            <w:pPr>
              <w:rPr>
                <w:rFonts w:ascii="宋体" w:hAnsi="宋体" w:cs="宋体"/>
                <w:color w:val="0000FF"/>
                <w:szCs w:val="21"/>
              </w:rPr>
            </w:pPr>
            <w:r>
              <w:rPr>
                <w:rFonts w:hint="eastAsia" w:ascii="宋体" w:hAnsi="宋体" w:cs="宋体"/>
                <w:bCs/>
                <w:color w:val="0000FF"/>
                <w:szCs w:val="21"/>
              </w:rPr>
              <w:t>以投标文件《技术偏离表》为评分依据，投标人</w:t>
            </w:r>
            <w:r>
              <w:rPr>
                <w:rFonts w:hint="eastAsia" w:ascii="宋体" w:hAnsi="宋体" w:cs="宋体"/>
                <w:color w:val="0000FF"/>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证明材料涉及检测（或检验）报告的，如检测机构出具的检测（或检验）报告载明的检测事项超出该机构的检测范围，则该项技术指标按负偏离处理。</w:t>
            </w:r>
          </w:p>
          <w:p w14:paraId="4D196823">
            <w:pPr>
              <w:rPr>
                <w:rFonts w:ascii="宋体" w:hAnsi="宋体" w:cs="宋体"/>
                <w:color w:val="0000FF"/>
                <w:szCs w:val="21"/>
              </w:rPr>
            </w:pPr>
            <w:r>
              <w:rPr>
                <w:rFonts w:hint="eastAsia" w:ascii="宋体" w:hAnsi="宋体" w:cs="宋体"/>
                <w:b/>
                <w:color w:val="0000FF"/>
                <w:szCs w:val="21"/>
              </w:rPr>
              <w:t>特别提醒：投标人的技术响应情况、偏离情况等必须与客观实际保持一致，响应不实且情节严重的，经查实，将依法记入供应商诚信档案或受到行政处罚。</w:t>
            </w:r>
          </w:p>
        </w:tc>
      </w:tr>
      <w:tr w14:paraId="2B23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14:paraId="56D480E5">
            <w:pPr>
              <w:jc w:val="center"/>
              <w:outlineLvl w:val="2"/>
              <w:rPr>
                <w:rFonts w:ascii="宋体" w:hAnsi="宋体" w:cs="宋体"/>
                <w:color w:val="0000FF"/>
                <w:szCs w:val="21"/>
              </w:rPr>
            </w:pPr>
          </w:p>
        </w:tc>
        <w:tc>
          <w:tcPr>
            <w:tcW w:w="731" w:type="dxa"/>
            <w:vAlign w:val="center"/>
          </w:tcPr>
          <w:p w14:paraId="5070B897">
            <w:pPr>
              <w:jc w:val="center"/>
              <w:rPr>
                <w:rFonts w:ascii="宋体" w:hAnsi="宋体" w:cs="宋体"/>
                <w:color w:val="0000FF"/>
                <w:szCs w:val="21"/>
              </w:rPr>
            </w:pPr>
            <w:r>
              <w:rPr>
                <w:rFonts w:hint="eastAsia" w:ascii="宋体" w:hAnsi="宋体" w:cs="宋体"/>
                <w:color w:val="0000FF"/>
                <w:szCs w:val="21"/>
              </w:rPr>
              <w:t>2</w:t>
            </w:r>
          </w:p>
        </w:tc>
        <w:tc>
          <w:tcPr>
            <w:tcW w:w="1223" w:type="dxa"/>
            <w:vAlign w:val="center"/>
          </w:tcPr>
          <w:p w14:paraId="0BC4EAF5">
            <w:pPr>
              <w:jc w:val="center"/>
              <w:rPr>
                <w:rFonts w:ascii="宋体" w:hAnsi="宋体" w:cs="宋体"/>
                <w:color w:val="0000FF"/>
                <w:szCs w:val="21"/>
              </w:rPr>
            </w:pPr>
            <w:r>
              <w:rPr>
                <w:rFonts w:hint="eastAsia" w:ascii="宋体" w:hAnsi="宋体" w:cs="宋体"/>
                <w:color w:val="0000FF"/>
                <w:szCs w:val="21"/>
              </w:rPr>
              <w:t>项目实施方案</w:t>
            </w:r>
          </w:p>
        </w:tc>
        <w:tc>
          <w:tcPr>
            <w:tcW w:w="1030" w:type="dxa"/>
            <w:vAlign w:val="center"/>
          </w:tcPr>
          <w:p w14:paraId="3B91C57C">
            <w:pPr>
              <w:jc w:val="center"/>
              <w:rPr>
                <w:rFonts w:ascii="宋体" w:hAnsi="宋体" w:cs="宋体"/>
                <w:color w:val="0000FF"/>
                <w:szCs w:val="21"/>
              </w:rPr>
            </w:pPr>
            <w:r>
              <w:rPr>
                <w:rFonts w:hint="eastAsia" w:ascii="宋体" w:hAnsi="宋体" w:cs="宋体"/>
                <w:color w:val="0000FF"/>
                <w:szCs w:val="21"/>
              </w:rPr>
              <w:t>10</w:t>
            </w:r>
          </w:p>
        </w:tc>
        <w:tc>
          <w:tcPr>
            <w:tcW w:w="5320" w:type="dxa"/>
            <w:shd w:val="clear" w:color="auto" w:fill="auto"/>
            <w:vAlign w:val="center"/>
          </w:tcPr>
          <w:p w14:paraId="2A53F85B">
            <w:pPr>
              <w:rPr>
                <w:rFonts w:ascii="宋体" w:hAnsi="宋体" w:cs="宋体"/>
                <w:color w:val="0000FF"/>
                <w:szCs w:val="21"/>
                <w:lang w:val="zh-CN"/>
              </w:rPr>
            </w:pPr>
            <w:r>
              <w:rPr>
                <w:rFonts w:hint="eastAsia" w:ascii="宋体" w:hAnsi="宋体" w:cs="宋体"/>
                <w:color w:val="0000FF"/>
                <w:szCs w:val="21"/>
                <w:lang w:val="zh-CN"/>
              </w:rPr>
              <w:t>（</w:t>
            </w:r>
            <w:r>
              <w:rPr>
                <w:rFonts w:hint="eastAsia" w:ascii="宋体" w:hAnsi="宋体" w:cs="宋体"/>
                <w:color w:val="0000FF"/>
                <w:szCs w:val="21"/>
              </w:rPr>
              <w:t>一）</w:t>
            </w:r>
            <w:r>
              <w:rPr>
                <w:rFonts w:hint="eastAsia" w:ascii="宋体" w:hAnsi="宋体" w:cs="宋体"/>
                <w:color w:val="0000FF"/>
                <w:szCs w:val="21"/>
                <w:lang w:val="zh-CN"/>
              </w:rPr>
              <w:t>评分内容：</w:t>
            </w:r>
          </w:p>
          <w:p w14:paraId="06849475">
            <w:pPr>
              <w:rPr>
                <w:rFonts w:ascii="宋体" w:hAnsi="宋体" w:cs="宋体"/>
                <w:color w:val="0000FF"/>
                <w:szCs w:val="21"/>
                <w:lang w:val="zh-CN"/>
              </w:rPr>
            </w:pPr>
            <w:r>
              <w:rPr>
                <w:rFonts w:hint="eastAsia" w:ascii="宋体" w:hAnsi="宋体" w:cs="宋体"/>
                <w:color w:val="0000FF"/>
                <w:szCs w:val="21"/>
                <w:lang w:val="zh-CN"/>
              </w:rPr>
              <w:t>投标人针对本项目的需求提供项目实施方案，内容包含但不限于：</w:t>
            </w:r>
          </w:p>
          <w:p w14:paraId="4D3287F3">
            <w:pPr>
              <w:rPr>
                <w:rFonts w:ascii="宋体" w:hAnsi="宋体" w:cs="宋体"/>
                <w:color w:val="0000FF"/>
                <w:szCs w:val="21"/>
              </w:rPr>
            </w:pPr>
            <w:r>
              <w:rPr>
                <w:rFonts w:hint="eastAsia" w:ascii="宋体" w:hAnsi="宋体" w:cs="宋体"/>
                <w:color w:val="0000FF"/>
                <w:szCs w:val="21"/>
              </w:rPr>
              <w:t>1、项目组织管理方案；</w:t>
            </w:r>
          </w:p>
          <w:p w14:paraId="5CFD3772">
            <w:pPr>
              <w:rPr>
                <w:rFonts w:ascii="宋体" w:hAnsi="宋体" w:cs="宋体"/>
                <w:color w:val="0000FF"/>
                <w:szCs w:val="21"/>
              </w:rPr>
            </w:pPr>
            <w:r>
              <w:rPr>
                <w:rFonts w:hint="eastAsia" w:ascii="宋体" w:hAnsi="宋体" w:cs="宋体"/>
                <w:color w:val="0000FF"/>
                <w:szCs w:val="21"/>
              </w:rPr>
              <w:t>2、项目实施进度计划；</w:t>
            </w:r>
          </w:p>
          <w:p w14:paraId="6027AA51">
            <w:pPr>
              <w:rPr>
                <w:rFonts w:ascii="宋体" w:hAnsi="宋体" w:cs="宋体"/>
                <w:color w:val="0000FF"/>
                <w:szCs w:val="21"/>
              </w:rPr>
            </w:pPr>
            <w:r>
              <w:rPr>
                <w:rFonts w:hint="eastAsia" w:ascii="宋体" w:hAnsi="宋体" w:cs="宋体"/>
                <w:color w:val="0000FF"/>
                <w:szCs w:val="21"/>
              </w:rPr>
              <w:t>3、项目质量控制措施；</w:t>
            </w:r>
          </w:p>
          <w:p w14:paraId="0F1C0F64">
            <w:pPr>
              <w:rPr>
                <w:rFonts w:ascii="宋体" w:hAnsi="宋体" w:cs="宋体"/>
                <w:color w:val="0000FF"/>
                <w:szCs w:val="21"/>
                <w:lang w:val="zh-CN"/>
              </w:rPr>
            </w:pPr>
            <w:r>
              <w:rPr>
                <w:rFonts w:hint="eastAsia" w:ascii="宋体" w:hAnsi="宋体" w:cs="宋体"/>
                <w:color w:val="0000FF"/>
                <w:szCs w:val="21"/>
              </w:rPr>
              <w:t>4、设备维护保养计划表；</w:t>
            </w:r>
          </w:p>
          <w:p w14:paraId="1A569EFC">
            <w:pPr>
              <w:rPr>
                <w:rFonts w:ascii="宋体" w:hAnsi="宋体" w:cs="宋体"/>
                <w:color w:val="0000FF"/>
                <w:szCs w:val="21"/>
                <w:lang w:val="zh-CN"/>
              </w:rPr>
            </w:pPr>
            <w:r>
              <w:rPr>
                <w:rFonts w:hint="eastAsia" w:ascii="宋体" w:hAnsi="宋体" w:cs="宋体"/>
                <w:color w:val="0000FF"/>
                <w:szCs w:val="21"/>
              </w:rPr>
              <w:t>5、培训组织方案；</w:t>
            </w:r>
          </w:p>
          <w:p w14:paraId="57EF33E9">
            <w:pPr>
              <w:rPr>
                <w:rFonts w:ascii="宋体" w:hAnsi="宋体" w:cs="宋体"/>
                <w:color w:val="0000FF"/>
                <w:szCs w:val="21"/>
                <w:lang w:val="zh-CN"/>
              </w:rPr>
            </w:pPr>
            <w:r>
              <w:rPr>
                <w:rFonts w:hint="eastAsia" w:ascii="宋体" w:hAnsi="宋体" w:cs="宋体"/>
                <w:color w:val="0000FF"/>
                <w:szCs w:val="21"/>
              </w:rPr>
              <w:t>6、出现重大故障的解决措施。</w:t>
            </w:r>
          </w:p>
          <w:p w14:paraId="7C1172BA">
            <w:pPr>
              <w:rPr>
                <w:rFonts w:ascii="宋体" w:hAnsi="宋体" w:cs="宋体"/>
                <w:color w:val="0000FF"/>
                <w:szCs w:val="21"/>
                <w:lang w:val="zh-CN"/>
              </w:rPr>
            </w:pPr>
            <w:r>
              <w:rPr>
                <w:rFonts w:hint="eastAsia" w:ascii="宋体" w:hAnsi="宋体" w:cs="宋体"/>
                <w:color w:val="0000FF"/>
                <w:szCs w:val="21"/>
                <w:lang w:val="zh-CN"/>
              </w:rPr>
              <w:t>（</w:t>
            </w:r>
            <w:r>
              <w:rPr>
                <w:rFonts w:hint="eastAsia" w:ascii="宋体" w:hAnsi="宋体" w:cs="宋体"/>
                <w:color w:val="0000FF"/>
                <w:szCs w:val="21"/>
                <w:lang w:val="en-US" w:eastAsia="zh-CN"/>
              </w:rPr>
              <w:t>二</w:t>
            </w:r>
            <w:r>
              <w:rPr>
                <w:rFonts w:hint="eastAsia" w:ascii="宋体" w:hAnsi="宋体" w:cs="宋体"/>
                <w:color w:val="0000FF"/>
                <w:szCs w:val="21"/>
              </w:rPr>
              <w:t>）</w:t>
            </w:r>
            <w:r>
              <w:rPr>
                <w:rFonts w:hint="eastAsia" w:ascii="宋体" w:hAnsi="宋体" w:cs="宋体"/>
                <w:color w:val="0000FF"/>
                <w:szCs w:val="21"/>
                <w:lang w:val="zh-CN"/>
              </w:rPr>
              <w:t>评分依据：</w:t>
            </w:r>
          </w:p>
          <w:p w14:paraId="2ADBDB42">
            <w:pPr>
              <w:rPr>
                <w:rFonts w:ascii="宋体" w:hAnsi="宋体" w:cs="宋体"/>
                <w:color w:val="0000FF"/>
                <w:szCs w:val="21"/>
                <w:lang w:val="zh-CN"/>
              </w:rPr>
            </w:pPr>
            <w:r>
              <w:rPr>
                <w:rFonts w:hint="eastAsia" w:ascii="宋体" w:hAnsi="宋体" w:cs="宋体"/>
                <w:color w:val="0000FF"/>
                <w:szCs w:val="21"/>
                <w:lang w:val="zh-CN"/>
              </w:rPr>
              <w:t>1、方案每满足以上一</w:t>
            </w:r>
            <w:r>
              <w:rPr>
                <w:rFonts w:hint="eastAsia" w:ascii="宋体" w:hAnsi="宋体" w:cs="宋体"/>
                <w:color w:val="0000FF"/>
                <w:szCs w:val="21"/>
              </w:rPr>
              <w:t>项内容</w:t>
            </w:r>
            <w:r>
              <w:rPr>
                <w:rFonts w:hint="eastAsia" w:ascii="宋体" w:hAnsi="宋体" w:cs="宋体"/>
                <w:color w:val="0000FF"/>
                <w:szCs w:val="21"/>
                <w:lang w:val="zh-CN"/>
              </w:rPr>
              <w:t>的得0.5分，总分3分，其它情况或不提供的不得分。</w:t>
            </w:r>
          </w:p>
          <w:p w14:paraId="162330C2">
            <w:pPr>
              <w:rPr>
                <w:rFonts w:ascii="宋体" w:hAnsi="宋体" w:cs="宋体"/>
                <w:color w:val="0000FF"/>
                <w:szCs w:val="21"/>
                <w:lang w:val="zh-CN"/>
              </w:rPr>
            </w:pPr>
            <w:r>
              <w:rPr>
                <w:rFonts w:hint="eastAsia" w:ascii="宋体" w:hAnsi="宋体" w:cs="宋体"/>
                <w:color w:val="0000FF"/>
                <w:szCs w:val="21"/>
                <w:lang w:val="zh-CN"/>
              </w:rPr>
              <w:t>2、在此基础上，根据各投标人的具体响应内容按照量化的评审因素指标进一步评审:</w:t>
            </w:r>
          </w:p>
          <w:p w14:paraId="4F78CD8D">
            <w:pPr>
              <w:rPr>
                <w:rFonts w:ascii="宋体" w:hAnsi="宋体" w:cs="宋体"/>
                <w:color w:val="0000FF"/>
                <w:szCs w:val="21"/>
              </w:rPr>
            </w:pPr>
            <w:r>
              <w:rPr>
                <w:rFonts w:hint="eastAsia" w:ascii="宋体" w:hAnsi="宋体" w:cs="宋体"/>
                <w:color w:val="0000FF"/>
                <w:szCs w:val="21"/>
              </w:rPr>
              <w:t>1、对用户需求理解深刻；</w:t>
            </w:r>
          </w:p>
          <w:p w14:paraId="7DCBAC33">
            <w:pPr>
              <w:rPr>
                <w:rFonts w:ascii="宋体" w:hAnsi="宋体" w:cs="宋体"/>
                <w:color w:val="0000FF"/>
                <w:szCs w:val="21"/>
              </w:rPr>
            </w:pPr>
            <w:r>
              <w:rPr>
                <w:rFonts w:hint="eastAsia" w:ascii="宋体" w:hAnsi="宋体" w:cs="宋体"/>
                <w:color w:val="0000FF"/>
                <w:szCs w:val="21"/>
              </w:rPr>
              <w:t>2、项目实施方案内容全面、具体；</w:t>
            </w:r>
          </w:p>
          <w:p w14:paraId="25AF4071">
            <w:pPr>
              <w:rPr>
                <w:rFonts w:ascii="宋体" w:hAnsi="宋体" w:cs="宋体"/>
                <w:color w:val="0000FF"/>
                <w:szCs w:val="21"/>
              </w:rPr>
            </w:pPr>
            <w:r>
              <w:rPr>
                <w:rFonts w:hint="eastAsia" w:ascii="宋体" w:hAnsi="宋体" w:cs="宋体"/>
                <w:color w:val="0000FF"/>
                <w:szCs w:val="21"/>
              </w:rPr>
              <w:t>3、项目实施方案各项工作安排合理；</w:t>
            </w:r>
          </w:p>
          <w:p w14:paraId="0155D502">
            <w:pPr>
              <w:rPr>
                <w:rFonts w:ascii="宋体" w:hAnsi="宋体" w:cs="宋体"/>
                <w:color w:val="0000FF"/>
                <w:szCs w:val="21"/>
              </w:rPr>
            </w:pPr>
            <w:r>
              <w:rPr>
                <w:rFonts w:hint="eastAsia" w:ascii="宋体" w:hAnsi="宋体" w:cs="宋体"/>
                <w:color w:val="0000FF"/>
                <w:szCs w:val="21"/>
              </w:rPr>
              <w:t>4、项目实施方案针对性强,安排明确；</w:t>
            </w:r>
          </w:p>
          <w:p w14:paraId="7A1BA807">
            <w:pPr>
              <w:rPr>
                <w:rFonts w:ascii="宋体" w:hAnsi="宋体" w:cs="宋体"/>
                <w:color w:val="0000FF"/>
                <w:szCs w:val="21"/>
              </w:rPr>
            </w:pPr>
            <w:r>
              <w:rPr>
                <w:rFonts w:hint="eastAsia" w:ascii="宋体" w:hAnsi="宋体" w:cs="宋体"/>
                <w:color w:val="0000FF"/>
                <w:szCs w:val="21"/>
              </w:rPr>
              <w:t>5、进度计划有清晰时间节点。</w:t>
            </w:r>
          </w:p>
          <w:p w14:paraId="282178D6">
            <w:pPr>
              <w:rPr>
                <w:rFonts w:ascii="宋体" w:hAnsi="宋体" w:cs="宋体"/>
                <w:color w:val="0000FF"/>
                <w:szCs w:val="21"/>
              </w:rPr>
            </w:pPr>
            <w:r>
              <w:rPr>
                <w:rFonts w:hint="eastAsia" w:ascii="宋体" w:hAnsi="宋体" w:cs="宋体"/>
                <w:color w:val="0000FF"/>
                <w:szCs w:val="21"/>
              </w:rPr>
              <w:t>满足以上五项要求的，加7分，满足以上任意四项要求的，加5.6分，满足以上任意三项要求的，加4.2分，满足以上任意二项要求的，加2.8分；满足以上任意一项要求的，加1.4分，其它情况的不加分。</w:t>
            </w:r>
          </w:p>
        </w:tc>
      </w:tr>
      <w:tr w14:paraId="63CE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253226D7">
            <w:pPr>
              <w:jc w:val="center"/>
              <w:rPr>
                <w:rFonts w:ascii="宋体" w:hAnsi="宋体" w:cs="宋体"/>
                <w:b/>
                <w:color w:val="0000FF"/>
                <w:szCs w:val="21"/>
              </w:rPr>
            </w:pPr>
            <w:r>
              <w:rPr>
                <w:rFonts w:hint="eastAsia" w:ascii="宋体" w:hAnsi="宋体" w:cs="宋体"/>
                <w:b/>
                <w:color w:val="0000FF"/>
                <w:szCs w:val="21"/>
              </w:rPr>
              <w:t>3</w:t>
            </w:r>
          </w:p>
        </w:tc>
        <w:tc>
          <w:tcPr>
            <w:tcW w:w="2984" w:type="dxa"/>
            <w:gridSpan w:val="3"/>
            <w:vAlign w:val="center"/>
          </w:tcPr>
          <w:p w14:paraId="1DD97342">
            <w:pPr>
              <w:jc w:val="center"/>
              <w:rPr>
                <w:rFonts w:ascii="宋体" w:hAnsi="宋体" w:cs="宋体"/>
                <w:b/>
                <w:color w:val="0000FF"/>
                <w:szCs w:val="21"/>
              </w:rPr>
            </w:pPr>
            <w:r>
              <w:rPr>
                <w:rFonts w:hint="eastAsia" w:ascii="宋体" w:hAnsi="宋体" w:cs="宋体"/>
                <w:b/>
                <w:color w:val="0000FF"/>
                <w:szCs w:val="21"/>
              </w:rPr>
              <w:t>商务部分</w:t>
            </w:r>
          </w:p>
        </w:tc>
        <w:tc>
          <w:tcPr>
            <w:tcW w:w="5320" w:type="dxa"/>
            <w:vAlign w:val="center"/>
          </w:tcPr>
          <w:p w14:paraId="5B3E9563">
            <w:pPr>
              <w:jc w:val="center"/>
              <w:rPr>
                <w:rFonts w:ascii="宋体" w:hAnsi="宋体" w:cs="宋体"/>
                <w:b/>
                <w:color w:val="0000FF"/>
                <w:szCs w:val="21"/>
              </w:rPr>
            </w:pPr>
            <w:r>
              <w:rPr>
                <w:rFonts w:hint="eastAsia" w:ascii="宋体" w:hAnsi="宋体" w:cs="宋体"/>
                <w:b/>
                <w:color w:val="0000FF"/>
                <w:szCs w:val="21"/>
              </w:rPr>
              <w:t>15</w:t>
            </w:r>
          </w:p>
        </w:tc>
      </w:tr>
      <w:tr w14:paraId="571F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restart"/>
            <w:vAlign w:val="center"/>
          </w:tcPr>
          <w:p w14:paraId="53918438">
            <w:pPr>
              <w:jc w:val="center"/>
              <w:outlineLvl w:val="0"/>
              <w:rPr>
                <w:rFonts w:ascii="宋体" w:hAnsi="宋体" w:cs="宋体"/>
                <w:color w:val="0000FF"/>
                <w:szCs w:val="21"/>
              </w:rPr>
            </w:pPr>
          </w:p>
        </w:tc>
        <w:tc>
          <w:tcPr>
            <w:tcW w:w="731" w:type="dxa"/>
            <w:vAlign w:val="center"/>
          </w:tcPr>
          <w:p w14:paraId="3889CB8D">
            <w:pPr>
              <w:jc w:val="center"/>
              <w:rPr>
                <w:rFonts w:ascii="宋体" w:hAnsi="宋体" w:cs="宋体"/>
                <w:b/>
                <w:color w:val="0000FF"/>
                <w:szCs w:val="21"/>
              </w:rPr>
            </w:pPr>
            <w:r>
              <w:rPr>
                <w:rFonts w:hint="eastAsia" w:ascii="宋体" w:hAnsi="宋体" w:cs="宋体"/>
                <w:b/>
                <w:color w:val="0000FF"/>
                <w:szCs w:val="21"/>
              </w:rPr>
              <w:t>序号</w:t>
            </w:r>
          </w:p>
        </w:tc>
        <w:tc>
          <w:tcPr>
            <w:tcW w:w="1223" w:type="dxa"/>
            <w:vAlign w:val="center"/>
          </w:tcPr>
          <w:p w14:paraId="2AB91466">
            <w:pPr>
              <w:jc w:val="center"/>
              <w:rPr>
                <w:rFonts w:ascii="宋体" w:hAnsi="宋体" w:cs="宋体"/>
                <w:b/>
                <w:color w:val="0000FF"/>
                <w:szCs w:val="21"/>
              </w:rPr>
            </w:pPr>
            <w:r>
              <w:rPr>
                <w:rFonts w:hint="eastAsia" w:ascii="宋体" w:hAnsi="宋体" w:cs="宋体"/>
                <w:b/>
                <w:color w:val="0000FF"/>
                <w:szCs w:val="21"/>
              </w:rPr>
              <w:t>评分因素</w:t>
            </w:r>
          </w:p>
        </w:tc>
        <w:tc>
          <w:tcPr>
            <w:tcW w:w="1030" w:type="dxa"/>
            <w:vAlign w:val="center"/>
          </w:tcPr>
          <w:p w14:paraId="2AFF86C5">
            <w:pPr>
              <w:jc w:val="center"/>
              <w:rPr>
                <w:rFonts w:ascii="宋体" w:hAnsi="宋体" w:cs="宋体"/>
                <w:b/>
                <w:color w:val="0000FF"/>
                <w:szCs w:val="21"/>
              </w:rPr>
            </w:pPr>
            <w:r>
              <w:rPr>
                <w:rFonts w:hint="eastAsia" w:ascii="宋体" w:hAnsi="宋体" w:cs="宋体"/>
                <w:b/>
                <w:color w:val="0000FF"/>
                <w:szCs w:val="21"/>
              </w:rPr>
              <w:t>权重</w:t>
            </w:r>
          </w:p>
        </w:tc>
        <w:tc>
          <w:tcPr>
            <w:tcW w:w="5320" w:type="dxa"/>
            <w:vAlign w:val="center"/>
          </w:tcPr>
          <w:p w14:paraId="66D22261">
            <w:pPr>
              <w:jc w:val="center"/>
              <w:rPr>
                <w:rFonts w:ascii="宋体" w:hAnsi="宋体" w:cs="宋体"/>
                <w:b/>
                <w:color w:val="0000FF"/>
                <w:szCs w:val="21"/>
              </w:rPr>
            </w:pPr>
            <w:r>
              <w:rPr>
                <w:rFonts w:hint="eastAsia" w:ascii="宋体" w:hAnsi="宋体" w:cs="宋体"/>
                <w:b/>
                <w:color w:val="0000FF"/>
                <w:szCs w:val="21"/>
              </w:rPr>
              <w:t>评分准则</w:t>
            </w:r>
          </w:p>
        </w:tc>
      </w:tr>
      <w:tr w14:paraId="088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14:paraId="5EEDBDAE">
            <w:pPr>
              <w:jc w:val="center"/>
              <w:outlineLvl w:val="0"/>
              <w:rPr>
                <w:rFonts w:ascii="宋体" w:hAnsi="宋体" w:cs="宋体"/>
                <w:color w:val="0000FF"/>
                <w:szCs w:val="21"/>
              </w:rPr>
            </w:pPr>
          </w:p>
        </w:tc>
        <w:tc>
          <w:tcPr>
            <w:tcW w:w="731" w:type="dxa"/>
            <w:shd w:val="clear" w:color="auto" w:fill="auto"/>
            <w:vAlign w:val="center"/>
          </w:tcPr>
          <w:p w14:paraId="7DD7755D">
            <w:pPr>
              <w:jc w:val="center"/>
              <w:rPr>
                <w:rFonts w:ascii="宋体" w:hAnsi="宋体" w:cs="宋体"/>
                <w:color w:val="0000FF"/>
                <w:szCs w:val="21"/>
              </w:rPr>
            </w:pPr>
            <w:r>
              <w:rPr>
                <w:rFonts w:hint="eastAsia" w:ascii="宋体" w:hAnsi="宋体" w:cs="宋体"/>
                <w:color w:val="0000FF"/>
                <w:szCs w:val="21"/>
              </w:rPr>
              <w:t>1</w:t>
            </w:r>
          </w:p>
        </w:tc>
        <w:tc>
          <w:tcPr>
            <w:tcW w:w="1223" w:type="dxa"/>
            <w:shd w:val="clear" w:color="auto" w:fill="auto"/>
            <w:vAlign w:val="center"/>
          </w:tcPr>
          <w:p w14:paraId="5C2E7868">
            <w:pPr>
              <w:jc w:val="center"/>
              <w:rPr>
                <w:rFonts w:ascii="宋体" w:hAnsi="宋体" w:cs="宋体"/>
                <w:color w:val="0000FF"/>
                <w:szCs w:val="21"/>
              </w:rPr>
            </w:pPr>
            <w:r>
              <w:rPr>
                <w:rFonts w:hint="eastAsia" w:ascii="宋体" w:hAnsi="宋体" w:cs="宋体"/>
                <w:color w:val="0000FF"/>
                <w:szCs w:val="21"/>
              </w:rPr>
              <w:t>商务条款偏离情况</w:t>
            </w:r>
          </w:p>
        </w:tc>
        <w:tc>
          <w:tcPr>
            <w:tcW w:w="1030" w:type="dxa"/>
            <w:shd w:val="clear" w:color="auto" w:fill="auto"/>
            <w:vAlign w:val="center"/>
          </w:tcPr>
          <w:p w14:paraId="5228C79A">
            <w:pPr>
              <w:jc w:val="center"/>
              <w:rPr>
                <w:rFonts w:ascii="宋体" w:hAnsi="宋体" w:cs="宋体"/>
                <w:color w:val="0000FF"/>
                <w:szCs w:val="21"/>
              </w:rPr>
            </w:pPr>
            <w:r>
              <w:rPr>
                <w:rFonts w:hint="eastAsia" w:ascii="宋体" w:hAnsi="宋体" w:cs="宋体"/>
                <w:color w:val="0000FF"/>
                <w:szCs w:val="21"/>
              </w:rPr>
              <w:t>10</w:t>
            </w:r>
          </w:p>
        </w:tc>
        <w:tc>
          <w:tcPr>
            <w:tcW w:w="5320" w:type="dxa"/>
            <w:shd w:val="clear" w:color="auto" w:fill="auto"/>
            <w:vAlign w:val="center"/>
          </w:tcPr>
          <w:p w14:paraId="7A458312">
            <w:pPr>
              <w:pStyle w:val="2"/>
              <w:rPr>
                <w:rFonts w:ascii="宋体" w:hAnsi="宋体" w:cs="宋体"/>
                <w:color w:val="0000FF"/>
                <w:szCs w:val="21"/>
              </w:rPr>
            </w:pPr>
            <w:r>
              <w:rPr>
                <w:rFonts w:hint="eastAsia" w:ascii="宋体" w:hAnsi="宋体" w:cs="宋体"/>
                <w:color w:val="0000FF"/>
                <w:szCs w:val="21"/>
              </w:rPr>
              <w:t>投标人如实填写《商务偏离表》，评审委员会根据响应情况进行打分，全部满足要求的得10分，每负偏离一项扣0.5分，扣完为止。</w:t>
            </w:r>
          </w:p>
          <w:p w14:paraId="131EC862">
            <w:pPr>
              <w:rPr>
                <w:rFonts w:ascii="宋体" w:hAnsi="宋体" w:cs="宋体"/>
                <w:color w:val="0000FF"/>
                <w:szCs w:val="21"/>
              </w:rPr>
            </w:pPr>
            <w:r>
              <w:rPr>
                <w:rFonts w:hint="eastAsia" w:ascii="宋体" w:hAnsi="宋体" w:cs="宋体"/>
                <w:color w:val="0000FF"/>
                <w:szCs w:val="21"/>
              </w:rPr>
              <w:t>注： 商务要求中包含子项条款的，按子项条款响应情况逐项评分。</w:t>
            </w:r>
          </w:p>
        </w:tc>
      </w:tr>
      <w:tr w14:paraId="6A26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Merge w:val="continue"/>
            <w:vAlign w:val="center"/>
          </w:tcPr>
          <w:p w14:paraId="1695CBAD">
            <w:pPr>
              <w:jc w:val="center"/>
              <w:outlineLvl w:val="0"/>
              <w:rPr>
                <w:rFonts w:ascii="宋体" w:hAnsi="宋体" w:cs="宋体"/>
                <w:color w:val="0000FF"/>
                <w:szCs w:val="21"/>
              </w:rPr>
            </w:pPr>
          </w:p>
        </w:tc>
        <w:tc>
          <w:tcPr>
            <w:tcW w:w="731" w:type="dxa"/>
            <w:vAlign w:val="center"/>
          </w:tcPr>
          <w:p w14:paraId="1C10FBC3">
            <w:pPr>
              <w:jc w:val="center"/>
              <w:rPr>
                <w:rFonts w:ascii="宋体" w:hAnsi="宋体" w:cs="宋体"/>
                <w:color w:val="0000FF"/>
                <w:szCs w:val="21"/>
              </w:rPr>
            </w:pPr>
            <w:r>
              <w:rPr>
                <w:rFonts w:hint="eastAsia" w:ascii="宋体" w:hAnsi="宋体" w:cs="宋体"/>
                <w:color w:val="0000FF"/>
                <w:szCs w:val="21"/>
              </w:rPr>
              <w:t>2</w:t>
            </w:r>
          </w:p>
        </w:tc>
        <w:tc>
          <w:tcPr>
            <w:tcW w:w="1223" w:type="dxa"/>
            <w:shd w:val="clear" w:color="auto" w:fill="auto"/>
            <w:vAlign w:val="center"/>
          </w:tcPr>
          <w:p w14:paraId="2812B422">
            <w:pPr>
              <w:jc w:val="center"/>
              <w:rPr>
                <w:rFonts w:ascii="宋体" w:hAnsi="宋体" w:cs="宋体"/>
                <w:color w:val="0000FF"/>
                <w:szCs w:val="21"/>
              </w:rPr>
            </w:pPr>
            <w:r>
              <w:rPr>
                <w:rFonts w:hint="eastAsia" w:ascii="宋体" w:hAnsi="宋体" w:cs="宋体"/>
                <w:color w:val="0000FF"/>
                <w:szCs w:val="21"/>
              </w:rPr>
              <w:t>诚信</w:t>
            </w:r>
          </w:p>
        </w:tc>
        <w:tc>
          <w:tcPr>
            <w:tcW w:w="1030" w:type="dxa"/>
            <w:shd w:val="clear" w:color="auto" w:fill="auto"/>
            <w:vAlign w:val="center"/>
          </w:tcPr>
          <w:p w14:paraId="4929BE0B">
            <w:pPr>
              <w:jc w:val="center"/>
              <w:rPr>
                <w:rFonts w:ascii="宋体" w:hAnsi="宋体" w:cs="宋体"/>
                <w:color w:val="0000FF"/>
                <w:szCs w:val="21"/>
              </w:rPr>
            </w:pPr>
            <w:r>
              <w:rPr>
                <w:rFonts w:hint="eastAsia" w:ascii="宋体" w:hAnsi="宋体" w:cs="宋体"/>
                <w:color w:val="0000FF"/>
                <w:szCs w:val="21"/>
              </w:rPr>
              <w:t>5</w:t>
            </w:r>
          </w:p>
        </w:tc>
        <w:tc>
          <w:tcPr>
            <w:tcW w:w="5320" w:type="dxa"/>
            <w:shd w:val="clear" w:color="auto" w:fill="auto"/>
          </w:tcPr>
          <w:p w14:paraId="36B056E6">
            <w:pPr>
              <w:pStyle w:val="2"/>
              <w:rPr>
                <w:rFonts w:ascii="宋体" w:hAnsi="宋体" w:cs="宋体"/>
                <w:color w:val="0000FF"/>
                <w:szCs w:val="21"/>
              </w:rPr>
            </w:pPr>
            <w:r>
              <w:rPr>
                <w:rFonts w:hint="eastAsia" w:ascii="宋体" w:hAnsi="宋体" w:cs="宋体"/>
                <w:color w:val="0000FF"/>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cs="宋体"/>
                <w:color w:val="0000FF"/>
                <w:szCs w:val="21"/>
                <w:lang w:val="en-US" w:eastAsia="zh-CN"/>
              </w:rPr>
              <w:t>满</w:t>
            </w:r>
            <w:r>
              <w:rPr>
                <w:rFonts w:hint="eastAsia" w:ascii="宋体" w:hAnsi="宋体" w:cs="宋体"/>
                <w:color w:val="0000FF"/>
                <w:szCs w:val="21"/>
              </w:rPr>
              <w:t>分。</w:t>
            </w:r>
          </w:p>
          <w:p w14:paraId="08A1625A">
            <w:pPr>
              <w:pStyle w:val="2"/>
              <w:rPr>
                <w:rFonts w:ascii="宋体" w:hAnsi="宋体" w:cs="宋体"/>
                <w:color w:val="0000FF"/>
                <w:szCs w:val="21"/>
              </w:rPr>
            </w:pPr>
            <w:r>
              <w:rPr>
                <w:rFonts w:hint="eastAsia" w:ascii="宋体" w:hAnsi="宋体" w:cs="宋体"/>
                <w:color w:val="0000FF"/>
                <w:szCs w:val="21"/>
              </w:rPr>
              <w:t>（采购代理机构通过“信用中国”、“中国政府采购网”、“深圳市政府采购监管网”以及市、区财政部门认定的其他渠道查询供应商信用信息，投标人无需提供证明材料。）</w:t>
            </w:r>
          </w:p>
        </w:tc>
      </w:tr>
    </w:tbl>
    <w:p w14:paraId="02FEA996">
      <w:pPr>
        <w:spacing w:line="440" w:lineRule="exact"/>
        <w:ind w:firstLine="422" w:firstLineChars="200"/>
        <w:rPr>
          <w:rFonts w:ascii="宋体" w:hAnsi="宋体"/>
          <w:szCs w:val="21"/>
        </w:rPr>
      </w:pPr>
      <w:r>
        <w:rPr>
          <w:rFonts w:hint="eastAsia" w:ascii="宋体" w:hAnsi="宋体"/>
          <w:b/>
          <w:szCs w:val="21"/>
        </w:rPr>
        <w:t>说明：</w:t>
      </w:r>
      <w:r>
        <w:rPr>
          <w:rFonts w:hint="eastAsia" w:ascii="宋体" w:hAnsi="宋体"/>
          <w:szCs w:val="21"/>
        </w:rPr>
        <w:t>1、本评分表中每一栏的得分最高不得超过该项评审指标的分值。2、表中要求提供相关计分证明文件的内容，投标文件中须明确加以说明，未按要求提供相关文件或说明不清楚的按不符合要求处理。</w:t>
      </w:r>
    </w:p>
    <w:p w14:paraId="49FAC827">
      <w:pPr>
        <w:spacing w:line="440" w:lineRule="exact"/>
        <w:ind w:firstLine="422" w:firstLineChars="200"/>
        <w:rPr>
          <w:rFonts w:ascii="宋体" w:hAnsi="宋体"/>
          <w:b/>
          <w:szCs w:val="21"/>
        </w:rPr>
      </w:pPr>
      <w:r>
        <w:rPr>
          <w:rFonts w:hint="eastAsia" w:ascii="宋体" w:hAnsi="宋体"/>
          <w:b/>
          <w:szCs w:val="21"/>
        </w:rPr>
        <w:t>三、评标及定标程序</w:t>
      </w:r>
    </w:p>
    <w:p w14:paraId="726D9FDD">
      <w:pPr>
        <w:spacing w:line="440" w:lineRule="exact"/>
        <w:ind w:firstLine="422" w:firstLineChars="200"/>
        <w:rPr>
          <w:rFonts w:ascii="宋体" w:hAnsi="宋体"/>
          <w:b/>
          <w:szCs w:val="21"/>
        </w:rPr>
      </w:pPr>
      <w:r>
        <w:rPr>
          <w:rFonts w:hint="eastAsia" w:ascii="宋体" w:hAnsi="宋体"/>
          <w:b/>
          <w:szCs w:val="21"/>
        </w:rPr>
        <w:t>（一）授权评标委员会确定中标单位的方式</w:t>
      </w:r>
    </w:p>
    <w:p w14:paraId="0A1689F3">
      <w:pPr>
        <w:pStyle w:val="7"/>
        <w:numPr>
          <w:ilvl w:val="0"/>
          <w:numId w:val="1"/>
        </w:numPr>
        <w:spacing w:line="440" w:lineRule="exact"/>
        <w:ind w:firstLineChars="0"/>
        <w:rPr>
          <w:rFonts w:ascii="宋体" w:hAnsi="宋体"/>
          <w:b/>
          <w:szCs w:val="21"/>
        </w:rPr>
      </w:pPr>
      <w:r>
        <w:rPr>
          <w:rFonts w:ascii="宋体" w:hAnsi="宋体"/>
          <w:b/>
          <w:szCs w:val="21"/>
        </w:rPr>
        <w:t>综合评分法</w:t>
      </w:r>
    </w:p>
    <w:p w14:paraId="769E33E7">
      <w:pPr>
        <w:spacing w:line="440" w:lineRule="exact"/>
        <w:ind w:firstLine="422" w:firstLineChars="200"/>
        <w:rPr>
          <w:rFonts w:ascii="Calibri" w:hAnsi="Calibri"/>
          <w:b/>
          <w:szCs w:val="21"/>
        </w:rPr>
      </w:pPr>
      <w:r>
        <w:rPr>
          <w:rFonts w:hint="eastAsia" w:ascii="宋体" w:hAnsi="宋体"/>
          <w:b/>
          <w:szCs w:val="21"/>
        </w:rPr>
        <w:t>1、</w:t>
      </w:r>
      <w:r>
        <w:rPr>
          <w:rFonts w:ascii="Calibri" w:hAnsi="宋体"/>
          <w:b/>
          <w:szCs w:val="21"/>
        </w:rPr>
        <w:t>符合性检查</w:t>
      </w:r>
    </w:p>
    <w:p w14:paraId="6AEAB3A9">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1DF3703C">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0095292F">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1D2ADAF1">
      <w:pPr>
        <w:spacing w:line="44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14:paraId="7A422AAB">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评标委员会根据《</w:t>
      </w:r>
      <w:r>
        <w:rPr>
          <w:rFonts w:hint="eastAsia" w:ascii="宋体" w:hAnsi="宋体"/>
          <w:szCs w:val="21"/>
        </w:rPr>
        <w:t>评分表</w:t>
      </w:r>
      <w:r>
        <w:rPr>
          <w:rFonts w:ascii="宋体" w:hAnsi="宋体"/>
          <w:szCs w:val="21"/>
        </w:rPr>
        <w:t>》的内容和标准，对通过</w:t>
      </w:r>
      <w:r>
        <w:rPr>
          <w:rFonts w:hint="eastAsia" w:ascii="宋体" w:hAnsi="宋体"/>
          <w:bCs/>
          <w:szCs w:val="21"/>
        </w:rPr>
        <w:t>资格性和</w:t>
      </w:r>
      <w:r>
        <w:rPr>
          <w:rFonts w:ascii="宋体" w:hAnsi="宋体"/>
          <w:bCs/>
          <w:szCs w:val="21"/>
        </w:rPr>
        <w:t>符合性</w:t>
      </w:r>
      <w:r>
        <w:rPr>
          <w:rFonts w:ascii="宋体" w:hAnsi="宋体"/>
          <w:szCs w:val="21"/>
        </w:rPr>
        <w:t>检查的投标进行商务</w:t>
      </w:r>
      <w:r>
        <w:rPr>
          <w:rFonts w:hint="eastAsia" w:ascii="宋体" w:hAnsi="宋体"/>
          <w:szCs w:val="21"/>
        </w:rPr>
        <w:t>、</w:t>
      </w:r>
      <w:r>
        <w:rPr>
          <w:rFonts w:ascii="宋体" w:hAnsi="宋体"/>
          <w:szCs w:val="21"/>
        </w:rPr>
        <w:t>技术</w:t>
      </w:r>
      <w:r>
        <w:rPr>
          <w:rFonts w:hint="eastAsia" w:ascii="宋体" w:hAnsi="宋体"/>
          <w:szCs w:val="21"/>
        </w:rPr>
        <w:t>及价格</w:t>
      </w:r>
      <w:r>
        <w:rPr>
          <w:rFonts w:ascii="宋体" w:hAnsi="宋体"/>
          <w:szCs w:val="21"/>
        </w:rPr>
        <w:t>评议。</w:t>
      </w:r>
    </w:p>
    <w:p w14:paraId="5F0042A4">
      <w:pPr>
        <w:spacing w:line="440" w:lineRule="exact"/>
        <w:ind w:firstLine="420" w:firstLineChars="200"/>
        <w:rPr>
          <w:rFonts w:ascii="Calibri" w:hAnsi="Calibri"/>
          <w:szCs w:val="21"/>
        </w:rPr>
      </w:pPr>
      <w:r>
        <w:rPr>
          <w:rFonts w:hint="eastAsia" w:ascii="宋体" w:hAnsi="宋体"/>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w:t>
      </w:r>
      <w:r>
        <w:rPr>
          <w:rFonts w:hint="eastAsia" w:ascii="Calibri" w:hAnsi="宋体"/>
          <w:szCs w:val="21"/>
        </w:rPr>
        <w:t>；</w:t>
      </w:r>
      <w:r>
        <w:rPr>
          <w:rFonts w:ascii="Calibri" w:hAnsi="宋体"/>
          <w:szCs w:val="21"/>
        </w:rPr>
        <w:t>评标委员会成员将按照《</w:t>
      </w:r>
      <w:r>
        <w:rPr>
          <w:rFonts w:hint="eastAsia" w:ascii="Calibri" w:hAnsi="宋体"/>
          <w:szCs w:val="21"/>
        </w:rPr>
        <w:t>评分表</w:t>
      </w:r>
      <w:r>
        <w:rPr>
          <w:rFonts w:ascii="Calibri" w:hAnsi="宋体"/>
          <w:szCs w:val="21"/>
        </w:rPr>
        <w:t>》确定的</w:t>
      </w:r>
      <w:r>
        <w:rPr>
          <w:rFonts w:hint="eastAsia" w:ascii="Calibri" w:hAnsi="宋体"/>
          <w:szCs w:val="21"/>
        </w:rPr>
        <w:t>分值</w:t>
      </w:r>
      <w:r>
        <w:rPr>
          <w:rFonts w:ascii="Calibri" w:hAnsi="宋体"/>
          <w:szCs w:val="21"/>
        </w:rPr>
        <w:t>独立对每个投标的商务</w:t>
      </w:r>
      <w:r>
        <w:rPr>
          <w:rFonts w:hint="eastAsia" w:ascii="Calibri" w:hAnsi="宋体"/>
          <w:szCs w:val="21"/>
        </w:rPr>
        <w:t>、</w:t>
      </w:r>
      <w:r>
        <w:rPr>
          <w:rFonts w:ascii="Calibri" w:hAnsi="宋体"/>
          <w:szCs w:val="21"/>
        </w:rPr>
        <w:t>技术</w:t>
      </w:r>
      <w:r>
        <w:rPr>
          <w:rFonts w:hint="eastAsia" w:ascii="Calibri" w:hAnsi="宋体"/>
          <w:szCs w:val="21"/>
        </w:rPr>
        <w:t>及价格</w:t>
      </w:r>
      <w:r>
        <w:rPr>
          <w:rFonts w:ascii="Calibri" w:hAnsi="宋体"/>
          <w:szCs w:val="21"/>
        </w:rPr>
        <w:t>部分以打分的方式进行评议。</w:t>
      </w:r>
    </w:p>
    <w:p w14:paraId="385C6CB3">
      <w:pPr>
        <w:spacing w:line="44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w:t>
      </w:r>
      <w:r>
        <w:rPr>
          <w:rFonts w:hint="eastAsia" w:ascii="Calibri" w:hAnsi="宋体"/>
          <w:b/>
          <w:szCs w:val="21"/>
        </w:rPr>
        <w:t>单位</w:t>
      </w:r>
      <w:r>
        <w:rPr>
          <w:rFonts w:ascii="Calibri" w:hAnsi="宋体"/>
          <w:b/>
          <w:szCs w:val="21"/>
        </w:rPr>
        <w:t>的确定</w:t>
      </w:r>
    </w:p>
    <w:p w14:paraId="1EFB3C8B">
      <w:pPr>
        <w:spacing w:line="440" w:lineRule="exact"/>
        <w:ind w:firstLine="422" w:firstLineChars="200"/>
        <w:rPr>
          <w:rFonts w:ascii="宋体" w:hAnsi="宋体"/>
          <w:b/>
          <w:szCs w:val="21"/>
        </w:rPr>
      </w:pPr>
      <w:r>
        <w:rPr>
          <w:rFonts w:hint="eastAsia" w:ascii="宋体" w:hAnsi="宋体"/>
          <w:b/>
          <w:szCs w:val="21"/>
        </w:rPr>
        <w:t xml:space="preserve">3.1  </w:t>
      </w:r>
      <w:r>
        <w:rPr>
          <w:rFonts w:hint="eastAsia" w:ascii="宋体" w:hAnsi="宋体"/>
          <w:b/>
          <w:bCs/>
          <w:szCs w:val="21"/>
        </w:rPr>
        <w:t>候选中标供应商推荐</w:t>
      </w:r>
    </w:p>
    <w:p w14:paraId="65F10259">
      <w:pPr>
        <w:spacing w:line="440" w:lineRule="exact"/>
        <w:ind w:firstLine="420" w:firstLineChars="200"/>
        <w:rPr>
          <w:rFonts w:ascii="宋体" w:hAnsi="宋体"/>
          <w:bCs/>
          <w:szCs w:val="21"/>
        </w:rPr>
      </w:pPr>
      <w:r>
        <w:rPr>
          <w:rFonts w:hint="eastAsia" w:ascii="宋体" w:hAnsi="宋体"/>
          <w:bCs/>
          <w:szCs w:val="21"/>
        </w:rPr>
        <w:t>（1）每个投标单位的评标总得分以</w:t>
      </w:r>
      <w:r>
        <w:rPr>
          <w:rFonts w:hint="eastAsia" w:ascii="宋体" w:hAnsi="宋体"/>
          <w:szCs w:val="21"/>
        </w:rPr>
        <w:t>所有评标委员会成员的独立评分汇总</w:t>
      </w:r>
      <w:r>
        <w:rPr>
          <w:rFonts w:hint="eastAsia" w:ascii="宋体" w:hAnsi="宋体"/>
          <w:bCs/>
          <w:szCs w:val="21"/>
        </w:rPr>
        <w:t>后确定，</w:t>
      </w:r>
      <w:r>
        <w:rPr>
          <w:rFonts w:ascii="宋体" w:hAnsi="宋体"/>
          <w:bCs/>
          <w:szCs w:val="21"/>
        </w:rPr>
        <w:t>评标总得分相同的，按投标报价由低到高顺序排列；评标总得分且投标报价相同的，按技术指标</w:t>
      </w:r>
      <w:r>
        <w:rPr>
          <w:rFonts w:hint="eastAsia" w:ascii="宋体" w:hAnsi="宋体"/>
          <w:bCs/>
          <w:szCs w:val="21"/>
        </w:rPr>
        <w:t>（技术部分）</w:t>
      </w:r>
      <w:r>
        <w:rPr>
          <w:rFonts w:ascii="宋体" w:hAnsi="宋体"/>
          <w:bCs/>
          <w:szCs w:val="21"/>
        </w:rPr>
        <w:t>得分优劣顺序排列</w:t>
      </w:r>
      <w:r>
        <w:rPr>
          <w:rFonts w:hint="eastAsia" w:ascii="Calibri" w:hAnsi="宋体"/>
          <w:szCs w:val="21"/>
        </w:rPr>
        <w:t>；如</w:t>
      </w:r>
      <w:r>
        <w:rPr>
          <w:rFonts w:ascii="Calibri" w:hAnsi="宋体"/>
          <w:szCs w:val="21"/>
        </w:rPr>
        <w:t>技术指标</w:t>
      </w:r>
      <w:r>
        <w:rPr>
          <w:rFonts w:hint="eastAsia" w:ascii="Calibri" w:hAnsi="宋体"/>
          <w:szCs w:val="21"/>
        </w:rPr>
        <w:t>（技术部分）</w:t>
      </w:r>
      <w:r>
        <w:rPr>
          <w:rFonts w:ascii="Calibri" w:hAnsi="宋体"/>
          <w:szCs w:val="21"/>
        </w:rPr>
        <w:t>得分</w:t>
      </w:r>
      <w:r>
        <w:rPr>
          <w:rFonts w:hint="eastAsia" w:ascii="Calibri" w:hAnsi="宋体"/>
          <w:szCs w:val="21"/>
        </w:rPr>
        <w:t>仍然相同的，则采用抽签方式确定排序，</w:t>
      </w:r>
      <w:r>
        <w:rPr>
          <w:rFonts w:hint="eastAsia" w:asciiTheme="minorEastAsia" w:hAnsiTheme="minorEastAsia" w:eastAsiaTheme="minorEastAsia"/>
          <w:szCs w:val="21"/>
        </w:rPr>
        <w:t>具体操作办法及流程由评标委员会确定</w:t>
      </w:r>
      <w:r>
        <w:rPr>
          <w:rFonts w:ascii="宋体" w:hAnsi="宋体"/>
          <w:bCs/>
          <w:szCs w:val="21"/>
        </w:rPr>
        <w:t>。</w:t>
      </w:r>
    </w:p>
    <w:p w14:paraId="1913DE6A">
      <w:pPr>
        <w:spacing w:line="440" w:lineRule="exact"/>
        <w:ind w:firstLine="420" w:firstLineChars="200"/>
        <w:rPr>
          <w:szCs w:val="21"/>
        </w:rPr>
      </w:pPr>
      <w:r>
        <w:rPr>
          <w:rFonts w:hint="eastAsia" w:ascii="宋体" w:hAnsi="宋体"/>
          <w:bCs/>
          <w:szCs w:val="21"/>
        </w:rPr>
        <w:t>（2）评标委员会按照综合评分的排名结果推荐中标候选供应商，</w:t>
      </w:r>
      <w:r>
        <w:rPr>
          <w:rFonts w:hint="eastAsia" w:ascii="宋体" w:hAnsi="宋体"/>
          <w:szCs w:val="21"/>
        </w:rPr>
        <w:t>排名前三的投标单位</w:t>
      </w:r>
      <w:r>
        <w:rPr>
          <w:rFonts w:hint="eastAsia" w:ascii="宋体" w:hAnsi="宋体"/>
          <w:bCs/>
          <w:szCs w:val="21"/>
        </w:rPr>
        <w:t>作为推荐的候选中标供应商。</w:t>
      </w:r>
    </w:p>
    <w:p w14:paraId="0C8D1B0F">
      <w:pPr>
        <w:spacing w:line="440" w:lineRule="exact"/>
        <w:ind w:firstLine="422" w:firstLineChars="200"/>
        <w:rPr>
          <w:rFonts w:ascii="宋体" w:hAnsi="宋体"/>
          <w:b/>
          <w:bCs/>
          <w:szCs w:val="21"/>
        </w:rPr>
      </w:pPr>
      <w:r>
        <w:rPr>
          <w:rFonts w:hint="eastAsia" w:ascii="宋体" w:hAnsi="宋体"/>
          <w:b/>
          <w:bCs/>
          <w:szCs w:val="21"/>
        </w:rPr>
        <w:t>3.2  定标</w:t>
      </w:r>
    </w:p>
    <w:p w14:paraId="78884CA3">
      <w:pPr>
        <w:spacing w:line="440" w:lineRule="exact"/>
        <w:ind w:firstLine="420" w:firstLineChars="200"/>
        <w:rPr>
          <w:rFonts w:ascii="Calibri" w:hAnsi="Calibri"/>
          <w:szCs w:val="21"/>
        </w:rPr>
      </w:pPr>
      <w:r>
        <w:rPr>
          <w:rFonts w:hint="eastAsia" w:ascii="宋体" w:hAnsi="宋体"/>
          <w:bCs/>
          <w:szCs w:val="21"/>
        </w:rPr>
        <w:t>采购方授权评标委员会确定中标单位，确定评标总得分最高且</w:t>
      </w:r>
      <w:r>
        <w:rPr>
          <w:rFonts w:ascii="宋体" w:hAnsi="宋体"/>
          <w:bCs/>
          <w:szCs w:val="21"/>
        </w:rPr>
        <w:t>排名第一</w:t>
      </w:r>
      <w:r>
        <w:rPr>
          <w:rFonts w:hint="eastAsia" w:ascii="宋体" w:hAnsi="宋体"/>
          <w:bCs/>
          <w:szCs w:val="21"/>
        </w:rPr>
        <w:t>的投标人为中标单位。</w:t>
      </w:r>
    </w:p>
    <w:p w14:paraId="10579C8F">
      <w:pPr>
        <w:pStyle w:val="7"/>
        <w:numPr>
          <w:ilvl w:val="0"/>
          <w:numId w:val="1"/>
        </w:numPr>
        <w:spacing w:line="440" w:lineRule="exact"/>
        <w:ind w:firstLineChars="0"/>
        <w:rPr>
          <w:rFonts w:ascii="宋体" w:hAnsi="宋体"/>
          <w:b/>
          <w:szCs w:val="21"/>
        </w:rPr>
      </w:pPr>
      <w:r>
        <w:rPr>
          <w:b/>
          <w:szCs w:val="21"/>
        </w:rPr>
        <w:t>最低价法</w:t>
      </w:r>
    </w:p>
    <w:p w14:paraId="1FC4CD2A">
      <w:pPr>
        <w:spacing w:line="44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14:paraId="44169827">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727372DD">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6828D2CF">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09B15E96">
      <w:pPr>
        <w:spacing w:line="440" w:lineRule="exact"/>
        <w:ind w:firstLine="422" w:firstLineChars="200"/>
        <w:rPr>
          <w:rFonts w:ascii="Calibri" w:hAnsi="Calibri"/>
          <w:b/>
          <w:szCs w:val="21"/>
        </w:rPr>
      </w:pPr>
      <w:r>
        <w:rPr>
          <w:rFonts w:hint="eastAsia" w:ascii="宋体" w:hAnsi="宋体"/>
          <w:b/>
          <w:szCs w:val="21"/>
        </w:rPr>
        <w:t>2、</w:t>
      </w:r>
      <w:r>
        <w:rPr>
          <w:rFonts w:ascii="Calibri" w:hAnsi="宋体"/>
          <w:b/>
          <w:szCs w:val="21"/>
        </w:rPr>
        <w:t>中标</w:t>
      </w:r>
      <w:r>
        <w:rPr>
          <w:rFonts w:hint="eastAsia" w:ascii="Calibri" w:hAnsi="宋体"/>
          <w:b/>
          <w:szCs w:val="21"/>
        </w:rPr>
        <w:t>单位</w:t>
      </w:r>
      <w:r>
        <w:rPr>
          <w:rFonts w:ascii="Calibri" w:hAnsi="宋体"/>
          <w:b/>
          <w:szCs w:val="21"/>
        </w:rPr>
        <w:t>的确定</w:t>
      </w:r>
    </w:p>
    <w:p w14:paraId="01ED0FFF">
      <w:pPr>
        <w:spacing w:line="440" w:lineRule="exact"/>
        <w:ind w:firstLine="422" w:firstLineChars="200"/>
        <w:rPr>
          <w:rFonts w:ascii="宋体" w:hAnsi="宋体"/>
          <w:b/>
          <w:szCs w:val="21"/>
        </w:rPr>
      </w:pPr>
      <w:r>
        <w:rPr>
          <w:rFonts w:ascii="宋体" w:hAnsi="宋体"/>
          <w:b/>
          <w:szCs w:val="21"/>
        </w:rPr>
        <w:t>2</w:t>
      </w:r>
      <w:r>
        <w:rPr>
          <w:rFonts w:hint="eastAsia" w:ascii="宋体" w:hAnsi="宋体"/>
          <w:b/>
          <w:szCs w:val="21"/>
        </w:rPr>
        <w:t xml:space="preserve">.1  </w:t>
      </w:r>
      <w:r>
        <w:rPr>
          <w:rFonts w:hint="eastAsia" w:ascii="宋体" w:hAnsi="宋体"/>
          <w:b/>
          <w:bCs/>
          <w:szCs w:val="21"/>
        </w:rPr>
        <w:t>候选中标供应商推荐</w:t>
      </w:r>
    </w:p>
    <w:p w14:paraId="0CEDE84E">
      <w:pPr>
        <w:spacing w:line="440" w:lineRule="exact"/>
        <w:ind w:firstLine="435"/>
        <w:rPr>
          <w:rFonts w:ascii="宋体" w:hAnsi="宋体"/>
          <w:szCs w:val="21"/>
        </w:rPr>
      </w:pPr>
      <w:r>
        <w:rPr>
          <w:rFonts w:hint="eastAsia" w:ascii="宋体" w:hAnsi="宋体"/>
          <w:szCs w:val="21"/>
        </w:rPr>
        <w:t>（1）</w:t>
      </w:r>
      <w:r>
        <w:rPr>
          <w:rFonts w:ascii="宋体" w:hAnsi="宋体"/>
          <w:szCs w:val="21"/>
        </w:rPr>
        <w:t>评标委员会对通过上述检查且最终报价不超过预算控制金额</w:t>
      </w:r>
      <w:r>
        <w:rPr>
          <w:rFonts w:hint="eastAsia" w:ascii="宋体" w:hAnsi="宋体"/>
          <w:szCs w:val="21"/>
        </w:rPr>
        <w:t>的投标单位进行审查，并</w:t>
      </w:r>
      <w:r>
        <w:rPr>
          <w:rFonts w:ascii="Calibri" w:hAnsi="宋体"/>
          <w:szCs w:val="21"/>
        </w:rPr>
        <w:t>按投标报价由低到高</w:t>
      </w:r>
      <w:r>
        <w:rPr>
          <w:rFonts w:hint="eastAsia" w:ascii="Calibri" w:hAnsi="宋体"/>
          <w:szCs w:val="21"/>
        </w:rPr>
        <w:t>排序；</w:t>
      </w:r>
      <w:r>
        <w:rPr>
          <w:rFonts w:ascii="Calibri" w:hAnsi="宋体"/>
          <w:szCs w:val="21"/>
        </w:rPr>
        <w:t>投标报价相同的，按技术指标优劣顺序排列</w:t>
      </w:r>
      <w:r>
        <w:rPr>
          <w:rFonts w:hint="eastAsia" w:ascii="Calibri" w:hAnsi="宋体"/>
          <w:szCs w:val="21"/>
        </w:rPr>
        <w:t>；技术指标仍然相同的，则采用抽签方式确定排序，</w:t>
      </w:r>
      <w:r>
        <w:rPr>
          <w:rFonts w:hint="eastAsia" w:asciiTheme="minorEastAsia" w:hAnsiTheme="minorEastAsia" w:eastAsiaTheme="minorEastAsia"/>
          <w:szCs w:val="21"/>
        </w:rPr>
        <w:t>具体操作办法及流程由评标委员会确定</w:t>
      </w:r>
      <w:r>
        <w:rPr>
          <w:rFonts w:ascii="Calibri" w:hAnsi="宋体"/>
          <w:szCs w:val="21"/>
        </w:rPr>
        <w:t>。</w:t>
      </w:r>
      <w:r>
        <w:rPr>
          <w:rFonts w:hint="eastAsia" w:ascii="宋体" w:hAnsi="宋体"/>
          <w:szCs w:val="21"/>
        </w:rPr>
        <w:t>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14:paraId="31A504AD">
      <w:pPr>
        <w:spacing w:line="440" w:lineRule="exact"/>
        <w:ind w:firstLine="435"/>
        <w:rPr>
          <w:rFonts w:ascii="宋体" w:hAnsi="宋体"/>
          <w:b/>
          <w:bCs/>
          <w:color w:val="FF00FF"/>
          <w:szCs w:val="21"/>
        </w:rPr>
      </w:pPr>
      <w:r>
        <w:rPr>
          <w:rFonts w:hint="eastAsia" w:ascii="宋体" w:hAnsi="宋体"/>
          <w:bCs/>
          <w:szCs w:val="21"/>
        </w:rPr>
        <w:t>（2）评标委员会按照上述投标</w:t>
      </w:r>
      <w:r>
        <w:rPr>
          <w:rFonts w:ascii="宋体" w:hAnsi="宋体"/>
          <w:bCs/>
          <w:szCs w:val="21"/>
        </w:rPr>
        <w:t>报价的</w:t>
      </w:r>
      <w:r>
        <w:rPr>
          <w:rFonts w:hint="eastAsia" w:ascii="宋体" w:hAnsi="宋体"/>
          <w:bCs/>
          <w:szCs w:val="21"/>
        </w:rPr>
        <w:t>排序结果推荐中标候选供应商，</w:t>
      </w:r>
      <w:r>
        <w:rPr>
          <w:rFonts w:hint="eastAsia" w:ascii="宋体" w:hAnsi="宋体"/>
          <w:szCs w:val="21"/>
        </w:rPr>
        <w:t>排名前三的投标单位</w:t>
      </w:r>
      <w:r>
        <w:rPr>
          <w:rFonts w:hint="eastAsia" w:ascii="宋体" w:hAnsi="宋体"/>
          <w:bCs/>
          <w:szCs w:val="21"/>
        </w:rPr>
        <w:t>作为推荐的候选中标供应商。</w:t>
      </w:r>
    </w:p>
    <w:p w14:paraId="3F7BD5F9">
      <w:pPr>
        <w:spacing w:line="440" w:lineRule="exact"/>
        <w:ind w:firstLine="435"/>
        <w:rPr>
          <w:rFonts w:ascii="宋体" w:hAnsi="宋体"/>
          <w:b/>
          <w:szCs w:val="21"/>
        </w:rPr>
      </w:pPr>
      <w:r>
        <w:rPr>
          <w:rFonts w:hint="eastAsia" w:ascii="宋体" w:hAnsi="宋体"/>
          <w:b/>
          <w:szCs w:val="21"/>
        </w:rPr>
        <w:t>2</w:t>
      </w:r>
      <w:r>
        <w:rPr>
          <w:rFonts w:ascii="宋体" w:hAnsi="宋体"/>
          <w:b/>
          <w:szCs w:val="21"/>
        </w:rPr>
        <w:t xml:space="preserve">.2  </w:t>
      </w:r>
      <w:r>
        <w:rPr>
          <w:rFonts w:hint="eastAsia" w:ascii="宋体" w:hAnsi="宋体"/>
          <w:b/>
          <w:szCs w:val="21"/>
        </w:rPr>
        <w:t>定标</w:t>
      </w:r>
    </w:p>
    <w:p w14:paraId="0727BD19">
      <w:pPr>
        <w:spacing w:line="440" w:lineRule="exact"/>
        <w:ind w:firstLine="435"/>
        <w:rPr>
          <w:rFonts w:ascii="宋体" w:hAnsi="宋体"/>
          <w:szCs w:val="21"/>
        </w:rPr>
      </w:pPr>
      <w:r>
        <w:rPr>
          <w:rFonts w:ascii="宋体" w:hAnsi="宋体"/>
          <w:szCs w:val="21"/>
        </w:rPr>
        <w:t>采购方授权评标委员会确定中标单位，</w:t>
      </w:r>
      <w:r>
        <w:rPr>
          <w:rFonts w:hint="eastAsia" w:ascii="宋体" w:hAnsi="宋体"/>
          <w:szCs w:val="21"/>
        </w:rPr>
        <w:t>确定</w:t>
      </w:r>
      <w:r>
        <w:rPr>
          <w:rFonts w:ascii="宋体" w:hAnsi="宋体"/>
          <w:szCs w:val="21"/>
        </w:rPr>
        <w:t>投标</w:t>
      </w:r>
      <w:r>
        <w:rPr>
          <w:rFonts w:hint="eastAsia" w:ascii="宋体" w:hAnsi="宋体"/>
          <w:szCs w:val="21"/>
        </w:rPr>
        <w:t>报价</w:t>
      </w:r>
      <w:r>
        <w:rPr>
          <w:rFonts w:ascii="宋体" w:hAnsi="宋体"/>
          <w:szCs w:val="21"/>
        </w:rPr>
        <w:t>最低</w:t>
      </w:r>
      <w:r>
        <w:rPr>
          <w:rFonts w:hint="eastAsia" w:ascii="宋体" w:hAnsi="宋体"/>
          <w:szCs w:val="21"/>
        </w:rPr>
        <w:t>且</w:t>
      </w:r>
      <w:r>
        <w:rPr>
          <w:rFonts w:ascii="宋体" w:hAnsi="宋体"/>
          <w:szCs w:val="21"/>
        </w:rPr>
        <w:t>排名第一的投标供应商为中标</w:t>
      </w:r>
      <w:r>
        <w:rPr>
          <w:rFonts w:hint="eastAsia" w:ascii="宋体" w:hAnsi="宋体"/>
          <w:szCs w:val="21"/>
        </w:rPr>
        <w:t>单位。</w:t>
      </w:r>
    </w:p>
    <w:p w14:paraId="7B4929B6">
      <w:pPr>
        <w:spacing w:line="440" w:lineRule="exact"/>
        <w:ind w:firstLine="422" w:firstLineChars="200"/>
        <w:rPr>
          <w:b/>
        </w:rPr>
      </w:pPr>
      <w:r>
        <w:rPr>
          <w:rFonts w:hint="eastAsia"/>
          <w:b/>
        </w:rPr>
        <w:t>（二）评标和定标分离的方式</w:t>
      </w:r>
    </w:p>
    <w:p w14:paraId="1B78C3A4">
      <w:pPr>
        <w:spacing w:line="44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14:paraId="44B8DD67">
      <w:pPr>
        <w:spacing w:line="440" w:lineRule="exact"/>
        <w:ind w:firstLine="420" w:firstLineChars="200"/>
        <w:rPr>
          <w:rFonts w:ascii="宋体" w:hAnsi="宋体"/>
          <w:bCs/>
          <w:szCs w:val="21"/>
        </w:rPr>
      </w:pPr>
      <w:r>
        <w:rPr>
          <w:rFonts w:hint="eastAsia" w:ascii="宋体" w:hAnsi="宋体"/>
          <w:bCs/>
          <w:szCs w:val="21"/>
        </w:rPr>
        <w:t>（1）</w:t>
      </w:r>
      <w:r>
        <w:rPr>
          <w:rFonts w:ascii="宋体" w:hAnsi="宋体"/>
          <w:bCs/>
          <w:szCs w:val="21"/>
        </w:rPr>
        <w:t>评标委员会根据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w:t>
      </w:r>
      <w:r>
        <w:rPr>
          <w:rFonts w:ascii="宋体" w:hAnsi="宋体"/>
          <w:bCs/>
          <w:szCs w:val="21"/>
        </w:rPr>
        <w:t>投标</w:t>
      </w:r>
      <w:r>
        <w:rPr>
          <w:rFonts w:hint="eastAsia" w:ascii="宋体" w:hAnsi="宋体"/>
          <w:bCs/>
          <w:szCs w:val="21"/>
        </w:rPr>
        <w:t>文件</w:t>
      </w:r>
      <w:r>
        <w:rPr>
          <w:rFonts w:ascii="宋体" w:hAnsi="宋体"/>
          <w:bCs/>
          <w:szCs w:val="21"/>
        </w:rPr>
        <w:t>进行</w:t>
      </w:r>
      <w:r>
        <w:rPr>
          <w:rFonts w:hint="eastAsia" w:ascii="宋体" w:hAnsi="宋体"/>
          <w:bCs/>
          <w:szCs w:val="21"/>
        </w:rPr>
        <w:t>审</w:t>
      </w:r>
      <w:r>
        <w:rPr>
          <w:rFonts w:ascii="宋体" w:hAnsi="宋体"/>
          <w:bCs/>
          <w:szCs w:val="21"/>
        </w:rPr>
        <w:t>查。</w:t>
      </w:r>
    </w:p>
    <w:p w14:paraId="1332E916">
      <w:pPr>
        <w:spacing w:line="440" w:lineRule="exact"/>
        <w:ind w:firstLine="420" w:firstLineChars="200"/>
        <w:rPr>
          <w:rFonts w:ascii="宋体" w:hAnsi="宋体"/>
          <w:bCs/>
          <w:szCs w:val="21"/>
        </w:rPr>
      </w:pPr>
      <w:r>
        <w:rPr>
          <w:rFonts w:hint="eastAsia" w:ascii="宋体" w:hAnsi="宋体"/>
          <w:bCs/>
          <w:szCs w:val="21"/>
        </w:rPr>
        <w:t>（2）</w:t>
      </w:r>
      <w:r>
        <w:rPr>
          <w:rFonts w:ascii="宋体" w:hAnsi="宋体"/>
          <w:bCs/>
          <w:szCs w:val="21"/>
        </w:rPr>
        <w:t>符合性检查的对象是投标人提交的投标文件，评标委员会只就投标文件中所载明的情况进行</w:t>
      </w:r>
      <w:r>
        <w:rPr>
          <w:rFonts w:hint="eastAsia" w:ascii="宋体" w:hAnsi="宋体"/>
          <w:bCs/>
          <w:szCs w:val="21"/>
        </w:rPr>
        <w:t>审</w:t>
      </w:r>
      <w:r>
        <w:rPr>
          <w:rFonts w:ascii="宋体" w:hAnsi="宋体"/>
          <w:bCs/>
          <w:szCs w:val="21"/>
        </w:rPr>
        <w:t>查。</w:t>
      </w:r>
    </w:p>
    <w:p w14:paraId="3A6DC2EB">
      <w:pPr>
        <w:spacing w:line="440" w:lineRule="exact"/>
        <w:ind w:firstLine="420" w:firstLineChars="200"/>
        <w:rPr>
          <w:rFonts w:ascii="Calibri" w:hAnsi="Calibri"/>
          <w:szCs w:val="21"/>
        </w:rPr>
      </w:pPr>
      <w:r>
        <w:rPr>
          <w:rFonts w:hint="eastAsia" w:ascii="宋体" w:hAnsi="宋体"/>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14:paraId="33616437">
      <w:pPr>
        <w:spacing w:line="440" w:lineRule="exact"/>
        <w:ind w:firstLine="422" w:firstLineChars="200"/>
        <w:rPr>
          <w:rFonts w:ascii="宋体" w:hAnsi="宋体"/>
          <w:b/>
          <w:szCs w:val="21"/>
        </w:rPr>
      </w:pPr>
      <w:r>
        <w:rPr>
          <w:rFonts w:hint="eastAsia" w:ascii="宋体" w:hAnsi="宋体"/>
          <w:b/>
          <w:szCs w:val="21"/>
        </w:rPr>
        <w:t>2、</w:t>
      </w:r>
      <w:r>
        <w:rPr>
          <w:rFonts w:ascii="宋体" w:hAnsi="宋体"/>
          <w:b/>
          <w:szCs w:val="21"/>
        </w:rPr>
        <w:t>商务</w:t>
      </w:r>
      <w:r>
        <w:rPr>
          <w:rFonts w:hint="eastAsia" w:ascii="宋体" w:hAnsi="宋体"/>
          <w:b/>
          <w:szCs w:val="21"/>
        </w:rPr>
        <w:t>、</w:t>
      </w:r>
      <w:r>
        <w:rPr>
          <w:rFonts w:ascii="宋体" w:hAnsi="宋体"/>
          <w:b/>
          <w:szCs w:val="21"/>
        </w:rPr>
        <w:t>技术及价格评议</w:t>
      </w:r>
    </w:p>
    <w:p w14:paraId="22179FC4">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评标委员会根据《</w:t>
      </w:r>
      <w:r>
        <w:rPr>
          <w:rFonts w:hint="eastAsia" w:ascii="宋体" w:hAnsi="宋体"/>
          <w:szCs w:val="21"/>
        </w:rPr>
        <w:t>评分表</w:t>
      </w:r>
      <w:r>
        <w:rPr>
          <w:rFonts w:ascii="宋体" w:hAnsi="宋体"/>
          <w:szCs w:val="21"/>
        </w:rPr>
        <w:t>》的内容和标准，对通过</w:t>
      </w:r>
      <w:r>
        <w:rPr>
          <w:rFonts w:hint="eastAsia" w:ascii="宋体" w:hAnsi="宋体"/>
          <w:bCs/>
          <w:szCs w:val="21"/>
        </w:rPr>
        <w:t>资格性和</w:t>
      </w:r>
      <w:r>
        <w:rPr>
          <w:rFonts w:ascii="宋体" w:hAnsi="宋体"/>
          <w:bCs/>
          <w:szCs w:val="21"/>
        </w:rPr>
        <w:t>符合性</w:t>
      </w:r>
      <w:r>
        <w:rPr>
          <w:rFonts w:ascii="宋体" w:hAnsi="宋体"/>
          <w:szCs w:val="21"/>
        </w:rPr>
        <w:t>检查的投标进行商务</w:t>
      </w:r>
      <w:r>
        <w:rPr>
          <w:rFonts w:hint="eastAsia" w:ascii="宋体" w:hAnsi="宋体"/>
          <w:szCs w:val="21"/>
        </w:rPr>
        <w:t>、</w:t>
      </w:r>
      <w:r>
        <w:rPr>
          <w:rFonts w:ascii="宋体" w:hAnsi="宋体"/>
          <w:szCs w:val="21"/>
        </w:rPr>
        <w:t>技术</w:t>
      </w:r>
      <w:r>
        <w:rPr>
          <w:rFonts w:hint="eastAsia" w:ascii="宋体" w:hAnsi="宋体"/>
          <w:szCs w:val="21"/>
        </w:rPr>
        <w:t>及价格</w:t>
      </w:r>
      <w:r>
        <w:rPr>
          <w:rFonts w:ascii="宋体" w:hAnsi="宋体"/>
          <w:szCs w:val="21"/>
        </w:rPr>
        <w:t>评议。</w:t>
      </w:r>
    </w:p>
    <w:p w14:paraId="016DD162">
      <w:pPr>
        <w:spacing w:line="440" w:lineRule="exact"/>
        <w:ind w:firstLine="420" w:firstLineChars="200"/>
        <w:rPr>
          <w:rFonts w:ascii="Calibri" w:hAnsi="Calibri"/>
          <w:szCs w:val="21"/>
        </w:rPr>
      </w:pPr>
      <w:r>
        <w:rPr>
          <w:rFonts w:hint="eastAsia" w:ascii="宋体" w:hAnsi="宋体"/>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w:t>
      </w:r>
      <w:r>
        <w:rPr>
          <w:rFonts w:hint="eastAsia" w:ascii="Calibri" w:hAnsi="宋体"/>
          <w:szCs w:val="21"/>
        </w:rPr>
        <w:t>；</w:t>
      </w:r>
      <w:r>
        <w:rPr>
          <w:rFonts w:ascii="Calibri" w:hAnsi="宋体"/>
          <w:szCs w:val="21"/>
        </w:rPr>
        <w:t>评标委员会成员将按照《</w:t>
      </w:r>
      <w:r>
        <w:rPr>
          <w:rFonts w:hint="eastAsia" w:ascii="Calibri" w:hAnsi="宋体"/>
          <w:szCs w:val="21"/>
        </w:rPr>
        <w:t>评分表</w:t>
      </w:r>
      <w:r>
        <w:rPr>
          <w:rFonts w:ascii="Calibri" w:hAnsi="宋体"/>
          <w:szCs w:val="21"/>
        </w:rPr>
        <w:t>》确定的</w:t>
      </w:r>
      <w:r>
        <w:rPr>
          <w:rFonts w:hint="eastAsia" w:ascii="Calibri" w:hAnsi="宋体"/>
          <w:szCs w:val="21"/>
        </w:rPr>
        <w:t>分值</w:t>
      </w:r>
      <w:r>
        <w:rPr>
          <w:rFonts w:ascii="Calibri" w:hAnsi="宋体"/>
          <w:szCs w:val="21"/>
        </w:rPr>
        <w:t>独立对每个投标的商务</w:t>
      </w:r>
      <w:r>
        <w:rPr>
          <w:rFonts w:hint="eastAsia" w:ascii="Calibri" w:hAnsi="宋体"/>
          <w:szCs w:val="21"/>
        </w:rPr>
        <w:t>、</w:t>
      </w:r>
      <w:r>
        <w:rPr>
          <w:rFonts w:ascii="Calibri" w:hAnsi="宋体"/>
          <w:szCs w:val="21"/>
        </w:rPr>
        <w:t>技术</w:t>
      </w:r>
      <w:r>
        <w:rPr>
          <w:rFonts w:hint="eastAsia" w:ascii="Calibri" w:hAnsi="宋体"/>
          <w:szCs w:val="21"/>
        </w:rPr>
        <w:t>及价格</w:t>
      </w:r>
      <w:r>
        <w:rPr>
          <w:rFonts w:ascii="Calibri" w:hAnsi="宋体"/>
          <w:szCs w:val="21"/>
        </w:rPr>
        <w:t>部分以打分的方式进行评议。</w:t>
      </w:r>
    </w:p>
    <w:p w14:paraId="670A2598">
      <w:pPr>
        <w:spacing w:line="440" w:lineRule="exact"/>
        <w:ind w:firstLine="422" w:firstLineChars="200"/>
        <w:rPr>
          <w:rFonts w:ascii="Calibri" w:hAnsi="Calibri"/>
          <w:b/>
          <w:szCs w:val="21"/>
        </w:rPr>
      </w:pPr>
      <w:r>
        <w:rPr>
          <w:rFonts w:hint="eastAsia" w:ascii="宋体" w:hAnsi="宋体"/>
          <w:b/>
          <w:szCs w:val="21"/>
        </w:rPr>
        <w:t>3、</w:t>
      </w:r>
      <w:r>
        <w:rPr>
          <w:rFonts w:ascii="Calibri" w:hAnsi="宋体"/>
          <w:b/>
          <w:szCs w:val="21"/>
        </w:rPr>
        <w:t>中标</w:t>
      </w:r>
      <w:r>
        <w:rPr>
          <w:rFonts w:hint="eastAsia" w:ascii="Calibri" w:hAnsi="宋体"/>
          <w:b/>
          <w:szCs w:val="21"/>
        </w:rPr>
        <w:t>单位</w:t>
      </w:r>
      <w:r>
        <w:rPr>
          <w:rFonts w:ascii="Calibri" w:hAnsi="宋体"/>
          <w:b/>
          <w:szCs w:val="21"/>
        </w:rPr>
        <w:t>的确定</w:t>
      </w:r>
    </w:p>
    <w:p w14:paraId="46756297">
      <w:pPr>
        <w:spacing w:line="440" w:lineRule="exact"/>
        <w:ind w:firstLine="422" w:firstLineChars="200"/>
        <w:rPr>
          <w:rFonts w:ascii="宋体" w:hAnsi="宋体"/>
          <w:b/>
          <w:szCs w:val="21"/>
        </w:rPr>
      </w:pPr>
      <w:r>
        <w:rPr>
          <w:rFonts w:hint="eastAsia" w:ascii="宋体" w:hAnsi="宋体"/>
          <w:b/>
          <w:szCs w:val="21"/>
        </w:rPr>
        <w:t xml:space="preserve">3.1  </w:t>
      </w:r>
      <w:r>
        <w:rPr>
          <w:rFonts w:hint="eastAsia" w:ascii="宋体" w:hAnsi="宋体"/>
          <w:b/>
          <w:bCs/>
          <w:szCs w:val="21"/>
        </w:rPr>
        <w:t>候选中标供应商推荐</w:t>
      </w:r>
    </w:p>
    <w:p w14:paraId="5BF5E626">
      <w:pPr>
        <w:spacing w:line="440" w:lineRule="exact"/>
        <w:ind w:firstLine="420" w:firstLineChars="200"/>
        <w:rPr>
          <w:rFonts w:ascii="宋体" w:hAnsi="宋体"/>
          <w:bCs/>
          <w:szCs w:val="21"/>
        </w:rPr>
      </w:pPr>
      <w:r>
        <w:rPr>
          <w:rFonts w:hint="eastAsia" w:ascii="宋体" w:hAnsi="宋体"/>
          <w:bCs/>
          <w:szCs w:val="21"/>
        </w:rPr>
        <w:t>（1）每个投标单位的评标总得分以</w:t>
      </w:r>
      <w:r>
        <w:rPr>
          <w:rFonts w:hint="eastAsia" w:ascii="宋体" w:hAnsi="宋体"/>
          <w:szCs w:val="21"/>
        </w:rPr>
        <w:t>所有评标委员会成员的独立评分汇总</w:t>
      </w:r>
      <w:r>
        <w:rPr>
          <w:rFonts w:hint="eastAsia" w:ascii="宋体" w:hAnsi="宋体"/>
          <w:bCs/>
          <w:szCs w:val="21"/>
        </w:rPr>
        <w:t>后确定，</w:t>
      </w:r>
      <w:r>
        <w:rPr>
          <w:rFonts w:ascii="宋体" w:hAnsi="宋体"/>
          <w:bCs/>
          <w:szCs w:val="21"/>
        </w:rPr>
        <w:t>评标总得分相同的，按投标报价由低到高顺序排列；评标总得分且投标报价相同的，按技术指标</w:t>
      </w:r>
      <w:r>
        <w:rPr>
          <w:rFonts w:hint="eastAsia" w:ascii="宋体" w:hAnsi="宋体"/>
          <w:bCs/>
          <w:szCs w:val="21"/>
        </w:rPr>
        <w:t>（技术部分）</w:t>
      </w:r>
      <w:r>
        <w:rPr>
          <w:rFonts w:ascii="宋体" w:hAnsi="宋体"/>
          <w:bCs/>
          <w:szCs w:val="21"/>
        </w:rPr>
        <w:t>得分优劣顺序排列</w:t>
      </w:r>
      <w:r>
        <w:rPr>
          <w:rFonts w:hint="eastAsia" w:ascii="Calibri" w:hAnsi="宋体"/>
          <w:szCs w:val="21"/>
        </w:rPr>
        <w:t>；如</w:t>
      </w:r>
      <w:r>
        <w:rPr>
          <w:rFonts w:ascii="Calibri" w:hAnsi="宋体"/>
          <w:szCs w:val="21"/>
        </w:rPr>
        <w:t>技术指标</w:t>
      </w:r>
      <w:r>
        <w:rPr>
          <w:rFonts w:hint="eastAsia" w:ascii="Calibri" w:hAnsi="宋体"/>
          <w:szCs w:val="21"/>
        </w:rPr>
        <w:t>（技术部分）</w:t>
      </w:r>
      <w:r>
        <w:rPr>
          <w:rFonts w:ascii="Calibri" w:hAnsi="宋体"/>
          <w:szCs w:val="21"/>
        </w:rPr>
        <w:t>得分</w:t>
      </w:r>
      <w:r>
        <w:rPr>
          <w:rFonts w:hint="eastAsia" w:ascii="Calibri" w:hAnsi="宋体"/>
          <w:szCs w:val="21"/>
        </w:rPr>
        <w:t>仍然相同的，则采用抽签方式确定排序，</w:t>
      </w:r>
      <w:r>
        <w:rPr>
          <w:rFonts w:hint="eastAsia" w:asciiTheme="minorEastAsia" w:hAnsiTheme="minorEastAsia" w:eastAsiaTheme="minorEastAsia"/>
          <w:szCs w:val="21"/>
        </w:rPr>
        <w:t>具体操作办法及流程由评标委员会确定</w:t>
      </w:r>
      <w:r>
        <w:rPr>
          <w:rFonts w:ascii="宋体" w:hAnsi="宋体"/>
          <w:bCs/>
          <w:szCs w:val="21"/>
        </w:rPr>
        <w:t>。</w:t>
      </w:r>
    </w:p>
    <w:p w14:paraId="5EF8E4EF">
      <w:pPr>
        <w:spacing w:line="440" w:lineRule="exact"/>
        <w:ind w:firstLine="420" w:firstLineChars="200"/>
        <w:rPr>
          <w:szCs w:val="21"/>
        </w:rPr>
      </w:pPr>
      <w:r>
        <w:rPr>
          <w:rFonts w:hint="eastAsia" w:ascii="宋体" w:hAnsi="宋体"/>
          <w:bCs/>
          <w:szCs w:val="21"/>
        </w:rPr>
        <w:t>（2）评标委员会按照综合评分的排名结果推荐中标候选供应商，</w:t>
      </w:r>
      <w:r>
        <w:rPr>
          <w:rFonts w:hint="eastAsia" w:ascii="宋体" w:hAnsi="宋体"/>
          <w:szCs w:val="21"/>
        </w:rPr>
        <w:t>排名前三的投标单位</w:t>
      </w:r>
      <w:r>
        <w:rPr>
          <w:rFonts w:hint="eastAsia" w:ascii="宋体" w:hAnsi="宋体"/>
          <w:bCs/>
          <w:szCs w:val="21"/>
        </w:rPr>
        <w:t>作为推荐的候选中标供应商（排名不分先后）。</w:t>
      </w:r>
    </w:p>
    <w:p w14:paraId="247F45F9">
      <w:pPr>
        <w:spacing w:line="440" w:lineRule="exact"/>
        <w:ind w:firstLine="422" w:firstLineChars="200"/>
        <w:rPr>
          <w:rFonts w:ascii="宋体" w:hAnsi="宋体"/>
          <w:b/>
          <w:bCs/>
          <w:szCs w:val="21"/>
        </w:rPr>
      </w:pPr>
      <w:r>
        <w:rPr>
          <w:rFonts w:hint="eastAsia" w:ascii="宋体" w:hAnsi="宋体"/>
          <w:b/>
          <w:bCs/>
          <w:szCs w:val="21"/>
        </w:rPr>
        <w:t>3.2  定标</w:t>
      </w:r>
    </w:p>
    <w:p w14:paraId="0496E2CC">
      <w:pPr>
        <w:spacing w:line="440" w:lineRule="exact"/>
        <w:ind w:firstLine="420" w:firstLineChars="200"/>
        <w:rPr>
          <w:rFonts w:ascii="宋体" w:hAnsi="宋体"/>
          <w:bCs/>
          <w:szCs w:val="21"/>
        </w:rPr>
      </w:pPr>
      <w:r>
        <w:rPr>
          <w:rFonts w:hint="eastAsia" w:ascii="宋体" w:hAnsi="宋体"/>
          <w:bCs/>
          <w:szCs w:val="21"/>
        </w:rPr>
        <w:t>采购单位从评标委员会推荐的候选中标供应商中，</w:t>
      </w:r>
      <w:r>
        <w:rPr>
          <w:rFonts w:ascii="宋体" w:hAnsi="宋体"/>
          <w:bCs/>
          <w:szCs w:val="21"/>
        </w:rPr>
        <w:t>采用</w:t>
      </w:r>
      <w:r>
        <w:rPr>
          <w:rFonts w:ascii="宋体" w:hAnsi="宋体"/>
          <w:b/>
          <w:bCs/>
          <w:szCs w:val="21"/>
        </w:rPr>
        <w:t>自定法</w:t>
      </w:r>
      <w:r>
        <w:rPr>
          <w:rFonts w:hint="eastAsia" w:ascii="宋体" w:hAnsi="宋体"/>
          <w:bCs/>
          <w:szCs w:val="21"/>
        </w:rPr>
        <w:t>自行选择确定一名中标单位，具体操作程序按照《深圳市政府采购评标定标分离管理办法》要求执行。</w:t>
      </w:r>
    </w:p>
    <w:p w14:paraId="715B043C">
      <w:pPr>
        <w:spacing w:line="440" w:lineRule="exact"/>
        <w:ind w:firstLine="386" w:firstLineChars="183"/>
        <w:rPr>
          <w:rFonts w:ascii="宋体" w:hAnsi="宋体"/>
          <w:b/>
          <w:szCs w:val="21"/>
        </w:rPr>
      </w:pPr>
      <w:r>
        <w:rPr>
          <w:rFonts w:hint="eastAsia" w:ascii="宋体" w:hAnsi="宋体"/>
          <w:b/>
          <w:szCs w:val="21"/>
        </w:rPr>
        <w:t>4、质疑投诉处理：</w:t>
      </w:r>
      <w:r>
        <w:rPr>
          <w:rFonts w:hint="eastAsia" w:ascii="宋体" w:hAnsi="宋体"/>
          <w:szCs w:val="21"/>
        </w:rPr>
        <w:t>确定中标单位后出现质疑投诉的，按照以下程序进行处理：（1）中标单位因质疑、投诉等问题被取消或</w:t>
      </w:r>
      <w:r>
        <w:rPr>
          <w:rFonts w:ascii="宋体" w:hAnsi="宋体"/>
          <w:szCs w:val="21"/>
        </w:rPr>
        <w:t>放弃</w:t>
      </w:r>
      <w:r>
        <w:rPr>
          <w:rFonts w:hint="eastAsia" w:ascii="宋体" w:hAnsi="宋体"/>
          <w:szCs w:val="21"/>
        </w:rPr>
        <w:t>候选中标资格，候选</w:t>
      </w:r>
      <w:r>
        <w:rPr>
          <w:rFonts w:ascii="宋体" w:hAnsi="宋体"/>
          <w:szCs w:val="21"/>
        </w:rPr>
        <w:t>中标</w:t>
      </w:r>
      <w:r>
        <w:rPr>
          <w:rFonts w:hint="eastAsia" w:ascii="宋体" w:hAnsi="宋体"/>
          <w:szCs w:val="21"/>
        </w:rPr>
        <w:t>供应商</w:t>
      </w:r>
      <w:r>
        <w:rPr>
          <w:rFonts w:ascii="宋体" w:hAnsi="宋体"/>
          <w:szCs w:val="21"/>
        </w:rPr>
        <w:t>不再</w:t>
      </w:r>
      <w:r>
        <w:rPr>
          <w:rFonts w:hint="eastAsia" w:ascii="宋体" w:hAnsi="宋体"/>
          <w:szCs w:val="21"/>
        </w:rPr>
        <w:t>替补</w:t>
      </w:r>
      <w:r>
        <w:rPr>
          <w:rFonts w:ascii="宋体" w:hAnsi="宋体"/>
          <w:szCs w:val="21"/>
        </w:rPr>
        <w:t>，</w:t>
      </w:r>
      <w:r>
        <w:rPr>
          <w:rFonts w:hint="eastAsia" w:ascii="宋体" w:hAnsi="宋体"/>
          <w:szCs w:val="21"/>
        </w:rPr>
        <w:t>如有效</w:t>
      </w:r>
      <w:r>
        <w:rPr>
          <w:rFonts w:ascii="宋体" w:hAnsi="宋体"/>
          <w:szCs w:val="21"/>
        </w:rPr>
        <w:t>投标</w:t>
      </w:r>
      <w:r>
        <w:rPr>
          <w:rFonts w:hint="eastAsia" w:ascii="宋体" w:hAnsi="宋体"/>
          <w:szCs w:val="21"/>
        </w:rPr>
        <w:t>供应商满足</w:t>
      </w:r>
      <w:r>
        <w:rPr>
          <w:rFonts w:ascii="宋体" w:hAnsi="宋体"/>
          <w:szCs w:val="21"/>
        </w:rPr>
        <w:t>法定数量</w:t>
      </w:r>
      <w:r>
        <w:rPr>
          <w:rFonts w:hint="eastAsia" w:ascii="宋体" w:hAnsi="宋体"/>
          <w:szCs w:val="21"/>
        </w:rPr>
        <w:t>，可按</w:t>
      </w:r>
      <w:r>
        <w:rPr>
          <w:rFonts w:ascii="宋体" w:hAnsi="宋体"/>
          <w:szCs w:val="21"/>
        </w:rPr>
        <w:t>相关规定</w:t>
      </w:r>
      <w:r>
        <w:rPr>
          <w:rFonts w:hint="eastAsia" w:ascii="宋体" w:hAnsi="宋体"/>
          <w:szCs w:val="21"/>
        </w:rPr>
        <w:t>在</w:t>
      </w:r>
      <w:r>
        <w:rPr>
          <w:rFonts w:ascii="宋体" w:hAnsi="宋体"/>
          <w:szCs w:val="21"/>
        </w:rPr>
        <w:t>其他</w:t>
      </w:r>
      <w:r>
        <w:rPr>
          <w:rFonts w:hint="eastAsia" w:ascii="宋体" w:hAnsi="宋体"/>
          <w:szCs w:val="21"/>
        </w:rPr>
        <w:t>候选</w:t>
      </w:r>
      <w:r>
        <w:rPr>
          <w:rFonts w:ascii="宋体" w:hAnsi="宋体"/>
          <w:szCs w:val="21"/>
        </w:rPr>
        <w:t>中标</w:t>
      </w:r>
      <w:r>
        <w:rPr>
          <w:rFonts w:hint="eastAsia" w:ascii="宋体" w:hAnsi="宋体"/>
          <w:szCs w:val="21"/>
        </w:rPr>
        <w:t>供应商中另行</w:t>
      </w:r>
      <w:r>
        <w:rPr>
          <w:rFonts w:ascii="宋体" w:hAnsi="宋体"/>
          <w:szCs w:val="21"/>
        </w:rPr>
        <w:t>确定中标</w:t>
      </w:r>
      <w:r>
        <w:rPr>
          <w:rFonts w:hint="eastAsia" w:ascii="宋体" w:hAnsi="宋体"/>
          <w:szCs w:val="21"/>
        </w:rPr>
        <w:t>单位</w:t>
      </w:r>
      <w:r>
        <w:rPr>
          <w:rFonts w:ascii="宋体" w:hAnsi="宋体"/>
          <w:szCs w:val="21"/>
        </w:rPr>
        <w:t>，或者</w:t>
      </w:r>
      <w:r>
        <w:rPr>
          <w:rFonts w:hint="eastAsia" w:ascii="宋体" w:hAnsi="宋体"/>
          <w:szCs w:val="21"/>
        </w:rPr>
        <w:t>重新组织招标；（2）候选中标供应商因质疑、投诉等问题被取消候选中标资格，如有效</w:t>
      </w:r>
      <w:r>
        <w:rPr>
          <w:rFonts w:ascii="宋体" w:hAnsi="宋体"/>
          <w:szCs w:val="21"/>
        </w:rPr>
        <w:t>投标</w:t>
      </w:r>
      <w:r>
        <w:rPr>
          <w:rFonts w:hint="eastAsia" w:ascii="宋体" w:hAnsi="宋体"/>
          <w:szCs w:val="21"/>
        </w:rPr>
        <w:t>供应商满足</w:t>
      </w:r>
      <w:r>
        <w:rPr>
          <w:rFonts w:ascii="宋体" w:hAnsi="宋体"/>
          <w:szCs w:val="21"/>
        </w:rPr>
        <w:t>法定数量</w:t>
      </w:r>
      <w:r>
        <w:rPr>
          <w:rFonts w:hint="eastAsia" w:ascii="宋体" w:hAnsi="宋体"/>
          <w:szCs w:val="21"/>
        </w:rPr>
        <w:t>，则维持原中标结果；如有效</w:t>
      </w:r>
      <w:r>
        <w:rPr>
          <w:rFonts w:ascii="宋体" w:hAnsi="宋体"/>
          <w:szCs w:val="21"/>
        </w:rPr>
        <w:t>投标</w:t>
      </w:r>
      <w:r>
        <w:rPr>
          <w:rFonts w:hint="eastAsia" w:ascii="宋体" w:hAnsi="宋体"/>
          <w:szCs w:val="21"/>
        </w:rPr>
        <w:t>供应商不足</w:t>
      </w:r>
      <w:r>
        <w:rPr>
          <w:rFonts w:ascii="宋体" w:hAnsi="宋体"/>
          <w:szCs w:val="21"/>
        </w:rPr>
        <w:t>法定数量</w:t>
      </w:r>
      <w:r>
        <w:rPr>
          <w:rFonts w:hint="eastAsia" w:ascii="宋体" w:hAnsi="宋体"/>
          <w:szCs w:val="21"/>
        </w:rPr>
        <w:t>，则该项目作废标处理，重新组织招标。</w:t>
      </w:r>
    </w:p>
    <w:p w14:paraId="5C0C6C96">
      <w:pPr>
        <w:spacing w:line="360" w:lineRule="exact"/>
        <w:ind w:firstLine="384" w:firstLineChars="183"/>
        <w:rPr>
          <w:rFonts w:hAnsi="宋体"/>
          <w:szCs w:val="21"/>
          <w:shd w:val="pct10" w:color="auto" w:fill="FFFFFF"/>
        </w:rPr>
      </w:pPr>
    </w:p>
    <w:p w14:paraId="529BD3B0">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A216A"/>
    <w:multiLevelType w:val="multilevel"/>
    <w:tmpl w:val="2A8A216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265B5"/>
    <w:rsid w:val="0652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2026-03-19T07:34:00Z</dcterms:created>
  <dc:creator>深咨集团王文乐</dc:creator>
  <cp:lastModifiedBy>深咨集团王文乐</cp:lastModifiedBy>
  <dcterms:modified xsi:type="dcterms:W3CDTF">2026-03-19T07:34:16Z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F4ECAFBB7CE0477797BC5F9113ABF354_11</vt:lpwstr>
  </property>
  <property fmtid="{D5CDD505-2E9C-101B-9397-08002B2CF9AE}" pid="4" name="KSOTemplateDocerSaveRecord">
    <vt:lpwstr>eyJoZGlkIjoiMWUwNWIxZTg3YzE0MjE3OTJmNGVkZjY2MjNjZjJlNzciLCJ1c2VySWQiOiIxNDg2ODI2Mzg2In0=</vt:lpwstr>
  </property>
</Properties>
</file>