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after="0" w:line="360" w:lineRule="auto"/>
        <w:jc w:val="center"/>
        <w:rPr>
          <w:color w:val="auto"/>
        </w:rPr>
      </w:pPr>
      <w:r>
        <w:rPr>
          <w:rFonts w:hint="eastAsia"/>
          <w:color w:val="auto"/>
        </w:rPr>
        <w:t>2026-2027年市场化业务高压柜框招采购</w:t>
      </w:r>
    </w:p>
    <w:p>
      <w:pPr>
        <w:pStyle w:val="4"/>
        <w:spacing w:before="0" w:after="0" w:line="360" w:lineRule="auto"/>
        <w:jc w:val="center"/>
        <w:rPr>
          <w:color w:val="auto"/>
        </w:rPr>
      </w:pPr>
      <w:r>
        <w:rPr>
          <w:rFonts w:hint="eastAsia"/>
          <w:color w:val="auto"/>
        </w:rPr>
        <w:t>答疑补遗文件（</w:t>
      </w:r>
      <w:r>
        <w:rPr>
          <w:color w:val="auto"/>
        </w:rPr>
        <w:t>01</w:t>
      </w:r>
      <w:r>
        <w:rPr>
          <w:rFonts w:hint="eastAsia"/>
          <w:color w:val="auto"/>
        </w:rPr>
        <w:t>号）</w:t>
      </w:r>
    </w:p>
    <w:p>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各投标人</w:t>
      </w:r>
      <w:r>
        <w:rPr>
          <w:rFonts w:asciiTheme="minorEastAsia" w:hAnsiTheme="minorEastAsia" w:eastAsiaTheme="minorEastAsia"/>
          <w:b/>
          <w:color w:val="auto"/>
          <w:sz w:val="24"/>
        </w:rPr>
        <w:t>:</w:t>
      </w:r>
    </w:p>
    <w:p>
      <w:pPr>
        <w:adjustRightInd w:val="0"/>
        <w:snapToGrid w:val="0"/>
        <w:spacing w:line="540" w:lineRule="exact"/>
        <w:ind w:firstLine="480" w:firstLineChars="200"/>
        <w:rPr>
          <w:rFonts w:asciiTheme="minorEastAsia" w:hAnsiTheme="minorEastAsia" w:eastAsiaTheme="minorEastAsia"/>
          <w:b/>
          <w:color w:val="auto"/>
          <w:sz w:val="24"/>
        </w:rPr>
      </w:pPr>
      <w:r>
        <w:rPr>
          <w:rFonts w:hint="eastAsia" w:asciiTheme="minorEastAsia" w:hAnsiTheme="minorEastAsia" w:eastAsiaTheme="minorEastAsia"/>
          <w:color w:val="auto"/>
          <w:sz w:val="24"/>
        </w:rPr>
        <w:t>本答疑补遗</w:t>
      </w:r>
      <w:r>
        <w:rPr>
          <w:rFonts w:asciiTheme="minorEastAsia" w:hAnsiTheme="minorEastAsia" w:eastAsiaTheme="minorEastAsia"/>
          <w:color w:val="auto"/>
          <w:sz w:val="24"/>
        </w:rPr>
        <w:t>文件是对</w:t>
      </w:r>
      <w:r>
        <w:rPr>
          <w:rFonts w:hint="eastAsia" w:asciiTheme="minorEastAsia" w:hAnsiTheme="minorEastAsia" w:eastAsiaTheme="minorEastAsia"/>
          <w:color w:val="auto"/>
          <w:sz w:val="24"/>
        </w:rPr>
        <w:t>2026-2027年市场化业务高压柜框招采购</w:t>
      </w:r>
      <w:r>
        <w:rPr>
          <w:rFonts w:hint="eastAsia" w:asciiTheme="minorEastAsia" w:hAnsiTheme="minorEastAsia" w:eastAsiaTheme="minorEastAsia"/>
          <w:color w:val="auto"/>
          <w:sz w:val="24"/>
        </w:rPr>
        <w:t>（标段编号</w:t>
      </w:r>
      <w:r>
        <w:rPr>
          <w:rFonts w:asciiTheme="minorEastAsia" w:hAnsiTheme="minorEastAsia" w:eastAsiaTheme="minorEastAsia"/>
          <w:color w:val="auto"/>
          <w:sz w:val="24"/>
        </w:rPr>
        <w:t>：</w:t>
      </w:r>
      <w:r>
        <w:rPr>
          <w:rFonts w:asciiTheme="minorEastAsia" w:hAnsiTheme="minorEastAsia" w:eastAsiaTheme="minorEastAsia"/>
          <w:color w:val="auto"/>
          <w:sz w:val="24"/>
        </w:rPr>
        <w:t>QHPS202607004</w:t>
      </w:r>
      <w:r>
        <w:rPr>
          <w:rFonts w:hint="eastAsia" w:asciiTheme="minorEastAsia" w:hAnsiTheme="minorEastAsia" w:eastAsiaTheme="minorEastAsia"/>
          <w:color w:val="auto"/>
          <w:sz w:val="24"/>
        </w:rPr>
        <w:t>）招标</w:t>
      </w:r>
      <w:r>
        <w:rPr>
          <w:rFonts w:asciiTheme="minorEastAsia" w:hAnsiTheme="minorEastAsia" w:eastAsiaTheme="minorEastAsia"/>
          <w:color w:val="auto"/>
          <w:sz w:val="24"/>
        </w:rPr>
        <w:t>文件的补充、修改和澄清</w:t>
      </w:r>
      <w:r>
        <w:rPr>
          <w:rFonts w:hint="eastAsia" w:asciiTheme="minorEastAsia" w:hAnsiTheme="minorEastAsia" w:eastAsiaTheme="minorEastAsia"/>
          <w:color w:val="auto"/>
          <w:sz w:val="24"/>
        </w:rPr>
        <w:t>，招标文件与本答疑补遗内容不一致的，以本答疑补遗</w:t>
      </w:r>
      <w:r>
        <w:rPr>
          <w:rFonts w:asciiTheme="minorEastAsia" w:hAnsiTheme="minorEastAsia" w:eastAsiaTheme="minorEastAsia"/>
          <w:color w:val="auto"/>
          <w:sz w:val="24"/>
        </w:rPr>
        <w:t>文件</w:t>
      </w:r>
      <w:r>
        <w:rPr>
          <w:rFonts w:hint="eastAsia" w:asciiTheme="minorEastAsia" w:hAnsiTheme="minorEastAsia" w:eastAsiaTheme="minorEastAsia"/>
          <w:color w:val="auto"/>
          <w:sz w:val="24"/>
        </w:rPr>
        <w:t>为准。</w:t>
      </w:r>
    </w:p>
    <w:p>
      <w:pPr>
        <w:spacing w:line="360" w:lineRule="auto"/>
        <w:ind w:firstLine="562" w:firstLineChars="200"/>
        <w:rPr>
          <w:rFonts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答疑部分：</w:t>
      </w:r>
    </w:p>
    <w:p>
      <w:pPr>
        <w:pStyle w:val="2"/>
        <w:spacing w:after="0" w:line="360" w:lineRule="auto"/>
        <w:ind w:left="0" w:leftChars="0" w:firstLine="48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质疑1：招标文件第三节技术要求“表1 负荷开关柜（负荷开关-熔断器组合电器柜）主要技术参数表,额定短路开断电流31.5kA,接地刀闸2s短时耐受电流31.5kA,”，请问负荷开关柜额定短路开断电流是否可以按25kA响应？接地刀闸2s短时耐受电流是否可以按20kA响应？</w:t>
      </w:r>
    </w:p>
    <w:p>
      <w:pPr>
        <w:spacing w:line="360" w:lineRule="auto"/>
        <w:ind w:firstLine="480" w:firstLineChars="200"/>
        <w:rPr>
          <w:rFonts w:hint="eastAsia"/>
          <w:color w:val="0070C0"/>
          <w:sz w:val="24"/>
          <w:szCs w:val="24"/>
        </w:rPr>
      </w:pPr>
      <w:r>
        <w:rPr>
          <w:rFonts w:hint="eastAsia"/>
          <w:color w:val="0070C0"/>
          <w:sz w:val="24"/>
          <w:szCs w:val="24"/>
        </w:rPr>
        <w:t>答复：负荷开关柜额定短路开断电流可以按25kA响应，接地刀闸2s短时耐受电流可以按20kA响应。</w:t>
      </w:r>
    </w:p>
    <w:p>
      <w:pPr>
        <w:pStyle w:val="2"/>
        <w:ind w:left="0" w:leftChars="0" w:firstLine="0" w:firstLineChars="0"/>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质疑2：招标文件第三节技术要求“表2断路器柜主要技术参数表 ，额定短路开断电流31.5kA”，请问断路器额定短路开断电流是否可以按25kA响应？</w:t>
      </w:r>
    </w:p>
    <w:p>
      <w:pPr>
        <w:spacing w:line="360" w:lineRule="auto"/>
        <w:ind w:firstLine="480" w:firstLineChars="200"/>
        <w:rPr>
          <w:rFonts w:hint="eastAsia"/>
          <w:color w:val="0070C0"/>
          <w:sz w:val="24"/>
          <w:szCs w:val="24"/>
        </w:rPr>
      </w:pPr>
      <w:r>
        <w:rPr>
          <w:rFonts w:hint="eastAsia"/>
          <w:color w:val="0070C0"/>
          <w:sz w:val="24"/>
          <w:szCs w:val="24"/>
        </w:rPr>
        <w:t>答复：表2断路器额定短路开断电流可以按25kA响应。</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质疑3：请问计量柜上的计量电流互感器、计量电压互感器、计量电度表以及负荷控制终端是否由招标方提供？</w:t>
      </w:r>
    </w:p>
    <w:p>
      <w:pPr>
        <w:spacing w:line="360" w:lineRule="auto"/>
        <w:ind w:firstLine="480" w:firstLineChars="200"/>
        <w:rPr>
          <w:color w:val="4F81BD" w:themeColor="accent1"/>
          <w:sz w:val="24"/>
          <w14:textFill>
            <w14:solidFill>
              <w14:schemeClr w14:val="accent1"/>
            </w14:solidFill>
          </w14:textFill>
        </w:rPr>
      </w:pPr>
      <w:r>
        <w:rPr>
          <w:rFonts w:hint="eastAsia"/>
          <w:color w:val="0070C0"/>
          <w:sz w:val="24"/>
          <w:szCs w:val="24"/>
        </w:rPr>
        <w:t>答复：由实际下单项目图纸当地供电局提供，高压柜厂家负责安装。</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4：招标文件10/20中置式开关柜技术规范要求：9）开关柜必须配置全套肘型或T型电缆终端(含终端安装准备件)，并配置母线扩展接头。电缆接线端子应配置绝缘保护帽，确保开关柜在未安装电缆终端头、带电运行的情况下保持相间、相对地绝缘，并防尘、防潮，防护等级不低于IP67. ，此项要求应该是SF6气体绝缘开关柜的要求，中置式开关柜是否忽略？</w:t>
      </w:r>
    </w:p>
    <w:p>
      <w:pPr>
        <w:spacing w:line="360" w:lineRule="auto"/>
        <w:ind w:firstLine="480" w:firstLineChars="200"/>
        <w:rPr>
          <w:rFonts w:hint="eastAsia"/>
          <w:color w:val="0070C0"/>
          <w:sz w:val="24"/>
          <w:szCs w:val="24"/>
        </w:rPr>
      </w:pPr>
      <w:r>
        <w:rPr>
          <w:rFonts w:hint="eastAsia"/>
          <w:color w:val="0070C0"/>
          <w:sz w:val="24"/>
          <w:szCs w:val="24"/>
        </w:rPr>
        <w:t>答复：中置式开关柜可以忽略，中置柜电缆终端头不在中置柜供货范围。</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质疑5：高压柜框招分项报价一览表中GY-16-2和GY-22-2数量均为一台，图纸中为2台，是否按分项报价一览表数量？</w:t>
      </w:r>
    </w:p>
    <w:p>
      <w:pPr>
        <w:spacing w:line="360" w:lineRule="auto"/>
        <w:ind w:firstLine="480" w:firstLineChars="200"/>
        <w:rPr>
          <w:rFonts w:hint="eastAsia"/>
          <w:color w:val="0070C0"/>
          <w:sz w:val="24"/>
          <w:szCs w:val="24"/>
        </w:rPr>
      </w:pPr>
      <w:r>
        <w:rPr>
          <w:rFonts w:hint="eastAsia"/>
          <w:color w:val="0070C0"/>
          <w:sz w:val="24"/>
          <w:szCs w:val="24"/>
        </w:rPr>
        <w:t>答复：按分项报价一览表数量报价。</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质疑6：G15/G21图纸中PT柜为负荷开关，中置式开关柜是否可按隔离手车设计？</w:t>
      </w:r>
    </w:p>
    <w:p>
      <w:pPr>
        <w:spacing w:line="360" w:lineRule="auto"/>
        <w:ind w:firstLine="480" w:firstLineChars="200"/>
        <w:rPr>
          <w:rFonts w:hint="eastAsia"/>
          <w:color w:val="0070C0"/>
          <w:sz w:val="24"/>
          <w:szCs w:val="24"/>
        </w:rPr>
      </w:pPr>
      <w:r>
        <w:rPr>
          <w:rFonts w:hint="eastAsia"/>
          <w:color w:val="0070C0"/>
          <w:sz w:val="24"/>
          <w:szCs w:val="24"/>
        </w:rPr>
        <w:t>答复：中置式开关柜不可以隔离手车设计，按参考图纸要求。若下单实际项目中置式PT开关柜为隔离手车设计，中置式PT开关柜可按隔离手车设计。</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质疑7：请确认10kV/20 kV中置式开关柜是否均为电缆上进上出？</w:t>
      </w:r>
    </w:p>
    <w:p>
      <w:pPr>
        <w:spacing w:line="360" w:lineRule="auto"/>
        <w:ind w:firstLine="480" w:firstLineChars="200"/>
        <w:rPr>
          <w:rFonts w:hint="eastAsia"/>
          <w:color w:val="0070C0"/>
          <w:sz w:val="24"/>
          <w:szCs w:val="24"/>
        </w:rPr>
      </w:pPr>
      <w:r>
        <w:rPr>
          <w:rFonts w:hint="eastAsia"/>
          <w:color w:val="0070C0"/>
          <w:sz w:val="24"/>
          <w:szCs w:val="24"/>
        </w:rPr>
        <w:t>答复：10kV/20 kV中置式开关柜可为电缆上进上出或下进下出，具体由实际下单项目实际图纸为准。</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质疑8：10kV中置式开关柜电流互感器无参数，是否计量按0.2S/0.2S ，其余均按0.5/10P10 15/15VA配置？进线电流按600/1，出线按150/1？</w:t>
      </w:r>
    </w:p>
    <w:p>
      <w:pPr>
        <w:spacing w:line="360" w:lineRule="auto"/>
        <w:ind w:firstLine="480" w:firstLineChars="200"/>
        <w:rPr>
          <w:rFonts w:hint="eastAsia"/>
          <w:color w:val="0070C0"/>
          <w:spacing w:val="-6"/>
          <w:sz w:val="24"/>
          <w:szCs w:val="24"/>
        </w:rPr>
      </w:pPr>
      <w:r>
        <w:rPr>
          <w:rFonts w:hint="eastAsia"/>
          <w:color w:val="0070C0"/>
          <w:sz w:val="24"/>
          <w:szCs w:val="24"/>
        </w:rPr>
        <w:t>答复：</w:t>
      </w:r>
      <w:r>
        <w:rPr>
          <w:rFonts w:hint="eastAsia"/>
          <w:color w:val="0070C0"/>
          <w:spacing w:val="-6"/>
          <w:sz w:val="24"/>
          <w:szCs w:val="24"/>
        </w:rPr>
        <w:t>10kV中置式开关柜电流互感器计量</w:t>
      </w:r>
      <w:r>
        <w:rPr>
          <w:rFonts w:hint="eastAsia"/>
          <w:color w:val="0070C0"/>
          <w:spacing w:val="-6"/>
          <w:sz w:val="24"/>
          <w:szCs w:val="24"/>
          <w:lang w:val="en-US" w:eastAsia="zh-CN"/>
        </w:rPr>
        <w:t>可</w:t>
      </w:r>
      <w:r>
        <w:rPr>
          <w:rFonts w:hint="eastAsia"/>
          <w:color w:val="0070C0"/>
          <w:spacing w:val="-6"/>
          <w:sz w:val="24"/>
          <w:szCs w:val="24"/>
        </w:rPr>
        <w:t>按0.2S/0.2S，其余均按0.5/10P10 15/15VA配置</w:t>
      </w:r>
      <w:r>
        <w:rPr>
          <w:rFonts w:hint="eastAsia"/>
          <w:color w:val="0070C0"/>
          <w:spacing w:val="-6"/>
          <w:sz w:val="24"/>
          <w:szCs w:val="24"/>
          <w:lang w:eastAsia="zh-CN"/>
        </w:rPr>
        <w:t>；</w:t>
      </w:r>
      <w:r>
        <w:rPr>
          <w:rFonts w:hint="eastAsia"/>
          <w:color w:val="0070C0"/>
          <w:spacing w:val="-6"/>
          <w:sz w:val="24"/>
          <w:szCs w:val="24"/>
        </w:rPr>
        <w:t>进线电流</w:t>
      </w:r>
      <w:r>
        <w:rPr>
          <w:rFonts w:hint="eastAsia"/>
          <w:color w:val="0070C0"/>
          <w:spacing w:val="-6"/>
          <w:sz w:val="24"/>
          <w:szCs w:val="24"/>
          <w:lang w:val="en-US" w:eastAsia="zh-CN"/>
        </w:rPr>
        <w:t>可</w:t>
      </w:r>
      <w:r>
        <w:rPr>
          <w:rFonts w:hint="eastAsia"/>
          <w:color w:val="0070C0"/>
          <w:spacing w:val="-6"/>
          <w:sz w:val="24"/>
          <w:szCs w:val="24"/>
        </w:rPr>
        <w:t>按600/1，出线</w:t>
      </w:r>
      <w:r>
        <w:rPr>
          <w:rFonts w:hint="eastAsia"/>
          <w:color w:val="0070C0"/>
          <w:spacing w:val="-6"/>
          <w:sz w:val="24"/>
          <w:szCs w:val="24"/>
          <w:lang w:val="en-US" w:eastAsia="zh-CN"/>
        </w:rPr>
        <w:t>可</w:t>
      </w:r>
      <w:r>
        <w:rPr>
          <w:rFonts w:hint="eastAsia"/>
          <w:color w:val="0070C0"/>
          <w:spacing w:val="-6"/>
          <w:sz w:val="24"/>
          <w:szCs w:val="24"/>
        </w:rPr>
        <w:t>按150/1，具体由实际下单项目实际图纸为准。</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质疑9：10kV中置式开关柜进线开关柜PT为0.2计量级，是否应该是0.5级？PT柜数量为2只？</w:t>
      </w:r>
    </w:p>
    <w:p>
      <w:pPr>
        <w:spacing w:line="360" w:lineRule="auto"/>
        <w:ind w:firstLine="480" w:firstLineChars="200"/>
        <w:rPr>
          <w:rFonts w:hint="eastAsia"/>
          <w:color w:val="0070C0"/>
          <w:sz w:val="24"/>
          <w:szCs w:val="24"/>
        </w:rPr>
      </w:pPr>
      <w:r>
        <w:rPr>
          <w:rFonts w:hint="eastAsia"/>
          <w:color w:val="0070C0"/>
          <w:sz w:val="24"/>
          <w:szCs w:val="24"/>
        </w:rPr>
        <w:t>答复：10kV中置式开关柜进线开关柜PT为0.5级，PT柜数量为2只，具体由实际下单项目实际图纸为准。</w:t>
      </w:r>
    </w:p>
    <w:p>
      <w:pPr>
        <w:pStyle w:val="2"/>
        <w:rPr>
          <w:rFonts w:hint="eastAsia"/>
        </w:rPr>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质疑10：计量互感器、计量表计及负控终端一般都是供电局提供，请问本次招标需要包含吗？</w:t>
      </w:r>
    </w:p>
    <w:p>
      <w:pPr>
        <w:spacing w:line="360" w:lineRule="auto"/>
        <w:ind w:firstLine="480" w:firstLineChars="200"/>
        <w:rPr>
          <w:rFonts w:hint="eastAsia"/>
          <w:color w:val="0070C0"/>
          <w:sz w:val="24"/>
          <w:szCs w:val="24"/>
        </w:rPr>
      </w:pPr>
      <w:r>
        <w:rPr>
          <w:rFonts w:hint="eastAsia"/>
          <w:color w:val="0070C0"/>
          <w:sz w:val="24"/>
          <w:szCs w:val="24"/>
        </w:rPr>
        <w:t>答复：不包含，由实际项目当地供电局提供。</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质疑11：中置柜常规做法是没有电缆终端，但是技术要求含，请问是否取消？</w:t>
      </w:r>
    </w:p>
    <w:p>
      <w:pPr>
        <w:spacing w:line="360" w:lineRule="auto"/>
        <w:ind w:firstLine="480" w:firstLineChars="200"/>
        <w:rPr>
          <w:rFonts w:hint="eastAsia"/>
          <w:color w:val="0070C0"/>
          <w:sz w:val="24"/>
          <w:szCs w:val="24"/>
        </w:rPr>
      </w:pPr>
      <w:r>
        <w:rPr>
          <w:rFonts w:hint="eastAsia"/>
          <w:color w:val="0070C0"/>
          <w:sz w:val="24"/>
          <w:szCs w:val="24"/>
        </w:rPr>
        <w:t>答复：取消，中置柜电缆终端头不在中置柜供货范围。</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质疑12：目前收到的资料里，没有关于DTU的技术要求。请提供DTU柜对应的技术规范书？</w:t>
      </w:r>
    </w:p>
    <w:p>
      <w:pPr>
        <w:spacing w:line="360" w:lineRule="auto"/>
        <w:ind w:firstLine="480" w:firstLineChars="200"/>
        <w:rPr>
          <w:rFonts w:hint="eastAsia"/>
          <w:color w:val="0070C0"/>
          <w:sz w:val="24"/>
          <w:szCs w:val="24"/>
        </w:rPr>
      </w:pPr>
      <w:r>
        <w:rPr>
          <w:rFonts w:hint="eastAsia"/>
          <w:color w:val="0070C0"/>
          <w:sz w:val="24"/>
          <w:szCs w:val="24"/>
        </w:rPr>
        <w:t>答复：DTU柜没有技术要求，DTU柜满足国家相关规范和供电局验收要求即可，详见参考图纸内DTU柜系统图。</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质疑13：DTU是否需满足南网的入网检测？</w:t>
      </w:r>
    </w:p>
    <w:p>
      <w:pPr>
        <w:spacing w:line="360" w:lineRule="auto"/>
        <w:ind w:firstLine="480" w:firstLineChars="200"/>
        <w:rPr>
          <w:rFonts w:hint="eastAsia"/>
          <w:color w:val="0070C0"/>
          <w:sz w:val="24"/>
          <w:szCs w:val="24"/>
        </w:rPr>
      </w:pPr>
      <w:r>
        <w:rPr>
          <w:rFonts w:hint="eastAsia"/>
          <w:color w:val="0070C0"/>
          <w:sz w:val="24"/>
          <w:szCs w:val="24"/>
        </w:rPr>
        <w:t>答复：DTU柜不需要满足南网的入网检测，DTU柜满足国家相关规范和供电局验收要求即可，详见参考图纸内DTU柜系统图。</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质疑14：清单只有高压柜及DTU柜，请问是否需要含直流屏的价格，如是请问是选用壁挂还是落地式？</w:t>
      </w:r>
      <w:bookmarkStart w:id="0" w:name="_GoBack"/>
      <w:bookmarkEnd w:id="0"/>
    </w:p>
    <w:p>
      <w:pPr>
        <w:spacing w:line="360" w:lineRule="auto"/>
        <w:ind w:firstLine="480" w:firstLineChars="200"/>
        <w:rPr>
          <w:rFonts w:hint="eastAsia"/>
          <w:color w:val="0070C0"/>
          <w:sz w:val="24"/>
          <w:szCs w:val="24"/>
        </w:rPr>
      </w:pPr>
      <w:r>
        <w:rPr>
          <w:rFonts w:hint="eastAsia"/>
          <w:color w:val="0070C0"/>
          <w:sz w:val="24"/>
          <w:szCs w:val="24"/>
        </w:rPr>
        <w:t>答复：不含直流屏，DTU柜系统图说明有表达蓄电池容量不少于24AH。</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质疑15：</w:t>
      </w:r>
      <w:r>
        <w:rPr>
          <w:rFonts w:hint="eastAsia" w:asciiTheme="minorEastAsia" w:hAnsiTheme="minorEastAsia" w:eastAsiaTheme="minorEastAsia"/>
          <w:color w:val="auto"/>
          <w:spacing w:val="-6"/>
          <w:sz w:val="24"/>
        </w:rPr>
        <w:t>招标文件内无设备及元器件品牌要求，请问是否有品牌要求？如有请提供</w:t>
      </w:r>
      <w:r>
        <w:rPr>
          <w:rFonts w:hint="eastAsia" w:asciiTheme="minorEastAsia" w:hAnsiTheme="minorEastAsia" w:eastAsiaTheme="minorEastAsia"/>
          <w:color w:val="auto"/>
          <w:spacing w:val="-6"/>
          <w:sz w:val="24"/>
          <w:lang w:eastAsia="zh-CN"/>
        </w:rPr>
        <w:t>。</w:t>
      </w:r>
    </w:p>
    <w:p>
      <w:pPr>
        <w:spacing w:line="360" w:lineRule="auto"/>
        <w:ind w:firstLine="480" w:firstLineChars="200"/>
        <w:rPr>
          <w:rFonts w:hint="eastAsia"/>
          <w:color w:val="0070C0"/>
          <w:sz w:val="24"/>
          <w:szCs w:val="24"/>
        </w:rPr>
      </w:pPr>
      <w:r>
        <w:rPr>
          <w:rFonts w:hint="eastAsia"/>
          <w:color w:val="0070C0"/>
          <w:sz w:val="24"/>
          <w:szCs w:val="24"/>
        </w:rPr>
        <w:t>答复：无品牌要求。</w:t>
      </w:r>
    </w:p>
    <w:p>
      <w:pPr>
        <w:pStyle w:val="2"/>
      </w:pPr>
    </w:p>
    <w:p>
      <w:pPr>
        <w:pStyle w:val="2"/>
        <w:spacing w:after="0" w:line="360" w:lineRule="auto"/>
        <w:ind w:left="0" w:leftChars="0" w:firstLine="480"/>
        <w:jc w:val="lef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质疑16：招标文件装订要求条款明确投标函与报价书、商务文件、技术文件、资信文件需分别独立装订成册，未列明资格文件装订要求。请确认：资格文件是否需要单独装订成册？</w:t>
      </w:r>
    </w:p>
    <w:p>
      <w:pPr>
        <w:spacing w:line="360" w:lineRule="auto"/>
        <w:ind w:firstLine="480" w:firstLineChars="200"/>
        <w:rPr>
          <w:rFonts w:hint="eastAsia"/>
          <w:color w:val="0070C0"/>
          <w:sz w:val="24"/>
          <w:szCs w:val="24"/>
          <w:lang w:val="en-US" w:eastAsia="zh-CN"/>
        </w:rPr>
      </w:pPr>
      <w:r>
        <w:rPr>
          <w:rFonts w:hint="eastAsia"/>
          <w:color w:val="0070C0"/>
          <w:sz w:val="24"/>
          <w:szCs w:val="24"/>
        </w:rPr>
        <w:t>答复：</w:t>
      </w:r>
      <w:r>
        <w:rPr>
          <w:rFonts w:hint="eastAsia"/>
          <w:color w:val="0070C0"/>
          <w:sz w:val="24"/>
          <w:szCs w:val="24"/>
          <w:lang w:val="en-US" w:eastAsia="zh-CN"/>
        </w:rPr>
        <w:t>可单独装订成册。</w:t>
      </w:r>
    </w:p>
    <w:p>
      <w:pPr>
        <w:pStyle w:val="2"/>
      </w:pPr>
    </w:p>
    <w:p>
      <w:pPr>
        <w:spacing w:line="360" w:lineRule="auto"/>
        <w:ind w:firstLine="480" w:firstLineChars="200"/>
        <w:rPr>
          <w:sz w:val="24"/>
        </w:rPr>
      </w:pPr>
      <w:r>
        <w:rPr>
          <w:sz w:val="24"/>
        </w:rPr>
        <w:t>备注：</w:t>
      </w:r>
    </w:p>
    <w:p>
      <w:pPr>
        <w:spacing w:line="360" w:lineRule="auto"/>
        <w:ind w:firstLine="480" w:firstLineChars="200"/>
        <w:rPr>
          <w:sz w:val="24"/>
        </w:rPr>
      </w:pPr>
      <w:r>
        <w:rPr>
          <w:rFonts w:hint="eastAsia"/>
          <w:sz w:val="24"/>
        </w:rPr>
        <w:t>答疑补遗文件作为招标文件的组成部分，与招标文件不一致之处，以答疑补遗文件为准。</w:t>
      </w:r>
      <w:r>
        <w:rPr>
          <w:sz w:val="24"/>
        </w:rPr>
        <w:t>若多次发出答疑补遗文件，且就同一问题相互冲突或前后矛盾的，以发出时间在后的文件为准。投标人应在招标文件规定的截标时间前随时查看有关该项目招标文件的补遗内容。否则，由此引起的投标损失自负。</w:t>
      </w:r>
    </w:p>
    <w:p>
      <w:pPr>
        <w:spacing w:line="360" w:lineRule="auto"/>
        <w:ind w:firstLine="600"/>
        <w:rPr>
          <w:sz w:val="24"/>
        </w:rPr>
      </w:pPr>
    </w:p>
    <w:p>
      <w:pPr>
        <w:pStyle w:val="2"/>
        <w:wordWrap w:val="0"/>
        <w:spacing w:line="540" w:lineRule="exact"/>
        <w:ind w:right="30" w:firstLine="0" w:firstLineChars="0"/>
        <w:jc w:val="right"/>
        <w:rPr>
          <w:rFonts w:asciiTheme="minorEastAsia" w:hAnsiTheme="minorEastAsia" w:eastAsiaTheme="minorEastAsia"/>
          <w:sz w:val="24"/>
        </w:rPr>
      </w:pPr>
    </w:p>
    <w:p>
      <w:pPr>
        <w:pStyle w:val="2"/>
        <w:wordWrap w:val="0"/>
        <w:spacing w:line="540" w:lineRule="exact"/>
        <w:ind w:right="30" w:firstLine="0" w:firstLineChars="0"/>
        <w:jc w:val="right"/>
        <w:rPr>
          <w:rFonts w:asciiTheme="minorEastAsia" w:hAnsiTheme="minorEastAsia" w:eastAsiaTheme="minorEastAsia"/>
          <w:sz w:val="24"/>
        </w:rPr>
      </w:pPr>
      <w:r>
        <w:rPr>
          <w:rFonts w:hint="eastAsia" w:asciiTheme="minorEastAsia" w:hAnsiTheme="minorEastAsia" w:eastAsiaTheme="minorEastAsia"/>
          <w:sz w:val="24"/>
        </w:rPr>
        <w:t>招</w:t>
      </w:r>
      <w:r>
        <w:rPr>
          <w:rFonts w:asciiTheme="minorEastAsia" w:hAnsiTheme="minorEastAsia" w:eastAsiaTheme="minorEastAsia"/>
          <w:sz w:val="24"/>
        </w:rPr>
        <w:t xml:space="preserve"> </w:t>
      </w:r>
      <w:r>
        <w:rPr>
          <w:rFonts w:hint="eastAsia" w:asciiTheme="minorEastAsia" w:hAnsiTheme="minorEastAsia" w:eastAsiaTheme="minorEastAsia"/>
          <w:sz w:val="24"/>
        </w:rPr>
        <w:t>标</w:t>
      </w:r>
      <w:r>
        <w:rPr>
          <w:rFonts w:asciiTheme="minorEastAsia" w:hAnsiTheme="minorEastAsia" w:eastAsiaTheme="minorEastAsia"/>
          <w:sz w:val="24"/>
        </w:rPr>
        <w:t xml:space="preserve"> </w:t>
      </w:r>
      <w:r>
        <w:rPr>
          <w:rFonts w:hint="eastAsia" w:asciiTheme="minorEastAsia" w:hAnsiTheme="minorEastAsia" w:eastAsiaTheme="minorEastAsia"/>
          <w:sz w:val="24"/>
        </w:rPr>
        <w:t>人：深圳前海蛇口自贸区供电有限公司</w:t>
      </w:r>
    </w:p>
    <w:p>
      <w:pPr>
        <w:pStyle w:val="2"/>
        <w:spacing w:line="540" w:lineRule="exact"/>
        <w:ind w:firstLine="4" w:firstLineChars="2"/>
        <w:jc w:val="right"/>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026</w:t>
      </w:r>
      <w:r>
        <w:rPr>
          <w:rFonts w:hint="eastAsia" w:asciiTheme="minorEastAsia" w:hAnsiTheme="minorEastAsia" w:eastAsiaTheme="minorEastAsia"/>
          <w:sz w:val="24"/>
        </w:rPr>
        <w:t>年7月</w:t>
      </w:r>
      <w:r>
        <w:rPr>
          <w:rFonts w:hint="eastAsia" w:asciiTheme="minorEastAsia" w:hAnsiTheme="minorEastAsia" w:eastAsiaTheme="minorEastAsia"/>
          <w:sz w:val="24"/>
          <w:lang w:val="en-US" w:eastAsia="zh-CN"/>
        </w:rPr>
        <w:t>27</w:t>
      </w:r>
      <w:r>
        <w:rPr>
          <w:rFonts w:hint="eastAsia" w:asciiTheme="minorEastAsia" w:hAnsiTheme="minorEastAsia" w:eastAsiaTheme="minorEastAsia"/>
          <w:sz w:val="24"/>
        </w:rPr>
        <w:t>日</w:t>
      </w:r>
    </w:p>
    <w:sectPr>
      <w:footerReference r:id="rId3" w:type="default"/>
      <w:pgSz w:w="11906" w:h="16838"/>
      <w:pgMar w:top="1440" w:right="1700"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文鼎CS书宋二">
    <w:altName w:val="宋体"/>
    <w:panose1 w:val="00000000000000000000"/>
    <w:charset w:val="86"/>
    <w:family w:val="modern"/>
    <w:pitch w:val="default"/>
    <w:sig w:usb0="00000000" w:usb1="00000000" w:usb2="00000010" w:usb3="00000000" w:csb0="00040000" w:csb1="00000000"/>
  </w:font>
  <w:font w:name="文鼎CS大宋">
    <w:altName w:val="宋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3</w:t>
    </w:r>
    <w:r>
      <w:rPr>
        <w:lang w:val="zh-CN"/>
      </w:rPr>
      <w:fldChar w:fldCharType="end"/>
    </w:r>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D24803"/>
    <w:rsid w:val="00004334"/>
    <w:rsid w:val="00004604"/>
    <w:rsid w:val="0000587E"/>
    <w:rsid w:val="000060A1"/>
    <w:rsid w:val="00007C09"/>
    <w:rsid w:val="00012714"/>
    <w:rsid w:val="000128A6"/>
    <w:rsid w:val="0001388B"/>
    <w:rsid w:val="00013A64"/>
    <w:rsid w:val="00013FE0"/>
    <w:rsid w:val="00014642"/>
    <w:rsid w:val="00015F3B"/>
    <w:rsid w:val="00017C12"/>
    <w:rsid w:val="00020290"/>
    <w:rsid w:val="00022B77"/>
    <w:rsid w:val="00024760"/>
    <w:rsid w:val="0002505D"/>
    <w:rsid w:val="0002564E"/>
    <w:rsid w:val="00027D4F"/>
    <w:rsid w:val="000324A0"/>
    <w:rsid w:val="00034170"/>
    <w:rsid w:val="00035D6F"/>
    <w:rsid w:val="00036416"/>
    <w:rsid w:val="00037276"/>
    <w:rsid w:val="00041108"/>
    <w:rsid w:val="000411F2"/>
    <w:rsid w:val="00041667"/>
    <w:rsid w:val="00041A05"/>
    <w:rsid w:val="00041CBF"/>
    <w:rsid w:val="000458C0"/>
    <w:rsid w:val="00046854"/>
    <w:rsid w:val="000469B0"/>
    <w:rsid w:val="00046D17"/>
    <w:rsid w:val="00047768"/>
    <w:rsid w:val="00050378"/>
    <w:rsid w:val="00050B45"/>
    <w:rsid w:val="00050BCF"/>
    <w:rsid w:val="000519AD"/>
    <w:rsid w:val="0005221F"/>
    <w:rsid w:val="00052825"/>
    <w:rsid w:val="00057CD5"/>
    <w:rsid w:val="000608B2"/>
    <w:rsid w:val="0006277B"/>
    <w:rsid w:val="00064116"/>
    <w:rsid w:val="000647D4"/>
    <w:rsid w:val="00066922"/>
    <w:rsid w:val="00073458"/>
    <w:rsid w:val="00073ADD"/>
    <w:rsid w:val="0007543C"/>
    <w:rsid w:val="00077CFA"/>
    <w:rsid w:val="0008089A"/>
    <w:rsid w:val="000824BA"/>
    <w:rsid w:val="00083BAF"/>
    <w:rsid w:val="00085F9B"/>
    <w:rsid w:val="00090951"/>
    <w:rsid w:val="000926DF"/>
    <w:rsid w:val="00094E28"/>
    <w:rsid w:val="00094ED7"/>
    <w:rsid w:val="0009564D"/>
    <w:rsid w:val="00095AA2"/>
    <w:rsid w:val="00095E90"/>
    <w:rsid w:val="00096F3F"/>
    <w:rsid w:val="000A1C7A"/>
    <w:rsid w:val="000A2F67"/>
    <w:rsid w:val="000A3986"/>
    <w:rsid w:val="000A4AD1"/>
    <w:rsid w:val="000A4F47"/>
    <w:rsid w:val="000A7314"/>
    <w:rsid w:val="000B16D1"/>
    <w:rsid w:val="000B1E90"/>
    <w:rsid w:val="000B37BE"/>
    <w:rsid w:val="000B42B3"/>
    <w:rsid w:val="000B4BAF"/>
    <w:rsid w:val="000B5230"/>
    <w:rsid w:val="000B59C7"/>
    <w:rsid w:val="000B6E4F"/>
    <w:rsid w:val="000C1D0C"/>
    <w:rsid w:val="000C55B7"/>
    <w:rsid w:val="000D0009"/>
    <w:rsid w:val="000D3ACB"/>
    <w:rsid w:val="000D4089"/>
    <w:rsid w:val="000D4BE5"/>
    <w:rsid w:val="000D4ECB"/>
    <w:rsid w:val="000D6CC3"/>
    <w:rsid w:val="000E1B9F"/>
    <w:rsid w:val="000F08A1"/>
    <w:rsid w:val="000F0B07"/>
    <w:rsid w:val="000F2119"/>
    <w:rsid w:val="000F3CC4"/>
    <w:rsid w:val="000F3D41"/>
    <w:rsid w:val="000F5B11"/>
    <w:rsid w:val="00101392"/>
    <w:rsid w:val="001102E8"/>
    <w:rsid w:val="00114731"/>
    <w:rsid w:val="00116841"/>
    <w:rsid w:val="00124807"/>
    <w:rsid w:val="00124ABC"/>
    <w:rsid w:val="001257AB"/>
    <w:rsid w:val="00130425"/>
    <w:rsid w:val="00131BC5"/>
    <w:rsid w:val="0013279E"/>
    <w:rsid w:val="00134EA1"/>
    <w:rsid w:val="001354A7"/>
    <w:rsid w:val="00140876"/>
    <w:rsid w:val="001415D9"/>
    <w:rsid w:val="00141CED"/>
    <w:rsid w:val="00141F77"/>
    <w:rsid w:val="00142245"/>
    <w:rsid w:val="00143EB8"/>
    <w:rsid w:val="001503F4"/>
    <w:rsid w:val="001518D4"/>
    <w:rsid w:val="00151B99"/>
    <w:rsid w:val="00152E8C"/>
    <w:rsid w:val="00153D8F"/>
    <w:rsid w:val="00153E8C"/>
    <w:rsid w:val="00155561"/>
    <w:rsid w:val="00155B6F"/>
    <w:rsid w:val="001564A1"/>
    <w:rsid w:val="00157F9B"/>
    <w:rsid w:val="0016084C"/>
    <w:rsid w:val="0016355D"/>
    <w:rsid w:val="00164055"/>
    <w:rsid w:val="00164650"/>
    <w:rsid w:val="00164F2E"/>
    <w:rsid w:val="001650B8"/>
    <w:rsid w:val="001708AB"/>
    <w:rsid w:val="00174919"/>
    <w:rsid w:val="00174ED3"/>
    <w:rsid w:val="00182465"/>
    <w:rsid w:val="00182695"/>
    <w:rsid w:val="00182A4E"/>
    <w:rsid w:val="00182BDD"/>
    <w:rsid w:val="00183B80"/>
    <w:rsid w:val="001865B7"/>
    <w:rsid w:val="001870CD"/>
    <w:rsid w:val="001905C5"/>
    <w:rsid w:val="00192F9D"/>
    <w:rsid w:val="00193A07"/>
    <w:rsid w:val="001949D9"/>
    <w:rsid w:val="001A0413"/>
    <w:rsid w:val="001A0B22"/>
    <w:rsid w:val="001A2BCA"/>
    <w:rsid w:val="001A3E45"/>
    <w:rsid w:val="001A42EF"/>
    <w:rsid w:val="001A7E61"/>
    <w:rsid w:val="001B2266"/>
    <w:rsid w:val="001B3508"/>
    <w:rsid w:val="001B5866"/>
    <w:rsid w:val="001B604F"/>
    <w:rsid w:val="001B7AD4"/>
    <w:rsid w:val="001C1274"/>
    <w:rsid w:val="001C1890"/>
    <w:rsid w:val="001C274F"/>
    <w:rsid w:val="001C3543"/>
    <w:rsid w:val="001C5504"/>
    <w:rsid w:val="001C778B"/>
    <w:rsid w:val="001D23B4"/>
    <w:rsid w:val="001D3929"/>
    <w:rsid w:val="001D4509"/>
    <w:rsid w:val="001D5496"/>
    <w:rsid w:val="001E0284"/>
    <w:rsid w:val="001E4902"/>
    <w:rsid w:val="001E5241"/>
    <w:rsid w:val="001E752B"/>
    <w:rsid w:val="001E7BE6"/>
    <w:rsid w:val="001F040A"/>
    <w:rsid w:val="001F1665"/>
    <w:rsid w:val="001F1A09"/>
    <w:rsid w:val="001F1EA8"/>
    <w:rsid w:val="001F2E5A"/>
    <w:rsid w:val="001F4882"/>
    <w:rsid w:val="001F66A3"/>
    <w:rsid w:val="001F76C4"/>
    <w:rsid w:val="002007D9"/>
    <w:rsid w:val="00200A3B"/>
    <w:rsid w:val="00200FB3"/>
    <w:rsid w:val="00202352"/>
    <w:rsid w:val="00202B37"/>
    <w:rsid w:val="00202E31"/>
    <w:rsid w:val="002034EC"/>
    <w:rsid w:val="00203B01"/>
    <w:rsid w:val="00206397"/>
    <w:rsid w:val="00206EE1"/>
    <w:rsid w:val="00212FED"/>
    <w:rsid w:val="00213D7A"/>
    <w:rsid w:val="002160F1"/>
    <w:rsid w:val="00217013"/>
    <w:rsid w:val="002175AB"/>
    <w:rsid w:val="00217BB1"/>
    <w:rsid w:val="0022349B"/>
    <w:rsid w:val="00223DF1"/>
    <w:rsid w:val="002241C9"/>
    <w:rsid w:val="0022577D"/>
    <w:rsid w:val="00225E8F"/>
    <w:rsid w:val="0023248D"/>
    <w:rsid w:val="00232E3F"/>
    <w:rsid w:val="002338D1"/>
    <w:rsid w:val="0023605F"/>
    <w:rsid w:val="00236B81"/>
    <w:rsid w:val="00240BBB"/>
    <w:rsid w:val="00241580"/>
    <w:rsid w:val="00241C24"/>
    <w:rsid w:val="0024218C"/>
    <w:rsid w:val="00242C46"/>
    <w:rsid w:val="002437B0"/>
    <w:rsid w:val="002452CB"/>
    <w:rsid w:val="0024719F"/>
    <w:rsid w:val="002500B0"/>
    <w:rsid w:val="00256DF8"/>
    <w:rsid w:val="00260AD4"/>
    <w:rsid w:val="00261C78"/>
    <w:rsid w:val="00266F89"/>
    <w:rsid w:val="002740E8"/>
    <w:rsid w:val="002743FB"/>
    <w:rsid w:val="00275CDE"/>
    <w:rsid w:val="00277593"/>
    <w:rsid w:val="0028067E"/>
    <w:rsid w:val="00281D67"/>
    <w:rsid w:val="002823F2"/>
    <w:rsid w:val="00282F7F"/>
    <w:rsid w:val="00284B90"/>
    <w:rsid w:val="00285085"/>
    <w:rsid w:val="00285113"/>
    <w:rsid w:val="0028653A"/>
    <w:rsid w:val="00294997"/>
    <w:rsid w:val="00295736"/>
    <w:rsid w:val="00295DF8"/>
    <w:rsid w:val="00296193"/>
    <w:rsid w:val="00296A6F"/>
    <w:rsid w:val="00297AA3"/>
    <w:rsid w:val="002A2251"/>
    <w:rsid w:val="002A35E1"/>
    <w:rsid w:val="002A4027"/>
    <w:rsid w:val="002A4DC0"/>
    <w:rsid w:val="002A535E"/>
    <w:rsid w:val="002A54D7"/>
    <w:rsid w:val="002A6392"/>
    <w:rsid w:val="002A734E"/>
    <w:rsid w:val="002A78CA"/>
    <w:rsid w:val="002A78F2"/>
    <w:rsid w:val="002B3B56"/>
    <w:rsid w:val="002B404C"/>
    <w:rsid w:val="002B49FA"/>
    <w:rsid w:val="002B6C83"/>
    <w:rsid w:val="002B7F95"/>
    <w:rsid w:val="002C0715"/>
    <w:rsid w:val="002C241A"/>
    <w:rsid w:val="002C5F51"/>
    <w:rsid w:val="002C6957"/>
    <w:rsid w:val="002C6DA1"/>
    <w:rsid w:val="002C70E7"/>
    <w:rsid w:val="002C7428"/>
    <w:rsid w:val="002C7864"/>
    <w:rsid w:val="002D0EF1"/>
    <w:rsid w:val="002D10F9"/>
    <w:rsid w:val="002D2CE0"/>
    <w:rsid w:val="002D3BAF"/>
    <w:rsid w:val="002D45A8"/>
    <w:rsid w:val="002D64C1"/>
    <w:rsid w:val="002D7B1C"/>
    <w:rsid w:val="002E0265"/>
    <w:rsid w:val="002E3899"/>
    <w:rsid w:val="002F2DC3"/>
    <w:rsid w:val="002F3AC2"/>
    <w:rsid w:val="002F3B39"/>
    <w:rsid w:val="002F53DB"/>
    <w:rsid w:val="002F5CDB"/>
    <w:rsid w:val="002F6F09"/>
    <w:rsid w:val="00301828"/>
    <w:rsid w:val="00301C1C"/>
    <w:rsid w:val="00305481"/>
    <w:rsid w:val="0030729F"/>
    <w:rsid w:val="00307910"/>
    <w:rsid w:val="003106EF"/>
    <w:rsid w:val="003132E7"/>
    <w:rsid w:val="003135E6"/>
    <w:rsid w:val="00313C1D"/>
    <w:rsid w:val="003153AF"/>
    <w:rsid w:val="00315E27"/>
    <w:rsid w:val="003160BB"/>
    <w:rsid w:val="003209D1"/>
    <w:rsid w:val="00321559"/>
    <w:rsid w:val="00323030"/>
    <w:rsid w:val="0032306A"/>
    <w:rsid w:val="003236E1"/>
    <w:rsid w:val="0032389C"/>
    <w:rsid w:val="00327065"/>
    <w:rsid w:val="00327B3F"/>
    <w:rsid w:val="003311B8"/>
    <w:rsid w:val="003326AB"/>
    <w:rsid w:val="003331E3"/>
    <w:rsid w:val="003344E5"/>
    <w:rsid w:val="00334E5B"/>
    <w:rsid w:val="0033524B"/>
    <w:rsid w:val="0033544C"/>
    <w:rsid w:val="00336771"/>
    <w:rsid w:val="00343F02"/>
    <w:rsid w:val="00344A29"/>
    <w:rsid w:val="003477DF"/>
    <w:rsid w:val="00347AF1"/>
    <w:rsid w:val="00350051"/>
    <w:rsid w:val="00350108"/>
    <w:rsid w:val="003501D2"/>
    <w:rsid w:val="00350B3F"/>
    <w:rsid w:val="00351DEB"/>
    <w:rsid w:val="00353956"/>
    <w:rsid w:val="00357CBF"/>
    <w:rsid w:val="00360B43"/>
    <w:rsid w:val="00361B83"/>
    <w:rsid w:val="003622F3"/>
    <w:rsid w:val="00367814"/>
    <w:rsid w:val="00367F66"/>
    <w:rsid w:val="00370936"/>
    <w:rsid w:val="00373498"/>
    <w:rsid w:val="00375C44"/>
    <w:rsid w:val="00376066"/>
    <w:rsid w:val="00377BD5"/>
    <w:rsid w:val="00381BCD"/>
    <w:rsid w:val="00382116"/>
    <w:rsid w:val="0038248F"/>
    <w:rsid w:val="00383BBA"/>
    <w:rsid w:val="00385EE6"/>
    <w:rsid w:val="00386630"/>
    <w:rsid w:val="00386FAC"/>
    <w:rsid w:val="00390608"/>
    <w:rsid w:val="00390E11"/>
    <w:rsid w:val="00394103"/>
    <w:rsid w:val="0039483E"/>
    <w:rsid w:val="00394C5E"/>
    <w:rsid w:val="0039684F"/>
    <w:rsid w:val="003A30F7"/>
    <w:rsid w:val="003A3918"/>
    <w:rsid w:val="003A4046"/>
    <w:rsid w:val="003A4E06"/>
    <w:rsid w:val="003A500B"/>
    <w:rsid w:val="003A546D"/>
    <w:rsid w:val="003A6565"/>
    <w:rsid w:val="003A728B"/>
    <w:rsid w:val="003A7932"/>
    <w:rsid w:val="003A7A5C"/>
    <w:rsid w:val="003B5746"/>
    <w:rsid w:val="003B6673"/>
    <w:rsid w:val="003B724A"/>
    <w:rsid w:val="003B79CA"/>
    <w:rsid w:val="003C5396"/>
    <w:rsid w:val="003C53C2"/>
    <w:rsid w:val="003C6966"/>
    <w:rsid w:val="003C6D69"/>
    <w:rsid w:val="003C74AE"/>
    <w:rsid w:val="003D02D2"/>
    <w:rsid w:val="003D32E9"/>
    <w:rsid w:val="003D37B2"/>
    <w:rsid w:val="003D415D"/>
    <w:rsid w:val="003D6AB8"/>
    <w:rsid w:val="003E2F3E"/>
    <w:rsid w:val="003E34C0"/>
    <w:rsid w:val="003E43CB"/>
    <w:rsid w:val="003E45CB"/>
    <w:rsid w:val="003E4853"/>
    <w:rsid w:val="003E494D"/>
    <w:rsid w:val="003E4F64"/>
    <w:rsid w:val="003E588F"/>
    <w:rsid w:val="003F0E3B"/>
    <w:rsid w:val="003F14A3"/>
    <w:rsid w:val="003F2519"/>
    <w:rsid w:val="003F4A8A"/>
    <w:rsid w:val="003F63EB"/>
    <w:rsid w:val="003F749C"/>
    <w:rsid w:val="00403F55"/>
    <w:rsid w:val="00405DB8"/>
    <w:rsid w:val="00406BC8"/>
    <w:rsid w:val="00414875"/>
    <w:rsid w:val="00414E3D"/>
    <w:rsid w:val="00415A02"/>
    <w:rsid w:val="00416084"/>
    <w:rsid w:val="004166AC"/>
    <w:rsid w:val="00423976"/>
    <w:rsid w:val="004253F5"/>
    <w:rsid w:val="00425789"/>
    <w:rsid w:val="00427084"/>
    <w:rsid w:val="0043006F"/>
    <w:rsid w:val="004301D0"/>
    <w:rsid w:val="00430E68"/>
    <w:rsid w:val="00432782"/>
    <w:rsid w:val="00435007"/>
    <w:rsid w:val="004356F9"/>
    <w:rsid w:val="00441ADB"/>
    <w:rsid w:val="004426D2"/>
    <w:rsid w:val="004433B6"/>
    <w:rsid w:val="00445398"/>
    <w:rsid w:val="0044719D"/>
    <w:rsid w:val="004507BB"/>
    <w:rsid w:val="00451B2F"/>
    <w:rsid w:val="004528C6"/>
    <w:rsid w:val="00452969"/>
    <w:rsid w:val="00455E47"/>
    <w:rsid w:val="0045758A"/>
    <w:rsid w:val="004578FC"/>
    <w:rsid w:val="00460026"/>
    <w:rsid w:val="0046314D"/>
    <w:rsid w:val="00466F8A"/>
    <w:rsid w:val="00470ACE"/>
    <w:rsid w:val="00471FB5"/>
    <w:rsid w:val="004730B4"/>
    <w:rsid w:val="00473A94"/>
    <w:rsid w:val="00473D3F"/>
    <w:rsid w:val="00475164"/>
    <w:rsid w:val="004779C5"/>
    <w:rsid w:val="00477DEC"/>
    <w:rsid w:val="00481880"/>
    <w:rsid w:val="00482282"/>
    <w:rsid w:val="00490F86"/>
    <w:rsid w:val="0049186F"/>
    <w:rsid w:val="00494473"/>
    <w:rsid w:val="00494763"/>
    <w:rsid w:val="0049688F"/>
    <w:rsid w:val="00497392"/>
    <w:rsid w:val="004A324D"/>
    <w:rsid w:val="004A42C7"/>
    <w:rsid w:val="004A5FA3"/>
    <w:rsid w:val="004B19B0"/>
    <w:rsid w:val="004B1DD8"/>
    <w:rsid w:val="004B2D9F"/>
    <w:rsid w:val="004B373D"/>
    <w:rsid w:val="004B374F"/>
    <w:rsid w:val="004B7B85"/>
    <w:rsid w:val="004C1606"/>
    <w:rsid w:val="004C1CBE"/>
    <w:rsid w:val="004C2BAE"/>
    <w:rsid w:val="004C4AEA"/>
    <w:rsid w:val="004C5792"/>
    <w:rsid w:val="004C5CB6"/>
    <w:rsid w:val="004D3581"/>
    <w:rsid w:val="004D3AD1"/>
    <w:rsid w:val="004D3BB7"/>
    <w:rsid w:val="004D45F7"/>
    <w:rsid w:val="004D4E53"/>
    <w:rsid w:val="004E09AD"/>
    <w:rsid w:val="004E0D98"/>
    <w:rsid w:val="004E197E"/>
    <w:rsid w:val="004E3656"/>
    <w:rsid w:val="004E65C4"/>
    <w:rsid w:val="004E7AAF"/>
    <w:rsid w:val="004F522A"/>
    <w:rsid w:val="004F52D4"/>
    <w:rsid w:val="004F53DF"/>
    <w:rsid w:val="004F543E"/>
    <w:rsid w:val="004F7B02"/>
    <w:rsid w:val="004F7B7B"/>
    <w:rsid w:val="0050177D"/>
    <w:rsid w:val="00501B8C"/>
    <w:rsid w:val="0050232C"/>
    <w:rsid w:val="00502E76"/>
    <w:rsid w:val="005122E4"/>
    <w:rsid w:val="0051359D"/>
    <w:rsid w:val="00514E0C"/>
    <w:rsid w:val="005155A7"/>
    <w:rsid w:val="005162D8"/>
    <w:rsid w:val="00522EE2"/>
    <w:rsid w:val="005251C1"/>
    <w:rsid w:val="00525A1B"/>
    <w:rsid w:val="00526251"/>
    <w:rsid w:val="00527165"/>
    <w:rsid w:val="005310E1"/>
    <w:rsid w:val="0053233E"/>
    <w:rsid w:val="00533D55"/>
    <w:rsid w:val="005376DB"/>
    <w:rsid w:val="00537CD3"/>
    <w:rsid w:val="005409D8"/>
    <w:rsid w:val="00545C26"/>
    <w:rsid w:val="005462B9"/>
    <w:rsid w:val="0054761B"/>
    <w:rsid w:val="005476FF"/>
    <w:rsid w:val="0055345E"/>
    <w:rsid w:val="00553C65"/>
    <w:rsid w:val="005544D0"/>
    <w:rsid w:val="0055553C"/>
    <w:rsid w:val="005565FD"/>
    <w:rsid w:val="00557640"/>
    <w:rsid w:val="00560D23"/>
    <w:rsid w:val="005653CC"/>
    <w:rsid w:val="005663BF"/>
    <w:rsid w:val="00571917"/>
    <w:rsid w:val="00576003"/>
    <w:rsid w:val="00576C44"/>
    <w:rsid w:val="00576E3A"/>
    <w:rsid w:val="0057765E"/>
    <w:rsid w:val="00577FAF"/>
    <w:rsid w:val="0058104A"/>
    <w:rsid w:val="005810F8"/>
    <w:rsid w:val="005816D2"/>
    <w:rsid w:val="00581ABF"/>
    <w:rsid w:val="00585675"/>
    <w:rsid w:val="0058660C"/>
    <w:rsid w:val="00586A07"/>
    <w:rsid w:val="005874AD"/>
    <w:rsid w:val="00587911"/>
    <w:rsid w:val="00590195"/>
    <w:rsid w:val="005979A8"/>
    <w:rsid w:val="005A4621"/>
    <w:rsid w:val="005A7786"/>
    <w:rsid w:val="005A7E6C"/>
    <w:rsid w:val="005A7E98"/>
    <w:rsid w:val="005B0A93"/>
    <w:rsid w:val="005B1769"/>
    <w:rsid w:val="005B26C3"/>
    <w:rsid w:val="005B3C4C"/>
    <w:rsid w:val="005B513D"/>
    <w:rsid w:val="005B63BF"/>
    <w:rsid w:val="005B6565"/>
    <w:rsid w:val="005C2AE4"/>
    <w:rsid w:val="005C38A1"/>
    <w:rsid w:val="005C55AD"/>
    <w:rsid w:val="005C6EAF"/>
    <w:rsid w:val="005C7FE4"/>
    <w:rsid w:val="005D16A4"/>
    <w:rsid w:val="005D5764"/>
    <w:rsid w:val="005D6E43"/>
    <w:rsid w:val="005D7C28"/>
    <w:rsid w:val="005E1595"/>
    <w:rsid w:val="005E3749"/>
    <w:rsid w:val="005E6941"/>
    <w:rsid w:val="005E6D97"/>
    <w:rsid w:val="005E7705"/>
    <w:rsid w:val="005F0318"/>
    <w:rsid w:val="005F09D5"/>
    <w:rsid w:val="005F1464"/>
    <w:rsid w:val="005F5DD4"/>
    <w:rsid w:val="005F672D"/>
    <w:rsid w:val="00600F8D"/>
    <w:rsid w:val="00602E5E"/>
    <w:rsid w:val="00603AA7"/>
    <w:rsid w:val="00603B59"/>
    <w:rsid w:val="006117C8"/>
    <w:rsid w:val="00612559"/>
    <w:rsid w:val="006130E6"/>
    <w:rsid w:val="006156CA"/>
    <w:rsid w:val="00620903"/>
    <w:rsid w:val="00621CCB"/>
    <w:rsid w:val="00623105"/>
    <w:rsid w:val="0062335F"/>
    <w:rsid w:val="006237E3"/>
    <w:rsid w:val="00624173"/>
    <w:rsid w:val="00624A5B"/>
    <w:rsid w:val="006263B7"/>
    <w:rsid w:val="0062737F"/>
    <w:rsid w:val="00633A67"/>
    <w:rsid w:val="00633B32"/>
    <w:rsid w:val="00636493"/>
    <w:rsid w:val="0064275A"/>
    <w:rsid w:val="006435D5"/>
    <w:rsid w:val="00644FE7"/>
    <w:rsid w:val="00645389"/>
    <w:rsid w:val="00646233"/>
    <w:rsid w:val="00646ABA"/>
    <w:rsid w:val="0065174D"/>
    <w:rsid w:val="006518FC"/>
    <w:rsid w:val="00651AA3"/>
    <w:rsid w:val="006524C6"/>
    <w:rsid w:val="00652BDF"/>
    <w:rsid w:val="00653171"/>
    <w:rsid w:val="006534B5"/>
    <w:rsid w:val="00660626"/>
    <w:rsid w:val="00660F27"/>
    <w:rsid w:val="00664618"/>
    <w:rsid w:val="006656FE"/>
    <w:rsid w:val="00666806"/>
    <w:rsid w:val="00666EF4"/>
    <w:rsid w:val="00667371"/>
    <w:rsid w:val="006675EF"/>
    <w:rsid w:val="0067093E"/>
    <w:rsid w:val="006710DB"/>
    <w:rsid w:val="00676E3F"/>
    <w:rsid w:val="006771C5"/>
    <w:rsid w:val="00677851"/>
    <w:rsid w:val="006812B4"/>
    <w:rsid w:val="00683F77"/>
    <w:rsid w:val="00684596"/>
    <w:rsid w:val="00691E41"/>
    <w:rsid w:val="006925BD"/>
    <w:rsid w:val="006977FD"/>
    <w:rsid w:val="006A1515"/>
    <w:rsid w:val="006A3CEA"/>
    <w:rsid w:val="006A58D5"/>
    <w:rsid w:val="006A5A5A"/>
    <w:rsid w:val="006A6A1A"/>
    <w:rsid w:val="006A704C"/>
    <w:rsid w:val="006B0194"/>
    <w:rsid w:val="006B180A"/>
    <w:rsid w:val="006B1DF4"/>
    <w:rsid w:val="006B2766"/>
    <w:rsid w:val="006B5C3D"/>
    <w:rsid w:val="006C10CD"/>
    <w:rsid w:val="006C1360"/>
    <w:rsid w:val="006C3089"/>
    <w:rsid w:val="006C533F"/>
    <w:rsid w:val="006D0409"/>
    <w:rsid w:val="006D07F4"/>
    <w:rsid w:val="006D0E81"/>
    <w:rsid w:val="006D1181"/>
    <w:rsid w:val="006D1B36"/>
    <w:rsid w:val="006D40AF"/>
    <w:rsid w:val="006D446A"/>
    <w:rsid w:val="006D542B"/>
    <w:rsid w:val="006D5926"/>
    <w:rsid w:val="006D69A2"/>
    <w:rsid w:val="006D6F79"/>
    <w:rsid w:val="006D7276"/>
    <w:rsid w:val="006D79C3"/>
    <w:rsid w:val="006E0E1A"/>
    <w:rsid w:val="006E3AE0"/>
    <w:rsid w:val="006F014C"/>
    <w:rsid w:val="006F0FE3"/>
    <w:rsid w:val="006F1E63"/>
    <w:rsid w:val="00701060"/>
    <w:rsid w:val="00701606"/>
    <w:rsid w:val="00701623"/>
    <w:rsid w:val="00702E23"/>
    <w:rsid w:val="00705E53"/>
    <w:rsid w:val="00706245"/>
    <w:rsid w:val="00706C52"/>
    <w:rsid w:val="00707679"/>
    <w:rsid w:val="0071052A"/>
    <w:rsid w:val="00710E0A"/>
    <w:rsid w:val="00711F2A"/>
    <w:rsid w:val="00712202"/>
    <w:rsid w:val="00713AFA"/>
    <w:rsid w:val="007148F3"/>
    <w:rsid w:val="00714E6F"/>
    <w:rsid w:val="00721D60"/>
    <w:rsid w:val="00721E9F"/>
    <w:rsid w:val="00721F80"/>
    <w:rsid w:val="007241DC"/>
    <w:rsid w:val="00725DAB"/>
    <w:rsid w:val="00726DCF"/>
    <w:rsid w:val="0072789A"/>
    <w:rsid w:val="0073050B"/>
    <w:rsid w:val="00730D34"/>
    <w:rsid w:val="00732D0F"/>
    <w:rsid w:val="007346CB"/>
    <w:rsid w:val="00734FBA"/>
    <w:rsid w:val="00735D86"/>
    <w:rsid w:val="00735EDE"/>
    <w:rsid w:val="007368B7"/>
    <w:rsid w:val="00737A0D"/>
    <w:rsid w:val="007411FF"/>
    <w:rsid w:val="00743101"/>
    <w:rsid w:val="00743A57"/>
    <w:rsid w:val="0074608B"/>
    <w:rsid w:val="00747CA5"/>
    <w:rsid w:val="00750A52"/>
    <w:rsid w:val="00750ABE"/>
    <w:rsid w:val="007516BE"/>
    <w:rsid w:val="00752EF0"/>
    <w:rsid w:val="0075373A"/>
    <w:rsid w:val="007543CC"/>
    <w:rsid w:val="00756CC9"/>
    <w:rsid w:val="0075734E"/>
    <w:rsid w:val="00757ED8"/>
    <w:rsid w:val="007601B0"/>
    <w:rsid w:val="007604CE"/>
    <w:rsid w:val="007609C0"/>
    <w:rsid w:val="00761FA8"/>
    <w:rsid w:val="0076208C"/>
    <w:rsid w:val="0076423E"/>
    <w:rsid w:val="007649B7"/>
    <w:rsid w:val="00766CD0"/>
    <w:rsid w:val="00767278"/>
    <w:rsid w:val="00767E9F"/>
    <w:rsid w:val="0077155A"/>
    <w:rsid w:val="00772E41"/>
    <w:rsid w:val="00773B2F"/>
    <w:rsid w:val="00777B6A"/>
    <w:rsid w:val="00780365"/>
    <w:rsid w:val="00783AE7"/>
    <w:rsid w:val="0078564E"/>
    <w:rsid w:val="007860EE"/>
    <w:rsid w:val="007869BC"/>
    <w:rsid w:val="00791DE5"/>
    <w:rsid w:val="007932A3"/>
    <w:rsid w:val="00794AD5"/>
    <w:rsid w:val="00797AD2"/>
    <w:rsid w:val="007A025A"/>
    <w:rsid w:val="007A0551"/>
    <w:rsid w:val="007A2CD2"/>
    <w:rsid w:val="007A3F5C"/>
    <w:rsid w:val="007A5782"/>
    <w:rsid w:val="007A5B66"/>
    <w:rsid w:val="007A7699"/>
    <w:rsid w:val="007B02FF"/>
    <w:rsid w:val="007B2F42"/>
    <w:rsid w:val="007B36DB"/>
    <w:rsid w:val="007B3FBE"/>
    <w:rsid w:val="007B555D"/>
    <w:rsid w:val="007B5B18"/>
    <w:rsid w:val="007B70AD"/>
    <w:rsid w:val="007B7107"/>
    <w:rsid w:val="007B7D9B"/>
    <w:rsid w:val="007C06FF"/>
    <w:rsid w:val="007C53CE"/>
    <w:rsid w:val="007C691C"/>
    <w:rsid w:val="007D034A"/>
    <w:rsid w:val="007D53DC"/>
    <w:rsid w:val="007D584D"/>
    <w:rsid w:val="007D6C69"/>
    <w:rsid w:val="007D6D81"/>
    <w:rsid w:val="007E6AE3"/>
    <w:rsid w:val="007E76D1"/>
    <w:rsid w:val="007F2554"/>
    <w:rsid w:val="007F269E"/>
    <w:rsid w:val="007F2B69"/>
    <w:rsid w:val="007F45FB"/>
    <w:rsid w:val="007F7C80"/>
    <w:rsid w:val="0080003A"/>
    <w:rsid w:val="008000AB"/>
    <w:rsid w:val="00801CFE"/>
    <w:rsid w:val="00803C32"/>
    <w:rsid w:val="0081012B"/>
    <w:rsid w:val="0081181B"/>
    <w:rsid w:val="008132D3"/>
    <w:rsid w:val="00813492"/>
    <w:rsid w:val="00813AB8"/>
    <w:rsid w:val="00813C69"/>
    <w:rsid w:val="008166A1"/>
    <w:rsid w:val="00816D3F"/>
    <w:rsid w:val="008230D3"/>
    <w:rsid w:val="00823D80"/>
    <w:rsid w:val="00832B20"/>
    <w:rsid w:val="00835407"/>
    <w:rsid w:val="00835D6D"/>
    <w:rsid w:val="00837AE0"/>
    <w:rsid w:val="00837E6F"/>
    <w:rsid w:val="00842123"/>
    <w:rsid w:val="008432CB"/>
    <w:rsid w:val="00846D78"/>
    <w:rsid w:val="00847008"/>
    <w:rsid w:val="00851923"/>
    <w:rsid w:val="00852319"/>
    <w:rsid w:val="00854662"/>
    <w:rsid w:val="008562A4"/>
    <w:rsid w:val="00856643"/>
    <w:rsid w:val="00857DDE"/>
    <w:rsid w:val="0086031C"/>
    <w:rsid w:val="00860579"/>
    <w:rsid w:val="00861EDA"/>
    <w:rsid w:val="00863689"/>
    <w:rsid w:val="00863882"/>
    <w:rsid w:val="008664D1"/>
    <w:rsid w:val="00866B8C"/>
    <w:rsid w:val="00867180"/>
    <w:rsid w:val="00874385"/>
    <w:rsid w:val="008755C7"/>
    <w:rsid w:val="0087592E"/>
    <w:rsid w:val="00876A14"/>
    <w:rsid w:val="0087795E"/>
    <w:rsid w:val="00881914"/>
    <w:rsid w:val="008826D0"/>
    <w:rsid w:val="0088425E"/>
    <w:rsid w:val="00884997"/>
    <w:rsid w:val="00884CBE"/>
    <w:rsid w:val="00890210"/>
    <w:rsid w:val="0089057F"/>
    <w:rsid w:val="00890C21"/>
    <w:rsid w:val="0089398A"/>
    <w:rsid w:val="00893E3E"/>
    <w:rsid w:val="00895593"/>
    <w:rsid w:val="008A2001"/>
    <w:rsid w:val="008A21C5"/>
    <w:rsid w:val="008A2472"/>
    <w:rsid w:val="008A2804"/>
    <w:rsid w:val="008A3889"/>
    <w:rsid w:val="008A398D"/>
    <w:rsid w:val="008A484A"/>
    <w:rsid w:val="008A600A"/>
    <w:rsid w:val="008B31DE"/>
    <w:rsid w:val="008B4A1B"/>
    <w:rsid w:val="008B5F0A"/>
    <w:rsid w:val="008C02A3"/>
    <w:rsid w:val="008C1578"/>
    <w:rsid w:val="008C2B1F"/>
    <w:rsid w:val="008C3335"/>
    <w:rsid w:val="008C3B6F"/>
    <w:rsid w:val="008C4FCB"/>
    <w:rsid w:val="008C513E"/>
    <w:rsid w:val="008C6678"/>
    <w:rsid w:val="008C7314"/>
    <w:rsid w:val="008C7FB5"/>
    <w:rsid w:val="008D1C41"/>
    <w:rsid w:val="008D2B9A"/>
    <w:rsid w:val="008D35AC"/>
    <w:rsid w:val="008D46AF"/>
    <w:rsid w:val="008D72D8"/>
    <w:rsid w:val="008E027A"/>
    <w:rsid w:val="008E1CD9"/>
    <w:rsid w:val="008E3068"/>
    <w:rsid w:val="008E3173"/>
    <w:rsid w:val="008E3A52"/>
    <w:rsid w:val="008E7811"/>
    <w:rsid w:val="008F062D"/>
    <w:rsid w:val="008F125F"/>
    <w:rsid w:val="008F16C0"/>
    <w:rsid w:val="008F2709"/>
    <w:rsid w:val="008F2A3D"/>
    <w:rsid w:val="008F323E"/>
    <w:rsid w:val="008F6573"/>
    <w:rsid w:val="008F6CFB"/>
    <w:rsid w:val="009002B6"/>
    <w:rsid w:val="00900978"/>
    <w:rsid w:val="009009F0"/>
    <w:rsid w:val="00900AE5"/>
    <w:rsid w:val="0090202B"/>
    <w:rsid w:val="009024B1"/>
    <w:rsid w:val="009028A5"/>
    <w:rsid w:val="0090369E"/>
    <w:rsid w:val="00905522"/>
    <w:rsid w:val="00910270"/>
    <w:rsid w:val="009103B4"/>
    <w:rsid w:val="00910468"/>
    <w:rsid w:val="009106C1"/>
    <w:rsid w:val="0091274F"/>
    <w:rsid w:val="00913AB9"/>
    <w:rsid w:val="00916B32"/>
    <w:rsid w:val="00917B18"/>
    <w:rsid w:val="009206C8"/>
    <w:rsid w:val="00922690"/>
    <w:rsid w:val="009226E0"/>
    <w:rsid w:val="00923971"/>
    <w:rsid w:val="00923D9B"/>
    <w:rsid w:val="00924EBB"/>
    <w:rsid w:val="00925C2F"/>
    <w:rsid w:val="00926B65"/>
    <w:rsid w:val="00926BF0"/>
    <w:rsid w:val="00927105"/>
    <w:rsid w:val="0092752A"/>
    <w:rsid w:val="00930BBE"/>
    <w:rsid w:val="0093450A"/>
    <w:rsid w:val="009354D2"/>
    <w:rsid w:val="009360F2"/>
    <w:rsid w:val="00936101"/>
    <w:rsid w:val="00937824"/>
    <w:rsid w:val="00940414"/>
    <w:rsid w:val="00940D23"/>
    <w:rsid w:val="0094204E"/>
    <w:rsid w:val="009430CD"/>
    <w:rsid w:val="009430EF"/>
    <w:rsid w:val="0094591C"/>
    <w:rsid w:val="00951FBF"/>
    <w:rsid w:val="00952E29"/>
    <w:rsid w:val="00956381"/>
    <w:rsid w:val="00956D0D"/>
    <w:rsid w:val="00961418"/>
    <w:rsid w:val="00962037"/>
    <w:rsid w:val="00962150"/>
    <w:rsid w:val="009627DE"/>
    <w:rsid w:val="009629C0"/>
    <w:rsid w:val="00962B27"/>
    <w:rsid w:val="009638F3"/>
    <w:rsid w:val="00963EF2"/>
    <w:rsid w:val="00964B6B"/>
    <w:rsid w:val="009668B8"/>
    <w:rsid w:val="00971851"/>
    <w:rsid w:val="00971F03"/>
    <w:rsid w:val="00973425"/>
    <w:rsid w:val="00973944"/>
    <w:rsid w:val="009747DD"/>
    <w:rsid w:val="00974D27"/>
    <w:rsid w:val="00976234"/>
    <w:rsid w:val="009773F5"/>
    <w:rsid w:val="0098069A"/>
    <w:rsid w:val="0098223A"/>
    <w:rsid w:val="00982681"/>
    <w:rsid w:val="00983F9D"/>
    <w:rsid w:val="00984730"/>
    <w:rsid w:val="00984990"/>
    <w:rsid w:val="009858AF"/>
    <w:rsid w:val="009873D0"/>
    <w:rsid w:val="00990C37"/>
    <w:rsid w:val="00991165"/>
    <w:rsid w:val="00992034"/>
    <w:rsid w:val="0099307A"/>
    <w:rsid w:val="009949F4"/>
    <w:rsid w:val="00995E84"/>
    <w:rsid w:val="009A1A73"/>
    <w:rsid w:val="009A1CD9"/>
    <w:rsid w:val="009A1F18"/>
    <w:rsid w:val="009A1FD9"/>
    <w:rsid w:val="009A2D6A"/>
    <w:rsid w:val="009A533D"/>
    <w:rsid w:val="009A6111"/>
    <w:rsid w:val="009A6EEE"/>
    <w:rsid w:val="009B0233"/>
    <w:rsid w:val="009B02F2"/>
    <w:rsid w:val="009B3446"/>
    <w:rsid w:val="009B71FB"/>
    <w:rsid w:val="009B7C17"/>
    <w:rsid w:val="009B7DEF"/>
    <w:rsid w:val="009C16D4"/>
    <w:rsid w:val="009C335A"/>
    <w:rsid w:val="009C5246"/>
    <w:rsid w:val="009C6315"/>
    <w:rsid w:val="009C67D0"/>
    <w:rsid w:val="009C73D7"/>
    <w:rsid w:val="009C78CC"/>
    <w:rsid w:val="009D0432"/>
    <w:rsid w:val="009D2E63"/>
    <w:rsid w:val="009D3AB9"/>
    <w:rsid w:val="009D3F8A"/>
    <w:rsid w:val="009D52B2"/>
    <w:rsid w:val="009D78A0"/>
    <w:rsid w:val="009E00ED"/>
    <w:rsid w:val="009E1055"/>
    <w:rsid w:val="009E11E2"/>
    <w:rsid w:val="009E20B4"/>
    <w:rsid w:val="009E6F6F"/>
    <w:rsid w:val="009E77FE"/>
    <w:rsid w:val="009E7B2F"/>
    <w:rsid w:val="009F1186"/>
    <w:rsid w:val="009F168F"/>
    <w:rsid w:val="009F1E5E"/>
    <w:rsid w:val="009F6A00"/>
    <w:rsid w:val="009F729A"/>
    <w:rsid w:val="00A01E87"/>
    <w:rsid w:val="00A0228C"/>
    <w:rsid w:val="00A044A7"/>
    <w:rsid w:val="00A05A80"/>
    <w:rsid w:val="00A11AAF"/>
    <w:rsid w:val="00A137D6"/>
    <w:rsid w:val="00A164E1"/>
    <w:rsid w:val="00A177E6"/>
    <w:rsid w:val="00A207A1"/>
    <w:rsid w:val="00A20B78"/>
    <w:rsid w:val="00A21142"/>
    <w:rsid w:val="00A23023"/>
    <w:rsid w:val="00A23756"/>
    <w:rsid w:val="00A25A47"/>
    <w:rsid w:val="00A273F8"/>
    <w:rsid w:val="00A27433"/>
    <w:rsid w:val="00A30B82"/>
    <w:rsid w:val="00A3179D"/>
    <w:rsid w:val="00A34570"/>
    <w:rsid w:val="00A37467"/>
    <w:rsid w:val="00A41945"/>
    <w:rsid w:val="00A520E9"/>
    <w:rsid w:val="00A536C4"/>
    <w:rsid w:val="00A6043D"/>
    <w:rsid w:val="00A60C4D"/>
    <w:rsid w:val="00A63064"/>
    <w:rsid w:val="00A6429F"/>
    <w:rsid w:val="00A658FB"/>
    <w:rsid w:val="00A669AD"/>
    <w:rsid w:val="00A66FFA"/>
    <w:rsid w:val="00A67074"/>
    <w:rsid w:val="00A67AD4"/>
    <w:rsid w:val="00A70B36"/>
    <w:rsid w:val="00A71CC6"/>
    <w:rsid w:val="00A7590B"/>
    <w:rsid w:val="00A773D5"/>
    <w:rsid w:val="00A81288"/>
    <w:rsid w:val="00A81BB6"/>
    <w:rsid w:val="00A83E2E"/>
    <w:rsid w:val="00A855CF"/>
    <w:rsid w:val="00A9431B"/>
    <w:rsid w:val="00AA2397"/>
    <w:rsid w:val="00AA71C9"/>
    <w:rsid w:val="00AA7E1B"/>
    <w:rsid w:val="00AB00B7"/>
    <w:rsid w:val="00AB0115"/>
    <w:rsid w:val="00AB1920"/>
    <w:rsid w:val="00AB1A74"/>
    <w:rsid w:val="00AB2E12"/>
    <w:rsid w:val="00AB2E1F"/>
    <w:rsid w:val="00AB30D8"/>
    <w:rsid w:val="00AB55A3"/>
    <w:rsid w:val="00AC1D0E"/>
    <w:rsid w:val="00AC31B1"/>
    <w:rsid w:val="00AC32A5"/>
    <w:rsid w:val="00AC54F6"/>
    <w:rsid w:val="00AC58B6"/>
    <w:rsid w:val="00AD1CA6"/>
    <w:rsid w:val="00AD2757"/>
    <w:rsid w:val="00AD3668"/>
    <w:rsid w:val="00AD42CD"/>
    <w:rsid w:val="00AE06E1"/>
    <w:rsid w:val="00AE1C11"/>
    <w:rsid w:val="00AE27CE"/>
    <w:rsid w:val="00AE5212"/>
    <w:rsid w:val="00AE5AD6"/>
    <w:rsid w:val="00AE5DFA"/>
    <w:rsid w:val="00AE68BE"/>
    <w:rsid w:val="00AF6579"/>
    <w:rsid w:val="00AF7CB4"/>
    <w:rsid w:val="00B014EB"/>
    <w:rsid w:val="00B04D00"/>
    <w:rsid w:val="00B07033"/>
    <w:rsid w:val="00B0743B"/>
    <w:rsid w:val="00B160E6"/>
    <w:rsid w:val="00B20E79"/>
    <w:rsid w:val="00B23316"/>
    <w:rsid w:val="00B24279"/>
    <w:rsid w:val="00B255C2"/>
    <w:rsid w:val="00B257E9"/>
    <w:rsid w:val="00B264D0"/>
    <w:rsid w:val="00B27A86"/>
    <w:rsid w:val="00B31FF2"/>
    <w:rsid w:val="00B330AE"/>
    <w:rsid w:val="00B35EA6"/>
    <w:rsid w:val="00B41625"/>
    <w:rsid w:val="00B42C58"/>
    <w:rsid w:val="00B43BAA"/>
    <w:rsid w:val="00B4463D"/>
    <w:rsid w:val="00B45963"/>
    <w:rsid w:val="00B45F26"/>
    <w:rsid w:val="00B466C7"/>
    <w:rsid w:val="00B509B0"/>
    <w:rsid w:val="00B5448B"/>
    <w:rsid w:val="00B54E13"/>
    <w:rsid w:val="00B565A8"/>
    <w:rsid w:val="00B57BBA"/>
    <w:rsid w:val="00B611C6"/>
    <w:rsid w:val="00B6165A"/>
    <w:rsid w:val="00B61D0E"/>
    <w:rsid w:val="00B62DE6"/>
    <w:rsid w:val="00B64D5C"/>
    <w:rsid w:val="00B66873"/>
    <w:rsid w:val="00B668E8"/>
    <w:rsid w:val="00B66C7B"/>
    <w:rsid w:val="00B70C51"/>
    <w:rsid w:val="00B70F81"/>
    <w:rsid w:val="00B72D31"/>
    <w:rsid w:val="00B73315"/>
    <w:rsid w:val="00B73EB7"/>
    <w:rsid w:val="00B74159"/>
    <w:rsid w:val="00B77A55"/>
    <w:rsid w:val="00B77E76"/>
    <w:rsid w:val="00B8024D"/>
    <w:rsid w:val="00B85443"/>
    <w:rsid w:val="00B86CA8"/>
    <w:rsid w:val="00B87F57"/>
    <w:rsid w:val="00B92A0C"/>
    <w:rsid w:val="00B92EA4"/>
    <w:rsid w:val="00B9470E"/>
    <w:rsid w:val="00B95289"/>
    <w:rsid w:val="00B967D8"/>
    <w:rsid w:val="00BA0045"/>
    <w:rsid w:val="00BA0FB8"/>
    <w:rsid w:val="00BA187B"/>
    <w:rsid w:val="00BA1ECD"/>
    <w:rsid w:val="00BA2979"/>
    <w:rsid w:val="00BA2B9F"/>
    <w:rsid w:val="00BA327C"/>
    <w:rsid w:val="00BA56FB"/>
    <w:rsid w:val="00BA5EB6"/>
    <w:rsid w:val="00BA5F37"/>
    <w:rsid w:val="00BB1470"/>
    <w:rsid w:val="00BB4BFD"/>
    <w:rsid w:val="00BB5211"/>
    <w:rsid w:val="00BB682D"/>
    <w:rsid w:val="00BC2E43"/>
    <w:rsid w:val="00BC4452"/>
    <w:rsid w:val="00BC4B39"/>
    <w:rsid w:val="00BC6A2B"/>
    <w:rsid w:val="00BD07D4"/>
    <w:rsid w:val="00BD1048"/>
    <w:rsid w:val="00BD1D3C"/>
    <w:rsid w:val="00BD245A"/>
    <w:rsid w:val="00BD378D"/>
    <w:rsid w:val="00BD3AC1"/>
    <w:rsid w:val="00BD4BBF"/>
    <w:rsid w:val="00BD501E"/>
    <w:rsid w:val="00BD6B47"/>
    <w:rsid w:val="00BD75B0"/>
    <w:rsid w:val="00BE0203"/>
    <w:rsid w:val="00BE22E3"/>
    <w:rsid w:val="00BE539B"/>
    <w:rsid w:val="00BE768F"/>
    <w:rsid w:val="00BF0F9D"/>
    <w:rsid w:val="00BF24B9"/>
    <w:rsid w:val="00BF72A3"/>
    <w:rsid w:val="00C00380"/>
    <w:rsid w:val="00C0349B"/>
    <w:rsid w:val="00C04FBB"/>
    <w:rsid w:val="00C064BF"/>
    <w:rsid w:val="00C1052E"/>
    <w:rsid w:val="00C1137D"/>
    <w:rsid w:val="00C11B52"/>
    <w:rsid w:val="00C12236"/>
    <w:rsid w:val="00C12DE8"/>
    <w:rsid w:val="00C16A4B"/>
    <w:rsid w:val="00C172FA"/>
    <w:rsid w:val="00C17E4B"/>
    <w:rsid w:val="00C219A5"/>
    <w:rsid w:val="00C2577F"/>
    <w:rsid w:val="00C3214A"/>
    <w:rsid w:val="00C324D7"/>
    <w:rsid w:val="00C32F92"/>
    <w:rsid w:val="00C34995"/>
    <w:rsid w:val="00C3520F"/>
    <w:rsid w:val="00C35EE0"/>
    <w:rsid w:val="00C36584"/>
    <w:rsid w:val="00C36755"/>
    <w:rsid w:val="00C37007"/>
    <w:rsid w:val="00C405F8"/>
    <w:rsid w:val="00C40F67"/>
    <w:rsid w:val="00C4403D"/>
    <w:rsid w:val="00C454EF"/>
    <w:rsid w:val="00C463B9"/>
    <w:rsid w:val="00C50935"/>
    <w:rsid w:val="00C50A36"/>
    <w:rsid w:val="00C510F9"/>
    <w:rsid w:val="00C51B2F"/>
    <w:rsid w:val="00C54EB3"/>
    <w:rsid w:val="00C60DC0"/>
    <w:rsid w:val="00C62DF2"/>
    <w:rsid w:val="00C63799"/>
    <w:rsid w:val="00C660A6"/>
    <w:rsid w:val="00C678D8"/>
    <w:rsid w:val="00C716F3"/>
    <w:rsid w:val="00C7783A"/>
    <w:rsid w:val="00C77D49"/>
    <w:rsid w:val="00C77FC3"/>
    <w:rsid w:val="00C816B1"/>
    <w:rsid w:val="00C81DDA"/>
    <w:rsid w:val="00C8372B"/>
    <w:rsid w:val="00C8436E"/>
    <w:rsid w:val="00C858E1"/>
    <w:rsid w:val="00C91B6D"/>
    <w:rsid w:val="00C91DAA"/>
    <w:rsid w:val="00C9246D"/>
    <w:rsid w:val="00C938A4"/>
    <w:rsid w:val="00C9438D"/>
    <w:rsid w:val="00C94A49"/>
    <w:rsid w:val="00C94F9A"/>
    <w:rsid w:val="00C9555C"/>
    <w:rsid w:val="00CA0C2C"/>
    <w:rsid w:val="00CA4FAD"/>
    <w:rsid w:val="00CA533D"/>
    <w:rsid w:val="00CA62A8"/>
    <w:rsid w:val="00CA661A"/>
    <w:rsid w:val="00CA72B3"/>
    <w:rsid w:val="00CB1CF6"/>
    <w:rsid w:val="00CB28A4"/>
    <w:rsid w:val="00CB633F"/>
    <w:rsid w:val="00CC1878"/>
    <w:rsid w:val="00CC1C4D"/>
    <w:rsid w:val="00CC27CD"/>
    <w:rsid w:val="00CC35E5"/>
    <w:rsid w:val="00CC4FB8"/>
    <w:rsid w:val="00CC5A08"/>
    <w:rsid w:val="00CC7196"/>
    <w:rsid w:val="00CD0B4A"/>
    <w:rsid w:val="00CD19A0"/>
    <w:rsid w:val="00CD3304"/>
    <w:rsid w:val="00CE1AF7"/>
    <w:rsid w:val="00CE2BA4"/>
    <w:rsid w:val="00CE545F"/>
    <w:rsid w:val="00CE59C7"/>
    <w:rsid w:val="00CE7BD8"/>
    <w:rsid w:val="00CE7D30"/>
    <w:rsid w:val="00CF32D4"/>
    <w:rsid w:val="00CF52E2"/>
    <w:rsid w:val="00CF5745"/>
    <w:rsid w:val="00CF599D"/>
    <w:rsid w:val="00CF6286"/>
    <w:rsid w:val="00CF6658"/>
    <w:rsid w:val="00D00107"/>
    <w:rsid w:val="00D01727"/>
    <w:rsid w:val="00D0345D"/>
    <w:rsid w:val="00D03BC8"/>
    <w:rsid w:val="00D0555B"/>
    <w:rsid w:val="00D10021"/>
    <w:rsid w:val="00D1058C"/>
    <w:rsid w:val="00D16300"/>
    <w:rsid w:val="00D16685"/>
    <w:rsid w:val="00D175F6"/>
    <w:rsid w:val="00D2062C"/>
    <w:rsid w:val="00D21F70"/>
    <w:rsid w:val="00D22FC2"/>
    <w:rsid w:val="00D24803"/>
    <w:rsid w:val="00D26F68"/>
    <w:rsid w:val="00D27878"/>
    <w:rsid w:val="00D3080C"/>
    <w:rsid w:val="00D31C29"/>
    <w:rsid w:val="00D34455"/>
    <w:rsid w:val="00D356D6"/>
    <w:rsid w:val="00D36249"/>
    <w:rsid w:val="00D3707F"/>
    <w:rsid w:val="00D412F0"/>
    <w:rsid w:val="00D4213B"/>
    <w:rsid w:val="00D42929"/>
    <w:rsid w:val="00D45015"/>
    <w:rsid w:val="00D45714"/>
    <w:rsid w:val="00D46FBD"/>
    <w:rsid w:val="00D505AC"/>
    <w:rsid w:val="00D51B8D"/>
    <w:rsid w:val="00D53A97"/>
    <w:rsid w:val="00D53DCC"/>
    <w:rsid w:val="00D55371"/>
    <w:rsid w:val="00D57AE8"/>
    <w:rsid w:val="00D62F21"/>
    <w:rsid w:val="00D64AB5"/>
    <w:rsid w:val="00D65D7D"/>
    <w:rsid w:val="00D702B2"/>
    <w:rsid w:val="00D75CCB"/>
    <w:rsid w:val="00D775C6"/>
    <w:rsid w:val="00D8114C"/>
    <w:rsid w:val="00D82CFA"/>
    <w:rsid w:val="00D83D2E"/>
    <w:rsid w:val="00D83E34"/>
    <w:rsid w:val="00D863F2"/>
    <w:rsid w:val="00D87076"/>
    <w:rsid w:val="00D87BA1"/>
    <w:rsid w:val="00D90615"/>
    <w:rsid w:val="00D91857"/>
    <w:rsid w:val="00D95B17"/>
    <w:rsid w:val="00D964AE"/>
    <w:rsid w:val="00D96663"/>
    <w:rsid w:val="00DA4D27"/>
    <w:rsid w:val="00DA6082"/>
    <w:rsid w:val="00DA7EC0"/>
    <w:rsid w:val="00DB10C7"/>
    <w:rsid w:val="00DB19F2"/>
    <w:rsid w:val="00DB22F9"/>
    <w:rsid w:val="00DB234B"/>
    <w:rsid w:val="00DB3DDF"/>
    <w:rsid w:val="00DB453D"/>
    <w:rsid w:val="00DB5506"/>
    <w:rsid w:val="00DB63C8"/>
    <w:rsid w:val="00DB7BC7"/>
    <w:rsid w:val="00DC1747"/>
    <w:rsid w:val="00DC2845"/>
    <w:rsid w:val="00DC32F9"/>
    <w:rsid w:val="00DC3867"/>
    <w:rsid w:val="00DC5F18"/>
    <w:rsid w:val="00DC794E"/>
    <w:rsid w:val="00DD07E1"/>
    <w:rsid w:val="00DD1F75"/>
    <w:rsid w:val="00DD21E4"/>
    <w:rsid w:val="00DD441F"/>
    <w:rsid w:val="00DD55E6"/>
    <w:rsid w:val="00DE0B93"/>
    <w:rsid w:val="00DE2F24"/>
    <w:rsid w:val="00DE4144"/>
    <w:rsid w:val="00DE62C8"/>
    <w:rsid w:val="00DF22BC"/>
    <w:rsid w:val="00DF2AF7"/>
    <w:rsid w:val="00DF3845"/>
    <w:rsid w:val="00DF4B41"/>
    <w:rsid w:val="00E00645"/>
    <w:rsid w:val="00E01C1D"/>
    <w:rsid w:val="00E04D07"/>
    <w:rsid w:val="00E06CBB"/>
    <w:rsid w:val="00E13CE2"/>
    <w:rsid w:val="00E15565"/>
    <w:rsid w:val="00E17319"/>
    <w:rsid w:val="00E209CB"/>
    <w:rsid w:val="00E22420"/>
    <w:rsid w:val="00E23DF4"/>
    <w:rsid w:val="00E25905"/>
    <w:rsid w:val="00E25EF1"/>
    <w:rsid w:val="00E262B4"/>
    <w:rsid w:val="00E266EA"/>
    <w:rsid w:val="00E302A6"/>
    <w:rsid w:val="00E30A67"/>
    <w:rsid w:val="00E3147E"/>
    <w:rsid w:val="00E33B05"/>
    <w:rsid w:val="00E33B9F"/>
    <w:rsid w:val="00E34246"/>
    <w:rsid w:val="00E34309"/>
    <w:rsid w:val="00E34960"/>
    <w:rsid w:val="00E358D1"/>
    <w:rsid w:val="00E3738D"/>
    <w:rsid w:val="00E37F91"/>
    <w:rsid w:val="00E41198"/>
    <w:rsid w:val="00E4441A"/>
    <w:rsid w:val="00E464B3"/>
    <w:rsid w:val="00E4703A"/>
    <w:rsid w:val="00E47519"/>
    <w:rsid w:val="00E534CC"/>
    <w:rsid w:val="00E60C00"/>
    <w:rsid w:val="00E610FA"/>
    <w:rsid w:val="00E62B94"/>
    <w:rsid w:val="00E661ED"/>
    <w:rsid w:val="00E71027"/>
    <w:rsid w:val="00E728CD"/>
    <w:rsid w:val="00E745F4"/>
    <w:rsid w:val="00E7493F"/>
    <w:rsid w:val="00E7746D"/>
    <w:rsid w:val="00E77A49"/>
    <w:rsid w:val="00E77A60"/>
    <w:rsid w:val="00E77E85"/>
    <w:rsid w:val="00E83015"/>
    <w:rsid w:val="00E859EE"/>
    <w:rsid w:val="00E87783"/>
    <w:rsid w:val="00E91B7F"/>
    <w:rsid w:val="00E91CA4"/>
    <w:rsid w:val="00E92F0E"/>
    <w:rsid w:val="00E9335C"/>
    <w:rsid w:val="00E95BB5"/>
    <w:rsid w:val="00E97CC9"/>
    <w:rsid w:val="00E97F04"/>
    <w:rsid w:val="00E97FEA"/>
    <w:rsid w:val="00EA05BC"/>
    <w:rsid w:val="00EA1CAF"/>
    <w:rsid w:val="00EA3015"/>
    <w:rsid w:val="00EA42BF"/>
    <w:rsid w:val="00EA4C9C"/>
    <w:rsid w:val="00EA4F8B"/>
    <w:rsid w:val="00EA61D5"/>
    <w:rsid w:val="00EA6923"/>
    <w:rsid w:val="00EB1247"/>
    <w:rsid w:val="00EB202D"/>
    <w:rsid w:val="00EB344E"/>
    <w:rsid w:val="00EB6580"/>
    <w:rsid w:val="00EC1165"/>
    <w:rsid w:val="00EC3090"/>
    <w:rsid w:val="00EC3654"/>
    <w:rsid w:val="00EC4472"/>
    <w:rsid w:val="00EC696D"/>
    <w:rsid w:val="00ED104C"/>
    <w:rsid w:val="00ED13FC"/>
    <w:rsid w:val="00ED2203"/>
    <w:rsid w:val="00ED2B18"/>
    <w:rsid w:val="00ED320F"/>
    <w:rsid w:val="00ED52B3"/>
    <w:rsid w:val="00ED7196"/>
    <w:rsid w:val="00ED7E0F"/>
    <w:rsid w:val="00EE1242"/>
    <w:rsid w:val="00EE160C"/>
    <w:rsid w:val="00EE2D4D"/>
    <w:rsid w:val="00EE39E5"/>
    <w:rsid w:val="00EE5B34"/>
    <w:rsid w:val="00EE6204"/>
    <w:rsid w:val="00EE63A6"/>
    <w:rsid w:val="00EE7CE5"/>
    <w:rsid w:val="00EF11E1"/>
    <w:rsid w:val="00EF1E61"/>
    <w:rsid w:val="00EF22D5"/>
    <w:rsid w:val="00EF24E3"/>
    <w:rsid w:val="00EF3669"/>
    <w:rsid w:val="00F017B6"/>
    <w:rsid w:val="00F0454B"/>
    <w:rsid w:val="00F04E1A"/>
    <w:rsid w:val="00F069FC"/>
    <w:rsid w:val="00F102D0"/>
    <w:rsid w:val="00F10448"/>
    <w:rsid w:val="00F10D92"/>
    <w:rsid w:val="00F1180E"/>
    <w:rsid w:val="00F201BF"/>
    <w:rsid w:val="00F2159B"/>
    <w:rsid w:val="00F2244F"/>
    <w:rsid w:val="00F24ECE"/>
    <w:rsid w:val="00F26E69"/>
    <w:rsid w:val="00F279B5"/>
    <w:rsid w:val="00F31098"/>
    <w:rsid w:val="00F311BA"/>
    <w:rsid w:val="00F339CE"/>
    <w:rsid w:val="00F33BAD"/>
    <w:rsid w:val="00F3489D"/>
    <w:rsid w:val="00F36322"/>
    <w:rsid w:val="00F36935"/>
    <w:rsid w:val="00F37951"/>
    <w:rsid w:val="00F37B27"/>
    <w:rsid w:val="00F37C57"/>
    <w:rsid w:val="00F37C71"/>
    <w:rsid w:val="00F40E09"/>
    <w:rsid w:val="00F47681"/>
    <w:rsid w:val="00F503D3"/>
    <w:rsid w:val="00F53AAA"/>
    <w:rsid w:val="00F6187E"/>
    <w:rsid w:val="00F62510"/>
    <w:rsid w:val="00F63323"/>
    <w:rsid w:val="00F6503B"/>
    <w:rsid w:val="00F70135"/>
    <w:rsid w:val="00F75051"/>
    <w:rsid w:val="00F76BB4"/>
    <w:rsid w:val="00F80CAB"/>
    <w:rsid w:val="00F8135A"/>
    <w:rsid w:val="00F81EDA"/>
    <w:rsid w:val="00F83576"/>
    <w:rsid w:val="00F83DC1"/>
    <w:rsid w:val="00F84179"/>
    <w:rsid w:val="00F8548B"/>
    <w:rsid w:val="00F90158"/>
    <w:rsid w:val="00F91ADD"/>
    <w:rsid w:val="00F9258B"/>
    <w:rsid w:val="00F94BDD"/>
    <w:rsid w:val="00F95DF4"/>
    <w:rsid w:val="00FA0F68"/>
    <w:rsid w:val="00FA140D"/>
    <w:rsid w:val="00FA2801"/>
    <w:rsid w:val="00FA3690"/>
    <w:rsid w:val="00FA652E"/>
    <w:rsid w:val="00FB1FD1"/>
    <w:rsid w:val="00FC01B7"/>
    <w:rsid w:val="00FC0270"/>
    <w:rsid w:val="00FC02C4"/>
    <w:rsid w:val="00FC05A1"/>
    <w:rsid w:val="00FC2A6F"/>
    <w:rsid w:val="00FC5A66"/>
    <w:rsid w:val="00FC648C"/>
    <w:rsid w:val="00FC7D7E"/>
    <w:rsid w:val="00FC7E1D"/>
    <w:rsid w:val="00FC7F42"/>
    <w:rsid w:val="00FD200F"/>
    <w:rsid w:val="00FD39F1"/>
    <w:rsid w:val="00FD3D99"/>
    <w:rsid w:val="00FD4400"/>
    <w:rsid w:val="00FD4F06"/>
    <w:rsid w:val="00FD659A"/>
    <w:rsid w:val="00FE2178"/>
    <w:rsid w:val="00FE267C"/>
    <w:rsid w:val="00FE3BCA"/>
    <w:rsid w:val="00FE484E"/>
    <w:rsid w:val="00FE4CF8"/>
    <w:rsid w:val="00FE4E0C"/>
    <w:rsid w:val="00FE6AD2"/>
    <w:rsid w:val="00FE7D62"/>
    <w:rsid w:val="00FF0BD9"/>
    <w:rsid w:val="00FF1F96"/>
    <w:rsid w:val="00FF2CF7"/>
    <w:rsid w:val="00FF3B12"/>
    <w:rsid w:val="00FF42CA"/>
    <w:rsid w:val="00FF4408"/>
    <w:rsid w:val="00FF6FB6"/>
    <w:rsid w:val="065B4274"/>
    <w:rsid w:val="09142229"/>
    <w:rsid w:val="0B2A39A7"/>
    <w:rsid w:val="0E8611C8"/>
    <w:rsid w:val="12A90552"/>
    <w:rsid w:val="169F744C"/>
    <w:rsid w:val="181C294C"/>
    <w:rsid w:val="1E6334E7"/>
    <w:rsid w:val="24CE24B1"/>
    <w:rsid w:val="29B70A4B"/>
    <w:rsid w:val="2D3453F4"/>
    <w:rsid w:val="2DB209BA"/>
    <w:rsid w:val="30AF1A4D"/>
    <w:rsid w:val="35577297"/>
    <w:rsid w:val="3A420A09"/>
    <w:rsid w:val="3A8D4C20"/>
    <w:rsid w:val="3C2B1BC1"/>
    <w:rsid w:val="43B10F45"/>
    <w:rsid w:val="43FD3AD2"/>
    <w:rsid w:val="46F17B5F"/>
    <w:rsid w:val="490354A4"/>
    <w:rsid w:val="4AA6422F"/>
    <w:rsid w:val="4B6857F4"/>
    <w:rsid w:val="4D684ECB"/>
    <w:rsid w:val="50A1286C"/>
    <w:rsid w:val="562A2835"/>
    <w:rsid w:val="59E73C46"/>
    <w:rsid w:val="5D09140F"/>
    <w:rsid w:val="61256453"/>
    <w:rsid w:val="61AF65F9"/>
    <w:rsid w:val="64C47100"/>
    <w:rsid w:val="6EE856D6"/>
    <w:rsid w:val="71663DE2"/>
    <w:rsid w:val="744513BC"/>
    <w:rsid w:val="7B42611A"/>
    <w:rsid w:val="7C0E7550"/>
    <w:rsid w:val="7D17230A"/>
    <w:rsid w:val="7E1C5361"/>
    <w:rsid w:val="7E5B58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3"/>
    <w:qFormat/>
    <w:uiPriority w:val="9"/>
    <w:pPr>
      <w:keepNext/>
      <w:keepLines/>
      <w:spacing w:before="340" w:after="330" w:line="578" w:lineRule="auto"/>
      <w:outlineLvl w:val="0"/>
    </w:pPr>
    <w:rPr>
      <w:b/>
      <w:bCs/>
      <w:kern w:val="44"/>
      <w:sz w:val="44"/>
      <w:szCs w:val="44"/>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5">
    <w:name w:val="Normal Indent"/>
    <w:basedOn w:val="1"/>
    <w:link w:val="32"/>
    <w:qFormat/>
    <w:uiPriority w:val="0"/>
    <w:pPr>
      <w:snapToGrid w:val="0"/>
      <w:spacing w:line="360" w:lineRule="auto"/>
      <w:ind w:firstLine="420" w:firstLineChars="200"/>
    </w:pPr>
  </w:style>
  <w:style w:type="paragraph" w:styleId="6">
    <w:name w:val="Document Map"/>
    <w:basedOn w:val="1"/>
    <w:semiHidden/>
    <w:qFormat/>
    <w:uiPriority w:val="0"/>
    <w:pPr>
      <w:shd w:val="clear" w:color="auto" w:fill="000080"/>
    </w:pPr>
  </w:style>
  <w:style w:type="paragraph" w:styleId="7">
    <w:name w:val="annotation text"/>
    <w:basedOn w:val="1"/>
    <w:link w:val="36"/>
    <w:unhideWhenUsed/>
    <w:qFormat/>
    <w:uiPriority w:val="99"/>
    <w:pPr>
      <w:jc w:val="left"/>
    </w:pPr>
  </w:style>
  <w:style w:type="paragraph" w:styleId="8">
    <w:name w:val="Body Text"/>
    <w:basedOn w:val="1"/>
    <w:link w:val="40"/>
    <w:qFormat/>
    <w:uiPriority w:val="0"/>
    <w:pPr>
      <w:spacing w:after="120"/>
    </w:pPr>
  </w:style>
  <w:style w:type="paragraph" w:styleId="9">
    <w:name w:val="Plain Text"/>
    <w:basedOn w:val="1"/>
    <w:link w:val="24"/>
    <w:qFormat/>
    <w:uiPriority w:val="0"/>
    <w:rPr>
      <w:rFonts w:ascii="宋体" w:hAnsi="Courier New"/>
      <w:kern w:val="0"/>
      <w:sz w:val="20"/>
      <w:szCs w:val="21"/>
    </w:rPr>
  </w:style>
  <w:style w:type="paragraph" w:styleId="10">
    <w:name w:val="Date"/>
    <w:basedOn w:val="1"/>
    <w:next w:val="1"/>
    <w:qFormat/>
    <w:uiPriority w:val="0"/>
    <w:pPr>
      <w:ind w:left="100" w:leftChars="2500"/>
    </w:pPr>
  </w:style>
  <w:style w:type="paragraph" w:styleId="11">
    <w:name w:val="Balloon Text"/>
    <w:basedOn w:val="1"/>
    <w:link w:val="31"/>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18"/>
    </w:rPr>
  </w:style>
  <w:style w:type="paragraph" w:styleId="13">
    <w:name w:val="header"/>
    <w:basedOn w:val="1"/>
    <w:link w:val="26"/>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semiHidden/>
    <w:unhideWhenUsed/>
    <w:qFormat/>
    <w:uiPriority w:val="99"/>
    <w:pPr>
      <w:jc w:val="left"/>
    </w:pPr>
    <w:rPr>
      <w:kern w:val="0"/>
      <w:sz w:val="24"/>
    </w:rPr>
  </w:style>
  <w:style w:type="paragraph" w:styleId="15">
    <w:name w:val="annotation subject"/>
    <w:basedOn w:val="7"/>
    <w:next w:val="7"/>
    <w:link w:val="42"/>
    <w:semiHidden/>
    <w:unhideWhenUsed/>
    <w:qFormat/>
    <w:uiPriority w:val="99"/>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qFormat/>
    <w:uiPriority w:val="99"/>
    <w:rPr>
      <w:color w:val="484A4B"/>
      <w:u w:val="none"/>
    </w:rPr>
  </w:style>
  <w:style w:type="character" w:styleId="20">
    <w:name w:val="Emphasis"/>
    <w:basedOn w:val="18"/>
    <w:qFormat/>
    <w:uiPriority w:val="20"/>
    <w:rPr>
      <w:i/>
      <w:color w:val="D8800E"/>
    </w:rPr>
  </w:style>
  <w:style w:type="character" w:styleId="21">
    <w:name w:val="Hyperlink"/>
    <w:qFormat/>
    <w:uiPriority w:val="0"/>
    <w:rPr>
      <w:color w:val="0000FF"/>
      <w:u w:val="single"/>
    </w:rPr>
  </w:style>
  <w:style w:type="character" w:styleId="22">
    <w:name w:val="annotation reference"/>
    <w:basedOn w:val="18"/>
    <w:unhideWhenUsed/>
    <w:qFormat/>
    <w:uiPriority w:val="99"/>
    <w:rPr>
      <w:sz w:val="21"/>
      <w:szCs w:val="21"/>
    </w:rPr>
  </w:style>
  <w:style w:type="character" w:customStyle="1" w:styleId="23">
    <w:name w:val="标题 1 字符"/>
    <w:basedOn w:val="18"/>
    <w:link w:val="4"/>
    <w:qFormat/>
    <w:uiPriority w:val="9"/>
    <w:rPr>
      <w:b/>
      <w:bCs/>
      <w:kern w:val="44"/>
      <w:sz w:val="44"/>
      <w:szCs w:val="44"/>
    </w:rPr>
  </w:style>
  <w:style w:type="character" w:customStyle="1" w:styleId="24">
    <w:name w:val="纯文本 字符"/>
    <w:link w:val="9"/>
    <w:qFormat/>
    <w:uiPriority w:val="0"/>
    <w:rPr>
      <w:rFonts w:ascii="宋体" w:hAnsi="Courier New"/>
      <w:szCs w:val="21"/>
    </w:rPr>
  </w:style>
  <w:style w:type="paragraph" w:customStyle="1" w:styleId="25">
    <w:name w:val="Char1"/>
    <w:basedOn w:val="1"/>
    <w:qFormat/>
    <w:uiPriority w:val="0"/>
    <w:rPr>
      <w:rFonts w:ascii="仿宋_GB2312" w:eastAsia="仿宋_GB2312"/>
      <w:b/>
      <w:sz w:val="32"/>
      <w:szCs w:val="32"/>
    </w:rPr>
  </w:style>
  <w:style w:type="character" w:customStyle="1" w:styleId="26">
    <w:name w:val="页眉 字符"/>
    <w:link w:val="13"/>
    <w:qFormat/>
    <w:uiPriority w:val="99"/>
    <w:rPr>
      <w:kern w:val="2"/>
      <w:sz w:val="18"/>
      <w:szCs w:val="18"/>
    </w:rPr>
  </w:style>
  <w:style w:type="character" w:customStyle="1" w:styleId="27">
    <w:name w:val="页脚 字符"/>
    <w:link w:val="12"/>
    <w:qFormat/>
    <w:uiPriority w:val="99"/>
    <w:rPr>
      <w:kern w:val="2"/>
      <w:sz w:val="18"/>
      <w:szCs w:val="18"/>
    </w:rPr>
  </w:style>
  <w:style w:type="paragraph" w:customStyle="1" w:styleId="28">
    <w:name w:val="！1级标题"/>
    <w:basedOn w:val="1"/>
    <w:qFormat/>
    <w:uiPriority w:val="0"/>
    <w:pPr>
      <w:spacing w:beforeLines="50" w:afterLines="50"/>
      <w:jc w:val="center"/>
      <w:outlineLvl w:val="2"/>
    </w:pPr>
    <w:rPr>
      <w:rFonts w:ascii="黑体" w:hAnsi="黑体" w:eastAsia="黑体"/>
      <w:sz w:val="28"/>
      <w:szCs w:val="32"/>
    </w:rPr>
  </w:style>
  <w:style w:type="paragraph" w:customStyle="1" w:styleId="29">
    <w:name w:val="！表格内容"/>
    <w:basedOn w:val="1"/>
    <w:qFormat/>
    <w:uiPriority w:val="0"/>
    <w:pPr>
      <w:spacing w:line="320" w:lineRule="atLeast"/>
    </w:pPr>
  </w:style>
  <w:style w:type="paragraph" w:customStyle="1" w:styleId="30">
    <w:name w:val="列出段落1"/>
    <w:basedOn w:val="1"/>
    <w:qFormat/>
    <w:uiPriority w:val="34"/>
    <w:pPr>
      <w:ind w:firstLine="420" w:firstLineChars="200"/>
    </w:pPr>
    <w:rPr>
      <w:rFonts w:ascii="Calibri" w:hAnsi="Calibri"/>
      <w:szCs w:val="22"/>
    </w:rPr>
  </w:style>
  <w:style w:type="character" w:customStyle="1" w:styleId="31">
    <w:name w:val="批注框文本 字符"/>
    <w:link w:val="11"/>
    <w:qFormat/>
    <w:uiPriority w:val="0"/>
    <w:rPr>
      <w:kern w:val="2"/>
      <w:sz w:val="18"/>
      <w:szCs w:val="18"/>
    </w:rPr>
  </w:style>
  <w:style w:type="character" w:customStyle="1" w:styleId="32">
    <w:name w:val="正文缩进 字符"/>
    <w:link w:val="5"/>
    <w:qFormat/>
    <w:uiPriority w:val="0"/>
    <w:rPr>
      <w:kern w:val="2"/>
      <w:sz w:val="21"/>
      <w:szCs w:val="24"/>
    </w:rPr>
  </w:style>
  <w:style w:type="paragraph" w:customStyle="1" w:styleId="33">
    <w:name w:val="内正文"/>
    <w:basedOn w:val="1"/>
    <w:qFormat/>
    <w:uiPriority w:val="0"/>
    <w:pPr>
      <w:ind w:firstLine="420"/>
    </w:pPr>
    <w:rPr>
      <w:rFonts w:eastAsia="文鼎CS书宋二"/>
      <w:szCs w:val="20"/>
    </w:rPr>
  </w:style>
  <w:style w:type="paragraph" w:customStyle="1" w:styleId="34">
    <w:name w:val="表格标题"/>
    <w:basedOn w:val="1"/>
    <w:qFormat/>
    <w:uiPriority w:val="0"/>
    <w:pPr>
      <w:spacing w:before="120" w:after="60"/>
      <w:jc w:val="center"/>
    </w:pPr>
    <w:rPr>
      <w:rFonts w:eastAsia="文鼎CS大宋"/>
      <w:w w:val="95"/>
      <w:sz w:val="28"/>
      <w:szCs w:val="20"/>
    </w:rPr>
  </w:style>
  <w:style w:type="paragraph" w:customStyle="1" w:styleId="35">
    <w:name w:val="！章"/>
    <w:basedOn w:val="1"/>
    <w:qFormat/>
    <w:uiPriority w:val="0"/>
    <w:pPr>
      <w:pageBreakBefore/>
      <w:spacing w:beforeLines="100" w:afterLines="100"/>
      <w:jc w:val="center"/>
      <w:outlineLvl w:val="1"/>
    </w:pPr>
    <w:rPr>
      <w:rFonts w:ascii="黑体" w:hAnsi="黑体" w:eastAsia="黑体"/>
      <w:sz w:val="30"/>
    </w:rPr>
  </w:style>
  <w:style w:type="character" w:customStyle="1" w:styleId="36">
    <w:name w:val="批注文字 字符"/>
    <w:basedOn w:val="18"/>
    <w:link w:val="7"/>
    <w:semiHidden/>
    <w:qFormat/>
    <w:uiPriority w:val="99"/>
    <w:rPr>
      <w:kern w:val="2"/>
      <w:sz w:val="21"/>
      <w:szCs w:val="24"/>
    </w:rPr>
  </w:style>
  <w:style w:type="paragraph" w:styleId="37">
    <w:name w:val="List Paragraph"/>
    <w:basedOn w:val="1"/>
    <w:unhideWhenUsed/>
    <w:qFormat/>
    <w:uiPriority w:val="99"/>
    <w:pPr>
      <w:ind w:firstLine="420" w:firstLineChars="200"/>
    </w:pPr>
  </w:style>
  <w:style w:type="paragraph" w:customStyle="1" w:styleId="38">
    <w:name w:val="左对齐正文"/>
    <w:basedOn w:val="1"/>
    <w:link w:val="39"/>
    <w:qFormat/>
    <w:uiPriority w:val="0"/>
    <w:pPr>
      <w:spacing w:line="360" w:lineRule="auto"/>
      <w:ind w:firstLine="200" w:firstLineChars="200"/>
      <w:jc w:val="left"/>
    </w:pPr>
    <w:rPr>
      <w:rFonts w:ascii="宋体" w:hAnsi="宋体"/>
      <w:kern w:val="0"/>
      <w:sz w:val="24"/>
      <w:szCs w:val="28"/>
    </w:rPr>
  </w:style>
  <w:style w:type="character" w:customStyle="1" w:styleId="39">
    <w:name w:val="左对齐正文 Char"/>
    <w:link w:val="38"/>
    <w:qFormat/>
    <w:uiPriority w:val="0"/>
    <w:rPr>
      <w:rFonts w:ascii="宋体" w:hAnsi="宋体"/>
      <w:sz w:val="24"/>
      <w:szCs w:val="28"/>
    </w:rPr>
  </w:style>
  <w:style w:type="character" w:customStyle="1" w:styleId="40">
    <w:name w:val="正文文本 字符"/>
    <w:basedOn w:val="18"/>
    <w:link w:val="8"/>
    <w:qFormat/>
    <w:uiPriority w:val="0"/>
    <w:rPr>
      <w:kern w:val="2"/>
      <w:sz w:val="21"/>
      <w:szCs w:val="24"/>
    </w:rPr>
  </w:style>
  <w:style w:type="paragraph" w:customStyle="1" w:styleId="41">
    <w:name w:val="Table Paragraph"/>
    <w:basedOn w:val="1"/>
    <w:qFormat/>
    <w:uiPriority w:val="1"/>
    <w:pPr>
      <w:jc w:val="left"/>
    </w:pPr>
    <w:rPr>
      <w:rFonts w:ascii="Calibri" w:hAnsi="Calibri"/>
      <w:kern w:val="0"/>
      <w:sz w:val="22"/>
      <w:szCs w:val="22"/>
      <w:lang w:eastAsia="en-US"/>
    </w:rPr>
  </w:style>
  <w:style w:type="character" w:customStyle="1" w:styleId="42">
    <w:name w:val="批注主题 字符"/>
    <w:basedOn w:val="36"/>
    <w:link w:val="15"/>
    <w:semiHidden/>
    <w:qFormat/>
    <w:uiPriority w:val="99"/>
    <w:rPr>
      <w:b/>
      <w:bCs/>
      <w:kern w:val="2"/>
      <w:sz w:val="21"/>
      <w:szCs w:val="24"/>
    </w:rPr>
  </w:style>
  <w:style w:type="paragraph" w:customStyle="1" w:styleId="43">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44">
    <w:name w:val="active"/>
    <w:basedOn w:val="18"/>
    <w:qFormat/>
    <w:uiPriority w:val="0"/>
  </w:style>
  <w:style w:type="character" w:customStyle="1" w:styleId="45">
    <w:name w:val="time"/>
    <w:basedOn w:val="18"/>
    <w:qFormat/>
    <w:uiPriority w:val="0"/>
  </w:style>
  <w:style w:type="character" w:customStyle="1" w:styleId="46">
    <w:name w:val="datebox"/>
    <w:basedOn w:val="18"/>
    <w:qFormat/>
    <w:uiPriority w:val="0"/>
  </w:style>
  <w:style w:type="character" w:customStyle="1" w:styleId="47">
    <w:name w:val="datebox1"/>
    <w:basedOn w:val="18"/>
    <w:qFormat/>
    <w:uiPriority w:val="0"/>
  </w:style>
  <w:style w:type="character" w:customStyle="1" w:styleId="48">
    <w:name w:val="active6"/>
    <w:basedOn w:val="18"/>
    <w:qFormat/>
    <w:uiPriority w:val="0"/>
  </w:style>
  <w:style w:type="paragraph" w:customStyle="1" w:styleId="49">
    <w:name w:val="_Style 44"/>
    <w:basedOn w:val="1"/>
    <w:next w:val="1"/>
    <w:qFormat/>
    <w:uiPriority w:val="0"/>
    <w:pPr>
      <w:pBdr>
        <w:bottom w:val="single" w:color="auto" w:sz="6" w:space="1"/>
      </w:pBdr>
      <w:jc w:val="center"/>
    </w:pPr>
    <w:rPr>
      <w:rFonts w:ascii="Arial"/>
      <w:vanish/>
      <w:sz w:val="16"/>
    </w:rPr>
  </w:style>
  <w:style w:type="paragraph" w:customStyle="1" w:styleId="50">
    <w:name w:val="_Style 45"/>
    <w:basedOn w:val="1"/>
    <w:next w:val="1"/>
    <w:qFormat/>
    <w:uiPriority w:val="0"/>
    <w:pPr>
      <w:pBdr>
        <w:top w:val="single" w:color="auto" w:sz="6" w:space="1"/>
      </w:pBdr>
      <w:jc w:val="center"/>
    </w:pPr>
    <w:rPr>
      <w:rFonts w:ascii="Arial"/>
      <w:vanish/>
      <w:sz w:val="16"/>
    </w:rPr>
  </w:style>
  <w:style w:type="paragraph" w:customStyle="1" w:styleId="51">
    <w:name w:val="_Style 48"/>
    <w:basedOn w:val="1"/>
    <w:next w:val="1"/>
    <w:qFormat/>
    <w:uiPriority w:val="0"/>
    <w:pPr>
      <w:pBdr>
        <w:bottom w:val="single" w:color="auto" w:sz="6" w:space="1"/>
      </w:pBdr>
      <w:jc w:val="center"/>
    </w:pPr>
    <w:rPr>
      <w:rFonts w:ascii="Arial"/>
      <w:vanish/>
      <w:sz w:val="16"/>
    </w:rPr>
  </w:style>
  <w:style w:type="paragraph" w:customStyle="1" w:styleId="52">
    <w:name w:val="_Style 49"/>
    <w:basedOn w:val="1"/>
    <w:next w:val="1"/>
    <w:qFormat/>
    <w:uiPriority w:val="0"/>
    <w:pPr>
      <w:pBdr>
        <w:top w:val="single" w:color="auto" w:sz="6" w:space="1"/>
      </w:pBdr>
      <w:jc w:val="center"/>
    </w:pPr>
    <w:rPr>
      <w:rFonts w:ascii="Arial"/>
      <w:vanish/>
      <w:sz w:val="16"/>
    </w:rPr>
  </w:style>
  <w:style w:type="paragraph" w:customStyle="1" w:styleId="53">
    <w:name w:val="_Style 51"/>
    <w:basedOn w:val="1"/>
    <w:next w:val="1"/>
    <w:qFormat/>
    <w:uiPriority w:val="0"/>
    <w:pPr>
      <w:pBdr>
        <w:bottom w:val="single" w:color="auto" w:sz="6" w:space="1"/>
      </w:pBdr>
      <w:jc w:val="center"/>
    </w:pPr>
    <w:rPr>
      <w:rFonts w:ascii="Arial"/>
      <w:vanish/>
      <w:sz w:val="16"/>
    </w:rPr>
  </w:style>
  <w:style w:type="paragraph" w:customStyle="1" w:styleId="54">
    <w:name w:val="_Style 52"/>
    <w:basedOn w:val="1"/>
    <w:next w:val="1"/>
    <w:qFormat/>
    <w:uiPriority w:val="0"/>
    <w:pPr>
      <w:pBdr>
        <w:top w:val="single" w:color="auto" w:sz="6" w:space="1"/>
      </w:pBdr>
      <w:jc w:val="center"/>
    </w:pPr>
    <w:rPr>
      <w:rFonts w:ascii="Arial"/>
      <w:vanish/>
      <w:sz w:val="16"/>
    </w:rPr>
  </w:style>
  <w:style w:type="paragraph" w:customStyle="1" w:styleId="55">
    <w:name w:val="修订2"/>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D4C59-07A1-494C-84D6-8933716CC58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1677</Words>
  <Characters>1907</Characters>
  <Lines>13</Lines>
  <Paragraphs>3</Paragraphs>
  <TotalTime>475</TotalTime>
  <ScaleCrop>false</ScaleCrop>
  <LinksUpToDate>false</LinksUpToDate>
  <CharactersWithSpaces>1917</CharactersWithSpaces>
  <Application>WPS Office_11.1.0.12300_F1E327BC-269C-435d-A152-05C5408002CA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2023-04-20T02:02:00Z</dcterms:created>
  <dc:creator>微软用户</dc:creator>
  <cp:lastModifiedBy>冯浩然</cp:lastModifiedBy>
  <cp:lastPrinted>2023-06-28T10:50:00Z</cp:lastPrinted>
  <dcterms:modified xsi:type="dcterms:W3CDTF">2026-07-27T07:57:55Z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3A80F362A30041BCA02D1ED12AFD4DEB</vt:lpwstr>
  </property>
  <property fmtid="{D5CDD505-2E9C-101B-9397-08002B2CF9AE}" pid="4" name="KSOTemplateDocerSaveRecord">
    <vt:lpwstr>eyJoZGlkIjoiYjc1Nzk4NDNhZjQ1YmU4NzM3MGNiY2ZhMDhmMTIwMGUiLCJ1c2VySWQiOiIxOTM4MzU1MzkifQ==</vt:lpwstr>
  </property>
</Properties>
</file>