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8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highlight w:val="none"/>
        </w:rPr>
        <w:t>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highlight w:val="none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highlight w:val="none"/>
        </w:rPr>
        <w:t>函</w:t>
      </w:r>
    </w:p>
    <w:p w14:paraId="2BF44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</w:p>
    <w:p w14:paraId="6F7B2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各单位：</w:t>
      </w:r>
    </w:p>
    <w:p w14:paraId="560C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我司现就粤海城T2栋π创空间24楼展陈设计及安装服务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进行公开询价，欢迎各报价单位就本次采购内容进行报价。具体事项说明如下：</w:t>
      </w:r>
    </w:p>
    <w:p w14:paraId="22E6B10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项目名称</w:t>
      </w:r>
    </w:p>
    <w:p w14:paraId="2B10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粤海城T2栋π创空间24楼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展陈设计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及安装服务</w:t>
      </w:r>
    </w:p>
    <w:p w14:paraId="0B66594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项目概况</w:t>
      </w:r>
    </w:p>
    <w:p w14:paraId="5081A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50"/>
        </w:tabs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粤海城T2栋π创空间24楼拟打造为展示区域，供入驻项目展示自身产品与技术成果，既是企业对外宣传的重要窗口，也是π创空间整体形象与孵化成果的集中展示平台，让单一的办公空间成为初创者的创新交流平台与成果展示舞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5164C2F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采购单位</w:t>
      </w:r>
    </w:p>
    <w:p w14:paraId="13F0784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深圳市罗湖产业招商服务有限公司（合同签约主体为深圳市罗湖投控产城有限公司）</w:t>
      </w:r>
    </w:p>
    <w:p w14:paraId="7769F9E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采购内容</w:t>
      </w:r>
    </w:p>
    <w:p w14:paraId="3008B72C">
      <w:pPr>
        <w:pStyle w:val="16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right="0" w:firstLine="64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展陈设计：VI系统设计（孵化器LOGO设计、基础VI规范、应用VI设计）。办公空间动线规划及展项UI设计（17楼、24楼办公空间动线规划、全套空间标牌造型设计）等。</w:t>
      </w:r>
    </w:p>
    <w:p w14:paraId="2DAC704E">
      <w:pPr>
        <w:pStyle w:val="16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VI展示与空间动线规划施工：展示墙施工、入口走廊和17楼前台发光施工、迎宾厅施工、专利墙和展示墙施工等；安装需牢固规范，调试确保正常运行，配合完成验收并对验收问题及时整改至合格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6D5DDA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采购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要求</w:t>
      </w:r>
    </w:p>
    <w:p w14:paraId="5C92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（一）服务方式</w:t>
      </w:r>
    </w:p>
    <w:p w14:paraId="6E94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1、设计方案需经采购方确认，制作安装符合国家行业标准，如有发现问题的由采购人联系制作单位整改；</w:t>
      </w:r>
    </w:p>
    <w:p w14:paraId="5CF7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2、服务期限内提供7*24小时响应。</w:t>
      </w:r>
    </w:p>
    <w:p w14:paraId="33A3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（二）服务期限</w:t>
      </w:r>
    </w:p>
    <w:p w14:paraId="28A41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服务期限为30天。</w:t>
      </w:r>
    </w:p>
    <w:p w14:paraId="3D3A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（三）服务团队人员要求</w:t>
      </w:r>
    </w:p>
    <w:p w14:paraId="751B6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项目负责人要求：有此类项目管理经验，能及时响应并解决问题，最终取得相应的交付物。</w:t>
      </w:r>
    </w:p>
    <w:p w14:paraId="309A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各专业服务人员要求：熟悉使用相关工具，对制作安装灯箱有较高的经验，能及时发现问题。</w:t>
      </w:r>
    </w:p>
    <w:p w14:paraId="4BFC58F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五、报价单位资格要求</w:t>
      </w:r>
    </w:p>
    <w:p w14:paraId="7D8A1849">
      <w:pPr>
        <w:autoSpaceDE w:val="0"/>
        <w:spacing w:line="560" w:lineRule="exact"/>
        <w:ind w:firstLine="645"/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 w:bidi="ar"/>
        </w:rPr>
        <w:t>1.供应商须为中华人民共和国境内（不含港、澳、台地区）注册的独立法人，属于展陈制作、图文设计类相关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公司，连续正常执业3年（含）以上，具备有效的营业执照、相关行业资质证书等。</w:t>
      </w:r>
    </w:p>
    <w:p w14:paraId="228F06EB">
      <w:pPr>
        <w:tabs>
          <w:tab w:val="left" w:pos="720"/>
        </w:tabs>
        <w:autoSpaceDE/>
        <w:spacing w:line="240" w:lineRule="auto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w w:val="100"/>
          <w:sz w:val="32"/>
          <w:szCs w:val="32"/>
          <w:vertAlign w:val="baseline"/>
          <w:lang w:val="en-US" w:eastAsia="zh-CN" w:bidi="ar-SA"/>
        </w:rPr>
        <w:t>资信状况良好，3年内未受过监管处罚，在经营活动中没有重大违法记录，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过往同类项目服务口碑良好。</w:t>
      </w:r>
    </w:p>
    <w:p w14:paraId="06F4FF43">
      <w:pPr>
        <w:autoSpaceDE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  <w:t>本项目不允许挂靠和转包，不接受联合体投标人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 w:bidi="ar"/>
        </w:rPr>
        <w:t>。</w:t>
      </w:r>
    </w:p>
    <w:p w14:paraId="49A99ED5">
      <w:pPr>
        <w:autoSpaceDE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  <w:t>拥有专业团队、丰富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 w:bidi="ar"/>
        </w:rPr>
        <w:t>项目经验优先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  <w:t>。</w:t>
      </w:r>
    </w:p>
    <w:p w14:paraId="14BDDE34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六、报价上限</w:t>
      </w:r>
    </w:p>
    <w:p w14:paraId="55885F4F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/>
          <w:lang w:val="en-US" w:eastAsia="zh-CN"/>
        </w:rPr>
        <w:t>上限价为人民币294538.00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highlight w:val="none"/>
          <w:shd w:val="clear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/>
          <w:lang w:val="en-US" w:eastAsia="zh-CN"/>
        </w:rPr>
        <w:t>大写：贰拾玖万肆仟伍佰叁拾捌圆整），以上为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2D38FCD0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七、报价及响应材料</w:t>
      </w:r>
    </w:p>
    <w:p w14:paraId="49658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1.报价要求</w:t>
      </w:r>
    </w:p>
    <w:p w14:paraId="418AD579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报价一经认可，即为签订合同的最终依据。请各供应商按附件报价函及附件格式进行填写，并加盖公章，于202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日12:00前发送至邮箱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：lhtz_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cbhy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@szlh.gov.cn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，同时抄送至邮箱：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562925668@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qq.com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u w:val="none"/>
          <w:lang w:val="en-US" w:eastAsia="zh-CN"/>
        </w:rPr>
        <w:t>邮件标题注明“项目名称+报价单位名称”）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，逾期视为废标。纸质版（一份）递交至罗湖投控大厦B座20楼成本合约部（可邮寄，详细地址见“八、联系方式”）。</w:t>
      </w:r>
    </w:p>
    <w:p w14:paraId="649126E3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2.报价须知</w:t>
      </w:r>
    </w:p>
    <w:p w14:paraId="5E6D6AAA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本次报价为一次性报价，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报价单位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如对本询价函报价，即表示认可我方提出的要求，且不可撤回。否则，该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报价单位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将被记入不诚信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报价单位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名单，在今后规定的时间内不得参与我方组织的任何招标采购活动。</w:t>
      </w:r>
    </w:p>
    <w:p w14:paraId="1742E5F4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（2）报价函均为采购合同的组成部分。</w:t>
      </w:r>
    </w:p>
    <w:p w14:paraId="71F97CB4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trike/>
          <w:dstrike w:val="0"/>
          <w:color w:val="FF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（3）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报价单位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在采购过程中应遵守诚实信用的原则，在采购及合同履行过程中，如发现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报价单位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有欺诈等不诚实行为及违反合同约定等行为，将会受到列入黑名单、网上通报等处理。希望各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报价单位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在认真阅读询价函内容后再进行报价。</w:t>
      </w:r>
    </w:p>
    <w:p w14:paraId="3994A018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报价附件</w:t>
      </w:r>
    </w:p>
    <w:p w14:paraId="65363C52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报价单位应当将以下材料作为报价函附件上报，包括但不限于：</w:t>
      </w:r>
    </w:p>
    <w:p w14:paraId="11DD329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公司简介。包括设立时间、注册和实际运营地址、主营业务等。</w:t>
      </w:r>
    </w:p>
    <w:p w14:paraId="532B0A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baseline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   2）服务方案。包含有效营业执照、相关行业资质证书等。</w:t>
      </w:r>
    </w:p>
    <w:p w14:paraId="29CF6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八、联系方式</w:t>
      </w:r>
    </w:p>
    <w:p w14:paraId="6127BE2D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招采联系人：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>马工</w:t>
      </w:r>
    </w:p>
    <w:p w14:paraId="70F4D9BA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>0755-82668392</w:t>
      </w:r>
    </w:p>
    <w:p w14:paraId="1A326697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联系地址：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/>
        </w:rPr>
        <w:t>罗湖区清水河街道清水河一路112号罗湖投控大厦B座20楼成本合约部</w:t>
      </w:r>
    </w:p>
    <w:p w14:paraId="12FFCE25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业务联系人：罗玮</w:t>
      </w:r>
    </w:p>
    <w:p w14:paraId="5B40B145">
      <w:pPr>
        <w:pStyle w:val="1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联系电话：15989442442</w:t>
      </w:r>
    </w:p>
    <w:p w14:paraId="26CBA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49C0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报价函模板</w:t>
      </w:r>
    </w:p>
    <w:p w14:paraId="12A02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2.评分细则表</w:t>
      </w:r>
    </w:p>
    <w:p w14:paraId="2E13D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</w:p>
    <w:p w14:paraId="1DF35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</w:p>
    <w:p w14:paraId="793C4A0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深圳市罗湖产业招商服务有限公司</w:t>
      </w:r>
    </w:p>
    <w:p w14:paraId="4636D4AE">
      <w:pPr>
        <w:pStyle w:val="21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40"/>
          <w:lang w:val="en-US" w:eastAsia="zh-CN"/>
        </w:rPr>
        <w:t>6月11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 </w:t>
      </w:r>
    </w:p>
    <w:p w14:paraId="61EFD1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073AFC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13C84A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79F0F1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33AAB0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212362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012E0F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outlineLvl w:val="0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附件1：报价函</w:t>
      </w:r>
    </w:p>
    <w:p w14:paraId="72A6D1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880" w:firstLineChars="200"/>
        <w:jc w:val="both"/>
        <w:rPr>
          <w:rFonts w:asciiTheme="majorEastAsia" w:hAnsiTheme="majorEastAsia" w:eastAsiaTheme="majorEastAsia" w:cstheme="majorEastAsia"/>
          <w:sz w:val="44"/>
          <w:szCs w:val="44"/>
          <w:highlight w:val="none"/>
        </w:rPr>
      </w:pPr>
    </w:p>
    <w:p w14:paraId="179B1F1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函</w:t>
      </w:r>
    </w:p>
    <w:p w14:paraId="7642DF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880" w:firstLineChars="200"/>
        <w:jc w:val="both"/>
        <w:rPr>
          <w:rFonts w:asciiTheme="majorEastAsia" w:hAnsiTheme="majorEastAsia" w:eastAsiaTheme="majorEastAsia" w:cstheme="majorEastAsia"/>
          <w:sz w:val="44"/>
          <w:szCs w:val="52"/>
          <w:highlight w:val="none"/>
        </w:rPr>
      </w:pPr>
    </w:p>
    <w:p w14:paraId="6716A87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baseline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深圳市罗湖产业招商服务有限公司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：</w:t>
      </w:r>
    </w:p>
    <w:p w14:paraId="6423DC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贵司询价函我司已收悉，决定参与报价，现就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single"/>
        </w:rPr>
        <w:t>粤海城T2栋π创空间24楼展陈设计及安装服务”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报价如下：</w:t>
      </w:r>
    </w:p>
    <w:p w14:paraId="7C1EBA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我方愿意按照询价函规定的各项要求，向贵司提供相应服务，含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增值税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总报价为人民币（大写）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元（小写：</w:t>
      </w:r>
      <w:r>
        <w:rPr>
          <w:rFonts w:hint="eastAsia" w:ascii="宋体" w:hAnsi="宋体" w:eastAsia="宋体" w:cs="宋体"/>
          <w:sz w:val="32"/>
          <w:szCs w:val="40"/>
          <w:highlight w:val="none"/>
        </w:rPr>
        <w:t>￥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元）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报价明细详见附件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）。</w:t>
      </w:r>
    </w:p>
    <w:p w14:paraId="358953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二、一旦我方中选，双方合同签字生效后，我方将严格履行合同规定的职责和义务，保证按照合同要求贵司要求提供服务。</w:t>
      </w:r>
    </w:p>
    <w:p w14:paraId="0A01D0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三、我方提供给贵单位的与本项目采购有关的文件资料，保证文件资料的真实性和准确性。</w:t>
      </w:r>
    </w:p>
    <w:p w14:paraId="326A26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</w:p>
    <w:p w14:paraId="36A75E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报价人名称（公章）：</w:t>
      </w:r>
    </w:p>
    <w:p w14:paraId="5A605D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法定代表人（负责人）或委托代理人签名：</w:t>
      </w:r>
    </w:p>
    <w:p w14:paraId="2358A9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日期：</w:t>
      </w:r>
    </w:p>
    <w:p w14:paraId="1E9E3C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通讯地址：</w:t>
      </w:r>
    </w:p>
    <w:p w14:paraId="635527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both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联系人及联系方式：</w:t>
      </w:r>
    </w:p>
    <w:p w14:paraId="322E2335"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br w:type="page"/>
      </w:r>
      <w:bookmarkStart w:id="0" w:name="_Toc14056"/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附表：</w:t>
      </w:r>
    </w:p>
    <w:p w14:paraId="12F7DBED">
      <w:pPr>
        <w:pStyle w:val="10"/>
        <w:rPr>
          <w:rFonts w:hint="eastAsia"/>
          <w:color w:val="auto"/>
          <w:lang w:val="en-US" w:eastAsia="zh-CN"/>
        </w:rPr>
      </w:pPr>
    </w:p>
    <w:p w14:paraId="56BD189C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公司业绩清单一览表</w:t>
      </w:r>
    </w:p>
    <w:tbl>
      <w:tblPr>
        <w:tblStyle w:val="17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528"/>
        <w:gridCol w:w="1395"/>
        <w:gridCol w:w="1638"/>
        <w:gridCol w:w="1064"/>
        <w:gridCol w:w="1064"/>
        <w:gridCol w:w="1431"/>
        <w:gridCol w:w="890"/>
      </w:tblGrid>
      <w:tr w14:paraId="4EE8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24" w:type="dxa"/>
            <w:noWrap w:val="0"/>
            <w:vAlign w:val="center"/>
          </w:tcPr>
          <w:p w14:paraId="5CC4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8" w:type="dxa"/>
            <w:noWrap w:val="0"/>
            <w:vAlign w:val="center"/>
          </w:tcPr>
          <w:p w14:paraId="65D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 w14:paraId="7546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项目委托方</w:t>
            </w:r>
          </w:p>
        </w:tc>
        <w:tc>
          <w:tcPr>
            <w:tcW w:w="1638" w:type="dxa"/>
            <w:noWrap w:val="0"/>
            <w:vAlign w:val="center"/>
          </w:tcPr>
          <w:p w14:paraId="0D8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合同日期</w:t>
            </w:r>
          </w:p>
        </w:tc>
        <w:tc>
          <w:tcPr>
            <w:tcW w:w="1064" w:type="dxa"/>
            <w:noWrap w:val="0"/>
            <w:vAlign w:val="center"/>
          </w:tcPr>
          <w:p w14:paraId="4DB6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项目业态</w:t>
            </w:r>
          </w:p>
        </w:tc>
        <w:tc>
          <w:tcPr>
            <w:tcW w:w="1064" w:type="dxa"/>
            <w:noWrap w:val="0"/>
            <w:vAlign w:val="center"/>
          </w:tcPr>
          <w:p w14:paraId="05F2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合同价格（万元）</w:t>
            </w:r>
          </w:p>
        </w:tc>
        <w:tc>
          <w:tcPr>
            <w:tcW w:w="1431" w:type="dxa"/>
            <w:noWrap w:val="0"/>
            <w:vAlign w:val="center"/>
          </w:tcPr>
          <w:p w14:paraId="09C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890" w:type="dxa"/>
            <w:noWrap w:val="0"/>
            <w:vAlign w:val="center"/>
          </w:tcPr>
          <w:p w14:paraId="619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4D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24" w:type="dxa"/>
            <w:noWrap w:val="0"/>
            <w:vAlign w:val="center"/>
          </w:tcPr>
          <w:p w14:paraId="78ED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8" w:type="dxa"/>
            <w:noWrap w:val="0"/>
            <w:vAlign w:val="center"/>
          </w:tcPr>
          <w:p w14:paraId="79FB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 w:val="0"/>
            <w:vAlign w:val="top"/>
          </w:tcPr>
          <w:p w14:paraId="398C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noWrap w:val="0"/>
            <w:vAlign w:val="top"/>
          </w:tcPr>
          <w:p w14:paraId="611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top"/>
          </w:tcPr>
          <w:p w14:paraId="024A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top"/>
          </w:tcPr>
          <w:p w14:paraId="150D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noWrap w:val="0"/>
            <w:vAlign w:val="top"/>
          </w:tcPr>
          <w:p w14:paraId="1D7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E4B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77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24" w:type="dxa"/>
            <w:noWrap w:val="0"/>
            <w:vAlign w:val="center"/>
          </w:tcPr>
          <w:p w14:paraId="008B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8" w:type="dxa"/>
            <w:noWrap w:val="0"/>
            <w:vAlign w:val="center"/>
          </w:tcPr>
          <w:p w14:paraId="28EF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 w:val="0"/>
            <w:vAlign w:val="top"/>
          </w:tcPr>
          <w:p w14:paraId="2220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noWrap w:val="0"/>
            <w:vAlign w:val="top"/>
          </w:tcPr>
          <w:p w14:paraId="0937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top"/>
          </w:tcPr>
          <w:p w14:paraId="311B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top"/>
          </w:tcPr>
          <w:p w14:paraId="773F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noWrap w:val="0"/>
            <w:vAlign w:val="top"/>
          </w:tcPr>
          <w:p w14:paraId="053B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B5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9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24" w:type="dxa"/>
            <w:noWrap w:val="0"/>
            <w:vAlign w:val="center"/>
          </w:tcPr>
          <w:p w14:paraId="568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8" w:type="dxa"/>
            <w:noWrap w:val="0"/>
            <w:vAlign w:val="center"/>
          </w:tcPr>
          <w:p w14:paraId="5508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 w:val="0"/>
            <w:vAlign w:val="top"/>
          </w:tcPr>
          <w:p w14:paraId="0A7B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noWrap w:val="0"/>
            <w:vAlign w:val="top"/>
          </w:tcPr>
          <w:p w14:paraId="7995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top"/>
          </w:tcPr>
          <w:p w14:paraId="745F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top"/>
          </w:tcPr>
          <w:p w14:paraId="391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noWrap w:val="0"/>
            <w:vAlign w:val="top"/>
          </w:tcPr>
          <w:p w14:paraId="725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6EB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46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4" w:type="dxa"/>
            <w:noWrap w:val="0"/>
            <w:vAlign w:val="center"/>
          </w:tcPr>
          <w:p w14:paraId="381646EF">
            <w:pPr>
              <w:tabs>
                <w:tab w:val="left" w:pos="426"/>
              </w:tabs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…</w:t>
            </w:r>
          </w:p>
        </w:tc>
        <w:tc>
          <w:tcPr>
            <w:tcW w:w="2528" w:type="dxa"/>
            <w:noWrap w:val="0"/>
            <w:vAlign w:val="center"/>
          </w:tcPr>
          <w:p w14:paraId="24529875">
            <w:pPr>
              <w:tabs>
                <w:tab w:val="left" w:pos="426"/>
              </w:tabs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95" w:type="dxa"/>
            <w:noWrap w:val="0"/>
            <w:vAlign w:val="top"/>
          </w:tcPr>
          <w:p w14:paraId="638DCC4F">
            <w:pPr>
              <w:tabs>
                <w:tab w:val="left" w:pos="426"/>
              </w:tabs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38" w:type="dxa"/>
            <w:noWrap w:val="0"/>
            <w:vAlign w:val="top"/>
          </w:tcPr>
          <w:p w14:paraId="7779F38B">
            <w:pPr>
              <w:tabs>
                <w:tab w:val="left" w:pos="426"/>
              </w:tabs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37C6C9F5">
            <w:pPr>
              <w:tabs>
                <w:tab w:val="left" w:pos="426"/>
              </w:tabs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64" w:type="dxa"/>
            <w:noWrap w:val="0"/>
            <w:vAlign w:val="top"/>
          </w:tcPr>
          <w:p w14:paraId="2C5242B4">
            <w:pPr>
              <w:tabs>
                <w:tab w:val="left" w:pos="426"/>
              </w:tabs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31" w:type="dxa"/>
            <w:noWrap w:val="0"/>
            <w:vAlign w:val="top"/>
          </w:tcPr>
          <w:p w14:paraId="3BF9D8EB">
            <w:pPr>
              <w:tabs>
                <w:tab w:val="left" w:pos="426"/>
              </w:tabs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2593C91">
            <w:pPr>
              <w:tabs>
                <w:tab w:val="left" w:pos="426"/>
              </w:tabs>
              <w:jc w:val="left"/>
              <w:rPr>
                <w:rFonts w:ascii="仿宋_GB2312" w:eastAsia="仿宋_GB2312"/>
                <w:color w:val="auto"/>
              </w:rPr>
            </w:pPr>
          </w:p>
        </w:tc>
      </w:tr>
    </w:tbl>
    <w:p w14:paraId="372D1FA1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说明：附相关证明文件</w:t>
      </w:r>
    </w:p>
    <w:p w14:paraId="64D614D0"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</w:p>
    <w:p w14:paraId="55778C57">
      <w:pPr>
        <w:pStyle w:val="8"/>
        <w:rPr>
          <w:rFonts w:hint="eastAsia" w:ascii="仿宋" w:hAnsi="仿宋" w:eastAsia="仿宋" w:cs="仿宋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40"/>
          <w:lang w:val="en-US" w:eastAsia="zh-CN" w:bidi="ar-SA"/>
        </w:rPr>
        <w:t>（项目服务方案，格式自拟）</w:t>
      </w:r>
    </w:p>
    <w:p w14:paraId="0CBE4E63">
      <w:pPr>
        <w:pStyle w:val="8"/>
        <w:rPr>
          <w:rFonts w:hint="eastAsia" w:ascii="仿宋" w:hAnsi="仿宋" w:eastAsia="仿宋" w:cs="仿宋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40"/>
          <w:lang w:val="en-US" w:eastAsia="zh-CN" w:bidi="ar-SA"/>
        </w:rPr>
        <w:t>（对本项目履约中存在的优势和服务效率做出说明，格式自拟）</w:t>
      </w:r>
    </w:p>
    <w:p w14:paraId="7775EC9C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A026CD2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E0267A7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D84A74C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381A00C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9CDCAF1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  <w:bookmarkEnd w:id="0"/>
    </w:p>
    <w:p w14:paraId="54E4A241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A1CE8E2">
      <w:pPr>
        <w:pStyle w:val="8"/>
        <w:keepNext w:val="0"/>
        <w:keepLines w:val="0"/>
        <w:pageBreakBefore w:val="0"/>
        <w:widowControl w:val="0"/>
        <w:tabs>
          <w:tab w:val="left" w:pos="213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after="0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评分细则表</w:t>
      </w:r>
    </w:p>
    <w:tbl>
      <w:tblPr>
        <w:tblStyle w:val="17"/>
        <w:tblpPr w:leftFromText="180" w:rightFromText="180" w:vertAnchor="text" w:horzAnchor="margin" w:tblpXSpec="center" w:tblpY="346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20" w:type="dxa"/>
          <w:left w:w="108" w:type="dxa"/>
          <w:bottom w:w="20" w:type="dxa"/>
          <w:right w:w="108" w:type="dxa"/>
        </w:tblCellMar>
      </w:tblPr>
      <w:tblGrid>
        <w:gridCol w:w="680"/>
        <w:gridCol w:w="1964"/>
        <w:gridCol w:w="817"/>
        <w:gridCol w:w="5895"/>
      </w:tblGrid>
      <w:tr w14:paraId="6132F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8D2C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A55C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评分项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136E1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 w14:paraId="7CD61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FE99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0A37DF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73FD2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1A84A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A4388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1338A7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17C54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5A82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 w14:paraId="17B0F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DD40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5AA91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28261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50E7F9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>价格分计算方法：按照下列公式计算：</w:t>
            </w:r>
          </w:p>
          <w:p w14:paraId="2A93AC84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 xml:space="preserve">（1）基准价：为所有投标报价算术平均值。 </w:t>
            </w:r>
          </w:p>
          <w:p w14:paraId="02274621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>（2）算法类型按固定乘积法：</w:t>
            </w:r>
          </w:p>
          <w:p w14:paraId="2F9D9FF6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>投标报价得分=（1-A×｜1-投标报价/基准价｜）×</w:t>
            </w:r>
            <w:r>
              <w:rPr>
                <w:rFonts w:hint="eastAsia" w:ascii="等线" w:hAnsi="等线" w:eastAsia="等线" w:cs="等线"/>
                <w:szCs w:val="21"/>
                <w:lang w:val="en-US" w:eastAsia="zh-CN" w:bidi="ar"/>
              </w:rPr>
              <w:t>5</w:t>
            </w:r>
            <w:r>
              <w:rPr>
                <w:rFonts w:hint="eastAsia" w:ascii="等线" w:hAnsi="等线" w:eastAsia="等线" w:cs="等线"/>
                <w:szCs w:val="21"/>
                <w:lang w:bidi="ar"/>
              </w:rPr>
              <w:t xml:space="preserve">0 </w:t>
            </w:r>
          </w:p>
          <w:p w14:paraId="7D516A63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 xml:space="preserve">A为价格调整系数，当投标报价低于本次招标最佳报价（即基准价）时，A= 0.8；当投标报价高于本次招标最佳报价时，取A=1； </w:t>
            </w:r>
          </w:p>
          <w:p w14:paraId="40251107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>计算分数时四舍五入取小数点后两位，当价格分＜0时，取0。</w:t>
            </w:r>
          </w:p>
          <w:p w14:paraId="23CAB08C">
            <w:pPr>
              <w:widowControl w:val="0"/>
              <w:wordWrap w:val="0"/>
              <w:jc w:val="left"/>
              <w:rPr>
                <w:rFonts w:ascii="等线" w:hAnsi="等线" w:eastAsia="等线" w:cs="等线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>投标人报价不得低于成本价报价。若报价明显偏低，投标人须对报价情况作出详细解释并须得到评标专家委员会认可。</w:t>
            </w:r>
          </w:p>
          <w:p w14:paraId="2F142B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szCs w:val="21"/>
                <w:lang w:bidi="ar"/>
              </w:rPr>
              <w:t>评标过程中，不得去掉报价中的最高报价和最低报价。</w:t>
            </w:r>
          </w:p>
        </w:tc>
      </w:tr>
      <w:tr w14:paraId="1C9D1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5126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 w:eastAsiaTheme="minorEastAsia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3F978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技术部分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A7900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9814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D8B1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0BD8AB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8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4F2AF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508F2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 w14:paraId="0EA73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45A8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6AE845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技术方案</w:t>
            </w:r>
          </w:p>
        </w:tc>
        <w:tc>
          <w:tcPr>
            <w:tcW w:w="817" w:type="dxa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7540AE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895" w:type="dxa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top"/>
          </w:tcPr>
          <w:p w14:paraId="47E594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（一）评审内容：</w:t>
            </w:r>
          </w:p>
          <w:p w14:paraId="59BDC26D">
            <w:pPr>
              <w:widowControl/>
              <w:spacing w:line="240" w:lineRule="exact"/>
              <w:jc w:val="left"/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cstheme="minorBidi"/>
                <w:b w:val="0"/>
                <w:bCs w:val="0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工作实施方案完整性，包括投入人力安排、工期安排、安全文明措施等。</w:t>
            </w:r>
          </w:p>
          <w:p w14:paraId="589F9BB8">
            <w:pPr>
              <w:widowControl/>
              <w:spacing w:line="240" w:lineRule="exact"/>
              <w:jc w:val="left"/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（2）服务团队人员配置清单及资质证明。</w:t>
            </w:r>
          </w:p>
          <w:p w14:paraId="45561BD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（3）项目设计优化建议的合理性。</w:t>
            </w:r>
          </w:p>
          <w:p w14:paraId="5889754C">
            <w:pPr>
              <w:pStyle w:val="21"/>
              <w:ind w:left="0" w:leftChars="0" w:firstLine="0" w:firstLineChars="0"/>
              <w:rPr>
                <w:rFonts w:hint="eastAsia" w:eastAsiaTheme="minorEastAsia" w:cstheme="minorBidi"/>
                <w:b/>
                <w:bCs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eastAsiaTheme="minorEastAsia" w:cstheme="minorBidi"/>
                <w:b/>
                <w:bCs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411F2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未提供技术方案不得分。专家根据内容合理性评分。</w:t>
            </w:r>
          </w:p>
          <w:p w14:paraId="3547C1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优评分标准:方案符合实际、完整、规范、思路清晰，内容合理性强。 </w:t>
            </w:r>
          </w:p>
          <w:p w14:paraId="0488B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良评分标准:方案较符合实际、较完整规范、思路较清晰，内容合理性较强。 </w:t>
            </w:r>
          </w:p>
          <w:p w14:paraId="730D02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中评分标准:方案较普通、完整性规范性一般，思路不够清晰，内容合理性一般。</w:t>
            </w:r>
          </w:p>
          <w:p w14:paraId="4FAF5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差评分标准方案:不完整、不规范，思路不清晰，内容合理性较差或未提供。</w:t>
            </w:r>
            <w:r>
              <w:rPr>
                <w:rFonts w:hint="default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0792B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评价为优得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0分</w:t>
            </w:r>
          </w:p>
          <w:p w14:paraId="1FE25C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评价为良得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default"/>
                <w:lang w:val="en-US" w:eastAsia="zh-CN"/>
              </w:rPr>
              <w:t>分</w:t>
            </w:r>
          </w:p>
          <w:p w14:paraId="4718F5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评价为中得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 w:eastAsia="zh-CN"/>
              </w:rPr>
              <w:t>分</w:t>
            </w:r>
          </w:p>
          <w:p w14:paraId="64CA9AA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评价为差不得分</w:t>
            </w:r>
          </w:p>
        </w:tc>
      </w:tr>
      <w:tr w14:paraId="44743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810A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cs="Times New Roman" w:eastAsiaTheme="minorEastAsia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13AB9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综合实力部分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C0531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DB51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E691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2D7EC6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8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5A8037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5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 w14:paraId="1AE5F5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 w:themeColor="text1"/>
                <w:kern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评分准则</w:t>
            </w:r>
          </w:p>
        </w:tc>
      </w:tr>
      <w:tr w14:paraId="392B3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44E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9938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履约质效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51A6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37D9A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25E1EA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对本项目履约中存在的优势和服务效率做出说明，例如公司资源调度、团队配置、技术优势、服务效率、应急响应等。</w:t>
            </w:r>
          </w:p>
          <w:p w14:paraId="750245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根据内容合理性评分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评价为优得20分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评价为良得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评价为中得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评价为差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未提供响应方案不得分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E33FA4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优评分标准：优势符合实际、对项目履约影响大。</w:t>
            </w:r>
          </w:p>
          <w:p w14:paraId="0649D08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良评分标准：优势较符合实际、对项目履约影响较大。</w:t>
            </w:r>
          </w:p>
          <w:p w14:paraId="3AEA711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中评分标准：优势较普通、对项目履约影响一般。</w:t>
            </w:r>
          </w:p>
          <w:p w14:paraId="2DC60B8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差评分标准：优势对项目履约影响极小。</w:t>
            </w:r>
          </w:p>
          <w:p w14:paraId="1DDA6D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（二）证明文件： </w:t>
            </w:r>
          </w:p>
          <w:p w14:paraId="7976A6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有效期内的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证明文件。</w:t>
            </w:r>
          </w:p>
        </w:tc>
      </w:tr>
      <w:tr w14:paraId="6FF05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8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A37C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Calibri" w:hAnsi="Calibri" w:cs="Times New Roman"/>
                <w:b/>
                <w:bCs/>
                <w:color w:val="000000" w:themeColor="text1"/>
                <w:kern w:val="2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1015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同类业绩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68186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3EF01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近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年（202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年起至本标开标之日）内承接过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同类服务案例，一项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得2分，最高不超过10分。投标人需提供相关合同复印件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或其他证明资料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</w:tbl>
    <w:p w14:paraId="68574D26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1676655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81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F280B9-080C-4964-B9B8-702498186A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1D3940-12CB-4D61-80BE-C7A15B7C7C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5ACB59-BECA-4D33-B2E4-3196869B1F6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4961727-BA93-452A-A420-317646D10B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5CE4A5-ADA4-407E-86C2-62C8B6F8D3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32F5A19-454D-43D9-A7E5-99A91D8130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830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2EB3D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2EB3D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0EA9F"/>
    <w:multiLevelType w:val="singleLevel"/>
    <w:tmpl w:val="91B0EA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mQ4NmM5MGQ1MTg5NTIwNTY2ZWZlMzJjMmViZTkifQ=="/>
  </w:docVars>
  <w:rsids>
    <w:rsidRoot w:val="14F87D44"/>
    <w:rsid w:val="000248DC"/>
    <w:rsid w:val="002E0E2C"/>
    <w:rsid w:val="00473450"/>
    <w:rsid w:val="00B95AAF"/>
    <w:rsid w:val="00D6462F"/>
    <w:rsid w:val="00E0770D"/>
    <w:rsid w:val="016234D2"/>
    <w:rsid w:val="019336AF"/>
    <w:rsid w:val="01D45E31"/>
    <w:rsid w:val="026B5F55"/>
    <w:rsid w:val="03527FB0"/>
    <w:rsid w:val="03545C7B"/>
    <w:rsid w:val="04451A9E"/>
    <w:rsid w:val="04546320"/>
    <w:rsid w:val="04C62109"/>
    <w:rsid w:val="04DA26C6"/>
    <w:rsid w:val="05101BD0"/>
    <w:rsid w:val="054F0788"/>
    <w:rsid w:val="05972365"/>
    <w:rsid w:val="05D90F45"/>
    <w:rsid w:val="05D913C0"/>
    <w:rsid w:val="06690C82"/>
    <w:rsid w:val="068B0EF4"/>
    <w:rsid w:val="069A42BB"/>
    <w:rsid w:val="06C31F66"/>
    <w:rsid w:val="07330BC0"/>
    <w:rsid w:val="082B0623"/>
    <w:rsid w:val="082E05A7"/>
    <w:rsid w:val="0960117C"/>
    <w:rsid w:val="0A1B7A08"/>
    <w:rsid w:val="0A544CC8"/>
    <w:rsid w:val="0AE77D7C"/>
    <w:rsid w:val="0B53227B"/>
    <w:rsid w:val="0D674D12"/>
    <w:rsid w:val="0DB75F00"/>
    <w:rsid w:val="0E6B55AA"/>
    <w:rsid w:val="0F3C4525"/>
    <w:rsid w:val="0F7068CC"/>
    <w:rsid w:val="0F76193A"/>
    <w:rsid w:val="0F8C6CB2"/>
    <w:rsid w:val="0FC71E89"/>
    <w:rsid w:val="106A0DA2"/>
    <w:rsid w:val="10E741A0"/>
    <w:rsid w:val="11580C51"/>
    <w:rsid w:val="11DC575C"/>
    <w:rsid w:val="1260208E"/>
    <w:rsid w:val="12746AB9"/>
    <w:rsid w:val="12942718"/>
    <w:rsid w:val="129A58DD"/>
    <w:rsid w:val="12A83E03"/>
    <w:rsid w:val="134369DC"/>
    <w:rsid w:val="134C29E0"/>
    <w:rsid w:val="14ED180A"/>
    <w:rsid w:val="14F87D44"/>
    <w:rsid w:val="1629525B"/>
    <w:rsid w:val="16CD4751"/>
    <w:rsid w:val="170F0F8D"/>
    <w:rsid w:val="17335B73"/>
    <w:rsid w:val="17343EB7"/>
    <w:rsid w:val="174119D9"/>
    <w:rsid w:val="1808679D"/>
    <w:rsid w:val="181B48A0"/>
    <w:rsid w:val="186E6009"/>
    <w:rsid w:val="18C50DB7"/>
    <w:rsid w:val="191867DD"/>
    <w:rsid w:val="193E5AF8"/>
    <w:rsid w:val="1A70484C"/>
    <w:rsid w:val="1AA41354"/>
    <w:rsid w:val="1AFF55A1"/>
    <w:rsid w:val="1BD92B9D"/>
    <w:rsid w:val="1C7364F4"/>
    <w:rsid w:val="1D815727"/>
    <w:rsid w:val="1DF94B23"/>
    <w:rsid w:val="1E85324A"/>
    <w:rsid w:val="1F793950"/>
    <w:rsid w:val="1FE76C47"/>
    <w:rsid w:val="21160433"/>
    <w:rsid w:val="220B1CB9"/>
    <w:rsid w:val="225C4EFA"/>
    <w:rsid w:val="227B6E3E"/>
    <w:rsid w:val="236152D8"/>
    <w:rsid w:val="247B5558"/>
    <w:rsid w:val="25375979"/>
    <w:rsid w:val="25A4045A"/>
    <w:rsid w:val="260B79B5"/>
    <w:rsid w:val="261044A0"/>
    <w:rsid w:val="26357304"/>
    <w:rsid w:val="26BD06F7"/>
    <w:rsid w:val="26FC3C40"/>
    <w:rsid w:val="27F82CDF"/>
    <w:rsid w:val="285229F9"/>
    <w:rsid w:val="28BA335E"/>
    <w:rsid w:val="28E53263"/>
    <w:rsid w:val="295677BE"/>
    <w:rsid w:val="2A3830DB"/>
    <w:rsid w:val="2A662182"/>
    <w:rsid w:val="2A9F1B6D"/>
    <w:rsid w:val="2AF5706C"/>
    <w:rsid w:val="2B1A2BDF"/>
    <w:rsid w:val="2B6E21C6"/>
    <w:rsid w:val="2B8A41A6"/>
    <w:rsid w:val="2C7D61B2"/>
    <w:rsid w:val="2C8608B9"/>
    <w:rsid w:val="2C901738"/>
    <w:rsid w:val="2CD80CF7"/>
    <w:rsid w:val="2D556671"/>
    <w:rsid w:val="2EF61AC4"/>
    <w:rsid w:val="2F320B38"/>
    <w:rsid w:val="311F5C9B"/>
    <w:rsid w:val="317F1D7B"/>
    <w:rsid w:val="31BF4558"/>
    <w:rsid w:val="323A7377"/>
    <w:rsid w:val="32A23F73"/>
    <w:rsid w:val="330A1A52"/>
    <w:rsid w:val="33233306"/>
    <w:rsid w:val="33470530"/>
    <w:rsid w:val="34456390"/>
    <w:rsid w:val="34E45D5E"/>
    <w:rsid w:val="35215623"/>
    <w:rsid w:val="358E21F7"/>
    <w:rsid w:val="35BA5B31"/>
    <w:rsid w:val="36126D6C"/>
    <w:rsid w:val="36542380"/>
    <w:rsid w:val="365424D2"/>
    <w:rsid w:val="3657604A"/>
    <w:rsid w:val="36D53226"/>
    <w:rsid w:val="36D84407"/>
    <w:rsid w:val="36ED2544"/>
    <w:rsid w:val="374D57F3"/>
    <w:rsid w:val="382C7C75"/>
    <w:rsid w:val="38CA0348"/>
    <w:rsid w:val="38D82BF8"/>
    <w:rsid w:val="39B06BC7"/>
    <w:rsid w:val="3A3F71F7"/>
    <w:rsid w:val="3A8E0E3E"/>
    <w:rsid w:val="3B343254"/>
    <w:rsid w:val="3B726878"/>
    <w:rsid w:val="3BCA5204"/>
    <w:rsid w:val="3BD52386"/>
    <w:rsid w:val="3BD641DA"/>
    <w:rsid w:val="3C020668"/>
    <w:rsid w:val="3C6B707A"/>
    <w:rsid w:val="3CD26DF7"/>
    <w:rsid w:val="3D1A1451"/>
    <w:rsid w:val="3D2A3B3A"/>
    <w:rsid w:val="3D8F2813"/>
    <w:rsid w:val="3DF13867"/>
    <w:rsid w:val="3ED1190F"/>
    <w:rsid w:val="3F3E3276"/>
    <w:rsid w:val="40492609"/>
    <w:rsid w:val="40966195"/>
    <w:rsid w:val="40B27A77"/>
    <w:rsid w:val="40E824C8"/>
    <w:rsid w:val="412D5350"/>
    <w:rsid w:val="41313046"/>
    <w:rsid w:val="41F330DA"/>
    <w:rsid w:val="421F4C91"/>
    <w:rsid w:val="42BD2F8E"/>
    <w:rsid w:val="44071E88"/>
    <w:rsid w:val="440D65AC"/>
    <w:rsid w:val="44D04970"/>
    <w:rsid w:val="44FC6BED"/>
    <w:rsid w:val="45266373"/>
    <w:rsid w:val="460931FC"/>
    <w:rsid w:val="46A50B01"/>
    <w:rsid w:val="46A939CE"/>
    <w:rsid w:val="47BF480E"/>
    <w:rsid w:val="48286871"/>
    <w:rsid w:val="487052D4"/>
    <w:rsid w:val="487675DC"/>
    <w:rsid w:val="487F6800"/>
    <w:rsid w:val="490D34E2"/>
    <w:rsid w:val="49921DBC"/>
    <w:rsid w:val="4A190A9B"/>
    <w:rsid w:val="4A3F72C9"/>
    <w:rsid w:val="4A541E73"/>
    <w:rsid w:val="4ABC5529"/>
    <w:rsid w:val="4ABE526B"/>
    <w:rsid w:val="4B2059D5"/>
    <w:rsid w:val="4B746329"/>
    <w:rsid w:val="4BFB6776"/>
    <w:rsid w:val="4C58104F"/>
    <w:rsid w:val="4CAE2F6F"/>
    <w:rsid w:val="4CE278DF"/>
    <w:rsid w:val="4D7D4DF4"/>
    <w:rsid w:val="4D846278"/>
    <w:rsid w:val="4D9D385D"/>
    <w:rsid w:val="4DCF11D8"/>
    <w:rsid w:val="4DDA060D"/>
    <w:rsid w:val="4DDB4FFD"/>
    <w:rsid w:val="4E272E41"/>
    <w:rsid w:val="4E444B73"/>
    <w:rsid w:val="4EB04692"/>
    <w:rsid w:val="4FCE41A2"/>
    <w:rsid w:val="50526B81"/>
    <w:rsid w:val="50671B79"/>
    <w:rsid w:val="50C17863"/>
    <w:rsid w:val="50C3263F"/>
    <w:rsid w:val="50C81380"/>
    <w:rsid w:val="50E83041"/>
    <w:rsid w:val="510D5824"/>
    <w:rsid w:val="512A5408"/>
    <w:rsid w:val="517A08EF"/>
    <w:rsid w:val="51E22509"/>
    <w:rsid w:val="522D4481"/>
    <w:rsid w:val="52842DED"/>
    <w:rsid w:val="52BF58A8"/>
    <w:rsid w:val="53A23DDD"/>
    <w:rsid w:val="540D11A2"/>
    <w:rsid w:val="54881C4E"/>
    <w:rsid w:val="560249EF"/>
    <w:rsid w:val="56175E36"/>
    <w:rsid w:val="56C553EB"/>
    <w:rsid w:val="5703103A"/>
    <w:rsid w:val="572669EE"/>
    <w:rsid w:val="579E0857"/>
    <w:rsid w:val="57AA262B"/>
    <w:rsid w:val="57B86DA7"/>
    <w:rsid w:val="57F337CB"/>
    <w:rsid w:val="59BE5287"/>
    <w:rsid w:val="59DA41A2"/>
    <w:rsid w:val="5A3745DC"/>
    <w:rsid w:val="5A427C66"/>
    <w:rsid w:val="5A9E7941"/>
    <w:rsid w:val="5AFF7905"/>
    <w:rsid w:val="5B885B4D"/>
    <w:rsid w:val="5B9C33A6"/>
    <w:rsid w:val="5BAF6C35"/>
    <w:rsid w:val="5BCF552A"/>
    <w:rsid w:val="5C9D1184"/>
    <w:rsid w:val="5CA0527F"/>
    <w:rsid w:val="5CDD1B98"/>
    <w:rsid w:val="5DD567A0"/>
    <w:rsid w:val="5E38706C"/>
    <w:rsid w:val="5E46316E"/>
    <w:rsid w:val="5FD4310E"/>
    <w:rsid w:val="5FDB26EF"/>
    <w:rsid w:val="60FD4D7D"/>
    <w:rsid w:val="61DD7C6A"/>
    <w:rsid w:val="62D41677"/>
    <w:rsid w:val="62FB6C04"/>
    <w:rsid w:val="63FB29C7"/>
    <w:rsid w:val="64791ABD"/>
    <w:rsid w:val="65D11E9E"/>
    <w:rsid w:val="66645645"/>
    <w:rsid w:val="66A460B1"/>
    <w:rsid w:val="66F3457E"/>
    <w:rsid w:val="678C5865"/>
    <w:rsid w:val="67A6799D"/>
    <w:rsid w:val="6825664A"/>
    <w:rsid w:val="68515CC3"/>
    <w:rsid w:val="69036813"/>
    <w:rsid w:val="69917B67"/>
    <w:rsid w:val="6A164324"/>
    <w:rsid w:val="6B034790"/>
    <w:rsid w:val="6BD90D06"/>
    <w:rsid w:val="6CC10EBE"/>
    <w:rsid w:val="6D036FEE"/>
    <w:rsid w:val="6D0625EB"/>
    <w:rsid w:val="6D381DE9"/>
    <w:rsid w:val="6DEC7CA5"/>
    <w:rsid w:val="6E0A3D02"/>
    <w:rsid w:val="6E0E3C8F"/>
    <w:rsid w:val="6E166FE8"/>
    <w:rsid w:val="6ED24440"/>
    <w:rsid w:val="6F481423"/>
    <w:rsid w:val="6F944668"/>
    <w:rsid w:val="709E39AE"/>
    <w:rsid w:val="71B1633F"/>
    <w:rsid w:val="71C8684B"/>
    <w:rsid w:val="72D66D46"/>
    <w:rsid w:val="72D90729"/>
    <w:rsid w:val="731735E6"/>
    <w:rsid w:val="73223CEC"/>
    <w:rsid w:val="73341F8D"/>
    <w:rsid w:val="73BF0466"/>
    <w:rsid w:val="74A816F8"/>
    <w:rsid w:val="74BD3E29"/>
    <w:rsid w:val="74D2336D"/>
    <w:rsid w:val="7537327D"/>
    <w:rsid w:val="758E3908"/>
    <w:rsid w:val="761A5044"/>
    <w:rsid w:val="76A258BD"/>
    <w:rsid w:val="773242B5"/>
    <w:rsid w:val="77943A46"/>
    <w:rsid w:val="7797752B"/>
    <w:rsid w:val="78785F45"/>
    <w:rsid w:val="7883171E"/>
    <w:rsid w:val="78E30746"/>
    <w:rsid w:val="79396129"/>
    <w:rsid w:val="79EA5A78"/>
    <w:rsid w:val="7A0C40F8"/>
    <w:rsid w:val="7A8D2F48"/>
    <w:rsid w:val="7AE71AF0"/>
    <w:rsid w:val="7B3C24FC"/>
    <w:rsid w:val="7C5779A6"/>
    <w:rsid w:val="7CAB4D9F"/>
    <w:rsid w:val="7D124E1E"/>
    <w:rsid w:val="7D8B7962"/>
    <w:rsid w:val="7E135F3E"/>
    <w:rsid w:val="7E2D5A76"/>
    <w:rsid w:val="7ED61595"/>
    <w:rsid w:val="7FDA5CCE"/>
    <w:rsid w:val="7FF23105"/>
    <w:rsid w:val="AEBE0104"/>
    <w:rsid w:val="EF7F8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adjustRightInd w:val="0"/>
      <w:spacing w:before="260" w:after="260"/>
      <w:jc w:val="center"/>
      <w:textAlignment w:val="baseline"/>
      <w:outlineLvl w:val="1"/>
    </w:pPr>
    <w:rPr>
      <w:rFonts w:hint="eastAsia" w:ascii="宋体" w:hAnsi="宋体" w:eastAsia="宋体" w:cs="Times New Roman"/>
      <w:b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非政府正文"/>
    <w:basedOn w:val="1"/>
    <w:qFormat/>
    <w:uiPriority w:val="0"/>
  </w:style>
  <w:style w:type="paragraph" w:styleId="5">
    <w:name w:val="index 8"/>
    <w:basedOn w:val="1"/>
    <w:next w:val="1"/>
    <w:semiHidden/>
    <w:qFormat/>
    <w:uiPriority w:val="0"/>
    <w:pPr>
      <w:ind w:left="1680" w:hanging="21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jc w:val="center"/>
    </w:pPr>
    <w:rPr>
      <w:rFonts w:ascii="仿宋_GB2312" w:hAnsi="Times New Roman" w:eastAsia="仿宋_GB2312" w:cs="Times New Roman"/>
      <w:b/>
      <w:sz w:val="24"/>
      <w:szCs w:val="20"/>
    </w:rPr>
  </w:style>
  <w:style w:type="paragraph" w:styleId="9">
    <w:name w:val="Body Text Indent"/>
    <w:basedOn w:val="1"/>
    <w:qFormat/>
    <w:uiPriority w:val="0"/>
    <w:pPr>
      <w:tabs>
        <w:tab w:val="left" w:pos="0"/>
      </w:tabs>
      <w:spacing w:line="420" w:lineRule="exact"/>
      <w:ind w:firstLine="525"/>
    </w:pPr>
    <w:rPr>
      <w:rFonts w:ascii="仿宋_GB2312" w:hAnsi="Times New Roman" w:eastAsia="仿宋_GB2312"/>
      <w:sz w:val="28"/>
      <w:szCs w:val="20"/>
    </w:rPr>
  </w:style>
  <w:style w:type="paragraph" w:styleId="10">
    <w:name w:val="Plain Text"/>
    <w:basedOn w:val="1"/>
    <w:next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11">
    <w:name w:val="Body Text Indent 2"/>
    <w:basedOn w:val="1"/>
    <w:qFormat/>
    <w:uiPriority w:val="0"/>
    <w:pPr>
      <w:ind w:firstLine="540" w:firstLineChars="257"/>
    </w:pPr>
    <w:rPr>
      <w:rFonts w:ascii="宋体" w:hAnsi="宋体" w:eastAsia="宋体" w:cs="Times New Roman"/>
    </w:rPr>
  </w:style>
  <w:style w:type="paragraph" w:styleId="12">
    <w:name w:val="Balloon Text"/>
    <w:basedOn w:val="1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rPr>
      <w:rFonts w:ascii="仿宋_GB2312" w:hAnsi="Times New Roman" w:eastAsia="仿宋_GB2312" w:cs="Times New Roman"/>
      <w:b/>
      <w:sz w:val="28"/>
      <w:szCs w:val="20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列出段落1"/>
    <w:basedOn w:val="1"/>
    <w:next w:val="1"/>
    <w:qFormat/>
    <w:uiPriority w:val="99"/>
    <w:pPr>
      <w:spacing w:beforeLines="50" w:after="156" w:line="240" w:lineRule="atLeast"/>
      <w:ind w:left="425"/>
    </w:pPr>
    <w:rPr>
      <w:rFonts w:eastAsia="仿宋_GB2312"/>
      <w:sz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apple-style-span"/>
    <w:basedOn w:val="19"/>
    <w:qFormat/>
    <w:uiPriority w:val="0"/>
  </w:style>
  <w:style w:type="character" w:customStyle="1" w:styleId="24">
    <w:name w:val="apple-converted-space"/>
    <w:basedOn w:val="19"/>
    <w:qFormat/>
    <w:uiPriority w:val="0"/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页眉 字符"/>
    <w:basedOn w:val="19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字符"/>
    <w:basedOn w:val="19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font51"/>
    <w:basedOn w:val="19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29">
    <w:name w:val="font41"/>
    <w:basedOn w:val="19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30">
    <w:name w:val="font21"/>
    <w:basedOn w:val="19"/>
    <w:qFormat/>
    <w:uiPriority w:val="0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31">
    <w:name w:val="font61"/>
    <w:basedOn w:val="1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32">
    <w:name w:val="font71"/>
    <w:basedOn w:val="19"/>
    <w:qFormat/>
    <w:uiPriority w:val="0"/>
    <w:rPr>
      <w:rFonts w:hint="default" w:ascii="Arial" w:hAnsi="Arial" w:cs="Arial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2635</Words>
  <Characters>2774</Characters>
  <Lines>165</Lines>
  <Paragraphs>46</Paragraphs>
  <TotalTime>4</TotalTime>
  <ScaleCrop>false</ScaleCrop>
  <LinksUpToDate>false</LinksUpToDate>
  <CharactersWithSpaces>2859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2022-09-19T18:57:00Z</dcterms:created>
  <dc:creator>Administrator</dc:creator>
  <cp:lastModifiedBy>马捷</cp:lastModifiedBy>
  <dcterms:modified xsi:type="dcterms:W3CDTF">2026-06-11T09:36:53Z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94C3F74C57B64EDB9D0D436A37589D31_13</vt:lpwstr>
  </property>
  <property fmtid="{D5CDD505-2E9C-101B-9397-08002B2CF9AE}" pid="4" name="KSOTemplateDocerSaveRecord">
    <vt:lpwstr>eyJoZGlkIjoiNDAyMmQ4NmM5MGQ1MTg5NTIwNTY2ZWZlMzJjMmViZTkiLCJ1c2VySWQiOiI1ODUxNDc1NjcifQ==</vt:lpwstr>
  </property>
</Properties>
</file>