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4A031">
      <w:pPr>
        <w:spacing w:line="560" w:lineRule="exact"/>
        <w:jc w:val="left"/>
        <w:rPr>
          <w:rFonts w:ascii="仿宋_GB2312" w:hAnsi="黑体" w:eastAsia="仿宋_GB2312"/>
          <w:sz w:val="32"/>
          <w:szCs w:val="32"/>
        </w:rPr>
      </w:pPr>
      <w:r>
        <w:rPr>
          <w:rFonts w:hint="eastAsia" w:ascii="仿宋_GB2312" w:hAnsi="黑体" w:eastAsia="仿宋_GB2312"/>
          <w:sz w:val="32"/>
          <w:szCs w:val="32"/>
        </w:rPr>
        <w:t>附件1</w:t>
      </w:r>
    </w:p>
    <w:p w14:paraId="0FD6A77B">
      <w:pPr>
        <w:spacing w:line="560" w:lineRule="exact"/>
        <w:jc w:val="left"/>
        <w:rPr>
          <w:rFonts w:hint="eastAsia" w:ascii="仿宋_GB2312" w:hAnsi="黑体" w:eastAsia="仿宋_GB2312"/>
          <w:sz w:val="32"/>
          <w:szCs w:val="32"/>
        </w:rPr>
      </w:pPr>
    </w:p>
    <w:p w14:paraId="77D5FAA4">
      <w:pPr>
        <w:spacing w:line="560" w:lineRule="exact"/>
        <w:jc w:val="center"/>
        <w:rPr>
          <w:rFonts w:ascii="方正小标宋简体" w:eastAsia="方正小标宋简体"/>
          <w:sz w:val="44"/>
          <w:szCs w:val="48"/>
          <w:highlight w:val="none"/>
        </w:rPr>
      </w:pPr>
      <w:r>
        <w:rPr>
          <w:rFonts w:hint="eastAsia" w:ascii="方正小标宋简体" w:hAnsi="黑体" w:eastAsia="方正小标宋简体"/>
          <w:sz w:val="44"/>
          <w:szCs w:val="48"/>
          <w:highlight w:val="none"/>
        </w:rPr>
        <w:t>深圳市宝实</w:t>
      </w:r>
      <w:r>
        <w:rPr>
          <w:rFonts w:hint="eastAsia" w:ascii="方正小标宋简体" w:hAnsi="黑体" w:eastAsia="方正小标宋简体"/>
          <w:sz w:val="44"/>
          <w:szCs w:val="48"/>
          <w:highlight w:val="none"/>
          <w:lang w:val="en-US" w:eastAsia="zh-CN"/>
        </w:rPr>
        <w:t>置业</w:t>
      </w:r>
      <w:r>
        <w:rPr>
          <w:rFonts w:hint="eastAsia" w:ascii="方正小标宋简体" w:hAnsi="黑体" w:eastAsia="方正小标宋简体"/>
          <w:sz w:val="44"/>
          <w:szCs w:val="48"/>
          <w:highlight w:val="none"/>
        </w:rPr>
        <w:t>有限公司</w:t>
      </w:r>
      <w:r>
        <w:rPr>
          <w:rFonts w:hint="eastAsia" w:ascii="方正小标宋简体" w:eastAsia="方正小标宋简体"/>
          <w:sz w:val="44"/>
          <w:szCs w:val="48"/>
          <w:highlight w:val="none"/>
        </w:rPr>
        <w:t>关于新桥东</w:t>
      </w:r>
    </w:p>
    <w:p w14:paraId="63BB989D">
      <w:pPr>
        <w:spacing w:line="560" w:lineRule="exact"/>
        <w:ind w:left="0"/>
        <w:jc w:val="center"/>
        <w:rPr>
          <w:rFonts w:ascii="宋体" w:hAnsi="宋体"/>
          <w:b/>
          <w:bCs/>
          <w:spacing w:val="-23"/>
          <w:sz w:val="44"/>
          <w:szCs w:val="44"/>
          <w:highlight w:val="none"/>
        </w:rPr>
      </w:pPr>
      <w:r>
        <w:rPr>
          <w:rFonts w:hint="eastAsia" w:ascii="方正小标宋简体" w:eastAsia="方正小标宋简体"/>
          <w:sz w:val="44"/>
          <w:szCs w:val="48"/>
          <w:highlight w:val="none"/>
        </w:rPr>
        <w:t>项目</w:t>
      </w:r>
      <w:r>
        <w:rPr>
          <w:rFonts w:hint="eastAsia" w:ascii="方正小标宋简体" w:eastAsia="方正小标宋简体"/>
          <w:sz w:val="44"/>
          <w:szCs w:val="48"/>
          <w:highlight w:val="none"/>
          <w:lang w:val="en-US" w:eastAsia="zh-CN"/>
        </w:rPr>
        <w:t>网球场改造工程</w:t>
      </w:r>
      <w:r>
        <w:rPr>
          <w:rFonts w:hint="eastAsia" w:ascii="方正小标宋简体" w:hAnsi="宋体" w:eastAsia="方正小标宋简体" w:cs="方正小标宋简体"/>
          <w:b w:val="0"/>
          <w:bCs/>
          <w:spacing w:val="-23"/>
          <w:sz w:val="44"/>
          <w:szCs w:val="44"/>
          <w:highlight w:val="none"/>
        </w:rPr>
        <w:t>需求书</w:t>
      </w:r>
    </w:p>
    <w:p w14:paraId="7342D827">
      <w:pPr>
        <w:spacing w:line="560" w:lineRule="exact"/>
        <w:jc w:val="center"/>
        <w:rPr>
          <w:rFonts w:hint="eastAsia" w:ascii="宋体" w:hAnsi="宋体"/>
          <w:b/>
          <w:bCs/>
          <w:sz w:val="44"/>
          <w:szCs w:val="44"/>
        </w:rPr>
      </w:pPr>
    </w:p>
    <w:p w14:paraId="2A27F662">
      <w:pPr>
        <w:spacing w:line="560" w:lineRule="exact"/>
        <w:ind w:firstLine="640" w:firstLineChars="200"/>
        <w:jc w:val="left"/>
        <w:rPr>
          <w:rFonts w:ascii="黑体" w:hAnsi="黑体" w:eastAsia="黑体"/>
          <w:sz w:val="32"/>
          <w:szCs w:val="32"/>
          <w:lang w:val="en-US" w:eastAsia="zh-CN"/>
        </w:rPr>
      </w:pPr>
      <w:r>
        <w:rPr>
          <w:rFonts w:hint="eastAsia" w:ascii="黑体" w:hAnsi="黑体" w:eastAsia="黑体"/>
          <w:sz w:val="32"/>
          <w:szCs w:val="32"/>
        </w:rPr>
        <w:t>一、</w:t>
      </w:r>
      <w:r>
        <w:rPr>
          <w:rFonts w:hint="eastAsia" w:ascii="黑体" w:hAnsi="黑体" w:eastAsia="黑体"/>
          <w:sz w:val="32"/>
          <w:szCs w:val="32"/>
          <w:lang w:val="en-US" w:eastAsia="zh-CN"/>
        </w:rPr>
        <w:t>项目名称</w:t>
      </w:r>
    </w:p>
    <w:p w14:paraId="22B3D9E4">
      <w:pPr>
        <w:spacing w:line="560" w:lineRule="exact"/>
        <w:ind w:firstLine="640" w:firstLineChars="200"/>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rPr>
        <w:t>新桥东项目</w:t>
      </w:r>
      <w:r>
        <w:rPr>
          <w:rFonts w:hint="eastAsia" w:ascii="仿宋_GB2312" w:hAnsi="黑体" w:eastAsia="仿宋_GB2312"/>
          <w:sz w:val="32"/>
          <w:szCs w:val="32"/>
          <w:highlight w:val="none"/>
          <w:lang w:val="en-US" w:eastAsia="zh-CN"/>
        </w:rPr>
        <w:t>网球场改造项目</w:t>
      </w:r>
    </w:p>
    <w:p w14:paraId="636D3732">
      <w:pPr>
        <w:spacing w:line="560" w:lineRule="exact"/>
        <w:ind w:firstLine="640" w:firstLineChars="200"/>
        <w:jc w:val="left"/>
        <w:rPr>
          <w:rFonts w:hint="eastAsia"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项目概况</w:t>
      </w:r>
    </w:p>
    <w:p w14:paraId="7399ABCD">
      <w:pPr>
        <w:keepNext w:val="0"/>
        <w:keepLines w:val="0"/>
        <w:widowControl/>
        <w:suppressLineNumbers w:val="0"/>
        <w:spacing w:before="0" w:beforeAutospacing="0" w:after="0" w:afterAutospacing="0" w:line="560" w:lineRule="exact"/>
        <w:ind w:left="0" w:right="0" w:firstLine="640" w:firstLineChars="200"/>
        <w:jc w:val="left"/>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lang w:val="en-US" w:eastAsia="zh-CN"/>
        </w:rPr>
        <w:t>本项目位于深圳市宝安区新桥街道荔枝仔路洪田火山公园管理处，原是社区仿真草皮足球场及停车场，现拟改造成社区配套网球场及相关管理用房。</w:t>
      </w:r>
    </w:p>
    <w:p w14:paraId="5AE55200">
      <w:pPr>
        <w:spacing w:line="560" w:lineRule="exact"/>
        <w:ind w:firstLine="640" w:firstLineChars="200"/>
        <w:jc w:val="left"/>
        <w:rPr>
          <w:rFonts w:ascii="黑体" w:hAnsi="黑体" w:eastAsia="黑体"/>
          <w:sz w:val="32"/>
          <w:szCs w:val="32"/>
          <w:lang w:val="en-US" w:eastAsia="zh-CN"/>
        </w:rPr>
      </w:pPr>
      <w:r>
        <w:rPr>
          <w:rFonts w:hint="eastAsia" w:ascii="黑体" w:hAnsi="黑体" w:eastAsia="黑体"/>
          <w:sz w:val="32"/>
          <w:szCs w:val="32"/>
          <w:lang w:val="en-US" w:eastAsia="zh-CN"/>
        </w:rPr>
        <w:t>三、项目地点</w:t>
      </w:r>
    </w:p>
    <w:p w14:paraId="534DEC4E">
      <w:pPr>
        <w:spacing w:line="560" w:lineRule="exact"/>
        <w:ind w:firstLine="640" w:firstLineChars="200"/>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val="en-US" w:eastAsia="zh-CN"/>
        </w:rPr>
        <w:t>深圳市宝安区</w:t>
      </w:r>
      <w:r>
        <w:rPr>
          <w:rFonts w:hint="eastAsia" w:ascii="仿宋_GB2312" w:hAnsi="仿宋_GB2312" w:eastAsia="仿宋_GB2312" w:cs="仿宋_GB2312"/>
          <w:sz w:val="32"/>
          <w:szCs w:val="32"/>
          <w:highlight w:val="none"/>
          <w:lang w:val="en-US"/>
        </w:rPr>
        <w:t>新桥街道</w:t>
      </w:r>
    </w:p>
    <w:p w14:paraId="27D1CA30">
      <w:pPr>
        <w:spacing w:line="560" w:lineRule="exact"/>
        <w:ind w:firstLine="640" w:firstLineChars="200"/>
        <w:jc w:val="left"/>
        <w:rPr>
          <w:rFonts w:hint="default" w:ascii="仿宋_GB2312" w:hAnsi="黑体" w:eastAsia="仿宋_GB2312"/>
          <w:sz w:val="32"/>
          <w:szCs w:val="36"/>
          <w:lang w:val="en-US"/>
        </w:rPr>
      </w:pPr>
      <w:r>
        <w:rPr>
          <w:rFonts w:hint="eastAsia" w:ascii="黑体" w:hAnsi="黑体" w:eastAsia="黑体"/>
          <w:sz w:val="32"/>
          <w:szCs w:val="32"/>
          <w:lang w:val="en-US" w:eastAsia="zh-CN"/>
        </w:rPr>
        <w:t xml:space="preserve">四、施工进度、质量、安全等要求 </w:t>
      </w:r>
    </w:p>
    <w:p w14:paraId="006109C0">
      <w:pPr>
        <w:spacing w:line="560" w:lineRule="exact"/>
        <w:ind w:firstLine="640" w:firstLineChars="200"/>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lang w:val="en-US" w:eastAsia="zh-CN"/>
        </w:rPr>
        <w:t>本项目工期要求：施工合同签订后60个日历天内完成，质量要求合格。按照(深圳市宝安实业集团有限公司零星工程管理指引(试行)》、《建筑工程施工质量验收统一标准》（GB 50300）及各专业验收规范。遵守《建筑施工安全检查标准》（JGJ 59）及《安全生产法》相关规定。进场材料严格执行进场验收（合格证、检测报告、抽样复检），严禁使用不合格材料。</w:t>
      </w:r>
    </w:p>
    <w:p w14:paraId="3535600C">
      <w:pPr>
        <w:spacing w:line="560" w:lineRule="exact"/>
        <w:ind w:firstLine="640" w:firstLineChars="200"/>
        <w:jc w:val="left"/>
        <w:rPr>
          <w:rFonts w:ascii="黑体" w:hAnsi="黑体" w:eastAsia="黑体"/>
          <w:sz w:val="32"/>
          <w:szCs w:val="32"/>
          <w:lang w:val="en-US" w:eastAsia="zh-CN"/>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黑体" w:hAnsi="黑体" w:eastAsia="黑体"/>
          <w:sz w:val="32"/>
          <w:szCs w:val="32"/>
          <w:lang w:val="en-US" w:eastAsia="zh-CN"/>
        </w:rPr>
        <w:t>报价须知及付款方式</w:t>
      </w:r>
    </w:p>
    <w:p w14:paraId="50A08846">
      <w:pPr>
        <w:keepNext w:val="0"/>
        <w:keepLines w:val="0"/>
        <w:widowControl/>
        <w:suppressLineNumbers w:val="0"/>
        <w:spacing w:before="0" w:beforeAutospacing="0" w:after="0" w:afterAutospacing="0" w:line="560" w:lineRule="exact"/>
        <w:ind w:left="0" w:right="0" w:firstLine="640" w:firstLineChars="200"/>
        <w:jc w:val="left"/>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（一）报价须知</w:t>
      </w:r>
    </w:p>
    <w:p w14:paraId="1EA8F027">
      <w:pPr>
        <w:keepNext w:val="0"/>
        <w:keepLines w:val="0"/>
        <w:widowControl/>
        <w:suppressLineNumbers w:val="0"/>
        <w:spacing w:before="0" w:beforeAutospacing="0" w:after="0" w:afterAutospacing="0" w:line="560" w:lineRule="exact"/>
        <w:ind w:left="0" w:right="0" w:firstLine="640" w:firstLineChars="200"/>
        <w:jc w:val="left"/>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1、报价清单详见附件3，所报单价为综合费用单价，包含但不限于：人工费、材料费、机械费、管理费、利润、措施费、规费、税金以及完成图纸清单相关工作所需承担的其他费用以及相应风险费用等。</w:t>
      </w:r>
    </w:p>
    <w:p w14:paraId="0F1AE941">
      <w:pPr>
        <w:keepNext w:val="0"/>
        <w:keepLines w:val="0"/>
        <w:widowControl/>
        <w:suppressLineNumbers w:val="0"/>
        <w:spacing w:before="0" w:beforeAutospacing="0" w:after="0" w:afterAutospacing="0" w:line="560" w:lineRule="exact"/>
        <w:ind w:left="0" w:right="0" w:firstLine="640" w:firstLineChars="200"/>
        <w:jc w:val="left"/>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pP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2、甲限乙供主要材料品牌要求：</w:t>
      </w:r>
    </w:p>
    <w:p w14:paraId="18E90750">
      <w:pPr>
        <w:keepNext w:val="0"/>
        <w:keepLines w:val="0"/>
        <w:widowControl/>
        <w:suppressLineNumbers w:val="0"/>
        <w:spacing w:before="0" w:beforeAutospacing="0" w:after="0" w:afterAutospacing="0" w:line="560" w:lineRule="exact"/>
        <w:ind w:left="0" w:right="0" w:firstLine="640" w:firstLineChars="200"/>
        <w:jc w:val="left"/>
        <w:rPr>
          <w:rFonts w:hint="default" w:ascii="仿宋_GB2312" w:hAnsi="宋体" w:eastAsia="仿宋_GB2312" w:cs="仿宋_GB2312"/>
          <w:i w:val="0"/>
          <w:iCs w:val="0"/>
          <w:caps w:val="0"/>
          <w:smallCaps w:val="0"/>
          <w:color w:val="000000"/>
          <w:spacing w:val="0"/>
          <w:sz w:val="32"/>
          <w:szCs w:val="32"/>
          <w:shd w:val="clear" w:color="auto" w:fill="FFFFFF"/>
          <w:lang w:val="en-US" w:eastAsia="zh-CN"/>
        </w:rPr>
      </w:pPr>
      <w:r>
        <w:rPr>
          <w:rFonts w:hint="default" w:ascii="仿宋_GB2312" w:hAnsi="宋体" w:eastAsia="仿宋_GB2312" w:cs="仿宋_GB2312"/>
          <w:i w:val="0"/>
          <w:iCs w:val="0"/>
          <w:caps w:val="0"/>
          <w:smallCaps w:val="0"/>
          <w:color w:val="000000"/>
          <w:spacing w:val="0"/>
          <w:sz w:val="32"/>
          <w:szCs w:val="32"/>
          <w:shd w:val="clear" w:color="auto" w:fill="FFFFFF"/>
          <w:lang w:val="en-US" w:eastAsia="zh-CN"/>
        </w:rPr>
        <w:t>丙烯酸</w:t>
      </w: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w:t>
      </w:r>
      <w:r>
        <w:rPr>
          <w:rFonts w:hint="default" w:ascii="仿宋_GB2312" w:hAnsi="宋体" w:eastAsia="仿宋_GB2312" w:cs="仿宋_GB2312"/>
          <w:i w:val="0"/>
          <w:iCs w:val="0"/>
          <w:caps w:val="0"/>
          <w:smallCaps w:val="0"/>
          <w:color w:val="000000"/>
          <w:spacing w:val="0"/>
          <w:sz w:val="32"/>
          <w:szCs w:val="32"/>
          <w:shd w:val="clear" w:color="auto" w:fill="FFFFFF"/>
          <w:lang w:val="en-US" w:eastAsia="zh-CN"/>
        </w:rPr>
        <w:t>广州帝森，山东一诺威，湖南优冠，福建奥翔，江门长河，北新月皇。</w:t>
      </w:r>
    </w:p>
    <w:p w14:paraId="132E6534">
      <w:pPr>
        <w:keepNext w:val="0"/>
        <w:keepLines w:val="0"/>
        <w:widowControl/>
        <w:suppressLineNumbers w:val="0"/>
        <w:spacing w:before="0" w:beforeAutospacing="0" w:after="0" w:afterAutospacing="0" w:line="560" w:lineRule="exact"/>
        <w:ind w:left="0" w:right="0" w:firstLine="640" w:firstLineChars="200"/>
        <w:jc w:val="left"/>
        <w:rPr>
          <w:rFonts w:hint="default" w:ascii="仿宋_GB2312" w:hAnsi="宋体" w:eastAsia="仿宋_GB2312" w:cs="仿宋_GB2312"/>
          <w:i w:val="0"/>
          <w:iCs w:val="0"/>
          <w:caps w:val="0"/>
          <w:smallCaps w:val="0"/>
          <w:color w:val="000000"/>
          <w:spacing w:val="0"/>
          <w:sz w:val="32"/>
          <w:szCs w:val="32"/>
          <w:shd w:val="clear" w:color="auto" w:fill="FFFFFF"/>
          <w:lang w:val="en-US" w:eastAsia="zh-CN"/>
        </w:rPr>
      </w:pPr>
      <w:r>
        <w:rPr>
          <w:rFonts w:hint="default" w:ascii="仿宋_GB2312" w:hAnsi="宋体" w:eastAsia="仿宋_GB2312" w:cs="仿宋_GB2312"/>
          <w:i w:val="0"/>
          <w:iCs w:val="0"/>
          <w:caps w:val="0"/>
          <w:smallCaps w:val="0"/>
          <w:color w:val="000000"/>
          <w:spacing w:val="0"/>
          <w:sz w:val="32"/>
          <w:szCs w:val="32"/>
          <w:shd w:val="clear" w:color="auto" w:fill="FFFFFF"/>
          <w:lang w:val="en-US" w:eastAsia="zh-CN"/>
        </w:rPr>
        <w:t>体育照明</w:t>
      </w: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灯具：</w:t>
      </w:r>
      <w:r>
        <w:rPr>
          <w:rFonts w:hint="default" w:ascii="仿宋_GB2312" w:hAnsi="宋体" w:eastAsia="仿宋_GB2312" w:cs="仿宋_GB2312"/>
          <w:i w:val="0"/>
          <w:iCs w:val="0"/>
          <w:caps w:val="0"/>
          <w:smallCaps w:val="0"/>
          <w:color w:val="000000"/>
          <w:spacing w:val="0"/>
          <w:sz w:val="32"/>
          <w:szCs w:val="32"/>
          <w:shd w:val="clear" w:color="auto" w:fill="FFFFFF"/>
          <w:lang w:val="en-US" w:eastAsia="zh-CN"/>
        </w:rPr>
        <w:t>飞利浦，玛斯柯，索恩。</w:t>
      </w:r>
    </w:p>
    <w:p w14:paraId="3B108DDC">
      <w:pPr>
        <w:keepNext w:val="0"/>
        <w:keepLines w:val="0"/>
        <w:widowControl/>
        <w:suppressLineNumbers w:val="0"/>
        <w:spacing w:before="0" w:beforeAutospacing="0" w:after="0" w:afterAutospacing="0" w:line="560" w:lineRule="exact"/>
        <w:ind w:left="0" w:right="0" w:firstLine="640" w:firstLineChars="200"/>
        <w:jc w:val="left"/>
        <w:rPr>
          <w:rFonts w:hint="default" w:ascii="仿宋_GB2312" w:hAnsi="宋体" w:eastAsia="仿宋_GB2312" w:cs="仿宋_GB2312"/>
          <w:i w:val="0"/>
          <w:iCs w:val="0"/>
          <w:caps w:val="0"/>
          <w:smallCaps w:val="0"/>
          <w:color w:val="000000"/>
          <w:spacing w:val="0"/>
          <w:sz w:val="32"/>
          <w:szCs w:val="32"/>
          <w:shd w:val="clear" w:color="auto" w:fill="FFFFFF"/>
          <w:lang w:val="en-US" w:eastAsia="zh-CN"/>
        </w:rPr>
      </w:pPr>
      <w:r>
        <w:rPr>
          <w:rFonts w:hint="default" w:ascii="仿宋_GB2312" w:hAnsi="宋体" w:eastAsia="仿宋_GB2312" w:cs="仿宋_GB2312"/>
          <w:i w:val="0"/>
          <w:iCs w:val="0"/>
          <w:caps w:val="0"/>
          <w:smallCaps w:val="0"/>
          <w:color w:val="000000"/>
          <w:spacing w:val="0"/>
          <w:sz w:val="32"/>
          <w:szCs w:val="32"/>
          <w:shd w:val="clear" w:color="auto" w:fill="FFFFFF"/>
          <w:lang w:val="en-US" w:eastAsia="zh-CN"/>
        </w:rPr>
        <w:t>围网</w:t>
      </w:r>
      <w:r>
        <w:rPr>
          <w:rFonts w:hint="eastAsia" w:ascii="仿宋_GB2312" w:hAnsi="宋体" w:eastAsia="仿宋_GB2312" w:cs="仿宋_GB2312"/>
          <w:i w:val="0"/>
          <w:iCs w:val="0"/>
          <w:caps w:val="0"/>
          <w:smallCaps w:val="0"/>
          <w:color w:val="000000"/>
          <w:spacing w:val="0"/>
          <w:sz w:val="32"/>
          <w:szCs w:val="32"/>
          <w:shd w:val="clear" w:color="auto" w:fill="FFFFFF"/>
          <w:lang w:val="en-US" w:eastAsia="zh-CN"/>
        </w:rPr>
        <w:t>：</w:t>
      </w:r>
      <w:r>
        <w:rPr>
          <w:rFonts w:hint="default" w:ascii="仿宋_GB2312" w:hAnsi="宋体" w:eastAsia="仿宋_GB2312" w:cs="仿宋_GB2312"/>
          <w:i w:val="0"/>
          <w:iCs w:val="0"/>
          <w:caps w:val="0"/>
          <w:smallCaps w:val="0"/>
          <w:color w:val="000000"/>
          <w:spacing w:val="0"/>
          <w:sz w:val="32"/>
          <w:szCs w:val="32"/>
          <w:shd w:val="clear" w:color="auto" w:fill="FFFFFF"/>
          <w:lang w:val="en-US" w:eastAsia="zh-CN"/>
        </w:rPr>
        <w:t>恰好时，好家庭，泰山。</w:t>
      </w:r>
      <w:bookmarkStart w:id="0" w:name="_GoBack"/>
      <w:bookmarkEnd w:id="0"/>
    </w:p>
    <w:p w14:paraId="0D8A4EE1">
      <w:pPr>
        <w:spacing w:line="560" w:lineRule="exact"/>
        <w:ind w:firstLine="640" w:firstLineChars="200"/>
        <w:rPr>
          <w:rFonts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（二）付款方式</w:t>
      </w:r>
    </w:p>
    <w:p w14:paraId="57A04773">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1、本工程进度款按月进度支付，按当月已完合格工程量的工程价款的 80%向承包人支付进度款。</w:t>
      </w:r>
    </w:p>
    <w:p w14:paraId="3769C0E8">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2、整体工程完工后，承包人向发包人提交整套工程造价资料，经发包人审核后，支付至发包人审核价款的 85%。</w:t>
      </w:r>
    </w:p>
    <w:p w14:paraId="33ABD629">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3、竣工验收合格,并经发包人和总包单位确认接收且结算资料齐全、结算造价经双方核对完成达到送造价站审核的条件后，支付至双方核对后的初步结算款的 90%。</w:t>
      </w:r>
    </w:p>
    <w:p w14:paraId="7E354412">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4、工程结算造价经造价管理部门或发包人委托的第三方造价审核单位审定且承包人与供电、供水部门结清施工水电费（并提供相关证明）后，支付至工程结算总造价的 97%。支付该笔款项前乙方须提供包含质保金的发票。</w:t>
      </w:r>
    </w:p>
    <w:p w14:paraId="07B57FCE">
      <w:pPr>
        <w:spacing w:line="560" w:lineRule="exact"/>
        <w:ind w:firstLine="640" w:firstLineChars="200"/>
        <w:rPr>
          <w:rFonts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5、质保金支付：本工程结算价款的3%作为工程质量保证金竣工验收之后满两年支付。</w:t>
      </w:r>
    </w:p>
    <w:p w14:paraId="32F81665">
      <w:pPr>
        <w:spacing w:line="560" w:lineRule="exact"/>
        <w:ind w:firstLine="640" w:firstLineChars="200"/>
        <w:jc w:val="left"/>
        <w:rPr>
          <w:rFonts w:hint="eastAsia" w:ascii="黑体" w:hAnsi="黑体" w:eastAsia="黑体"/>
          <w:sz w:val="32"/>
          <w:szCs w:val="32"/>
          <w:lang w:val="en-US" w:eastAsia="zh-CN"/>
        </w:rPr>
      </w:pPr>
      <w:r>
        <w:rPr>
          <w:rFonts w:hint="eastAsia" w:ascii="黑体" w:hAnsi="黑体" w:eastAsia="黑体"/>
          <w:sz w:val="32"/>
          <w:szCs w:val="32"/>
          <w:lang w:val="en-US" w:eastAsia="zh-CN"/>
        </w:rPr>
        <w:t>六、其他</w:t>
      </w:r>
    </w:p>
    <w:p w14:paraId="387B4B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本文件相关内容仅用于本次询价，最终要求和相关条款以挂网招标文件为准。</w:t>
      </w:r>
    </w:p>
    <w:p w14:paraId="39AC2118">
      <w:pPr>
        <w:spacing w:line="560" w:lineRule="exact"/>
        <w:rPr>
          <w:rFonts w:hint="eastAsia"/>
          <w:lang w:val="en-US" w:eastAsia="zh-CN"/>
        </w:rPr>
      </w:pPr>
    </w:p>
    <w:p w14:paraId="49A3ADF0">
      <w:pPr>
        <w:pStyle w:val="5"/>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53BE5">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09600" cy="263525"/>
              <wp:effectExtent l="0" t="0" r="0" b="0"/>
              <wp:wrapNone/>
              <wp:docPr id="1" name="文本框 1"/>
              <wp:cNvGraphicFramePr/>
              <a:graphic xmlns:a="http://schemas.openxmlformats.org/drawingml/2006/main">
                <a:graphicData uri="http://schemas.microsoft.com/office/word/2010/wordprocessingShape">
                  <wps:wsp>
                    <wps:cNvSpPr/>
                    <wps:spPr>
                      <a:xfrm>
                        <a:off x="0" y="0"/>
                        <a:ext cx="609600" cy="263524"/>
                      </a:xfrm>
                      <a:prstGeom prst="rect">
                        <a:avLst/>
                      </a:prstGeom>
                      <a:noFill/>
                      <a:ln w="6350" cap="flat" cmpd="sng">
                        <a:noFill/>
                        <a:prstDash val="solid"/>
                        <a:round/>
                      </a:ln>
                    </wps:spPr>
                    <wps:txbx>
                      <w:txbxContent>
                        <w:p w14:paraId="336CC2AB">
                          <w:pPr>
                            <w:pStyle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20.75pt;width:48pt;mso-position-horizontal:outside;mso-position-horizontal-relative:margin;mso-wrap-style:none;z-index:251659264;mso-width-relative:page;mso-height-relative:page;" filled="f" stroked="f" coordsize="21600,21600" o:gfxdata="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JeBIjWAAAAAwEAAA8AAAAAAAAAAQAgAAAAIgAAAGRycy9kb3du&#10;cmV2LnhtbFBLAQIUABQAAAAIAIdO4kDH7+SdAQIAAPQDAAAOAAAAAAAAAAEAIAAAACUBAABkcnMv&#10;ZTJvRG9jLnhtbFBLBQYAAAAABgAGAFkBAACYBQAAAAA=&#10;">
              <v:fill on="f" focussize="0,0"/>
              <v:stroke on="f" weight="0.5pt" joinstyle="round"/>
              <v:imagedata o:title=""/>
              <o:lock v:ext="edit" aspectratio="f"/>
              <v:textbox inset="0mm,0mm,0mm,0mm" style="mso-fit-shape-to-text:t;">
                <w:txbxContent>
                  <w:p w14:paraId="336CC2AB">
                    <w:pPr>
                      <w:pStyle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
  <w:docVars>
    <w:docVar w:name="commondata" w:val="eyJoZGlkIjoiZjgxZWRiY2M4NGFkNDRhMzUxNDc5NGI2MTY4MDhkZDIifQ=="/>
  </w:docVars>
  <w:rsids>
    <w:rsidRoot w:val="00000000"/>
    <w:rsid w:val="25C21310"/>
    <w:rsid w:val="26EE5913"/>
    <w:rsid w:val="3CCD2002"/>
    <w:rsid w:val="51C127CD"/>
    <w:rsid w:val="64D26A51"/>
    <w:rsid w:val="7AF65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link w:val="19"/>
    <w:qFormat/>
    <w:uiPriority w:val="0"/>
    <w:pPr>
      <w:keepNext/>
      <w:keepLines/>
      <w:spacing w:before="260" w:after="260" w:line="415" w:lineRule="auto"/>
      <w:outlineLvl w:val="2"/>
    </w:pPr>
    <w:rPr>
      <w:b/>
      <w:bCs/>
      <w:sz w:val="32"/>
      <w:szCs w:val="32"/>
    </w:rPr>
  </w:style>
  <w:style w:type="character" w:default="1" w:styleId="16">
    <w:name w:val="Default Paragraph Font"/>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style>
  <w:style w:type="paragraph" w:styleId="6">
    <w:name w:val="annotation text"/>
    <w:basedOn w:val="1"/>
    <w:qFormat/>
    <w:uiPriority w:val="0"/>
    <w:pPr>
      <w:jc w:val="left"/>
    </w:pPr>
  </w:style>
  <w:style w:type="paragraph" w:styleId="7">
    <w:name w:val="toc 5"/>
    <w:basedOn w:val="1"/>
    <w:next w:val="1"/>
    <w:autoRedefine/>
    <w:qFormat/>
    <w:uiPriority w:val="0"/>
    <w:pPr>
      <w:ind w:left="1680"/>
    </w:pPr>
  </w:style>
  <w:style w:type="paragraph" w:styleId="8">
    <w:name w:val="toc 3"/>
    <w:basedOn w:val="1"/>
    <w:next w:val="1"/>
    <w:autoRedefine/>
    <w:qFormat/>
    <w:uiPriority w:val="0"/>
    <w:pPr>
      <w:ind w:left="84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qFormat/>
    <w:uiPriority w:val="0"/>
  </w:style>
  <w:style w:type="paragraph" w:styleId="12">
    <w:name w:val="toc 4"/>
    <w:basedOn w:val="1"/>
    <w:next w:val="1"/>
    <w:autoRedefine/>
    <w:qFormat/>
    <w:uiPriority w:val="0"/>
    <w:pPr>
      <w:ind w:left="1260"/>
    </w:pPr>
  </w:style>
  <w:style w:type="paragraph" w:styleId="13">
    <w:name w:val="toc 2"/>
    <w:basedOn w:val="1"/>
    <w:next w:val="1"/>
    <w:autoRedefine/>
    <w:qFormat/>
    <w:uiPriority w:val="0"/>
    <w:pPr>
      <w:ind w:left="420"/>
    </w:pPr>
  </w:style>
  <w:style w:type="paragraph" w:styleId="14">
    <w:name w:val="Normal (Web)"/>
    <w:basedOn w:val="1"/>
    <w:qFormat/>
    <w:uiPriority w:val="0"/>
    <w:rPr>
      <w:sz w:val="24"/>
    </w:rPr>
  </w:style>
  <w:style w:type="character" w:customStyle="1" w:styleId="17">
    <w:name w:val="heading 1 Char"/>
    <w:basedOn w:val="16"/>
    <w:link w:val="2"/>
    <w:qFormat/>
    <w:uiPriority w:val="0"/>
    <w:rPr>
      <w:rFonts w:ascii="Calibri" w:hAnsi="Calibri" w:eastAsia="宋体" w:cs="Arial"/>
      <w:b/>
      <w:bCs/>
      <w:kern w:val="44"/>
      <w:sz w:val="44"/>
      <w:szCs w:val="44"/>
      <w:lang w:val="en-US" w:eastAsia="zh-CN" w:bidi="ar-SA"/>
    </w:rPr>
  </w:style>
  <w:style w:type="character" w:customStyle="1" w:styleId="18">
    <w:name w:val="heading 2 Char"/>
    <w:basedOn w:val="16"/>
    <w:link w:val="3"/>
    <w:qFormat/>
    <w:uiPriority w:val="0"/>
    <w:rPr>
      <w:rFonts w:ascii="Times New Roman" w:hAnsi="Times New Roman" w:eastAsia="黑体" w:cs="Arial"/>
      <w:b/>
      <w:bCs/>
      <w:kern w:val="2"/>
      <w:sz w:val="32"/>
      <w:szCs w:val="32"/>
      <w:lang w:val="en-US" w:eastAsia="zh-CN" w:bidi="ar-SA"/>
    </w:rPr>
  </w:style>
  <w:style w:type="character" w:customStyle="1" w:styleId="19">
    <w:name w:val="heading 3 Char"/>
    <w:basedOn w:val="16"/>
    <w:link w:val="4"/>
    <w:qFormat/>
    <w:uiPriority w:val="0"/>
    <w:rPr>
      <w:rFonts w:ascii="Calibri" w:hAnsi="Calibri" w:eastAsia="宋体" w:cs="Arial"/>
      <w:b/>
      <w:bCs/>
      <w:kern w:val="2"/>
      <w:sz w:val="32"/>
      <w:szCs w:val="32"/>
      <w:lang w:val="en-US" w:eastAsia="zh-CN" w:bidi="ar-SA"/>
    </w:rPr>
  </w:style>
  <w:style w:type="paragraph" w:styleId="20">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ap="flat" cmpd="sng">
          <a:solidFill>
            <a:schemeClr val="phClr">
              <a:shade val="95000"/>
              <a:satMod val="105000"/>
            </a:schemeClr>
          </a:solidFill>
          <a:prstDash val="solid"/>
          <a:round/>
        </a:ln>
        <a:ln w="25400" cap="flat" cmpd="sng">
          <a:solidFill>
            <a:schemeClr val="phClr"/>
          </a:solidFill>
          <a:prstDash val="solid"/>
          <a:round/>
        </a:ln>
        <a:ln w="38100" cap="flat" cmpd="sng">
          <a:solidFill>
            <a:schemeClr val="phClr"/>
          </a:solidFill>
          <a:prstDash val="solid"/>
          <a:round/>
        </a:ln>
      </a:lnStyleLst>
      <a:effectStyleLst>
        <a:effectStyle>
          <a:effectLst>
            <a:outerShdw blurRad="40000" dist="20000" dir="5400000" rotWithShape="0">
              <a:srgbClr val="000000">
                <a:alpha val="37647"/>
              </a:srgbClr>
            </a:outerShdw>
          </a:effectLst>
        </a:effectStyle>
        <a:effectStyle>
          <a:effectLst>
            <a:outerShdw blurRad="40000" dist="23000" dir="5400000" rotWithShape="0">
              <a:srgbClr val="000000">
                <a:alpha val="34509"/>
              </a:srgbClr>
            </a:outerShdw>
          </a:effectLst>
        </a:effectStyle>
        <a:effectStyle>
          <a:effectLst>
            <a:outerShdw blurRad="40000" dist="23000" dir="5400000" rotWithShape="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100000"/>
          </a:path>
          <a:tileRect r="-100000" b="-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3</Pages>
  <Words>759</Words>
  <Characters>777</Characters>
  <Lines>0</Lines>
  <Paragraphs>105</Paragraphs>
  <TotalTime>176</TotalTime>
  <ScaleCrop>false</ScaleCrop>
  <LinksUpToDate>false</LinksUpToDate>
  <CharactersWithSpaces>784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2024-08-20T14:41:00Z</dcterms:created>
  <dc:creator>lenovo</dc:creator>
  <cp:lastModifiedBy>陈炜哲</cp:lastModifiedBy>
  <cp:lastPrinted>2025-04-08T07:39:30Z</cp:lastPrinted>
  <dcterms:modified xsi:type="dcterms:W3CDTF">2025-04-08T08:42:15Z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5E5063C9CE9787287AFC5067A91EC321_43</vt:lpwstr>
  </property>
  <property fmtid="{D5CDD505-2E9C-101B-9397-08002B2CF9AE}" pid="4" name="KSOTemplateDocerSaveRecord">
    <vt:lpwstr>eyJoZGlkIjoiMjExN2Q0MDhlM2YyMjhkZjVkZWE5ZTdhZWExYzIzNzAiLCJ1c2VySWQiOiI0Mjc0NDQ0MDgifQ==</vt:lpwstr>
  </property>
</Properties>
</file>