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C0AA6">
      <w:pPr>
        <w:pStyle w:val="3"/>
        <w:ind w:left="0" w:leftChars="0" w:firstLine="0" w:firstLineChars="0"/>
        <w:jc w:val="center"/>
        <w:rPr>
          <w:rFonts w:hint="eastAsia" w:ascii="宋体" w:hAnsi="宋体" w:eastAsia="宋体" w:cs="宋体"/>
          <w:color w:val="auto"/>
          <w:sz w:val="44"/>
          <w:szCs w:val="44"/>
          <w:highlight w:val="none"/>
          <w:lang w:val="en-US" w:eastAsia="zh-CN"/>
        </w:rPr>
      </w:pPr>
      <w:r>
        <w:rPr>
          <w:rFonts w:hint="eastAsia" w:hAnsi="宋体" w:cs="宋体"/>
          <w:b w:val="0"/>
          <w:color w:val="auto"/>
          <w:sz w:val="52"/>
          <w:szCs w:val="52"/>
          <w:highlight w:val="none"/>
          <w:lang w:eastAsia="zh-CN"/>
        </w:rPr>
        <w:t>龙岗区公共住房全屋智能系统改造项目网络安全等级保护第三方测评服务</w:t>
      </w:r>
    </w:p>
    <w:p w14:paraId="613ECEAC">
      <w:pPr>
        <w:rPr>
          <w:rFonts w:hint="eastAsia"/>
          <w:highlight w:val="none"/>
          <w:lang w:val="en-US" w:eastAsia="zh-CN"/>
        </w:rPr>
      </w:pPr>
    </w:p>
    <w:p w14:paraId="6509B7BE">
      <w:pPr>
        <w:rPr>
          <w:rFonts w:hint="eastAsia"/>
          <w:highlight w:val="none"/>
          <w:lang w:val="en-US" w:eastAsia="zh-CN"/>
        </w:rPr>
      </w:pPr>
    </w:p>
    <w:p w14:paraId="3745EFC1">
      <w:pPr>
        <w:rPr>
          <w:rFonts w:hint="eastAsia"/>
          <w:highlight w:val="none"/>
          <w:lang w:val="en-US" w:eastAsia="zh-CN"/>
        </w:rPr>
      </w:pPr>
    </w:p>
    <w:p w14:paraId="65C9513A">
      <w:pPr>
        <w:spacing w:before="120" w:beforeLines="50" w:after="240" w:afterLines="100" w:line="360" w:lineRule="auto"/>
        <w:jc w:val="center"/>
        <w:rPr>
          <w:rFonts w:ascii="宋体" w:hAnsi="宋体"/>
          <w:b/>
          <w:sz w:val="72"/>
          <w:szCs w:val="72"/>
          <w:highlight w:val="none"/>
        </w:rPr>
      </w:pPr>
      <w:r>
        <w:rPr>
          <w:rFonts w:hint="eastAsia" w:ascii="宋体" w:hAnsi="宋体"/>
          <w:b/>
          <w:sz w:val="72"/>
          <w:szCs w:val="72"/>
          <w:highlight w:val="none"/>
        </w:rPr>
        <w:t>招标文件</w:t>
      </w:r>
    </w:p>
    <w:p w14:paraId="358E9A64">
      <w:pPr>
        <w:spacing w:line="360" w:lineRule="auto"/>
        <w:jc w:val="center"/>
        <w:rPr>
          <w:rFonts w:ascii="宋体" w:hAnsi="宋体"/>
          <w:b/>
          <w:sz w:val="32"/>
          <w:szCs w:val="32"/>
          <w:highlight w:val="none"/>
        </w:rPr>
      </w:pPr>
    </w:p>
    <w:p w14:paraId="5676D44E">
      <w:pPr>
        <w:spacing w:line="360" w:lineRule="auto"/>
        <w:jc w:val="center"/>
        <w:rPr>
          <w:rFonts w:ascii="宋体" w:hAnsi="宋体"/>
          <w:b/>
          <w:sz w:val="32"/>
          <w:szCs w:val="32"/>
          <w:highlight w:val="none"/>
        </w:rPr>
      </w:pPr>
    </w:p>
    <w:p w14:paraId="0B66551B">
      <w:pPr>
        <w:spacing w:line="360" w:lineRule="auto"/>
        <w:jc w:val="center"/>
        <w:rPr>
          <w:rFonts w:ascii="宋体" w:hAnsi="宋体"/>
          <w:b/>
          <w:sz w:val="32"/>
          <w:szCs w:val="32"/>
          <w:highlight w:val="none"/>
        </w:rPr>
      </w:pPr>
    </w:p>
    <w:p w14:paraId="42F81773">
      <w:pPr>
        <w:spacing w:line="360" w:lineRule="auto"/>
        <w:jc w:val="center"/>
        <w:rPr>
          <w:rFonts w:ascii="宋体" w:hAnsi="宋体"/>
          <w:b/>
          <w:sz w:val="32"/>
          <w:szCs w:val="32"/>
          <w:highlight w:val="none"/>
        </w:rPr>
      </w:pPr>
    </w:p>
    <w:p w14:paraId="59B3B688">
      <w:pPr>
        <w:rPr>
          <w:rFonts w:ascii="宋体" w:hAnsi="宋体"/>
          <w:b/>
          <w:sz w:val="32"/>
          <w:szCs w:val="32"/>
          <w:highlight w:val="none"/>
        </w:rPr>
      </w:pPr>
    </w:p>
    <w:p w14:paraId="4E760F72">
      <w:pPr>
        <w:pStyle w:val="25"/>
        <w:rPr>
          <w:rFonts w:ascii="宋体" w:hAnsi="宋体"/>
          <w:b/>
          <w:sz w:val="32"/>
          <w:szCs w:val="32"/>
          <w:highlight w:val="none"/>
        </w:rPr>
      </w:pPr>
    </w:p>
    <w:p w14:paraId="19FF7676">
      <w:pPr>
        <w:rPr>
          <w:highlight w:val="none"/>
        </w:rPr>
      </w:pPr>
    </w:p>
    <w:p w14:paraId="61259E5A">
      <w:pPr>
        <w:spacing w:line="360" w:lineRule="auto"/>
        <w:jc w:val="center"/>
        <w:rPr>
          <w:rFonts w:ascii="宋体" w:hAnsi="宋体"/>
          <w:b/>
          <w:sz w:val="32"/>
          <w:szCs w:val="32"/>
          <w:highlight w:val="none"/>
        </w:rPr>
      </w:pPr>
    </w:p>
    <w:p w14:paraId="03FC1B01">
      <w:pPr>
        <w:spacing w:line="360" w:lineRule="auto"/>
        <w:jc w:val="center"/>
        <w:rPr>
          <w:rFonts w:hint="eastAsia" w:ascii="仿宋_GB2312" w:hAnsi="宋体" w:eastAsia="仿宋_GB2312" w:cs="Times New Roman"/>
          <w:b w:val="0"/>
          <w:bCs/>
          <w:kern w:val="2"/>
          <w:sz w:val="30"/>
          <w:szCs w:val="30"/>
          <w:highlight w:val="none"/>
          <w:lang w:val="en-US" w:eastAsia="zh-CN" w:bidi="ar-SA"/>
        </w:rPr>
      </w:pPr>
      <w:r>
        <w:rPr>
          <w:rFonts w:hint="eastAsia" w:ascii="仿宋_GB2312" w:hAnsi="宋体" w:eastAsia="仿宋_GB2312"/>
          <w:b w:val="0"/>
          <w:bCs/>
          <w:sz w:val="30"/>
          <w:szCs w:val="30"/>
          <w:highlight w:val="none"/>
        </w:rPr>
        <w:t>招标人：</w:t>
      </w:r>
      <w:r>
        <w:rPr>
          <w:rFonts w:hint="eastAsia" w:ascii="仿宋_GB2312" w:hAnsi="宋体" w:eastAsia="仿宋_GB2312" w:cs="Times New Roman"/>
          <w:b w:val="0"/>
          <w:bCs/>
          <w:kern w:val="2"/>
          <w:sz w:val="30"/>
          <w:szCs w:val="30"/>
          <w:highlight w:val="none"/>
          <w:lang w:val="en-US" w:eastAsia="zh-CN" w:bidi="ar-SA"/>
        </w:rPr>
        <w:t>深圳市龙岗区城投新基础设施建设管理有限公司</w:t>
      </w:r>
    </w:p>
    <w:p w14:paraId="48CD65B4">
      <w:pPr>
        <w:spacing w:line="360" w:lineRule="auto"/>
        <w:jc w:val="center"/>
        <w:rPr>
          <w:rFonts w:ascii="宋体" w:hAnsi="宋体"/>
          <w:sz w:val="30"/>
          <w:szCs w:val="30"/>
          <w:highlight w:val="none"/>
        </w:rPr>
      </w:pPr>
      <w:r>
        <w:rPr>
          <w:rFonts w:hint="eastAsia" w:ascii="宋体" w:hAnsi="宋体"/>
          <w:sz w:val="30"/>
          <w:szCs w:val="30"/>
          <w:highlight w:val="none"/>
        </w:rPr>
        <w:t xml:space="preserve">   二〇二</w:t>
      </w:r>
      <w:r>
        <w:rPr>
          <w:rFonts w:hint="eastAsia" w:ascii="宋体" w:hAnsi="宋体"/>
          <w:sz w:val="30"/>
          <w:szCs w:val="30"/>
          <w:highlight w:val="none"/>
          <w:lang w:val="en-US" w:eastAsia="zh-CN"/>
        </w:rPr>
        <w:t>六</w:t>
      </w:r>
      <w:r>
        <w:rPr>
          <w:rFonts w:hint="eastAsia" w:ascii="宋体" w:hAnsi="宋体"/>
          <w:sz w:val="30"/>
          <w:szCs w:val="30"/>
          <w:highlight w:val="none"/>
        </w:rPr>
        <w:t>年</w:t>
      </w:r>
      <w:r>
        <w:rPr>
          <w:rFonts w:hint="eastAsia" w:ascii="宋体" w:hAnsi="宋体"/>
          <w:sz w:val="30"/>
          <w:szCs w:val="30"/>
          <w:highlight w:val="none"/>
          <w:lang w:val="en-US" w:eastAsia="zh-CN"/>
        </w:rPr>
        <w:t>八</w:t>
      </w:r>
      <w:r>
        <w:rPr>
          <w:rFonts w:hint="eastAsia" w:ascii="宋体" w:hAnsi="宋体"/>
          <w:sz w:val="30"/>
          <w:szCs w:val="30"/>
          <w:highlight w:val="none"/>
        </w:rPr>
        <w:t>月</w:t>
      </w:r>
    </w:p>
    <w:p w14:paraId="10EFF518">
      <w:pPr>
        <w:widowControl/>
        <w:spacing w:before="60" w:beforeLines="25" w:after="60" w:afterLines="25" w:line="360" w:lineRule="auto"/>
        <w:jc w:val="center"/>
        <w:rPr>
          <w:rFonts w:ascii="宋体" w:hAnsi="宋体"/>
          <w:b/>
          <w:sz w:val="32"/>
          <w:szCs w:val="32"/>
          <w:highlight w:val="none"/>
          <w:lang w:val="zh-CN"/>
        </w:rPr>
        <w:sectPr>
          <w:headerReference r:id="rId3" w:type="default"/>
          <w:pgSz w:w="11906" w:h="16838"/>
          <w:pgMar w:top="1440" w:right="1800" w:bottom="1440" w:left="1800" w:header="1247" w:footer="737" w:gutter="0"/>
          <w:pgNumType w:start="1"/>
          <w:cols w:space="720" w:num="1"/>
          <w:docGrid w:linePitch="380" w:charSpace="-4301"/>
        </w:sectPr>
      </w:pPr>
    </w:p>
    <w:p w14:paraId="3E31FF5B">
      <w:pPr>
        <w:widowControl/>
        <w:spacing w:before="78" w:beforeLines="25" w:after="78" w:afterLines="25" w:line="360" w:lineRule="auto"/>
        <w:jc w:val="center"/>
        <w:rPr>
          <w:rFonts w:ascii="宋体" w:hAnsi="宋体"/>
          <w:b/>
          <w:sz w:val="32"/>
          <w:szCs w:val="32"/>
          <w:highlight w:val="none"/>
          <w:lang w:val="zh-CN"/>
        </w:rPr>
      </w:pPr>
      <w:r>
        <w:rPr>
          <w:rFonts w:ascii="宋体" w:hAnsi="宋体"/>
          <w:b/>
          <w:sz w:val="32"/>
          <w:szCs w:val="32"/>
          <w:highlight w:val="none"/>
          <w:lang w:val="zh-CN"/>
        </w:rPr>
        <w:t>目</w:t>
      </w:r>
      <w:r>
        <w:rPr>
          <w:rFonts w:hint="eastAsia" w:ascii="宋体" w:hAnsi="宋体"/>
          <w:b/>
          <w:sz w:val="32"/>
          <w:szCs w:val="32"/>
          <w:highlight w:val="none"/>
          <w:lang w:val="zh-CN"/>
        </w:rPr>
        <w:t>　</w:t>
      </w:r>
      <w:r>
        <w:rPr>
          <w:rFonts w:ascii="宋体" w:hAnsi="宋体"/>
          <w:b/>
          <w:sz w:val="32"/>
          <w:szCs w:val="32"/>
          <w:highlight w:val="none"/>
          <w:lang w:val="zh-CN"/>
        </w:rPr>
        <w:t>录</w:t>
      </w:r>
    </w:p>
    <w:p w14:paraId="61B1C2D2">
      <w:pPr>
        <w:spacing w:line="480" w:lineRule="auto"/>
        <w:jc w:val="left"/>
        <w:rPr>
          <w:rFonts w:ascii="宋体" w:hAnsi="宋体"/>
          <w:sz w:val="24"/>
          <w:szCs w:val="24"/>
          <w:highlight w:val="none"/>
        </w:rPr>
      </w:pPr>
      <w:r>
        <w:rPr>
          <w:rFonts w:hint="eastAsia" w:ascii="宋体" w:hAnsi="宋体"/>
          <w:sz w:val="24"/>
          <w:szCs w:val="24"/>
          <w:highlight w:val="none"/>
          <w:lang w:val="zh-CN"/>
        </w:rPr>
        <w:t>第一章</w:t>
      </w:r>
      <w:r>
        <w:rPr>
          <w:rFonts w:ascii="宋体" w:hAnsi="宋体"/>
          <w:sz w:val="24"/>
          <w:szCs w:val="24"/>
          <w:highlight w:val="none"/>
          <w:lang w:val="zh-CN"/>
        </w:rPr>
        <w:tab/>
      </w:r>
      <w:r>
        <w:rPr>
          <w:rFonts w:hint="eastAsia" w:ascii="宋体" w:hAnsi="宋体"/>
          <w:sz w:val="24"/>
          <w:szCs w:val="24"/>
          <w:highlight w:val="none"/>
          <w:lang w:val="zh-CN"/>
        </w:rPr>
        <w:t xml:space="preserve"> 招标公</w:t>
      </w:r>
      <w:r>
        <w:rPr>
          <w:rFonts w:hint="eastAsia" w:ascii="宋体" w:hAnsi="宋体"/>
          <w:sz w:val="24"/>
          <w:szCs w:val="24"/>
          <w:highlight w:val="none"/>
        </w:rPr>
        <w:t>告</w:t>
      </w:r>
      <w:r>
        <w:rPr>
          <w:rFonts w:ascii="宋体" w:hAnsi="宋体"/>
          <w:sz w:val="24"/>
          <w:szCs w:val="24"/>
          <w:highlight w:val="none"/>
          <w:lang w:val="zh-CN"/>
        </w:rPr>
        <w:t>…………………………………………………………………</w:t>
      </w:r>
      <w:r>
        <w:rPr>
          <w:rFonts w:hint="eastAsia" w:ascii="宋体" w:hAnsi="宋体"/>
          <w:sz w:val="24"/>
          <w:szCs w:val="24"/>
          <w:highlight w:val="none"/>
        </w:rPr>
        <w:t>3</w:t>
      </w:r>
    </w:p>
    <w:p w14:paraId="71FD79FE">
      <w:pPr>
        <w:spacing w:line="480" w:lineRule="auto"/>
        <w:rPr>
          <w:rFonts w:ascii="宋体" w:hAnsi="宋体"/>
          <w:sz w:val="24"/>
          <w:szCs w:val="24"/>
          <w:highlight w:val="none"/>
        </w:rPr>
      </w:pPr>
      <w:r>
        <w:rPr>
          <w:rFonts w:hint="eastAsia" w:ascii="宋体" w:hAnsi="宋体"/>
          <w:sz w:val="24"/>
          <w:szCs w:val="24"/>
          <w:highlight w:val="none"/>
          <w:lang w:val="zh-CN"/>
        </w:rPr>
        <w:t>第二章  投标须知</w:t>
      </w:r>
      <w:r>
        <w:rPr>
          <w:rFonts w:ascii="宋体" w:hAnsi="宋体"/>
          <w:sz w:val="24"/>
          <w:szCs w:val="24"/>
          <w:highlight w:val="none"/>
          <w:lang w:val="zh-CN"/>
        </w:rPr>
        <w:t>…………………………………………………………………</w:t>
      </w:r>
      <w:r>
        <w:rPr>
          <w:rFonts w:hint="eastAsia" w:ascii="宋体" w:hAnsi="宋体"/>
          <w:sz w:val="24"/>
          <w:szCs w:val="24"/>
          <w:highlight w:val="none"/>
        </w:rPr>
        <w:t>6</w:t>
      </w:r>
    </w:p>
    <w:p w14:paraId="5D8DB8A1">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一、总</w:t>
      </w:r>
      <w:r>
        <w:rPr>
          <w:rFonts w:ascii="宋体" w:hAnsi="宋体"/>
          <w:sz w:val="24"/>
          <w:szCs w:val="24"/>
          <w:highlight w:val="none"/>
          <w:lang w:val="zh-CN"/>
        </w:rPr>
        <w:t xml:space="preserve">  </w:t>
      </w:r>
      <w:r>
        <w:rPr>
          <w:rFonts w:hint="eastAsia" w:ascii="宋体" w:hAnsi="宋体"/>
          <w:sz w:val="24"/>
          <w:szCs w:val="24"/>
          <w:highlight w:val="none"/>
          <w:lang w:val="zh-CN"/>
        </w:rPr>
        <w:t>则</w:t>
      </w:r>
      <w:r>
        <w:rPr>
          <w:rFonts w:ascii="宋体" w:hAnsi="宋体"/>
          <w:sz w:val="24"/>
          <w:szCs w:val="24"/>
          <w:highlight w:val="none"/>
          <w:lang w:val="zh-CN"/>
        </w:rPr>
        <w:t>………………………………………………………………………</w:t>
      </w:r>
      <w:r>
        <w:rPr>
          <w:rFonts w:hint="eastAsia" w:ascii="宋体" w:hAnsi="宋体"/>
          <w:sz w:val="24"/>
          <w:szCs w:val="24"/>
          <w:highlight w:val="none"/>
        </w:rPr>
        <w:t>7</w:t>
      </w:r>
    </w:p>
    <w:p w14:paraId="2617C64C">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二、</w:t>
      </w:r>
      <w:r>
        <w:rPr>
          <w:rFonts w:hint="eastAsia" w:ascii="宋体" w:hAnsi="宋体"/>
          <w:sz w:val="24"/>
          <w:szCs w:val="24"/>
          <w:highlight w:val="none"/>
          <w:lang w:val="en-US" w:eastAsia="zh-CN"/>
        </w:rPr>
        <w:t>投标</w:t>
      </w:r>
      <w:r>
        <w:rPr>
          <w:rFonts w:hint="eastAsia" w:ascii="宋体" w:hAnsi="宋体"/>
          <w:sz w:val="24"/>
          <w:szCs w:val="24"/>
          <w:highlight w:val="none"/>
          <w:lang w:val="zh-CN"/>
        </w:rPr>
        <w:t>文件的编制</w:t>
      </w:r>
      <w:r>
        <w:rPr>
          <w:rFonts w:ascii="宋体" w:hAnsi="宋体"/>
          <w:sz w:val="24"/>
          <w:szCs w:val="24"/>
          <w:highlight w:val="none"/>
          <w:lang w:val="zh-CN"/>
        </w:rPr>
        <w:t>……………………………………………………………</w:t>
      </w:r>
      <w:r>
        <w:rPr>
          <w:rFonts w:hint="eastAsia" w:ascii="宋体" w:hAnsi="宋体"/>
          <w:sz w:val="24"/>
          <w:szCs w:val="24"/>
          <w:highlight w:val="none"/>
        </w:rPr>
        <w:t>8</w:t>
      </w:r>
    </w:p>
    <w:p w14:paraId="2FC5771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三、投标文件的</w:t>
      </w:r>
      <w:r>
        <w:rPr>
          <w:rFonts w:hint="eastAsia" w:ascii="宋体" w:hAnsi="宋体"/>
          <w:sz w:val="24"/>
          <w:szCs w:val="24"/>
          <w:highlight w:val="none"/>
        </w:rPr>
        <w:t>递</w:t>
      </w:r>
      <w:r>
        <w:rPr>
          <w:rFonts w:hint="eastAsia" w:ascii="宋体" w:hAnsi="宋体"/>
          <w:sz w:val="24"/>
          <w:szCs w:val="24"/>
          <w:highlight w:val="none"/>
          <w:lang w:val="zh-CN"/>
        </w:rPr>
        <w:t>交</w:t>
      </w:r>
      <w:r>
        <w:rPr>
          <w:rFonts w:ascii="宋体" w:hAnsi="宋体"/>
          <w:sz w:val="24"/>
          <w:szCs w:val="24"/>
          <w:highlight w:val="none"/>
          <w:lang w:val="zh-CN"/>
        </w:rPr>
        <w:t>……………………………………………………………</w:t>
      </w:r>
      <w:r>
        <w:rPr>
          <w:rFonts w:hint="eastAsia" w:ascii="宋体" w:hAnsi="宋体"/>
          <w:sz w:val="24"/>
          <w:szCs w:val="24"/>
          <w:highlight w:val="none"/>
        </w:rPr>
        <w:t>8</w:t>
      </w:r>
    </w:p>
    <w:p w14:paraId="1CD847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四、开</w:t>
      </w:r>
      <w:r>
        <w:rPr>
          <w:rFonts w:ascii="宋体" w:hAnsi="宋体"/>
          <w:sz w:val="24"/>
          <w:szCs w:val="24"/>
          <w:highlight w:val="none"/>
          <w:lang w:val="zh-CN"/>
        </w:rPr>
        <w:t xml:space="preserve">  </w:t>
      </w:r>
      <w:r>
        <w:rPr>
          <w:rFonts w:hint="eastAsia" w:ascii="宋体" w:hAnsi="宋体"/>
          <w:sz w:val="24"/>
          <w:szCs w:val="24"/>
          <w:highlight w:val="none"/>
          <w:lang w:val="zh-CN"/>
        </w:rPr>
        <w:t>标</w:t>
      </w:r>
      <w:r>
        <w:rPr>
          <w:rFonts w:ascii="宋体" w:hAnsi="宋体"/>
          <w:sz w:val="24"/>
          <w:szCs w:val="24"/>
          <w:highlight w:val="none"/>
          <w:lang w:val="zh-CN"/>
        </w:rPr>
        <w:t>………………………………………………………………………</w:t>
      </w:r>
      <w:r>
        <w:rPr>
          <w:rFonts w:hint="eastAsia" w:ascii="宋体" w:hAnsi="宋体"/>
          <w:sz w:val="24"/>
          <w:szCs w:val="24"/>
          <w:highlight w:val="none"/>
        </w:rPr>
        <w:t>9</w:t>
      </w:r>
    </w:p>
    <w:p w14:paraId="058C4D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五、资格审查</w:t>
      </w:r>
      <w:r>
        <w:rPr>
          <w:rFonts w:ascii="宋体" w:hAnsi="宋体"/>
          <w:sz w:val="24"/>
          <w:szCs w:val="24"/>
          <w:highlight w:val="none"/>
          <w:lang w:val="zh-CN"/>
        </w:rPr>
        <w:t>……………………………………………………………………</w:t>
      </w:r>
      <w:r>
        <w:rPr>
          <w:rFonts w:hint="eastAsia" w:ascii="宋体" w:hAnsi="宋体"/>
          <w:sz w:val="24"/>
          <w:szCs w:val="24"/>
          <w:highlight w:val="none"/>
        </w:rPr>
        <w:t>9</w:t>
      </w:r>
    </w:p>
    <w:p w14:paraId="24C99FB8">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六、评标</w:t>
      </w:r>
      <w:r>
        <w:rPr>
          <w:rFonts w:ascii="宋体" w:hAnsi="宋体"/>
          <w:sz w:val="24"/>
          <w:szCs w:val="24"/>
          <w:highlight w:val="none"/>
          <w:lang w:val="zh-CN"/>
        </w:rPr>
        <w:t>…………………………………………………………………………</w:t>
      </w:r>
      <w:r>
        <w:rPr>
          <w:rFonts w:hint="eastAsia" w:ascii="宋体" w:hAnsi="宋体"/>
          <w:sz w:val="24"/>
          <w:szCs w:val="24"/>
          <w:highlight w:val="none"/>
        </w:rPr>
        <w:t>9</w:t>
      </w:r>
    </w:p>
    <w:p w14:paraId="1BFCFB74">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七、签订合同</w:t>
      </w:r>
      <w:r>
        <w:rPr>
          <w:rFonts w:ascii="宋体" w:hAnsi="宋体"/>
          <w:sz w:val="24"/>
          <w:szCs w:val="24"/>
          <w:highlight w:val="none"/>
          <w:lang w:val="zh-CN"/>
        </w:rPr>
        <w:t>……………………………………………………………………</w:t>
      </w:r>
      <w:r>
        <w:rPr>
          <w:rFonts w:hint="eastAsia" w:ascii="宋体" w:hAnsi="宋体"/>
          <w:sz w:val="24"/>
          <w:szCs w:val="24"/>
          <w:highlight w:val="none"/>
        </w:rPr>
        <w:t>10</w:t>
      </w:r>
    </w:p>
    <w:p w14:paraId="575C336E">
      <w:pPr>
        <w:spacing w:line="480" w:lineRule="auto"/>
        <w:rPr>
          <w:rFonts w:hint="eastAsia" w:ascii="宋体" w:hAnsi="宋体" w:eastAsia="宋体"/>
          <w:sz w:val="24"/>
          <w:szCs w:val="24"/>
          <w:highlight w:val="none"/>
          <w:lang w:val="en-US" w:eastAsia="zh-CN"/>
        </w:rPr>
      </w:pPr>
      <w:r>
        <w:rPr>
          <w:rFonts w:hint="eastAsia" w:ascii="宋体" w:hAnsi="宋体"/>
          <w:sz w:val="24"/>
          <w:szCs w:val="24"/>
          <w:highlight w:val="none"/>
          <w:lang w:val="zh-CN"/>
        </w:rPr>
        <w:t>第三章</w:t>
      </w:r>
      <w:r>
        <w:rPr>
          <w:rFonts w:hint="eastAsia" w:ascii="宋体" w:hAnsi="宋体"/>
          <w:sz w:val="24"/>
          <w:szCs w:val="24"/>
          <w:highlight w:val="none"/>
          <w:lang w:val="en-US"/>
        </w:rPr>
        <w:t xml:space="preserve">  </w:t>
      </w:r>
      <w:r>
        <w:rPr>
          <w:rFonts w:hint="eastAsia" w:ascii="宋体" w:hAnsi="宋体"/>
          <w:sz w:val="24"/>
          <w:szCs w:val="24"/>
          <w:highlight w:val="none"/>
        </w:rPr>
        <w:t>合同文件</w:t>
      </w:r>
      <w:r>
        <w:rPr>
          <w:rFonts w:ascii="宋体" w:hAnsi="宋体"/>
          <w:sz w:val="24"/>
          <w:szCs w:val="24"/>
          <w:highlight w:val="none"/>
          <w:lang w:val="en-US"/>
        </w:rPr>
        <w:t>…………………………………………………………………</w:t>
      </w:r>
      <w:r>
        <w:rPr>
          <w:rFonts w:hint="eastAsia" w:ascii="宋体" w:hAnsi="宋体"/>
          <w:sz w:val="24"/>
          <w:szCs w:val="24"/>
          <w:highlight w:val="none"/>
        </w:rPr>
        <w:t>1</w:t>
      </w:r>
      <w:r>
        <w:rPr>
          <w:rFonts w:hint="eastAsia" w:ascii="宋体" w:hAnsi="宋体"/>
          <w:sz w:val="24"/>
          <w:szCs w:val="24"/>
          <w:highlight w:val="none"/>
          <w:lang w:val="en-US" w:eastAsia="zh-CN"/>
        </w:rPr>
        <w:t>2</w:t>
      </w:r>
    </w:p>
    <w:p w14:paraId="1C33202A">
      <w:pPr>
        <w:spacing w:line="480" w:lineRule="auto"/>
        <w:rPr>
          <w:rFonts w:hint="default" w:ascii="宋体" w:hAnsi="宋体" w:eastAsia="宋体"/>
          <w:sz w:val="24"/>
          <w:szCs w:val="24"/>
          <w:highlight w:val="none"/>
          <w:lang w:val="en-US" w:eastAsia="zh-CN"/>
        </w:rPr>
      </w:pPr>
      <w:r>
        <w:rPr>
          <w:rFonts w:hint="eastAsia" w:ascii="宋体" w:hAnsi="宋体"/>
          <w:sz w:val="24"/>
          <w:szCs w:val="24"/>
          <w:highlight w:val="none"/>
        </w:rPr>
        <w:t>第四章  投标文件格式</w:t>
      </w:r>
      <w:r>
        <w:rPr>
          <w:rFonts w:ascii="宋体" w:hAnsi="宋体"/>
          <w:sz w:val="24"/>
          <w:szCs w:val="24"/>
          <w:highlight w:val="none"/>
          <w:lang w:val="zh-CN"/>
        </w:rPr>
        <w:t>……………………………………………………………</w:t>
      </w:r>
      <w:r>
        <w:rPr>
          <w:rFonts w:hint="eastAsia" w:ascii="宋体" w:hAnsi="宋体"/>
          <w:sz w:val="24"/>
          <w:szCs w:val="24"/>
          <w:highlight w:val="none"/>
          <w:lang w:val="en-US" w:eastAsia="zh-CN"/>
        </w:rPr>
        <w:t>30</w:t>
      </w:r>
    </w:p>
    <w:p w14:paraId="261C2BDA">
      <w:pPr>
        <w:rPr>
          <w:rFonts w:ascii="宋体" w:hAnsi="宋体"/>
          <w:sz w:val="24"/>
          <w:szCs w:val="24"/>
          <w:highlight w:val="none"/>
          <w:lang w:val="zh-CN"/>
        </w:rPr>
      </w:pPr>
      <w:r>
        <w:rPr>
          <w:rFonts w:ascii="宋体" w:hAnsi="宋体"/>
          <w:sz w:val="24"/>
          <w:szCs w:val="24"/>
          <w:highlight w:val="none"/>
        </w:rPr>
        <w:t xml:space="preserve"> </w:t>
      </w:r>
      <w:r>
        <w:rPr>
          <w:rFonts w:hint="eastAsia" w:ascii="宋体" w:hAnsi="宋体"/>
          <w:sz w:val="24"/>
          <w:szCs w:val="24"/>
          <w:highlight w:val="none"/>
        </w:rPr>
        <w:t xml:space="preserve"> </w:t>
      </w:r>
    </w:p>
    <w:p w14:paraId="3FBEE8AF">
      <w:pPr>
        <w:pStyle w:val="29"/>
        <w:tabs>
          <w:tab w:val="right" w:leader="dot" w:pos="9141"/>
        </w:tabs>
        <w:rPr>
          <w:rFonts w:hint="eastAsia" w:ascii="宋体" w:hAnsi="宋体"/>
          <w:highlight w:val="none"/>
        </w:rPr>
      </w:pPr>
    </w:p>
    <w:p w14:paraId="309A28EC">
      <w:pPr>
        <w:pStyle w:val="29"/>
        <w:tabs>
          <w:tab w:val="right" w:leader="dot" w:pos="9141"/>
        </w:tabs>
        <w:rPr>
          <w:rFonts w:hint="eastAsia" w:ascii="宋体" w:hAnsi="宋体"/>
          <w:highlight w:val="none"/>
        </w:rPr>
      </w:pPr>
    </w:p>
    <w:p w14:paraId="5AAB41DD">
      <w:pPr>
        <w:pStyle w:val="29"/>
        <w:tabs>
          <w:tab w:val="right" w:leader="dot" w:pos="9141"/>
        </w:tabs>
        <w:rPr>
          <w:rFonts w:hint="eastAsia" w:ascii="宋体" w:hAnsi="宋体"/>
          <w:highlight w:val="none"/>
        </w:rPr>
      </w:pPr>
    </w:p>
    <w:p w14:paraId="2B23ECAA">
      <w:pPr>
        <w:pStyle w:val="29"/>
        <w:tabs>
          <w:tab w:val="right" w:leader="dot" w:pos="9141"/>
        </w:tabs>
        <w:rPr>
          <w:rFonts w:hint="eastAsia" w:ascii="宋体" w:hAnsi="宋体"/>
          <w:highlight w:val="none"/>
        </w:rPr>
      </w:pPr>
    </w:p>
    <w:p w14:paraId="74C3F0C9">
      <w:pPr>
        <w:pStyle w:val="29"/>
        <w:tabs>
          <w:tab w:val="right" w:leader="dot" w:pos="9141"/>
        </w:tabs>
        <w:rPr>
          <w:rFonts w:hint="eastAsia" w:ascii="宋体" w:hAnsi="宋体"/>
          <w:highlight w:val="none"/>
        </w:rPr>
      </w:pPr>
    </w:p>
    <w:p w14:paraId="40CB04CC">
      <w:pPr>
        <w:pStyle w:val="29"/>
        <w:tabs>
          <w:tab w:val="right" w:leader="dot" w:pos="9141"/>
        </w:tabs>
        <w:rPr>
          <w:rFonts w:hint="eastAsia" w:ascii="宋体" w:hAnsi="宋体"/>
          <w:highlight w:val="none"/>
        </w:rPr>
      </w:pPr>
    </w:p>
    <w:p w14:paraId="7F1FAE77">
      <w:pPr>
        <w:pStyle w:val="29"/>
        <w:tabs>
          <w:tab w:val="right" w:leader="dot" w:pos="9141"/>
        </w:tabs>
        <w:rPr>
          <w:rFonts w:hint="eastAsia" w:ascii="宋体" w:hAnsi="宋体"/>
          <w:highlight w:val="none"/>
        </w:rPr>
      </w:pPr>
    </w:p>
    <w:p w14:paraId="5AD6E4CE">
      <w:pPr>
        <w:pStyle w:val="29"/>
        <w:tabs>
          <w:tab w:val="right" w:leader="dot" w:pos="9141"/>
        </w:tabs>
        <w:rPr>
          <w:rFonts w:hint="eastAsia" w:ascii="宋体" w:hAnsi="宋体"/>
          <w:highlight w:val="none"/>
        </w:rPr>
      </w:pPr>
    </w:p>
    <w:p w14:paraId="420676A3">
      <w:pPr>
        <w:pStyle w:val="29"/>
        <w:tabs>
          <w:tab w:val="right" w:leader="dot" w:pos="9141"/>
        </w:tabs>
        <w:rPr>
          <w:rFonts w:hint="eastAsia" w:ascii="宋体" w:hAnsi="宋体"/>
          <w:highlight w:val="none"/>
        </w:rPr>
      </w:pPr>
    </w:p>
    <w:p w14:paraId="6B46F696">
      <w:pPr>
        <w:pStyle w:val="29"/>
        <w:tabs>
          <w:tab w:val="right" w:leader="dot" w:pos="9141"/>
        </w:tabs>
        <w:rPr>
          <w:rFonts w:hint="eastAsia" w:ascii="宋体" w:hAnsi="宋体"/>
          <w:highlight w:val="none"/>
        </w:rPr>
      </w:pPr>
    </w:p>
    <w:p w14:paraId="4C38EBB1">
      <w:pPr>
        <w:pStyle w:val="29"/>
        <w:tabs>
          <w:tab w:val="right" w:leader="dot" w:pos="9141"/>
        </w:tabs>
        <w:rPr>
          <w:rFonts w:hint="eastAsia" w:ascii="宋体" w:hAnsi="宋体"/>
          <w:highlight w:val="none"/>
        </w:rPr>
      </w:pPr>
    </w:p>
    <w:p w14:paraId="521301B8">
      <w:pPr>
        <w:pStyle w:val="29"/>
        <w:tabs>
          <w:tab w:val="right" w:leader="dot" w:pos="9141"/>
        </w:tabs>
        <w:rPr>
          <w:rFonts w:hint="eastAsia" w:ascii="宋体" w:hAnsi="宋体"/>
          <w:highlight w:val="none"/>
        </w:rPr>
      </w:pPr>
    </w:p>
    <w:p w14:paraId="0DF08CA2">
      <w:pPr>
        <w:pStyle w:val="29"/>
        <w:tabs>
          <w:tab w:val="right" w:leader="dot" w:pos="9141"/>
        </w:tabs>
        <w:rPr>
          <w:rFonts w:hint="eastAsia" w:ascii="宋体" w:hAnsi="宋体"/>
          <w:highlight w:val="none"/>
        </w:rPr>
      </w:pPr>
    </w:p>
    <w:p w14:paraId="0C1B8265">
      <w:pPr>
        <w:pStyle w:val="29"/>
        <w:tabs>
          <w:tab w:val="right" w:leader="dot" w:pos="9141"/>
        </w:tabs>
        <w:rPr>
          <w:rFonts w:hint="eastAsia" w:ascii="宋体" w:hAnsi="宋体"/>
          <w:highlight w:val="none"/>
        </w:rPr>
      </w:pPr>
    </w:p>
    <w:p w14:paraId="06F6B927">
      <w:pPr>
        <w:pStyle w:val="29"/>
        <w:tabs>
          <w:tab w:val="right" w:leader="dot" w:pos="9141"/>
        </w:tabs>
        <w:rPr>
          <w:rFonts w:hint="eastAsia" w:ascii="宋体" w:hAnsi="宋体"/>
          <w:highlight w:val="none"/>
        </w:rPr>
      </w:pPr>
    </w:p>
    <w:p w14:paraId="238F61C0">
      <w:pPr>
        <w:pStyle w:val="29"/>
        <w:tabs>
          <w:tab w:val="right" w:leader="dot" w:pos="9141"/>
        </w:tabs>
        <w:rPr>
          <w:rFonts w:hint="eastAsia" w:ascii="宋体" w:hAnsi="宋体"/>
          <w:highlight w:val="none"/>
        </w:rPr>
      </w:pPr>
    </w:p>
    <w:p w14:paraId="33D8B15D">
      <w:pPr>
        <w:pStyle w:val="29"/>
        <w:tabs>
          <w:tab w:val="right" w:leader="dot" w:pos="9141"/>
        </w:tabs>
        <w:rPr>
          <w:rFonts w:hint="eastAsia" w:ascii="宋体" w:hAnsi="宋体"/>
          <w:highlight w:val="none"/>
        </w:rPr>
      </w:pPr>
    </w:p>
    <w:p w14:paraId="70DA8D9D">
      <w:pPr>
        <w:pStyle w:val="29"/>
        <w:tabs>
          <w:tab w:val="right" w:leader="dot" w:pos="9141"/>
        </w:tabs>
        <w:rPr>
          <w:rFonts w:hint="eastAsia" w:ascii="宋体" w:hAnsi="宋体"/>
          <w:highlight w:val="none"/>
        </w:rPr>
      </w:pPr>
    </w:p>
    <w:p w14:paraId="34169666">
      <w:pPr>
        <w:rPr>
          <w:rFonts w:hint="eastAsia" w:ascii="宋体" w:hAnsi="宋体"/>
          <w:highlight w:val="none"/>
        </w:rPr>
      </w:pPr>
    </w:p>
    <w:p w14:paraId="2AEC43DB">
      <w:pPr>
        <w:pStyle w:val="17"/>
        <w:rPr>
          <w:rFonts w:hint="eastAsia"/>
        </w:rPr>
      </w:pPr>
    </w:p>
    <w:p w14:paraId="0C959F90">
      <w:pPr>
        <w:pStyle w:val="29"/>
        <w:tabs>
          <w:tab w:val="right" w:leader="dot" w:pos="9141"/>
        </w:tabs>
        <w:rPr>
          <w:rFonts w:hint="eastAsia" w:ascii="宋体" w:hAnsi="宋体"/>
          <w:highlight w:val="none"/>
        </w:rPr>
      </w:pPr>
    </w:p>
    <w:p w14:paraId="179B1DFE">
      <w:pPr>
        <w:spacing w:line="360" w:lineRule="auto"/>
        <w:jc w:val="center"/>
        <w:outlineLvl w:val="2"/>
        <w:rPr>
          <w:rFonts w:hint="eastAsia" w:ascii="宋体" w:hAnsi="宋体"/>
          <w:b/>
          <w:snapToGrid w:val="0"/>
          <w:kern w:val="0"/>
          <w:sz w:val="32"/>
          <w:szCs w:val="32"/>
          <w:highlight w:val="none"/>
          <w:lang w:val="en-US" w:eastAsia="zh-CN"/>
        </w:rPr>
      </w:pPr>
      <w:bookmarkStart w:id="0" w:name="_Toc509669684"/>
      <w:r>
        <w:rPr>
          <w:rFonts w:hint="eastAsia" w:ascii="宋体" w:hAnsi="宋体"/>
          <w:b/>
          <w:snapToGrid w:val="0"/>
          <w:kern w:val="0"/>
          <w:sz w:val="32"/>
          <w:szCs w:val="32"/>
          <w:highlight w:val="none"/>
          <w:lang w:val="en-US" w:eastAsia="zh-CN"/>
        </w:rPr>
        <w:t xml:space="preserve">第一章  </w:t>
      </w:r>
      <w:bookmarkEnd w:id="0"/>
      <w:r>
        <w:rPr>
          <w:rFonts w:hint="eastAsia" w:ascii="宋体" w:hAnsi="宋体"/>
          <w:b/>
          <w:snapToGrid w:val="0"/>
          <w:kern w:val="0"/>
          <w:sz w:val="32"/>
          <w:szCs w:val="32"/>
          <w:highlight w:val="none"/>
          <w:lang w:val="en-US" w:eastAsia="zh-CN"/>
        </w:rPr>
        <w:t>招标公告</w:t>
      </w:r>
    </w:p>
    <w:p w14:paraId="255CDD4F">
      <w:pPr>
        <w:keepNext w:val="0"/>
        <w:keepLines w:val="0"/>
        <w:pageBreakBefore w:val="0"/>
        <w:kinsoku/>
        <w:wordWrap/>
        <w:overflowPunct/>
        <w:topLinePunct w:val="0"/>
        <w:autoSpaceDE/>
        <w:autoSpaceDN/>
        <w:bidi w:val="0"/>
        <w:adjustRightInd/>
        <w:snapToGrid/>
        <w:spacing w:line="300" w:lineRule="auto"/>
        <w:textAlignment w:val="auto"/>
        <w:rPr>
          <w:rFonts w:hint="eastAsia" w:ascii="仿宋_GB2312" w:hAnsi="仿宋_GB2312" w:eastAsia="仿宋_GB2312" w:cs="仿宋_GB2312"/>
          <w:b w:val="0"/>
          <w:bCs w:val="0"/>
          <w:sz w:val="28"/>
          <w:szCs w:val="28"/>
          <w:highlight w:val="none"/>
          <w:lang w:val="en-US" w:eastAsia="zh-CN"/>
        </w:rPr>
      </w:pPr>
      <w:bookmarkStart w:id="1" w:name="_Toc509669685"/>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项目名称：</w:t>
      </w:r>
      <w:r>
        <w:rPr>
          <w:rFonts w:hint="eastAsia" w:ascii="仿宋_GB2312" w:hAnsi="仿宋_GB2312" w:eastAsia="仿宋_GB2312" w:cs="仿宋_GB2312"/>
          <w:b w:val="0"/>
          <w:bCs w:val="0"/>
          <w:sz w:val="28"/>
          <w:szCs w:val="28"/>
          <w:highlight w:val="none"/>
          <w:lang w:val="en-US" w:eastAsia="zh-CN"/>
        </w:rPr>
        <w:t>龙岗区公共住房全屋智能系统改造项目网络安全等级保护第三方测评服务</w:t>
      </w:r>
    </w:p>
    <w:p w14:paraId="24015316">
      <w:pPr>
        <w:spacing w:line="300" w:lineRule="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项目概况</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color w:val="auto"/>
          <w:sz w:val="28"/>
          <w:szCs w:val="28"/>
          <w:highlight w:val="none"/>
          <w:u w:val="none"/>
        </w:rPr>
        <w:t>龙岗区公共住房全屋智能系统改造项目拟对碧桂园观麓花园、荷谷美苑、万科天誉三个小区的部分住房进行全屋智能系统改造。其中碧桂园观麓花园、荷谷美苑位于深圳市龙岗区宝龙街道，万科天誉位于深圳市龙岗区龙城街道。</w:t>
      </w:r>
    </w:p>
    <w:p w14:paraId="22801F72">
      <w:pPr>
        <w:spacing w:line="300" w:lineRule="auto"/>
        <w:ind w:left="0" w:leftChars="0" w:firstLine="638" w:firstLineChars="228"/>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项目包括：碧桂园观麓花园47套，荷谷美苑1736套，万科天誉380套，共2163套。主要建设内容包括：智能门锁、蓝牙网关、智能面板、智能主机等及相关系统、软件开发及数据云储存对接服务工作等。</w:t>
      </w:r>
    </w:p>
    <w:p w14:paraId="26240746">
      <w:pPr>
        <w:spacing w:line="300" w:lineRule="auto"/>
        <w:ind w:left="0" w:leftChars="0" w:firstLine="638" w:firstLineChars="228"/>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龙岗区公共住房全屋智能系统改造项目已立项，项目国家编码：2312-440307-04-04-794499，项目投资概算1641.33万元。其中：建筑安装工程费1443.40万元, 工程建设其他费91.98万元，资金来源为龙岗区财政投资。</w:t>
      </w:r>
    </w:p>
    <w:p w14:paraId="24DFD082">
      <w:pPr>
        <w:spacing w:line="300" w:lineRule="auto"/>
        <w:ind w:left="0" w:leftChars="0" w:firstLine="0" w:firstLineChars="0"/>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三、</w:t>
      </w:r>
      <w:r>
        <w:rPr>
          <w:rFonts w:hint="eastAsia" w:ascii="仿宋_GB2312" w:hAnsi="仿宋_GB2312" w:eastAsia="仿宋_GB2312" w:cs="仿宋_GB2312"/>
          <w:b/>
          <w:bCs/>
          <w:sz w:val="28"/>
          <w:szCs w:val="28"/>
          <w:highlight w:val="none"/>
        </w:rPr>
        <w:t>工作</w:t>
      </w:r>
      <w:r>
        <w:rPr>
          <w:rFonts w:hint="eastAsia" w:ascii="仿宋_GB2312" w:hAnsi="仿宋_GB2312" w:eastAsia="仿宋_GB2312" w:cs="仿宋_GB2312"/>
          <w:b/>
          <w:bCs/>
          <w:sz w:val="28"/>
          <w:szCs w:val="28"/>
          <w:highlight w:val="none"/>
          <w:lang w:val="en-US" w:eastAsia="zh-CN"/>
        </w:rPr>
        <w:t>内容</w:t>
      </w:r>
      <w:r>
        <w:rPr>
          <w:rFonts w:hint="eastAsia" w:ascii="仿宋_GB2312" w:hAnsi="仿宋_GB2312" w:eastAsia="仿宋_GB2312" w:cs="仿宋_GB2312"/>
          <w:b w:val="0"/>
          <w:bCs w:val="0"/>
          <w:sz w:val="28"/>
          <w:szCs w:val="28"/>
          <w:highlight w:val="none"/>
        </w:rPr>
        <w:t>：</w:t>
      </w:r>
    </w:p>
    <w:p w14:paraId="6FEEF4A3">
      <w:pPr>
        <w:spacing w:line="300" w:lineRule="auto"/>
        <w:ind w:left="0" w:leftChars="0" w:firstLine="638" w:firstLineChars="228"/>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color w:val="auto"/>
          <w:sz w:val="28"/>
          <w:szCs w:val="28"/>
          <w:highlight w:val="none"/>
          <w:u w:val="none"/>
        </w:rPr>
        <w:t>负责龙岗区公共住房全屋智能系统改造项目软件功能、性能检测及源代码安全审查，出具《验收检测报告参照《深圳市政务信息化项目检测与验收管理办法》（深政数〔2022〕136 号）和相关文件，对龙岗区公共住房全屋智能系统改造项目开展第三方网络安全等级（二级）保护测评，并出具符合主管部门要求的测评报告，包括《定级报告》、《定级备案证明》、《等级测评报告》。</w:t>
      </w:r>
    </w:p>
    <w:p w14:paraId="4D268070">
      <w:pPr>
        <w:keepNext w:val="0"/>
        <w:keepLines w:val="0"/>
        <w:pageBreakBefore w:val="0"/>
        <w:kinsoku/>
        <w:wordWrap/>
        <w:overflowPunct/>
        <w:topLinePunct w:val="0"/>
        <w:bidi w:val="0"/>
        <w:spacing w:before="0" w:line="300" w:lineRule="auto"/>
        <w:ind w:left="0" w:firstLine="0" w:firstLineChars="0"/>
        <w:jc w:val="left"/>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rPr>
        <w:t>四、</w:t>
      </w:r>
      <w:r>
        <w:rPr>
          <w:rFonts w:hint="eastAsia" w:ascii="仿宋_GB2312" w:hAnsi="仿宋_GB2312" w:eastAsia="仿宋_GB2312" w:cs="仿宋_GB2312"/>
          <w:b/>
          <w:bCs/>
          <w:sz w:val="28"/>
          <w:szCs w:val="28"/>
          <w:highlight w:val="none"/>
          <w:lang w:val="en-US" w:eastAsia="zh-CN"/>
        </w:rPr>
        <w:t>投标报价上限价：</w:t>
      </w:r>
      <w:r>
        <w:rPr>
          <w:rFonts w:hint="eastAsia" w:ascii="仿宋_GB2312" w:hAnsi="仿宋_GB2312" w:eastAsia="仿宋_GB2312" w:cs="仿宋_GB2312"/>
          <w:b/>
          <w:bCs/>
          <w:color w:val="auto"/>
          <w:sz w:val="28"/>
          <w:szCs w:val="28"/>
          <w:highlight w:val="none"/>
          <w:lang w:val="en-US" w:eastAsia="zh-CN"/>
        </w:rPr>
        <w:t>5</w:t>
      </w:r>
      <w:r>
        <w:rPr>
          <w:rFonts w:hint="eastAsia" w:ascii="仿宋_GB2312" w:hAnsi="仿宋_GB2312" w:eastAsia="仿宋_GB2312" w:cs="仿宋_GB2312"/>
          <w:b/>
          <w:bCs/>
          <w:sz w:val="28"/>
          <w:szCs w:val="28"/>
          <w:highlight w:val="none"/>
          <w:lang w:val="en-US" w:eastAsia="zh-CN"/>
        </w:rPr>
        <w:t>万元</w:t>
      </w:r>
    </w:p>
    <w:p w14:paraId="1D072F2D">
      <w:pPr>
        <w:spacing w:line="30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五、报价要求</w:t>
      </w:r>
      <w:r>
        <w:rPr>
          <w:rFonts w:hint="eastAsia" w:ascii="仿宋_GB2312" w:hAnsi="仿宋_GB2312" w:eastAsia="仿宋_GB2312" w:cs="仿宋_GB2312"/>
          <w:sz w:val="28"/>
          <w:szCs w:val="28"/>
          <w:highlight w:val="none"/>
        </w:rPr>
        <w:t>：投标人自主报价。该价格已包含专家评审及成交承包商应缴纳的各种税费等相关费用。</w:t>
      </w:r>
    </w:p>
    <w:p w14:paraId="3611CC6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w:t>
      </w:r>
      <w:r>
        <w:rPr>
          <w:rFonts w:hint="eastAsia" w:ascii="仿宋_GB2312" w:hAnsi="仿宋_GB2312" w:eastAsia="仿宋_GB2312" w:cs="仿宋_GB2312"/>
          <w:b/>
          <w:bCs/>
          <w:sz w:val="28"/>
          <w:szCs w:val="28"/>
          <w:highlight w:val="none"/>
          <w:lang w:val="en-US" w:eastAsia="zh-CN"/>
        </w:rPr>
        <w:t>投标人</w:t>
      </w:r>
      <w:r>
        <w:rPr>
          <w:rFonts w:hint="eastAsia" w:ascii="仿宋_GB2312" w:hAnsi="仿宋_GB2312" w:eastAsia="仿宋_GB2312" w:cs="仿宋_GB2312"/>
          <w:b/>
          <w:bCs/>
          <w:sz w:val="28"/>
          <w:szCs w:val="28"/>
          <w:highlight w:val="none"/>
        </w:rPr>
        <w:t>资格要求：</w:t>
      </w:r>
    </w:p>
    <w:p w14:paraId="51EC19EA">
      <w:pPr>
        <w:keepNext w:val="0"/>
        <w:keepLines w:val="0"/>
        <w:pageBreakBefore w:val="0"/>
        <w:kinsoku/>
        <w:wordWrap/>
        <w:overflowPunct/>
        <w:topLinePunct w:val="0"/>
        <w:bidi w:val="0"/>
        <w:spacing w:line="300" w:lineRule="auto"/>
        <w:ind w:firstLine="560" w:firstLineChars="200"/>
        <w:textAlignment w:val="auto"/>
        <w:rPr>
          <w:rStyle w:val="57"/>
          <w:rFonts w:hint="eastAsia" w:ascii="仿宋_GB2312" w:hAnsi="仿宋_GB2312" w:eastAsia="仿宋_GB2312" w:cs="仿宋_GB2312"/>
          <w:sz w:val="28"/>
          <w:szCs w:val="28"/>
          <w:highlight w:val="none"/>
          <w:lang w:val="en-US" w:eastAsia="zh-CN"/>
        </w:rPr>
      </w:pPr>
      <w:r>
        <w:rPr>
          <w:rStyle w:val="57"/>
          <w:rFonts w:hint="eastAsia" w:ascii="仿宋_GB2312" w:hAnsi="仿宋_GB2312" w:eastAsia="仿宋_GB2312" w:cs="仿宋_GB2312"/>
          <w:color w:val="auto"/>
          <w:sz w:val="28"/>
          <w:szCs w:val="28"/>
          <w:highlight w:val="none"/>
        </w:rPr>
        <w:t>1</w:t>
      </w:r>
      <w:r>
        <w:rPr>
          <w:rStyle w:val="57"/>
          <w:rFonts w:hint="eastAsia" w:ascii="仿宋_GB2312" w:hAnsi="仿宋_GB2312" w:eastAsia="仿宋_GB2312" w:cs="仿宋_GB2312"/>
          <w:color w:val="auto"/>
          <w:sz w:val="28"/>
          <w:szCs w:val="28"/>
          <w:highlight w:val="none"/>
          <w:lang w:val="en-US" w:eastAsia="zh-CN"/>
        </w:rPr>
        <w:t>.</w:t>
      </w:r>
      <w:r>
        <w:rPr>
          <w:rStyle w:val="57"/>
          <w:rFonts w:hint="eastAsia" w:ascii="仿宋_GB2312" w:hAnsi="仿宋_GB2312" w:eastAsia="仿宋_GB2312" w:cs="仿宋_GB2312"/>
          <w:color w:val="auto"/>
          <w:sz w:val="28"/>
          <w:szCs w:val="28"/>
          <w:highlight w:val="none"/>
        </w:rPr>
        <w:t>企业资</w:t>
      </w:r>
      <w:r>
        <w:rPr>
          <w:rStyle w:val="57"/>
          <w:rFonts w:hint="eastAsia" w:ascii="仿宋_GB2312" w:hAnsi="仿宋_GB2312" w:eastAsia="仿宋_GB2312" w:cs="仿宋_GB2312"/>
          <w:color w:val="auto"/>
          <w:sz w:val="28"/>
          <w:szCs w:val="28"/>
          <w:highlight w:val="none"/>
          <w:lang w:val="en-US" w:eastAsia="zh-CN"/>
        </w:rPr>
        <w:t>信</w:t>
      </w:r>
      <w:r>
        <w:rPr>
          <w:rStyle w:val="57"/>
          <w:rFonts w:hint="eastAsia" w:ascii="仿宋_GB2312" w:hAnsi="仿宋_GB2312" w:eastAsia="仿宋_GB2312" w:cs="仿宋_GB2312"/>
          <w:color w:val="auto"/>
          <w:sz w:val="28"/>
          <w:szCs w:val="28"/>
          <w:highlight w:val="none"/>
        </w:rPr>
        <w:t>要求</w:t>
      </w:r>
      <w:r>
        <w:rPr>
          <w:rStyle w:val="57"/>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投标人须为中华人民共和国境内注册成立的独立法人或合伙制企业或者其他组织；根据《网络安全等级保护测评机构管理办法》（公信安〔2018〕765号），等保测评机构实行推荐目录管理，目录由公安部第三研究所在官网公布，等保测评机构应具有公安部第三研究所颁发的网络安全等级测评与检测评估机构服务认证证书</w:t>
      </w:r>
      <w:r>
        <w:rPr>
          <w:rStyle w:val="57"/>
          <w:rFonts w:hint="eastAsia" w:ascii="仿宋_GB2312" w:hAnsi="仿宋_GB2312" w:eastAsia="仿宋_GB2312" w:cs="仿宋_GB2312"/>
          <w:sz w:val="28"/>
          <w:szCs w:val="28"/>
          <w:highlight w:val="none"/>
          <w:lang w:val="en-US" w:eastAsia="zh-CN"/>
        </w:rPr>
        <w:t>；</w:t>
      </w:r>
    </w:p>
    <w:p w14:paraId="43962D49">
      <w:pPr>
        <w:keepNext w:val="0"/>
        <w:keepLines w:val="0"/>
        <w:pageBreakBefore w:val="0"/>
        <w:kinsoku/>
        <w:wordWrap/>
        <w:overflowPunct/>
        <w:topLinePunct w:val="0"/>
        <w:bidi w:val="0"/>
        <w:spacing w:line="300" w:lineRule="auto"/>
        <w:ind w:firstLine="640"/>
        <w:textAlignment w:val="auto"/>
        <w:rPr>
          <w:rStyle w:val="57"/>
          <w:rFonts w:hint="eastAsia" w:ascii="仿宋_GB2312" w:hAnsi="仿宋_GB2312" w:eastAsia="仿宋_GB2312" w:cs="仿宋_GB2312"/>
          <w:sz w:val="28"/>
          <w:szCs w:val="28"/>
          <w:highlight w:val="none"/>
        </w:rPr>
      </w:pPr>
      <w:r>
        <w:rPr>
          <w:rStyle w:val="57"/>
          <w:rFonts w:hint="eastAsia" w:ascii="仿宋_GB2312" w:hAnsi="仿宋_GB2312" w:eastAsia="仿宋_GB2312" w:cs="仿宋_GB2312"/>
          <w:sz w:val="28"/>
          <w:szCs w:val="28"/>
          <w:highlight w:val="none"/>
          <w:lang w:val="en-US" w:eastAsia="zh-CN"/>
        </w:rPr>
        <w:t>2.</w:t>
      </w:r>
      <w:r>
        <w:rPr>
          <w:rStyle w:val="57"/>
          <w:rFonts w:hint="eastAsia" w:ascii="仿宋_GB2312" w:hAnsi="仿宋_GB2312" w:eastAsia="仿宋_GB2312" w:cs="仿宋_GB2312"/>
          <w:sz w:val="28"/>
          <w:szCs w:val="28"/>
          <w:highlight w:val="none"/>
        </w:rPr>
        <w:t>不接受联合体投标。</w:t>
      </w:r>
    </w:p>
    <w:p w14:paraId="4A7F32A4">
      <w:pPr>
        <w:spacing w:line="300" w:lineRule="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rPr>
        <w:t>七、评审方法：</w:t>
      </w:r>
      <w:r>
        <w:rPr>
          <w:rFonts w:hint="eastAsia" w:ascii="仿宋_GB2312" w:hAnsi="仿宋_GB2312" w:eastAsia="仿宋_GB2312" w:cs="仿宋_GB2312"/>
          <w:b w:val="0"/>
          <w:bCs w:val="0"/>
          <w:sz w:val="28"/>
          <w:szCs w:val="28"/>
          <w:highlight w:val="none"/>
          <w:lang w:val="en-US" w:eastAsia="zh-CN"/>
        </w:rPr>
        <w:t>定性评审，票决定标。</w:t>
      </w:r>
    </w:p>
    <w:p w14:paraId="1AF432DE">
      <w:pPr>
        <w:pStyle w:val="51"/>
        <w:spacing w:after="0" w:line="300" w:lineRule="auto"/>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八、评审要素：</w:t>
      </w:r>
      <w:r>
        <w:rPr>
          <w:rFonts w:hint="eastAsia" w:ascii="仿宋_GB2312" w:hAnsi="仿宋_GB2312" w:eastAsia="仿宋_GB2312" w:cs="仿宋_GB2312"/>
          <w:b w:val="0"/>
          <w:bCs w:val="0"/>
          <w:kern w:val="2"/>
          <w:sz w:val="28"/>
          <w:szCs w:val="28"/>
          <w:highlight w:val="none"/>
          <w:lang w:val="en-US" w:eastAsia="zh-CN" w:bidi="ar-SA"/>
        </w:rPr>
        <w:t>投标报价、投标人类似工程业绩、履约评价、投标人诚信、实施方案</w:t>
      </w:r>
    </w:p>
    <w:p w14:paraId="2FF1CCF4">
      <w:pPr>
        <w:pStyle w:val="51"/>
        <w:spacing w:after="0" w:line="300" w:lineRule="auto"/>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sz w:val="28"/>
          <w:szCs w:val="28"/>
          <w:highlight w:val="none"/>
          <w:lang w:val="en-US" w:eastAsia="zh-CN"/>
        </w:rPr>
        <w:t>九、工期要求：</w:t>
      </w:r>
      <w:r>
        <w:rPr>
          <w:rFonts w:hint="eastAsia" w:ascii="仿宋_GB2312" w:hAnsi="仿宋_GB2312" w:eastAsia="仿宋_GB2312" w:cs="仿宋_GB2312"/>
          <w:b w:val="0"/>
          <w:bCs w:val="0"/>
          <w:kern w:val="2"/>
          <w:sz w:val="28"/>
          <w:szCs w:val="28"/>
          <w:highlight w:val="none"/>
          <w:lang w:val="en-US" w:eastAsia="zh-CN" w:bidi="ar-SA"/>
        </w:rPr>
        <w:t>自中标合同签订之日开始实施，至项目通过政府部门验收合格后终结</w:t>
      </w:r>
    </w:p>
    <w:p w14:paraId="1D0C7AEB">
      <w:pPr>
        <w:pStyle w:val="51"/>
        <w:spacing w:after="0" w:line="300" w:lineRule="auto"/>
        <w:ind w:left="0" w:leftChars="0" w:firstLine="0" w:firstLineChars="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kern w:val="2"/>
          <w:sz w:val="28"/>
          <w:szCs w:val="28"/>
          <w:highlight w:val="none"/>
          <w:lang w:val="en-US" w:eastAsia="zh-CN" w:bidi="ar-SA"/>
        </w:rPr>
        <w:t>十、</w:t>
      </w:r>
      <w:r>
        <w:rPr>
          <w:rFonts w:hint="eastAsia" w:ascii="仿宋_GB2312" w:hAnsi="仿宋_GB2312" w:eastAsia="仿宋_GB2312" w:cs="仿宋_GB2312"/>
          <w:b/>
          <w:bCs/>
          <w:sz w:val="28"/>
          <w:szCs w:val="28"/>
          <w:highlight w:val="none"/>
        </w:rPr>
        <w:t>合同支付及结算原则：</w:t>
      </w:r>
    </w:p>
    <w:p w14:paraId="21F836E1">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eastAsia="zh-CN"/>
        </w:rPr>
        <w:t>1、</w:t>
      </w:r>
      <w:r>
        <w:rPr>
          <w:rFonts w:hint="eastAsia" w:ascii="仿宋_GB2312" w:hAnsi="仿宋_GB2312" w:eastAsia="仿宋_GB2312" w:cs="仿宋_GB2312"/>
          <w:bCs w:val="0"/>
          <w:color w:val="auto"/>
          <w:sz w:val="28"/>
          <w:szCs w:val="28"/>
          <w:highlight w:val="none"/>
          <w:lang w:val="en-US" w:eastAsia="zh-CN"/>
        </w:rPr>
        <w:t>结算原则：</w:t>
      </w:r>
    </w:p>
    <w:p w14:paraId="04DFF5DA">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val="en-US" w:eastAsia="zh-CN"/>
        </w:rPr>
        <w:t>本合同采用总价包干方式</w:t>
      </w:r>
      <w:r>
        <w:rPr>
          <w:rFonts w:hint="eastAsia" w:ascii="仿宋_GB2312" w:hAnsi="仿宋_GB2312" w:eastAsia="仿宋_GB2312" w:cs="仿宋_GB2312"/>
          <w:bCs w:val="0"/>
          <w:color w:val="auto"/>
          <w:sz w:val="28"/>
          <w:szCs w:val="28"/>
          <w:highlight w:val="none"/>
          <w:lang w:eastAsia="zh-CN"/>
        </w:rPr>
        <w:t>。</w:t>
      </w:r>
    </w:p>
    <w:p w14:paraId="51BDB781">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eastAsia="zh-CN"/>
        </w:rPr>
        <w:t>2、支付方式：</w:t>
      </w:r>
    </w:p>
    <w:p w14:paraId="68BB9D8C">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lang w:eastAsia="zh-CN"/>
        </w:rPr>
        <w:t>分两期支付：中标人完成本项目网络安全等级保护第三方测评工作，出具《定级报告》、《定级备案证明》、《等级测评报告》经专家评审后支付至合同金额的60%；经建设单位及政府相关主管部门审核确认后，由中标人报送结算资料进行结算，尾款待结算经第三方咨询审核后一次性付清。</w:t>
      </w:r>
    </w:p>
    <w:p w14:paraId="7B8480AA">
      <w:pPr>
        <w:spacing w:line="300" w:lineRule="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十一、招标公告地址</w:t>
      </w:r>
    </w:p>
    <w:p w14:paraId="7C87EDAD">
      <w:pPr>
        <w:keepNext w:val="0"/>
        <w:keepLines w:val="0"/>
        <w:pageBreakBefore w:val="0"/>
        <w:kinsoku/>
        <w:wordWrap/>
        <w:overflowPunct/>
        <w:topLinePunct w:val="0"/>
        <w:bidi w:val="0"/>
        <w:spacing w:line="300" w:lineRule="auto"/>
        <w:ind w:firstLine="640"/>
        <w:textAlignment w:val="auto"/>
        <w:rPr>
          <w:rFonts w:hint="default"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阳光采购平台官方网站</w:t>
      </w:r>
    </w:p>
    <w:p w14:paraId="67DE2D4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十二</w:t>
      </w:r>
      <w:r>
        <w:rPr>
          <w:rFonts w:hint="eastAsia" w:ascii="仿宋_GB2312" w:hAnsi="仿宋_GB2312" w:eastAsia="仿宋_GB2312" w:cs="仿宋_GB2312"/>
          <w:b/>
          <w:bCs/>
          <w:sz w:val="28"/>
          <w:szCs w:val="28"/>
          <w:highlight w:val="none"/>
        </w:rPr>
        <w:t>、响应文件要求：</w:t>
      </w:r>
    </w:p>
    <w:p w14:paraId="597BF874">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color w:val="auto"/>
          <w:sz w:val="28"/>
          <w:szCs w:val="28"/>
          <w:highlight w:val="none"/>
        </w:rPr>
        <w:t>本次公告时间从202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8月18日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25</w:t>
      </w:r>
      <w:r>
        <w:rPr>
          <w:rFonts w:hint="eastAsia" w:ascii="仿宋_GB2312" w:hAnsi="仿宋_GB2312" w:eastAsia="仿宋_GB2312" w:cs="仿宋_GB2312"/>
          <w:color w:val="auto"/>
          <w:sz w:val="28"/>
          <w:szCs w:val="28"/>
          <w:highlight w:val="none"/>
        </w:rPr>
        <w:t>日止</w:t>
      </w:r>
      <w:r>
        <w:rPr>
          <w:rFonts w:hint="eastAsia" w:ascii="仿宋_GB2312" w:hAnsi="仿宋_GB2312" w:eastAsia="仿宋_GB2312" w:cs="仿宋_GB2312"/>
          <w:color w:val="auto"/>
          <w:sz w:val="28"/>
          <w:szCs w:val="28"/>
          <w:highlight w:val="none"/>
        </w:rPr>
        <w:t>，响应承包商应于</w:t>
      </w:r>
      <w:r>
        <w:rPr>
          <w:rFonts w:hint="eastAsia" w:ascii="仿宋_GB2312" w:hAnsi="仿宋_GB2312" w:eastAsia="仿宋_GB2312" w:cs="仿宋_GB2312"/>
          <w:color w:val="auto"/>
          <w:sz w:val="28"/>
          <w:szCs w:val="28"/>
          <w:highlight w:val="none"/>
          <w:lang w:val="en-US" w:eastAsia="zh-CN"/>
        </w:rPr>
        <w:t>8月25日</w:t>
      </w: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:00</w:t>
      </w:r>
      <w:r>
        <w:rPr>
          <w:rFonts w:ascii="仿宋_GB2312" w:hAnsi="仿宋_GB2312" w:eastAsia="仿宋_GB2312" w:cs="仿宋_GB2312"/>
          <w:color w:val="auto"/>
          <w:sz w:val="28"/>
          <w:szCs w:val="28"/>
          <w:highlight w:val="none"/>
        </w:rPr>
        <w:t>前</w:t>
      </w:r>
      <w:r>
        <w:rPr>
          <w:rFonts w:hint="eastAsia" w:ascii="仿宋_GB2312" w:hAnsi="仿宋_GB2312" w:eastAsia="仿宋_GB2312" w:cs="仿宋_GB2312"/>
          <w:sz w:val="28"/>
          <w:szCs w:val="28"/>
          <w:highlight w:val="none"/>
        </w:rPr>
        <w:t>将响应文件</w:t>
      </w:r>
      <w:bookmarkStart w:id="22" w:name="_GoBack"/>
      <w:bookmarkEnd w:id="22"/>
      <w:r>
        <w:rPr>
          <w:rFonts w:hint="eastAsia" w:ascii="仿宋_GB2312" w:hAnsi="仿宋_GB2312" w:eastAsia="仿宋_GB2312" w:cs="仿宋_GB2312"/>
          <w:sz w:val="28"/>
          <w:szCs w:val="28"/>
          <w:highlight w:val="none"/>
          <w:lang w:val="en-US" w:eastAsia="zh-CN"/>
        </w:rPr>
        <w:t>纸质版</w:t>
      </w:r>
      <w:r>
        <w:rPr>
          <w:rFonts w:hint="eastAsia" w:ascii="仿宋_GB2312" w:hAnsi="仿宋_GB2312" w:eastAsia="仿宋_GB2312" w:cs="仿宋_GB2312"/>
          <w:sz w:val="28"/>
          <w:szCs w:val="28"/>
          <w:highlight w:val="none"/>
        </w:rPr>
        <w:t>1正4副</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电子版一份（盖章扫描件，提供U盘）（统一密封，密封处加盖公章）送交到龙岗区中心城腾飞路创投大厦22</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室（</w:t>
      </w:r>
      <w:r>
        <w:rPr>
          <w:rFonts w:hint="eastAsia" w:ascii="仿宋_GB2312" w:hAnsi="仿宋_GB2312" w:eastAsia="仿宋_GB2312" w:cs="仿宋_GB2312"/>
          <w:sz w:val="28"/>
          <w:szCs w:val="28"/>
          <w:highlight w:val="none"/>
          <w:lang w:val="en-US" w:eastAsia="zh-CN"/>
        </w:rPr>
        <w:t>合约造价部</w:t>
      </w: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龙工</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0755-28504276</w:t>
      </w:r>
      <w:r>
        <w:rPr>
          <w:rFonts w:hint="eastAsia" w:ascii="仿宋_GB2312" w:hAnsi="仿宋_GB2312" w:eastAsia="仿宋_GB2312" w:cs="仿宋_GB2312"/>
          <w:sz w:val="28"/>
          <w:szCs w:val="28"/>
          <w:highlight w:val="none"/>
        </w:rPr>
        <w:t>），逾期送达或未按要求密封将予以拒收或原封退回给报价人。</w:t>
      </w:r>
    </w:p>
    <w:p w14:paraId="7F43F3A9">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响应文件包含承诺函、委托人要求提供的资料等，详见招标文件。</w:t>
      </w:r>
    </w:p>
    <w:p w14:paraId="305545AB">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本次递交响应文件截止时间后，若有效响应单位不足3家的，则发布二次公告（原则不少于一次公告发布时间的50%），若二次公告期满后，有效响应单位仅有2家的，则拆封响应文件继续评审，有效响应单位仅有1家的，则直接选定承包单位。</w:t>
      </w:r>
    </w:p>
    <w:p w14:paraId="55CF0C66">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、招标结果公示</w:t>
      </w:r>
    </w:p>
    <w:p w14:paraId="5814A406">
      <w:p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递交响应文件截止后，委托人将自行组织响应文件开启、评审等工作，确定承包单位后将在阳光采购平台官方网站进行公示。</w:t>
      </w:r>
    </w:p>
    <w:p w14:paraId="1BD915F3">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开标时间：截标时间之后，具体以招标人时间安排为准。</w:t>
      </w:r>
    </w:p>
    <w:p w14:paraId="654E11F0">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开标地址：深圳市龙岗区城市建设投资集团有限公司会议室</w:t>
      </w:r>
    </w:p>
    <w:p w14:paraId="42F4B565">
      <w:pPr>
        <w:pStyle w:val="25"/>
        <w:spacing w:line="360" w:lineRule="auto"/>
        <w:rPr>
          <w:highlight w:val="none"/>
        </w:rPr>
      </w:pPr>
    </w:p>
    <w:p w14:paraId="6C3F3A3A">
      <w:pPr>
        <w:spacing w:line="360" w:lineRule="auto"/>
        <w:rPr>
          <w:highlight w:val="none"/>
        </w:rPr>
      </w:pPr>
    </w:p>
    <w:p w14:paraId="7DBD978C">
      <w:pPr>
        <w:spacing w:line="360" w:lineRule="auto"/>
        <w:rPr>
          <w:highlight w:val="none"/>
        </w:rPr>
      </w:pPr>
    </w:p>
    <w:p w14:paraId="30F26B8C">
      <w:pPr>
        <w:spacing w:line="360" w:lineRule="auto"/>
        <w:rPr>
          <w:highlight w:val="none"/>
        </w:rPr>
      </w:pPr>
    </w:p>
    <w:p w14:paraId="2E1E3600">
      <w:pPr>
        <w:spacing w:line="360" w:lineRule="auto"/>
        <w:ind w:left="1687" w:hanging="1687" w:hangingChars="6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特别说明：1.资格不符合要求的投标人不能进入比选程序。</w:t>
      </w:r>
    </w:p>
    <w:p w14:paraId="52130EF8">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所有响应单位视为同意上述公告内容，确定为承包单位后按公告约定与委托人签署合同。</w:t>
      </w:r>
    </w:p>
    <w:p w14:paraId="68D1F76C">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招标评审后，如承包单位放弃中选资格或者拒不签订合同的，委托人可以从资格审查合格的其他投标单位中采用原评审方法，由原评审小组确定承包单位。</w:t>
      </w:r>
    </w:p>
    <w:p w14:paraId="3893AE84">
      <w:pPr>
        <w:spacing w:line="360" w:lineRule="auto"/>
        <w:ind w:left="1687" w:hanging="1687" w:hangingChars="600"/>
        <w:rPr>
          <w:rFonts w:ascii="仿宋_GB2312" w:hAnsi="仿宋_GB2312" w:eastAsia="仿宋_GB2312" w:cs="仿宋_GB2312"/>
          <w:b/>
          <w:bCs/>
          <w:sz w:val="28"/>
          <w:szCs w:val="28"/>
          <w:highlight w:val="none"/>
        </w:rPr>
      </w:pPr>
    </w:p>
    <w:p w14:paraId="6B1D67F2">
      <w:pPr>
        <w:adjustRightInd/>
        <w:snapToGrid/>
        <w:spacing w:line="360" w:lineRule="auto"/>
        <w:ind w:left="0" w:firstLine="0" w:firstLineChars="0"/>
        <w:jc w:val="center"/>
        <w:rPr>
          <w:rFonts w:hint="eastAsia" w:ascii="仿宋_GB2312" w:hAnsi="宋体" w:eastAsia="仿宋_GB2312" w:cs="Times New Roman"/>
          <w:b/>
          <w:bCs w:val="0"/>
          <w:sz w:val="30"/>
          <w:szCs w:val="30"/>
          <w:highlight w:val="none"/>
          <w:lang w:val="en-US" w:eastAsia="zh-CN"/>
        </w:rPr>
      </w:pPr>
      <w:r>
        <w:rPr>
          <w:rFonts w:ascii="仿宋_GB2312" w:hAnsi="仿宋_GB2312" w:eastAsia="仿宋_GB2312" w:cs="仿宋_GB2312"/>
          <w:b/>
          <w:bCs/>
          <w:sz w:val="28"/>
          <w:szCs w:val="28"/>
          <w:highlight w:val="none"/>
        </w:rPr>
        <w:t xml:space="preserve">        </w:t>
      </w: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宋体" w:eastAsia="仿宋_GB2312" w:cs="Times New Roman"/>
          <w:b/>
          <w:bCs w:val="0"/>
          <w:sz w:val="30"/>
          <w:szCs w:val="30"/>
          <w:highlight w:val="none"/>
          <w:lang w:val="en-US" w:eastAsia="zh-CN"/>
        </w:rPr>
        <w:t>深圳市龙岗区城投新基础设施建设管理有限公司</w:t>
      </w:r>
    </w:p>
    <w:p w14:paraId="3EA6FE10">
      <w:pPr>
        <w:spacing w:line="360" w:lineRule="auto"/>
        <w:ind w:firstLine="480"/>
        <w:rPr>
          <w:rFonts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b/>
          <w:bCs/>
          <w:sz w:val="28"/>
          <w:szCs w:val="28"/>
          <w:highlight w:val="none"/>
        </w:rPr>
        <w:t>202</w:t>
      </w:r>
      <w:r>
        <w:rPr>
          <w:rFonts w:hint="eastAsia" w:ascii="仿宋_GB2312" w:hAnsi="仿宋_GB2312" w:eastAsia="仿宋_GB2312" w:cs="仿宋_GB2312"/>
          <w:b/>
          <w:bCs/>
          <w:sz w:val="28"/>
          <w:szCs w:val="28"/>
          <w:highlight w:val="none"/>
          <w:lang w:val="en-US" w:eastAsia="zh-CN"/>
        </w:rPr>
        <w:t>6</w:t>
      </w:r>
      <w:r>
        <w:rPr>
          <w:rFonts w:hint="eastAsia" w:ascii="仿宋_GB2312" w:hAnsi="仿宋_GB2312" w:eastAsia="仿宋_GB2312" w:cs="仿宋_GB2312"/>
          <w:b/>
          <w:bCs/>
          <w:sz w:val="28"/>
          <w:szCs w:val="28"/>
          <w:highlight w:val="none"/>
        </w:rPr>
        <w:t>年</w:t>
      </w:r>
      <w:r>
        <w:rPr>
          <w:rFonts w:hint="eastAsia" w:ascii="仿宋_GB2312" w:hAnsi="仿宋_GB2312" w:eastAsia="仿宋_GB2312" w:cs="仿宋_GB2312"/>
          <w:b/>
          <w:bCs/>
          <w:sz w:val="28"/>
          <w:szCs w:val="28"/>
          <w:highlight w:val="none"/>
          <w:lang w:val="en-US" w:eastAsia="zh-CN"/>
        </w:rPr>
        <w:t>8</w:t>
      </w:r>
      <w:r>
        <w:rPr>
          <w:rFonts w:hint="eastAsia" w:ascii="仿宋_GB2312" w:hAnsi="仿宋_GB2312" w:eastAsia="仿宋_GB2312" w:cs="仿宋_GB2312"/>
          <w:b/>
          <w:bCs/>
          <w:sz w:val="28"/>
          <w:szCs w:val="28"/>
          <w:highlight w:val="none"/>
        </w:rPr>
        <w:t>月</w:t>
      </w:r>
      <w:r>
        <w:rPr>
          <w:rFonts w:hint="eastAsia" w:ascii="仿宋_GB2312" w:hAnsi="仿宋_GB2312" w:eastAsia="仿宋_GB2312" w:cs="仿宋_GB2312"/>
          <w:b/>
          <w:bCs/>
          <w:sz w:val="28"/>
          <w:szCs w:val="28"/>
          <w:highlight w:val="none"/>
          <w:lang w:val="en-US" w:eastAsia="zh-CN"/>
        </w:rPr>
        <w:t>17</w:t>
      </w:r>
      <w:r>
        <w:rPr>
          <w:rFonts w:hint="eastAsia" w:ascii="仿宋_GB2312" w:hAnsi="仿宋_GB2312" w:eastAsia="仿宋_GB2312" w:cs="仿宋_GB2312"/>
          <w:b/>
          <w:bCs/>
          <w:sz w:val="28"/>
          <w:szCs w:val="28"/>
          <w:highlight w:val="none"/>
        </w:rPr>
        <w:t>日</w:t>
      </w:r>
    </w:p>
    <w:p w14:paraId="094B0A85">
      <w:pPr>
        <w:rPr>
          <w:highlight w:val="none"/>
        </w:rPr>
      </w:pPr>
      <w:r>
        <w:rPr>
          <w:highlight w:val="none"/>
        </w:rPr>
        <w:br w:type="page"/>
      </w:r>
    </w:p>
    <w:p w14:paraId="5BD361D1">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第二章　</w:t>
      </w:r>
      <w:bookmarkStart w:id="2" w:name="_Toc306716052"/>
      <w:r>
        <w:rPr>
          <w:rFonts w:hint="eastAsia" w:ascii="宋体" w:hAnsi="宋体"/>
          <w:b/>
          <w:snapToGrid w:val="0"/>
          <w:kern w:val="0"/>
          <w:sz w:val="32"/>
          <w:szCs w:val="32"/>
          <w:highlight w:val="none"/>
          <w:lang w:val="en-US" w:eastAsia="zh-CN"/>
        </w:rPr>
        <w:t>投标须知</w:t>
      </w:r>
      <w:bookmarkEnd w:id="1"/>
      <w:bookmarkEnd w:id="2"/>
    </w:p>
    <w:p w14:paraId="42BE0DE4">
      <w:pPr>
        <w:spacing w:line="360" w:lineRule="auto"/>
        <w:jc w:val="center"/>
        <w:outlineLvl w:val="3"/>
        <w:rPr>
          <w:rFonts w:ascii="宋体" w:hAnsi="宋体"/>
          <w:b/>
          <w:snapToGrid w:val="0"/>
          <w:kern w:val="0"/>
          <w:sz w:val="32"/>
          <w:szCs w:val="32"/>
          <w:highlight w:val="none"/>
        </w:rPr>
      </w:pPr>
      <w:bookmarkStart w:id="3" w:name="_Toc15270"/>
      <w:bookmarkStart w:id="4" w:name="_Toc509669687"/>
      <w:r>
        <w:rPr>
          <w:rFonts w:hint="eastAsia" w:ascii="宋体" w:hAnsi="宋体"/>
          <w:b/>
          <w:snapToGrid w:val="0"/>
          <w:kern w:val="0"/>
          <w:sz w:val="32"/>
          <w:szCs w:val="32"/>
          <w:highlight w:val="none"/>
          <w:lang w:val="en-US" w:eastAsia="zh-CN"/>
        </w:rPr>
        <w:t>一</w:t>
      </w:r>
      <w:r>
        <w:rPr>
          <w:rFonts w:hint="eastAsia" w:ascii="宋体" w:hAnsi="宋体"/>
          <w:b/>
          <w:snapToGrid w:val="0"/>
          <w:kern w:val="0"/>
          <w:sz w:val="32"/>
          <w:szCs w:val="32"/>
          <w:highlight w:val="none"/>
        </w:rPr>
        <w:t>、投标文件的编制</w:t>
      </w:r>
      <w:bookmarkEnd w:id="3"/>
      <w:bookmarkEnd w:id="4"/>
    </w:p>
    <w:p w14:paraId="0C0B97A2">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1</w:t>
      </w:r>
      <w:r>
        <w:rPr>
          <w:rFonts w:hint="eastAsia" w:ascii="方正仿宋_GB2312" w:hAnsi="方正仿宋_GB2312" w:eastAsia="方正仿宋_GB2312" w:cs="方正仿宋_GB2312"/>
          <w:b/>
          <w:snapToGrid w:val="0"/>
          <w:kern w:val="0"/>
          <w:sz w:val="28"/>
          <w:szCs w:val="28"/>
          <w:highlight w:val="none"/>
        </w:rPr>
        <w:t>.投标文件的语言及度量单位</w:t>
      </w:r>
    </w:p>
    <w:p w14:paraId="7D80583A">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.1投标人与招标人之间与投标有关的所有往来通知、函件和投标文件均应用中文。投标人随投标文件提供的证明文件和资料可以为其他语言，但必须附中文译文。在此，为了解释投标文件，应以中文为准。</w:t>
      </w:r>
    </w:p>
    <w:p w14:paraId="46889353">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.2 除技术规范另有规定外，投标文件使用的度量单位，均采用中华人民共和国法定计量单位。</w:t>
      </w:r>
    </w:p>
    <w:p w14:paraId="3955BAD2">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.3招标文件中所出现的日期为自然日，货币单位为人民币。</w:t>
      </w:r>
    </w:p>
    <w:p w14:paraId="4B9E4AD7">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2</w:t>
      </w:r>
      <w:r>
        <w:rPr>
          <w:rFonts w:hint="eastAsia" w:ascii="方正仿宋_GB2312" w:hAnsi="方正仿宋_GB2312" w:eastAsia="方正仿宋_GB2312" w:cs="方正仿宋_GB2312"/>
          <w:b/>
          <w:snapToGrid w:val="0"/>
          <w:kern w:val="0"/>
          <w:sz w:val="28"/>
          <w:szCs w:val="28"/>
          <w:highlight w:val="none"/>
        </w:rPr>
        <w:t>.投标有效期</w:t>
      </w:r>
    </w:p>
    <w:p w14:paraId="74F79453">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2</w:t>
      </w:r>
      <w:r>
        <w:rPr>
          <w:rFonts w:hint="eastAsia" w:ascii="方正仿宋_GB2312" w:hAnsi="方正仿宋_GB2312" w:eastAsia="方正仿宋_GB2312" w:cs="方正仿宋_GB2312"/>
          <w:snapToGrid w:val="0"/>
          <w:kern w:val="0"/>
          <w:sz w:val="28"/>
          <w:szCs w:val="28"/>
          <w:highlight w:val="none"/>
        </w:rPr>
        <w:t>.1投标有效期60天。在此期间，所有投标均保持有效。</w:t>
      </w:r>
    </w:p>
    <w:p w14:paraId="31CB1B59">
      <w:pPr>
        <w:spacing w:line="520" w:lineRule="exact"/>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3.投标费用</w:t>
      </w:r>
    </w:p>
    <w:p w14:paraId="3AE8762F">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投标人应自行承担所有准备及参加投标相关的费用。不论投标的结果如何，招标人均无承担相应的义务和责任。</w:t>
      </w:r>
    </w:p>
    <w:p w14:paraId="2D650246">
      <w:pPr>
        <w:spacing w:line="520" w:lineRule="exact"/>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4.踏勘现场</w:t>
      </w:r>
    </w:p>
    <w:p w14:paraId="07AC7EB1">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本项目不组织现场踏勘。</w:t>
      </w:r>
    </w:p>
    <w:p w14:paraId="5DB79D9A">
      <w:pPr>
        <w:spacing w:line="360" w:lineRule="auto"/>
        <w:ind w:firstLine="420" w:firstLineChars="200"/>
        <w:jc w:val="left"/>
        <w:rPr>
          <w:rFonts w:hint="eastAsia" w:ascii="宋体" w:hAnsi="宋体"/>
          <w:snapToGrid w:val="0"/>
          <w:kern w:val="0"/>
          <w:szCs w:val="21"/>
          <w:highlight w:val="none"/>
        </w:rPr>
      </w:pPr>
    </w:p>
    <w:p w14:paraId="7F66440D">
      <w:pPr>
        <w:spacing w:line="360" w:lineRule="auto"/>
        <w:ind w:firstLine="420" w:firstLineChars="200"/>
        <w:jc w:val="left"/>
        <w:rPr>
          <w:rFonts w:ascii="宋体" w:hAnsi="宋体"/>
          <w:snapToGrid w:val="0"/>
          <w:kern w:val="0"/>
          <w:szCs w:val="21"/>
          <w:highlight w:val="none"/>
        </w:rPr>
      </w:pPr>
    </w:p>
    <w:p w14:paraId="3C6A7198">
      <w:pPr>
        <w:spacing w:line="360" w:lineRule="auto"/>
        <w:jc w:val="center"/>
        <w:outlineLvl w:val="3"/>
        <w:rPr>
          <w:rFonts w:ascii="宋体" w:hAnsi="宋体"/>
          <w:b/>
          <w:snapToGrid w:val="0"/>
          <w:kern w:val="0"/>
          <w:sz w:val="32"/>
          <w:szCs w:val="32"/>
          <w:highlight w:val="none"/>
        </w:rPr>
      </w:pPr>
      <w:bookmarkStart w:id="5" w:name="_Toc18627"/>
      <w:bookmarkStart w:id="6" w:name="_Toc509669688"/>
      <w:r>
        <w:rPr>
          <w:rFonts w:hint="eastAsia" w:ascii="宋体" w:hAnsi="宋体"/>
          <w:b/>
          <w:snapToGrid w:val="0"/>
          <w:kern w:val="0"/>
          <w:sz w:val="32"/>
          <w:szCs w:val="32"/>
          <w:highlight w:val="none"/>
          <w:lang w:val="en-US" w:eastAsia="zh-CN"/>
        </w:rPr>
        <w:t>二</w:t>
      </w:r>
      <w:r>
        <w:rPr>
          <w:rFonts w:hint="eastAsia" w:ascii="宋体" w:hAnsi="宋体"/>
          <w:b/>
          <w:snapToGrid w:val="0"/>
          <w:kern w:val="0"/>
          <w:sz w:val="32"/>
          <w:szCs w:val="32"/>
          <w:highlight w:val="none"/>
        </w:rPr>
        <w:t>、投标文件的递交</w:t>
      </w:r>
      <w:bookmarkEnd w:id="5"/>
      <w:bookmarkEnd w:id="6"/>
    </w:p>
    <w:p w14:paraId="167E740E">
      <w:pPr>
        <w:spacing w:line="360" w:lineRule="auto"/>
        <w:ind w:firstLine="562" w:firstLineChars="200"/>
        <w:jc w:val="left"/>
        <w:rPr>
          <w:rFonts w:hint="eastAsia" w:ascii="方正仿宋_GB2312" w:hAnsi="方正仿宋_GB2312" w:eastAsia="方正仿宋_GB2312" w:cs="方正仿宋_GB2312"/>
          <w:snapToGrid w:val="0"/>
          <w:kern w:val="0"/>
          <w:sz w:val="28"/>
          <w:szCs w:val="28"/>
          <w:highlight w:val="none"/>
          <w:lang w:val="en-US" w:eastAsia="zh-CN"/>
        </w:rPr>
      </w:pPr>
      <w:r>
        <w:rPr>
          <w:rFonts w:hint="eastAsia" w:ascii="方正仿宋_GB2312" w:hAnsi="方正仿宋_GB2312" w:eastAsia="方正仿宋_GB2312" w:cs="方正仿宋_GB2312"/>
          <w:b/>
          <w:snapToGrid w:val="0"/>
          <w:kern w:val="0"/>
          <w:sz w:val="28"/>
          <w:szCs w:val="28"/>
          <w:highlight w:val="none"/>
          <w:lang w:val="en-US" w:eastAsia="zh-CN"/>
        </w:rPr>
        <w:t>5</w:t>
      </w:r>
      <w:r>
        <w:rPr>
          <w:rFonts w:hint="eastAsia" w:ascii="方正仿宋_GB2312" w:hAnsi="方正仿宋_GB2312" w:eastAsia="方正仿宋_GB2312" w:cs="方正仿宋_GB2312"/>
          <w:b/>
          <w:snapToGrid w:val="0"/>
          <w:kern w:val="0"/>
          <w:sz w:val="28"/>
          <w:szCs w:val="28"/>
          <w:highlight w:val="none"/>
        </w:rPr>
        <w:t>.投标文件</w:t>
      </w:r>
      <w:r>
        <w:rPr>
          <w:rFonts w:hint="eastAsia" w:ascii="方正仿宋_GB2312" w:hAnsi="方正仿宋_GB2312" w:eastAsia="方正仿宋_GB2312" w:cs="方正仿宋_GB2312"/>
          <w:b/>
          <w:snapToGrid w:val="0"/>
          <w:kern w:val="0"/>
          <w:sz w:val="28"/>
          <w:szCs w:val="28"/>
          <w:highlight w:val="none"/>
          <w:lang w:val="en-US" w:eastAsia="zh-CN"/>
        </w:rPr>
        <w:t>要求</w:t>
      </w:r>
    </w:p>
    <w:p w14:paraId="12D70BFA">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投标文件的密封和标记</w:t>
      </w:r>
    </w:p>
    <w:p w14:paraId="6AF62EBD">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1投标文件1正4副，电子版一份（盖章扫描件，提供U盘）1个密封袋密封。将密封包装好的投标文件密封袋上注明工程名称、招标人、投标人名称、时间等，并在密封袋的封口处和标签上应加盖投标人公章，同时1正4副投标文件封面加盖公章及骑缝章。</w:t>
      </w:r>
    </w:p>
    <w:p w14:paraId="36AFD8D5">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.2投标文件若未按规定进行密封及标志，招标人不承担投标文件错放或提前开封的责任。</w:t>
      </w:r>
    </w:p>
    <w:p w14:paraId="59AE19B3">
      <w:pPr>
        <w:spacing w:line="360" w:lineRule="auto"/>
        <w:ind w:firstLine="560" w:firstLineChars="200"/>
        <w:jc w:val="left"/>
        <w:rPr>
          <w:rFonts w:hint="eastAsia" w:ascii="方正仿宋_GB2312" w:hAnsi="方正仿宋_GB2312" w:eastAsia="方正仿宋_GB2312" w:cs="方正仿宋_GB2312"/>
          <w:b/>
          <w:bCs/>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2</w:t>
      </w:r>
      <w:r>
        <w:rPr>
          <w:rFonts w:hint="eastAsia" w:ascii="方正仿宋_GB2312" w:hAnsi="方正仿宋_GB2312" w:eastAsia="方正仿宋_GB2312" w:cs="方正仿宋_GB2312"/>
          <w:b/>
          <w:bCs/>
          <w:snapToGrid w:val="0"/>
          <w:kern w:val="0"/>
          <w:sz w:val="28"/>
          <w:szCs w:val="28"/>
          <w:highlight w:val="none"/>
        </w:rPr>
        <w:t>一次公告后，递交资审文件或资格审查合格投标人少于3家的，重新发布招标公告（原则不少于一次公告发布时间的50%）。二次公告后，递交资审文件或资格审查合格投标人数量不足3家的，将按定标规则横向对比后选取1家；递交资审文件或资格审查合格投标人数量不足2家的，将进入直接委托程序。</w:t>
      </w:r>
    </w:p>
    <w:p w14:paraId="5969BF7A">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.4迟交的投标文件</w:t>
      </w:r>
    </w:p>
    <w:p w14:paraId="47F631CF">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招标人在本须知规定的投标截止日期以后收到的投标文件，将被拒绝或原封退回给投标人。</w:t>
      </w:r>
    </w:p>
    <w:p w14:paraId="638A89F0">
      <w:pPr>
        <w:spacing w:line="360" w:lineRule="auto"/>
        <w:ind w:firstLine="420" w:firstLineChars="200"/>
        <w:jc w:val="left"/>
        <w:rPr>
          <w:rFonts w:hint="eastAsia" w:ascii="宋体" w:hAnsi="宋体"/>
          <w:snapToGrid w:val="0"/>
          <w:kern w:val="0"/>
          <w:szCs w:val="21"/>
          <w:highlight w:val="none"/>
        </w:rPr>
      </w:pPr>
    </w:p>
    <w:p w14:paraId="79476D7E">
      <w:pPr>
        <w:spacing w:line="360" w:lineRule="auto"/>
        <w:jc w:val="center"/>
        <w:outlineLvl w:val="3"/>
        <w:rPr>
          <w:rFonts w:hint="eastAsia" w:ascii="CESI仿宋-GB2312" w:hAnsi="CESI仿宋-GB2312" w:eastAsia="CESI仿宋-GB2312" w:cs="CESI仿宋-GB2312"/>
          <w:b/>
          <w:snapToGrid w:val="0"/>
          <w:kern w:val="0"/>
          <w:sz w:val="28"/>
          <w:szCs w:val="28"/>
          <w:highlight w:val="none"/>
        </w:rPr>
      </w:pPr>
      <w:bookmarkStart w:id="7" w:name="_Toc512"/>
      <w:bookmarkStart w:id="8" w:name="_Toc509669689"/>
      <w:r>
        <w:rPr>
          <w:rFonts w:hint="eastAsia" w:ascii="CESI仿宋-GB2312" w:hAnsi="CESI仿宋-GB2312" w:eastAsia="CESI仿宋-GB2312" w:cs="CESI仿宋-GB2312"/>
          <w:b/>
          <w:snapToGrid w:val="0"/>
          <w:kern w:val="0"/>
          <w:sz w:val="28"/>
          <w:szCs w:val="28"/>
          <w:highlight w:val="none"/>
          <w:lang w:val="en-US" w:eastAsia="zh-CN"/>
        </w:rPr>
        <w:t>三</w:t>
      </w:r>
      <w:r>
        <w:rPr>
          <w:rFonts w:hint="eastAsia" w:ascii="CESI仿宋-GB2312" w:hAnsi="CESI仿宋-GB2312" w:eastAsia="CESI仿宋-GB2312" w:cs="CESI仿宋-GB2312"/>
          <w:b/>
          <w:snapToGrid w:val="0"/>
          <w:kern w:val="0"/>
          <w:sz w:val="28"/>
          <w:szCs w:val="28"/>
          <w:highlight w:val="none"/>
        </w:rPr>
        <w:t>、开  标</w:t>
      </w:r>
      <w:bookmarkEnd w:id="7"/>
      <w:bookmarkEnd w:id="8"/>
    </w:p>
    <w:p w14:paraId="6C71A4DE">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6</w:t>
      </w:r>
      <w:r>
        <w:rPr>
          <w:rFonts w:hint="eastAsia" w:ascii="方正仿宋_GB2312" w:hAnsi="方正仿宋_GB2312" w:eastAsia="方正仿宋_GB2312" w:cs="方正仿宋_GB2312"/>
          <w:b/>
          <w:snapToGrid w:val="0"/>
          <w:kern w:val="0"/>
          <w:sz w:val="28"/>
          <w:szCs w:val="28"/>
          <w:highlight w:val="none"/>
        </w:rPr>
        <w:t>.开标</w:t>
      </w:r>
    </w:p>
    <w:p w14:paraId="69C9759B">
      <w:pPr>
        <w:pStyle w:val="98"/>
        <w:tabs>
          <w:tab w:val="left" w:pos="14"/>
          <w:tab w:val="left" w:pos="1232"/>
        </w:tabs>
        <w:spacing w:line="360" w:lineRule="auto"/>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.1招标人计划在龙岗</w:t>
      </w:r>
      <w:r>
        <w:rPr>
          <w:rFonts w:hint="eastAsia" w:ascii="方正仿宋_GB2312" w:hAnsi="方正仿宋_GB2312" w:eastAsia="方正仿宋_GB2312" w:cs="方正仿宋_GB2312"/>
          <w:kern w:val="0"/>
          <w:sz w:val="28"/>
          <w:szCs w:val="28"/>
          <w:highlight w:val="none"/>
        </w:rPr>
        <w:t>区中心城腾飞路创投大厦</w:t>
      </w:r>
      <w:r>
        <w:rPr>
          <w:rFonts w:hint="eastAsia" w:ascii="方正仿宋_GB2312" w:hAnsi="方正仿宋_GB2312" w:eastAsia="方正仿宋_GB2312" w:cs="方正仿宋_GB2312"/>
          <w:sz w:val="28"/>
          <w:szCs w:val="28"/>
          <w:highlight w:val="none"/>
        </w:rPr>
        <w:t>深圳市龙岗区城市建设投资集团有限公司会议室</w:t>
      </w:r>
      <w:r>
        <w:rPr>
          <w:rFonts w:hint="eastAsia" w:ascii="方正仿宋_GB2312" w:hAnsi="方正仿宋_GB2312" w:eastAsia="方正仿宋_GB2312" w:cs="方正仿宋_GB2312"/>
          <w:b/>
          <w:snapToGrid w:val="0"/>
          <w:color w:val="000000"/>
          <w:kern w:val="0"/>
          <w:sz w:val="28"/>
          <w:szCs w:val="28"/>
          <w:highlight w:val="none"/>
        </w:rPr>
        <w:t>开标</w:t>
      </w:r>
      <w:r>
        <w:rPr>
          <w:rFonts w:hint="eastAsia" w:ascii="方正仿宋_GB2312" w:hAnsi="方正仿宋_GB2312" w:eastAsia="方正仿宋_GB2312" w:cs="方正仿宋_GB2312"/>
          <w:snapToGrid w:val="0"/>
          <w:kern w:val="0"/>
          <w:sz w:val="28"/>
          <w:szCs w:val="28"/>
          <w:highlight w:val="none"/>
        </w:rPr>
        <w:t>，并邀请</w:t>
      </w:r>
      <w:r>
        <w:rPr>
          <w:rFonts w:hint="eastAsia" w:ascii="方正仿宋_GB2312" w:hAnsi="方正仿宋_GB2312" w:eastAsia="方正仿宋_GB2312" w:cs="方正仿宋_GB2312"/>
          <w:sz w:val="28"/>
          <w:szCs w:val="28"/>
          <w:highlight w:val="none"/>
        </w:rPr>
        <w:t>评标委员会委员和监督小组成员</w:t>
      </w:r>
      <w:r>
        <w:rPr>
          <w:rFonts w:hint="eastAsia" w:ascii="方正仿宋_GB2312" w:hAnsi="方正仿宋_GB2312" w:eastAsia="方正仿宋_GB2312" w:cs="方正仿宋_GB2312"/>
          <w:snapToGrid w:val="0"/>
          <w:kern w:val="0"/>
          <w:sz w:val="28"/>
          <w:szCs w:val="28"/>
          <w:highlight w:val="none"/>
        </w:rPr>
        <w:t>参加。</w:t>
      </w:r>
    </w:p>
    <w:p w14:paraId="2DD760E8">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.2开标会由招标人主持。</w:t>
      </w:r>
    </w:p>
    <w:p w14:paraId="65A45511">
      <w:pPr>
        <w:spacing w:line="360" w:lineRule="auto"/>
        <w:ind w:firstLine="560" w:firstLineChars="200"/>
        <w:jc w:val="left"/>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.3</w:t>
      </w:r>
      <w:r>
        <w:rPr>
          <w:rFonts w:hint="eastAsia" w:ascii="方正仿宋_GB2312" w:hAnsi="方正仿宋_GB2312" w:eastAsia="方正仿宋_GB2312" w:cs="方正仿宋_GB2312"/>
          <w:sz w:val="28"/>
          <w:szCs w:val="28"/>
          <w:highlight w:val="none"/>
        </w:rPr>
        <w:t>开标会结束，相关资料送交评标委员会。</w:t>
      </w:r>
    </w:p>
    <w:p w14:paraId="5331A9C8">
      <w:pPr>
        <w:spacing w:line="360" w:lineRule="auto"/>
        <w:ind w:firstLine="480" w:firstLineChars="200"/>
        <w:jc w:val="left"/>
        <w:rPr>
          <w:rFonts w:hint="eastAsia" w:ascii="宋体" w:hAnsi="宋体"/>
          <w:sz w:val="24"/>
          <w:szCs w:val="24"/>
          <w:highlight w:val="none"/>
        </w:rPr>
      </w:pPr>
    </w:p>
    <w:p w14:paraId="2499E6A6">
      <w:pPr>
        <w:spacing w:line="360" w:lineRule="auto"/>
        <w:jc w:val="center"/>
        <w:outlineLvl w:val="3"/>
        <w:rPr>
          <w:rFonts w:ascii="宋体" w:hAnsi="宋体"/>
          <w:b/>
          <w:snapToGrid w:val="0"/>
          <w:kern w:val="0"/>
          <w:sz w:val="32"/>
          <w:szCs w:val="32"/>
          <w:highlight w:val="none"/>
        </w:rPr>
      </w:pPr>
      <w:bookmarkStart w:id="9" w:name="_Toc23872"/>
      <w:bookmarkStart w:id="10" w:name="_Toc509669690"/>
      <w:r>
        <w:rPr>
          <w:rFonts w:hint="eastAsia" w:ascii="宋体" w:hAnsi="宋体"/>
          <w:b/>
          <w:snapToGrid w:val="0"/>
          <w:kern w:val="0"/>
          <w:sz w:val="32"/>
          <w:szCs w:val="32"/>
          <w:highlight w:val="none"/>
          <w:lang w:val="en-US" w:eastAsia="zh-CN"/>
        </w:rPr>
        <w:t>四</w:t>
      </w:r>
      <w:r>
        <w:rPr>
          <w:rFonts w:hint="eastAsia" w:ascii="宋体" w:hAnsi="宋体"/>
          <w:b/>
          <w:snapToGrid w:val="0"/>
          <w:kern w:val="0"/>
          <w:sz w:val="32"/>
          <w:szCs w:val="32"/>
          <w:highlight w:val="none"/>
        </w:rPr>
        <w:t>、资格审查</w:t>
      </w:r>
      <w:bookmarkEnd w:id="9"/>
      <w:bookmarkEnd w:id="10"/>
    </w:p>
    <w:p w14:paraId="3A29D04C">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7</w:t>
      </w:r>
      <w:r>
        <w:rPr>
          <w:rFonts w:hint="eastAsia" w:ascii="方正仿宋_GB2312" w:hAnsi="方正仿宋_GB2312" w:eastAsia="方正仿宋_GB2312" w:cs="方正仿宋_GB2312"/>
          <w:b/>
          <w:snapToGrid w:val="0"/>
          <w:kern w:val="0"/>
          <w:sz w:val="28"/>
          <w:szCs w:val="28"/>
          <w:highlight w:val="none"/>
        </w:rPr>
        <w:t>.资格审查按以下规定进行</w:t>
      </w:r>
    </w:p>
    <w:p w14:paraId="1F312996">
      <w:pPr>
        <w:spacing w:line="360" w:lineRule="auto"/>
        <w:ind w:firstLine="560" w:firstLineChars="200"/>
        <w:jc w:val="left"/>
        <w:rPr>
          <w:rFonts w:hint="eastAsia" w:ascii="方正仿宋_GB2312" w:hAnsi="方正仿宋_GB2312" w:eastAsia="方正仿宋_GB2312" w:cs="方正仿宋_GB2312"/>
          <w:snapToGrid w:val="0"/>
          <w:color w:val="000000"/>
          <w:kern w:val="0"/>
          <w:sz w:val="28"/>
          <w:szCs w:val="28"/>
          <w:highlight w:val="none"/>
        </w:rPr>
      </w:pPr>
      <w:r>
        <w:rPr>
          <w:rFonts w:hint="eastAsia" w:ascii="方正仿宋_GB2312" w:hAnsi="方正仿宋_GB2312" w:eastAsia="方正仿宋_GB2312" w:cs="方正仿宋_GB2312"/>
          <w:snapToGrid w:val="0"/>
          <w:color w:val="000000"/>
          <w:kern w:val="0"/>
          <w:sz w:val="28"/>
          <w:szCs w:val="28"/>
          <w:highlight w:val="none"/>
          <w:lang w:val="en-US" w:eastAsia="zh-CN"/>
        </w:rPr>
        <w:t>7</w:t>
      </w:r>
      <w:r>
        <w:rPr>
          <w:rFonts w:hint="eastAsia" w:ascii="方正仿宋_GB2312" w:hAnsi="方正仿宋_GB2312" w:eastAsia="方正仿宋_GB2312" w:cs="方正仿宋_GB2312"/>
          <w:snapToGrid w:val="0"/>
          <w:color w:val="000000"/>
          <w:kern w:val="0"/>
          <w:sz w:val="28"/>
          <w:szCs w:val="28"/>
          <w:highlight w:val="none"/>
        </w:rPr>
        <w:t>.1资格审查由评标委员会负责。</w:t>
      </w:r>
    </w:p>
    <w:p w14:paraId="2599F67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7</w:t>
      </w:r>
      <w:r>
        <w:rPr>
          <w:rFonts w:hint="eastAsia" w:ascii="方正仿宋_GB2312" w:hAnsi="方正仿宋_GB2312" w:eastAsia="方正仿宋_GB2312" w:cs="方正仿宋_GB2312"/>
          <w:snapToGrid w:val="0"/>
          <w:kern w:val="0"/>
          <w:sz w:val="28"/>
          <w:szCs w:val="28"/>
          <w:highlight w:val="none"/>
        </w:rPr>
        <w:t>.2评标委员严格对照</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要求的投标人资格条件，逐个审查投标人递交的资格审查文件，审核判断投标人是否满足该资格条件。</w:t>
      </w:r>
    </w:p>
    <w:p w14:paraId="4234A59E">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7</w:t>
      </w:r>
      <w:r>
        <w:rPr>
          <w:rFonts w:hint="eastAsia" w:ascii="方正仿宋_GB2312" w:hAnsi="方正仿宋_GB2312" w:eastAsia="方正仿宋_GB2312" w:cs="方正仿宋_GB2312"/>
          <w:snapToGrid w:val="0"/>
          <w:kern w:val="0"/>
          <w:sz w:val="28"/>
          <w:szCs w:val="28"/>
          <w:highlight w:val="none"/>
        </w:rPr>
        <w:t>.3全部投标人的资格审查材料审查完毕后，</w:t>
      </w:r>
      <w:r>
        <w:rPr>
          <w:rFonts w:hint="eastAsia" w:ascii="方正仿宋_GB2312" w:hAnsi="方正仿宋_GB2312" w:eastAsia="方正仿宋_GB2312" w:cs="方正仿宋_GB2312"/>
          <w:b/>
          <w:snapToGrid w:val="0"/>
          <w:color w:val="000000"/>
          <w:kern w:val="0"/>
          <w:sz w:val="28"/>
          <w:szCs w:val="28"/>
          <w:highlight w:val="none"/>
        </w:rPr>
        <w:t>评标委员会出具资格审查报告</w:t>
      </w:r>
      <w:r>
        <w:rPr>
          <w:rFonts w:hint="eastAsia" w:ascii="方正仿宋_GB2312" w:hAnsi="方正仿宋_GB2312" w:eastAsia="方正仿宋_GB2312" w:cs="方正仿宋_GB2312"/>
          <w:snapToGrid w:val="0"/>
          <w:kern w:val="0"/>
          <w:sz w:val="28"/>
          <w:szCs w:val="28"/>
          <w:highlight w:val="none"/>
        </w:rPr>
        <w:t>。资格审查合格投标人少于3家的，不再进行后续</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投标程序。</w:t>
      </w:r>
      <w:bookmarkStart w:id="11" w:name="_Toc509669691"/>
    </w:p>
    <w:p w14:paraId="053D5D86">
      <w:pPr>
        <w:spacing w:line="360" w:lineRule="auto"/>
        <w:ind w:firstLine="420" w:firstLineChars="200"/>
        <w:jc w:val="left"/>
        <w:rPr>
          <w:rFonts w:hint="eastAsia" w:ascii="宋体" w:hAnsi="宋体"/>
          <w:snapToGrid w:val="0"/>
          <w:kern w:val="0"/>
          <w:szCs w:val="21"/>
          <w:highlight w:val="none"/>
        </w:rPr>
      </w:pPr>
    </w:p>
    <w:p w14:paraId="65041D0D">
      <w:pPr>
        <w:spacing w:line="360" w:lineRule="auto"/>
        <w:jc w:val="center"/>
        <w:outlineLvl w:val="3"/>
        <w:rPr>
          <w:rFonts w:ascii="宋体" w:hAnsi="宋体"/>
          <w:b/>
          <w:snapToGrid w:val="0"/>
          <w:kern w:val="0"/>
          <w:sz w:val="32"/>
          <w:szCs w:val="32"/>
          <w:highlight w:val="none"/>
        </w:rPr>
      </w:pPr>
      <w:bookmarkStart w:id="12" w:name="_Toc31878"/>
      <w:r>
        <w:rPr>
          <w:rFonts w:hint="eastAsia" w:ascii="宋体" w:hAnsi="宋体"/>
          <w:b/>
          <w:snapToGrid w:val="0"/>
          <w:kern w:val="0"/>
          <w:sz w:val="32"/>
          <w:szCs w:val="32"/>
          <w:highlight w:val="none"/>
          <w:lang w:val="en-US" w:eastAsia="zh-CN"/>
        </w:rPr>
        <w:t>五</w:t>
      </w:r>
      <w:r>
        <w:rPr>
          <w:rFonts w:hint="eastAsia" w:ascii="宋体" w:hAnsi="宋体"/>
          <w:b/>
          <w:snapToGrid w:val="0"/>
          <w:kern w:val="0"/>
          <w:sz w:val="32"/>
          <w:szCs w:val="32"/>
          <w:highlight w:val="none"/>
        </w:rPr>
        <w:t>、评标</w:t>
      </w:r>
      <w:bookmarkEnd w:id="11"/>
      <w:bookmarkEnd w:id="12"/>
    </w:p>
    <w:p w14:paraId="38936D90">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8</w:t>
      </w:r>
      <w:r>
        <w:rPr>
          <w:rFonts w:hint="eastAsia" w:ascii="方正仿宋_GB2312" w:hAnsi="方正仿宋_GB2312" w:eastAsia="方正仿宋_GB2312" w:cs="方正仿宋_GB2312"/>
          <w:b/>
          <w:snapToGrid w:val="0"/>
          <w:kern w:val="0"/>
          <w:sz w:val="28"/>
          <w:szCs w:val="28"/>
          <w:highlight w:val="none"/>
        </w:rPr>
        <w:t>.评标委员会和评标</w:t>
      </w:r>
    </w:p>
    <w:p w14:paraId="4A1AAD54">
      <w:pPr>
        <w:spacing w:line="360" w:lineRule="auto"/>
        <w:ind w:firstLine="560" w:firstLineChars="200"/>
        <w:jc w:val="left"/>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.1评标委员会的组建：招标人依法组建评标委员会，负责该</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项目的评标活动。</w:t>
      </w:r>
    </w:p>
    <w:p w14:paraId="49403400">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.2评标委员会的职责：评标委员会应根据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文件规定的评标方法和标准，对投标文件进行系统地评审。评标委员会根据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文件的规定直接确定中标人。</w:t>
      </w:r>
    </w:p>
    <w:p w14:paraId="10172B5D">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.3评标委员会的原则：评标活动应遵循公开、公正、公平、科学、择优的原则。评标委员会的评审应实行少数服从多数的原则，经评标委员会成员实名表决半数以上通过的评标结果有效。</w:t>
      </w:r>
    </w:p>
    <w:p w14:paraId="24B01E0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.4招标人应向评标委员会提供以下资料，供评标使用：</w:t>
      </w:r>
    </w:p>
    <w:p w14:paraId="5D0E765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，包括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文件的补充、修改或澄清文件；</w:t>
      </w:r>
    </w:p>
    <w:p w14:paraId="0DB2A6B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(2)其他评标必需的资料。</w:t>
      </w:r>
    </w:p>
    <w:p w14:paraId="120A6407">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9</w:t>
      </w:r>
      <w:r>
        <w:rPr>
          <w:rFonts w:hint="eastAsia" w:ascii="方正仿宋_GB2312" w:hAnsi="方正仿宋_GB2312" w:eastAsia="方正仿宋_GB2312" w:cs="方正仿宋_GB2312"/>
          <w:b/>
          <w:snapToGrid w:val="0"/>
          <w:kern w:val="0"/>
          <w:sz w:val="28"/>
          <w:szCs w:val="28"/>
          <w:highlight w:val="none"/>
        </w:rPr>
        <w:t>.投标文件的澄清和对答辩人的要求（此次不要求）</w:t>
      </w:r>
    </w:p>
    <w:p w14:paraId="568A9A1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.1可以要求投标人对投标文件含义不明确的内容作必要的澄清、说明。澄清、说明应以书面方式进行并不得超出投标文件的范围或改变投标文件的实质性内容。</w:t>
      </w:r>
    </w:p>
    <w:p w14:paraId="043A3C6E">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.2投标人委派的答辩人应符合以下条件：</w:t>
      </w:r>
    </w:p>
    <w:p w14:paraId="0B133EC9">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.2.1拟进行投标答辩的，答辩人必须是投标人拟派往本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项目的项目负责人、其法定代表人或者法定代表人委托代理人。</w:t>
      </w:r>
    </w:p>
    <w:p w14:paraId="133CC717">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.3要求投标人进行答辩，但投标人在规定时间内未派出答辩人的，将根据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文件规定作出不利于投标人的判定，且投标人不得因此提出任何异议。</w:t>
      </w:r>
    </w:p>
    <w:p w14:paraId="210DD6BE">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0</w:t>
      </w:r>
      <w:r>
        <w:rPr>
          <w:rFonts w:hint="eastAsia" w:ascii="方正仿宋_GB2312" w:hAnsi="方正仿宋_GB2312" w:eastAsia="方正仿宋_GB2312" w:cs="方正仿宋_GB2312"/>
          <w:b/>
          <w:snapToGrid w:val="0"/>
          <w:kern w:val="0"/>
          <w:sz w:val="28"/>
          <w:szCs w:val="28"/>
          <w:highlight w:val="none"/>
        </w:rPr>
        <w:t>.评标方法</w:t>
      </w:r>
    </w:p>
    <w:p w14:paraId="5635B9B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评标委员会对进入评标环节的全部投标文件进行评审，给出评审意见，评委采用投票方式推荐综合评价最优的1名投标单位为中标候选人。</w:t>
      </w:r>
    </w:p>
    <w:p w14:paraId="51BA0171">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1</w:t>
      </w:r>
      <w:r>
        <w:rPr>
          <w:rFonts w:hint="eastAsia" w:ascii="方正仿宋_GB2312" w:hAnsi="方正仿宋_GB2312" w:eastAsia="方正仿宋_GB2312" w:cs="方正仿宋_GB2312"/>
          <w:b/>
          <w:snapToGrid w:val="0"/>
          <w:kern w:val="0"/>
          <w:sz w:val="28"/>
          <w:szCs w:val="28"/>
          <w:highlight w:val="none"/>
        </w:rPr>
        <w:t>．投标人的推荐</w:t>
      </w:r>
    </w:p>
    <w:p w14:paraId="0BD87112">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1评标委员会完成评标后，应向招标人提出书面评标报告。评标报告由评标委员会全体成员签字。按为“优”项数多少选取排名第一(且得票超过半数以上)的投标人作为中标候选人.如得优数量一致不能满足要求，则根据评审人对本项目的理解，再次投票确定中标候选人。</w:t>
      </w:r>
    </w:p>
    <w:p w14:paraId="07CA5AB3">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.2本次</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如果评标委员会已推荐投标人，无论随后出现何种情形，招标人在本次</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中不再接受另外的投标人，除非重新组织</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投标。</w:t>
      </w:r>
      <w:bookmarkStart w:id="13" w:name="_Toc509669692"/>
    </w:p>
    <w:p w14:paraId="41A1FE62">
      <w:pPr>
        <w:spacing w:line="360" w:lineRule="auto"/>
        <w:ind w:firstLine="420" w:firstLineChars="200"/>
        <w:jc w:val="left"/>
        <w:rPr>
          <w:rFonts w:hint="eastAsia" w:ascii="宋体" w:hAnsi="宋体"/>
          <w:snapToGrid w:val="0"/>
          <w:kern w:val="0"/>
          <w:szCs w:val="21"/>
          <w:highlight w:val="none"/>
        </w:rPr>
      </w:pPr>
    </w:p>
    <w:p w14:paraId="59A311A5">
      <w:pPr>
        <w:spacing w:line="360" w:lineRule="auto"/>
        <w:jc w:val="center"/>
        <w:outlineLvl w:val="3"/>
        <w:rPr>
          <w:rFonts w:ascii="宋体" w:hAnsi="宋体"/>
          <w:b/>
          <w:snapToGrid w:val="0"/>
          <w:kern w:val="0"/>
          <w:sz w:val="32"/>
          <w:szCs w:val="32"/>
          <w:highlight w:val="none"/>
        </w:rPr>
      </w:pPr>
      <w:bookmarkStart w:id="14" w:name="_Toc31188"/>
      <w:r>
        <w:rPr>
          <w:rFonts w:hint="eastAsia" w:ascii="宋体" w:hAnsi="宋体"/>
          <w:b/>
          <w:snapToGrid w:val="0"/>
          <w:kern w:val="0"/>
          <w:sz w:val="32"/>
          <w:szCs w:val="32"/>
          <w:highlight w:val="none"/>
          <w:lang w:val="en-US" w:eastAsia="zh-CN"/>
        </w:rPr>
        <w:t>六</w:t>
      </w:r>
      <w:r>
        <w:rPr>
          <w:rFonts w:hint="eastAsia" w:ascii="宋体" w:hAnsi="宋体"/>
          <w:b/>
          <w:snapToGrid w:val="0"/>
          <w:kern w:val="0"/>
          <w:sz w:val="32"/>
          <w:szCs w:val="32"/>
          <w:highlight w:val="none"/>
        </w:rPr>
        <w:t>、签订合同</w:t>
      </w:r>
      <w:bookmarkEnd w:id="13"/>
      <w:bookmarkEnd w:id="14"/>
    </w:p>
    <w:p w14:paraId="6AC4FA6D">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2</w:t>
      </w:r>
      <w:r>
        <w:rPr>
          <w:rFonts w:hint="eastAsia" w:ascii="方正仿宋_GB2312" w:hAnsi="方正仿宋_GB2312" w:eastAsia="方正仿宋_GB2312" w:cs="方正仿宋_GB2312"/>
          <w:b/>
          <w:snapToGrid w:val="0"/>
          <w:kern w:val="0"/>
          <w:sz w:val="28"/>
          <w:szCs w:val="28"/>
          <w:highlight w:val="none"/>
        </w:rPr>
        <w:t>.中标通知</w:t>
      </w:r>
    </w:p>
    <w:p w14:paraId="4F0429B2">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招标人应在确定中标人后，发出委托函。委托函是本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项目合同的组成部分。如接到有关投诉的，招标人将可能暂停发出委托函。</w:t>
      </w:r>
    </w:p>
    <w:p w14:paraId="5D0C2BF6">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3</w:t>
      </w:r>
      <w:r>
        <w:rPr>
          <w:rFonts w:hint="eastAsia" w:ascii="方正仿宋_GB2312" w:hAnsi="方正仿宋_GB2312" w:eastAsia="方正仿宋_GB2312" w:cs="方正仿宋_GB2312"/>
          <w:b/>
          <w:snapToGrid w:val="0"/>
          <w:kern w:val="0"/>
          <w:sz w:val="28"/>
          <w:szCs w:val="28"/>
          <w:highlight w:val="none"/>
        </w:rPr>
        <w:t>.签订合同</w:t>
      </w:r>
    </w:p>
    <w:p w14:paraId="7C9C17B1">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招标人和中标人应当按在委托函</w:t>
      </w:r>
      <w:r>
        <w:rPr>
          <w:rFonts w:hint="eastAsia" w:ascii="方正仿宋_GB2312" w:hAnsi="方正仿宋_GB2312" w:eastAsia="方正仿宋_GB2312" w:cs="方正仿宋_GB2312"/>
          <w:snapToGrid w:val="0"/>
          <w:color w:val="auto"/>
          <w:kern w:val="0"/>
          <w:sz w:val="28"/>
          <w:szCs w:val="28"/>
          <w:highlight w:val="none"/>
        </w:rPr>
        <w:t>发出30日内</w:t>
      </w:r>
      <w:r>
        <w:rPr>
          <w:rFonts w:hint="eastAsia" w:ascii="方正仿宋_GB2312" w:hAnsi="方正仿宋_GB2312" w:eastAsia="方正仿宋_GB2312" w:cs="方正仿宋_GB2312"/>
          <w:snapToGrid w:val="0"/>
          <w:kern w:val="0"/>
          <w:sz w:val="28"/>
          <w:szCs w:val="28"/>
          <w:highlight w:val="none"/>
        </w:rPr>
        <w:t>，依据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和中标人的投标文件订立书面合同。</w:t>
      </w:r>
    </w:p>
    <w:p w14:paraId="72D1017F">
      <w:pPr>
        <w:spacing w:line="360" w:lineRule="auto"/>
        <w:ind w:firstLine="422" w:firstLineChars="200"/>
        <w:jc w:val="left"/>
        <w:rPr>
          <w:rFonts w:hint="default" w:ascii="仿宋" w:hAnsi="仿宋" w:eastAsia="仿宋"/>
          <w:sz w:val="30"/>
          <w:szCs w:val="30"/>
          <w:highlight w:val="none"/>
        </w:rPr>
      </w:pPr>
      <w:r>
        <w:rPr>
          <w:rFonts w:hAnsi="宋体"/>
          <w:b/>
          <w:szCs w:val="21"/>
          <w:highlight w:val="none"/>
        </w:rPr>
        <w:br w:type="page"/>
      </w:r>
      <w:r>
        <w:rPr>
          <w:rFonts w:ascii="仿宋" w:hAnsi="仿宋" w:eastAsia="仿宋"/>
          <w:b/>
          <w:sz w:val="30"/>
          <w:szCs w:val="30"/>
          <w:highlight w:val="none"/>
        </w:rPr>
        <w:t>投标文件一览表</w:t>
      </w:r>
    </w:p>
    <w:tbl>
      <w:tblPr>
        <w:tblStyle w:val="53"/>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234"/>
        <w:gridCol w:w="5095"/>
      </w:tblGrid>
      <w:tr w14:paraId="2EFE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4E6BBA95">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序号</w:t>
            </w:r>
          </w:p>
        </w:tc>
        <w:tc>
          <w:tcPr>
            <w:tcW w:w="3234" w:type="dxa"/>
            <w:vAlign w:val="center"/>
          </w:tcPr>
          <w:p w14:paraId="37463680">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文件名称</w:t>
            </w:r>
          </w:p>
        </w:tc>
        <w:tc>
          <w:tcPr>
            <w:tcW w:w="5095" w:type="dxa"/>
            <w:vAlign w:val="center"/>
          </w:tcPr>
          <w:p w14:paraId="6C5C88AC">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要求说明</w:t>
            </w:r>
          </w:p>
        </w:tc>
      </w:tr>
      <w:tr w14:paraId="2D0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702" w:type="dxa"/>
            <w:vAlign w:val="center"/>
          </w:tcPr>
          <w:p w14:paraId="63525E4A">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1</w:t>
            </w:r>
          </w:p>
        </w:tc>
        <w:tc>
          <w:tcPr>
            <w:tcW w:w="3234" w:type="dxa"/>
            <w:vAlign w:val="center"/>
          </w:tcPr>
          <w:p w14:paraId="4A91ECC9">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基本情况资料</w:t>
            </w:r>
          </w:p>
        </w:tc>
        <w:tc>
          <w:tcPr>
            <w:tcW w:w="5095" w:type="dxa"/>
            <w:vAlign w:val="center"/>
          </w:tcPr>
          <w:p w14:paraId="203403DB">
            <w:pPr>
              <w:pStyle w:val="2"/>
              <w:ind w:firstLine="0" w:firstLineChars="0"/>
              <w:rPr>
                <w:highlight w:val="none"/>
              </w:rPr>
            </w:pPr>
            <w:r>
              <w:rPr>
                <w:rFonts w:ascii="宋体" w:hAnsi="宋体" w:eastAsia="宋体" w:cs="Times New Roman"/>
                <w:sz w:val="24"/>
                <w:szCs w:val="24"/>
                <w:highlight w:val="none"/>
              </w:rPr>
              <w:t>提供营业执照复印件、资质证书复印件、法定代表人证明书及身份证复印件、法定代表人授权委托书及身份证复印件（如有）</w:t>
            </w:r>
          </w:p>
        </w:tc>
      </w:tr>
      <w:tr w14:paraId="025F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031FB846">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2</w:t>
            </w:r>
          </w:p>
        </w:tc>
        <w:tc>
          <w:tcPr>
            <w:tcW w:w="3234" w:type="dxa"/>
            <w:vAlign w:val="center"/>
          </w:tcPr>
          <w:p w14:paraId="7FF2963F">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承诺函</w:t>
            </w:r>
          </w:p>
        </w:tc>
        <w:tc>
          <w:tcPr>
            <w:tcW w:w="5095" w:type="dxa"/>
            <w:vAlign w:val="center"/>
          </w:tcPr>
          <w:p w14:paraId="00F3ED6B">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格式附后</w:t>
            </w:r>
          </w:p>
        </w:tc>
      </w:tr>
      <w:tr w14:paraId="5435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0CE54997">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3</w:t>
            </w:r>
          </w:p>
        </w:tc>
        <w:tc>
          <w:tcPr>
            <w:tcW w:w="3234" w:type="dxa"/>
            <w:vAlign w:val="center"/>
          </w:tcPr>
          <w:p w14:paraId="30B30F29">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龙岗区进一步规范政商交往行为告知书</w:t>
            </w:r>
          </w:p>
        </w:tc>
        <w:tc>
          <w:tcPr>
            <w:tcW w:w="5095" w:type="dxa"/>
            <w:vAlign w:val="center"/>
          </w:tcPr>
          <w:p w14:paraId="1D4F1795">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提供法定代表人或者法定代表人授权人签字版</w:t>
            </w:r>
          </w:p>
          <w:p w14:paraId="2F72A160">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格式见后附件</w:t>
            </w:r>
          </w:p>
        </w:tc>
      </w:tr>
      <w:tr w14:paraId="1254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B9B6B74">
            <w:pPr>
              <w:pStyle w:val="98"/>
              <w:spacing w:line="360" w:lineRule="exact"/>
              <w:ind w:firstLine="0" w:firstLineChars="0"/>
              <w:jc w:val="center"/>
              <w:rPr>
                <w:rFonts w:ascii="宋体" w:hAnsi="宋体"/>
                <w:sz w:val="24"/>
                <w:szCs w:val="24"/>
                <w:highlight w:val="none"/>
              </w:rPr>
            </w:pPr>
            <w:r>
              <w:rPr>
                <w:rFonts w:ascii="宋体" w:hAnsi="宋体"/>
                <w:sz w:val="24"/>
                <w:szCs w:val="24"/>
                <w:highlight w:val="none"/>
              </w:rPr>
              <w:t>4</w:t>
            </w:r>
          </w:p>
        </w:tc>
        <w:tc>
          <w:tcPr>
            <w:tcW w:w="3234" w:type="dxa"/>
            <w:vAlign w:val="center"/>
          </w:tcPr>
          <w:p w14:paraId="4856C2FA">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资信与方案要求</w:t>
            </w:r>
          </w:p>
        </w:tc>
        <w:tc>
          <w:tcPr>
            <w:tcW w:w="5095" w:type="dxa"/>
            <w:vAlign w:val="center"/>
          </w:tcPr>
          <w:p w14:paraId="7CCC0C51">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按</w:t>
            </w:r>
            <w:r>
              <w:rPr>
                <w:rFonts w:ascii="宋体" w:hAnsi="宋体"/>
                <w:sz w:val="24"/>
                <w:szCs w:val="24"/>
                <w:highlight w:val="none"/>
              </w:rPr>
              <w:t>“</w:t>
            </w:r>
            <w:r>
              <w:rPr>
                <w:rFonts w:hint="eastAsia" w:ascii="宋体" w:hAnsi="宋体"/>
                <w:sz w:val="24"/>
                <w:szCs w:val="24"/>
                <w:highlight w:val="none"/>
              </w:rPr>
              <w:t>资信与方案要求</w:t>
            </w:r>
            <w:r>
              <w:rPr>
                <w:rFonts w:ascii="宋体" w:hAnsi="宋体"/>
                <w:sz w:val="24"/>
                <w:szCs w:val="24"/>
                <w:highlight w:val="none"/>
              </w:rPr>
              <w:t>”</w:t>
            </w:r>
            <w:r>
              <w:rPr>
                <w:rFonts w:hint="eastAsia" w:ascii="宋体" w:hAnsi="宋体"/>
                <w:sz w:val="24"/>
                <w:szCs w:val="24"/>
                <w:highlight w:val="none"/>
              </w:rPr>
              <w:t>提供</w:t>
            </w:r>
          </w:p>
        </w:tc>
      </w:tr>
      <w:tr w14:paraId="1D86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EBA07C2">
            <w:pPr>
              <w:pStyle w:val="98"/>
              <w:spacing w:line="360" w:lineRule="exact"/>
              <w:ind w:firstLine="0" w:firstLineChars="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5</w:t>
            </w:r>
          </w:p>
        </w:tc>
        <w:tc>
          <w:tcPr>
            <w:tcW w:w="3234" w:type="dxa"/>
            <w:vAlign w:val="center"/>
          </w:tcPr>
          <w:p w14:paraId="4A7F230B">
            <w:pPr>
              <w:pStyle w:val="98"/>
              <w:spacing w:line="360" w:lineRule="exact"/>
              <w:ind w:firstLine="0" w:firstLineChars="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商务标</w:t>
            </w:r>
          </w:p>
        </w:tc>
        <w:tc>
          <w:tcPr>
            <w:tcW w:w="5095" w:type="dxa"/>
            <w:vAlign w:val="center"/>
          </w:tcPr>
          <w:p w14:paraId="7BD7379F">
            <w:pPr>
              <w:pStyle w:val="98"/>
              <w:spacing w:line="360" w:lineRule="exact"/>
              <w:ind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按要求提供</w:t>
            </w:r>
          </w:p>
        </w:tc>
      </w:tr>
      <w:tr w14:paraId="56B6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02" w:type="dxa"/>
            <w:vAlign w:val="center"/>
          </w:tcPr>
          <w:p w14:paraId="77414CC1">
            <w:pPr>
              <w:pStyle w:val="98"/>
              <w:spacing w:line="360" w:lineRule="exact"/>
              <w:ind w:firstLine="0" w:firstLineChars="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6</w:t>
            </w:r>
          </w:p>
        </w:tc>
        <w:tc>
          <w:tcPr>
            <w:tcW w:w="3234" w:type="dxa"/>
            <w:vAlign w:val="center"/>
          </w:tcPr>
          <w:p w14:paraId="1FAD329F">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报价人认为需要加以说明的其他内容</w:t>
            </w:r>
          </w:p>
        </w:tc>
        <w:tc>
          <w:tcPr>
            <w:tcW w:w="5095" w:type="dxa"/>
            <w:vAlign w:val="center"/>
          </w:tcPr>
          <w:p w14:paraId="513A94C1">
            <w:pPr>
              <w:pStyle w:val="2"/>
              <w:ind w:firstLine="0" w:firstLineChars="0"/>
              <w:rPr>
                <w:highlight w:val="none"/>
              </w:rPr>
            </w:pPr>
            <w:r>
              <w:rPr>
                <w:rFonts w:ascii="宋体" w:hAnsi="宋体" w:eastAsia="宋体" w:cs="Times New Roman"/>
                <w:sz w:val="24"/>
                <w:szCs w:val="24"/>
                <w:highlight w:val="none"/>
              </w:rPr>
              <w:t>如有</w:t>
            </w:r>
          </w:p>
        </w:tc>
      </w:tr>
    </w:tbl>
    <w:p w14:paraId="4451D899">
      <w:pPr>
        <w:pStyle w:val="98"/>
        <w:tabs>
          <w:tab w:val="left" w:pos="426"/>
          <w:tab w:val="left" w:pos="567"/>
        </w:tabs>
        <w:spacing w:line="560" w:lineRule="exact"/>
        <w:ind w:left="622" w:firstLine="0" w:firstLineChars="0"/>
        <w:outlineLvl w:val="0"/>
        <w:rPr>
          <w:rFonts w:ascii="仿宋" w:hAnsi="仿宋" w:eastAsia="仿宋"/>
          <w:b/>
          <w:sz w:val="30"/>
          <w:szCs w:val="30"/>
          <w:highlight w:val="none"/>
        </w:rPr>
      </w:pPr>
    </w:p>
    <w:p w14:paraId="22EC8901">
      <w:pPr>
        <w:widowControl/>
        <w:jc w:val="left"/>
        <w:rPr>
          <w:rFonts w:ascii="黑体" w:eastAsia="黑体"/>
          <w:snapToGrid w:val="0"/>
          <w:kern w:val="0"/>
          <w:sz w:val="32"/>
          <w:szCs w:val="32"/>
          <w:highlight w:val="none"/>
        </w:rPr>
      </w:pPr>
    </w:p>
    <w:p w14:paraId="23FB6063">
      <w:pPr>
        <w:pStyle w:val="101"/>
        <w:widowControl/>
        <w:spacing w:line="560" w:lineRule="exact"/>
        <w:rPr>
          <w:rFonts w:hint="default" w:ascii="仿宋" w:hAnsi="仿宋" w:eastAsia="仿宋"/>
          <w:b/>
          <w:sz w:val="30"/>
          <w:szCs w:val="30"/>
          <w:highlight w:val="none"/>
        </w:rPr>
      </w:pPr>
    </w:p>
    <w:p w14:paraId="54AC55E0">
      <w:pPr>
        <w:rPr>
          <w:rFonts w:ascii="仿宋" w:hAnsi="仿宋" w:eastAsia="仿宋"/>
          <w:b/>
          <w:sz w:val="30"/>
          <w:szCs w:val="30"/>
          <w:highlight w:val="none"/>
        </w:rPr>
      </w:pPr>
      <w:r>
        <w:rPr>
          <w:rFonts w:ascii="仿宋" w:hAnsi="仿宋" w:eastAsia="仿宋"/>
          <w:b/>
          <w:sz w:val="30"/>
          <w:szCs w:val="30"/>
          <w:highlight w:val="none"/>
        </w:rPr>
        <w:br w:type="page"/>
      </w:r>
    </w:p>
    <w:p w14:paraId="55598483">
      <w:pPr>
        <w:pStyle w:val="101"/>
        <w:widowControl/>
        <w:spacing w:line="560" w:lineRule="exact"/>
        <w:rPr>
          <w:rFonts w:hint="default" w:ascii="仿宋" w:hAnsi="仿宋" w:eastAsia="仿宋"/>
          <w:b/>
          <w:sz w:val="30"/>
          <w:szCs w:val="30"/>
          <w:highlight w:val="none"/>
        </w:rPr>
      </w:pPr>
      <w:r>
        <w:rPr>
          <w:rFonts w:ascii="仿宋" w:hAnsi="仿宋" w:eastAsia="仿宋"/>
          <w:b/>
          <w:sz w:val="30"/>
          <w:szCs w:val="30"/>
          <w:highlight w:val="none"/>
        </w:rPr>
        <w:t>资信与方案要求</w:t>
      </w:r>
      <w:bookmarkStart w:id="15" w:name="_Toc151020524"/>
      <w:bookmarkStart w:id="16" w:name="_Toc306716037"/>
      <w:bookmarkStart w:id="17" w:name="_Toc509669694"/>
    </w:p>
    <w:tbl>
      <w:tblPr>
        <w:tblStyle w:val="53"/>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46"/>
        <w:gridCol w:w="6012"/>
      </w:tblGrid>
      <w:tr w14:paraId="0A3D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61" w:type="dxa"/>
            <w:vAlign w:val="center"/>
          </w:tcPr>
          <w:p w14:paraId="7956B778">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序号</w:t>
            </w:r>
          </w:p>
        </w:tc>
        <w:tc>
          <w:tcPr>
            <w:tcW w:w="1746" w:type="dxa"/>
            <w:vAlign w:val="center"/>
          </w:tcPr>
          <w:p w14:paraId="4F63F1B1">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要素名称</w:t>
            </w:r>
          </w:p>
        </w:tc>
        <w:tc>
          <w:tcPr>
            <w:tcW w:w="6012" w:type="dxa"/>
            <w:vAlign w:val="center"/>
          </w:tcPr>
          <w:p w14:paraId="78546EFA">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有关要求或说明</w:t>
            </w:r>
          </w:p>
        </w:tc>
      </w:tr>
      <w:tr w14:paraId="4399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761" w:type="dxa"/>
            <w:shd w:val="clear" w:color="auto" w:fill="auto"/>
            <w:vAlign w:val="center"/>
          </w:tcPr>
          <w:p w14:paraId="11DB0A1B">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w:t>
            </w:r>
          </w:p>
        </w:tc>
        <w:tc>
          <w:tcPr>
            <w:tcW w:w="1746" w:type="dxa"/>
            <w:shd w:val="clear" w:color="auto" w:fill="auto"/>
            <w:vAlign w:val="center"/>
          </w:tcPr>
          <w:p w14:paraId="2C3432ED">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投标人类似</w:t>
            </w:r>
            <w:r>
              <w:rPr>
                <w:rFonts w:hint="eastAsia" w:ascii="仿宋" w:hAnsi="仿宋" w:eastAsia="仿宋" w:cs="仿宋"/>
                <w:color w:val="auto"/>
                <w:kern w:val="0"/>
                <w:sz w:val="28"/>
                <w:szCs w:val="28"/>
                <w:highlight w:val="none"/>
                <w:lang w:val="en-US" w:eastAsia="zh-CN"/>
              </w:rPr>
              <w:t>项目</w:t>
            </w:r>
            <w:r>
              <w:rPr>
                <w:rFonts w:hint="eastAsia" w:ascii="仿宋" w:hAnsi="仿宋" w:eastAsia="仿宋" w:cs="仿宋"/>
                <w:color w:val="auto"/>
                <w:kern w:val="0"/>
                <w:sz w:val="28"/>
                <w:szCs w:val="28"/>
                <w:highlight w:val="none"/>
              </w:rPr>
              <w:t>业绩</w:t>
            </w:r>
          </w:p>
        </w:tc>
        <w:tc>
          <w:tcPr>
            <w:tcW w:w="6012" w:type="dxa"/>
            <w:shd w:val="clear" w:color="auto" w:fill="auto"/>
            <w:vAlign w:val="center"/>
          </w:tcPr>
          <w:p w14:paraId="1E1E9920">
            <w:pPr>
              <w:widowControl/>
              <w:adjustRightInd w:val="0"/>
              <w:snapToGrid w:val="0"/>
              <w:spacing w:line="24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提供</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月1日</w:t>
            </w:r>
            <w:r>
              <w:rPr>
                <w:rFonts w:hint="eastAsia" w:ascii="仿宋" w:hAnsi="仿宋" w:eastAsia="仿宋" w:cs="仿宋"/>
                <w:color w:val="auto"/>
                <w:sz w:val="28"/>
                <w:szCs w:val="28"/>
                <w:highlight w:val="none"/>
              </w:rPr>
              <w:t>至今，投标人</w:t>
            </w:r>
            <w:r>
              <w:rPr>
                <w:rFonts w:hint="eastAsia" w:ascii="仿宋" w:hAnsi="仿宋" w:eastAsia="仿宋" w:cs="仿宋"/>
                <w:color w:val="auto"/>
                <w:sz w:val="28"/>
                <w:szCs w:val="28"/>
                <w:highlight w:val="none"/>
                <w:lang w:val="en-US" w:eastAsia="zh-CN"/>
              </w:rPr>
              <w:t>提供等保测评</w:t>
            </w:r>
            <w:r>
              <w:rPr>
                <w:rFonts w:hint="eastAsia" w:ascii="仿宋" w:hAnsi="仿宋" w:eastAsia="仿宋" w:cs="仿宋"/>
                <w:color w:val="auto"/>
                <w:sz w:val="28"/>
                <w:szCs w:val="28"/>
                <w:highlight w:val="none"/>
              </w:rPr>
              <w:t>服务业绩证明材</w:t>
            </w:r>
            <w:r>
              <w:rPr>
                <w:rFonts w:hint="eastAsia" w:ascii="仿宋" w:hAnsi="仿宋" w:eastAsia="仿宋" w:cs="仿宋"/>
                <w:color w:val="auto"/>
                <w:sz w:val="28"/>
                <w:szCs w:val="28"/>
                <w:highlight w:val="none"/>
                <w:lang w:val="en-US" w:eastAsia="zh-CN"/>
              </w:rPr>
              <w:t>料</w:t>
            </w:r>
            <w:r>
              <w:rPr>
                <w:rFonts w:hint="eastAsia" w:ascii="仿宋" w:hAnsi="仿宋" w:eastAsia="仿宋" w:cs="仿宋"/>
                <w:color w:val="auto"/>
                <w:sz w:val="28"/>
                <w:szCs w:val="28"/>
                <w:highlight w:val="none"/>
              </w:rPr>
              <w:t>（不超过3项，若超过3项，招标人仅对前3项业绩进行复核及统计，以合同签订时间为准，合同未体现签订时间的，则不予统计此项业绩）</w:t>
            </w:r>
          </w:p>
          <w:p w14:paraId="00D62A96">
            <w:pPr>
              <w:adjustRightInd w:val="0"/>
              <w:snapToGrid w:val="0"/>
              <w:spacing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sz w:val="28"/>
                <w:szCs w:val="28"/>
                <w:highlight w:val="none"/>
              </w:rPr>
              <w:t>（证明资料为相关合同，应包含</w:t>
            </w:r>
            <w:r>
              <w:rPr>
                <w:rFonts w:hint="eastAsia" w:ascii="仿宋" w:hAnsi="仿宋" w:eastAsia="仿宋" w:cs="仿宋"/>
                <w:color w:val="auto"/>
                <w:sz w:val="28"/>
                <w:szCs w:val="28"/>
                <w:highlight w:val="none"/>
                <w:lang w:val="en-US" w:eastAsia="zh-CN"/>
              </w:rPr>
              <w:t>项目</w:t>
            </w:r>
            <w:r>
              <w:rPr>
                <w:rFonts w:hint="eastAsia" w:ascii="仿宋" w:hAnsi="仿宋" w:eastAsia="仿宋" w:cs="仿宋"/>
                <w:color w:val="auto"/>
                <w:sz w:val="28"/>
                <w:szCs w:val="28"/>
                <w:highlight w:val="none"/>
              </w:rPr>
              <w:t>名称、委托单位名称、受托单位名称、合同金额等信息，可提供合同关键页扫描件，若未体现以上信息，可提供其他相关证明材料。）</w:t>
            </w:r>
          </w:p>
        </w:tc>
      </w:tr>
      <w:tr w14:paraId="20E6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761" w:type="dxa"/>
            <w:shd w:val="clear" w:color="auto" w:fill="auto"/>
            <w:vAlign w:val="center"/>
          </w:tcPr>
          <w:p w14:paraId="7F16D12E">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p w14:paraId="38C8EF3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p>
        </w:tc>
        <w:tc>
          <w:tcPr>
            <w:tcW w:w="1746" w:type="dxa"/>
            <w:shd w:val="clear" w:color="auto" w:fill="auto"/>
            <w:vAlign w:val="center"/>
          </w:tcPr>
          <w:p w14:paraId="470B6CDE">
            <w:pPr>
              <w:widowControl/>
              <w:adjustRightInd w:val="0"/>
              <w:snapToGrid w:val="0"/>
              <w:spacing w:before="80" w:after="8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履约</w:t>
            </w:r>
          </w:p>
          <w:p w14:paraId="1B4E1E1B">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评价</w:t>
            </w:r>
          </w:p>
        </w:tc>
        <w:tc>
          <w:tcPr>
            <w:tcW w:w="6012" w:type="dxa"/>
            <w:shd w:val="clear" w:color="auto" w:fill="auto"/>
            <w:vAlign w:val="center"/>
          </w:tcPr>
          <w:p w14:paraId="04D4C073">
            <w:pPr>
              <w:widowControl/>
              <w:adjustRightInd w:val="0"/>
              <w:snapToGrid w:val="0"/>
              <w:spacing w:before="80" w:after="8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提供</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月1日</w:t>
            </w:r>
            <w:r>
              <w:rPr>
                <w:rFonts w:hint="eastAsia" w:ascii="仿宋" w:hAnsi="仿宋" w:eastAsia="仿宋" w:cs="仿宋"/>
                <w:color w:val="auto"/>
                <w:sz w:val="28"/>
                <w:szCs w:val="28"/>
                <w:highlight w:val="none"/>
              </w:rPr>
              <w:t>至今</w:t>
            </w:r>
            <w:r>
              <w:rPr>
                <w:rFonts w:hint="eastAsia" w:ascii="仿宋" w:hAnsi="仿宋" w:eastAsia="仿宋" w:cs="仿宋"/>
                <w:color w:val="auto"/>
                <w:kern w:val="0"/>
                <w:sz w:val="28"/>
                <w:szCs w:val="28"/>
                <w:highlight w:val="none"/>
              </w:rPr>
              <w:t>，类似</w:t>
            </w:r>
            <w:r>
              <w:rPr>
                <w:rFonts w:hint="eastAsia" w:ascii="仿宋" w:hAnsi="仿宋" w:eastAsia="仿宋" w:cs="仿宋"/>
                <w:color w:val="auto"/>
                <w:kern w:val="0"/>
                <w:sz w:val="28"/>
                <w:szCs w:val="28"/>
                <w:highlight w:val="none"/>
                <w:lang w:val="en-US" w:eastAsia="zh-CN"/>
              </w:rPr>
              <w:t>项目</w:t>
            </w:r>
            <w:r>
              <w:rPr>
                <w:rFonts w:hint="eastAsia" w:ascii="仿宋" w:hAnsi="仿宋" w:eastAsia="仿宋" w:cs="仿宋"/>
                <w:color w:val="auto"/>
                <w:kern w:val="0"/>
                <w:sz w:val="28"/>
                <w:szCs w:val="28"/>
                <w:highlight w:val="none"/>
              </w:rPr>
              <w:t>合同履约情况；（不超过3项，若超过3项，招标人仅对前3项履约进行复核及统计）。</w:t>
            </w:r>
          </w:p>
          <w:p w14:paraId="4C0E5AB3">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cr/>
            </w:r>
            <w:r>
              <w:rPr>
                <w:rFonts w:hint="eastAsia" w:ascii="仿宋" w:hAnsi="仿宋" w:eastAsia="仿宋" w:cs="仿宋"/>
                <w:color w:val="auto"/>
                <w:kern w:val="0"/>
                <w:sz w:val="28"/>
                <w:szCs w:val="28"/>
                <w:highlight w:val="none"/>
              </w:rPr>
              <w:t>证明材料：履约证明等扫描件（应包含</w:t>
            </w:r>
            <w:r>
              <w:rPr>
                <w:rFonts w:hint="eastAsia" w:ascii="仿宋" w:hAnsi="仿宋" w:eastAsia="仿宋" w:cs="仿宋"/>
                <w:color w:val="auto"/>
                <w:kern w:val="0"/>
                <w:sz w:val="28"/>
                <w:szCs w:val="28"/>
                <w:highlight w:val="none"/>
                <w:lang w:val="en-US" w:eastAsia="zh-CN"/>
              </w:rPr>
              <w:t>项目</w:t>
            </w:r>
            <w:r>
              <w:rPr>
                <w:rFonts w:hint="eastAsia" w:ascii="仿宋" w:hAnsi="仿宋" w:eastAsia="仿宋" w:cs="仿宋"/>
                <w:color w:val="auto"/>
                <w:kern w:val="0"/>
                <w:sz w:val="28"/>
                <w:szCs w:val="28"/>
                <w:highlight w:val="none"/>
              </w:rPr>
              <w:t>名称、评价单位名称、被评价单位名称、评价结论等，若未体现以上信息，可提供其他相关证明材料），以履约证明上载明的时间为准，未体现履约评价时间的，则不予统计此项履约。一个项目的履约评价只计1项。若未附证明材料或证明材料中未能清晰体现关键信息或证明材料前后不一致，招标人有可能做出对投标人不利的判断。</w:t>
            </w:r>
          </w:p>
        </w:tc>
      </w:tr>
      <w:tr w14:paraId="08A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61" w:type="dxa"/>
            <w:shd w:val="clear" w:color="auto" w:fill="auto"/>
            <w:vAlign w:val="center"/>
          </w:tcPr>
          <w:p w14:paraId="1B477F0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3</w:t>
            </w:r>
          </w:p>
        </w:tc>
        <w:tc>
          <w:tcPr>
            <w:tcW w:w="1746" w:type="dxa"/>
            <w:shd w:val="clear" w:color="auto" w:fill="auto"/>
            <w:vAlign w:val="center"/>
          </w:tcPr>
          <w:p w14:paraId="21F018BB">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投标人诚信</w:t>
            </w:r>
          </w:p>
        </w:tc>
        <w:tc>
          <w:tcPr>
            <w:tcW w:w="6012" w:type="dxa"/>
            <w:shd w:val="clear" w:color="auto" w:fill="auto"/>
            <w:vAlign w:val="center"/>
          </w:tcPr>
          <w:p w14:paraId="1EB4DAF8">
            <w:pPr>
              <w:widowControl/>
              <w:adjustRightInd w:val="0"/>
              <w:snapToGrid w:val="0"/>
              <w:spacing w:before="80" w:after="80" w:line="240" w:lineRule="auto"/>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信誉良好，近</w:t>
            </w:r>
            <w:r>
              <w:rPr>
                <w:rFonts w:hint="eastAsia" w:ascii="仿宋" w:hAnsi="仿宋" w:eastAsia="仿宋" w:cs="仿宋"/>
                <w:color w:val="auto"/>
                <w:kern w:val="0"/>
                <w:sz w:val="28"/>
                <w:szCs w:val="28"/>
                <w:highlight w:val="none"/>
                <w:lang w:val="en-US" w:eastAsia="zh-CN"/>
              </w:rPr>
              <w:t>五</w:t>
            </w:r>
            <w:r>
              <w:rPr>
                <w:rFonts w:hint="eastAsia" w:ascii="仿宋" w:hAnsi="仿宋" w:eastAsia="仿宋" w:cs="仿宋"/>
                <w:color w:val="auto"/>
                <w:kern w:val="0"/>
                <w:sz w:val="28"/>
                <w:szCs w:val="28"/>
                <w:highlight w:val="none"/>
              </w:rPr>
              <w:t>年内（202</w:t>
            </w:r>
            <w:r>
              <w:rPr>
                <w:rFonts w:hint="eastAsia" w:ascii="仿宋" w:hAnsi="仿宋" w:eastAsia="仿宋" w:cs="仿宋"/>
                <w:color w:val="auto"/>
                <w:kern w:val="0"/>
                <w:sz w:val="28"/>
                <w:szCs w:val="28"/>
                <w:highlight w:val="none"/>
                <w:lang w:val="en-US" w:eastAsia="zh-CN"/>
              </w:rPr>
              <w:t>1</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5</w:t>
            </w:r>
            <w:r>
              <w:rPr>
                <w:rFonts w:hint="eastAsia" w:ascii="仿宋" w:hAnsi="仿宋" w:eastAsia="仿宋" w:cs="仿宋"/>
                <w:color w:val="auto"/>
                <w:kern w:val="0"/>
                <w:sz w:val="28"/>
                <w:szCs w:val="28"/>
                <w:highlight w:val="none"/>
              </w:rPr>
              <w:t>月-至今）没有违法行为或不良记录</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提</w:t>
            </w:r>
            <w:r>
              <w:rPr>
                <w:rFonts w:hint="eastAsia" w:ascii="仿宋" w:hAnsi="仿宋" w:eastAsia="仿宋" w:cs="仿宋"/>
                <w:color w:val="auto"/>
                <w:sz w:val="28"/>
                <w:szCs w:val="28"/>
                <w:highlight w:val="none"/>
              </w:rPr>
              <w:t>供通</w:t>
            </w:r>
            <w:r>
              <w:rPr>
                <w:rFonts w:hint="eastAsia" w:ascii="仿宋" w:hAnsi="仿宋" w:eastAsia="仿宋" w:cs="仿宋"/>
                <w:color w:val="auto"/>
                <w:kern w:val="0"/>
                <w:sz w:val="28"/>
                <w:szCs w:val="28"/>
                <w:highlight w:val="none"/>
              </w:rPr>
              <w:t>过“国家企业信用信息公示系统”、“</w:t>
            </w:r>
            <w:r>
              <w:rPr>
                <w:rFonts w:hint="eastAsia" w:ascii="仿宋" w:hAnsi="仿宋" w:eastAsia="仿宋" w:cs="仿宋"/>
                <w:color w:val="auto"/>
                <w:sz w:val="28"/>
                <w:szCs w:val="28"/>
                <w:highlight w:val="none"/>
              </w:rPr>
              <w:t>信用中国”、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中国政府采购网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严重违法失信行为查询截图。</w:t>
            </w:r>
          </w:p>
          <w:p w14:paraId="4354BD54">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sz w:val="28"/>
                <w:szCs w:val="28"/>
                <w:highlight w:val="none"/>
              </w:rPr>
              <w:t>（</w:t>
            </w:r>
            <w:r>
              <w:rPr>
                <w:rFonts w:hint="eastAsia" w:ascii="仿宋" w:hAnsi="仿宋" w:eastAsia="仿宋" w:cs="仿宋"/>
                <w:color w:val="auto"/>
                <w:kern w:val="0"/>
                <w:sz w:val="28"/>
                <w:szCs w:val="28"/>
                <w:highlight w:val="none"/>
              </w:rPr>
              <w:t>证明资料为相关查询结果截图</w:t>
            </w:r>
            <w:r>
              <w:rPr>
                <w:rFonts w:hint="eastAsia" w:ascii="仿宋" w:hAnsi="仿宋" w:eastAsia="仿宋" w:cs="仿宋"/>
                <w:color w:val="auto"/>
                <w:sz w:val="28"/>
                <w:szCs w:val="28"/>
                <w:highlight w:val="none"/>
              </w:rPr>
              <w:t>）</w:t>
            </w:r>
          </w:p>
        </w:tc>
      </w:tr>
      <w:tr w14:paraId="79D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761" w:type="dxa"/>
            <w:shd w:val="clear" w:color="auto" w:fill="auto"/>
            <w:vAlign w:val="center"/>
          </w:tcPr>
          <w:p w14:paraId="4967CD32">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4</w:t>
            </w:r>
          </w:p>
        </w:tc>
        <w:tc>
          <w:tcPr>
            <w:tcW w:w="1746" w:type="dxa"/>
            <w:shd w:val="clear" w:color="auto" w:fill="auto"/>
            <w:vAlign w:val="center"/>
          </w:tcPr>
          <w:p w14:paraId="658A7C15">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实施方案</w:t>
            </w:r>
          </w:p>
        </w:tc>
        <w:tc>
          <w:tcPr>
            <w:tcW w:w="6012" w:type="dxa"/>
            <w:shd w:val="clear" w:color="auto" w:fill="auto"/>
            <w:vAlign w:val="center"/>
          </w:tcPr>
          <w:p w14:paraId="2DC309BF">
            <w:pPr>
              <w:widowControl/>
              <w:adjustRightInd w:val="0"/>
              <w:snapToGrid w:val="0"/>
              <w:spacing w:before="80" w:after="80" w:line="240" w:lineRule="auto"/>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rPr>
              <w:t>投标人结合自身情况，依据本招标文件要求，编写本项目第三方网络安全等级保护测评实施方案。包括测评内容、测评流程、测评方法、测评工具、质量保证、进度计划管控、项目重难点分析及对策、后续服务等。</w:t>
            </w:r>
          </w:p>
        </w:tc>
      </w:tr>
    </w:tbl>
    <w:p w14:paraId="21C5A47C">
      <w:pPr>
        <w:pStyle w:val="26"/>
        <w:jc w:val="center"/>
        <w:rPr>
          <w:b/>
          <w:sz w:val="36"/>
          <w:szCs w:val="36"/>
          <w:highlight w:val="none"/>
        </w:rPr>
      </w:pPr>
    </w:p>
    <w:p w14:paraId="48AB1E8E">
      <w:pPr>
        <w:rPr>
          <w:rFonts w:hint="eastAsia"/>
          <w:b/>
          <w:sz w:val="36"/>
          <w:szCs w:val="36"/>
          <w:highlight w:val="none"/>
        </w:rPr>
      </w:pPr>
      <w:r>
        <w:rPr>
          <w:rFonts w:hint="eastAsia"/>
          <w:b/>
          <w:sz w:val="36"/>
          <w:szCs w:val="36"/>
          <w:highlight w:val="none"/>
        </w:rPr>
        <w:br w:type="page"/>
      </w:r>
    </w:p>
    <w:p w14:paraId="0A355D1A">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第三章  合同文件</w:t>
      </w:r>
    </w:p>
    <w:p w14:paraId="3DCCBB46">
      <w:pPr>
        <w:autoSpaceDE w:val="0"/>
        <w:autoSpaceDN w:val="0"/>
        <w:adjustRightInd w:val="0"/>
        <w:spacing w:line="540" w:lineRule="exact"/>
        <w:ind w:firstLine="2249" w:firstLineChars="700"/>
        <w:jc w:val="both"/>
        <w:rPr>
          <w:rFonts w:hint="eastAsia" w:ascii="宋体" w:hAnsi="宋体" w:cs="宋体"/>
          <w:b/>
          <w:bCs/>
          <w:sz w:val="28"/>
          <w:szCs w:val="28"/>
          <w:lang w:val="en-US" w:eastAsia="zh-CN"/>
        </w:rPr>
      </w:pPr>
      <w:r>
        <w:rPr>
          <w:rFonts w:hint="eastAsia" w:ascii="宋体" w:hAnsi="宋体" w:cs="宋体"/>
          <w:b/>
          <w:bCs/>
          <w:sz w:val="32"/>
          <w:szCs w:val="32"/>
          <w:lang w:val="en-US" w:eastAsia="zh-CN"/>
        </w:rPr>
        <w:t xml:space="preserve"> </w:t>
      </w:r>
      <w:r>
        <w:rPr>
          <w:rFonts w:hint="eastAsia" w:ascii="宋体" w:hAnsi="宋体" w:cs="宋体"/>
          <w:b/>
          <w:bCs/>
          <w:sz w:val="28"/>
          <w:szCs w:val="28"/>
          <w:lang w:val="en-US" w:eastAsia="zh-CN"/>
        </w:rPr>
        <w:t xml:space="preserve"> 合同编号：</w:t>
      </w:r>
    </w:p>
    <w:p w14:paraId="4D77DCAD">
      <w:pPr>
        <w:autoSpaceDE w:val="0"/>
        <w:autoSpaceDN w:val="0"/>
        <w:adjustRightInd w:val="0"/>
        <w:spacing w:line="540" w:lineRule="exact"/>
        <w:jc w:val="both"/>
        <w:rPr>
          <w:rFonts w:hint="eastAsia" w:ascii="宋体" w:hAnsi="宋体" w:eastAsia="宋体" w:cs="宋体"/>
          <w:b/>
          <w:bCs/>
          <w:sz w:val="44"/>
          <w:szCs w:val="44"/>
        </w:rPr>
      </w:pPr>
    </w:p>
    <w:p w14:paraId="6BFBA48D">
      <w:pPr>
        <w:autoSpaceDE w:val="0"/>
        <w:autoSpaceDN w:val="0"/>
        <w:adjustRightInd w:val="0"/>
        <w:spacing w:line="540" w:lineRule="exact"/>
        <w:jc w:val="center"/>
        <w:rPr>
          <w:rFonts w:ascii="方正小标宋_GBK" w:hAnsi="方正小标宋_GBK" w:eastAsia="方正小标宋_GBK" w:cs="方正小标宋_GBK"/>
          <w:sz w:val="44"/>
          <w:szCs w:val="44"/>
          <w:lang w:val="zh-CN"/>
        </w:rPr>
      </w:pPr>
      <w:r>
        <w:rPr>
          <w:rFonts w:hint="eastAsia" w:ascii="宋体" w:hAnsi="宋体" w:eastAsia="宋体" w:cs="宋体"/>
          <w:b/>
          <w:bCs/>
          <w:sz w:val="44"/>
          <w:szCs w:val="44"/>
        </w:rPr>
        <w:t>龙岗区公共住房全屋智能系统改造项目</w:t>
      </w:r>
    </w:p>
    <w:p w14:paraId="5DE8A315">
      <w:pPr>
        <w:autoSpaceDE w:val="0"/>
        <w:autoSpaceDN w:val="0"/>
        <w:adjustRightInd w:val="0"/>
        <w:spacing w:line="540" w:lineRule="exact"/>
        <w:jc w:val="center"/>
        <w:rPr>
          <w:rFonts w:hint="eastAsia" w:ascii="宋体" w:hAnsi="宋体" w:eastAsia="宋体" w:cs="宋体"/>
          <w:b/>
          <w:bCs/>
          <w:sz w:val="44"/>
          <w:szCs w:val="44"/>
          <w:lang w:val="zh-CN"/>
        </w:rPr>
      </w:pPr>
      <w:r>
        <w:rPr>
          <w:rFonts w:hint="eastAsia" w:ascii="宋体" w:hAnsi="宋体" w:eastAsia="宋体" w:cs="宋体"/>
          <w:b/>
          <w:bCs/>
          <w:sz w:val="44"/>
          <w:szCs w:val="44"/>
          <w:lang w:val="en-US" w:eastAsia="zh-CN"/>
        </w:rPr>
        <w:t>第三方</w:t>
      </w:r>
      <w:r>
        <w:rPr>
          <w:rFonts w:hint="eastAsia" w:ascii="宋体" w:hAnsi="宋体" w:eastAsia="宋体" w:cs="宋体"/>
          <w:b/>
          <w:bCs/>
          <w:sz w:val="44"/>
          <w:szCs w:val="44"/>
          <w:lang w:val="zh-CN"/>
        </w:rPr>
        <w:t>网络安全等级保护测评服务合同</w:t>
      </w:r>
    </w:p>
    <w:p w14:paraId="1FD42EE8">
      <w:pPr>
        <w:autoSpaceDE w:val="0"/>
        <w:autoSpaceDN w:val="0"/>
        <w:adjustRightInd w:val="0"/>
        <w:spacing w:line="540" w:lineRule="exact"/>
        <w:ind w:firstLine="643" w:firstLineChars="200"/>
        <w:jc w:val="left"/>
        <w:rPr>
          <w:rFonts w:ascii="仿宋_GB2312" w:hAnsi="仿宋_GB2312" w:eastAsia="仿宋_GB2312" w:cs="仿宋_GB2312"/>
          <w:b/>
          <w:bCs/>
          <w:kern w:val="0"/>
          <w:sz w:val="32"/>
          <w:szCs w:val="32"/>
          <w:lang w:val="zh-CN"/>
        </w:rPr>
      </w:pPr>
    </w:p>
    <w:p w14:paraId="59C0F23C">
      <w:p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委托人（甲方）</w:t>
      </w:r>
      <w:r>
        <w:rPr>
          <w:rFonts w:hint="eastAsia" w:ascii="仿宋_GB2312" w:hAnsi="仿宋_GB2312" w:eastAsia="仿宋_GB2312" w:cs="仿宋_GB2312"/>
          <w:b/>
          <w:bCs/>
          <w:kern w:val="0"/>
          <w:sz w:val="28"/>
          <w:szCs w:val="28"/>
          <w:lang w:val="zh-CN"/>
        </w:rPr>
        <w:t>：</w:t>
      </w:r>
      <w:r>
        <w:rPr>
          <w:rFonts w:hint="eastAsia" w:ascii="仿宋_GB2312" w:hAnsi="仿宋_GB2312" w:eastAsia="仿宋_GB2312" w:cs="仿宋_GB2312"/>
          <w:b/>
          <w:bCs/>
          <w:kern w:val="0"/>
          <w:sz w:val="28"/>
          <w:szCs w:val="28"/>
          <w:lang w:val="en-US" w:eastAsia="zh-CN"/>
        </w:rPr>
        <w:t>深圳市龙岗区城投新基础设施建设管理有限公司</w:t>
      </w:r>
    </w:p>
    <w:p w14:paraId="0A277237">
      <w:p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通讯</w:t>
      </w:r>
      <w:r>
        <w:rPr>
          <w:rFonts w:hint="eastAsia" w:ascii="仿宋_GB2312" w:hAnsi="仿宋_GB2312" w:eastAsia="仿宋_GB2312" w:cs="仿宋_GB2312"/>
          <w:b/>
          <w:bCs/>
          <w:kern w:val="0"/>
          <w:sz w:val="28"/>
          <w:szCs w:val="28"/>
          <w:lang w:val="zh-CN"/>
        </w:rPr>
        <w:t>地址：</w:t>
      </w:r>
      <w:r>
        <w:rPr>
          <w:rFonts w:hint="eastAsia" w:ascii="仿宋_GB2312" w:hAnsi="仿宋_GB2312" w:eastAsia="仿宋_GB2312" w:cs="仿宋_GB2312"/>
          <w:b/>
          <w:bCs/>
          <w:kern w:val="0"/>
          <w:sz w:val="28"/>
          <w:szCs w:val="28"/>
          <w:lang w:val="en-US" w:eastAsia="zh-CN"/>
        </w:rPr>
        <w:t>深圳市龙岗区中心城腾飞路创投大厦22楼</w:t>
      </w:r>
    </w:p>
    <w:p w14:paraId="57A9EEB9">
      <w:pPr>
        <w:autoSpaceDE w:val="0"/>
        <w:autoSpaceDN w:val="0"/>
        <w:adjustRightInd w:val="0"/>
        <w:spacing w:line="500" w:lineRule="exact"/>
        <w:jc w:val="left"/>
        <w:rPr>
          <w:rFonts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联系</w:t>
      </w:r>
      <w:r>
        <w:rPr>
          <w:rFonts w:hint="eastAsia" w:ascii="仿宋_GB2312" w:hAnsi="仿宋_GB2312" w:eastAsia="仿宋_GB2312" w:cs="仿宋_GB2312"/>
          <w:b/>
          <w:bCs/>
          <w:kern w:val="0"/>
          <w:sz w:val="28"/>
          <w:szCs w:val="28"/>
          <w:lang w:val="en-US" w:eastAsia="zh-CN"/>
        </w:rPr>
        <w:t>方式</w:t>
      </w:r>
      <w:r>
        <w:rPr>
          <w:rFonts w:hint="eastAsia" w:ascii="仿宋_GB2312" w:hAnsi="仿宋_GB2312" w:eastAsia="仿宋_GB2312" w:cs="仿宋_GB2312"/>
          <w:b/>
          <w:bCs/>
          <w:kern w:val="0"/>
          <w:sz w:val="28"/>
          <w:szCs w:val="28"/>
          <w:lang w:val="zh-CN"/>
        </w:rPr>
        <w:t>：</w:t>
      </w:r>
    </w:p>
    <w:p w14:paraId="60BB6B7E">
      <w:pPr>
        <w:autoSpaceDE w:val="0"/>
        <w:autoSpaceDN w:val="0"/>
        <w:adjustRightInd w:val="0"/>
        <w:spacing w:line="500" w:lineRule="exact"/>
        <w:ind w:firstLine="562" w:firstLineChars="200"/>
        <w:jc w:val="left"/>
        <w:rPr>
          <w:rFonts w:ascii="仿宋_GB2312" w:hAnsi="仿宋_GB2312" w:eastAsia="仿宋_GB2312" w:cs="仿宋_GB2312"/>
          <w:b/>
          <w:bCs/>
          <w:kern w:val="0"/>
          <w:sz w:val="28"/>
          <w:szCs w:val="28"/>
          <w:lang w:val="zh-CN"/>
        </w:rPr>
      </w:pPr>
    </w:p>
    <w:p w14:paraId="241C23B8">
      <w:pPr>
        <w:autoSpaceDE w:val="0"/>
        <w:autoSpaceDN w:val="0"/>
        <w:adjustRightInd w:val="0"/>
        <w:spacing w:line="50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受托人（乙方）</w:t>
      </w:r>
      <w:r>
        <w:rPr>
          <w:rFonts w:hint="eastAsia" w:ascii="仿宋_GB2312" w:hAnsi="仿宋_GB2312" w:eastAsia="仿宋_GB2312" w:cs="仿宋_GB2312"/>
          <w:b/>
          <w:bCs/>
          <w:kern w:val="0"/>
          <w:sz w:val="28"/>
          <w:szCs w:val="28"/>
          <w:lang w:val="zh-CN"/>
        </w:rPr>
        <w:t>：</w:t>
      </w:r>
    </w:p>
    <w:p w14:paraId="0DB8C50C">
      <w:pPr>
        <w:autoSpaceDE w:val="0"/>
        <w:autoSpaceDN w:val="0"/>
        <w:adjustRightInd w:val="0"/>
        <w:spacing w:line="500" w:lineRule="exact"/>
        <w:jc w:val="left"/>
        <w:rPr>
          <w:rFonts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地址：</w:t>
      </w:r>
    </w:p>
    <w:p w14:paraId="44BF544D">
      <w:pPr>
        <w:pStyle w:val="25"/>
        <w:autoSpaceDE w:val="0"/>
        <w:autoSpaceDN w:val="0"/>
        <w:adjustRightInd w:val="0"/>
        <w:spacing w:line="500" w:lineRule="exact"/>
        <w:rPr>
          <w:rFonts w:ascii="仿宋_GB2312" w:hAnsi="仿宋_GB2312" w:eastAsia="仿宋_GB2312" w:cs="仿宋_GB2312"/>
          <w:b/>
          <w:bCs/>
          <w:color w:val="000000"/>
          <w:kern w:val="0"/>
          <w:sz w:val="28"/>
          <w:szCs w:val="28"/>
          <w:lang w:val="zh-CN" w:eastAsia="zh-CN"/>
        </w:rPr>
      </w:pPr>
      <w:r>
        <w:rPr>
          <w:rFonts w:hint="eastAsia" w:ascii="仿宋_GB2312" w:hAnsi="仿宋_GB2312" w:eastAsia="仿宋_GB2312" w:cs="仿宋_GB2312"/>
          <w:b/>
          <w:bCs/>
          <w:color w:val="000000"/>
          <w:kern w:val="0"/>
          <w:sz w:val="28"/>
          <w:szCs w:val="28"/>
          <w:lang w:val="zh-CN" w:eastAsia="zh-CN"/>
        </w:rPr>
        <w:t>联系</w:t>
      </w:r>
      <w:r>
        <w:rPr>
          <w:rFonts w:hint="eastAsia" w:ascii="仿宋_GB2312" w:hAnsi="仿宋_GB2312" w:eastAsia="仿宋_GB2312" w:cs="仿宋_GB2312"/>
          <w:b/>
          <w:bCs/>
          <w:color w:val="000000"/>
          <w:kern w:val="0"/>
          <w:sz w:val="28"/>
          <w:szCs w:val="28"/>
          <w:lang w:val="en-US" w:eastAsia="zh-CN"/>
        </w:rPr>
        <w:t>方式</w:t>
      </w:r>
      <w:r>
        <w:rPr>
          <w:rFonts w:hint="eastAsia" w:ascii="仿宋_GB2312" w:hAnsi="仿宋_GB2312" w:eastAsia="仿宋_GB2312" w:cs="仿宋_GB2312"/>
          <w:b/>
          <w:bCs/>
          <w:color w:val="000000"/>
          <w:kern w:val="0"/>
          <w:sz w:val="28"/>
          <w:szCs w:val="28"/>
          <w:lang w:val="zh-CN" w:eastAsia="zh-CN"/>
        </w:rPr>
        <w:t>：</w:t>
      </w:r>
    </w:p>
    <w:p w14:paraId="7AFB4481">
      <w:pPr>
        <w:autoSpaceDE w:val="0"/>
        <w:autoSpaceDN w:val="0"/>
        <w:adjustRightInd w:val="0"/>
        <w:spacing w:line="500" w:lineRule="exact"/>
        <w:ind w:firstLine="640" w:firstLineChars="200"/>
        <w:jc w:val="left"/>
        <w:rPr>
          <w:rFonts w:ascii="仿宋_GB2312" w:hAnsi="仿宋_GB2312" w:eastAsia="仿宋_GB2312" w:cs="仿宋_GB2312"/>
          <w:kern w:val="0"/>
          <w:sz w:val="32"/>
          <w:szCs w:val="32"/>
          <w:lang w:val="zh-CN"/>
        </w:rPr>
      </w:pPr>
    </w:p>
    <w:p w14:paraId="1DFADE47">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u w:val="none"/>
          <w:lang w:val="en-US"/>
        </w:rPr>
      </w:pPr>
      <w:r>
        <w:rPr>
          <w:rFonts w:hint="eastAsia" w:ascii="仿宋_GB2312" w:hAnsi="仿宋_GB2312" w:eastAsia="仿宋_GB2312" w:cs="仿宋_GB2312"/>
          <w:kern w:val="0"/>
          <w:sz w:val="28"/>
          <w:szCs w:val="28"/>
          <w:lang w:val="zh-CN"/>
        </w:rPr>
        <w:t>根据《</w:t>
      </w:r>
      <w:r>
        <w:rPr>
          <w:rFonts w:hint="eastAsia" w:ascii="仿宋_GB2312" w:hAnsi="仿宋_GB2312" w:eastAsia="仿宋_GB2312" w:cs="仿宋_GB2312"/>
          <w:sz w:val="28"/>
          <w:szCs w:val="28"/>
        </w:rPr>
        <w:t>中华人民共和国民法典</w:t>
      </w:r>
      <w:r>
        <w:rPr>
          <w:rFonts w:hint="eastAsia" w:ascii="仿宋_GB2312" w:hAnsi="仿宋_GB2312" w:eastAsia="仿宋_GB2312" w:cs="仿宋_GB2312"/>
          <w:kern w:val="0"/>
          <w:sz w:val="28"/>
          <w:szCs w:val="28"/>
          <w:lang w:val="zh-CN"/>
        </w:rPr>
        <w:t>》及国家有关法律、法规的规定，</w:t>
      </w:r>
      <w:r>
        <w:rPr>
          <w:rFonts w:hint="eastAsia" w:ascii="仿宋_GB2312" w:hAnsi="仿宋_GB2312" w:eastAsia="仿宋_GB2312" w:cs="仿宋_GB2312"/>
          <w:kern w:val="0"/>
          <w:sz w:val="28"/>
          <w:szCs w:val="28"/>
          <w:lang w:val="en-US" w:eastAsia="zh-CN"/>
        </w:rPr>
        <w:t>经双方友好协商，</w:t>
      </w:r>
      <w:r>
        <w:rPr>
          <w:rFonts w:hint="eastAsia" w:ascii="仿宋_GB2312" w:hAnsi="仿宋_GB2312" w:eastAsia="仿宋_GB2312" w:cs="仿宋_GB2312"/>
          <w:kern w:val="0"/>
          <w:sz w:val="28"/>
          <w:szCs w:val="28"/>
          <w:u w:val="none"/>
          <w:lang w:val="zh-CN"/>
        </w:rPr>
        <w:t>就</w:t>
      </w:r>
      <w:r>
        <w:rPr>
          <w:rFonts w:hint="eastAsia" w:ascii="仿宋_GB2312" w:hAnsi="仿宋_GB2312" w:eastAsia="仿宋_GB2312" w:cs="仿宋_GB2312"/>
          <w:kern w:val="0"/>
          <w:sz w:val="28"/>
          <w:szCs w:val="28"/>
          <w:u w:val="none"/>
          <w:lang w:val="en-US" w:eastAsia="zh-CN"/>
        </w:rPr>
        <w:t>甲方委托</w:t>
      </w:r>
      <w:r>
        <w:rPr>
          <w:rFonts w:hint="eastAsia" w:ascii="仿宋_GB2312" w:hAnsi="仿宋_GB2312" w:eastAsia="仿宋_GB2312" w:cs="仿宋_GB2312"/>
          <w:kern w:val="0"/>
          <w:sz w:val="28"/>
          <w:szCs w:val="28"/>
          <w:u w:val="none"/>
          <w:lang w:val="zh-CN"/>
        </w:rPr>
        <w:t>乙方提供</w:t>
      </w:r>
      <w:r>
        <w:rPr>
          <w:rFonts w:hint="eastAsia" w:ascii="仿宋_GB2312" w:hAnsi="仿宋_GB2312" w:eastAsia="仿宋_GB2312" w:cs="仿宋_GB2312"/>
          <w:kern w:val="0"/>
          <w:sz w:val="28"/>
          <w:szCs w:val="28"/>
          <w:u w:val="none"/>
          <w:lang w:val="en-US" w:eastAsia="zh-CN"/>
        </w:rPr>
        <w:t>龙岗区公共住房全屋智能系统改造项目第三方</w:t>
      </w:r>
      <w:r>
        <w:rPr>
          <w:rFonts w:hint="eastAsia" w:ascii="仿宋_GB2312" w:hAnsi="仿宋_GB2312" w:eastAsia="仿宋_GB2312" w:cs="仿宋_GB2312"/>
          <w:kern w:val="0"/>
          <w:sz w:val="28"/>
          <w:szCs w:val="28"/>
          <w:u w:val="none"/>
          <w:lang w:val="zh-CN"/>
        </w:rPr>
        <w:t>网络安全等级保护测评服务的事宜达成</w:t>
      </w:r>
      <w:r>
        <w:rPr>
          <w:rFonts w:hint="eastAsia" w:ascii="仿宋_GB2312" w:hAnsi="仿宋_GB2312" w:eastAsia="仿宋_GB2312" w:cs="仿宋_GB2312"/>
          <w:kern w:val="0"/>
          <w:sz w:val="28"/>
          <w:szCs w:val="28"/>
          <w:u w:val="none"/>
          <w:lang w:val="en-US" w:eastAsia="zh-CN"/>
        </w:rPr>
        <w:t>一致，签订本合同，以资双方共同遵守。</w:t>
      </w:r>
    </w:p>
    <w:p w14:paraId="45364999">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一、基本信息</w:t>
      </w:r>
    </w:p>
    <w:p w14:paraId="392F939D">
      <w:pPr>
        <w:pStyle w:val="25"/>
        <w:numPr>
          <w:ilvl w:val="0"/>
          <w:numId w:val="0"/>
        </w:numPr>
        <w:ind w:firstLine="560" w:firstLineChars="200"/>
        <w:rPr>
          <w:rFonts w:hint="default"/>
          <w:sz w:val="28"/>
          <w:szCs w:val="28"/>
          <w:lang w:val="en-US" w:eastAsia="zh-CN"/>
        </w:rPr>
      </w:pPr>
      <w:r>
        <w:rPr>
          <w:rFonts w:hint="eastAsia"/>
          <w:sz w:val="28"/>
          <w:szCs w:val="28"/>
          <w:lang w:val="en-US" w:eastAsia="zh-CN"/>
        </w:rPr>
        <w:t>项目名称：龙岗区公共住房全屋智能系统改造项目第三方</w:t>
      </w:r>
      <w:r>
        <w:rPr>
          <w:rFonts w:hint="eastAsia" w:ascii="仿宋_GB2312" w:hAnsi="仿宋_GB2312" w:eastAsia="仿宋_GB2312" w:cs="仿宋_GB2312"/>
          <w:kern w:val="0"/>
          <w:sz w:val="28"/>
          <w:szCs w:val="28"/>
          <w:u w:val="none"/>
          <w:lang w:val="zh-CN"/>
        </w:rPr>
        <w:t>网络安全等级保护测评服务</w:t>
      </w:r>
    </w:p>
    <w:p w14:paraId="5E9584FC">
      <w:pPr>
        <w:ind w:firstLine="590"/>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地点：深圳市龙岗区宝龙街道、龙城街道</w:t>
      </w:r>
    </w:p>
    <w:p w14:paraId="4BDB19C3">
      <w:pPr>
        <w:numPr>
          <w:ilvl w:val="0"/>
          <w:numId w:val="0"/>
        </w:num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二、服务内容和期限</w:t>
      </w:r>
    </w:p>
    <w:p w14:paraId="32210060">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（一）服务内容</w:t>
      </w:r>
    </w:p>
    <w:p w14:paraId="4CE6CAA7">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参照《深圳市政务信息化项目检测与验收管理办法》（深政数〔2022〕136 号）</w:t>
      </w:r>
      <w:r>
        <w:rPr>
          <w:rFonts w:hint="eastAsia" w:ascii="仿宋_GB2312" w:hAnsi="仿宋_GB2312" w:eastAsia="仿宋_GB2312" w:cs="仿宋_GB2312"/>
          <w:kern w:val="0"/>
          <w:sz w:val="28"/>
          <w:szCs w:val="28"/>
          <w:lang w:val="en-US" w:eastAsia="zh-CN"/>
        </w:rPr>
        <w:t>和相关</w:t>
      </w:r>
      <w:r>
        <w:rPr>
          <w:rFonts w:hint="eastAsia" w:ascii="仿宋_GB2312" w:hAnsi="仿宋_GB2312" w:eastAsia="仿宋_GB2312" w:cs="仿宋_GB2312"/>
          <w:kern w:val="0"/>
          <w:sz w:val="28"/>
          <w:szCs w:val="28"/>
          <w:lang w:val="zh-CN"/>
        </w:rPr>
        <w:t>文件，对龙岗区公共住房全屋智能系统改造项目</w:t>
      </w:r>
      <w:r>
        <w:rPr>
          <w:rFonts w:hint="eastAsia" w:ascii="仿宋_GB2312" w:hAnsi="仿宋_GB2312" w:eastAsia="仿宋_GB2312" w:cs="仿宋_GB2312"/>
          <w:kern w:val="0"/>
          <w:sz w:val="28"/>
          <w:szCs w:val="28"/>
          <w:lang w:val="en-US" w:eastAsia="zh-CN"/>
        </w:rPr>
        <w:t>开展</w:t>
      </w:r>
      <w:r>
        <w:rPr>
          <w:rFonts w:hint="eastAsia" w:ascii="仿宋_GB2312" w:hAnsi="仿宋_GB2312" w:eastAsia="仿宋_GB2312" w:cs="仿宋_GB2312"/>
          <w:kern w:val="0"/>
          <w:sz w:val="28"/>
          <w:szCs w:val="28"/>
          <w:lang w:val="zh-CN"/>
        </w:rPr>
        <w:t>第三方网络安全等级保护测评（二级），并出具符合主管部门要求的测评报告。</w:t>
      </w:r>
    </w:p>
    <w:p w14:paraId="21191D50">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en-US" w:eastAsia="zh-CN"/>
        </w:rPr>
        <w:t>具体服务内容包括</w:t>
      </w:r>
      <w:r>
        <w:rPr>
          <w:rFonts w:hint="eastAsia" w:ascii="仿宋_GB2312" w:hAnsi="仿宋_GB2312" w:eastAsia="仿宋_GB2312" w:cs="仿宋_GB2312"/>
          <w:kern w:val="0"/>
          <w:sz w:val="28"/>
          <w:szCs w:val="28"/>
          <w:lang w:val="zh-CN"/>
        </w:rPr>
        <w:t>。</w:t>
      </w:r>
    </w:p>
    <w:p w14:paraId="0A16D18F">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（1）等保定级：依据</w:t>
      </w:r>
      <w:r>
        <w:rPr>
          <w:rFonts w:hint="eastAsia" w:ascii="仿宋_GB2312" w:hAnsi="仿宋_GB2312" w:eastAsia="仿宋_GB2312" w:cs="仿宋_GB2312"/>
          <w:kern w:val="0"/>
          <w:sz w:val="28"/>
          <w:szCs w:val="28"/>
          <w:lang w:val="en-US" w:eastAsia="zh-CN"/>
        </w:rPr>
        <w:t>相关</w:t>
      </w:r>
      <w:r>
        <w:rPr>
          <w:rFonts w:hint="eastAsia" w:ascii="仿宋_GB2312" w:hAnsi="仿宋_GB2312" w:eastAsia="仿宋_GB2312" w:cs="仿宋_GB2312"/>
          <w:kern w:val="0"/>
          <w:sz w:val="28"/>
          <w:szCs w:val="28"/>
          <w:lang w:val="zh-CN"/>
        </w:rPr>
        <w:t>文件对龙岗区公共住房全屋智能系统进行等保定级（拟定二级），形成定级报告；</w:t>
      </w:r>
    </w:p>
    <w:p w14:paraId="0566A396">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（2）专家评审及备案：组织专家评审会对龙岗区公共住房全屋智能系统进行定级评审，将定级结果报公安网监备案；</w:t>
      </w:r>
    </w:p>
    <w:p w14:paraId="1D75112F">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（3）等级测评：安排专业团队对定级系统开展等级测评，形成《等级测评报告》。</w:t>
      </w:r>
    </w:p>
    <w:p w14:paraId="3079C593">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eastAsia="zh-CN"/>
        </w:rPr>
      </w:pPr>
      <w:r>
        <w:rPr>
          <w:rFonts w:hint="eastAsia" w:ascii="仿宋_GB2312" w:hAnsi="仿宋_GB2312" w:eastAsia="仿宋_GB2312" w:cs="仿宋_GB2312"/>
          <w:kern w:val="0"/>
          <w:sz w:val="28"/>
          <w:szCs w:val="28"/>
          <w:lang w:val="en-US" w:eastAsia="zh-CN"/>
        </w:rPr>
        <w:t>（二）</w:t>
      </w:r>
      <w:r>
        <w:rPr>
          <w:rFonts w:hint="eastAsia" w:ascii="仿宋_GB2312" w:hAnsi="仿宋_GB2312" w:eastAsia="仿宋_GB2312" w:cs="仿宋_GB2312"/>
          <w:kern w:val="0"/>
          <w:sz w:val="28"/>
          <w:szCs w:val="28"/>
          <w:lang w:val="zh-CN" w:eastAsia="zh-CN"/>
        </w:rPr>
        <w:t>服务</w:t>
      </w:r>
      <w:r>
        <w:rPr>
          <w:rFonts w:hint="eastAsia" w:ascii="仿宋_GB2312" w:hAnsi="仿宋_GB2312" w:eastAsia="仿宋_GB2312" w:cs="仿宋_GB2312"/>
          <w:kern w:val="0"/>
          <w:sz w:val="28"/>
          <w:szCs w:val="28"/>
          <w:lang w:val="en-US" w:eastAsia="zh-CN"/>
        </w:rPr>
        <w:t>期限</w:t>
      </w:r>
    </w:p>
    <w:p w14:paraId="0B90D7D5">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自合同签订之日起开始</w:t>
      </w:r>
      <w:r>
        <w:rPr>
          <w:rFonts w:hint="eastAsia" w:ascii="仿宋_GB2312" w:hAnsi="仿宋_GB2312" w:eastAsia="仿宋_GB2312" w:cs="仿宋_GB2312"/>
          <w:kern w:val="0"/>
          <w:sz w:val="28"/>
          <w:szCs w:val="28"/>
          <w:lang w:val="en-US" w:eastAsia="zh-CN"/>
        </w:rPr>
        <w:t>实施</w:t>
      </w:r>
      <w:r>
        <w:rPr>
          <w:rFonts w:hint="eastAsia" w:ascii="仿宋_GB2312" w:hAnsi="仿宋_GB2312" w:eastAsia="仿宋_GB2312" w:cs="仿宋_GB2312"/>
          <w:kern w:val="0"/>
          <w:sz w:val="28"/>
          <w:szCs w:val="28"/>
          <w:lang w:val="zh-CN"/>
        </w:rPr>
        <w:t>，至完成所有服务内容并经</w:t>
      </w:r>
      <w:r>
        <w:rPr>
          <w:rFonts w:hint="eastAsia" w:ascii="仿宋_GB2312" w:hAnsi="仿宋_GB2312" w:eastAsia="仿宋_GB2312" w:cs="仿宋_GB2312"/>
          <w:kern w:val="0"/>
          <w:sz w:val="28"/>
          <w:szCs w:val="28"/>
          <w:lang w:val="en-US" w:eastAsia="zh-CN"/>
        </w:rPr>
        <w:t>政府部门</w:t>
      </w:r>
      <w:r>
        <w:rPr>
          <w:rFonts w:hint="eastAsia" w:ascii="仿宋_GB2312" w:hAnsi="仿宋_GB2312" w:eastAsia="仿宋_GB2312" w:cs="仿宋_GB2312"/>
          <w:kern w:val="0"/>
          <w:sz w:val="28"/>
          <w:szCs w:val="28"/>
          <w:lang w:val="zh-CN"/>
        </w:rPr>
        <w:t>验收</w:t>
      </w:r>
      <w:r>
        <w:rPr>
          <w:rFonts w:hint="eastAsia" w:ascii="仿宋_GB2312" w:hAnsi="仿宋_GB2312" w:eastAsia="仿宋_GB2312" w:cs="仿宋_GB2312"/>
          <w:kern w:val="0"/>
          <w:sz w:val="28"/>
          <w:szCs w:val="28"/>
          <w:lang w:val="en-US" w:eastAsia="zh-CN"/>
        </w:rPr>
        <w:t>合格</w:t>
      </w:r>
      <w:r>
        <w:rPr>
          <w:rFonts w:hint="eastAsia" w:ascii="仿宋_GB2312" w:hAnsi="仿宋_GB2312" w:eastAsia="仿宋_GB2312" w:cs="仿宋_GB2312"/>
          <w:kern w:val="0"/>
          <w:sz w:val="28"/>
          <w:szCs w:val="28"/>
          <w:lang w:val="zh-CN"/>
        </w:rPr>
        <w:t>后结束。</w:t>
      </w:r>
    </w:p>
    <w:p w14:paraId="4A99B123">
      <w:pPr>
        <w:pStyle w:val="51"/>
        <w:rPr>
          <w:rFonts w:hint="eastAsia"/>
          <w:lang w:val="zh-CN"/>
        </w:rPr>
      </w:pPr>
    </w:p>
    <w:p w14:paraId="3C465D3F">
      <w:pPr>
        <w:numPr>
          <w:ilvl w:val="0"/>
          <w:numId w:val="3"/>
        </w:numPr>
        <w:autoSpaceDE w:val="0"/>
        <w:autoSpaceDN w:val="0"/>
        <w:adjustRightInd w:val="0"/>
        <w:spacing w:line="500" w:lineRule="exact"/>
        <w:jc w:val="left"/>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服务费用及</w:t>
      </w:r>
      <w:r>
        <w:rPr>
          <w:rFonts w:hint="eastAsia" w:ascii="仿宋_GB2312" w:hAnsi="仿宋_GB2312" w:eastAsia="仿宋_GB2312" w:cs="仿宋_GB2312"/>
          <w:b/>
          <w:bCs/>
          <w:kern w:val="0"/>
          <w:sz w:val="28"/>
          <w:szCs w:val="28"/>
          <w:lang w:val="zh-CN" w:eastAsia="zh-CN"/>
        </w:rPr>
        <w:t>付款方式</w:t>
      </w:r>
    </w:p>
    <w:p w14:paraId="00F18D12">
      <w:pPr>
        <w:autoSpaceDE w:val="0"/>
        <w:autoSpaceDN w:val="0"/>
        <w:adjustRightInd w:val="0"/>
        <w:spacing w:line="500" w:lineRule="exact"/>
        <w:ind w:firstLine="560" w:firstLineChars="200"/>
        <w:jc w:val="left"/>
        <w:rPr>
          <w:rFonts w:ascii="仿宋_GB2312" w:hAnsi="仿宋_GB2312" w:eastAsia="仿宋_GB2312" w:cs="仿宋_GB2312"/>
          <w:kern w:val="0"/>
          <w:sz w:val="28"/>
          <w:szCs w:val="28"/>
          <w:highlight w:val="none"/>
          <w:lang w:val="zh-CN"/>
        </w:rPr>
      </w:pPr>
      <w:r>
        <w:rPr>
          <w:rFonts w:hint="eastAsia" w:ascii="仿宋_GB2312" w:hAnsi="仿宋_GB2312" w:eastAsia="仿宋_GB2312" w:cs="仿宋_GB2312"/>
          <w:kern w:val="0"/>
          <w:sz w:val="28"/>
          <w:szCs w:val="28"/>
          <w:highlight w:val="none"/>
          <w:lang w:val="en-US" w:eastAsia="zh-CN"/>
        </w:rPr>
        <w:t>1.本合同总价包干，</w:t>
      </w:r>
      <w:r>
        <w:rPr>
          <w:rFonts w:hint="eastAsia" w:ascii="仿宋_GB2312" w:hAnsi="仿宋_GB2312" w:eastAsia="仿宋_GB2312" w:cs="仿宋_GB2312"/>
          <w:kern w:val="0"/>
          <w:sz w:val="28"/>
          <w:szCs w:val="28"/>
          <w:highlight w:val="none"/>
          <w:lang w:val="zh-CN"/>
        </w:rPr>
        <w:t>服务费用共计人民币</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元整(</w:t>
      </w:r>
      <w:r>
        <w:rPr>
          <w:rFonts w:hint="eastAsia" w:ascii="仿宋_GB2312" w:hAnsi="仿宋_GB2312" w:eastAsia="仿宋_GB2312" w:cs="仿宋_GB2312"/>
          <w:kern w:val="0"/>
          <w:sz w:val="28"/>
          <w:szCs w:val="28"/>
          <w:highlight w:val="none"/>
          <w:lang w:val="en-US" w:eastAsia="zh-CN"/>
        </w:rPr>
        <w:t>小写￥</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w:t>
      </w:r>
      <w:r>
        <w:rPr>
          <w:rFonts w:hint="eastAsia" w:ascii="仿宋" w:hAnsi="仿宋" w:eastAsia="仿宋" w:cs="仿宋"/>
          <w:sz w:val="32"/>
          <w:szCs w:val="32"/>
          <w:highlight w:val="none"/>
          <w:lang w:val="en-US" w:eastAsia="zh-CN"/>
        </w:rPr>
        <w:t>包含专家评审及</w:t>
      </w:r>
      <w:r>
        <w:rPr>
          <w:rFonts w:hint="eastAsia" w:ascii="仿宋" w:hAnsi="仿宋" w:eastAsia="仿宋" w:cs="仿宋"/>
          <w:sz w:val="32"/>
          <w:szCs w:val="32"/>
          <w:highlight w:val="none"/>
          <w:lang w:eastAsia="zh-CN"/>
        </w:rPr>
        <w:t>成交承包商</w:t>
      </w:r>
      <w:r>
        <w:rPr>
          <w:rFonts w:hint="eastAsia" w:ascii="仿宋" w:hAnsi="仿宋" w:eastAsia="仿宋" w:cs="仿宋"/>
          <w:sz w:val="32"/>
          <w:szCs w:val="32"/>
          <w:highlight w:val="none"/>
          <w:lang w:val="en-US" w:eastAsia="zh-CN"/>
        </w:rPr>
        <w:t>应缴纳的各种税费等相关费用</w:t>
      </w:r>
      <w:r>
        <w:rPr>
          <w:rFonts w:hint="eastAsia" w:ascii="仿宋_GB2312" w:hAnsi="仿宋_GB2312" w:eastAsia="仿宋_GB2312" w:cs="仿宋_GB2312"/>
          <w:kern w:val="0"/>
          <w:sz w:val="28"/>
          <w:szCs w:val="28"/>
          <w:highlight w:val="none"/>
          <w:lang w:val="zh-CN"/>
        </w:rPr>
        <w:t>。</w:t>
      </w:r>
    </w:p>
    <w:p w14:paraId="46FCEF31">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付款主体：本合同发包人为代建单位,项目建设单位为深圳市龙岗区住房和建设局，本项目工程款项由发包人深圳市龙岗区城投新基础设施建设管理有限公司审核后报深圳市龙岗区住房和建设局，服务费用通过财政部门直接支付给合同收款单位。本合同开票信息如下（如有变动以发包人书面通知为准）：</w:t>
      </w:r>
    </w:p>
    <w:p w14:paraId="3350E98F">
      <w:pPr>
        <w:pStyle w:val="25"/>
        <w:numPr>
          <w:ilvl w:val="0"/>
          <w:numId w:val="0"/>
        </w:numPr>
        <w:ind w:firstLine="560" w:firstLineChars="200"/>
        <w:rPr>
          <w:rFonts w:hint="eastAsia"/>
          <w:sz w:val="28"/>
          <w:szCs w:val="28"/>
          <w:highlight w:val="none"/>
          <w:u w:val="single"/>
          <w:lang w:val="en-US" w:eastAsia="zh-CN"/>
        </w:rPr>
      </w:pPr>
      <w:r>
        <w:rPr>
          <w:rFonts w:hint="default"/>
          <w:sz w:val="28"/>
          <w:szCs w:val="28"/>
          <w:highlight w:val="none"/>
          <w:lang w:val="en-US" w:eastAsia="zh-CN"/>
        </w:rPr>
        <w:t>开票抬头：</w:t>
      </w:r>
      <w:r>
        <w:rPr>
          <w:rFonts w:hint="eastAsia"/>
          <w:sz w:val="28"/>
          <w:szCs w:val="28"/>
          <w:highlight w:val="none"/>
          <w:u w:val="single"/>
          <w:lang w:val="en-US" w:eastAsia="zh-CN"/>
        </w:rPr>
        <w:t xml:space="preserve">                          </w:t>
      </w:r>
    </w:p>
    <w:p w14:paraId="4C8681B3">
      <w:pPr>
        <w:pStyle w:val="25"/>
        <w:numPr>
          <w:ilvl w:val="0"/>
          <w:numId w:val="0"/>
        </w:numPr>
        <w:ind w:firstLine="560" w:firstLineChars="200"/>
        <w:rPr>
          <w:rFonts w:hint="default"/>
          <w:sz w:val="28"/>
          <w:szCs w:val="28"/>
          <w:highlight w:val="none"/>
          <w:lang w:val="en-US" w:eastAsia="zh-CN"/>
        </w:rPr>
      </w:pPr>
      <w:r>
        <w:rPr>
          <w:rFonts w:hint="default"/>
          <w:sz w:val="28"/>
          <w:szCs w:val="28"/>
          <w:highlight w:val="none"/>
          <w:lang w:val="en-US" w:eastAsia="zh-CN"/>
        </w:rPr>
        <w:t>纳税人识别号：</w:t>
      </w:r>
      <w:r>
        <w:rPr>
          <w:rFonts w:hint="eastAsia"/>
          <w:sz w:val="28"/>
          <w:szCs w:val="28"/>
          <w:highlight w:val="none"/>
          <w:u w:val="single"/>
          <w:lang w:val="en-US" w:eastAsia="zh-CN"/>
        </w:rPr>
        <w:t xml:space="preserve">                      </w:t>
      </w:r>
      <w:r>
        <w:rPr>
          <w:rFonts w:hint="eastAsia"/>
          <w:sz w:val="28"/>
          <w:szCs w:val="28"/>
          <w:highlight w:val="none"/>
          <w:lang w:val="en-US" w:eastAsia="zh-CN"/>
        </w:rPr>
        <w:t xml:space="preserve"> </w:t>
      </w:r>
    </w:p>
    <w:p w14:paraId="6441EC85">
      <w:pPr>
        <w:pStyle w:val="25"/>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地址：</w:t>
      </w:r>
      <w:r>
        <w:rPr>
          <w:rFonts w:hint="eastAsia"/>
          <w:sz w:val="28"/>
          <w:szCs w:val="28"/>
          <w:highlight w:val="none"/>
          <w:u w:val="single"/>
          <w:lang w:val="en-US" w:eastAsia="zh-CN"/>
        </w:rPr>
        <w:t xml:space="preserve">                              </w:t>
      </w:r>
    </w:p>
    <w:p w14:paraId="0178CC89">
      <w:pPr>
        <w:pStyle w:val="25"/>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开户行：</w:t>
      </w:r>
      <w:r>
        <w:rPr>
          <w:rFonts w:hint="eastAsia"/>
          <w:sz w:val="28"/>
          <w:szCs w:val="28"/>
          <w:highlight w:val="none"/>
          <w:lang w:val="en-US" w:eastAsia="zh-CN"/>
        </w:rPr>
        <w:t xml:space="preserve"> </w:t>
      </w:r>
      <w:r>
        <w:rPr>
          <w:rFonts w:hint="eastAsia"/>
          <w:sz w:val="28"/>
          <w:szCs w:val="28"/>
          <w:highlight w:val="none"/>
          <w:u w:val="single"/>
          <w:lang w:val="en-US" w:eastAsia="zh-CN"/>
        </w:rPr>
        <w:t xml:space="preserve">                           </w:t>
      </w:r>
    </w:p>
    <w:p w14:paraId="73D6FE7F">
      <w:pPr>
        <w:pStyle w:val="25"/>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开户账号：</w:t>
      </w:r>
      <w:r>
        <w:rPr>
          <w:rFonts w:hint="eastAsia"/>
          <w:sz w:val="28"/>
          <w:szCs w:val="28"/>
          <w:highlight w:val="none"/>
          <w:u w:val="single"/>
          <w:lang w:val="en-US" w:eastAsia="zh-CN"/>
        </w:rPr>
        <w:t xml:space="preserve">                          </w:t>
      </w:r>
    </w:p>
    <w:p w14:paraId="65F01B41">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p>
    <w:p w14:paraId="3C130D7E">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3.付款方式</w:t>
      </w:r>
    </w:p>
    <w:p w14:paraId="0A05EDAD">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jc w:val="lef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（1）乙方</w:t>
      </w:r>
      <w:r>
        <w:rPr>
          <w:rFonts w:hint="eastAsia" w:ascii="仿宋" w:hAnsi="仿宋" w:eastAsia="仿宋" w:cs="仿宋"/>
          <w:b w:val="0"/>
          <w:bCs w:val="0"/>
          <w:sz w:val="32"/>
          <w:szCs w:val="32"/>
          <w:highlight w:val="none"/>
          <w:u w:val="none"/>
          <w:lang w:val="en-US" w:eastAsia="zh-CN"/>
        </w:rPr>
        <w:t>完成本项目网络安全等级保护第三方测评工作，出具</w:t>
      </w:r>
      <w:r>
        <w:rPr>
          <w:rFonts w:hint="eastAsia" w:ascii="仿宋" w:hAnsi="仿宋" w:eastAsia="仿宋" w:cs="仿宋"/>
          <w:color w:val="auto"/>
          <w:sz w:val="32"/>
          <w:szCs w:val="32"/>
          <w:highlight w:val="none"/>
          <w:lang w:val="en-US" w:eastAsia="zh-CN"/>
        </w:rPr>
        <w:t>《定级报告》、《定级备案证明》、《等级测评报告》</w:t>
      </w:r>
      <w:r>
        <w:rPr>
          <w:rFonts w:hint="eastAsia" w:ascii="仿宋_GB2312" w:hAnsi="仿宋_GB2312" w:eastAsia="仿宋_GB2312" w:cs="仿宋_GB2312"/>
          <w:kern w:val="0"/>
          <w:sz w:val="28"/>
          <w:szCs w:val="28"/>
          <w:highlight w:val="none"/>
          <w:lang w:val="en-US" w:eastAsia="zh-CN"/>
        </w:rPr>
        <w:t>，并通过专家评审，甲方</w:t>
      </w:r>
      <w:r>
        <w:rPr>
          <w:rFonts w:hint="eastAsia" w:ascii="仿宋_GB2312" w:hAnsi="仿宋_GB2312" w:eastAsia="仿宋_GB2312" w:cs="仿宋_GB2312"/>
          <w:kern w:val="0"/>
          <w:sz w:val="28"/>
          <w:szCs w:val="28"/>
          <w:highlight w:val="none"/>
        </w:rPr>
        <w:t>向乙方支付</w:t>
      </w:r>
      <w:r>
        <w:rPr>
          <w:rFonts w:hint="eastAsia" w:ascii="仿宋_GB2312" w:hAnsi="仿宋_GB2312" w:eastAsia="仿宋_GB2312" w:cs="仿宋_GB2312"/>
          <w:kern w:val="0"/>
          <w:sz w:val="28"/>
          <w:szCs w:val="28"/>
          <w:highlight w:val="none"/>
          <w:lang w:val="en-US" w:eastAsia="zh-CN"/>
        </w:rPr>
        <w:t>合同总价款的60%，</w:t>
      </w:r>
      <w:r>
        <w:rPr>
          <w:rFonts w:hint="eastAsia" w:ascii="仿宋_GB2312" w:hAnsi="仿宋_GB2312" w:eastAsia="仿宋_GB2312" w:cs="仿宋_GB2312"/>
          <w:kern w:val="0"/>
          <w:sz w:val="28"/>
          <w:szCs w:val="28"/>
          <w:highlight w:val="none"/>
        </w:rPr>
        <w:t>即人民币</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rPr>
        <w:t>元整（小写：</w:t>
      </w:r>
      <w:r>
        <w:rPr>
          <w:rFonts w:hint="eastAsia" w:ascii="仿宋_GB2312" w:hAnsi="仿宋_GB2312" w:eastAsia="仿宋_GB2312" w:cs="仿宋_GB2312"/>
          <w:kern w:val="0"/>
          <w:sz w:val="28"/>
          <w:szCs w:val="28"/>
          <w:highlight w:val="none"/>
          <w:lang w:val="en-US" w:eastAsia="zh-CN"/>
        </w:rPr>
        <w:t>￥</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w:t>
      </w:r>
      <w:r>
        <w:rPr>
          <w:rFonts w:hint="eastAsia" w:ascii="仿宋_GB2312" w:hAnsi="仿宋_GB2312" w:eastAsia="仿宋_GB2312" w:cs="仿宋_GB2312"/>
          <w:kern w:val="0"/>
          <w:sz w:val="28"/>
          <w:szCs w:val="28"/>
          <w:highlight w:val="none"/>
        </w:rPr>
        <w:t>）；</w:t>
      </w:r>
    </w:p>
    <w:p w14:paraId="58BC13F9">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（2）</w:t>
      </w:r>
      <w:r>
        <w:rPr>
          <w:rFonts w:hint="eastAsia" w:ascii="仿宋" w:hAnsi="仿宋" w:eastAsia="仿宋" w:cs="仿宋"/>
          <w:b w:val="0"/>
          <w:bCs w:val="0"/>
          <w:sz w:val="32"/>
          <w:szCs w:val="32"/>
          <w:highlight w:val="none"/>
          <w:u w:val="none"/>
          <w:lang w:val="en-US" w:eastAsia="zh-CN"/>
        </w:rPr>
        <w:t>上述报告，</w:t>
      </w:r>
      <w:r>
        <w:rPr>
          <w:rFonts w:hint="eastAsia" w:ascii="仿宋_GB2312" w:hAnsi="仿宋_GB2312" w:eastAsia="仿宋_GB2312" w:cs="仿宋_GB2312"/>
          <w:kern w:val="0"/>
          <w:sz w:val="28"/>
          <w:szCs w:val="28"/>
          <w:highlight w:val="none"/>
          <w:lang w:val="en-US" w:eastAsia="zh-CN"/>
        </w:rPr>
        <w:t>经建设单位及政府相关主管部门审核确认后，由中标人报送结算资料进行结算，尾款待结算经第三方咨询审核后一次性付清。</w:t>
      </w:r>
    </w:p>
    <w:p w14:paraId="3244D3AE">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（3）建设单位每次付款前，乙方应向建设单位开具合法有效的符合建设单位要求的增值税专用发票，否则建设单位可顺延付款并无须承担延期付款的法律责任。同时，乙方不得因此而停止工作。</w:t>
      </w:r>
    </w:p>
    <w:p w14:paraId="44B07099">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default"/>
          <w:lang w:val="en-US" w:eastAsia="zh-CN"/>
        </w:rPr>
      </w:pPr>
      <w:r>
        <w:rPr>
          <w:rFonts w:hint="eastAsia" w:ascii="仿宋_GB2312" w:hAnsi="仿宋_GB2312" w:eastAsia="仿宋_GB2312" w:cs="仿宋_GB2312"/>
          <w:kern w:val="0"/>
          <w:sz w:val="28"/>
          <w:szCs w:val="28"/>
          <w:highlight w:val="none"/>
          <w:lang w:val="en-US" w:eastAsia="zh-CN"/>
        </w:rPr>
        <w:t>（4）本项目资金为财政资金，接受财政评审机构评审、审计机关审计监督。若财政评审机构或审计机关，审定结算金额低于已支付结算款项，且审减系因乙方未完成约定服务事项、擅自缩减服务内容、提交资料虚假不实、服务成果不满足合同标准等乙方责任导致的，超出审定金额部分，乙方应当予以退还。 乙方应在收到甲方书面退款通知之日起 15 日内将差额款项退还甲方，乙方如对正式审定结论存在异议，应在收到审定文件 15 日内向甲方书面提出协商；协商不成的，按照本合同争议解决条款处理。</w:t>
      </w:r>
    </w:p>
    <w:p w14:paraId="071D7CFD">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lang w:val="zh-CN" w:eastAsia="zh-CN"/>
        </w:rPr>
      </w:pPr>
      <w:r>
        <w:rPr>
          <w:rFonts w:hint="eastAsia" w:ascii="仿宋_GB2312" w:hAnsi="仿宋_GB2312" w:eastAsia="仿宋_GB2312" w:cs="仿宋_GB2312"/>
          <w:b/>
          <w:bCs/>
          <w:kern w:val="0"/>
          <w:sz w:val="28"/>
          <w:szCs w:val="28"/>
          <w:lang w:val="en-US" w:eastAsia="zh-CN"/>
        </w:rPr>
        <w:t>四、</w:t>
      </w:r>
      <w:r>
        <w:rPr>
          <w:rFonts w:hint="eastAsia" w:ascii="仿宋_GB2312" w:hAnsi="仿宋_GB2312" w:eastAsia="仿宋_GB2312" w:cs="仿宋_GB2312"/>
          <w:b/>
          <w:bCs/>
          <w:kern w:val="0"/>
          <w:sz w:val="28"/>
          <w:szCs w:val="28"/>
          <w:lang w:val="zh-CN" w:eastAsia="zh-CN"/>
        </w:rPr>
        <w:t>双方</w:t>
      </w:r>
      <w:r>
        <w:rPr>
          <w:rFonts w:hint="eastAsia" w:ascii="仿宋_GB2312" w:hAnsi="仿宋_GB2312" w:eastAsia="仿宋_GB2312" w:cs="仿宋_GB2312"/>
          <w:b/>
          <w:bCs/>
          <w:kern w:val="0"/>
          <w:sz w:val="28"/>
          <w:szCs w:val="28"/>
          <w:lang w:val="en-US" w:eastAsia="zh-CN"/>
        </w:rPr>
        <w:t>责任及</w:t>
      </w:r>
      <w:r>
        <w:rPr>
          <w:rFonts w:hint="eastAsia" w:ascii="仿宋_GB2312" w:hAnsi="仿宋_GB2312" w:eastAsia="仿宋_GB2312" w:cs="仿宋_GB2312"/>
          <w:b/>
          <w:bCs/>
          <w:kern w:val="0"/>
          <w:sz w:val="28"/>
          <w:szCs w:val="28"/>
          <w:lang w:val="zh-CN" w:eastAsia="zh-CN"/>
        </w:rPr>
        <w:t>义务</w:t>
      </w:r>
    </w:p>
    <w:p w14:paraId="427DAB50">
      <w:pPr>
        <w:pStyle w:val="51"/>
        <w:rPr>
          <w:rFonts w:hint="default"/>
          <w:lang w:val="en-US" w:eastAsia="zh-CN"/>
        </w:rPr>
      </w:pPr>
      <w:r>
        <w:rPr>
          <w:rFonts w:hint="eastAsia" w:ascii="仿宋_GB2312" w:hAnsi="仿宋_GB2312" w:eastAsia="仿宋_GB2312" w:cs="仿宋_GB2312"/>
          <w:b/>
          <w:bCs/>
          <w:kern w:val="0"/>
          <w:sz w:val="28"/>
          <w:szCs w:val="28"/>
          <w:lang w:val="zh-CN" w:eastAsia="zh-CN"/>
        </w:rPr>
        <w:t>（</w:t>
      </w:r>
      <w:r>
        <w:rPr>
          <w:rFonts w:hint="eastAsia" w:ascii="仿宋_GB2312" w:hAnsi="仿宋_GB2312" w:eastAsia="仿宋_GB2312" w:cs="仿宋_GB2312"/>
          <w:b/>
          <w:bCs/>
          <w:kern w:val="0"/>
          <w:sz w:val="28"/>
          <w:szCs w:val="28"/>
          <w:lang w:val="en-US" w:eastAsia="zh-CN"/>
        </w:rPr>
        <w:t>一）甲方的责任及义务</w:t>
      </w:r>
    </w:p>
    <w:p w14:paraId="40A3B6AC">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1.甲方应当积极配合乙方的工作，以确保乙方工作的顺利进</w:t>
      </w:r>
      <w:r>
        <w:rPr>
          <w:rFonts w:hint="eastAsia" w:ascii="仿宋_GB2312" w:hAnsi="仿宋_GB2312" w:eastAsia="仿宋_GB2312" w:cs="仿宋_GB2312"/>
          <w:bCs/>
          <w:kern w:val="0"/>
          <w:sz w:val="28"/>
          <w:szCs w:val="28"/>
          <w:lang w:val="en-US" w:eastAsia="zh-CN"/>
        </w:rPr>
        <w:t>行</w:t>
      </w:r>
      <w:r>
        <w:rPr>
          <w:rFonts w:hint="eastAsia" w:ascii="仿宋_GB2312" w:hAnsi="仿宋_GB2312" w:eastAsia="仿宋_GB2312" w:cs="仿宋_GB2312"/>
          <w:bCs/>
          <w:kern w:val="0"/>
          <w:sz w:val="28"/>
          <w:szCs w:val="28"/>
        </w:rPr>
        <w:t>。</w:t>
      </w:r>
    </w:p>
    <w:p w14:paraId="0ACE9604">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2.甲方应当按照合同约定及时支付合同款项。</w:t>
      </w:r>
    </w:p>
    <w:p w14:paraId="3E23A738">
      <w:pPr>
        <w:pStyle w:val="51"/>
      </w:pPr>
      <w:r>
        <w:rPr>
          <w:rFonts w:hint="eastAsia" w:ascii="仿宋_GB2312" w:hAnsi="仿宋_GB2312" w:eastAsia="仿宋_GB2312" w:cs="仿宋_GB2312"/>
          <w:b/>
          <w:bCs/>
          <w:kern w:val="0"/>
          <w:sz w:val="28"/>
          <w:szCs w:val="28"/>
          <w:lang w:val="zh-CN" w:eastAsia="zh-CN"/>
        </w:rPr>
        <w:t>（</w:t>
      </w:r>
      <w:r>
        <w:rPr>
          <w:rFonts w:hint="eastAsia" w:ascii="仿宋_GB2312" w:hAnsi="仿宋_GB2312" w:eastAsia="仿宋_GB2312" w:cs="仿宋_GB2312"/>
          <w:b/>
          <w:bCs/>
          <w:kern w:val="0"/>
          <w:sz w:val="28"/>
          <w:szCs w:val="28"/>
          <w:lang w:val="en-US" w:eastAsia="zh-CN"/>
        </w:rPr>
        <w:t>二）乙方的责任及义务</w:t>
      </w:r>
    </w:p>
    <w:p w14:paraId="2E15E634">
      <w:pPr>
        <w:autoSpaceDE w:val="0"/>
        <w:autoSpaceDN w:val="0"/>
        <w:adjustRightInd w:val="0"/>
        <w:spacing w:line="500" w:lineRule="exact"/>
        <w:ind w:firstLine="560" w:firstLineChars="200"/>
        <w:jc w:val="left"/>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Cs/>
          <w:kern w:val="0"/>
          <w:sz w:val="28"/>
          <w:szCs w:val="28"/>
          <w:lang w:val="en-US" w:eastAsia="zh-CN"/>
        </w:rPr>
        <w:t>1</w:t>
      </w:r>
      <w:r>
        <w:rPr>
          <w:rFonts w:hint="eastAsia" w:ascii="仿宋_GB2312" w:hAnsi="仿宋_GB2312" w:eastAsia="仿宋_GB2312" w:cs="仿宋_GB2312"/>
          <w:bCs/>
          <w:kern w:val="0"/>
          <w:sz w:val="28"/>
          <w:szCs w:val="28"/>
        </w:rPr>
        <w:t>.乙方应当按照合同约定与甲方要求做好</w:t>
      </w:r>
      <w:r>
        <w:rPr>
          <w:rFonts w:hint="eastAsia" w:ascii="仿宋_GB2312" w:hAnsi="仿宋_GB2312" w:eastAsia="仿宋_GB2312" w:cs="仿宋_GB2312"/>
          <w:bCs/>
          <w:kern w:val="0"/>
          <w:sz w:val="28"/>
          <w:szCs w:val="28"/>
          <w:lang w:val="en-US" w:eastAsia="zh-CN"/>
        </w:rPr>
        <w:t>检测实施</w:t>
      </w:r>
      <w:r>
        <w:rPr>
          <w:rFonts w:hint="eastAsia" w:ascii="仿宋_GB2312" w:hAnsi="仿宋_GB2312" w:eastAsia="仿宋_GB2312" w:cs="仿宋_GB2312"/>
          <w:bCs/>
          <w:kern w:val="0"/>
          <w:sz w:val="28"/>
          <w:szCs w:val="28"/>
        </w:rPr>
        <w:t>工作，并保质</w:t>
      </w:r>
      <w:r>
        <w:rPr>
          <w:rFonts w:hint="eastAsia" w:ascii="仿宋_GB2312" w:hAnsi="仿宋_GB2312" w:eastAsia="仿宋_GB2312" w:cs="仿宋_GB2312"/>
          <w:bCs/>
          <w:kern w:val="0"/>
          <w:sz w:val="28"/>
          <w:szCs w:val="28"/>
          <w:lang w:eastAsia="zh-CN"/>
        </w:rPr>
        <w:t>、</w:t>
      </w:r>
      <w:r>
        <w:rPr>
          <w:rFonts w:hint="eastAsia" w:ascii="仿宋_GB2312" w:hAnsi="仿宋_GB2312" w:eastAsia="仿宋_GB2312" w:cs="仿宋_GB2312"/>
          <w:bCs/>
          <w:kern w:val="0"/>
          <w:sz w:val="28"/>
          <w:szCs w:val="28"/>
        </w:rPr>
        <w:t>保量、按时完成各项服务</w:t>
      </w:r>
      <w:r>
        <w:rPr>
          <w:rFonts w:hint="eastAsia" w:ascii="仿宋_GB2312" w:hAnsi="仿宋_GB2312" w:eastAsia="仿宋_GB2312" w:cs="仿宋_GB2312"/>
          <w:bCs/>
          <w:kern w:val="0"/>
          <w:sz w:val="28"/>
          <w:szCs w:val="28"/>
          <w:lang w:val="en-US" w:eastAsia="zh-CN"/>
        </w:rPr>
        <w:t>内容</w:t>
      </w:r>
      <w:r>
        <w:rPr>
          <w:rFonts w:hint="eastAsia" w:ascii="仿宋_GB2312" w:hAnsi="仿宋_GB2312" w:eastAsia="仿宋_GB2312" w:cs="仿宋_GB2312"/>
          <w:bCs/>
          <w:kern w:val="0"/>
          <w:sz w:val="28"/>
          <w:szCs w:val="28"/>
        </w:rPr>
        <w:t>。</w:t>
      </w:r>
    </w:p>
    <w:p w14:paraId="10B59DF5">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2</w:t>
      </w:r>
      <w:r>
        <w:rPr>
          <w:rFonts w:hint="eastAsia" w:ascii="仿宋_GB2312" w:hAnsi="仿宋_GB2312" w:eastAsia="仿宋_GB2312" w:cs="仿宋_GB2312"/>
          <w:bCs/>
          <w:kern w:val="0"/>
          <w:sz w:val="28"/>
          <w:szCs w:val="28"/>
        </w:rPr>
        <w:t>.项目执行过程中如需对既定方案进行调整，不增加成本部分由双方协商执行，相应增加项目成本部分，在不影响工期前提下由双方另行商定。</w:t>
      </w:r>
    </w:p>
    <w:p w14:paraId="67852134">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3</w:t>
      </w:r>
      <w:r>
        <w:rPr>
          <w:rFonts w:hint="eastAsia" w:ascii="仿宋_GB2312" w:hAnsi="仿宋_GB2312" w:eastAsia="仿宋_GB2312" w:cs="仿宋_GB2312"/>
          <w:bCs/>
          <w:kern w:val="0"/>
          <w:sz w:val="28"/>
          <w:szCs w:val="28"/>
        </w:rPr>
        <w:t>.乙方</w:t>
      </w:r>
      <w:r>
        <w:rPr>
          <w:rFonts w:hint="eastAsia" w:ascii="仿宋_GB2312" w:hAnsi="仿宋_GB2312" w:eastAsia="仿宋_GB2312" w:cs="仿宋_GB2312"/>
          <w:bCs/>
          <w:kern w:val="0"/>
          <w:sz w:val="28"/>
          <w:szCs w:val="28"/>
          <w:lang w:val="en-US" w:eastAsia="zh-CN"/>
        </w:rPr>
        <w:t>项目实施</w:t>
      </w:r>
      <w:r>
        <w:rPr>
          <w:rFonts w:hint="eastAsia" w:ascii="仿宋_GB2312" w:hAnsi="仿宋_GB2312" w:eastAsia="仿宋_GB2312" w:cs="仿宋_GB2312"/>
          <w:bCs/>
          <w:kern w:val="0"/>
          <w:sz w:val="28"/>
          <w:szCs w:val="28"/>
        </w:rPr>
        <w:t>应严格按照国家、省、市相关工作要求和</w:t>
      </w:r>
      <w:r>
        <w:rPr>
          <w:rFonts w:hint="eastAsia" w:ascii="仿宋_GB2312" w:hAnsi="仿宋_GB2312" w:eastAsia="仿宋_GB2312" w:cs="仿宋_GB2312"/>
          <w:bCs/>
          <w:kern w:val="0"/>
          <w:sz w:val="28"/>
          <w:szCs w:val="28"/>
          <w:lang w:val="en-US" w:eastAsia="zh-CN"/>
        </w:rPr>
        <w:t>标准规范</w:t>
      </w:r>
      <w:r>
        <w:rPr>
          <w:rFonts w:hint="eastAsia" w:ascii="仿宋_GB2312" w:hAnsi="仿宋_GB2312" w:eastAsia="仿宋_GB2312" w:cs="仿宋_GB2312"/>
          <w:bCs/>
          <w:kern w:val="0"/>
          <w:sz w:val="28"/>
          <w:szCs w:val="28"/>
        </w:rPr>
        <w:t>。</w:t>
      </w:r>
    </w:p>
    <w:p w14:paraId="77E9370C">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.乙方不得将本合同项下的全部或部分义务转包、分包给第三方。</w:t>
      </w:r>
    </w:p>
    <w:p w14:paraId="1B5BEDB1">
      <w:pPr>
        <w:autoSpaceDE w:val="0"/>
        <w:autoSpaceDN w:val="0"/>
        <w:adjustRightInd w:val="0"/>
        <w:spacing w:line="500" w:lineRule="exact"/>
        <w:jc w:val="left"/>
        <w:rPr>
          <w:rFonts w:hint="eastAsia" w:ascii="仿宋_GB2312" w:hAnsi="仿宋_GB2312" w:eastAsia="仿宋_GB2312" w:cs="仿宋_GB2312"/>
          <w:b/>
          <w:bCs w:val="0"/>
          <w:kern w:val="0"/>
          <w:sz w:val="28"/>
          <w:szCs w:val="28"/>
          <w:lang w:val="zh-CN"/>
        </w:rPr>
      </w:pPr>
      <w:r>
        <w:rPr>
          <w:rFonts w:hint="eastAsia" w:ascii="仿宋_GB2312" w:hAnsi="仿宋_GB2312" w:eastAsia="仿宋_GB2312" w:cs="仿宋_GB2312"/>
          <w:b/>
          <w:bCs w:val="0"/>
          <w:kern w:val="0"/>
          <w:sz w:val="28"/>
          <w:szCs w:val="28"/>
          <w:lang w:val="en-US" w:eastAsia="zh-CN"/>
        </w:rPr>
        <w:t>五、</w:t>
      </w:r>
      <w:r>
        <w:rPr>
          <w:rFonts w:hint="eastAsia" w:ascii="仿宋_GB2312" w:hAnsi="仿宋_GB2312" w:eastAsia="仿宋_GB2312" w:cs="仿宋_GB2312"/>
          <w:b/>
          <w:bCs w:val="0"/>
          <w:kern w:val="0"/>
          <w:sz w:val="28"/>
          <w:szCs w:val="28"/>
          <w:lang w:val="zh-CN"/>
        </w:rPr>
        <w:t>保密与安全</w:t>
      </w:r>
    </w:p>
    <w:p w14:paraId="550B830A">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1.双方应对在合同履行过程中所获得的对方的相关信息承担保密义务。</w:t>
      </w:r>
    </w:p>
    <w:p w14:paraId="1118EBDD">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2.乙方不得向外泄露甲方提供的相关资料或用于本合同目的以外的任何目的，并应对甲方的商业资料进行绝对保密。保密条款永久有效，不因合同终止、解除、无效或撤销而失效。</w:t>
      </w:r>
    </w:p>
    <w:p w14:paraId="5BB065CB">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3.必须按国家有关保密法律法规的要求，采取有效的保密措施，保证资料的安全，严防泄密和丢失。</w:t>
      </w:r>
    </w:p>
    <w:p w14:paraId="6A2AC46B">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4.项目完成后，乙方不得保留任何与该项目有关的因履行本项目新增的数据以及基于该数据开发的任何成果。</w:t>
      </w:r>
    </w:p>
    <w:p w14:paraId="11371F58">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5.未经甲方审阅和许可，乙方不得发表与该项目有关的技术报告、论文和广告宣传图片，也不得进行公开的传媒报道与宣传。</w:t>
      </w:r>
    </w:p>
    <w:p w14:paraId="432E96A1">
      <w:pPr>
        <w:autoSpaceDE w:val="0"/>
        <w:autoSpaceDN w:val="0"/>
        <w:adjustRightInd w:val="0"/>
        <w:spacing w:line="500" w:lineRule="exact"/>
        <w:jc w:val="left"/>
        <w:rPr>
          <w:rFonts w:hint="eastAsia" w:ascii="仿宋_GB2312" w:hAnsi="仿宋_GB2312" w:eastAsia="仿宋_GB2312" w:cs="仿宋_GB2312"/>
          <w:b/>
          <w:bCs w:val="0"/>
          <w:kern w:val="0"/>
          <w:sz w:val="28"/>
          <w:szCs w:val="28"/>
          <w:lang w:val="zh-CN" w:eastAsia="zh-CN"/>
        </w:rPr>
      </w:pPr>
      <w:r>
        <w:rPr>
          <w:rFonts w:hint="eastAsia" w:ascii="仿宋_GB2312" w:hAnsi="仿宋_GB2312" w:eastAsia="仿宋_GB2312" w:cs="仿宋_GB2312"/>
          <w:b/>
          <w:bCs w:val="0"/>
          <w:kern w:val="0"/>
          <w:sz w:val="28"/>
          <w:szCs w:val="28"/>
          <w:lang w:val="en-US" w:eastAsia="zh-CN"/>
        </w:rPr>
        <w:t>六、</w:t>
      </w:r>
      <w:r>
        <w:rPr>
          <w:rFonts w:hint="eastAsia" w:ascii="仿宋_GB2312" w:hAnsi="仿宋_GB2312" w:eastAsia="仿宋_GB2312" w:cs="仿宋_GB2312"/>
          <w:b/>
          <w:bCs w:val="0"/>
          <w:kern w:val="0"/>
          <w:sz w:val="28"/>
          <w:szCs w:val="28"/>
          <w:lang w:val="zh-CN" w:eastAsia="zh-CN"/>
        </w:rPr>
        <w:t>违约责任</w:t>
      </w:r>
    </w:p>
    <w:p w14:paraId="0E16AC15">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1.甲乙双方必须遵守国家法律、法规和深圳市有关条例规定，不得有违法行为，如有一方违反法律法规及有关条例规定，由此产生的一切责任由违反方承担。</w:t>
      </w:r>
    </w:p>
    <w:p w14:paraId="13A40F50">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2.法律法规和政府规章约束等不可抗力因素导致本协议不能继续履行时，甲乙双方均不承担违约责任。</w:t>
      </w:r>
    </w:p>
    <w:p w14:paraId="21E32D72">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3.如果甲乙方双方不按照合同履行义务，守约方有权根据违约严重程度，要求违约方承担合同总金额1%到10%的违约金，违约金不足以弥补损失的，还需继续承担赔偿责任。</w:t>
      </w:r>
    </w:p>
    <w:p w14:paraId="7F32B5DA">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4.本合同中的全部损失包括但不限于对守约方所造成的直接损失、可得利益损失、守约方支付给第三方的赔偿费用/违约金/罚款、调查取证费用、公证费、鉴定费、诉讼费、律师费、维权费以及其他合理费用。</w:t>
      </w:r>
    </w:p>
    <w:p w14:paraId="6F8CEBA0">
      <w:pPr>
        <w:autoSpaceDE w:val="0"/>
        <w:autoSpaceDN w:val="0"/>
        <w:adjustRightInd w:val="0"/>
        <w:spacing w:line="500" w:lineRule="exact"/>
        <w:jc w:val="left"/>
        <w:rPr>
          <w:rFonts w:hint="eastAsia" w:ascii="仿宋_GB2312" w:hAnsi="仿宋_GB2312" w:eastAsia="仿宋_GB2312" w:cs="仿宋_GB2312"/>
          <w:b/>
          <w:bCs w:val="0"/>
          <w:kern w:val="0"/>
          <w:sz w:val="28"/>
          <w:szCs w:val="28"/>
          <w:lang w:val="zh-CN" w:eastAsia="zh-CN"/>
        </w:rPr>
      </w:pPr>
      <w:r>
        <w:rPr>
          <w:rFonts w:hint="eastAsia" w:ascii="仿宋_GB2312" w:hAnsi="仿宋_GB2312" w:eastAsia="仿宋_GB2312" w:cs="仿宋_GB2312"/>
          <w:b/>
          <w:bCs w:val="0"/>
          <w:kern w:val="0"/>
          <w:sz w:val="28"/>
          <w:szCs w:val="28"/>
          <w:lang w:val="en-US" w:eastAsia="zh-CN"/>
        </w:rPr>
        <w:t>七、</w:t>
      </w:r>
      <w:r>
        <w:rPr>
          <w:rFonts w:hint="eastAsia" w:ascii="仿宋_GB2312" w:hAnsi="仿宋_GB2312" w:eastAsia="仿宋_GB2312" w:cs="仿宋_GB2312"/>
          <w:b/>
          <w:bCs w:val="0"/>
          <w:kern w:val="0"/>
          <w:sz w:val="28"/>
          <w:szCs w:val="28"/>
          <w:lang w:val="zh-CN" w:eastAsia="zh-CN"/>
        </w:rPr>
        <w:t>争议的解决</w:t>
      </w:r>
    </w:p>
    <w:p w14:paraId="3AA1DEFD">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rPr>
      </w:pPr>
      <w:r>
        <w:rPr>
          <w:rFonts w:hint="eastAsia" w:ascii="仿宋_GB2312" w:hAnsi="仿宋_GB2312" w:eastAsia="仿宋_GB2312" w:cs="仿宋_GB2312"/>
          <w:bCs/>
          <w:kern w:val="0"/>
          <w:sz w:val="28"/>
          <w:szCs w:val="28"/>
          <w:lang w:val="zh-CN"/>
        </w:rPr>
        <w:t>本协议执行过程中，若双方发生争议，应通过友好协商解决；协商不成，任何一方均可向深圳市</w:t>
      </w:r>
      <w:r>
        <w:rPr>
          <w:rFonts w:hint="eastAsia" w:ascii="仿宋_GB2312" w:hAnsi="仿宋_GB2312" w:eastAsia="仿宋_GB2312" w:cs="仿宋_GB2312"/>
          <w:bCs/>
          <w:kern w:val="0"/>
          <w:sz w:val="28"/>
          <w:szCs w:val="28"/>
          <w:lang w:val="en-US" w:eastAsia="zh-CN"/>
        </w:rPr>
        <w:t>龙岗</w:t>
      </w:r>
      <w:r>
        <w:rPr>
          <w:rFonts w:hint="eastAsia" w:ascii="仿宋_GB2312" w:hAnsi="仿宋_GB2312" w:eastAsia="仿宋_GB2312" w:cs="仿宋_GB2312"/>
          <w:bCs/>
          <w:kern w:val="0"/>
          <w:sz w:val="28"/>
          <w:szCs w:val="28"/>
          <w:lang w:val="zh-CN"/>
        </w:rPr>
        <w:t>区人民法院提起诉讼。</w:t>
      </w:r>
    </w:p>
    <w:p w14:paraId="688871A8">
      <w:pPr>
        <w:autoSpaceDE w:val="0"/>
        <w:autoSpaceDN w:val="0"/>
        <w:adjustRightInd w:val="0"/>
        <w:spacing w:line="500" w:lineRule="exact"/>
        <w:jc w:val="left"/>
        <w:rPr>
          <w:rFonts w:hint="eastAsia" w:ascii="仿宋_GB2312" w:hAnsi="仿宋_GB2312" w:eastAsia="仿宋_GB2312" w:cs="仿宋_GB2312"/>
          <w:b/>
          <w:bCs w:val="0"/>
          <w:kern w:val="0"/>
          <w:sz w:val="28"/>
          <w:szCs w:val="28"/>
          <w:lang w:val="zh-CN" w:eastAsia="zh-CN"/>
        </w:rPr>
      </w:pPr>
      <w:r>
        <w:rPr>
          <w:rFonts w:hint="eastAsia" w:ascii="仿宋_GB2312" w:hAnsi="仿宋_GB2312" w:eastAsia="仿宋_GB2312" w:cs="仿宋_GB2312"/>
          <w:b/>
          <w:bCs w:val="0"/>
          <w:kern w:val="0"/>
          <w:sz w:val="28"/>
          <w:szCs w:val="28"/>
          <w:lang w:val="en-US" w:eastAsia="zh-CN"/>
        </w:rPr>
        <w:t>八、</w:t>
      </w:r>
      <w:r>
        <w:rPr>
          <w:rFonts w:hint="eastAsia" w:ascii="仿宋_GB2312" w:hAnsi="仿宋_GB2312" w:eastAsia="仿宋_GB2312" w:cs="仿宋_GB2312"/>
          <w:b/>
          <w:bCs w:val="0"/>
          <w:kern w:val="0"/>
          <w:sz w:val="28"/>
          <w:szCs w:val="28"/>
          <w:lang w:val="zh-CN" w:eastAsia="zh-CN"/>
        </w:rPr>
        <w:t>送达</w:t>
      </w:r>
    </w:p>
    <w:p w14:paraId="759F8020">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eastAsia="zh-CN"/>
        </w:rPr>
      </w:pPr>
      <w:r>
        <w:rPr>
          <w:rFonts w:hint="eastAsia" w:ascii="仿宋_GB2312" w:hAnsi="仿宋_GB2312" w:eastAsia="仿宋_GB2312" w:cs="仿宋_GB2312"/>
          <w:bCs/>
          <w:kern w:val="0"/>
          <w:sz w:val="28"/>
          <w:szCs w:val="28"/>
          <w:lang w:val="zh-CN" w:eastAsia="zh-CN"/>
        </w:rPr>
        <w:t>双方同意甲方的送达地址为：XXXXXXX；</w:t>
      </w:r>
    </w:p>
    <w:p w14:paraId="4F2ADAA5">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eastAsia="zh-CN"/>
        </w:rPr>
      </w:pPr>
      <w:r>
        <w:rPr>
          <w:rFonts w:hint="eastAsia" w:ascii="仿宋_GB2312" w:hAnsi="仿宋_GB2312" w:eastAsia="仿宋_GB2312" w:cs="仿宋_GB2312"/>
          <w:bCs/>
          <w:kern w:val="0"/>
          <w:sz w:val="28"/>
          <w:szCs w:val="28"/>
          <w:lang w:val="zh-CN" w:eastAsia="zh-CN"/>
        </w:rPr>
        <w:t>双方同意乙方的送达地址为：XXXXXXX。</w:t>
      </w:r>
    </w:p>
    <w:p w14:paraId="770CA3A8">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eastAsia="zh-CN"/>
        </w:rPr>
      </w:pPr>
      <w:r>
        <w:rPr>
          <w:rFonts w:hint="eastAsia" w:ascii="仿宋_GB2312" w:hAnsi="仿宋_GB2312" w:eastAsia="仿宋_GB2312" w:cs="仿宋_GB2312"/>
          <w:bCs/>
          <w:kern w:val="0"/>
          <w:sz w:val="28"/>
          <w:szCs w:val="28"/>
          <w:lang w:val="zh-CN" w:eastAsia="zh-CN"/>
        </w:rPr>
        <w:t>任何一方或司法机关向对方的指定地址发送文件，均视为送达。一方变更联系方式，应提前5日以书面形式通知对方；否则，该联系方式仍视为有效，由未通知方承担由此而引起的相关责任。本联系方式条款为独立条款，不受合同整体或其他条款的效力影响，始终有效。</w:t>
      </w:r>
    </w:p>
    <w:p w14:paraId="492ECDDC">
      <w:pPr>
        <w:autoSpaceDE w:val="0"/>
        <w:autoSpaceDN w:val="0"/>
        <w:adjustRightInd w:val="0"/>
        <w:spacing w:line="500" w:lineRule="exact"/>
        <w:jc w:val="left"/>
        <w:rPr>
          <w:rFonts w:hint="eastAsia" w:ascii="仿宋_GB2312" w:hAnsi="仿宋_GB2312" w:eastAsia="仿宋_GB2312" w:cs="仿宋_GB2312"/>
          <w:b/>
          <w:bCs w:val="0"/>
          <w:kern w:val="0"/>
          <w:sz w:val="28"/>
          <w:szCs w:val="28"/>
          <w:lang w:val="zh-CN" w:eastAsia="zh-CN"/>
        </w:rPr>
      </w:pPr>
      <w:r>
        <w:rPr>
          <w:rFonts w:hint="eastAsia" w:ascii="仿宋_GB2312" w:hAnsi="仿宋_GB2312" w:eastAsia="仿宋_GB2312" w:cs="仿宋_GB2312"/>
          <w:b/>
          <w:bCs w:val="0"/>
          <w:kern w:val="0"/>
          <w:sz w:val="28"/>
          <w:szCs w:val="28"/>
          <w:lang w:val="en-US" w:eastAsia="zh-CN"/>
        </w:rPr>
        <w:t>九、</w:t>
      </w:r>
      <w:r>
        <w:rPr>
          <w:rFonts w:hint="eastAsia" w:ascii="仿宋_GB2312" w:hAnsi="仿宋_GB2312" w:eastAsia="仿宋_GB2312" w:cs="仿宋_GB2312"/>
          <w:b/>
          <w:bCs w:val="0"/>
          <w:kern w:val="0"/>
          <w:sz w:val="28"/>
          <w:szCs w:val="28"/>
          <w:lang w:val="zh-CN" w:eastAsia="zh-CN"/>
        </w:rPr>
        <w:t>其它事项</w:t>
      </w:r>
    </w:p>
    <w:p w14:paraId="3348DBC3">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eastAsia="zh-CN"/>
        </w:rPr>
      </w:pPr>
      <w:r>
        <w:rPr>
          <w:rFonts w:hint="eastAsia" w:ascii="仿宋_GB2312" w:hAnsi="仿宋_GB2312" w:eastAsia="仿宋_GB2312" w:cs="仿宋_GB2312"/>
          <w:bCs/>
          <w:kern w:val="0"/>
          <w:sz w:val="28"/>
          <w:szCs w:val="28"/>
          <w:lang w:val="zh-CN" w:eastAsia="zh-CN"/>
        </w:rPr>
        <w:t>1.本合同双方代表签字，加盖公章后方可生效，合同</w:t>
      </w:r>
      <w:r>
        <w:rPr>
          <w:rFonts w:hint="eastAsia" w:ascii="仿宋_GB2312" w:hAnsi="仿宋_GB2312" w:eastAsia="仿宋_GB2312" w:cs="仿宋_GB2312"/>
          <w:bCs/>
          <w:kern w:val="0"/>
          <w:sz w:val="28"/>
          <w:szCs w:val="28"/>
          <w:lang w:val="en-US" w:eastAsia="zh-CN"/>
        </w:rPr>
        <w:t>壹式肆</w:t>
      </w:r>
      <w:r>
        <w:rPr>
          <w:rFonts w:hint="eastAsia" w:ascii="仿宋_GB2312" w:hAnsi="仿宋_GB2312" w:eastAsia="仿宋_GB2312" w:cs="仿宋_GB2312"/>
          <w:bCs/>
          <w:kern w:val="0"/>
          <w:sz w:val="28"/>
          <w:szCs w:val="28"/>
          <w:lang w:val="zh-CN" w:eastAsia="zh-CN"/>
        </w:rPr>
        <w:t>份，甲、</w:t>
      </w:r>
      <w:r>
        <w:rPr>
          <w:rFonts w:hint="eastAsia" w:ascii="仿宋_GB2312" w:hAnsi="仿宋_GB2312" w:eastAsia="仿宋_GB2312" w:cs="仿宋_GB2312"/>
          <w:bCs/>
          <w:kern w:val="0"/>
          <w:sz w:val="28"/>
          <w:szCs w:val="28"/>
          <w:lang w:val="en-US" w:eastAsia="zh-CN"/>
        </w:rPr>
        <w:t>乙方各执</w:t>
      </w:r>
      <w:r>
        <w:rPr>
          <w:rFonts w:hint="eastAsia" w:ascii="仿宋_GB2312" w:hAnsi="仿宋_GB2312" w:eastAsia="仿宋_GB2312" w:cs="仿宋_GB2312"/>
          <w:bCs/>
          <w:kern w:val="0"/>
          <w:sz w:val="28"/>
          <w:szCs w:val="28"/>
          <w:lang w:val="zh-CN" w:eastAsia="zh-CN"/>
        </w:rPr>
        <w:t>贰份，</w:t>
      </w:r>
      <w:r>
        <w:rPr>
          <w:rFonts w:hint="eastAsia" w:ascii="仿宋_GB2312" w:hAnsi="仿宋_GB2312" w:eastAsia="仿宋_GB2312" w:cs="仿宋_GB2312"/>
          <w:bCs/>
          <w:kern w:val="0"/>
          <w:sz w:val="28"/>
          <w:szCs w:val="28"/>
          <w:lang w:val="en-US" w:eastAsia="zh-CN"/>
        </w:rPr>
        <w:t>具有同等法律效力</w:t>
      </w:r>
      <w:r>
        <w:rPr>
          <w:rFonts w:hint="eastAsia" w:ascii="仿宋_GB2312" w:hAnsi="仿宋_GB2312" w:eastAsia="仿宋_GB2312" w:cs="仿宋_GB2312"/>
          <w:bCs/>
          <w:kern w:val="0"/>
          <w:sz w:val="28"/>
          <w:szCs w:val="28"/>
          <w:lang w:val="zh-CN" w:eastAsia="zh-CN"/>
        </w:rPr>
        <w:t>。</w:t>
      </w:r>
    </w:p>
    <w:p w14:paraId="5D2BB687">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eastAsia="zh-CN"/>
        </w:rPr>
      </w:pPr>
      <w:r>
        <w:rPr>
          <w:rFonts w:hint="eastAsia" w:ascii="仿宋_GB2312" w:hAnsi="仿宋_GB2312" w:eastAsia="仿宋_GB2312" w:cs="仿宋_GB2312"/>
          <w:bCs/>
          <w:kern w:val="0"/>
          <w:sz w:val="28"/>
          <w:szCs w:val="28"/>
          <w:lang w:val="zh-CN" w:eastAsia="zh-CN"/>
        </w:rPr>
        <w:t>2.本合同的变更或解除，只有当双方授权代表在书面文件上签字、盖章后才有效。</w:t>
      </w:r>
    </w:p>
    <w:p w14:paraId="264786CF">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lang w:val="zh-CN" w:eastAsia="zh-CN"/>
        </w:rPr>
      </w:pPr>
      <w:r>
        <w:rPr>
          <w:rFonts w:hint="eastAsia" w:ascii="仿宋_GB2312" w:hAnsi="仿宋_GB2312" w:eastAsia="仿宋_GB2312" w:cs="仿宋_GB2312"/>
          <w:bCs/>
          <w:kern w:val="0"/>
          <w:sz w:val="28"/>
          <w:szCs w:val="28"/>
          <w:lang w:val="en-US" w:eastAsia="zh-CN"/>
        </w:rPr>
        <w:t>3</w:t>
      </w:r>
      <w:r>
        <w:rPr>
          <w:rFonts w:hint="eastAsia" w:ascii="仿宋_GB2312" w:hAnsi="仿宋_GB2312" w:eastAsia="仿宋_GB2312" w:cs="仿宋_GB2312"/>
          <w:bCs/>
          <w:kern w:val="0"/>
          <w:sz w:val="28"/>
          <w:szCs w:val="28"/>
          <w:lang w:val="zh-CN" w:eastAsia="zh-CN"/>
        </w:rPr>
        <w:t>.甲乙双方可就本项目未尽事宜经双方友好协商后签订补充协议，补充协议与本合同具有同等法律效力。</w:t>
      </w:r>
    </w:p>
    <w:p w14:paraId="5C8A109A">
      <w:pPr>
        <w:pStyle w:val="2"/>
        <w:rPr>
          <w:rFonts w:hint="eastAsia" w:ascii="仿宋_GB2312" w:hAnsi="仿宋_GB2312" w:eastAsia="仿宋_GB2312" w:cs="仿宋_GB2312"/>
          <w:bCs/>
          <w:kern w:val="0"/>
          <w:sz w:val="28"/>
          <w:szCs w:val="28"/>
          <w:lang w:val="zh-CN" w:eastAsia="zh-CN"/>
        </w:rPr>
      </w:pPr>
    </w:p>
    <w:p w14:paraId="558ACA7F">
      <w:pPr>
        <w:pStyle w:val="3"/>
        <w:rPr>
          <w:rFonts w:hint="eastAsia" w:ascii="仿宋_GB2312" w:hAnsi="仿宋_GB2312" w:eastAsia="仿宋_GB2312" w:cs="仿宋_GB2312"/>
          <w:bCs/>
          <w:kern w:val="0"/>
          <w:sz w:val="28"/>
          <w:szCs w:val="28"/>
          <w:lang w:val="zh-CN" w:eastAsia="zh-CN"/>
        </w:rPr>
      </w:pPr>
    </w:p>
    <w:p w14:paraId="6E6F4DBC">
      <w:pPr>
        <w:spacing w:line="50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（以下无正文）</w:t>
      </w:r>
    </w:p>
    <w:p w14:paraId="09F9A2DA">
      <w:pPr>
        <w:rPr>
          <w:rFonts w:hint="eastAsia"/>
          <w:lang w:val="zh-CN" w:eastAsia="zh-CN"/>
        </w:rPr>
      </w:pPr>
      <w:r>
        <w:rPr>
          <w:rFonts w:hint="eastAsia"/>
          <w:lang w:val="zh-CN" w:eastAsia="zh-CN"/>
        </w:rPr>
        <w:br w:type="page"/>
      </w:r>
    </w:p>
    <w:p w14:paraId="4AB7F9EE">
      <w:pPr>
        <w:pStyle w:val="2"/>
        <w:rPr>
          <w:rFonts w:hint="eastAsia"/>
          <w:lang w:val="zh-CN" w:eastAsia="zh-CN"/>
        </w:rPr>
      </w:pPr>
    </w:p>
    <w:p w14:paraId="4A921CE6">
      <w:pPr>
        <w:spacing w:line="360" w:lineRule="auto"/>
        <w:rPr>
          <w:rFonts w:hint="eastAsia" w:ascii="宋体" w:hAnsi="宋体"/>
          <w:b/>
          <w:sz w:val="28"/>
          <w:szCs w:val="28"/>
        </w:rPr>
      </w:pPr>
      <w:r>
        <w:rPr>
          <w:rFonts w:hint="eastAsia" w:ascii="宋体" w:hAnsi="宋体"/>
          <w:b/>
          <w:sz w:val="28"/>
          <w:szCs w:val="28"/>
        </w:rPr>
        <w:t>乙方指定收款账户如下:</w:t>
      </w:r>
    </w:p>
    <w:p w14:paraId="1746EABA">
      <w:pPr>
        <w:autoSpaceDE w:val="0"/>
        <w:autoSpaceDN w:val="0"/>
        <w:adjustRightInd w:val="0"/>
        <w:spacing w:line="500" w:lineRule="exact"/>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收款单位:</w:t>
      </w:r>
    </w:p>
    <w:p w14:paraId="5BC62EEF">
      <w:pPr>
        <w:autoSpaceDE w:val="0"/>
        <w:autoSpaceDN w:val="0"/>
        <w:adjustRightInd w:val="0"/>
        <w:spacing w:line="500" w:lineRule="exact"/>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开户行:</w:t>
      </w:r>
    </w:p>
    <w:p w14:paraId="52D115BC">
      <w:pPr>
        <w:autoSpaceDE w:val="0"/>
        <w:autoSpaceDN w:val="0"/>
        <w:adjustRightInd w:val="0"/>
        <w:spacing w:line="500" w:lineRule="exact"/>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账号:</w:t>
      </w:r>
    </w:p>
    <w:tbl>
      <w:tblPr>
        <w:tblStyle w:val="53"/>
        <w:tblW w:w="8993" w:type="dxa"/>
        <w:jc w:val="center"/>
        <w:tblLayout w:type="fixed"/>
        <w:tblCellMar>
          <w:top w:w="0" w:type="dxa"/>
          <w:left w:w="108" w:type="dxa"/>
          <w:bottom w:w="0" w:type="dxa"/>
          <w:right w:w="108" w:type="dxa"/>
        </w:tblCellMar>
      </w:tblPr>
      <w:tblGrid>
        <w:gridCol w:w="1942"/>
        <w:gridCol w:w="2622"/>
        <w:gridCol w:w="1988"/>
        <w:gridCol w:w="2441"/>
      </w:tblGrid>
      <w:tr w14:paraId="2F0F1939">
        <w:tblPrEx>
          <w:tblCellMar>
            <w:top w:w="0" w:type="dxa"/>
            <w:left w:w="108" w:type="dxa"/>
            <w:bottom w:w="0" w:type="dxa"/>
            <w:right w:w="108" w:type="dxa"/>
          </w:tblCellMar>
        </w:tblPrEx>
        <w:trPr>
          <w:trHeight w:val="359" w:hRule="atLeast"/>
          <w:jc w:val="center"/>
        </w:trPr>
        <w:tc>
          <w:tcPr>
            <w:tcW w:w="1942" w:type="dxa"/>
            <w:noWrap w:val="0"/>
            <w:vAlign w:val="center"/>
          </w:tcPr>
          <w:p w14:paraId="70872B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rPr>
              <w:t>甲</w:t>
            </w:r>
            <w:r>
              <w:rPr>
                <w:rFonts w:hint="eastAsia" w:ascii="仿宋" w:hAnsi="仿宋" w:cs="仿宋"/>
                <w:bCs/>
                <w:sz w:val="28"/>
                <w:szCs w:val="28"/>
                <w:highlight w:val="none"/>
                <w:lang w:val="en-US" w:eastAsia="zh-CN"/>
              </w:rPr>
              <w:t xml:space="preserve">   </w:t>
            </w:r>
            <w:r>
              <w:rPr>
                <w:rFonts w:hint="eastAsia" w:ascii="仿宋" w:hAnsi="仿宋" w:eastAsia="仿宋" w:cs="仿宋"/>
                <w:bCs/>
                <w:sz w:val="28"/>
                <w:szCs w:val="28"/>
                <w:highlight w:val="none"/>
              </w:rPr>
              <w:t>方</w:t>
            </w:r>
            <w:r>
              <w:rPr>
                <w:rFonts w:hint="eastAsia" w:ascii="仿宋" w:hAnsi="仿宋" w:eastAsia="仿宋" w:cs="仿宋"/>
                <w:sz w:val="28"/>
                <w:szCs w:val="28"/>
                <w:highlight w:val="none"/>
              </w:rPr>
              <w:t>:</w:t>
            </w:r>
          </w:p>
        </w:tc>
        <w:tc>
          <w:tcPr>
            <w:tcW w:w="2622" w:type="dxa"/>
            <w:tcBorders>
              <w:bottom w:val="single" w:color="auto" w:sz="4" w:space="0"/>
            </w:tcBorders>
            <w:noWrap w:val="0"/>
            <w:vAlign w:val="center"/>
          </w:tcPr>
          <w:p w14:paraId="1B61BD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仿宋" w:hAnsi="仿宋" w:eastAsia="仿宋" w:cs="仿宋"/>
                <w:b/>
                <w:kern w:val="0"/>
                <w:sz w:val="28"/>
                <w:szCs w:val="28"/>
                <w:highlight w:val="none"/>
                <w:lang w:val="en-US" w:eastAsia="zh-CN"/>
              </w:rPr>
            </w:pPr>
            <w:r>
              <w:rPr>
                <w:rFonts w:hint="eastAsia" w:ascii="仿宋" w:hAnsi="仿宋" w:eastAsia="仿宋" w:cs="仿宋"/>
                <w:sz w:val="28"/>
                <w:szCs w:val="28"/>
              </w:rPr>
              <w:t>深圳市龙岗区城投</w:t>
            </w:r>
            <w:r>
              <w:rPr>
                <w:rFonts w:hint="eastAsia" w:ascii="仿宋" w:hAnsi="仿宋" w:eastAsia="仿宋" w:cs="仿宋"/>
                <w:sz w:val="28"/>
                <w:szCs w:val="28"/>
                <w:lang w:val="en-US" w:eastAsia="zh-CN"/>
              </w:rPr>
              <w:t>新基础设施建设管理有限公司</w:t>
            </w:r>
          </w:p>
        </w:tc>
        <w:tc>
          <w:tcPr>
            <w:tcW w:w="1988" w:type="dxa"/>
            <w:noWrap w:val="0"/>
            <w:vAlign w:val="center"/>
          </w:tcPr>
          <w:p w14:paraId="4DB42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distribute"/>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rPr>
              <w:t>乙   方</w:t>
            </w:r>
            <w:r>
              <w:rPr>
                <w:rFonts w:hint="eastAsia" w:ascii="仿宋" w:hAnsi="仿宋" w:eastAsia="仿宋" w:cs="仿宋"/>
                <w:sz w:val="28"/>
                <w:szCs w:val="28"/>
                <w:highlight w:val="none"/>
              </w:rPr>
              <w:t>：</w:t>
            </w:r>
          </w:p>
        </w:tc>
        <w:tc>
          <w:tcPr>
            <w:tcW w:w="2441" w:type="dxa"/>
            <w:tcBorders>
              <w:bottom w:val="single" w:color="auto" w:sz="4" w:space="0"/>
            </w:tcBorders>
            <w:noWrap w:val="0"/>
            <w:vAlign w:val="center"/>
          </w:tcPr>
          <w:p w14:paraId="7A489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sz w:val="28"/>
                <w:szCs w:val="28"/>
                <w:highlight w:val="none"/>
                <w:lang w:val="en-US" w:eastAsia="zh-CN"/>
              </w:rPr>
            </w:pPr>
          </w:p>
        </w:tc>
      </w:tr>
      <w:tr w14:paraId="474EF849">
        <w:tblPrEx>
          <w:tblCellMar>
            <w:top w:w="0" w:type="dxa"/>
            <w:left w:w="108" w:type="dxa"/>
            <w:bottom w:w="0" w:type="dxa"/>
            <w:right w:w="108" w:type="dxa"/>
          </w:tblCellMar>
        </w:tblPrEx>
        <w:trPr>
          <w:jc w:val="center"/>
        </w:trPr>
        <w:tc>
          <w:tcPr>
            <w:tcW w:w="1942" w:type="dxa"/>
            <w:noWrap w:val="0"/>
            <w:vAlign w:val="center"/>
          </w:tcPr>
          <w:p w14:paraId="26070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sz w:val="28"/>
                <w:szCs w:val="28"/>
                <w:highlight w:val="none"/>
              </w:rPr>
            </w:pPr>
          </w:p>
        </w:tc>
        <w:tc>
          <w:tcPr>
            <w:tcW w:w="2622" w:type="dxa"/>
            <w:noWrap w:val="0"/>
            <w:vAlign w:val="top"/>
          </w:tcPr>
          <w:p w14:paraId="5D04C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(盖章)</w:t>
            </w:r>
          </w:p>
        </w:tc>
        <w:tc>
          <w:tcPr>
            <w:tcW w:w="1988" w:type="dxa"/>
            <w:noWrap w:val="0"/>
            <w:vAlign w:val="center"/>
          </w:tcPr>
          <w:p w14:paraId="1A8C8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distribute"/>
              <w:textAlignment w:val="auto"/>
              <w:rPr>
                <w:rFonts w:hint="eastAsia" w:ascii="仿宋" w:hAnsi="仿宋" w:eastAsia="仿宋" w:cs="仿宋"/>
                <w:sz w:val="28"/>
                <w:szCs w:val="28"/>
                <w:highlight w:val="none"/>
              </w:rPr>
            </w:pPr>
          </w:p>
        </w:tc>
        <w:tc>
          <w:tcPr>
            <w:tcW w:w="2441" w:type="dxa"/>
            <w:noWrap w:val="0"/>
            <w:vAlign w:val="top"/>
          </w:tcPr>
          <w:p w14:paraId="5C6887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(盖章)</w:t>
            </w:r>
          </w:p>
        </w:tc>
      </w:tr>
      <w:tr w14:paraId="748120EA">
        <w:tblPrEx>
          <w:tblCellMar>
            <w:top w:w="0" w:type="dxa"/>
            <w:left w:w="108" w:type="dxa"/>
            <w:bottom w:w="0" w:type="dxa"/>
            <w:right w:w="108" w:type="dxa"/>
          </w:tblCellMar>
        </w:tblPrEx>
        <w:trPr>
          <w:jc w:val="center"/>
        </w:trPr>
        <w:tc>
          <w:tcPr>
            <w:tcW w:w="1942" w:type="dxa"/>
            <w:noWrap w:val="0"/>
            <w:vAlign w:val="center"/>
          </w:tcPr>
          <w:p w14:paraId="153E78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法定代表人或其授权的代理人：</w:t>
            </w:r>
          </w:p>
        </w:tc>
        <w:tc>
          <w:tcPr>
            <w:tcW w:w="2622" w:type="dxa"/>
            <w:tcBorders>
              <w:bottom w:val="single" w:color="auto" w:sz="4" w:space="0"/>
            </w:tcBorders>
            <w:noWrap w:val="0"/>
            <w:vAlign w:val="center"/>
          </w:tcPr>
          <w:p w14:paraId="4C6B2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p>
        </w:tc>
        <w:tc>
          <w:tcPr>
            <w:tcW w:w="1988" w:type="dxa"/>
            <w:noWrap w:val="0"/>
            <w:vAlign w:val="center"/>
          </w:tcPr>
          <w:p w14:paraId="7CBB7A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法定代表人或其授权的代理人：</w:t>
            </w:r>
          </w:p>
        </w:tc>
        <w:tc>
          <w:tcPr>
            <w:tcW w:w="2441" w:type="dxa"/>
            <w:tcBorders>
              <w:bottom w:val="single" w:color="auto" w:sz="4" w:space="0"/>
            </w:tcBorders>
            <w:noWrap w:val="0"/>
            <w:vAlign w:val="center"/>
          </w:tcPr>
          <w:p w14:paraId="31AC3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p>
        </w:tc>
      </w:tr>
      <w:tr w14:paraId="0863004E">
        <w:tblPrEx>
          <w:tblCellMar>
            <w:top w:w="0" w:type="dxa"/>
            <w:left w:w="108" w:type="dxa"/>
            <w:bottom w:w="0" w:type="dxa"/>
            <w:right w:w="108" w:type="dxa"/>
          </w:tblCellMar>
        </w:tblPrEx>
        <w:trPr>
          <w:jc w:val="center"/>
        </w:trPr>
        <w:tc>
          <w:tcPr>
            <w:tcW w:w="1942" w:type="dxa"/>
            <w:noWrap w:val="0"/>
            <w:vAlign w:val="center"/>
          </w:tcPr>
          <w:p w14:paraId="22538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28"/>
                <w:szCs w:val="28"/>
                <w:highlight w:val="none"/>
              </w:rPr>
            </w:pPr>
          </w:p>
        </w:tc>
        <w:tc>
          <w:tcPr>
            <w:tcW w:w="2622" w:type="dxa"/>
            <w:noWrap w:val="0"/>
            <w:vAlign w:val="top"/>
          </w:tcPr>
          <w:p w14:paraId="0807D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(签字)</w:t>
            </w:r>
          </w:p>
        </w:tc>
        <w:tc>
          <w:tcPr>
            <w:tcW w:w="1988" w:type="dxa"/>
            <w:noWrap w:val="0"/>
            <w:vAlign w:val="center"/>
          </w:tcPr>
          <w:p w14:paraId="4738F4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distribute"/>
              <w:textAlignment w:val="auto"/>
              <w:rPr>
                <w:rFonts w:hint="eastAsia" w:ascii="仿宋" w:hAnsi="仿宋" w:eastAsia="仿宋" w:cs="仿宋"/>
                <w:sz w:val="28"/>
                <w:szCs w:val="28"/>
                <w:highlight w:val="none"/>
              </w:rPr>
            </w:pPr>
          </w:p>
        </w:tc>
        <w:tc>
          <w:tcPr>
            <w:tcW w:w="2441" w:type="dxa"/>
            <w:noWrap w:val="0"/>
            <w:vAlign w:val="top"/>
          </w:tcPr>
          <w:p w14:paraId="458915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(签字)</w:t>
            </w:r>
          </w:p>
        </w:tc>
      </w:tr>
      <w:tr w14:paraId="135BA18B">
        <w:tblPrEx>
          <w:tblCellMar>
            <w:top w:w="0" w:type="dxa"/>
            <w:left w:w="108" w:type="dxa"/>
            <w:bottom w:w="0" w:type="dxa"/>
            <w:right w:w="108" w:type="dxa"/>
          </w:tblCellMar>
        </w:tblPrEx>
        <w:trPr>
          <w:jc w:val="center"/>
        </w:trPr>
        <w:tc>
          <w:tcPr>
            <w:tcW w:w="1942" w:type="dxa"/>
            <w:noWrap w:val="0"/>
            <w:vAlign w:val="center"/>
          </w:tcPr>
          <w:p w14:paraId="3CD178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签约日期：</w:t>
            </w:r>
          </w:p>
        </w:tc>
        <w:tc>
          <w:tcPr>
            <w:tcW w:w="2622" w:type="dxa"/>
            <w:noWrap w:val="0"/>
            <w:vAlign w:val="top"/>
          </w:tcPr>
          <w:p w14:paraId="74E40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p>
        </w:tc>
        <w:tc>
          <w:tcPr>
            <w:tcW w:w="1988" w:type="dxa"/>
            <w:noWrap w:val="0"/>
            <w:vAlign w:val="center"/>
          </w:tcPr>
          <w:p w14:paraId="530A39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签约日期：</w:t>
            </w:r>
          </w:p>
        </w:tc>
        <w:tc>
          <w:tcPr>
            <w:tcW w:w="2441" w:type="dxa"/>
            <w:noWrap w:val="0"/>
            <w:vAlign w:val="top"/>
          </w:tcPr>
          <w:p w14:paraId="5160D7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28"/>
                <w:szCs w:val="28"/>
                <w:highlight w:val="none"/>
              </w:rPr>
            </w:pPr>
          </w:p>
        </w:tc>
      </w:tr>
    </w:tbl>
    <w:p w14:paraId="04494DDD">
      <w:pPr>
        <w:rPr>
          <w:rFonts w:hint="eastAsia"/>
          <w:highlight w:val="none"/>
        </w:rPr>
      </w:pPr>
      <w:r>
        <w:rPr>
          <w:rFonts w:hint="eastAsia"/>
          <w:highlight w:val="none"/>
        </w:rPr>
        <w:br w:type="page"/>
      </w:r>
    </w:p>
    <w:bookmarkEnd w:id="15"/>
    <w:bookmarkEnd w:id="16"/>
    <w:bookmarkEnd w:id="17"/>
    <w:p w14:paraId="27AD7C80">
      <w:pPr>
        <w:spacing w:line="360" w:lineRule="auto"/>
        <w:jc w:val="center"/>
        <w:outlineLvl w:val="2"/>
        <w:rPr>
          <w:rFonts w:hint="eastAsia" w:ascii="宋体" w:hAnsi="宋体" w:eastAsia="宋体"/>
          <w:b/>
          <w:snapToGrid w:val="0"/>
          <w:kern w:val="0"/>
          <w:sz w:val="32"/>
          <w:szCs w:val="32"/>
          <w:highlight w:val="none"/>
          <w:lang w:val="en-US" w:eastAsia="zh-CN"/>
        </w:rPr>
      </w:pPr>
      <w:bookmarkStart w:id="18" w:name="_Toc509669699"/>
      <w:r>
        <w:rPr>
          <w:rFonts w:hint="eastAsia" w:ascii="宋体" w:hAnsi="宋体" w:eastAsia="宋体"/>
          <w:b/>
          <w:snapToGrid w:val="0"/>
          <w:kern w:val="0"/>
          <w:sz w:val="32"/>
          <w:szCs w:val="32"/>
          <w:highlight w:val="none"/>
          <w:lang w:val="en-US" w:eastAsia="zh-CN"/>
        </w:rPr>
        <w:t>第四章  投标文件格式</w:t>
      </w:r>
      <w:bookmarkEnd w:id="18"/>
    </w:p>
    <w:p w14:paraId="6E5389CE">
      <w:pPr>
        <w:rPr>
          <w:highlight w:val="none"/>
        </w:rPr>
      </w:pPr>
    </w:p>
    <w:p w14:paraId="088ABBA7">
      <w:pPr>
        <w:pStyle w:val="2"/>
        <w:ind w:firstLine="840"/>
        <w:rPr>
          <w:highlight w:val="none"/>
        </w:rPr>
      </w:pPr>
    </w:p>
    <w:p w14:paraId="73E6D4CC">
      <w:pPr>
        <w:spacing w:before="156" w:beforeLines="50" w:after="312" w:afterLines="100" w:line="360" w:lineRule="auto"/>
        <w:jc w:val="center"/>
        <w:rPr>
          <w:rFonts w:hint="eastAsia" w:ascii="宋体" w:hAnsi="宋体"/>
          <w:b/>
          <w:sz w:val="44"/>
          <w:szCs w:val="44"/>
          <w:highlight w:val="none"/>
          <w:lang w:eastAsia="zh-CN"/>
        </w:rPr>
      </w:pPr>
    </w:p>
    <w:p w14:paraId="1C9AFFEA">
      <w:pPr>
        <w:spacing w:before="156" w:beforeLines="50" w:after="312" w:afterLines="100" w:line="360" w:lineRule="auto"/>
        <w:jc w:val="center"/>
        <w:rPr>
          <w:rFonts w:hint="eastAsia" w:ascii="宋体" w:hAnsi="宋体"/>
          <w:b/>
          <w:sz w:val="44"/>
          <w:szCs w:val="44"/>
          <w:highlight w:val="none"/>
          <w:lang w:eastAsia="zh-CN"/>
        </w:rPr>
      </w:pPr>
    </w:p>
    <w:p w14:paraId="67A6D5CC">
      <w:pPr>
        <w:spacing w:before="156" w:beforeLines="50" w:after="312" w:afterLines="100" w:line="360" w:lineRule="auto"/>
        <w:jc w:val="center"/>
        <w:rPr>
          <w:rFonts w:ascii="宋体" w:hAnsi="宋体"/>
          <w:b/>
          <w:sz w:val="44"/>
          <w:szCs w:val="44"/>
          <w:highlight w:val="none"/>
        </w:rPr>
      </w:pPr>
      <w:r>
        <w:rPr>
          <w:rFonts w:hint="eastAsia" w:ascii="宋体" w:hAnsi="宋体"/>
          <w:b/>
          <w:sz w:val="44"/>
          <w:szCs w:val="44"/>
          <w:highlight w:val="none"/>
          <w:lang w:eastAsia="zh-CN"/>
        </w:rPr>
        <w:t>龙岗区公共住房全屋智能系统改造项目网络安全等级保护第三方测评服务</w:t>
      </w:r>
      <w:r>
        <w:rPr>
          <w:rFonts w:hint="eastAsia" w:ascii="宋体" w:hAnsi="宋体"/>
          <w:b/>
          <w:sz w:val="44"/>
          <w:szCs w:val="44"/>
          <w:highlight w:val="none"/>
        </w:rPr>
        <w:t>投标文件</w:t>
      </w:r>
    </w:p>
    <w:p w14:paraId="3CE38937">
      <w:pPr>
        <w:spacing w:line="360" w:lineRule="auto"/>
        <w:jc w:val="center"/>
        <w:rPr>
          <w:rFonts w:ascii="宋体" w:hAnsi="宋体"/>
          <w:b/>
          <w:sz w:val="52"/>
          <w:szCs w:val="52"/>
          <w:highlight w:val="none"/>
        </w:rPr>
      </w:pPr>
    </w:p>
    <w:p w14:paraId="65448021">
      <w:pPr>
        <w:spacing w:line="360" w:lineRule="auto"/>
        <w:rPr>
          <w:rFonts w:ascii="宋体" w:hAnsi="宋体"/>
          <w:b/>
          <w:sz w:val="32"/>
          <w:szCs w:val="32"/>
          <w:highlight w:val="none"/>
        </w:rPr>
      </w:pPr>
    </w:p>
    <w:p w14:paraId="4E345F3A">
      <w:pPr>
        <w:spacing w:line="360" w:lineRule="auto"/>
        <w:rPr>
          <w:rFonts w:ascii="宋体" w:hAnsi="宋体"/>
          <w:b/>
          <w:sz w:val="32"/>
          <w:szCs w:val="32"/>
          <w:highlight w:val="none"/>
        </w:rPr>
      </w:pPr>
    </w:p>
    <w:p w14:paraId="162C2FCF">
      <w:pPr>
        <w:spacing w:line="360" w:lineRule="auto"/>
        <w:ind w:firstLine="840" w:firstLineChars="300"/>
        <w:rPr>
          <w:rFonts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w:t>
      </w:r>
      <w:r>
        <w:rPr>
          <w:rFonts w:hint="eastAsia" w:ascii="宋体" w:hAnsi="宋体"/>
          <w:sz w:val="28"/>
          <w:szCs w:val="28"/>
          <w:highlight w:val="none"/>
        </w:rPr>
        <w:t>（全称）（盖章）</w:t>
      </w:r>
    </w:p>
    <w:p w14:paraId="640A50A1">
      <w:pPr>
        <w:spacing w:line="360" w:lineRule="auto"/>
        <w:ind w:firstLine="840" w:firstLineChars="300"/>
        <w:rPr>
          <w:rFonts w:ascii="宋体" w:hAnsi="宋体"/>
          <w:sz w:val="28"/>
          <w:szCs w:val="28"/>
          <w:highlight w:val="none"/>
        </w:rPr>
      </w:pPr>
    </w:p>
    <w:p w14:paraId="5767C918">
      <w:pPr>
        <w:spacing w:line="360" w:lineRule="auto"/>
        <w:ind w:firstLine="840" w:firstLineChars="300"/>
        <w:rPr>
          <w:rFonts w:ascii="宋体" w:hAnsi="宋体"/>
          <w:sz w:val="28"/>
          <w:szCs w:val="28"/>
          <w:highlight w:val="none"/>
        </w:rPr>
      </w:pPr>
      <w:r>
        <w:rPr>
          <w:rFonts w:hint="eastAsia" w:ascii="宋体" w:hAnsi="宋体"/>
          <w:sz w:val="28"/>
          <w:szCs w:val="28"/>
          <w:highlight w:val="none"/>
        </w:rPr>
        <w:t>法定代表人或授权代理人：</w:t>
      </w:r>
      <w:r>
        <w:rPr>
          <w:rFonts w:hint="eastAsia" w:ascii="宋体" w:hAnsi="宋体"/>
          <w:sz w:val="28"/>
          <w:szCs w:val="28"/>
          <w:highlight w:val="none"/>
          <w:u w:val="single"/>
        </w:rPr>
        <w:t xml:space="preserve">                       </w:t>
      </w:r>
      <w:r>
        <w:rPr>
          <w:rFonts w:hint="eastAsia" w:ascii="宋体" w:hAnsi="宋体"/>
          <w:sz w:val="28"/>
          <w:szCs w:val="28"/>
          <w:highlight w:val="none"/>
        </w:rPr>
        <w:t>（签字）</w:t>
      </w:r>
    </w:p>
    <w:p w14:paraId="65D54359">
      <w:pPr>
        <w:spacing w:line="360" w:lineRule="auto"/>
        <w:ind w:firstLine="840" w:firstLineChars="300"/>
        <w:rPr>
          <w:rFonts w:ascii="宋体" w:hAnsi="宋体"/>
          <w:sz w:val="28"/>
          <w:szCs w:val="28"/>
          <w:highlight w:val="none"/>
        </w:rPr>
      </w:pPr>
    </w:p>
    <w:p w14:paraId="237C5CC4">
      <w:pPr>
        <w:spacing w:line="360" w:lineRule="auto"/>
        <w:ind w:firstLine="840" w:firstLineChars="300"/>
        <w:rPr>
          <w:rFonts w:ascii="宋体" w:hAnsi="宋体"/>
          <w:sz w:val="28"/>
          <w:szCs w:val="28"/>
          <w:highlight w:val="none"/>
        </w:rPr>
      </w:pPr>
      <w:r>
        <w:rPr>
          <w:rFonts w:hint="eastAsia" w:ascii="宋体" w:hAnsi="宋体"/>
          <w:sz w:val="28"/>
          <w:szCs w:val="28"/>
          <w:highlight w:val="none"/>
        </w:rPr>
        <w:t>日        期：</w:t>
      </w:r>
      <w:r>
        <w:rPr>
          <w:rFonts w:hint="eastAsia" w:ascii="宋体" w:hAnsi="宋体"/>
          <w:sz w:val="28"/>
          <w:szCs w:val="28"/>
          <w:highlight w:val="none"/>
          <w:u w:val="single"/>
        </w:rPr>
        <w:t>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14:paraId="2B9E772A">
      <w:pPr>
        <w:rPr>
          <w:rFonts w:ascii="宋体" w:hAnsi="宋体"/>
          <w:sz w:val="28"/>
          <w:szCs w:val="28"/>
          <w:highlight w:val="none"/>
        </w:rPr>
      </w:pPr>
      <w:r>
        <w:rPr>
          <w:rFonts w:hint="eastAsia" w:ascii="宋体" w:hAnsi="宋体"/>
          <w:sz w:val="28"/>
          <w:szCs w:val="28"/>
          <w:highlight w:val="none"/>
        </w:rPr>
        <w:br w:type="page"/>
      </w:r>
    </w:p>
    <w:p w14:paraId="30389F06">
      <w:pPr>
        <w:pStyle w:val="2"/>
        <w:spacing w:line="520" w:lineRule="exact"/>
        <w:ind w:firstLine="0" w:firstLineChars="0"/>
        <w:jc w:val="center"/>
        <w:rPr>
          <w:sz w:val="36"/>
          <w:szCs w:val="36"/>
          <w:highlight w:val="none"/>
        </w:rPr>
      </w:pPr>
      <w:bookmarkStart w:id="19" w:name="_Toc306716065"/>
      <w:bookmarkStart w:id="20" w:name="_Toc509669700"/>
      <w:bookmarkStart w:id="21" w:name="_Toc306716063"/>
      <w:r>
        <w:rPr>
          <w:rFonts w:hint="eastAsia"/>
          <w:sz w:val="36"/>
          <w:szCs w:val="36"/>
          <w:highlight w:val="none"/>
        </w:rPr>
        <w:t>投标承诺函</w:t>
      </w:r>
    </w:p>
    <w:p w14:paraId="5066908B">
      <w:pPr>
        <w:spacing w:line="540" w:lineRule="exact"/>
        <w:ind w:right="960"/>
        <w:rPr>
          <w:rFonts w:hint="eastAsia" w:hAnsi="宋体" w:eastAsia="宋体"/>
          <w:bCs/>
          <w:sz w:val="24"/>
          <w:szCs w:val="24"/>
          <w:highlight w:val="none"/>
          <w:u w:val="single"/>
          <w:lang w:eastAsia="zh-CN"/>
        </w:rPr>
      </w:pPr>
      <w:r>
        <w:rPr>
          <w:rFonts w:hint="eastAsia" w:hAnsi="宋体"/>
          <w:bCs/>
          <w:sz w:val="24"/>
          <w:szCs w:val="24"/>
          <w:highlight w:val="none"/>
        </w:rPr>
        <w:t>致招标人:</w:t>
      </w:r>
      <w:r>
        <w:rPr>
          <w:rFonts w:hint="eastAsia" w:hAnsi="宋体"/>
          <w:sz w:val="24"/>
          <w:szCs w:val="24"/>
          <w:highlight w:val="none"/>
          <w:u w:val="single"/>
        </w:rPr>
        <w:t xml:space="preserve"> </w:t>
      </w:r>
      <w:r>
        <w:rPr>
          <w:rFonts w:hint="eastAsia" w:hAnsi="宋体"/>
          <w:sz w:val="24"/>
          <w:szCs w:val="24"/>
          <w:highlight w:val="none"/>
          <w:u w:val="single"/>
          <w:lang w:eastAsia="zh-CN"/>
        </w:rPr>
        <w:t>深圳市龙岗区城投新基础设施建设管理有限公司</w:t>
      </w:r>
    </w:p>
    <w:p w14:paraId="1A8FE5FB">
      <w:pPr>
        <w:pStyle w:val="2"/>
        <w:spacing w:line="520" w:lineRule="exact"/>
        <w:ind w:left="0" w:leftChars="0" w:firstLine="480" w:firstLineChars="200"/>
        <w:rPr>
          <w:highlight w:val="none"/>
        </w:rPr>
      </w:pPr>
      <w:r>
        <w:rPr>
          <w:rFonts w:hint="eastAsia"/>
          <w:sz w:val="24"/>
          <w:szCs w:val="24"/>
          <w:highlight w:val="none"/>
        </w:rPr>
        <w:t>为了确保本工程相关工作顺利进行，我方将严格执行建设工程招标投标管理的法律法规，并完全接受</w:t>
      </w:r>
      <w:r>
        <w:rPr>
          <w:rFonts w:hint="eastAsia"/>
          <w:sz w:val="24"/>
          <w:szCs w:val="24"/>
          <w:highlight w:val="none"/>
          <w:u w:val="single"/>
        </w:rPr>
        <w:t xml:space="preserve"> </w:t>
      </w:r>
      <w:r>
        <w:rPr>
          <w:rFonts w:hint="eastAsia"/>
          <w:sz w:val="24"/>
          <w:szCs w:val="24"/>
          <w:highlight w:val="none"/>
          <w:u w:val="single"/>
          <w:lang w:eastAsia="zh-CN"/>
        </w:rPr>
        <w:t>龙岗区公共住房全屋智能系统改造项目网络安全等级保护第三方测评服务</w:t>
      </w:r>
      <w:r>
        <w:rPr>
          <w:rFonts w:hint="eastAsia"/>
          <w:sz w:val="24"/>
          <w:szCs w:val="24"/>
          <w:highlight w:val="none"/>
          <w:u w:val="single"/>
          <w:lang w:val="en-US" w:eastAsia="zh-CN"/>
        </w:rPr>
        <w:t xml:space="preserve"> </w:t>
      </w:r>
      <w:r>
        <w:rPr>
          <w:rFonts w:hint="eastAsia" w:ascii="Calibri"/>
          <w:sz w:val="24"/>
          <w:szCs w:val="24"/>
          <w:highlight w:val="none"/>
        </w:rPr>
        <w:t>的</w:t>
      </w:r>
      <w:r>
        <w:rPr>
          <w:rFonts w:hint="eastAsia"/>
          <w:sz w:val="24"/>
          <w:szCs w:val="24"/>
          <w:highlight w:val="none"/>
        </w:rPr>
        <w:t>招标文件所有内容，为此作出如下承诺</w:t>
      </w:r>
      <w:r>
        <w:rPr>
          <w:rFonts w:hint="eastAsia"/>
          <w:highlight w:val="none"/>
        </w:rPr>
        <w:t>：</w:t>
      </w:r>
    </w:p>
    <w:p w14:paraId="357FAEE8">
      <w:pPr>
        <w:pStyle w:val="2"/>
        <w:spacing w:line="520" w:lineRule="exact"/>
        <w:ind w:firstLine="480" w:firstLineChars="200"/>
        <w:rPr>
          <w:sz w:val="24"/>
          <w:szCs w:val="24"/>
          <w:highlight w:val="none"/>
          <w:u w:val="single"/>
        </w:rPr>
      </w:pPr>
      <w:r>
        <w:rPr>
          <w:rFonts w:hint="eastAsia"/>
          <w:bCs/>
          <w:sz w:val="24"/>
          <w:szCs w:val="24"/>
          <w:highlight w:val="none"/>
          <w:u w:val="single"/>
        </w:rPr>
        <w:t>1、根</w:t>
      </w:r>
      <w:r>
        <w:rPr>
          <w:rFonts w:hint="eastAsia"/>
          <w:sz w:val="24"/>
          <w:szCs w:val="24"/>
          <w:highlight w:val="none"/>
          <w:u w:val="single"/>
        </w:rPr>
        <w:t xml:space="preserve">据企业自身情况，理性报价，不会以低于成本的报价竞标，报价金额      元。按招标文件要求承包本项目 </w:t>
      </w:r>
      <w:r>
        <w:rPr>
          <w:rFonts w:hint="eastAsia"/>
          <w:b w:val="0"/>
          <w:kern w:val="2"/>
          <w:sz w:val="24"/>
          <w:szCs w:val="24"/>
          <w:u w:val="single"/>
          <w:lang w:val="en-US" w:eastAsia="zh-CN" w:bidi="ar-SA"/>
        </w:rPr>
        <w:t xml:space="preserve">网络安全等级保护第三方测评服务 </w:t>
      </w:r>
      <w:r>
        <w:rPr>
          <w:rFonts w:hint="eastAsia"/>
          <w:sz w:val="24"/>
          <w:szCs w:val="24"/>
          <w:highlight w:val="none"/>
          <w:u w:val="single"/>
          <w:lang w:val="en-US" w:eastAsia="zh-CN"/>
        </w:rPr>
        <w:t>工作</w:t>
      </w:r>
      <w:r>
        <w:rPr>
          <w:rFonts w:hint="eastAsia" w:ascii="Calibri"/>
          <w:b/>
          <w:bCs/>
          <w:sz w:val="24"/>
          <w:szCs w:val="24"/>
          <w:highlight w:val="none"/>
          <w:u w:val="single"/>
        </w:rPr>
        <w:t xml:space="preserve"> </w:t>
      </w:r>
      <w:r>
        <w:rPr>
          <w:rFonts w:hint="eastAsia"/>
          <w:sz w:val="24"/>
          <w:szCs w:val="24"/>
          <w:highlight w:val="none"/>
          <w:u w:val="single"/>
        </w:rPr>
        <w:t>。否则，我方愿意承担任何风险。（投标人填写）</w:t>
      </w:r>
    </w:p>
    <w:p w14:paraId="6FF538F6">
      <w:pPr>
        <w:spacing w:line="360" w:lineRule="auto"/>
        <w:ind w:firstLine="480" w:firstLineChars="200"/>
        <w:rPr>
          <w:rFonts w:ascii="宋体" w:hAnsi="宋体"/>
          <w:sz w:val="24"/>
          <w:szCs w:val="24"/>
          <w:highlight w:val="none"/>
        </w:rPr>
      </w:pPr>
      <w:r>
        <w:rPr>
          <w:rFonts w:hint="eastAsia" w:ascii="宋体" w:hAnsi="宋体"/>
          <w:bCs/>
          <w:sz w:val="24"/>
          <w:szCs w:val="24"/>
          <w:highlight w:val="none"/>
        </w:rPr>
        <w:t>2、</w:t>
      </w:r>
      <w:r>
        <w:rPr>
          <w:rFonts w:hint="eastAsia" w:ascii="宋体" w:hAnsi="宋体"/>
          <w:sz w:val="24"/>
          <w:szCs w:val="24"/>
          <w:highlight w:val="none"/>
        </w:rPr>
        <w:t>我方同意所递交的投标文件在投标须知规定的投标有效期内有效，在此期间内我方的投标有可能中标，我方将受此约束。如果在投标有效期内撤回投标或放弃中标资格，给贵方造成的损失，贵方有权要求我方进行赔偿。</w:t>
      </w:r>
    </w:p>
    <w:p w14:paraId="6DF8362D">
      <w:pPr>
        <w:pStyle w:val="2"/>
        <w:spacing w:line="520" w:lineRule="exact"/>
        <w:ind w:firstLine="480" w:firstLineChars="200"/>
        <w:rPr>
          <w:bCs/>
          <w:sz w:val="24"/>
          <w:szCs w:val="24"/>
          <w:highlight w:val="none"/>
        </w:rPr>
      </w:pPr>
      <w:r>
        <w:rPr>
          <w:rFonts w:hint="eastAsia"/>
          <w:sz w:val="24"/>
          <w:szCs w:val="24"/>
          <w:highlight w:val="none"/>
        </w:rPr>
        <w:t>3、我方完全理解和接受招标文件的规定，并承诺一旦我方的投标出现该条列举的严重违规或涉嫌串通投标的情形而被评标委员会废标的，将自觉接受贵方暂停或者取消今后我方参加贵方其他任何项目投标资格的处理。</w:t>
      </w:r>
    </w:p>
    <w:p w14:paraId="434E522A">
      <w:pPr>
        <w:spacing w:line="360" w:lineRule="auto"/>
        <w:ind w:firstLine="480" w:firstLineChars="200"/>
        <w:rPr>
          <w:rFonts w:ascii="宋体" w:hAnsi="宋体" w:cs="Courier New"/>
          <w:bCs/>
          <w:sz w:val="24"/>
          <w:szCs w:val="24"/>
          <w:highlight w:val="none"/>
        </w:rPr>
      </w:pPr>
      <w:r>
        <w:rPr>
          <w:rFonts w:hint="eastAsia" w:ascii="宋体" w:hAnsi="宋体" w:cs="Courier New"/>
          <w:bCs/>
          <w:sz w:val="24"/>
          <w:szCs w:val="24"/>
          <w:highlight w:val="none"/>
        </w:rPr>
        <w:t>4、一旦我方中标，将保证在收到委托函后</w:t>
      </w:r>
      <w:r>
        <w:rPr>
          <w:rFonts w:hint="eastAsia" w:ascii="宋体" w:hAnsi="宋体"/>
          <w:bCs/>
          <w:sz w:val="24"/>
          <w:szCs w:val="24"/>
          <w:highlight w:val="none"/>
          <w:u w:val="single"/>
        </w:rPr>
        <w:t xml:space="preserve"> 30 </w:t>
      </w:r>
      <w:r>
        <w:rPr>
          <w:rFonts w:hint="eastAsia" w:ascii="宋体" w:hAnsi="宋体" w:cs="Courier New"/>
          <w:bCs/>
          <w:sz w:val="24"/>
          <w:szCs w:val="24"/>
          <w:highlight w:val="none"/>
        </w:rPr>
        <w:t>日内，与贵方按招标文件、委托函中的内容签订合同文件，否则，视为我方自愿放弃中标资格。</w:t>
      </w:r>
    </w:p>
    <w:p w14:paraId="79925902">
      <w:pPr>
        <w:spacing w:line="360" w:lineRule="auto"/>
        <w:ind w:firstLine="480" w:firstLineChars="200"/>
        <w:rPr>
          <w:rFonts w:ascii="宋体" w:hAnsi="宋体" w:cs="Courier New"/>
          <w:bCs/>
          <w:sz w:val="24"/>
          <w:szCs w:val="24"/>
          <w:highlight w:val="none"/>
        </w:rPr>
      </w:pPr>
      <w:r>
        <w:rPr>
          <w:rFonts w:hint="eastAsia" w:ascii="宋体" w:hAnsi="宋体"/>
          <w:sz w:val="24"/>
          <w:szCs w:val="24"/>
          <w:highlight w:val="none"/>
        </w:rPr>
        <w:t>5、除非另外达成协议并生效，贵方的委托函和本投标文件将成为约束双方的合同文件的组成部分。</w:t>
      </w:r>
    </w:p>
    <w:p w14:paraId="064EA2E0">
      <w:pPr>
        <w:adjustRightInd w:val="0"/>
        <w:snapToGrid w:val="0"/>
        <w:spacing w:line="560" w:lineRule="exact"/>
        <w:ind w:firstLine="480" w:firstLineChars="200"/>
        <w:rPr>
          <w:rFonts w:ascii="宋体" w:hAnsi="宋体"/>
          <w:bCs/>
          <w:sz w:val="24"/>
          <w:szCs w:val="24"/>
          <w:highlight w:val="none"/>
        </w:rPr>
      </w:pPr>
      <w:r>
        <w:rPr>
          <w:rFonts w:hint="eastAsia" w:ascii="宋体" w:hAnsi="宋体"/>
          <w:bCs/>
          <w:sz w:val="24"/>
          <w:szCs w:val="24"/>
          <w:highlight w:val="none"/>
        </w:rPr>
        <w:t>6、按规定完成本项目工作，质量达到合格标准的要求，质量目标为合格。</w:t>
      </w:r>
    </w:p>
    <w:p w14:paraId="6C17EDC8">
      <w:pPr>
        <w:pStyle w:val="2"/>
        <w:spacing w:line="520" w:lineRule="exact"/>
        <w:ind w:firstLine="480" w:firstLineChars="200"/>
        <w:rPr>
          <w:sz w:val="24"/>
          <w:szCs w:val="24"/>
          <w:highlight w:val="none"/>
        </w:rPr>
      </w:pPr>
      <w:r>
        <w:rPr>
          <w:rFonts w:hint="eastAsia"/>
          <w:sz w:val="24"/>
          <w:szCs w:val="24"/>
          <w:highlight w:val="none"/>
        </w:rPr>
        <w:t>7、如果违反本承诺书中任何条款，我方愿意接受：</w:t>
      </w:r>
    </w:p>
    <w:p w14:paraId="3416BD98">
      <w:pPr>
        <w:pStyle w:val="2"/>
        <w:spacing w:line="520" w:lineRule="exact"/>
        <w:ind w:firstLine="480" w:firstLineChars="200"/>
        <w:rPr>
          <w:sz w:val="24"/>
          <w:szCs w:val="24"/>
          <w:highlight w:val="none"/>
        </w:rPr>
      </w:pPr>
      <w:r>
        <w:rPr>
          <w:rFonts w:hint="eastAsia"/>
          <w:sz w:val="24"/>
          <w:szCs w:val="24"/>
          <w:highlight w:val="none"/>
        </w:rPr>
        <w:t>（1）视作我方单方面违约，并按照合同规定向贵方支付违约金或解除合同；</w:t>
      </w:r>
    </w:p>
    <w:p w14:paraId="6314FA8B">
      <w:pPr>
        <w:pStyle w:val="2"/>
        <w:spacing w:line="520" w:lineRule="exact"/>
        <w:ind w:firstLine="480" w:firstLineChars="200"/>
        <w:rPr>
          <w:sz w:val="24"/>
          <w:szCs w:val="24"/>
          <w:highlight w:val="none"/>
        </w:rPr>
      </w:pPr>
      <w:r>
        <w:rPr>
          <w:rFonts w:hint="eastAsia"/>
          <w:sz w:val="24"/>
          <w:szCs w:val="24"/>
          <w:highlight w:val="none"/>
        </w:rPr>
        <w:t>（2）履约评价评定为合格及以下；</w:t>
      </w:r>
    </w:p>
    <w:p w14:paraId="0FADE46A">
      <w:pPr>
        <w:pStyle w:val="2"/>
        <w:spacing w:line="520" w:lineRule="exact"/>
        <w:ind w:firstLine="480" w:firstLineChars="200"/>
        <w:rPr>
          <w:sz w:val="24"/>
          <w:szCs w:val="24"/>
          <w:highlight w:val="none"/>
        </w:rPr>
      </w:pPr>
      <w:r>
        <w:rPr>
          <w:rFonts w:hint="eastAsia"/>
          <w:sz w:val="24"/>
          <w:szCs w:val="24"/>
          <w:highlight w:val="none"/>
        </w:rPr>
        <w:t>（3）招标人今后可拒绝我方参与投标；</w:t>
      </w:r>
    </w:p>
    <w:p w14:paraId="0A59896F">
      <w:pPr>
        <w:pStyle w:val="2"/>
        <w:spacing w:line="520" w:lineRule="exact"/>
        <w:ind w:firstLine="480" w:firstLineChars="200"/>
        <w:rPr>
          <w:sz w:val="24"/>
          <w:szCs w:val="24"/>
          <w:highlight w:val="none"/>
        </w:rPr>
      </w:pPr>
      <w:r>
        <w:rPr>
          <w:rFonts w:hint="eastAsia"/>
          <w:sz w:val="24"/>
          <w:szCs w:val="24"/>
          <w:highlight w:val="none"/>
        </w:rPr>
        <w:t>（4）建设行政主管部门或相关主管部门的不良行为记录、行政处罚。</w:t>
      </w:r>
    </w:p>
    <w:p w14:paraId="27F994AA">
      <w:pPr>
        <w:spacing w:line="360" w:lineRule="auto"/>
        <w:rPr>
          <w:rFonts w:ascii="宋体" w:hAnsi="宋体"/>
          <w:sz w:val="24"/>
          <w:highlight w:val="none"/>
        </w:rPr>
      </w:pPr>
      <w:r>
        <w:rPr>
          <w:rFonts w:hint="eastAsia" w:ascii="宋体" w:hAnsi="宋体"/>
          <w:sz w:val="24"/>
          <w:highlight w:val="none"/>
        </w:rPr>
        <w:t>投标人（单位公章）：</w:t>
      </w:r>
    </w:p>
    <w:p w14:paraId="7AA6F0BC">
      <w:pPr>
        <w:spacing w:line="360" w:lineRule="auto"/>
        <w:rPr>
          <w:rFonts w:ascii="宋体" w:hAnsi="宋体"/>
          <w:sz w:val="24"/>
          <w:highlight w:val="none"/>
        </w:rPr>
      </w:pPr>
      <w:r>
        <w:rPr>
          <w:rFonts w:hint="eastAsia" w:ascii="宋体" w:hAnsi="宋体"/>
          <w:sz w:val="24"/>
          <w:highlight w:val="none"/>
        </w:rPr>
        <w:t>单位地址：</w:t>
      </w:r>
    </w:p>
    <w:p w14:paraId="760B3CDF">
      <w:pPr>
        <w:spacing w:line="360" w:lineRule="auto"/>
        <w:rPr>
          <w:rFonts w:hint="eastAsia" w:hAnsi="宋体"/>
          <w:bCs/>
          <w:sz w:val="24"/>
          <w:highlight w:val="none"/>
        </w:rPr>
        <w:sectPr>
          <w:headerReference r:id="rId4" w:type="default"/>
          <w:footerReference r:id="rId5" w:type="default"/>
          <w:pgSz w:w="11906" w:h="16838"/>
          <w:pgMar w:top="1276" w:right="1351" w:bottom="1135" w:left="1414" w:header="851" w:footer="992" w:gutter="0"/>
          <w:cols w:space="720" w:num="1"/>
          <w:docGrid w:type="lines" w:linePitch="312" w:charSpace="0"/>
        </w:sectPr>
      </w:pPr>
      <w:r>
        <w:rPr>
          <w:rFonts w:hint="eastAsia" w:ascii="宋体" w:hAnsi="宋体"/>
          <w:sz w:val="24"/>
          <w:highlight w:val="none"/>
        </w:rPr>
        <w:t xml:space="preserve">邮政编码：电话： 传真：                                  </w:t>
      </w:r>
      <w:r>
        <w:rPr>
          <w:rFonts w:hint="eastAsia" w:hAnsi="宋体"/>
          <w:bCs/>
          <w:sz w:val="24"/>
          <w:highlight w:val="none"/>
        </w:rPr>
        <w:t>年   月   日</w:t>
      </w:r>
    </w:p>
    <w:p w14:paraId="43587A63">
      <w:pPr>
        <w:keepNext/>
        <w:keepLines/>
        <w:widowControl w:val="0"/>
        <w:bidi w:val="0"/>
        <w:spacing w:beforeLines="0" w:beforeAutospacing="0" w:afterLines="0" w:afterAutospacing="0" w:line="360" w:lineRule="auto"/>
        <w:ind w:firstLine="0" w:firstLineChars="0"/>
        <w:outlineLvl w:val="1"/>
        <w:rPr>
          <w:rFonts w:hint="default" w:ascii="Arial" w:hAnsi="Arial" w:eastAsia="仿宋" w:cs="Times New Roman"/>
          <w:b/>
          <w:kern w:val="2"/>
          <w:sz w:val="30"/>
          <w:szCs w:val="24"/>
          <w:highlight w:val="none"/>
          <w:lang w:val="en-US" w:eastAsia="zh-CN" w:bidi="ar-SA"/>
        </w:rPr>
      </w:pPr>
      <w:r>
        <w:rPr>
          <w:rFonts w:hint="eastAsia" w:ascii="Arial" w:hAnsi="Arial" w:eastAsia="仿宋" w:cs="Times New Roman"/>
          <w:b/>
          <w:kern w:val="2"/>
          <w:sz w:val="30"/>
          <w:szCs w:val="24"/>
          <w:highlight w:val="none"/>
          <w:lang w:val="en-US" w:eastAsia="zh-CN" w:bidi="ar-SA"/>
        </w:rPr>
        <w:t>告知书</w:t>
      </w:r>
    </w:p>
    <w:p w14:paraId="3A8417F5">
      <w:pPr>
        <w:spacing w:line="360" w:lineRule="auto"/>
        <w:ind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龙岗区进一步规范政商交往行为告知书</w:t>
      </w:r>
    </w:p>
    <w:p w14:paraId="65E3CC6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0B11873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一、不得向公职人员赠送礼品、礼金、消费卡等财物。</w:t>
      </w:r>
    </w:p>
    <w:p w14:paraId="7D7AD3E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二、不得违规向公职人员提供宴请、旅游、娱乐等安排。</w:t>
      </w:r>
    </w:p>
    <w:p w14:paraId="0758900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三、不得通过打麻将等形式向公职人员输送利益。</w:t>
      </w:r>
    </w:p>
    <w:p w14:paraId="73482BE2">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四、不得为公职人员报销应由其个人支付的费用。</w:t>
      </w:r>
    </w:p>
    <w:p w14:paraId="7A41BCC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五、不得违规向公职人员及其亲友借贷款。</w:t>
      </w:r>
    </w:p>
    <w:p w14:paraId="2CD4931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六、不得违规将车辆、住房等借给公职人员使用。</w:t>
      </w:r>
    </w:p>
    <w:p w14:paraId="4AE8521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七、不得在招投标中与公职人员搞暗箱操作、围标串标。</w:t>
      </w:r>
    </w:p>
    <w:p w14:paraId="0CC4EF5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八、不得为利益相关人和公职人员牵线搭桥或者代为传递信息、传递财物。</w:t>
      </w:r>
    </w:p>
    <w:p w14:paraId="713BDE7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九、不得让公职人员在企业违规兼职取酬。</w:t>
      </w:r>
    </w:p>
    <w:p w14:paraId="7237980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十、不得为公职人员亲友违规承揽业务提供便利。</w:t>
      </w:r>
    </w:p>
    <w:p w14:paraId="43CDA79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68E6491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本人已知晓上述告知内容，并愿意遵照执行（</w:t>
      </w:r>
      <w:r>
        <w:rPr>
          <w:rFonts w:hint="eastAsia" w:ascii="Times New Roman" w:hAnsi="Times New Roman" w:eastAsia="仿宋"/>
          <w:sz w:val="28"/>
          <w:szCs w:val="24"/>
          <w:highlight w:val="none"/>
          <w:lang w:val="en-US" w:eastAsia="zh-CN"/>
        </w:rPr>
        <w:t>签字盖章</w:t>
      </w:r>
      <w:r>
        <w:rPr>
          <w:rFonts w:hint="eastAsia" w:ascii="Times New Roman" w:hAnsi="Times New Roman" w:eastAsia="仿宋"/>
          <w:sz w:val="28"/>
          <w:szCs w:val="24"/>
          <w:highlight w:val="none"/>
        </w:rPr>
        <w:t>）：</w:t>
      </w:r>
    </w:p>
    <w:p w14:paraId="3F8C1865">
      <w:pPr>
        <w:keepNext w:val="0"/>
        <w:keepLines w:val="0"/>
        <w:pageBreakBefore w:val="0"/>
        <w:widowControl w:val="0"/>
        <w:kinsoku/>
        <w:wordWrap/>
        <w:overflowPunct/>
        <w:topLinePunct w:val="0"/>
        <w:autoSpaceDE/>
        <w:autoSpaceDN/>
        <w:bidi w:val="0"/>
        <w:adjustRightInd/>
        <w:snapToGrid/>
        <w:spacing w:line="540" w:lineRule="exact"/>
        <w:ind w:firstLine="0" w:firstLineChars="0"/>
        <w:jc w:val="left"/>
        <w:textAlignment w:val="auto"/>
        <w:rPr>
          <w:rFonts w:hint="eastAsia" w:ascii="宋体" w:hAnsi="宋体" w:eastAsia="宋体" w:cs="宋体"/>
          <w:sz w:val="21"/>
          <w:szCs w:val="21"/>
          <w:highlight w:val="none"/>
        </w:rPr>
      </w:pPr>
    </w:p>
    <w:p w14:paraId="352E0CA4">
      <w:pPr>
        <w:keepNext w:val="0"/>
        <w:keepLines w:val="0"/>
        <w:pageBreakBefore w:val="0"/>
        <w:widowControl w:val="0"/>
        <w:kinsoku/>
        <w:wordWrap/>
        <w:overflowPunct/>
        <w:topLinePunct w:val="0"/>
        <w:autoSpaceDE/>
        <w:autoSpaceDN/>
        <w:bidi w:val="0"/>
        <w:adjustRightInd/>
        <w:snapToGrid/>
        <w:spacing w:line="540" w:lineRule="exact"/>
        <w:ind w:firstLine="0" w:firstLineChars="0"/>
        <w:jc w:val="right"/>
        <w:textAlignment w:val="auto"/>
        <w:rPr>
          <w:rFonts w:hint="default" w:ascii="Times New Roman" w:hAnsi="Times New Roman" w:eastAsia="仿宋"/>
          <w:sz w:val="28"/>
          <w:szCs w:val="24"/>
          <w:highlight w:val="none"/>
          <w:lang w:val="en-US" w:eastAsia="zh-CN"/>
        </w:rPr>
      </w:pPr>
      <w:r>
        <w:rPr>
          <w:rFonts w:hint="eastAsia" w:ascii="Times New Roman" w:hAnsi="Times New Roman" w:eastAsia="仿宋"/>
          <w:sz w:val="28"/>
          <w:szCs w:val="24"/>
          <w:highlight w:val="none"/>
          <w:lang w:val="en-US" w:eastAsia="zh-CN"/>
        </w:rPr>
        <w:t>2026</w:t>
      </w:r>
      <w:r>
        <w:rPr>
          <w:rFonts w:hint="eastAsia" w:ascii="Times New Roman" w:hAnsi="Times New Roman" w:eastAsia="仿宋"/>
          <w:sz w:val="28"/>
          <w:szCs w:val="24"/>
          <w:highlight w:val="none"/>
        </w:rPr>
        <w:t>年  月  日</w:t>
      </w:r>
    </w:p>
    <w:p w14:paraId="76FEF9F6">
      <w:pPr>
        <w:pStyle w:val="51"/>
        <w:rPr>
          <w:rFonts w:hint="eastAsia"/>
          <w:highlight w:val="none"/>
        </w:rPr>
        <w:sectPr>
          <w:pgSz w:w="11906" w:h="16838"/>
          <w:pgMar w:top="1276" w:right="1351" w:bottom="1135" w:left="1414" w:header="851" w:footer="992" w:gutter="0"/>
          <w:cols w:space="720" w:num="1"/>
          <w:docGrid w:type="lines" w:linePitch="312" w:charSpace="0"/>
        </w:sectPr>
      </w:pPr>
    </w:p>
    <w:p w14:paraId="7086D8AF">
      <w:pPr>
        <w:pStyle w:val="51"/>
        <w:rPr>
          <w:rFonts w:hint="eastAsia" w:hAnsi="宋体"/>
          <w:bCs/>
          <w:sz w:val="24"/>
          <w:highlight w:val="none"/>
        </w:rPr>
      </w:pPr>
    </w:p>
    <w:p w14:paraId="7D414A70">
      <w:pPr>
        <w:pStyle w:val="51"/>
        <w:ind w:left="0" w:leftChars="0" w:firstLine="0" w:firstLineChars="0"/>
        <w:rPr>
          <w:rFonts w:hint="eastAsia" w:hAnsi="宋体"/>
          <w:bCs/>
          <w:sz w:val="24"/>
          <w:highlight w:val="none"/>
        </w:rPr>
      </w:pPr>
    </w:p>
    <w:p w14:paraId="502865F8">
      <w:pPr>
        <w:pStyle w:val="98"/>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Arial Unicode MS" w:hAnsi="Arial Unicode MS" w:eastAsia="Arial Unicode MS" w:cs="Arial Unicode MS"/>
          <w:sz w:val="44"/>
          <w:szCs w:val="44"/>
          <w:highlight w:val="none"/>
          <w:lang w:eastAsia="zh-CN"/>
        </w:rPr>
      </w:pPr>
      <w:r>
        <w:rPr>
          <w:rFonts w:hint="eastAsia" w:ascii="Arial Unicode MS" w:hAnsi="Arial Unicode MS" w:eastAsia="Arial Unicode MS" w:cs="Arial Unicode MS"/>
          <w:sz w:val="44"/>
          <w:szCs w:val="44"/>
          <w:highlight w:val="none"/>
          <w:lang w:val="en-US" w:eastAsia="zh-CN"/>
        </w:rPr>
        <w:t xml:space="preserve">报 </w:t>
      </w:r>
      <w:r>
        <w:rPr>
          <w:rFonts w:hint="eastAsia" w:ascii="Arial Unicode MS" w:hAnsi="Arial Unicode MS" w:eastAsia="Arial Unicode MS" w:cs="Arial Unicode MS"/>
          <w:sz w:val="44"/>
          <w:szCs w:val="44"/>
          <w:highlight w:val="none"/>
          <w:lang w:eastAsia="zh-CN"/>
        </w:rPr>
        <w:t>价</w:t>
      </w:r>
      <w:r>
        <w:rPr>
          <w:rFonts w:hint="eastAsia" w:ascii="Arial Unicode MS" w:hAnsi="Arial Unicode MS" w:eastAsia="Arial Unicode MS" w:cs="Arial Unicode MS"/>
          <w:sz w:val="44"/>
          <w:szCs w:val="44"/>
          <w:highlight w:val="none"/>
          <w:lang w:val="en-US" w:eastAsia="zh-CN"/>
        </w:rPr>
        <w:t xml:space="preserve"> </w:t>
      </w:r>
      <w:r>
        <w:rPr>
          <w:rFonts w:hint="eastAsia" w:ascii="Arial Unicode MS" w:hAnsi="Arial Unicode MS" w:eastAsia="Arial Unicode MS" w:cs="Arial Unicode MS"/>
          <w:sz w:val="44"/>
          <w:szCs w:val="44"/>
          <w:highlight w:val="none"/>
          <w:lang w:eastAsia="zh-CN"/>
        </w:rPr>
        <w:t>表</w:t>
      </w:r>
    </w:p>
    <w:p w14:paraId="3F9855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0"/>
          <w:szCs w:val="30"/>
          <w:highlight w:val="none"/>
          <w:lang w:eastAsia="zh-CN"/>
        </w:rPr>
      </w:pPr>
    </w:p>
    <w:tbl>
      <w:tblPr>
        <w:tblStyle w:val="53"/>
        <w:tblW w:w="10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4562"/>
        <w:gridCol w:w="3098"/>
        <w:gridCol w:w="1696"/>
      </w:tblGrid>
      <w:tr w14:paraId="749E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15" w:type="dxa"/>
            <w:vAlign w:val="center"/>
          </w:tcPr>
          <w:p w14:paraId="22CCA468">
            <w:pPr>
              <w:pStyle w:val="25"/>
              <w:spacing w:line="360" w:lineRule="auto"/>
              <w:jc w:val="both"/>
              <w:rPr>
                <w:rFonts w:ascii="仿宋" w:hAnsi="仿宋" w:eastAsia="仿宋"/>
                <w:b w:val="0"/>
                <w:sz w:val="24"/>
              </w:rPr>
            </w:pPr>
            <w:r>
              <w:rPr>
                <w:rFonts w:hint="eastAsia" w:ascii="仿宋" w:hAnsi="仿宋" w:eastAsia="仿宋"/>
                <w:b w:val="0"/>
                <w:sz w:val="24"/>
              </w:rPr>
              <w:t>序号</w:t>
            </w:r>
          </w:p>
        </w:tc>
        <w:tc>
          <w:tcPr>
            <w:tcW w:w="4562" w:type="dxa"/>
            <w:vAlign w:val="center"/>
          </w:tcPr>
          <w:p w14:paraId="2CA2B1B0">
            <w:pPr>
              <w:pStyle w:val="25"/>
              <w:spacing w:line="360" w:lineRule="auto"/>
              <w:jc w:val="both"/>
              <w:rPr>
                <w:rFonts w:ascii="仿宋" w:hAnsi="仿宋" w:eastAsia="仿宋"/>
                <w:b w:val="0"/>
                <w:sz w:val="24"/>
              </w:rPr>
            </w:pPr>
            <w:r>
              <w:rPr>
                <w:rFonts w:hint="eastAsia" w:ascii="仿宋" w:hAnsi="仿宋" w:eastAsia="仿宋"/>
                <w:b w:val="0"/>
                <w:sz w:val="24"/>
              </w:rPr>
              <w:t>项目名称</w:t>
            </w:r>
          </w:p>
        </w:tc>
        <w:tc>
          <w:tcPr>
            <w:tcW w:w="3098" w:type="dxa"/>
            <w:vAlign w:val="center"/>
          </w:tcPr>
          <w:p w14:paraId="06709151">
            <w:pPr>
              <w:pStyle w:val="25"/>
              <w:spacing w:line="360" w:lineRule="auto"/>
              <w:jc w:val="both"/>
              <w:rPr>
                <w:rFonts w:ascii="仿宋" w:hAnsi="仿宋" w:eastAsia="仿宋"/>
                <w:b w:val="0"/>
                <w:sz w:val="24"/>
              </w:rPr>
            </w:pPr>
            <w:r>
              <w:rPr>
                <w:rFonts w:hint="eastAsia" w:ascii="仿宋" w:hAnsi="仿宋" w:eastAsia="仿宋"/>
                <w:b w:val="0"/>
                <w:sz w:val="24"/>
              </w:rPr>
              <w:t>报价（含增值税总价）</w:t>
            </w:r>
          </w:p>
        </w:tc>
        <w:tc>
          <w:tcPr>
            <w:tcW w:w="1696" w:type="dxa"/>
            <w:vAlign w:val="center"/>
          </w:tcPr>
          <w:p w14:paraId="7B8DCD95">
            <w:pPr>
              <w:pStyle w:val="183"/>
              <w:kinsoku w:val="0"/>
              <w:overflowPunct w:val="0"/>
              <w:spacing w:line="360" w:lineRule="auto"/>
              <w:ind w:left="-107" w:leftChars="-51"/>
              <w:jc w:val="center"/>
              <w:rPr>
                <w:rFonts w:ascii="仿宋" w:hAnsi="仿宋" w:eastAsia="仿宋"/>
                <w:kern w:val="2"/>
              </w:rPr>
            </w:pPr>
            <w:r>
              <w:rPr>
                <w:rFonts w:hint="eastAsia" w:ascii="仿宋" w:hAnsi="仿宋" w:eastAsia="仿宋"/>
                <w:kern w:val="2"/>
              </w:rPr>
              <w:t>增值税</w:t>
            </w:r>
            <w:r>
              <w:rPr>
                <w:rFonts w:ascii="仿宋" w:hAnsi="仿宋" w:eastAsia="仿宋"/>
                <w:kern w:val="2"/>
              </w:rPr>
              <w:t>发票</w:t>
            </w:r>
          </w:p>
          <w:p w14:paraId="13FF6970">
            <w:pPr>
              <w:pStyle w:val="183"/>
              <w:kinsoku w:val="0"/>
              <w:overflowPunct w:val="0"/>
              <w:spacing w:line="360" w:lineRule="auto"/>
              <w:ind w:left="-107" w:leftChars="-51"/>
              <w:jc w:val="center"/>
              <w:rPr>
                <w:rFonts w:ascii="仿宋" w:hAnsi="仿宋" w:eastAsia="仿宋"/>
                <w:kern w:val="2"/>
              </w:rPr>
            </w:pPr>
            <w:r>
              <w:rPr>
                <w:rFonts w:ascii="仿宋" w:hAnsi="仿宋" w:eastAsia="仿宋"/>
                <w:kern w:val="2"/>
              </w:rPr>
              <w:t>(</w:t>
            </w:r>
            <w:r>
              <w:rPr>
                <w:rFonts w:hint="eastAsia" w:ascii="仿宋" w:hAnsi="仿宋" w:eastAsia="仿宋"/>
                <w:kern w:val="2"/>
              </w:rPr>
              <w:t>开票</w:t>
            </w:r>
            <w:r>
              <w:rPr>
                <w:rFonts w:ascii="仿宋" w:hAnsi="仿宋" w:eastAsia="仿宋"/>
                <w:kern w:val="2"/>
              </w:rPr>
              <w:t>)</w:t>
            </w:r>
            <w:r>
              <w:rPr>
                <w:rFonts w:hint="eastAsia" w:ascii="仿宋" w:hAnsi="仿宋" w:eastAsia="仿宋"/>
                <w:kern w:val="2"/>
              </w:rPr>
              <w:t>税率</w:t>
            </w:r>
          </w:p>
        </w:tc>
      </w:tr>
      <w:tr w14:paraId="4A26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815" w:type="dxa"/>
            <w:vAlign w:val="center"/>
          </w:tcPr>
          <w:p w14:paraId="743AFB7F">
            <w:pPr>
              <w:pStyle w:val="25"/>
              <w:spacing w:line="360" w:lineRule="auto"/>
              <w:rPr>
                <w:rFonts w:ascii="仿宋" w:hAnsi="仿宋" w:eastAsia="仿宋"/>
                <w:b w:val="0"/>
                <w:sz w:val="24"/>
              </w:rPr>
            </w:pPr>
            <w:r>
              <w:rPr>
                <w:rFonts w:hint="eastAsia" w:ascii="仿宋" w:hAnsi="仿宋" w:eastAsia="仿宋"/>
                <w:b w:val="0"/>
                <w:sz w:val="24"/>
              </w:rPr>
              <w:t>1</w:t>
            </w:r>
          </w:p>
        </w:tc>
        <w:tc>
          <w:tcPr>
            <w:tcW w:w="4562" w:type="dxa"/>
            <w:vAlign w:val="center"/>
          </w:tcPr>
          <w:p w14:paraId="7584B6E9">
            <w:pPr>
              <w:pStyle w:val="25"/>
              <w:spacing w:line="360" w:lineRule="auto"/>
              <w:jc w:val="both"/>
              <w:rPr>
                <w:rFonts w:hint="eastAsia" w:ascii="仿宋" w:hAnsi="仿宋" w:eastAsia="仿宋"/>
                <w:b w:val="0"/>
                <w:sz w:val="24"/>
                <w:lang w:eastAsia="zh-CN"/>
              </w:rPr>
            </w:pPr>
            <w:r>
              <w:rPr>
                <w:rFonts w:hint="eastAsia" w:ascii="仿宋" w:hAnsi="仿宋" w:eastAsia="仿宋"/>
                <w:b w:val="0"/>
                <w:sz w:val="24"/>
                <w:lang w:eastAsia="zh-CN"/>
              </w:rPr>
              <w:t>龙岗区公共住房全屋智能系统改造项目网络安全等级保护第三方测评服务</w:t>
            </w:r>
          </w:p>
        </w:tc>
        <w:tc>
          <w:tcPr>
            <w:tcW w:w="3098" w:type="dxa"/>
            <w:vAlign w:val="center"/>
          </w:tcPr>
          <w:p w14:paraId="1C52167A">
            <w:pPr>
              <w:pStyle w:val="183"/>
              <w:kinsoku w:val="0"/>
              <w:overflowPunct w:val="0"/>
              <w:spacing w:before="69" w:line="360" w:lineRule="auto"/>
              <w:ind w:left="-108" w:right="6"/>
              <w:jc w:val="center"/>
              <w:rPr>
                <w:rFonts w:ascii="仿宋" w:hAnsi="仿宋" w:eastAsia="仿宋"/>
                <w:kern w:val="2"/>
              </w:rPr>
            </w:pPr>
            <w:r>
              <w:rPr>
                <w:rFonts w:hint="eastAsia" w:ascii="仿宋" w:hAnsi="仿宋" w:eastAsia="仿宋"/>
                <w:kern w:val="2"/>
              </w:rPr>
              <w:t>（大写）人民币</w:t>
            </w:r>
          </w:p>
          <w:p w14:paraId="47B32372">
            <w:pPr>
              <w:pStyle w:val="25"/>
              <w:spacing w:line="360" w:lineRule="auto"/>
              <w:jc w:val="both"/>
              <w:rPr>
                <w:rFonts w:ascii="仿宋" w:hAnsi="仿宋" w:eastAsia="仿宋"/>
                <w:b w:val="0"/>
                <w:sz w:val="24"/>
              </w:rPr>
            </w:pPr>
            <w:r>
              <w:rPr>
                <w:rFonts w:hint="eastAsia" w:ascii="仿宋" w:hAnsi="仿宋" w:eastAsia="仿宋"/>
                <w:b w:val="0"/>
                <w:sz w:val="24"/>
              </w:rPr>
              <w:t>（小写）</w:t>
            </w:r>
            <w:r>
              <w:rPr>
                <w:rFonts w:ascii="Arial" w:hAnsi="Arial" w:cs="Arial"/>
                <w:color w:val="333333"/>
                <w:sz w:val="23"/>
                <w:szCs w:val="23"/>
                <w:shd w:val="clear" w:color="auto" w:fill="FFFFFF"/>
              </w:rPr>
              <w:t>¥</w:t>
            </w:r>
          </w:p>
        </w:tc>
        <w:tc>
          <w:tcPr>
            <w:tcW w:w="1696" w:type="dxa"/>
            <w:vAlign w:val="center"/>
          </w:tcPr>
          <w:p w14:paraId="2C63A56B">
            <w:pPr>
              <w:pStyle w:val="183"/>
              <w:kinsoku w:val="0"/>
              <w:overflowPunct w:val="0"/>
              <w:spacing w:line="360" w:lineRule="auto"/>
              <w:ind w:left="-107" w:leftChars="-51" w:firstLine="588" w:firstLineChars="245"/>
              <w:jc w:val="center"/>
              <w:rPr>
                <w:rFonts w:ascii="仿宋" w:hAnsi="仿宋" w:eastAsia="仿宋"/>
                <w:kern w:val="2"/>
              </w:rPr>
            </w:pPr>
            <w:r>
              <w:rPr>
                <w:rFonts w:ascii="仿宋" w:hAnsi="仿宋" w:eastAsia="仿宋"/>
                <w:kern w:val="2"/>
              </w:rPr>
              <w:t>%</w:t>
            </w:r>
          </w:p>
        </w:tc>
      </w:tr>
      <w:tr w14:paraId="7282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0171" w:type="dxa"/>
            <w:gridSpan w:val="4"/>
            <w:vAlign w:val="center"/>
          </w:tcPr>
          <w:p w14:paraId="2B9A799D">
            <w:pPr>
              <w:pStyle w:val="25"/>
              <w:spacing w:line="360" w:lineRule="auto"/>
              <w:jc w:val="both"/>
              <w:rPr>
                <w:rFonts w:hint="eastAsia" w:ascii="仿宋" w:hAnsi="仿宋" w:eastAsia="仿宋"/>
                <w:b w:val="0"/>
                <w:sz w:val="24"/>
                <w:lang w:eastAsia="zh-CN"/>
              </w:rPr>
            </w:pPr>
            <w:r>
              <w:rPr>
                <w:rFonts w:hint="eastAsia" w:ascii="仿宋" w:hAnsi="仿宋" w:eastAsia="仿宋"/>
                <w:b w:val="0"/>
                <w:sz w:val="24"/>
              </w:rPr>
              <w:t>备注：该价格已包含专家评审及成交承包商应缴纳的各种税费等相关费用</w:t>
            </w:r>
            <w:r>
              <w:rPr>
                <w:rFonts w:hint="eastAsia" w:ascii="仿宋" w:hAnsi="仿宋" w:eastAsia="仿宋"/>
                <w:b w:val="0"/>
                <w:sz w:val="24"/>
                <w:lang w:eastAsia="zh-CN"/>
              </w:rPr>
              <w:t>。</w:t>
            </w:r>
          </w:p>
        </w:tc>
      </w:tr>
    </w:tbl>
    <w:p w14:paraId="67F42CA1">
      <w:pPr>
        <w:pStyle w:val="25"/>
        <w:spacing w:line="360" w:lineRule="auto"/>
        <w:jc w:val="both"/>
        <w:rPr>
          <w:rFonts w:ascii="仿宋" w:hAnsi="仿宋" w:eastAsia="仿宋"/>
          <w:b w:val="0"/>
          <w:sz w:val="24"/>
        </w:rPr>
      </w:pPr>
    </w:p>
    <w:p w14:paraId="4B81A1D3">
      <w:pPr>
        <w:pStyle w:val="25"/>
        <w:spacing w:line="360" w:lineRule="auto"/>
        <w:jc w:val="both"/>
        <w:rPr>
          <w:rFonts w:ascii="仿宋" w:hAnsi="仿宋" w:eastAsia="仿宋"/>
          <w:b w:val="0"/>
          <w:sz w:val="24"/>
        </w:rPr>
      </w:pPr>
      <w:r>
        <w:rPr>
          <w:rFonts w:hint="eastAsia" w:ascii="仿宋" w:hAnsi="仿宋" w:eastAsia="仿宋"/>
          <w:b w:val="0"/>
          <w:sz w:val="24"/>
        </w:rPr>
        <w:t>报价单位代表签字:</w:t>
      </w:r>
    </w:p>
    <w:p w14:paraId="39AF5D32">
      <w:pPr>
        <w:pStyle w:val="25"/>
        <w:spacing w:line="360" w:lineRule="auto"/>
        <w:jc w:val="both"/>
        <w:rPr>
          <w:rFonts w:ascii="仿宋" w:hAnsi="仿宋" w:eastAsia="仿宋"/>
          <w:b w:val="0"/>
          <w:sz w:val="24"/>
        </w:rPr>
      </w:pPr>
    </w:p>
    <w:p w14:paraId="6AF8D2AD">
      <w:pPr>
        <w:pStyle w:val="25"/>
        <w:spacing w:line="360" w:lineRule="auto"/>
        <w:jc w:val="both"/>
        <w:rPr>
          <w:rFonts w:ascii="仿宋" w:hAnsi="仿宋" w:eastAsia="仿宋"/>
          <w:b w:val="0"/>
          <w:sz w:val="24"/>
        </w:rPr>
      </w:pPr>
      <w:r>
        <w:rPr>
          <w:rFonts w:hint="eastAsia" w:ascii="仿宋" w:hAnsi="仿宋" w:eastAsia="仿宋"/>
          <w:b w:val="0"/>
          <w:sz w:val="24"/>
        </w:rPr>
        <w:t>报价单位盖章：</w:t>
      </w:r>
    </w:p>
    <w:p w14:paraId="7524C8D6">
      <w:pPr>
        <w:widowControl/>
        <w:jc w:val="right"/>
        <w:rPr>
          <w:rFonts w:ascii="仿宋" w:hAnsi="仿宋" w:eastAsia="仿宋"/>
          <w:sz w:val="24"/>
        </w:rPr>
      </w:pPr>
    </w:p>
    <w:p w14:paraId="3A83A2E7">
      <w:pPr>
        <w:widowControl/>
        <w:jc w:val="right"/>
        <w:rPr>
          <w:rFonts w:ascii="仿宋" w:hAnsi="仿宋" w:eastAsia="仿宋"/>
          <w:sz w:val="24"/>
        </w:rPr>
      </w:pPr>
    </w:p>
    <w:p w14:paraId="344F2897">
      <w:pPr>
        <w:spacing w:line="360" w:lineRule="auto"/>
        <w:ind w:firstLine="240" w:firstLineChars="100"/>
        <w:rPr>
          <w:rFonts w:hint="eastAsia" w:ascii="宋体" w:hAnsi="宋体"/>
          <w:sz w:val="24"/>
          <w:highlight w:val="none"/>
        </w:rPr>
      </w:pPr>
      <w:r>
        <w:rPr>
          <w:rFonts w:hint="eastAsia" w:ascii="仿宋" w:hAnsi="仿宋" w:eastAsia="仿宋"/>
          <w:sz w:val="24"/>
        </w:rPr>
        <w:t>日期：     年   月   日</w:t>
      </w:r>
    </w:p>
    <w:bookmarkEnd w:id="19"/>
    <w:bookmarkEnd w:id="20"/>
    <w:bookmarkEnd w:id="21"/>
    <w:p w14:paraId="44FAD207">
      <w:pPr>
        <w:rPr>
          <w:sz w:val="44"/>
          <w:szCs w:val="44"/>
          <w:highlight w:val="none"/>
        </w:rPr>
      </w:pPr>
    </w:p>
    <w:sectPr>
      <w:pgSz w:w="11906" w:h="16838"/>
      <w:pgMar w:top="1276" w:right="1351" w:bottom="1135" w:left="14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494735C-0973-44B3-B1B1-5CD93817154C}"/>
  </w:font>
  <w:font w:name="黑体">
    <w:panose1 w:val="02010609060101010101"/>
    <w:charset w:val="86"/>
    <w:family w:val="auto"/>
    <w:pitch w:val="default"/>
    <w:sig w:usb0="800002BF" w:usb1="38CF7CFA" w:usb2="00000016" w:usb3="00000000" w:csb0="00040001" w:csb1="00000000"/>
    <w:embedRegular r:id="rId2" w:fontKey="{D9ABACF4-BEFF-45D2-B710-E18FA5915215}"/>
  </w:font>
  <w:font w:name="Courier New">
    <w:panose1 w:val="02070309020205020404"/>
    <w:charset w:val="01"/>
    <w:family w:val="modern"/>
    <w:pitch w:val="default"/>
    <w:sig w:usb0="E0002EFF" w:usb1="C0007843" w:usb2="00000009" w:usb3="00000000" w:csb0="400001FF" w:csb1="FFFF0000"/>
    <w:embedRegular r:id="rId3" w:fontKey="{92A1C2E8-F75F-4C93-81FE-E0FE80CD86B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7EE04A6-55FD-473D-ACE7-58E08BABB0CA}"/>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黑体简体">
    <w:panose1 w:val="02000000000000000000"/>
    <w:charset w:val="86"/>
    <w:family w:val="swiss"/>
    <w:pitch w:val="default"/>
    <w:sig w:usb0="A00002BF" w:usb1="184F6CFA" w:usb2="00000012" w:usb3="00000000" w:csb0="00040001" w:csb1="00000000"/>
  </w:font>
  <w:font w:name="Arial Unicode MS">
    <w:panose1 w:val="020B0604020202020204"/>
    <w:charset w:val="86"/>
    <w:family w:val="swiss"/>
    <w:pitch w:val="default"/>
    <w:sig w:usb0="F7FFAEFF" w:usb1="F9DFFFFF" w:usb2="0000007F" w:usb3="00000000" w:csb0="203F01FF" w:csb1="DFFF0000"/>
    <w:embedRegular r:id="rId5" w:fontKey="{B160377A-0A25-4EB2-9718-98F40E39B4D2}"/>
  </w:font>
  <w:font w:name="金桥简粗宋">
    <w:altName w:val="宋体"/>
    <w:panose1 w:val="00000000000000000000"/>
    <w:charset w:val="86"/>
    <w:family w:val="modern"/>
    <w:pitch w:val="default"/>
    <w:sig w:usb0="00000000" w:usb1="00000000" w:usb2="00000010" w:usb3="00000000" w:csb0="00040000" w:csb1="00000000"/>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FZXBSJW--GB1-0">
    <w:altName w:val="yyb"/>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6" w:fontKey="{F40DB33B-79F1-4764-97AF-19D1E20360DF}"/>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7" w:fontKey="{A5312C76-2E3F-4BDD-B821-09AF2FD8E2A6}"/>
  </w:font>
  <w:font w:name="CESI仿宋-GB2312">
    <w:altName w:val="仿宋"/>
    <w:panose1 w:val="02000500000000000000"/>
    <w:charset w:val="86"/>
    <w:family w:val="auto"/>
    <w:pitch w:val="default"/>
    <w:sig w:usb0="00000000" w:usb1="00000000" w:usb2="00000010" w:usb3="00000000" w:csb0="0004000F" w:csb1="00000000"/>
    <w:embedRegular r:id="rId8" w:fontKey="{51EFA495-DCD6-473E-A40F-7DBFCF35E7A0}"/>
  </w:font>
  <w:font w:name="仿宋">
    <w:panose1 w:val="02010609060101010101"/>
    <w:charset w:val="86"/>
    <w:family w:val="modern"/>
    <w:pitch w:val="default"/>
    <w:sig w:usb0="800002BF" w:usb1="38CF7CFA" w:usb2="00000016" w:usb3="00000000" w:csb0="00040001" w:csb1="00000000"/>
    <w:embedRegular r:id="rId9" w:fontKey="{AF322339-3034-44CA-B1AF-8D37C54D487B}"/>
  </w:font>
  <w:font w:name="方正小标宋_GBK">
    <w:altName w:val="Arial Unicode MS"/>
    <w:panose1 w:val="02000000000000000000"/>
    <w:charset w:val="86"/>
    <w:family w:val="script"/>
    <w:pitch w:val="default"/>
    <w:sig w:usb0="00000000" w:usb1="00000000" w:usb2="00000000" w:usb3="00000000" w:csb0="00040000" w:csb1="00000000"/>
    <w:embedRegular r:id="rId10" w:fontKey="{263328EA-F936-478C-9608-B2B09310690D}"/>
  </w:font>
  <w:font w:name="KSOF5570FC2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86AA6">
    <w:pPr>
      <w:pStyle w:val="35"/>
      <w:spacing w:beforeLines="0" w:afterLines="0"/>
      <w:jc w:val="center"/>
      <w:rPr>
        <w:rFonts w:hint="default"/>
        <w:sz w:val="18"/>
        <w:szCs w:val="24"/>
      </w:rPr>
    </w:pPr>
    <w:r>
      <w:rPr>
        <w:rFonts w:hint="default"/>
        <w:sz w:val="18"/>
        <w:szCs w:val="24"/>
      </w:rPr>
      <w:fldChar w:fldCharType="begin"/>
    </w:r>
    <w:r>
      <w:rPr>
        <w:rFonts w:hint="default"/>
        <w:sz w:val="18"/>
        <w:szCs w:val="24"/>
      </w:rPr>
      <w:instrText xml:space="preserve"> PAGE   \* MERGEFORMAT </w:instrText>
    </w:r>
    <w:r>
      <w:rPr>
        <w:rFonts w:hint="default"/>
        <w:sz w:val="18"/>
        <w:szCs w:val="24"/>
      </w:rPr>
      <w:fldChar w:fldCharType="separate"/>
    </w:r>
    <w:r>
      <w:rPr>
        <w:rFonts w:hint="default"/>
        <w:sz w:val="18"/>
        <w:szCs w:val="24"/>
        <w:lang w:val="zh-CN"/>
      </w:rPr>
      <w:t>11</w:t>
    </w:r>
    <w:r>
      <w:rPr>
        <w:rFonts w:hint="default"/>
        <w:sz w:val="18"/>
        <w:szCs w:val="24"/>
        <w:lang w:val="zh-CN"/>
      </w:rPr>
      <w:fldChar w:fldCharType="end"/>
    </w:r>
  </w:p>
  <w:p w14:paraId="266A1FE0">
    <w:pPr>
      <w:pStyle w:val="35"/>
      <w:spacing w:beforeLines="0" w:afterLines="0"/>
      <w:jc w:val="center"/>
      <w:rPr>
        <w:rFonts w:hint="default"/>
        <w:sz w:val="18"/>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267E8">
    <w:pPr>
      <w:pStyle w:val="3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CC9C">
    <w:pPr>
      <w:pStyle w:val="36"/>
      <w:pBdr>
        <w:bottom w:val="none" w:color="auto" w:sz="0" w:space="0"/>
      </w:pBdr>
      <w:spacing w:beforeLines="0" w:afterLines="0"/>
      <w:rPr>
        <w:rFonts w:hint="default"/>
        <w:sz w:val="1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10ACD"/>
    <w:multiLevelType w:val="singleLevel"/>
    <w:tmpl w:val="8C510ACD"/>
    <w:lvl w:ilvl="0" w:tentative="0">
      <w:start w:val="3"/>
      <w:numFmt w:val="chineseCounting"/>
      <w:suff w:val="nothing"/>
      <w:lvlText w:val="%1、"/>
      <w:lvlJc w:val="left"/>
      <w:rPr>
        <w:rFonts w:hint="eastAsia"/>
      </w:rPr>
    </w:lvl>
  </w:abstractNum>
  <w:abstractNum w:abstractNumId="1">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2">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6"/>
      <w:isLgl/>
      <w:lvlText w:val="节 %1.%2"/>
      <w:lvlJc w:val="left"/>
      <w:pPr>
        <w:tabs>
          <w:tab w:val="left" w:pos="2280"/>
        </w:tabs>
        <w:ind w:left="1560" w:firstLine="0"/>
      </w:pPr>
    </w:lvl>
    <w:lvl w:ilvl="2" w:tentative="0">
      <w:start w:val="1"/>
      <w:numFmt w:val="lowerLetter"/>
      <w:pStyle w:val="7"/>
      <w:lvlText w:val="(%3)"/>
      <w:lvlJc w:val="left"/>
      <w:pPr>
        <w:tabs>
          <w:tab w:val="left" w:pos="2280"/>
        </w:tabs>
        <w:ind w:left="2280" w:hanging="432"/>
      </w:pPr>
    </w:lvl>
    <w:lvl w:ilvl="3" w:tentative="0">
      <w:start w:val="1"/>
      <w:numFmt w:val="lowerRoman"/>
      <w:pStyle w:val="8"/>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1"/>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4Yjc5N2RjMzhmNTBlYjUzMTNjMTU1ZTliY2ExY2MifQ=="/>
  </w:docVars>
  <w:rsids>
    <w:rsidRoot w:val="00172A2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5E4"/>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677"/>
    <w:rsid w:val="00185FEB"/>
    <w:rsid w:val="00186BF0"/>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236E"/>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3F66EA"/>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96168"/>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1439"/>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148C"/>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98186C"/>
    <w:rsid w:val="01AC5DF9"/>
    <w:rsid w:val="01DD41C2"/>
    <w:rsid w:val="01E345AE"/>
    <w:rsid w:val="02790092"/>
    <w:rsid w:val="02F42900"/>
    <w:rsid w:val="02FA1195"/>
    <w:rsid w:val="0302618A"/>
    <w:rsid w:val="044429C2"/>
    <w:rsid w:val="04695794"/>
    <w:rsid w:val="04810C52"/>
    <w:rsid w:val="04A05004"/>
    <w:rsid w:val="05056095"/>
    <w:rsid w:val="05464AF8"/>
    <w:rsid w:val="055B7332"/>
    <w:rsid w:val="056A3FE9"/>
    <w:rsid w:val="059F4FD1"/>
    <w:rsid w:val="05BE2B4E"/>
    <w:rsid w:val="05D070DB"/>
    <w:rsid w:val="061D0302"/>
    <w:rsid w:val="064F66A3"/>
    <w:rsid w:val="066F200F"/>
    <w:rsid w:val="067C7D80"/>
    <w:rsid w:val="06A00B12"/>
    <w:rsid w:val="06D7755B"/>
    <w:rsid w:val="06E6452A"/>
    <w:rsid w:val="0714449E"/>
    <w:rsid w:val="071A149F"/>
    <w:rsid w:val="07205F42"/>
    <w:rsid w:val="072D7269"/>
    <w:rsid w:val="074273A6"/>
    <w:rsid w:val="07B77118"/>
    <w:rsid w:val="08254790"/>
    <w:rsid w:val="089963F4"/>
    <w:rsid w:val="08F03474"/>
    <w:rsid w:val="09162A16"/>
    <w:rsid w:val="091A7535"/>
    <w:rsid w:val="091D497D"/>
    <w:rsid w:val="092E369A"/>
    <w:rsid w:val="09B14F92"/>
    <w:rsid w:val="09BF626E"/>
    <w:rsid w:val="0A50402E"/>
    <w:rsid w:val="0A897EA0"/>
    <w:rsid w:val="0AB86C5C"/>
    <w:rsid w:val="0AC34AEB"/>
    <w:rsid w:val="0AD96324"/>
    <w:rsid w:val="0AEF58AD"/>
    <w:rsid w:val="0AFE39F5"/>
    <w:rsid w:val="0AFE687F"/>
    <w:rsid w:val="0B294C31"/>
    <w:rsid w:val="0B7F7677"/>
    <w:rsid w:val="0BE307CB"/>
    <w:rsid w:val="0C1F073A"/>
    <w:rsid w:val="0C6101CD"/>
    <w:rsid w:val="0C7C38C4"/>
    <w:rsid w:val="0C871385"/>
    <w:rsid w:val="0CC83B28"/>
    <w:rsid w:val="0CC87C49"/>
    <w:rsid w:val="0CCA3B52"/>
    <w:rsid w:val="0CE43B33"/>
    <w:rsid w:val="0D344BBB"/>
    <w:rsid w:val="0DA74227"/>
    <w:rsid w:val="0DC437DB"/>
    <w:rsid w:val="0E1C4090"/>
    <w:rsid w:val="0E1C5AFD"/>
    <w:rsid w:val="0E3E5F3C"/>
    <w:rsid w:val="0E823F28"/>
    <w:rsid w:val="0E8D6C2C"/>
    <w:rsid w:val="0E9137B3"/>
    <w:rsid w:val="0EB12E2A"/>
    <w:rsid w:val="0EBE69D9"/>
    <w:rsid w:val="0ECB20BE"/>
    <w:rsid w:val="0EEB113D"/>
    <w:rsid w:val="0F0C75A2"/>
    <w:rsid w:val="0F8B77D5"/>
    <w:rsid w:val="0FBE5D9F"/>
    <w:rsid w:val="0FD36B3B"/>
    <w:rsid w:val="0FD47E3C"/>
    <w:rsid w:val="0FFE69A6"/>
    <w:rsid w:val="1018216D"/>
    <w:rsid w:val="102173FB"/>
    <w:rsid w:val="10256C94"/>
    <w:rsid w:val="1028597F"/>
    <w:rsid w:val="1051696C"/>
    <w:rsid w:val="107728F9"/>
    <w:rsid w:val="107C0AD5"/>
    <w:rsid w:val="10A64D73"/>
    <w:rsid w:val="10AD1231"/>
    <w:rsid w:val="10B306BD"/>
    <w:rsid w:val="10D4173C"/>
    <w:rsid w:val="10FE73BE"/>
    <w:rsid w:val="111B4AA2"/>
    <w:rsid w:val="11497A7D"/>
    <w:rsid w:val="114B1D4A"/>
    <w:rsid w:val="116D5365"/>
    <w:rsid w:val="121477AB"/>
    <w:rsid w:val="1220793F"/>
    <w:rsid w:val="1227630D"/>
    <w:rsid w:val="125D64CF"/>
    <w:rsid w:val="12B16A9E"/>
    <w:rsid w:val="13272F7A"/>
    <w:rsid w:val="13361405"/>
    <w:rsid w:val="13767A09"/>
    <w:rsid w:val="137A2F78"/>
    <w:rsid w:val="13B92195"/>
    <w:rsid w:val="13B9577F"/>
    <w:rsid w:val="1452749D"/>
    <w:rsid w:val="14922F3A"/>
    <w:rsid w:val="14FD2A2E"/>
    <w:rsid w:val="15081429"/>
    <w:rsid w:val="153D5CAE"/>
    <w:rsid w:val="158A718E"/>
    <w:rsid w:val="15EA5123"/>
    <w:rsid w:val="16313179"/>
    <w:rsid w:val="165923BB"/>
    <w:rsid w:val="16B56EA5"/>
    <w:rsid w:val="170610F8"/>
    <w:rsid w:val="17126E39"/>
    <w:rsid w:val="176A56C2"/>
    <w:rsid w:val="176D2C29"/>
    <w:rsid w:val="179C380B"/>
    <w:rsid w:val="17A57CB0"/>
    <w:rsid w:val="17AB0959"/>
    <w:rsid w:val="17B648CC"/>
    <w:rsid w:val="17DE1291"/>
    <w:rsid w:val="18780BD9"/>
    <w:rsid w:val="18AB0FDA"/>
    <w:rsid w:val="18AD553C"/>
    <w:rsid w:val="197039DA"/>
    <w:rsid w:val="197772D6"/>
    <w:rsid w:val="19A67A64"/>
    <w:rsid w:val="19BF0C31"/>
    <w:rsid w:val="19DE2198"/>
    <w:rsid w:val="19E43962"/>
    <w:rsid w:val="19E9200D"/>
    <w:rsid w:val="1A6D597B"/>
    <w:rsid w:val="1A732F49"/>
    <w:rsid w:val="1ACB04A7"/>
    <w:rsid w:val="1ACC2467"/>
    <w:rsid w:val="1ACE4D14"/>
    <w:rsid w:val="1AD027EB"/>
    <w:rsid w:val="1B1B5341"/>
    <w:rsid w:val="1B2C5E4B"/>
    <w:rsid w:val="1B4874D7"/>
    <w:rsid w:val="1C2844A0"/>
    <w:rsid w:val="1C525155"/>
    <w:rsid w:val="1C8E406A"/>
    <w:rsid w:val="1CAC31C2"/>
    <w:rsid w:val="1CB72D49"/>
    <w:rsid w:val="1CF27B09"/>
    <w:rsid w:val="1CFF1026"/>
    <w:rsid w:val="1D9B7242"/>
    <w:rsid w:val="1DEA3522"/>
    <w:rsid w:val="1E053181"/>
    <w:rsid w:val="1E474BEE"/>
    <w:rsid w:val="1E7B2E90"/>
    <w:rsid w:val="1E835E6A"/>
    <w:rsid w:val="1EA705ED"/>
    <w:rsid w:val="1EB401AB"/>
    <w:rsid w:val="1EB67161"/>
    <w:rsid w:val="1ECC77C3"/>
    <w:rsid w:val="1ECF1153"/>
    <w:rsid w:val="1F302C65"/>
    <w:rsid w:val="1F44792A"/>
    <w:rsid w:val="1F6670ED"/>
    <w:rsid w:val="1FE271D5"/>
    <w:rsid w:val="1FE501FD"/>
    <w:rsid w:val="1FEB5623"/>
    <w:rsid w:val="1FEF712E"/>
    <w:rsid w:val="20611216"/>
    <w:rsid w:val="20621FC3"/>
    <w:rsid w:val="20E35BE9"/>
    <w:rsid w:val="21156A1C"/>
    <w:rsid w:val="21310B1A"/>
    <w:rsid w:val="2152274F"/>
    <w:rsid w:val="21540B6C"/>
    <w:rsid w:val="21611713"/>
    <w:rsid w:val="216B3340"/>
    <w:rsid w:val="218A325D"/>
    <w:rsid w:val="21A41CB8"/>
    <w:rsid w:val="21F42BC1"/>
    <w:rsid w:val="22203EB3"/>
    <w:rsid w:val="22255D12"/>
    <w:rsid w:val="227605BB"/>
    <w:rsid w:val="22BD7457"/>
    <w:rsid w:val="22E36C68"/>
    <w:rsid w:val="23476928"/>
    <w:rsid w:val="23550037"/>
    <w:rsid w:val="235E3944"/>
    <w:rsid w:val="237D78D0"/>
    <w:rsid w:val="23B073D3"/>
    <w:rsid w:val="23DF5BCA"/>
    <w:rsid w:val="23E502C6"/>
    <w:rsid w:val="2422296D"/>
    <w:rsid w:val="2426102C"/>
    <w:rsid w:val="244E349E"/>
    <w:rsid w:val="24666EE4"/>
    <w:rsid w:val="24701946"/>
    <w:rsid w:val="24BA2272"/>
    <w:rsid w:val="25280AEE"/>
    <w:rsid w:val="25E42F4C"/>
    <w:rsid w:val="261074AD"/>
    <w:rsid w:val="261C46B1"/>
    <w:rsid w:val="267F4B9F"/>
    <w:rsid w:val="26F42E9C"/>
    <w:rsid w:val="27D87113"/>
    <w:rsid w:val="27E75A20"/>
    <w:rsid w:val="280D4269"/>
    <w:rsid w:val="282506AE"/>
    <w:rsid w:val="284B0B33"/>
    <w:rsid w:val="289D1723"/>
    <w:rsid w:val="2914325F"/>
    <w:rsid w:val="29520EF9"/>
    <w:rsid w:val="29613214"/>
    <w:rsid w:val="2A2B045D"/>
    <w:rsid w:val="2A2F63DF"/>
    <w:rsid w:val="2A536944"/>
    <w:rsid w:val="2A68129C"/>
    <w:rsid w:val="2A703001"/>
    <w:rsid w:val="2A97063D"/>
    <w:rsid w:val="2ACA0963"/>
    <w:rsid w:val="2ACE5E57"/>
    <w:rsid w:val="2AFE6487"/>
    <w:rsid w:val="2B277B63"/>
    <w:rsid w:val="2B670D75"/>
    <w:rsid w:val="2B874C1C"/>
    <w:rsid w:val="2C073CF8"/>
    <w:rsid w:val="2C1F3615"/>
    <w:rsid w:val="2C4F7C16"/>
    <w:rsid w:val="2C743B66"/>
    <w:rsid w:val="2CAC008E"/>
    <w:rsid w:val="2CE23E10"/>
    <w:rsid w:val="2D63682A"/>
    <w:rsid w:val="2D8F7C42"/>
    <w:rsid w:val="2DE2584A"/>
    <w:rsid w:val="2E49213C"/>
    <w:rsid w:val="2E67006F"/>
    <w:rsid w:val="2E694D3E"/>
    <w:rsid w:val="2E773C34"/>
    <w:rsid w:val="2E875C48"/>
    <w:rsid w:val="2E9824AB"/>
    <w:rsid w:val="2E9B4249"/>
    <w:rsid w:val="2E9D17EB"/>
    <w:rsid w:val="2EB56D76"/>
    <w:rsid w:val="2EB81304"/>
    <w:rsid w:val="2F2B230B"/>
    <w:rsid w:val="2F517B36"/>
    <w:rsid w:val="2F72633A"/>
    <w:rsid w:val="2F893355"/>
    <w:rsid w:val="2FC31341"/>
    <w:rsid w:val="2FD05083"/>
    <w:rsid w:val="305E03E8"/>
    <w:rsid w:val="3069595F"/>
    <w:rsid w:val="30843362"/>
    <w:rsid w:val="30C4049D"/>
    <w:rsid w:val="30CD07F3"/>
    <w:rsid w:val="30E365D5"/>
    <w:rsid w:val="30E766F3"/>
    <w:rsid w:val="313E08F3"/>
    <w:rsid w:val="31704514"/>
    <w:rsid w:val="31816DAF"/>
    <w:rsid w:val="31B1462B"/>
    <w:rsid w:val="31C95E5B"/>
    <w:rsid w:val="32290279"/>
    <w:rsid w:val="32527C83"/>
    <w:rsid w:val="32655415"/>
    <w:rsid w:val="3294292F"/>
    <w:rsid w:val="32C51A10"/>
    <w:rsid w:val="32C62FAA"/>
    <w:rsid w:val="32F07D5C"/>
    <w:rsid w:val="337F7567"/>
    <w:rsid w:val="33A06705"/>
    <w:rsid w:val="33D80D3F"/>
    <w:rsid w:val="33EE637D"/>
    <w:rsid w:val="344352E2"/>
    <w:rsid w:val="34624864"/>
    <w:rsid w:val="346D778B"/>
    <w:rsid w:val="34AE59AA"/>
    <w:rsid w:val="34BA2757"/>
    <w:rsid w:val="353A3B24"/>
    <w:rsid w:val="35746954"/>
    <w:rsid w:val="35B629C4"/>
    <w:rsid w:val="35F72828"/>
    <w:rsid w:val="360064F8"/>
    <w:rsid w:val="3633583B"/>
    <w:rsid w:val="363C359C"/>
    <w:rsid w:val="367B0D86"/>
    <w:rsid w:val="368802A2"/>
    <w:rsid w:val="369B06A2"/>
    <w:rsid w:val="36AB2F9F"/>
    <w:rsid w:val="36B27BFF"/>
    <w:rsid w:val="36DE2E4C"/>
    <w:rsid w:val="36F11025"/>
    <w:rsid w:val="37247CD6"/>
    <w:rsid w:val="373D24BC"/>
    <w:rsid w:val="3747417A"/>
    <w:rsid w:val="37B85CE3"/>
    <w:rsid w:val="37C125AD"/>
    <w:rsid w:val="37CB0B6E"/>
    <w:rsid w:val="37FB2519"/>
    <w:rsid w:val="37FD2567"/>
    <w:rsid w:val="3860698D"/>
    <w:rsid w:val="386F51CA"/>
    <w:rsid w:val="387F08C5"/>
    <w:rsid w:val="390943B3"/>
    <w:rsid w:val="391D76E1"/>
    <w:rsid w:val="39C2411A"/>
    <w:rsid w:val="39F111DE"/>
    <w:rsid w:val="3A1D3D59"/>
    <w:rsid w:val="3AA71527"/>
    <w:rsid w:val="3AC21656"/>
    <w:rsid w:val="3AE3177E"/>
    <w:rsid w:val="3B7E6C11"/>
    <w:rsid w:val="3BAA4A5F"/>
    <w:rsid w:val="3BCF3B6A"/>
    <w:rsid w:val="3C080FAE"/>
    <w:rsid w:val="3C541570"/>
    <w:rsid w:val="3C5750F1"/>
    <w:rsid w:val="3C6E37E5"/>
    <w:rsid w:val="3C7922D7"/>
    <w:rsid w:val="3C9342B0"/>
    <w:rsid w:val="3CAD36D2"/>
    <w:rsid w:val="3CC81535"/>
    <w:rsid w:val="3CD26729"/>
    <w:rsid w:val="3CEA275C"/>
    <w:rsid w:val="3CEC25F5"/>
    <w:rsid w:val="3CF50FF2"/>
    <w:rsid w:val="3D052A2E"/>
    <w:rsid w:val="3D0659AA"/>
    <w:rsid w:val="3D602B13"/>
    <w:rsid w:val="3D8F09E6"/>
    <w:rsid w:val="3DB946E3"/>
    <w:rsid w:val="3DF577A6"/>
    <w:rsid w:val="3E0755D2"/>
    <w:rsid w:val="3E490041"/>
    <w:rsid w:val="3E873A58"/>
    <w:rsid w:val="3EA7555E"/>
    <w:rsid w:val="3EA826CA"/>
    <w:rsid w:val="3ECB3379"/>
    <w:rsid w:val="3EF35410"/>
    <w:rsid w:val="3EF64E80"/>
    <w:rsid w:val="3EF74D5D"/>
    <w:rsid w:val="3F6566F9"/>
    <w:rsid w:val="40095305"/>
    <w:rsid w:val="400A016F"/>
    <w:rsid w:val="401869D9"/>
    <w:rsid w:val="4073545D"/>
    <w:rsid w:val="40EA2C99"/>
    <w:rsid w:val="411E4CFA"/>
    <w:rsid w:val="422C654A"/>
    <w:rsid w:val="42474BD5"/>
    <w:rsid w:val="42847BD2"/>
    <w:rsid w:val="428739CE"/>
    <w:rsid w:val="42BC3919"/>
    <w:rsid w:val="42E0623A"/>
    <w:rsid w:val="42ED199D"/>
    <w:rsid w:val="42F830BA"/>
    <w:rsid w:val="43001D3E"/>
    <w:rsid w:val="435D7C4C"/>
    <w:rsid w:val="4373669D"/>
    <w:rsid w:val="438927DA"/>
    <w:rsid w:val="43A10AE3"/>
    <w:rsid w:val="43A24D63"/>
    <w:rsid w:val="44C21E7F"/>
    <w:rsid w:val="44D409B2"/>
    <w:rsid w:val="4508749B"/>
    <w:rsid w:val="451A1619"/>
    <w:rsid w:val="451A208F"/>
    <w:rsid w:val="4538652E"/>
    <w:rsid w:val="45446C5B"/>
    <w:rsid w:val="454F52C0"/>
    <w:rsid w:val="455A3BE0"/>
    <w:rsid w:val="4589522E"/>
    <w:rsid w:val="461D5993"/>
    <w:rsid w:val="463E3B5B"/>
    <w:rsid w:val="46A40348"/>
    <w:rsid w:val="46A42944"/>
    <w:rsid w:val="46F44C0D"/>
    <w:rsid w:val="47BB0ECC"/>
    <w:rsid w:val="47F10090"/>
    <w:rsid w:val="480A6EB1"/>
    <w:rsid w:val="48CD44A6"/>
    <w:rsid w:val="48DB2498"/>
    <w:rsid w:val="491178F4"/>
    <w:rsid w:val="492F071F"/>
    <w:rsid w:val="494D402D"/>
    <w:rsid w:val="49810EE2"/>
    <w:rsid w:val="4A340D7B"/>
    <w:rsid w:val="4A5F084F"/>
    <w:rsid w:val="4A754721"/>
    <w:rsid w:val="4A83134F"/>
    <w:rsid w:val="4AD621E9"/>
    <w:rsid w:val="4B04790D"/>
    <w:rsid w:val="4B1C5E3D"/>
    <w:rsid w:val="4B3D2633"/>
    <w:rsid w:val="4B507232"/>
    <w:rsid w:val="4B513EF9"/>
    <w:rsid w:val="4B8D60C9"/>
    <w:rsid w:val="4C3463E6"/>
    <w:rsid w:val="4C795D79"/>
    <w:rsid w:val="4C804ECE"/>
    <w:rsid w:val="4CA06FAD"/>
    <w:rsid w:val="4CC01258"/>
    <w:rsid w:val="4D25209F"/>
    <w:rsid w:val="4D5F0096"/>
    <w:rsid w:val="4D692F51"/>
    <w:rsid w:val="4D823B9B"/>
    <w:rsid w:val="4DC21407"/>
    <w:rsid w:val="4E1D544D"/>
    <w:rsid w:val="4E7E543D"/>
    <w:rsid w:val="4E8F4E02"/>
    <w:rsid w:val="4E927C05"/>
    <w:rsid w:val="4EB3025E"/>
    <w:rsid w:val="4F174104"/>
    <w:rsid w:val="4F262EAE"/>
    <w:rsid w:val="4F493CE1"/>
    <w:rsid w:val="4FAA5715"/>
    <w:rsid w:val="4FAD67C7"/>
    <w:rsid w:val="4FB8704D"/>
    <w:rsid w:val="4FD03A76"/>
    <w:rsid w:val="4FDA6D84"/>
    <w:rsid w:val="4FDD4C36"/>
    <w:rsid w:val="50090FD4"/>
    <w:rsid w:val="503A0AC9"/>
    <w:rsid w:val="50AC1BAF"/>
    <w:rsid w:val="50DB41FF"/>
    <w:rsid w:val="512340BA"/>
    <w:rsid w:val="513F6058"/>
    <w:rsid w:val="514F1E89"/>
    <w:rsid w:val="5214061D"/>
    <w:rsid w:val="526F6D01"/>
    <w:rsid w:val="52BF6755"/>
    <w:rsid w:val="52C553E8"/>
    <w:rsid w:val="531269BE"/>
    <w:rsid w:val="532B0085"/>
    <w:rsid w:val="53417BDE"/>
    <w:rsid w:val="535E1B1A"/>
    <w:rsid w:val="538E4E0E"/>
    <w:rsid w:val="53986FA1"/>
    <w:rsid w:val="539B3D11"/>
    <w:rsid w:val="53BD7396"/>
    <w:rsid w:val="53CE4D8C"/>
    <w:rsid w:val="53FE35C2"/>
    <w:rsid w:val="540168F4"/>
    <w:rsid w:val="548430A3"/>
    <w:rsid w:val="54CD7CB9"/>
    <w:rsid w:val="54E30E5A"/>
    <w:rsid w:val="55056B34"/>
    <w:rsid w:val="55684A1A"/>
    <w:rsid w:val="559521BD"/>
    <w:rsid w:val="55AD43BA"/>
    <w:rsid w:val="55C81083"/>
    <w:rsid w:val="55CA6BD2"/>
    <w:rsid w:val="56231C41"/>
    <w:rsid w:val="564163D1"/>
    <w:rsid w:val="56AC2568"/>
    <w:rsid w:val="56C41358"/>
    <w:rsid w:val="56DE70A5"/>
    <w:rsid w:val="56E878F7"/>
    <w:rsid w:val="57125BA7"/>
    <w:rsid w:val="5782519E"/>
    <w:rsid w:val="57A2040B"/>
    <w:rsid w:val="57A44EC0"/>
    <w:rsid w:val="57DC3357"/>
    <w:rsid w:val="580F7106"/>
    <w:rsid w:val="582664D1"/>
    <w:rsid w:val="58310F9B"/>
    <w:rsid w:val="58311772"/>
    <w:rsid w:val="583A6878"/>
    <w:rsid w:val="58754A86"/>
    <w:rsid w:val="58795B3D"/>
    <w:rsid w:val="587B2CDE"/>
    <w:rsid w:val="588A63B0"/>
    <w:rsid w:val="58E54DF2"/>
    <w:rsid w:val="593475CA"/>
    <w:rsid w:val="596F44BA"/>
    <w:rsid w:val="5976568E"/>
    <w:rsid w:val="59BE55DC"/>
    <w:rsid w:val="59EC5D9C"/>
    <w:rsid w:val="5A1A7162"/>
    <w:rsid w:val="5A2F0903"/>
    <w:rsid w:val="5A3508BF"/>
    <w:rsid w:val="5A753690"/>
    <w:rsid w:val="5AC35526"/>
    <w:rsid w:val="5AD230A1"/>
    <w:rsid w:val="5AE75489"/>
    <w:rsid w:val="5AFC3F58"/>
    <w:rsid w:val="5B0E4680"/>
    <w:rsid w:val="5B543D4B"/>
    <w:rsid w:val="5B9C65CF"/>
    <w:rsid w:val="5BFA2E1E"/>
    <w:rsid w:val="5C021D5C"/>
    <w:rsid w:val="5C12484B"/>
    <w:rsid w:val="5CD033D2"/>
    <w:rsid w:val="5CD746C6"/>
    <w:rsid w:val="5CEC60CF"/>
    <w:rsid w:val="5D02224E"/>
    <w:rsid w:val="5D0B433F"/>
    <w:rsid w:val="5D1F7DEB"/>
    <w:rsid w:val="5D256F17"/>
    <w:rsid w:val="5D566611"/>
    <w:rsid w:val="5D772828"/>
    <w:rsid w:val="5D7A3273"/>
    <w:rsid w:val="5D896E22"/>
    <w:rsid w:val="5E0A4A50"/>
    <w:rsid w:val="5F2D0E8F"/>
    <w:rsid w:val="5FEB2BA4"/>
    <w:rsid w:val="609A4BC4"/>
    <w:rsid w:val="60D0211B"/>
    <w:rsid w:val="60F5158E"/>
    <w:rsid w:val="6104719B"/>
    <w:rsid w:val="61406F7C"/>
    <w:rsid w:val="6171498D"/>
    <w:rsid w:val="617E2025"/>
    <w:rsid w:val="61EE441B"/>
    <w:rsid w:val="61F20540"/>
    <w:rsid w:val="620D3BAE"/>
    <w:rsid w:val="62483940"/>
    <w:rsid w:val="62756CD8"/>
    <w:rsid w:val="629D6F4C"/>
    <w:rsid w:val="62C55526"/>
    <w:rsid w:val="62CF0A7D"/>
    <w:rsid w:val="62DD410F"/>
    <w:rsid w:val="62EE64CA"/>
    <w:rsid w:val="62F30E54"/>
    <w:rsid w:val="63003C41"/>
    <w:rsid w:val="63F7395E"/>
    <w:rsid w:val="64104514"/>
    <w:rsid w:val="642369C3"/>
    <w:rsid w:val="64433C52"/>
    <w:rsid w:val="645C4BBE"/>
    <w:rsid w:val="645D0573"/>
    <w:rsid w:val="64E533D4"/>
    <w:rsid w:val="65640DB5"/>
    <w:rsid w:val="65EF244B"/>
    <w:rsid w:val="66215B04"/>
    <w:rsid w:val="66266BF4"/>
    <w:rsid w:val="66342560"/>
    <w:rsid w:val="663F469F"/>
    <w:rsid w:val="667E3DD4"/>
    <w:rsid w:val="669B2A1A"/>
    <w:rsid w:val="66BA1864"/>
    <w:rsid w:val="66FD01A0"/>
    <w:rsid w:val="67893B07"/>
    <w:rsid w:val="67DD08A6"/>
    <w:rsid w:val="67F535C2"/>
    <w:rsid w:val="68A51D8F"/>
    <w:rsid w:val="68AD105E"/>
    <w:rsid w:val="68E63001"/>
    <w:rsid w:val="6902695F"/>
    <w:rsid w:val="692D337C"/>
    <w:rsid w:val="69507E77"/>
    <w:rsid w:val="69CE7367"/>
    <w:rsid w:val="6A3A435E"/>
    <w:rsid w:val="6A911D7B"/>
    <w:rsid w:val="6ABE35C7"/>
    <w:rsid w:val="6B1765A5"/>
    <w:rsid w:val="6B3C4D16"/>
    <w:rsid w:val="6C0C66AB"/>
    <w:rsid w:val="6C1D5A8D"/>
    <w:rsid w:val="6C506D05"/>
    <w:rsid w:val="6C781169"/>
    <w:rsid w:val="6CAB3449"/>
    <w:rsid w:val="6CB5299E"/>
    <w:rsid w:val="6CC91D04"/>
    <w:rsid w:val="6CD754CF"/>
    <w:rsid w:val="6CD9476D"/>
    <w:rsid w:val="6D3F6E6A"/>
    <w:rsid w:val="6E5626ED"/>
    <w:rsid w:val="6E8F7551"/>
    <w:rsid w:val="6E942999"/>
    <w:rsid w:val="6EB966E9"/>
    <w:rsid w:val="6ECA468E"/>
    <w:rsid w:val="6F1A3F97"/>
    <w:rsid w:val="6F241291"/>
    <w:rsid w:val="6F660A69"/>
    <w:rsid w:val="6FCC795E"/>
    <w:rsid w:val="700A4990"/>
    <w:rsid w:val="700F154C"/>
    <w:rsid w:val="7061300B"/>
    <w:rsid w:val="714C49C7"/>
    <w:rsid w:val="71EC67DB"/>
    <w:rsid w:val="72221950"/>
    <w:rsid w:val="72AD02ED"/>
    <w:rsid w:val="72F80286"/>
    <w:rsid w:val="7395083C"/>
    <w:rsid w:val="73C21591"/>
    <w:rsid w:val="74396504"/>
    <w:rsid w:val="74B06E8E"/>
    <w:rsid w:val="74B100E6"/>
    <w:rsid w:val="74E042F3"/>
    <w:rsid w:val="75001B2D"/>
    <w:rsid w:val="751A6115"/>
    <w:rsid w:val="752F13FF"/>
    <w:rsid w:val="75CD688F"/>
    <w:rsid w:val="75CF7149"/>
    <w:rsid w:val="765242FC"/>
    <w:rsid w:val="766B1D21"/>
    <w:rsid w:val="770E5CDE"/>
    <w:rsid w:val="772D017A"/>
    <w:rsid w:val="775D7768"/>
    <w:rsid w:val="780473EC"/>
    <w:rsid w:val="780B4978"/>
    <w:rsid w:val="781B18E6"/>
    <w:rsid w:val="785554EF"/>
    <w:rsid w:val="78732E72"/>
    <w:rsid w:val="78FF727A"/>
    <w:rsid w:val="790F0AA9"/>
    <w:rsid w:val="790F45F0"/>
    <w:rsid w:val="7919031A"/>
    <w:rsid w:val="794022C6"/>
    <w:rsid w:val="7957552B"/>
    <w:rsid w:val="79CE505D"/>
    <w:rsid w:val="7A5B19C1"/>
    <w:rsid w:val="7A5C1D7E"/>
    <w:rsid w:val="7A61281C"/>
    <w:rsid w:val="7A7B5E5C"/>
    <w:rsid w:val="7AC34054"/>
    <w:rsid w:val="7AD6524D"/>
    <w:rsid w:val="7AD71832"/>
    <w:rsid w:val="7B8F410F"/>
    <w:rsid w:val="7BF55D0D"/>
    <w:rsid w:val="7C2C1A43"/>
    <w:rsid w:val="7C2C344B"/>
    <w:rsid w:val="7CD34258"/>
    <w:rsid w:val="7CFA5AC2"/>
    <w:rsid w:val="7D1D57F3"/>
    <w:rsid w:val="7D4A7313"/>
    <w:rsid w:val="7D62210E"/>
    <w:rsid w:val="7DA737B9"/>
    <w:rsid w:val="7DF41070"/>
    <w:rsid w:val="7E1069C4"/>
    <w:rsid w:val="7E3E5CEE"/>
    <w:rsid w:val="7E4160B8"/>
    <w:rsid w:val="7E9140CF"/>
    <w:rsid w:val="7ED42FFD"/>
    <w:rsid w:val="7EFA5574"/>
    <w:rsid w:val="7FB421BD"/>
    <w:rsid w:val="7FE95FF3"/>
    <w:rsid w:val="B7525353"/>
    <w:rsid w:val="BEFB7FAA"/>
    <w:rsid w:val="E3F74D71"/>
    <w:rsid w:val="F86D44DE"/>
    <w:rsid w:val="FAAB25AB"/>
    <w:rsid w:val="FF6C1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iPriority="35"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5"/>
    <w:next w:val="1"/>
    <w:link w:val="73"/>
    <w:qFormat/>
    <w:uiPriority w:val="0"/>
    <w:pPr>
      <w:keepNext/>
      <w:keepLines/>
      <w:numPr>
        <w:ilvl w:val="0"/>
        <w:numId w:val="1"/>
      </w:numPr>
      <w:tabs>
        <w:tab w:val="left" w:pos="1080"/>
      </w:tabs>
      <w:spacing w:before="340" w:after="330" w:line="578" w:lineRule="auto"/>
      <w:outlineLvl w:val="0"/>
    </w:pPr>
    <w:rPr>
      <w:kern w:val="44"/>
      <w:sz w:val="44"/>
      <w:szCs w:val="44"/>
    </w:rPr>
  </w:style>
  <w:style w:type="paragraph" w:styleId="6">
    <w:name w:val="heading 2"/>
    <w:basedOn w:val="1"/>
    <w:next w:val="1"/>
    <w:link w:val="74"/>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7">
    <w:name w:val="heading 3"/>
    <w:basedOn w:val="1"/>
    <w:next w:val="1"/>
    <w:link w:val="75"/>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8">
    <w:name w:val="heading 4"/>
    <w:basedOn w:val="1"/>
    <w:next w:val="1"/>
    <w:link w:val="76"/>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9">
    <w:name w:val="heading 5"/>
    <w:basedOn w:val="1"/>
    <w:next w:val="1"/>
    <w:link w:val="77"/>
    <w:qFormat/>
    <w:uiPriority w:val="0"/>
    <w:pPr>
      <w:ind w:left="1008" w:hanging="432"/>
      <w:outlineLvl w:val="4"/>
    </w:pPr>
    <w:rPr>
      <w:rFonts w:ascii="Times New Roman" w:hAnsi="Times New Roman"/>
      <w:kern w:val="0"/>
      <w:sz w:val="20"/>
      <w:szCs w:val="20"/>
    </w:rPr>
  </w:style>
  <w:style w:type="paragraph" w:styleId="10">
    <w:name w:val="heading 6"/>
    <w:basedOn w:val="1"/>
    <w:next w:val="1"/>
    <w:link w:val="78"/>
    <w:qFormat/>
    <w:uiPriority w:val="0"/>
    <w:pPr>
      <w:ind w:left="1152" w:hanging="432"/>
      <w:outlineLvl w:val="5"/>
    </w:pPr>
    <w:rPr>
      <w:rFonts w:ascii="Times New Roman" w:hAnsi="Times New Roman"/>
      <w:kern w:val="0"/>
      <w:sz w:val="20"/>
      <w:szCs w:val="20"/>
    </w:rPr>
  </w:style>
  <w:style w:type="paragraph" w:styleId="11">
    <w:name w:val="heading 7"/>
    <w:basedOn w:val="1"/>
    <w:next w:val="1"/>
    <w:link w:val="79"/>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2">
    <w:name w:val="heading 8"/>
    <w:basedOn w:val="1"/>
    <w:next w:val="1"/>
    <w:link w:val="80"/>
    <w:qFormat/>
    <w:uiPriority w:val="0"/>
    <w:pPr>
      <w:ind w:left="1440" w:hanging="432"/>
      <w:outlineLvl w:val="7"/>
    </w:pPr>
    <w:rPr>
      <w:rFonts w:ascii="Times New Roman" w:hAnsi="Times New Roman"/>
      <w:kern w:val="0"/>
      <w:sz w:val="20"/>
      <w:szCs w:val="20"/>
    </w:rPr>
  </w:style>
  <w:style w:type="paragraph" w:styleId="13">
    <w:name w:val="heading 9"/>
    <w:basedOn w:val="1"/>
    <w:next w:val="1"/>
    <w:link w:val="81"/>
    <w:qFormat/>
    <w:uiPriority w:val="0"/>
    <w:pPr>
      <w:ind w:left="1584" w:hanging="144"/>
      <w:outlineLvl w:val="8"/>
    </w:pPr>
    <w:rPr>
      <w:rFonts w:ascii="Times New Roman" w:hAnsi="Times New Roman"/>
      <w:kern w:val="0"/>
      <w:sz w:val="20"/>
      <w:szCs w:val="20"/>
    </w:rPr>
  </w:style>
  <w:style w:type="character" w:default="1" w:styleId="57">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link w:val="91"/>
    <w:qFormat/>
    <w:uiPriority w:val="0"/>
    <w:pPr>
      <w:spacing w:line="520" w:lineRule="exact"/>
      <w:ind w:firstLine="1285" w:firstLineChars="400"/>
      <w:jc w:val="left"/>
      <w:pPrChange w:id="0" w:author="磊 俞" w:date="2024-05-09T16:08:00Z">
        <w:pPr>
          <w:widowControl w:val="0"/>
          <w:jc w:val="both"/>
        </w:pPr>
      </w:pPrChange>
    </w:pPr>
    <w:rPr>
      <w:rFonts w:ascii="宋体" w:hAnsi="Courier New"/>
      <w:szCs w:val="21"/>
      <w:rPrChange w:id="1" w:author="磊 俞" w:date="2024-05-09T16:08:00Z">
        <w:rPr>
          <w:rFonts w:ascii="宋体" w:hAnsi="Courier New" w:eastAsia="宋体"/>
          <w:kern w:val="2"/>
          <w:sz w:val="21"/>
          <w:szCs w:val="21"/>
          <w:lang w:val="en-US" w:eastAsia="zh-CN" w:bidi="ar-SA"/>
        </w:rPr>
      </w:rPrChange>
    </w:rPr>
  </w:style>
  <w:style w:type="paragraph" w:styleId="3">
    <w:name w:val="index 8"/>
    <w:basedOn w:val="1"/>
    <w:next w:val="1"/>
    <w:qFormat/>
    <w:uiPriority w:val="0"/>
    <w:pPr>
      <w:ind w:left="1400" w:leftChars="1400"/>
    </w:pPr>
    <w:rPr>
      <w:rFonts w:ascii="Times New Roman" w:hAnsi="Times New Roman"/>
      <w:szCs w:val="24"/>
    </w:rPr>
  </w:style>
  <w:style w:type="paragraph" w:styleId="5">
    <w:name w:val="Title"/>
    <w:basedOn w:val="1"/>
    <w:next w:val="1"/>
    <w:link w:val="158"/>
    <w:qFormat/>
    <w:uiPriority w:val="0"/>
    <w:pPr>
      <w:spacing w:before="240" w:after="60"/>
      <w:jc w:val="center"/>
      <w:outlineLvl w:val="0"/>
    </w:pPr>
    <w:rPr>
      <w:rFonts w:ascii="Cambria" w:hAnsi="Cambria"/>
      <w:b/>
      <w:bCs/>
      <w:sz w:val="32"/>
      <w:szCs w:val="32"/>
    </w:rPr>
  </w:style>
  <w:style w:type="paragraph" w:styleId="14">
    <w:name w:val="toc 7"/>
    <w:basedOn w:val="1"/>
    <w:next w:val="1"/>
    <w:unhideWhenUsed/>
    <w:qFormat/>
    <w:uiPriority w:val="0"/>
    <w:pPr>
      <w:ind w:left="2520" w:leftChars="1200"/>
    </w:pPr>
  </w:style>
  <w:style w:type="paragraph" w:styleId="15">
    <w:name w:val="Note Heading"/>
    <w:basedOn w:val="1"/>
    <w:next w:val="1"/>
    <w:link w:val="117"/>
    <w:semiHidden/>
    <w:qFormat/>
    <w:uiPriority w:val="0"/>
    <w:pPr>
      <w:jc w:val="center"/>
    </w:pPr>
    <w:rPr>
      <w:rFonts w:ascii="Times New Roman" w:hAnsi="Times New Roman"/>
      <w:szCs w:val="24"/>
    </w:rPr>
  </w:style>
  <w:style w:type="paragraph" w:styleId="16">
    <w:name w:val="E-mail Signature"/>
    <w:basedOn w:val="1"/>
    <w:link w:val="118"/>
    <w:semiHidden/>
    <w:qFormat/>
    <w:uiPriority w:val="0"/>
    <w:rPr>
      <w:rFonts w:ascii="Times New Roman" w:hAnsi="Times New Roman"/>
      <w:szCs w:val="24"/>
    </w:rPr>
  </w:style>
  <w:style w:type="paragraph" w:styleId="17">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8">
    <w:name w:val="List Bullet"/>
    <w:basedOn w:val="1"/>
    <w:semiHidden/>
    <w:qFormat/>
    <w:uiPriority w:val="0"/>
    <w:pPr>
      <w:tabs>
        <w:tab w:val="left" w:pos="360"/>
      </w:tabs>
      <w:ind w:left="360" w:hanging="360"/>
    </w:pPr>
    <w:rPr>
      <w:rFonts w:ascii="Times New Roman" w:hAnsi="Times New Roman"/>
      <w:szCs w:val="24"/>
    </w:rPr>
  </w:style>
  <w:style w:type="paragraph" w:styleId="19">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0">
    <w:name w:val="Document Map"/>
    <w:basedOn w:val="1"/>
    <w:link w:val="95"/>
    <w:unhideWhenUsed/>
    <w:qFormat/>
    <w:uiPriority w:val="0"/>
    <w:rPr>
      <w:rFonts w:ascii="宋体"/>
      <w:sz w:val="18"/>
      <w:szCs w:val="18"/>
    </w:rPr>
  </w:style>
  <w:style w:type="paragraph" w:styleId="21">
    <w:name w:val="annotation text"/>
    <w:basedOn w:val="1"/>
    <w:link w:val="87"/>
    <w:unhideWhenUsed/>
    <w:qFormat/>
    <w:uiPriority w:val="0"/>
    <w:pPr>
      <w:jc w:val="left"/>
    </w:pPr>
  </w:style>
  <w:style w:type="paragraph" w:styleId="22">
    <w:name w:val="Salutation"/>
    <w:basedOn w:val="1"/>
    <w:next w:val="1"/>
    <w:link w:val="119"/>
    <w:semiHidden/>
    <w:qFormat/>
    <w:uiPriority w:val="0"/>
    <w:rPr>
      <w:rFonts w:ascii="Times New Roman" w:hAnsi="Times New Roman"/>
      <w:szCs w:val="24"/>
    </w:rPr>
  </w:style>
  <w:style w:type="paragraph" w:styleId="23">
    <w:name w:val="Body Text 3"/>
    <w:basedOn w:val="1"/>
    <w:link w:val="120"/>
    <w:semiHidden/>
    <w:qFormat/>
    <w:uiPriority w:val="0"/>
    <w:pPr>
      <w:spacing w:after="120"/>
    </w:pPr>
    <w:rPr>
      <w:rFonts w:ascii="Times New Roman" w:hAnsi="Times New Roman"/>
      <w:sz w:val="16"/>
      <w:szCs w:val="16"/>
    </w:rPr>
  </w:style>
  <w:style w:type="paragraph" w:styleId="24">
    <w:name w:val="Closing"/>
    <w:basedOn w:val="1"/>
    <w:link w:val="121"/>
    <w:semiHidden/>
    <w:qFormat/>
    <w:uiPriority w:val="0"/>
    <w:pPr>
      <w:ind w:left="100" w:leftChars="2100"/>
    </w:pPr>
    <w:rPr>
      <w:rFonts w:ascii="Times New Roman" w:hAnsi="Times New Roman"/>
      <w:szCs w:val="24"/>
    </w:rPr>
  </w:style>
  <w:style w:type="paragraph" w:styleId="25">
    <w:name w:val="Body Text"/>
    <w:basedOn w:val="1"/>
    <w:next w:val="1"/>
    <w:link w:val="88"/>
    <w:qFormat/>
    <w:uiPriority w:val="99"/>
    <w:pPr>
      <w:spacing w:line="360" w:lineRule="auto"/>
    </w:pPr>
    <w:rPr>
      <w:rFonts w:ascii="宋体" w:hAnsi="宋体"/>
      <w:kern w:val="0"/>
      <w:sz w:val="24"/>
      <w:szCs w:val="24"/>
    </w:rPr>
  </w:style>
  <w:style w:type="paragraph" w:styleId="26">
    <w:name w:val="Body Text Indent"/>
    <w:basedOn w:val="1"/>
    <w:link w:val="86"/>
    <w:unhideWhenUsed/>
    <w:qFormat/>
    <w:uiPriority w:val="99"/>
    <w:pPr>
      <w:spacing w:after="120"/>
      <w:ind w:left="420" w:leftChars="200"/>
    </w:pPr>
  </w:style>
  <w:style w:type="paragraph" w:styleId="27">
    <w:name w:val="HTML Address"/>
    <w:basedOn w:val="1"/>
    <w:link w:val="122"/>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toc 8"/>
    <w:basedOn w:val="1"/>
    <w:next w:val="1"/>
    <w:semiHidden/>
    <w:qFormat/>
    <w:uiPriority w:val="0"/>
    <w:pPr>
      <w:ind w:left="2940" w:leftChars="1400"/>
    </w:pPr>
  </w:style>
  <w:style w:type="paragraph" w:styleId="31">
    <w:name w:val="Date"/>
    <w:basedOn w:val="1"/>
    <w:next w:val="1"/>
    <w:link w:val="123"/>
    <w:unhideWhenUsed/>
    <w:qFormat/>
    <w:uiPriority w:val="0"/>
    <w:pPr>
      <w:ind w:left="100" w:leftChars="2500"/>
    </w:pPr>
    <w:rPr>
      <w:rFonts w:ascii="Times New Roman" w:hAnsi="Times New Roman"/>
      <w:szCs w:val="20"/>
    </w:rPr>
  </w:style>
  <w:style w:type="paragraph" w:styleId="32">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3">
    <w:name w:val="endnote text"/>
    <w:basedOn w:val="1"/>
    <w:link w:val="125"/>
    <w:semiHidden/>
    <w:qFormat/>
    <w:uiPriority w:val="0"/>
    <w:pPr>
      <w:snapToGrid w:val="0"/>
      <w:jc w:val="left"/>
    </w:pPr>
    <w:rPr>
      <w:rFonts w:ascii="Times New Roman" w:hAnsi="Times New Roman"/>
      <w:szCs w:val="24"/>
    </w:rPr>
  </w:style>
  <w:style w:type="paragraph" w:styleId="34">
    <w:name w:val="Balloon Text"/>
    <w:basedOn w:val="1"/>
    <w:link w:val="90"/>
    <w:unhideWhenUsed/>
    <w:qFormat/>
    <w:uiPriority w:val="0"/>
    <w:rPr>
      <w:kern w:val="0"/>
      <w:sz w:val="18"/>
      <w:szCs w:val="18"/>
    </w:rPr>
  </w:style>
  <w:style w:type="paragraph" w:styleId="35">
    <w:name w:val="footer"/>
    <w:basedOn w:val="1"/>
    <w:link w:val="89"/>
    <w:unhideWhenUsed/>
    <w:qFormat/>
    <w:uiPriority w:val="0"/>
    <w:pPr>
      <w:tabs>
        <w:tab w:val="center" w:pos="4153"/>
        <w:tab w:val="right" w:pos="8306"/>
      </w:tabs>
      <w:snapToGrid w:val="0"/>
      <w:jc w:val="left"/>
    </w:pPr>
    <w:rPr>
      <w:kern w:val="0"/>
      <w:sz w:val="18"/>
      <w:szCs w:val="18"/>
    </w:rPr>
  </w:style>
  <w:style w:type="paragraph" w:styleId="36">
    <w:name w:val="header"/>
    <w:basedOn w:val="1"/>
    <w:link w:val="82"/>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7">
    <w:name w:val="Signature"/>
    <w:basedOn w:val="1"/>
    <w:link w:val="126"/>
    <w:semiHidden/>
    <w:qFormat/>
    <w:uiPriority w:val="0"/>
    <w:pPr>
      <w:ind w:left="100" w:leftChars="2100"/>
    </w:pPr>
    <w:rPr>
      <w:rFonts w:ascii="Times New Roman" w:hAnsi="Times New Roman"/>
      <w:szCs w:val="24"/>
    </w:rPr>
  </w:style>
  <w:style w:type="paragraph" w:styleId="38">
    <w:name w:val="toc 1"/>
    <w:basedOn w:val="1"/>
    <w:next w:val="1"/>
    <w:unhideWhenUsed/>
    <w:qFormat/>
    <w:uiPriority w:val="0"/>
  </w:style>
  <w:style w:type="paragraph" w:styleId="39">
    <w:name w:val="toc 4"/>
    <w:basedOn w:val="1"/>
    <w:next w:val="1"/>
    <w:unhideWhenUsed/>
    <w:qFormat/>
    <w:uiPriority w:val="0"/>
    <w:pPr>
      <w:ind w:left="1260" w:leftChars="600"/>
    </w:pPr>
  </w:style>
  <w:style w:type="paragraph" w:styleId="40">
    <w:name w:val="Subtitle"/>
    <w:basedOn w:val="1"/>
    <w:next w:val="1"/>
    <w:link w:val="154"/>
    <w:qFormat/>
    <w:uiPriority w:val="11"/>
    <w:pPr>
      <w:spacing w:before="240" w:after="60" w:line="312" w:lineRule="auto"/>
      <w:jc w:val="center"/>
      <w:outlineLvl w:val="1"/>
    </w:pPr>
    <w:rPr>
      <w:rFonts w:ascii="Cambria" w:hAnsi="Cambria"/>
      <w:b/>
      <w:bCs/>
      <w:kern w:val="28"/>
      <w:sz w:val="32"/>
      <w:szCs w:val="32"/>
    </w:rPr>
  </w:style>
  <w:style w:type="paragraph" w:styleId="41">
    <w:name w:val="List"/>
    <w:basedOn w:val="1"/>
    <w:semiHidden/>
    <w:qFormat/>
    <w:uiPriority w:val="0"/>
    <w:pPr>
      <w:ind w:left="200" w:hanging="200" w:hangingChars="200"/>
    </w:pPr>
    <w:rPr>
      <w:rFonts w:ascii="Times New Roman" w:hAnsi="Times New Roman"/>
      <w:szCs w:val="24"/>
    </w:rPr>
  </w:style>
  <w:style w:type="paragraph" w:styleId="42">
    <w:name w:val="footnote text"/>
    <w:basedOn w:val="1"/>
    <w:link w:val="127"/>
    <w:semiHidden/>
    <w:qFormat/>
    <w:uiPriority w:val="0"/>
    <w:pPr>
      <w:snapToGrid w:val="0"/>
      <w:jc w:val="left"/>
    </w:pPr>
    <w:rPr>
      <w:rFonts w:ascii="Times New Roman" w:hAnsi="Times New Roman"/>
      <w:sz w:val="18"/>
      <w:szCs w:val="20"/>
    </w:rPr>
  </w:style>
  <w:style w:type="paragraph" w:styleId="43">
    <w:name w:val="toc 6"/>
    <w:basedOn w:val="1"/>
    <w:next w:val="1"/>
    <w:unhideWhenUsed/>
    <w:qFormat/>
    <w:uiPriority w:val="0"/>
    <w:pPr>
      <w:ind w:left="2100" w:leftChars="1000"/>
    </w:pPr>
  </w:style>
  <w:style w:type="paragraph" w:styleId="44">
    <w:name w:val="toc 2"/>
    <w:basedOn w:val="1"/>
    <w:next w:val="1"/>
    <w:unhideWhenUsed/>
    <w:qFormat/>
    <w:uiPriority w:val="0"/>
    <w:pPr>
      <w:ind w:left="420" w:leftChars="200"/>
    </w:pPr>
  </w:style>
  <w:style w:type="paragraph" w:styleId="45">
    <w:name w:val="toc 9"/>
    <w:basedOn w:val="1"/>
    <w:next w:val="1"/>
    <w:unhideWhenUsed/>
    <w:qFormat/>
    <w:uiPriority w:val="0"/>
    <w:pPr>
      <w:ind w:left="3360" w:leftChars="1600"/>
    </w:pPr>
  </w:style>
  <w:style w:type="paragraph" w:styleId="46">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7">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9">
    <w:name w:val="index 1"/>
    <w:basedOn w:val="1"/>
    <w:next w:val="1"/>
    <w:unhideWhenUsed/>
    <w:qFormat/>
    <w:uiPriority w:val="0"/>
  </w:style>
  <w:style w:type="paragraph" w:styleId="50">
    <w:name w:val="annotation subject"/>
    <w:basedOn w:val="21"/>
    <w:next w:val="21"/>
    <w:link w:val="96"/>
    <w:unhideWhenUsed/>
    <w:qFormat/>
    <w:uiPriority w:val="0"/>
    <w:rPr>
      <w:b/>
      <w:bCs/>
    </w:rPr>
  </w:style>
  <w:style w:type="paragraph" w:styleId="51">
    <w:name w:val="Body Text First Indent"/>
    <w:basedOn w:val="25"/>
    <w:link w:val="114"/>
    <w:unhideWhenUsed/>
    <w:qFormat/>
    <w:uiPriority w:val="0"/>
    <w:pPr>
      <w:spacing w:after="120" w:line="240" w:lineRule="auto"/>
      <w:ind w:firstLine="420" w:firstLineChars="100"/>
    </w:pPr>
    <w:rPr>
      <w:rFonts w:ascii="Calibri" w:hAnsi="Calibri"/>
      <w:kern w:val="2"/>
      <w:sz w:val="21"/>
      <w:szCs w:val="22"/>
    </w:rPr>
  </w:style>
  <w:style w:type="paragraph" w:styleId="52">
    <w:name w:val="Body Text First Indent 2"/>
    <w:basedOn w:val="26"/>
    <w:link w:val="85"/>
    <w:unhideWhenUsed/>
    <w:qFormat/>
    <w:uiPriority w:val="0"/>
    <w:pPr>
      <w:ind w:firstLine="420" w:firstLineChars="200"/>
    </w:pPr>
  </w:style>
  <w:style w:type="table" w:styleId="54">
    <w:name w:val="Table Grid"/>
    <w:basedOn w:val="5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5">
    <w:name w:val="Table List 4"/>
    <w:basedOn w:val="53"/>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6">
    <w:name w:val="Table List 5"/>
    <w:basedOn w:val="53"/>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8">
    <w:name w:val="Strong"/>
    <w:basedOn w:val="57"/>
    <w:qFormat/>
    <w:uiPriority w:val="22"/>
    <w:rPr>
      <w:b/>
    </w:rPr>
  </w:style>
  <w:style w:type="character" w:styleId="59">
    <w:name w:val="endnote reference"/>
    <w:semiHidden/>
    <w:qFormat/>
    <w:uiPriority w:val="0"/>
    <w:rPr>
      <w:vertAlign w:val="superscript"/>
    </w:rPr>
  </w:style>
  <w:style w:type="character" w:styleId="60">
    <w:name w:val="page number"/>
    <w:basedOn w:val="57"/>
    <w:unhideWhenUsed/>
    <w:qFormat/>
    <w:uiPriority w:val="99"/>
  </w:style>
  <w:style w:type="character" w:styleId="61">
    <w:name w:val="FollowedHyperlink"/>
    <w:qFormat/>
    <w:uiPriority w:val="99"/>
    <w:rPr>
      <w:color w:val="800080"/>
      <w:u w:val="single"/>
    </w:rPr>
  </w:style>
  <w:style w:type="character" w:styleId="62">
    <w:name w:val="Emphasis"/>
    <w:basedOn w:val="57"/>
    <w:qFormat/>
    <w:uiPriority w:val="20"/>
  </w:style>
  <w:style w:type="character" w:styleId="63">
    <w:name w:val="HTML Definition"/>
    <w:qFormat/>
    <w:uiPriority w:val="0"/>
    <w:rPr>
      <w:i/>
      <w:iCs/>
    </w:rPr>
  </w:style>
  <w:style w:type="character" w:styleId="64">
    <w:name w:val="HTML Typewriter"/>
    <w:semiHidden/>
    <w:qFormat/>
    <w:uiPriority w:val="0"/>
    <w:rPr>
      <w:rFonts w:ascii="Courier New" w:hAnsi="Courier New" w:cs="Courier New"/>
      <w:sz w:val="20"/>
      <w:szCs w:val="20"/>
    </w:rPr>
  </w:style>
  <w:style w:type="character" w:styleId="65">
    <w:name w:val="HTML Variable"/>
    <w:qFormat/>
    <w:uiPriority w:val="0"/>
    <w:rPr>
      <w:i/>
      <w:iCs/>
    </w:rPr>
  </w:style>
  <w:style w:type="character" w:styleId="66">
    <w:name w:val="Hyperlink"/>
    <w:qFormat/>
    <w:uiPriority w:val="0"/>
    <w:rPr>
      <w:color w:val="0000FF"/>
      <w:u w:val="single"/>
    </w:rPr>
  </w:style>
  <w:style w:type="character" w:styleId="67">
    <w:name w:val="HTML Code"/>
    <w:qFormat/>
    <w:uiPriority w:val="0"/>
    <w:rPr>
      <w:rFonts w:ascii="Courier New" w:hAnsi="Courier New" w:cs="Courier New"/>
      <w:sz w:val="20"/>
      <w:szCs w:val="20"/>
    </w:rPr>
  </w:style>
  <w:style w:type="character" w:styleId="68">
    <w:name w:val="annotation reference"/>
    <w:unhideWhenUsed/>
    <w:qFormat/>
    <w:uiPriority w:val="0"/>
    <w:rPr>
      <w:sz w:val="21"/>
      <w:szCs w:val="21"/>
    </w:rPr>
  </w:style>
  <w:style w:type="character" w:styleId="69">
    <w:name w:val="HTML Cite"/>
    <w:qFormat/>
    <w:uiPriority w:val="0"/>
    <w:rPr>
      <w:i/>
      <w:iCs/>
    </w:rPr>
  </w:style>
  <w:style w:type="character" w:styleId="70">
    <w:name w:val="footnote reference"/>
    <w:semiHidden/>
    <w:qFormat/>
    <w:uiPriority w:val="0"/>
    <w:rPr>
      <w:vertAlign w:val="superscript"/>
    </w:rPr>
  </w:style>
  <w:style w:type="character" w:styleId="71">
    <w:name w:val="HTML Keyboard"/>
    <w:qFormat/>
    <w:uiPriority w:val="0"/>
    <w:rPr>
      <w:rFonts w:ascii="Courier New" w:hAnsi="Courier New" w:cs="Courier New"/>
      <w:sz w:val="20"/>
      <w:szCs w:val="20"/>
    </w:rPr>
  </w:style>
  <w:style w:type="character" w:styleId="72">
    <w:name w:val="HTML Sample"/>
    <w:qFormat/>
    <w:uiPriority w:val="0"/>
    <w:rPr>
      <w:rFonts w:ascii="Courier New" w:hAnsi="Courier New" w:cs="Courier New"/>
    </w:rPr>
  </w:style>
  <w:style w:type="character" w:customStyle="1" w:styleId="73">
    <w:name w:val="标题 1 字符"/>
    <w:link w:val="4"/>
    <w:qFormat/>
    <w:uiPriority w:val="0"/>
    <w:rPr>
      <w:b/>
      <w:bCs/>
      <w:kern w:val="44"/>
      <w:sz w:val="44"/>
      <w:szCs w:val="44"/>
    </w:rPr>
  </w:style>
  <w:style w:type="character" w:customStyle="1" w:styleId="74">
    <w:name w:val="标题 2 字符"/>
    <w:basedOn w:val="57"/>
    <w:link w:val="6"/>
    <w:qFormat/>
    <w:uiPriority w:val="0"/>
    <w:rPr>
      <w:rFonts w:ascii="Cambria" w:hAnsi="Cambria" w:eastAsia="宋体"/>
      <w:b/>
      <w:bCs/>
      <w:kern w:val="2"/>
      <w:sz w:val="32"/>
      <w:szCs w:val="32"/>
      <w:lang w:val="en-US" w:eastAsia="zh-CN" w:bidi="ar-SA"/>
    </w:rPr>
  </w:style>
  <w:style w:type="character" w:customStyle="1" w:styleId="75">
    <w:name w:val="标题 3 字符"/>
    <w:link w:val="7"/>
    <w:qFormat/>
    <w:uiPriority w:val="0"/>
    <w:rPr>
      <w:rFonts w:ascii="Calibri" w:hAnsi="Calibri" w:eastAsia="宋体"/>
      <w:b/>
      <w:bCs/>
      <w:kern w:val="2"/>
      <w:sz w:val="32"/>
      <w:szCs w:val="32"/>
      <w:lang w:val="en-US" w:eastAsia="zh-CN" w:bidi="ar-SA"/>
    </w:rPr>
  </w:style>
  <w:style w:type="character" w:customStyle="1" w:styleId="76">
    <w:name w:val="标题 4 字符"/>
    <w:link w:val="8"/>
    <w:qFormat/>
    <w:uiPriority w:val="0"/>
    <w:rPr>
      <w:rFonts w:ascii="宋体" w:hAnsi="宋体" w:eastAsia="宋体" w:cs="宋体"/>
      <w:b/>
      <w:bCs/>
      <w:sz w:val="24"/>
      <w:szCs w:val="24"/>
      <w:lang w:val="en-US" w:eastAsia="zh-CN" w:bidi="ar-SA"/>
    </w:rPr>
  </w:style>
  <w:style w:type="character" w:customStyle="1" w:styleId="77">
    <w:name w:val="标题 5 字符"/>
    <w:basedOn w:val="57"/>
    <w:link w:val="9"/>
    <w:qFormat/>
    <w:uiPriority w:val="0"/>
    <w:rPr>
      <w:rFonts w:ascii="Times New Roman" w:hAnsi="Times New Roman"/>
    </w:rPr>
  </w:style>
  <w:style w:type="character" w:customStyle="1" w:styleId="78">
    <w:name w:val="标题 6 字符"/>
    <w:basedOn w:val="57"/>
    <w:link w:val="10"/>
    <w:qFormat/>
    <w:uiPriority w:val="0"/>
    <w:rPr>
      <w:rFonts w:ascii="Times New Roman" w:hAnsi="Times New Roman"/>
    </w:rPr>
  </w:style>
  <w:style w:type="character" w:customStyle="1" w:styleId="79">
    <w:name w:val="标题 7 字符"/>
    <w:link w:val="11"/>
    <w:qFormat/>
    <w:uiPriority w:val="0"/>
    <w:rPr>
      <w:rFonts w:ascii="Calibri" w:hAnsi="Calibri" w:eastAsia="宋体"/>
      <w:b/>
      <w:bCs/>
      <w:kern w:val="2"/>
      <w:sz w:val="24"/>
      <w:szCs w:val="24"/>
      <w:lang w:val="en-US" w:eastAsia="zh-CN" w:bidi="ar-SA"/>
    </w:rPr>
  </w:style>
  <w:style w:type="character" w:customStyle="1" w:styleId="80">
    <w:name w:val="标题 8 字符"/>
    <w:basedOn w:val="57"/>
    <w:link w:val="12"/>
    <w:qFormat/>
    <w:uiPriority w:val="0"/>
    <w:rPr>
      <w:rFonts w:ascii="Times New Roman" w:hAnsi="Times New Roman"/>
    </w:rPr>
  </w:style>
  <w:style w:type="character" w:customStyle="1" w:styleId="81">
    <w:name w:val="标题 9 字符"/>
    <w:basedOn w:val="57"/>
    <w:link w:val="13"/>
    <w:qFormat/>
    <w:uiPriority w:val="0"/>
    <w:rPr>
      <w:rFonts w:ascii="Times New Roman" w:hAnsi="Times New Roman"/>
    </w:rPr>
  </w:style>
  <w:style w:type="character" w:customStyle="1" w:styleId="82">
    <w:name w:val="页眉 字符"/>
    <w:link w:val="36"/>
    <w:qFormat/>
    <w:uiPriority w:val="0"/>
    <w:rPr>
      <w:sz w:val="18"/>
      <w:szCs w:val="18"/>
    </w:rPr>
  </w:style>
  <w:style w:type="character" w:styleId="83">
    <w:name w:val="Placeholder Text"/>
    <w:semiHidden/>
    <w:qFormat/>
    <w:uiPriority w:val="99"/>
    <w:rPr>
      <w:color w:val="808080"/>
    </w:rPr>
  </w:style>
  <w:style w:type="character" w:customStyle="1" w:styleId="84">
    <w:name w:val="标题1"/>
    <w:basedOn w:val="57"/>
    <w:qFormat/>
    <w:uiPriority w:val="0"/>
  </w:style>
  <w:style w:type="character" w:customStyle="1" w:styleId="85">
    <w:name w:val="正文文本首行缩进 2 字符"/>
    <w:basedOn w:val="86"/>
    <w:link w:val="52"/>
    <w:qFormat/>
    <w:uiPriority w:val="0"/>
  </w:style>
  <w:style w:type="character" w:customStyle="1" w:styleId="86">
    <w:name w:val="正文文本缩进 字符"/>
    <w:basedOn w:val="57"/>
    <w:link w:val="26"/>
    <w:semiHidden/>
    <w:qFormat/>
    <w:uiPriority w:val="99"/>
  </w:style>
  <w:style w:type="character" w:customStyle="1" w:styleId="87">
    <w:name w:val="批注文字 字符"/>
    <w:link w:val="21"/>
    <w:semiHidden/>
    <w:qFormat/>
    <w:uiPriority w:val="0"/>
    <w:rPr>
      <w:kern w:val="2"/>
      <w:sz w:val="21"/>
      <w:szCs w:val="22"/>
    </w:rPr>
  </w:style>
  <w:style w:type="character" w:customStyle="1" w:styleId="88">
    <w:name w:val="正文文本 字符"/>
    <w:link w:val="25"/>
    <w:qFormat/>
    <w:uiPriority w:val="99"/>
    <w:rPr>
      <w:rFonts w:ascii="宋体" w:hAnsi="宋体" w:eastAsia="宋体" w:cs="Times New Roman"/>
      <w:sz w:val="24"/>
      <w:szCs w:val="24"/>
    </w:rPr>
  </w:style>
  <w:style w:type="character" w:customStyle="1" w:styleId="89">
    <w:name w:val="页脚 字符"/>
    <w:link w:val="35"/>
    <w:qFormat/>
    <w:uiPriority w:val="0"/>
    <w:rPr>
      <w:sz w:val="18"/>
      <w:szCs w:val="18"/>
    </w:rPr>
  </w:style>
  <w:style w:type="character" w:customStyle="1" w:styleId="90">
    <w:name w:val="批注框文本 字符"/>
    <w:link w:val="34"/>
    <w:semiHidden/>
    <w:qFormat/>
    <w:uiPriority w:val="0"/>
    <w:rPr>
      <w:sz w:val="18"/>
      <w:szCs w:val="18"/>
    </w:rPr>
  </w:style>
  <w:style w:type="character" w:customStyle="1" w:styleId="91">
    <w:name w:val="纯文本 字符"/>
    <w:link w:val="2"/>
    <w:qFormat/>
    <w:uiPriority w:val="0"/>
    <w:rPr>
      <w:rFonts w:ascii="宋体" w:hAnsi="Courier New"/>
      <w:kern w:val="2"/>
      <w:sz w:val="21"/>
      <w:szCs w:val="21"/>
    </w:rPr>
  </w:style>
  <w:style w:type="character" w:customStyle="1" w:styleId="92">
    <w:name w:val="标题3 Char"/>
    <w:link w:val="93"/>
    <w:qFormat/>
    <w:uiPriority w:val="0"/>
    <w:rPr>
      <w:rFonts w:ascii="宋体" w:hAnsi="宋体"/>
      <w:color w:val="000000"/>
      <w:sz w:val="24"/>
    </w:rPr>
  </w:style>
  <w:style w:type="paragraph" w:customStyle="1" w:styleId="93">
    <w:name w:val="标题3"/>
    <w:basedOn w:val="7"/>
    <w:link w:val="92"/>
    <w:qFormat/>
    <w:uiPriority w:val="0"/>
    <w:pPr>
      <w:spacing w:line="360" w:lineRule="auto"/>
      <w:ind w:firstLine="472" w:firstLineChars="196"/>
    </w:pPr>
    <w:rPr>
      <w:rFonts w:ascii="宋体" w:hAnsi="宋体"/>
      <w:b w:val="0"/>
      <w:bCs w:val="0"/>
      <w:color w:val="000000"/>
      <w:kern w:val="0"/>
      <w:sz w:val="24"/>
      <w:szCs w:val="20"/>
    </w:rPr>
  </w:style>
  <w:style w:type="character" w:customStyle="1" w:styleId="94">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5">
    <w:name w:val="文档结构图 字符"/>
    <w:link w:val="20"/>
    <w:qFormat/>
    <w:uiPriority w:val="0"/>
    <w:rPr>
      <w:rFonts w:ascii="宋体"/>
      <w:kern w:val="2"/>
      <w:sz w:val="18"/>
      <w:szCs w:val="18"/>
    </w:rPr>
  </w:style>
  <w:style w:type="character" w:customStyle="1" w:styleId="96">
    <w:name w:val="批注主题 字符"/>
    <w:link w:val="50"/>
    <w:semiHidden/>
    <w:qFormat/>
    <w:uiPriority w:val="0"/>
    <w:rPr>
      <w:b/>
      <w:bCs/>
      <w:kern w:val="2"/>
      <w:sz w:val="21"/>
      <w:szCs w:val="22"/>
    </w:rPr>
  </w:style>
  <w:style w:type="paragraph" w:customStyle="1" w:styleId="97">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8">
    <w:name w:val="List Paragraph"/>
    <w:basedOn w:val="99"/>
    <w:qFormat/>
    <w:uiPriority w:val="34"/>
    <w:pPr>
      <w:ind w:firstLine="420" w:firstLineChars="200"/>
    </w:pPr>
  </w:style>
  <w:style w:type="paragraph" w:customStyle="1" w:styleId="99">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00">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6"/>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5"/>
    <w:qFormat/>
    <w:uiPriority w:val="0"/>
    <w:pPr>
      <w:spacing w:after="120"/>
    </w:pPr>
    <w:rPr>
      <w:rFonts w:hAnsi="Times New Roman"/>
      <w:sz w:val="21"/>
    </w:rPr>
  </w:style>
  <w:style w:type="paragraph" w:customStyle="1" w:styleId="110">
    <w:name w:val="DTZ Heading 2"/>
    <w:basedOn w:val="107"/>
    <w:next w:val="1"/>
    <w:qFormat/>
    <w:uiPriority w:val="0"/>
    <w:pPr>
      <w:numPr>
        <w:ilvl w:val="1"/>
      </w:numPr>
      <w:spacing w:after="0" w:line="340" w:lineRule="exact"/>
    </w:pPr>
    <w:rPr>
      <w:sz w:val="28"/>
    </w:rPr>
  </w:style>
  <w:style w:type="paragraph" w:customStyle="1" w:styleId="111">
    <w:name w:val="保留正文"/>
    <w:basedOn w:val="25"/>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文本首行缩进 字符"/>
    <w:basedOn w:val="88"/>
    <w:link w:val="51"/>
    <w:semiHidden/>
    <w:qFormat/>
    <w:uiPriority w:val="0"/>
    <w:rPr>
      <w:rFonts w:ascii="宋体" w:hAnsi="宋体" w:eastAsia="宋体" w:cs="Times New Roman"/>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字符"/>
    <w:basedOn w:val="57"/>
    <w:link w:val="15"/>
    <w:semiHidden/>
    <w:qFormat/>
    <w:uiPriority w:val="0"/>
    <w:rPr>
      <w:rFonts w:ascii="Times New Roman" w:hAnsi="Times New Roman"/>
      <w:kern w:val="2"/>
      <w:sz w:val="21"/>
      <w:szCs w:val="24"/>
    </w:rPr>
  </w:style>
  <w:style w:type="character" w:customStyle="1" w:styleId="118">
    <w:name w:val="电子邮件签名 字符"/>
    <w:basedOn w:val="57"/>
    <w:link w:val="16"/>
    <w:semiHidden/>
    <w:qFormat/>
    <w:uiPriority w:val="0"/>
    <w:rPr>
      <w:rFonts w:ascii="Times New Roman" w:hAnsi="Times New Roman"/>
      <w:kern w:val="2"/>
      <w:sz w:val="21"/>
      <w:szCs w:val="24"/>
    </w:rPr>
  </w:style>
  <w:style w:type="character" w:customStyle="1" w:styleId="119">
    <w:name w:val="称呼 字符"/>
    <w:basedOn w:val="57"/>
    <w:link w:val="22"/>
    <w:semiHidden/>
    <w:qFormat/>
    <w:uiPriority w:val="0"/>
    <w:rPr>
      <w:rFonts w:ascii="Times New Roman" w:hAnsi="Times New Roman"/>
      <w:kern w:val="2"/>
      <w:sz w:val="21"/>
      <w:szCs w:val="24"/>
    </w:rPr>
  </w:style>
  <w:style w:type="character" w:customStyle="1" w:styleId="120">
    <w:name w:val="正文文本 3 字符"/>
    <w:basedOn w:val="57"/>
    <w:link w:val="23"/>
    <w:semiHidden/>
    <w:qFormat/>
    <w:uiPriority w:val="0"/>
    <w:rPr>
      <w:rFonts w:ascii="Times New Roman" w:hAnsi="Times New Roman"/>
      <w:kern w:val="2"/>
      <w:sz w:val="16"/>
      <w:szCs w:val="16"/>
    </w:rPr>
  </w:style>
  <w:style w:type="character" w:customStyle="1" w:styleId="121">
    <w:name w:val="结束语 字符"/>
    <w:basedOn w:val="57"/>
    <w:link w:val="24"/>
    <w:semiHidden/>
    <w:qFormat/>
    <w:uiPriority w:val="0"/>
    <w:rPr>
      <w:rFonts w:ascii="Times New Roman" w:hAnsi="Times New Roman"/>
      <w:kern w:val="2"/>
      <w:sz w:val="21"/>
      <w:szCs w:val="24"/>
    </w:rPr>
  </w:style>
  <w:style w:type="character" w:customStyle="1" w:styleId="122">
    <w:name w:val="HTML 地址 字符"/>
    <w:basedOn w:val="57"/>
    <w:link w:val="27"/>
    <w:semiHidden/>
    <w:qFormat/>
    <w:uiPriority w:val="0"/>
    <w:rPr>
      <w:rFonts w:ascii="Times New Roman" w:hAnsi="Times New Roman"/>
      <w:i/>
      <w:iCs/>
      <w:kern w:val="2"/>
      <w:sz w:val="21"/>
      <w:szCs w:val="24"/>
    </w:rPr>
  </w:style>
  <w:style w:type="character" w:customStyle="1" w:styleId="123">
    <w:name w:val="日期 字符"/>
    <w:basedOn w:val="57"/>
    <w:link w:val="31"/>
    <w:qFormat/>
    <w:uiPriority w:val="0"/>
    <w:rPr>
      <w:rFonts w:ascii="Times New Roman" w:hAnsi="Times New Roman"/>
      <w:kern w:val="2"/>
      <w:sz w:val="21"/>
    </w:rPr>
  </w:style>
  <w:style w:type="character" w:customStyle="1" w:styleId="124">
    <w:name w:val="正文文本缩进 2 字符"/>
    <w:basedOn w:val="57"/>
    <w:link w:val="32"/>
    <w:semiHidden/>
    <w:qFormat/>
    <w:uiPriority w:val="0"/>
    <w:rPr>
      <w:rFonts w:ascii="Times New Roman" w:hAnsi="Times New Roman"/>
      <w:kern w:val="2"/>
      <w:sz w:val="21"/>
      <w:szCs w:val="24"/>
    </w:rPr>
  </w:style>
  <w:style w:type="character" w:customStyle="1" w:styleId="125">
    <w:name w:val="尾注文本 字符"/>
    <w:basedOn w:val="57"/>
    <w:link w:val="33"/>
    <w:semiHidden/>
    <w:qFormat/>
    <w:uiPriority w:val="0"/>
    <w:rPr>
      <w:rFonts w:ascii="Times New Roman" w:hAnsi="Times New Roman"/>
      <w:kern w:val="2"/>
      <w:sz w:val="21"/>
      <w:szCs w:val="24"/>
    </w:rPr>
  </w:style>
  <w:style w:type="character" w:customStyle="1" w:styleId="126">
    <w:name w:val="签名 字符"/>
    <w:basedOn w:val="57"/>
    <w:link w:val="37"/>
    <w:semiHidden/>
    <w:qFormat/>
    <w:uiPriority w:val="0"/>
    <w:rPr>
      <w:rFonts w:ascii="Times New Roman" w:hAnsi="Times New Roman"/>
      <w:kern w:val="2"/>
      <w:sz w:val="21"/>
      <w:szCs w:val="24"/>
    </w:rPr>
  </w:style>
  <w:style w:type="character" w:customStyle="1" w:styleId="127">
    <w:name w:val="脚注文本 字符"/>
    <w:basedOn w:val="57"/>
    <w:link w:val="42"/>
    <w:semiHidden/>
    <w:qFormat/>
    <w:uiPriority w:val="0"/>
    <w:rPr>
      <w:rFonts w:ascii="Times New Roman" w:hAnsi="Times New Roman"/>
      <w:kern w:val="2"/>
      <w:sz w:val="18"/>
    </w:rPr>
  </w:style>
  <w:style w:type="character" w:customStyle="1" w:styleId="128">
    <w:name w:val="信息标题 字符"/>
    <w:basedOn w:val="57"/>
    <w:link w:val="46"/>
    <w:semiHidden/>
    <w:qFormat/>
    <w:uiPriority w:val="0"/>
    <w:rPr>
      <w:rFonts w:ascii="Arial" w:hAnsi="Arial" w:cs="Arial"/>
      <w:kern w:val="2"/>
      <w:sz w:val="24"/>
      <w:szCs w:val="24"/>
      <w:shd w:val="pct20" w:color="auto" w:fill="auto"/>
    </w:rPr>
  </w:style>
  <w:style w:type="character" w:customStyle="1" w:styleId="129">
    <w:name w:val="HTML 预设格式 字符"/>
    <w:basedOn w:val="57"/>
    <w:link w:val="47"/>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7"/>
    <w:semiHidden/>
    <w:qFormat/>
    <w:uiPriority w:val="99"/>
    <w:rPr>
      <w:rFonts w:ascii="Times New Roman" w:hAnsi="Times New Roman" w:eastAsia="宋体" w:cs="Times New Roman"/>
      <w:szCs w:val="20"/>
    </w:rPr>
  </w:style>
  <w:style w:type="character" w:customStyle="1" w:styleId="136">
    <w:name w:val="正文文本缩进 2 Char1"/>
    <w:basedOn w:val="57"/>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7"/>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7"/>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99"/>
    <w:qFormat/>
    <w:uiPriority w:val="34"/>
    <w:pPr>
      <w:ind w:firstLine="420" w:firstLineChars="200"/>
    </w:pPr>
  </w:style>
  <w:style w:type="paragraph" w:customStyle="1" w:styleId="147">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9">
    <w:name w:val="fontstyle21"/>
    <w:basedOn w:val="57"/>
    <w:qFormat/>
    <w:uiPriority w:val="0"/>
    <w:rPr>
      <w:rFonts w:ascii="FZXBSJW--GB1-0" w:hAnsi="FZXBSJW--GB1-0" w:eastAsia="FZXBSJW--GB1-0" w:cs="FZXBSJW--GB1-0"/>
      <w:color w:val="000000"/>
      <w:sz w:val="44"/>
      <w:szCs w:val="44"/>
    </w:rPr>
  </w:style>
  <w:style w:type="character" w:customStyle="1" w:styleId="150">
    <w:name w:val="fontstyle31"/>
    <w:basedOn w:val="57"/>
    <w:qFormat/>
    <w:uiPriority w:val="0"/>
    <w:rPr>
      <w:rFonts w:ascii="仿宋_GB2312" w:hAnsi="仿宋_GB2312" w:eastAsia="仿宋_GB2312" w:cs="仿宋_GB2312"/>
      <w:color w:val="000000"/>
      <w:sz w:val="32"/>
      <w:szCs w:val="32"/>
    </w:rPr>
  </w:style>
  <w:style w:type="paragraph" w:customStyle="1" w:styleId="151">
    <w:name w:val="页脚2"/>
    <w:basedOn w:val="99"/>
    <w:unhideWhenUsed/>
    <w:qFormat/>
    <w:uiPriority w:val="0"/>
    <w:pPr>
      <w:tabs>
        <w:tab w:val="center" w:pos="4153"/>
        <w:tab w:val="right" w:pos="8306"/>
      </w:tabs>
      <w:snapToGrid w:val="0"/>
      <w:jc w:val="left"/>
    </w:pPr>
    <w:rPr>
      <w:sz w:val="18"/>
      <w:szCs w:val="18"/>
    </w:rPr>
  </w:style>
  <w:style w:type="character" w:customStyle="1" w:styleId="152">
    <w:name w:val="纯文本 Char2"/>
    <w:qFormat/>
    <w:uiPriority w:val="0"/>
    <w:rPr>
      <w:rFonts w:ascii="宋体" w:hAnsi="Courier New" w:eastAsia="宋体" w:cs="Courier New"/>
      <w:sz w:val="21"/>
      <w:szCs w:val="21"/>
    </w:rPr>
  </w:style>
  <w:style w:type="character" w:customStyle="1" w:styleId="153">
    <w:name w:val="fontstrikethrough"/>
    <w:basedOn w:val="57"/>
    <w:qFormat/>
    <w:uiPriority w:val="0"/>
    <w:rPr>
      <w:strike/>
    </w:rPr>
  </w:style>
  <w:style w:type="character" w:customStyle="1" w:styleId="154">
    <w:name w:val="副标题 字符"/>
    <w:link w:val="40"/>
    <w:qFormat/>
    <w:uiPriority w:val="11"/>
    <w:rPr>
      <w:rFonts w:ascii="Cambria" w:hAnsi="Cambria"/>
      <w:b/>
      <w:bCs/>
      <w:kern w:val="28"/>
      <w:sz w:val="32"/>
      <w:szCs w:val="32"/>
    </w:rPr>
  </w:style>
  <w:style w:type="character" w:customStyle="1" w:styleId="155">
    <w:name w:val="fontborder"/>
    <w:basedOn w:val="57"/>
    <w:qFormat/>
    <w:uiPriority w:val="0"/>
    <w:rPr>
      <w:bdr w:val="single" w:color="000000" w:sz="6" w:space="0"/>
    </w:rPr>
  </w:style>
  <w:style w:type="character" w:customStyle="1" w:styleId="156">
    <w:name w:val="标题 Char1"/>
    <w:qFormat/>
    <w:uiPriority w:val="10"/>
    <w:rPr>
      <w:rFonts w:ascii="Cambria" w:hAnsi="Cambria" w:cs="Times New Roman"/>
      <w:b/>
      <w:bCs/>
      <w:kern w:val="2"/>
      <w:sz w:val="32"/>
      <w:szCs w:val="32"/>
    </w:rPr>
  </w:style>
  <w:style w:type="character" w:customStyle="1" w:styleId="157">
    <w:name w:val="标题 Char"/>
    <w:qFormat/>
    <w:uiPriority w:val="0"/>
    <w:rPr>
      <w:rFonts w:ascii="Cambria" w:hAnsi="Cambria"/>
      <w:b/>
      <w:bCs/>
      <w:kern w:val="2"/>
      <w:sz w:val="32"/>
      <w:szCs w:val="32"/>
    </w:rPr>
  </w:style>
  <w:style w:type="character" w:customStyle="1" w:styleId="158">
    <w:name w:val="标题 字符"/>
    <w:basedOn w:val="57"/>
    <w:link w:val="5"/>
    <w:qFormat/>
    <w:uiPriority w:val="10"/>
    <w:rPr>
      <w:rFonts w:asciiTheme="majorHAnsi" w:hAnsiTheme="majorHAnsi" w:cstheme="majorBidi"/>
      <w:b/>
      <w:bCs/>
      <w:kern w:val="2"/>
      <w:sz w:val="32"/>
      <w:szCs w:val="32"/>
    </w:rPr>
  </w:style>
  <w:style w:type="character" w:customStyle="1" w:styleId="159">
    <w:name w:val="副标题 Char1"/>
    <w:basedOn w:val="57"/>
    <w:qFormat/>
    <w:uiPriority w:val="11"/>
    <w:rPr>
      <w:rFonts w:asciiTheme="majorHAnsi" w:hAnsiTheme="majorHAnsi" w:cstheme="majorBidi"/>
      <w:b/>
      <w:bCs/>
      <w:kern w:val="28"/>
      <w:sz w:val="32"/>
      <w:szCs w:val="32"/>
    </w:rPr>
  </w:style>
  <w:style w:type="paragraph" w:customStyle="1" w:styleId="160">
    <w:name w:val="Heading 2_1"/>
    <w:basedOn w:val="147"/>
    <w:next w:val="147"/>
    <w:qFormat/>
    <w:uiPriority w:val="0"/>
    <w:pPr>
      <w:spacing w:before="360" w:after="120" w:line="360" w:lineRule="auto"/>
      <w:outlineLvl w:val="1"/>
    </w:pPr>
    <w:rPr>
      <w:rFonts w:ascii="Cambria" w:hAnsi="Cambria" w:eastAsia="黑体"/>
      <w:b/>
      <w:bCs/>
      <w:sz w:val="32"/>
      <w:szCs w:val="32"/>
    </w:rPr>
  </w:style>
  <w:style w:type="paragraph" w:customStyle="1" w:styleId="161">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常用（宋体，5号，1.25行距）"/>
    <w:basedOn w:val="1"/>
    <w:qFormat/>
    <w:uiPriority w:val="0"/>
    <w:pPr>
      <w:widowControl/>
      <w:spacing w:line="300" w:lineRule="auto"/>
      <w:jc w:val="left"/>
    </w:pPr>
    <w:rPr>
      <w:kern w:val="0"/>
      <w:sz w:val="24"/>
      <w:szCs w:val="21"/>
      <w:lang w:eastAsia="en-US" w:bidi="en-US"/>
    </w:rPr>
  </w:style>
  <w:style w:type="paragraph" w:customStyle="1" w:styleId="163">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Plain Text_0"/>
    <w:basedOn w:val="161"/>
    <w:qFormat/>
    <w:uiPriority w:val="0"/>
    <w:rPr>
      <w:rFonts w:ascii="宋体" w:hAnsi="Courier New" w:cs="Courier New"/>
      <w:szCs w:val="21"/>
    </w:rPr>
  </w:style>
  <w:style w:type="character" w:customStyle="1" w:styleId="165">
    <w:name w:val="_Style 1"/>
    <w:qFormat/>
    <w:uiPriority w:val="19"/>
    <w:rPr>
      <w:rFonts w:eastAsia="宋体"/>
      <w:iCs/>
      <w:color w:val="404040"/>
      <w:sz w:val="30"/>
    </w:rPr>
  </w:style>
  <w:style w:type="paragraph" w:customStyle="1" w:styleId="166">
    <w:name w:val="条款标题"/>
    <w:basedOn w:val="6"/>
    <w:qFormat/>
    <w:uiPriority w:val="0"/>
    <w:pPr>
      <w:tabs>
        <w:tab w:val="clear" w:pos="720"/>
      </w:tabs>
      <w:spacing w:before="151" w:beforeLines="50" w:after="151" w:afterLines="50"/>
      <w:ind w:firstLine="422" w:firstLineChars="200"/>
    </w:pPr>
    <w:rPr>
      <w:rFonts w:asciiTheme="minorEastAsia" w:hAnsiTheme="minorEastAsia" w:eastAsiaTheme="minorEastAsia"/>
      <w:bCs w:val="0"/>
      <w:sz w:val="21"/>
      <w:szCs w:val="21"/>
    </w:rPr>
  </w:style>
  <w:style w:type="paragraph" w:customStyle="1" w:styleId="167">
    <w:name w:val="列出段落"/>
    <w:basedOn w:val="1"/>
    <w:qFormat/>
    <w:uiPriority w:val="34"/>
    <w:pPr>
      <w:ind w:firstLine="420" w:firstLineChars="200"/>
    </w:pPr>
  </w:style>
  <w:style w:type="paragraph" w:customStyle="1" w:styleId="168">
    <w:name w:val="样式1"/>
    <w:basedOn w:val="36"/>
    <w:qFormat/>
    <w:uiPriority w:val="0"/>
    <w:pPr>
      <w:pBdr>
        <w:bottom w:val="thinThickSmallGap" w:color="auto" w:sz="24" w:space="1"/>
      </w:pBdr>
    </w:pPr>
    <w:rPr>
      <w:rFonts w:ascii="黑体" w:hAnsi="Times New Roman" w:eastAsia="黑体"/>
      <w:b/>
      <w:sz w:val="21"/>
      <w:szCs w:val="20"/>
    </w:rPr>
  </w:style>
  <w:style w:type="paragraph" w:customStyle="1" w:styleId="169">
    <w:name w:val="正文缩进1"/>
    <w:basedOn w:val="1"/>
    <w:qFormat/>
    <w:uiPriority w:val="0"/>
    <w:pPr>
      <w:ind w:firstLine="420" w:firstLineChars="200"/>
    </w:pPr>
  </w:style>
  <w:style w:type="paragraph" w:customStyle="1" w:styleId="170">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 w:type="paragraph" w:customStyle="1" w:styleId="171">
    <w:name w:val="c-正文"/>
    <w:basedOn w:val="172"/>
    <w:qFormat/>
    <w:uiPriority w:val="0"/>
    <w:pPr>
      <w:spacing w:line="312" w:lineRule="auto"/>
      <w:ind w:firstLine="200" w:firstLineChars="200"/>
    </w:pPr>
    <w:rPr>
      <w:rFonts w:ascii="宋体" w:hAnsi="宋体" w:eastAsia="宋体"/>
      <w:color w:val="000000"/>
      <w:sz w:val="24"/>
      <w:szCs w:val="24"/>
    </w:rPr>
  </w:style>
  <w:style w:type="paragraph" w:customStyle="1" w:styleId="172">
    <w:name w:val="标准正文"/>
    <w:basedOn w:val="1"/>
    <w:qFormat/>
    <w:uiPriority w:val="0"/>
    <w:rPr>
      <w:rFonts w:eastAsia="仿宋_GB2312"/>
      <w:szCs w:val="20"/>
    </w:rPr>
  </w:style>
  <w:style w:type="paragraph" w:customStyle="1" w:styleId="173">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74">
    <w:name w:val="日期1"/>
    <w:basedOn w:val="1"/>
    <w:next w:val="1"/>
    <w:qFormat/>
    <w:uiPriority w:val="0"/>
    <w:pPr>
      <w:adjustRightInd w:val="0"/>
      <w:spacing w:line="400" w:lineRule="exact"/>
      <w:jc w:val="right"/>
      <w:textAlignment w:val="baseline"/>
    </w:pPr>
    <w:rPr>
      <w:rFonts w:ascii="Times New Roman" w:hAnsi="Times New Roman" w:eastAsia="宋体" w:cs="Times New Roman"/>
      <w:kern w:val="0"/>
      <w:sz w:val="36"/>
      <w:szCs w:val="20"/>
    </w:rPr>
  </w:style>
  <w:style w:type="paragraph" w:customStyle="1" w:styleId="175">
    <w:name w:val="p0"/>
    <w:basedOn w:val="1"/>
    <w:qFormat/>
    <w:uiPriority w:val="0"/>
    <w:pPr>
      <w:widowControl/>
      <w:spacing w:after="200" w:line="360" w:lineRule="auto"/>
      <w:ind w:firstLine="420"/>
      <w:jc w:val="left"/>
    </w:pPr>
    <w:rPr>
      <w:rFonts w:ascii="Calibri" w:hAnsi="Calibri" w:eastAsia="宋体" w:cs="宋体"/>
      <w:kern w:val="0"/>
      <w:sz w:val="24"/>
      <w:szCs w:val="24"/>
    </w:rPr>
  </w:style>
  <w:style w:type="paragraph" w:customStyle="1" w:styleId="176">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Normal_14"/>
    <w:qFormat/>
    <w:uiPriority w:val="0"/>
    <w:pPr>
      <w:spacing w:before="120" w:after="240"/>
      <w:jc w:val="both"/>
    </w:pPr>
    <w:rPr>
      <w:rFonts w:ascii="Times New Roman" w:hAnsi="Times New Roman" w:eastAsia="Calibri" w:cs="Times New Roman"/>
      <w:kern w:val="0"/>
      <w:sz w:val="22"/>
      <w:szCs w:val="22"/>
      <w:lang w:val="ru-RU" w:eastAsia="en-US" w:bidi="ar-SA"/>
    </w:rPr>
  </w:style>
  <w:style w:type="paragraph" w:customStyle="1" w:styleId="179">
    <w:name w:val="Table Text"/>
    <w:basedOn w:val="1"/>
    <w:semiHidden/>
    <w:qFormat/>
    <w:uiPriority w:val="0"/>
    <w:rPr>
      <w:rFonts w:ascii="宋体" w:hAnsi="宋体" w:eastAsia="宋体" w:cs="宋体"/>
      <w:sz w:val="13"/>
      <w:szCs w:val="13"/>
      <w:lang w:val="en-US" w:eastAsia="en-US" w:bidi="ar-SA"/>
    </w:rPr>
  </w:style>
  <w:style w:type="character" w:customStyle="1" w:styleId="180">
    <w:name w:val="font01"/>
    <w:basedOn w:val="57"/>
    <w:qFormat/>
    <w:uiPriority w:val="0"/>
    <w:rPr>
      <w:rFonts w:hint="eastAsia" w:ascii="宋体" w:hAnsi="宋体" w:eastAsia="宋体" w:cs="宋体"/>
      <w:color w:val="000000"/>
      <w:sz w:val="22"/>
      <w:szCs w:val="22"/>
      <w:u w:val="none"/>
    </w:rPr>
  </w:style>
  <w:style w:type="character" w:customStyle="1" w:styleId="181">
    <w:name w:val="font31"/>
    <w:basedOn w:val="57"/>
    <w:qFormat/>
    <w:uiPriority w:val="0"/>
    <w:rPr>
      <w:rFonts w:hint="eastAsia" w:ascii="宋体" w:hAnsi="宋体" w:eastAsia="宋体" w:cs="宋体"/>
      <w:b/>
      <w:bCs/>
      <w:color w:val="C00000"/>
      <w:sz w:val="22"/>
      <w:szCs w:val="22"/>
      <w:u w:val="none"/>
    </w:rPr>
  </w:style>
  <w:style w:type="character" w:customStyle="1" w:styleId="182">
    <w:name w:val="font21"/>
    <w:basedOn w:val="57"/>
    <w:qFormat/>
    <w:uiPriority w:val="0"/>
    <w:rPr>
      <w:rFonts w:hint="eastAsia" w:ascii="宋体" w:hAnsi="宋体" w:eastAsia="宋体" w:cs="宋体"/>
      <w:b/>
      <w:bCs/>
      <w:color w:val="000000"/>
      <w:sz w:val="22"/>
      <w:szCs w:val="22"/>
      <w:u w:val="none"/>
    </w:rPr>
  </w:style>
  <w:style w:type="paragraph" w:customStyle="1" w:styleId="183">
    <w:name w:val="Table Paragraph"/>
    <w:basedOn w:val="1"/>
    <w:qFormat/>
    <w:uiPriority w:val="0"/>
    <w:pPr>
      <w:autoSpaceDE w:val="0"/>
      <w:autoSpaceDN w:val="0"/>
      <w:adjustRightInd w:val="0"/>
      <w:jc w:val="left"/>
    </w:pPr>
    <w:rPr>
      <w:rFonts w:eastAsia="等线"/>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23</Pages>
  <Words>8534</Words>
  <Characters>8781</Characters>
  <Lines>247</Lines>
  <Paragraphs>69</Paragraphs>
  <TotalTime>21</TotalTime>
  <ScaleCrop>false</ScaleCrop>
  <LinksUpToDate>false</LinksUpToDate>
  <CharactersWithSpaces>9188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2024-05-10T16:17:00Z</dcterms:created>
  <dc:creator>微软用户</dc:creator>
  <cp:lastModifiedBy>盁</cp:lastModifiedBy>
  <cp:lastPrinted>2019-11-21T16:55:00Z</cp:lastPrinted>
  <dcterms:modified xsi:type="dcterms:W3CDTF">2026-08-18T03:39:19Z</dcterms:modified>
  <dc:title>工程编号：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7A2546CADA30437FB4186C2433B0198F_13</vt:lpwstr>
  </property>
  <property fmtid="{D5CDD505-2E9C-101B-9397-08002B2CF9AE}" pid="4" name="KSOTemplateDocerSaveRecord">
    <vt:lpwstr>eyJoZGlkIjoiZmYwNjQ2OWE2OWU3NmJiMzkzOTM3YTU1NTJlZDg1MTYiLCJ1c2VySWQiOiIzMTc5MTEyMTcifQ==</vt:lpwstr>
  </property>
</Properties>
</file>