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D5804">
      <w:pPr>
        <w:widowControl/>
        <w:spacing w:after="0" w:afterLines="0" w:line="578"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网络竞价须知</w:t>
      </w:r>
    </w:p>
    <w:p w14:paraId="4CE36784">
      <w:pPr>
        <w:widowControl/>
        <w:spacing w:after="0" w:afterLines="0" w:line="578" w:lineRule="exact"/>
        <w:jc w:val="center"/>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一次报价</w:t>
      </w:r>
      <w:r>
        <w:rPr>
          <w:rFonts w:hint="eastAsia" w:ascii="仿宋_GB2312" w:hAnsi="仿宋_GB2312" w:eastAsia="仿宋_GB2312" w:cs="仿宋_GB2312"/>
          <w:b w:val="0"/>
          <w:bCs/>
          <w:color w:val="auto"/>
          <w:sz w:val="32"/>
          <w:szCs w:val="32"/>
          <w:highlight w:val="none"/>
          <w:lang w:eastAsia="zh-CN"/>
        </w:rPr>
        <w:t>）</w:t>
      </w:r>
    </w:p>
    <w:p w14:paraId="35E86F8A">
      <w:pPr>
        <w:widowControl/>
        <w:spacing w:after="0" w:afterLines="0" w:line="578" w:lineRule="exact"/>
        <w:jc w:val="center"/>
        <w:rPr>
          <w:rFonts w:hint="eastAsia" w:ascii="仿宋_GB2312" w:hAnsi="仿宋_GB2312" w:eastAsia="仿宋_GB2312" w:cs="仿宋_GB2312"/>
          <w:b w:val="0"/>
          <w:bCs/>
          <w:color w:val="auto"/>
          <w:sz w:val="32"/>
          <w:szCs w:val="32"/>
          <w:highlight w:val="none"/>
          <w:lang w:eastAsia="zh-CN"/>
        </w:rPr>
      </w:pPr>
    </w:p>
    <w:p w14:paraId="10A7C736">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深圳交易集团有限公司罗湖分公司受</w:t>
      </w:r>
      <w:r>
        <w:rPr>
          <w:rFonts w:hint="eastAsia" w:ascii="宋体" w:hAnsi="宋体" w:eastAsia="宋体" w:cs="宋体"/>
          <w:b w:val="0"/>
          <w:bCs/>
          <w:color w:val="auto"/>
          <w:sz w:val="24"/>
          <w:highlight w:val="none"/>
          <w:u w:val="single"/>
        </w:rPr>
        <w:t xml:space="preserve"> 深圳市罗湖区城市管理和综合执法局 </w:t>
      </w:r>
      <w:r>
        <w:rPr>
          <w:rFonts w:hint="eastAsia" w:ascii="宋体" w:hAnsi="宋体" w:eastAsia="宋体" w:cs="宋体"/>
          <w:b w:val="0"/>
          <w:bCs/>
          <w:color w:val="auto"/>
          <w:sz w:val="24"/>
          <w:highlight w:val="none"/>
        </w:rPr>
        <w:t>委托，对</w:t>
      </w:r>
      <w:r>
        <w:rPr>
          <w:rFonts w:hint="eastAsia" w:ascii="宋体" w:hAnsi="宋体" w:eastAsia="宋体" w:cs="宋体"/>
          <w:b w:val="0"/>
          <w:bCs/>
          <w:color w:val="auto"/>
          <w:sz w:val="24"/>
          <w:highlight w:val="none"/>
          <w:u w:val="single"/>
        </w:rPr>
        <w:t xml:space="preserve"> 罗湖区市政公厕自动售卖设备及充电宝场地</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（项目编号</w:t>
      </w:r>
      <w:r>
        <w:rPr>
          <w:rFonts w:hint="eastAsia" w:ascii="宋体" w:hAnsi="宋体" w:eastAsia="宋体" w:cs="宋体"/>
          <w:b w:val="0"/>
          <w:bCs/>
          <w:color w:val="auto"/>
          <w:sz w:val="24"/>
          <w:highlight w:val="none"/>
          <w:u w:val="single"/>
        </w:rPr>
        <w:t xml:space="preserve">：JC922500155  </w:t>
      </w:r>
      <w:r>
        <w:rPr>
          <w:rFonts w:hint="eastAsia" w:ascii="宋体" w:hAnsi="宋体" w:eastAsia="宋体" w:cs="宋体"/>
          <w:b w:val="0"/>
          <w:bCs/>
          <w:color w:val="auto"/>
          <w:sz w:val="24"/>
          <w:highlight w:val="none"/>
        </w:rPr>
        <w:t>，以下简称“竞价标的”）进行公开招租，深圳阳光租赁平台（下称“平台”）对</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进行竞价事宜告知如下：</w:t>
      </w:r>
    </w:p>
    <w:p w14:paraId="398DFD57">
      <w:pPr>
        <w:numPr>
          <w:ilvl w:val="0"/>
          <w:numId w:val="1"/>
        </w:numPr>
        <w:spacing w:line="500" w:lineRule="exact"/>
        <w:ind w:left="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本《网络竞价须知》依照平台相关交易规则，并结合项目的具体情况制定。参加本次网络竞价活动的</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必须仔细阅读并严格遵守本《网络竞价须知》，并对本人（单位）按照本《网络竞价须知》参与网络竞价活动的行为负责。</w:t>
      </w:r>
    </w:p>
    <w:p w14:paraId="40BBF345">
      <w:pPr>
        <w:numPr>
          <w:ilvl w:val="0"/>
          <w:numId w:val="1"/>
        </w:numPr>
        <w:spacing w:line="500" w:lineRule="exact"/>
        <w:ind w:left="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参加本次网络竞价的</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为在竞价标的招租信息公告期间已办理</w:t>
      </w:r>
      <w:r>
        <w:rPr>
          <w:rFonts w:hint="eastAsia" w:ascii="宋体" w:hAnsi="宋体" w:cs="宋体"/>
          <w:b w:val="0"/>
          <w:bCs/>
          <w:color w:val="auto"/>
          <w:sz w:val="24"/>
          <w:highlight w:val="none"/>
          <w:lang w:val="en-US" w:eastAsia="zh-CN"/>
        </w:rPr>
        <w:t>报名/</w:t>
      </w:r>
      <w:r>
        <w:rPr>
          <w:rFonts w:hint="eastAsia" w:ascii="宋体" w:hAnsi="宋体" w:eastAsia="宋体" w:cs="宋体"/>
          <w:b w:val="0"/>
          <w:bCs/>
          <w:color w:val="auto"/>
          <w:sz w:val="24"/>
          <w:highlight w:val="none"/>
        </w:rPr>
        <w:t>意向登记手续（包括在招租信息公告载明的</w:t>
      </w:r>
      <w:r>
        <w:rPr>
          <w:rFonts w:hint="eastAsia" w:ascii="宋体" w:hAnsi="宋体" w:cs="宋体"/>
          <w:b w:val="0"/>
          <w:bCs/>
          <w:color w:val="auto"/>
          <w:sz w:val="24"/>
          <w:highlight w:val="none"/>
          <w:lang w:val="en-US" w:eastAsia="zh-CN"/>
        </w:rPr>
        <w:t>交易</w:t>
      </w:r>
      <w:r>
        <w:rPr>
          <w:rFonts w:hint="eastAsia" w:ascii="宋体" w:hAnsi="宋体" w:eastAsia="宋体" w:cs="宋体"/>
          <w:b w:val="0"/>
          <w:bCs/>
          <w:color w:val="auto"/>
          <w:sz w:val="24"/>
          <w:highlight w:val="none"/>
        </w:rPr>
        <w:t>保证金</w:t>
      </w:r>
      <w:r>
        <w:rPr>
          <w:rFonts w:hint="eastAsia" w:ascii="宋体" w:hAnsi="宋体" w:cs="宋体"/>
          <w:b w:val="0"/>
          <w:bCs/>
          <w:color w:val="auto"/>
          <w:sz w:val="24"/>
          <w:highlight w:val="none"/>
          <w:lang w:val="en-US" w:eastAsia="zh-CN"/>
        </w:rPr>
        <w:t>递交</w:t>
      </w:r>
      <w:r>
        <w:rPr>
          <w:rFonts w:hint="eastAsia" w:ascii="宋体" w:hAnsi="宋体" w:eastAsia="宋体" w:cs="宋体"/>
          <w:b w:val="0"/>
          <w:bCs/>
          <w:color w:val="auto"/>
          <w:sz w:val="24"/>
          <w:highlight w:val="none"/>
        </w:rPr>
        <w:t>截止时间前（以到账时间为准）</w:t>
      </w:r>
      <w:r>
        <w:rPr>
          <w:rFonts w:hint="eastAsia" w:ascii="宋体" w:hAnsi="宋体" w:cs="宋体"/>
          <w:b w:val="0"/>
          <w:bCs/>
          <w:color w:val="auto"/>
          <w:sz w:val="24"/>
          <w:highlight w:val="none"/>
          <w:lang w:val="en-US" w:eastAsia="zh-CN"/>
        </w:rPr>
        <w:t>缴纳</w:t>
      </w:r>
      <w:r>
        <w:rPr>
          <w:rFonts w:hint="eastAsia" w:ascii="宋体" w:hAnsi="宋体" w:eastAsia="宋体" w:cs="宋体"/>
          <w:b w:val="0"/>
          <w:bCs/>
          <w:color w:val="auto"/>
          <w:sz w:val="24"/>
          <w:highlight w:val="none"/>
        </w:rPr>
        <w:t>保证金）</w:t>
      </w:r>
      <w:r>
        <w:rPr>
          <w:rFonts w:hint="eastAsia" w:ascii="宋体" w:hAnsi="宋体" w:eastAsia="宋体" w:cs="宋体"/>
          <w:b w:val="0"/>
          <w:bCs/>
          <w:color w:val="auto"/>
          <w:sz w:val="24"/>
          <w:highlight w:val="none"/>
          <w:lang w:val="en-US" w:eastAsia="zh-CN"/>
        </w:rPr>
        <w:t>并通过资格审核</w:t>
      </w:r>
      <w:r>
        <w:rPr>
          <w:rFonts w:hint="eastAsia" w:ascii="宋体" w:hAnsi="宋体" w:eastAsia="宋体" w:cs="宋体"/>
          <w:b w:val="0"/>
          <w:bCs/>
          <w:color w:val="auto"/>
          <w:sz w:val="24"/>
          <w:highlight w:val="none"/>
        </w:rPr>
        <w:t>。</w:t>
      </w:r>
    </w:p>
    <w:p w14:paraId="6CAAE509">
      <w:pPr>
        <w:numPr>
          <w:ilvl w:val="0"/>
          <w:numId w:val="1"/>
        </w:numPr>
        <w:spacing w:line="500" w:lineRule="exact"/>
        <w:ind w:left="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必须仔细阅读并严格遵守本《网络竞价须知》，</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一旦同意该须知并进入网络竞价会议即表明其同意并接受本《网络竞价须知》和信息公告所公示的全部条件及规定，并已经知悉并愿意接受平台相关交易规则。</w:t>
      </w:r>
    </w:p>
    <w:p w14:paraId="7FB96D3B">
      <w:pPr>
        <w:numPr>
          <w:ilvl w:val="0"/>
          <w:numId w:val="1"/>
        </w:numPr>
        <w:spacing w:line="500" w:lineRule="exact"/>
        <w:ind w:left="0"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招租事项说明：</w:t>
      </w:r>
    </w:p>
    <w:p w14:paraId="0C9848B2">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1、项目名称：</w:t>
      </w:r>
      <w:r>
        <w:rPr>
          <w:rFonts w:hint="eastAsia" w:ascii="宋体" w:hAnsi="宋体" w:eastAsia="宋体" w:cs="宋体"/>
          <w:b/>
          <w:bCs w:val="0"/>
          <w:color w:val="auto"/>
          <w:sz w:val="24"/>
          <w:highlight w:val="none"/>
          <w:u w:val="single"/>
        </w:rPr>
        <w:t>罗湖区市政公厕自动售卖设备及充电宝场地</w:t>
      </w:r>
      <w:r>
        <w:rPr>
          <w:rFonts w:hint="eastAsia" w:ascii="宋体" w:hAnsi="宋体" w:eastAsia="宋体" w:cs="宋体"/>
          <w:b w:val="0"/>
          <w:bCs/>
          <w:color w:val="auto"/>
          <w:sz w:val="24"/>
          <w:highlight w:val="none"/>
        </w:rPr>
        <w:t>。</w:t>
      </w:r>
    </w:p>
    <w:p w14:paraId="10F575F6">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2、招租底价：</w:t>
      </w:r>
      <w:r>
        <w:rPr>
          <w:rFonts w:hint="eastAsia" w:ascii="宋体" w:hAnsi="宋体" w:eastAsia="宋体" w:cs="宋体"/>
          <w:b/>
          <w:bCs w:val="0"/>
          <w:color w:val="auto"/>
          <w:sz w:val="24"/>
          <w:highlight w:val="none"/>
          <w:u w:val="single"/>
        </w:rPr>
        <w:t>1,230元/个/月</w:t>
      </w:r>
      <w:r>
        <w:rPr>
          <w:rFonts w:hint="eastAsia" w:ascii="宋体" w:hAnsi="宋体" w:eastAsia="宋体" w:cs="宋体"/>
          <w:b w:val="0"/>
          <w:bCs/>
          <w:color w:val="auto"/>
          <w:sz w:val="24"/>
          <w:highlight w:val="none"/>
        </w:rPr>
        <w:t>。</w:t>
      </w:r>
    </w:p>
    <w:p w14:paraId="48D2B411">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各</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lang w:val="en-US" w:eastAsia="zh-CN"/>
        </w:rPr>
        <w:t>的报价不得低于</w:t>
      </w:r>
      <w:r>
        <w:rPr>
          <w:rFonts w:hint="eastAsia" w:ascii="宋体" w:hAnsi="宋体" w:eastAsia="宋体" w:cs="宋体"/>
          <w:b w:val="0"/>
          <w:bCs/>
          <w:color w:val="auto"/>
          <w:sz w:val="24"/>
          <w:highlight w:val="none"/>
        </w:rPr>
        <w:t>本项目的“</w:t>
      </w:r>
      <w:r>
        <w:rPr>
          <w:rFonts w:hint="eastAsia" w:ascii="宋体" w:hAnsi="宋体" w:eastAsia="宋体" w:cs="宋体"/>
          <w:b w:val="0"/>
          <w:bCs/>
          <w:color w:val="auto"/>
          <w:sz w:val="24"/>
          <w:highlight w:val="none"/>
          <w:lang w:val="en-US" w:eastAsia="zh-CN"/>
        </w:rPr>
        <w:t>招租</w:t>
      </w:r>
      <w:r>
        <w:rPr>
          <w:rFonts w:hint="eastAsia" w:ascii="宋体" w:hAnsi="宋体" w:eastAsia="宋体" w:cs="宋体"/>
          <w:b w:val="0"/>
          <w:bCs/>
          <w:color w:val="auto"/>
          <w:sz w:val="24"/>
          <w:highlight w:val="none"/>
        </w:rPr>
        <w:t>底价”</w:t>
      </w:r>
      <w:r>
        <w:rPr>
          <w:rFonts w:hint="eastAsia" w:ascii="宋体" w:hAnsi="宋体" w:eastAsia="宋体" w:cs="宋体"/>
          <w:b w:val="0"/>
          <w:bCs/>
          <w:color w:val="auto"/>
          <w:sz w:val="24"/>
          <w:highlight w:val="none"/>
          <w:lang w:eastAsia="zh-CN"/>
        </w:rPr>
        <w:t>）</w:t>
      </w:r>
    </w:p>
    <w:p w14:paraId="55D92FF7">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、竞价方式</w:t>
      </w:r>
      <w:r>
        <w:rPr>
          <w:rFonts w:hint="eastAsia" w:ascii="宋体" w:hAnsi="宋体" w:eastAsia="宋体" w:cs="宋体"/>
          <w:b w:val="0"/>
          <w:bCs/>
          <w:color w:val="auto"/>
          <w:sz w:val="24"/>
          <w:highlight w:val="none"/>
          <w:lang w:eastAsia="zh-CN"/>
        </w:rPr>
        <w:t>：</w:t>
      </w:r>
      <w:r>
        <w:rPr>
          <w:rFonts w:hint="eastAsia" w:ascii="宋体" w:hAnsi="宋体" w:cs="宋体"/>
          <w:b/>
          <w:bCs w:val="0"/>
          <w:color w:val="auto"/>
          <w:sz w:val="24"/>
          <w:highlight w:val="none"/>
          <w:lang w:val="en-US" w:eastAsia="zh-CN"/>
        </w:rPr>
        <w:t>网络竞价（</w:t>
      </w:r>
      <w:r>
        <w:rPr>
          <w:rFonts w:hint="eastAsia" w:ascii="宋体" w:hAnsi="宋体" w:cs="宋体"/>
          <w:b/>
          <w:bCs w:val="0"/>
          <w:color w:val="auto"/>
          <w:sz w:val="24"/>
          <w:highlight w:val="none"/>
          <w:lang w:eastAsia="zh-CN"/>
        </w:rPr>
        <w:t>一次</w:t>
      </w:r>
      <w:r>
        <w:rPr>
          <w:rFonts w:hint="eastAsia" w:ascii="宋体" w:hAnsi="宋体" w:eastAsia="宋体" w:cs="宋体"/>
          <w:b/>
          <w:bCs w:val="0"/>
          <w:color w:val="auto"/>
          <w:sz w:val="24"/>
          <w:highlight w:val="none"/>
        </w:rPr>
        <w:t>报价）</w:t>
      </w:r>
      <w:r>
        <w:rPr>
          <w:rFonts w:hint="eastAsia" w:ascii="宋体" w:hAnsi="宋体" w:eastAsia="宋体" w:cs="宋体"/>
          <w:b w:val="0"/>
          <w:bCs/>
          <w:color w:val="auto"/>
          <w:sz w:val="24"/>
          <w:highlight w:val="none"/>
        </w:rPr>
        <w:t>。</w:t>
      </w:r>
    </w:p>
    <w:p w14:paraId="7380BE34">
      <w:pPr>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、最低加价幅度：</w:t>
      </w:r>
      <w:r>
        <w:rPr>
          <w:rFonts w:hint="eastAsia" w:ascii="宋体" w:hAnsi="宋体" w:cs="宋体"/>
          <w:color w:val="auto"/>
          <w:sz w:val="24"/>
          <w:highlight w:val="none"/>
          <w:u w:val="single"/>
          <w:lang w:val="en-US" w:eastAsia="zh-CN"/>
        </w:rPr>
        <w:t>人民币</w:t>
      </w:r>
      <w:r>
        <w:rPr>
          <w:rFonts w:hint="eastAsia" w:ascii="宋体" w:hAnsi="宋体" w:eastAsia="宋体" w:cs="宋体"/>
          <w:b/>
          <w:color w:val="auto"/>
          <w:sz w:val="24"/>
          <w:highlight w:val="none"/>
          <w:u w:val="single"/>
          <w:lang w:val="en-US" w:eastAsia="zh-CN"/>
        </w:rPr>
        <w:t>1元/个/月</w:t>
      </w:r>
      <w:r>
        <w:rPr>
          <w:rFonts w:hint="eastAsia" w:ascii="宋体" w:hAnsi="宋体" w:eastAsia="宋体" w:cs="宋体"/>
          <w:color w:val="auto"/>
          <w:sz w:val="24"/>
          <w:highlight w:val="none"/>
        </w:rPr>
        <w:t>，按整数倍进行加价。</w:t>
      </w:r>
    </w:p>
    <w:p w14:paraId="2BE876C3">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竞价阶段，如为多个招租底价，则同时按报价增幅进行增加</w:t>
      </w:r>
      <w:r>
        <w:rPr>
          <w:rFonts w:hint="eastAsia" w:ascii="宋体" w:hAnsi="宋体" w:cs="宋体"/>
          <w:color w:val="auto"/>
          <w:sz w:val="24"/>
          <w:highlight w:val="none"/>
          <w:lang w:eastAsia="zh-CN"/>
        </w:rPr>
        <w:t>）</w:t>
      </w:r>
    </w:p>
    <w:p w14:paraId="0352A562">
      <w:pPr>
        <w:numPr>
          <w:ilvl w:val="0"/>
          <w:numId w:val="2"/>
        </w:num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是否涉及</w:t>
      </w:r>
      <w:r>
        <w:rPr>
          <w:rFonts w:hint="eastAsia" w:ascii="宋体" w:hAnsi="宋体" w:eastAsia="宋体" w:cs="宋体"/>
          <w:b w:val="0"/>
          <w:bCs/>
          <w:color w:val="auto"/>
          <w:sz w:val="24"/>
          <w:highlight w:val="none"/>
        </w:rPr>
        <w:t>优先承租权：</w:t>
      </w:r>
      <w:r>
        <w:rPr>
          <w:rFonts w:hint="eastAsia" w:ascii="宋体" w:hAnsi="宋体" w:eastAsia="宋体" w:cs="宋体"/>
          <w:b/>
          <w:bCs w:val="0"/>
          <w:color w:val="auto"/>
          <w:sz w:val="24"/>
          <w:highlight w:val="none"/>
          <w:u w:val="single"/>
          <w:lang w:val="en-US" w:eastAsia="zh-CN"/>
        </w:rPr>
        <w:t>否</w:t>
      </w:r>
      <w:r>
        <w:rPr>
          <w:rFonts w:hint="eastAsia" w:ascii="宋体" w:hAnsi="宋体" w:eastAsia="宋体" w:cs="宋体"/>
          <w:b w:val="0"/>
          <w:bCs/>
          <w:color w:val="auto"/>
          <w:sz w:val="24"/>
          <w:highlight w:val="none"/>
        </w:rPr>
        <w:t>。</w:t>
      </w:r>
    </w:p>
    <w:p w14:paraId="56F27F10">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、竞价起始时间：</w:t>
      </w:r>
      <w:r>
        <w:rPr>
          <w:rFonts w:hint="eastAsia" w:ascii="仿宋_GB2312" w:hAnsi="仿宋_GB2312" w:eastAsia="仿宋_GB2312" w:cs="仿宋_GB2312"/>
          <w:b/>
          <w:bCs/>
          <w:sz w:val="28"/>
          <w:szCs w:val="28"/>
          <w:u w:val="single"/>
          <w:lang w:val="en-US" w:eastAsia="zh-CN"/>
        </w:rPr>
        <w:t>时间待定，竞价开始3天前通知</w:t>
      </w:r>
      <w:r>
        <w:rPr>
          <w:rFonts w:hint="eastAsia" w:ascii="宋体" w:hAnsi="宋体" w:eastAsia="宋体" w:cs="宋体"/>
          <w:b w:val="0"/>
          <w:bCs/>
          <w:color w:val="auto"/>
          <w:sz w:val="24"/>
          <w:highlight w:val="none"/>
        </w:rPr>
        <w:t>。</w:t>
      </w:r>
    </w:p>
    <w:p w14:paraId="337D0D4D">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7、响应</w:t>
      </w:r>
      <w:r>
        <w:rPr>
          <w:rFonts w:hint="eastAsia" w:ascii="宋体" w:hAnsi="宋体" w:eastAsia="宋体" w:cs="宋体"/>
          <w:color w:val="auto"/>
          <w:sz w:val="24"/>
          <w:highlight w:val="none"/>
        </w:rPr>
        <w:t>有效期为公开竞价后</w:t>
      </w:r>
      <w:bookmarkStart w:id="0" w:name="_GoBack"/>
      <w:r>
        <w:rPr>
          <w:rFonts w:hint="eastAsia" w:ascii="宋体" w:hAnsi="宋体" w:eastAsia="宋体" w:cs="宋体"/>
          <w:b/>
          <w:color w:val="auto"/>
          <w:sz w:val="24"/>
          <w:highlight w:val="none"/>
          <w:u w:val="single"/>
          <w:lang w:val="en-US" w:eastAsia="zh-CN"/>
        </w:rPr>
        <w:t>120</w:t>
      </w:r>
      <w:bookmarkEnd w:id="0"/>
      <w:r>
        <w:rPr>
          <w:rFonts w:hint="eastAsia" w:ascii="宋体" w:hAnsi="宋体" w:eastAsia="宋体" w:cs="宋体"/>
          <w:color w:val="auto"/>
          <w:sz w:val="24"/>
          <w:highlight w:val="none"/>
        </w:rPr>
        <w:t>个日历日</w:t>
      </w:r>
      <w:r>
        <w:rPr>
          <w:rFonts w:hint="eastAsia" w:ascii="宋体" w:hAnsi="宋体" w:eastAsia="宋体" w:cs="宋体"/>
          <w:color w:val="auto"/>
          <w:sz w:val="24"/>
          <w:highlight w:val="none"/>
          <w:lang w:eastAsia="zh-CN"/>
        </w:rPr>
        <w:t>。</w:t>
      </w:r>
    </w:p>
    <w:p w14:paraId="7453CA23">
      <w:pPr>
        <w:spacing w:line="5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8、交易机构：</w:t>
      </w:r>
      <w:r>
        <w:rPr>
          <w:rFonts w:hint="eastAsia" w:ascii="宋体" w:hAnsi="宋体" w:eastAsia="宋体" w:cs="宋体"/>
          <w:b/>
          <w:color w:val="auto"/>
          <w:sz w:val="24"/>
          <w:highlight w:val="none"/>
          <w:u w:val="single"/>
          <w:lang w:val="en-US" w:eastAsia="zh-CN"/>
        </w:rPr>
        <w:t>深圳交易集团有限公司罗湖分公司</w:t>
      </w:r>
      <w:r>
        <w:rPr>
          <w:rFonts w:hint="eastAsia" w:ascii="宋体" w:hAnsi="宋体" w:eastAsia="宋体" w:cs="宋体"/>
          <w:color w:val="auto"/>
          <w:sz w:val="24"/>
          <w:highlight w:val="none"/>
          <w:lang w:val="en-US" w:eastAsia="zh-CN"/>
        </w:rPr>
        <w:t>。</w:t>
      </w:r>
    </w:p>
    <w:p w14:paraId="594C71E4">
      <w:pPr>
        <w:numPr>
          <w:ilvl w:val="0"/>
          <w:numId w:val="1"/>
        </w:numPr>
        <w:spacing w:line="500" w:lineRule="exact"/>
        <w:ind w:left="0"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 xml:space="preserve">  网络竞价说明：</w:t>
      </w:r>
    </w:p>
    <w:p w14:paraId="6504CEDE">
      <w:pPr>
        <w:numPr>
          <w:ilvl w:val="0"/>
          <w:numId w:val="0"/>
        </w:numPr>
        <w:spacing w:line="500" w:lineRule="exact"/>
        <w:ind w:firstLine="480" w:firstLineChars="200"/>
        <w:jc w:val="both"/>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5.1意向承租方在报价时间内仅有一次报价机会。意向承租方一经报价，不得撤回。意向承租方的报价不能低于招租底价，否则报价无效。</w:t>
      </w:r>
    </w:p>
    <w:p w14:paraId="0A55E48E">
      <w:pPr>
        <w:numPr>
          <w:ilvl w:val="0"/>
          <w:numId w:val="0"/>
        </w:numPr>
        <w:spacing w:line="50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highlight w:val="none"/>
        </w:rPr>
        <w:t>如项目未涉及优先承租权，则</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应在报价时间内通过阳光租赁平台报价，阳光租赁平台按照“价格优先、时间优先”的原则确认最高报价</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w:t>
      </w:r>
    </w:p>
    <w:p w14:paraId="19B27E83">
      <w:pPr>
        <w:numPr>
          <w:ilvl w:val="0"/>
          <w:numId w:val="0"/>
        </w:numPr>
        <w:spacing w:line="50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如项目涉及优先承租权，则非优先承租权人应在报价时间内通过阳光租赁平台报价</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优先承租权人则根据招租公告或交易文件约定的方式，进行报价或应价</w:t>
      </w:r>
      <w:r>
        <w:rPr>
          <w:rFonts w:hint="eastAsia" w:ascii="宋体" w:hAnsi="宋体" w:eastAsia="宋体" w:cs="宋体"/>
          <w:b w:val="0"/>
          <w:bCs/>
          <w:color w:val="auto"/>
          <w:sz w:val="24"/>
          <w:szCs w:val="24"/>
          <w:highlight w:val="none"/>
        </w:rPr>
        <w:t>。</w:t>
      </w:r>
    </w:p>
    <w:p w14:paraId="6723C9D1">
      <w:pPr>
        <w:numPr>
          <w:ilvl w:val="0"/>
          <w:numId w:val="0"/>
        </w:numPr>
        <w:spacing w:line="5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highlight w:val="none"/>
        </w:rPr>
        <w:t xml:space="preserve"> 网络竞价交易系统显示“竞价会已结束”时</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系统根据上述规则确认本项目的最高有效报价（或应价）及其</w:t>
      </w:r>
      <w:r>
        <w:rPr>
          <w:rFonts w:hint="eastAsia" w:ascii="宋体" w:hAnsi="宋体" w:eastAsia="宋体" w:cs="宋体"/>
          <w:b w:val="0"/>
          <w:bCs/>
          <w:color w:val="auto"/>
          <w:sz w:val="24"/>
          <w:highlight w:val="none"/>
        </w:rPr>
        <w:t>最高</w:t>
      </w:r>
      <w:r>
        <w:rPr>
          <w:rFonts w:hint="eastAsia" w:ascii="宋体" w:hAnsi="宋体" w:cs="宋体"/>
          <w:b w:val="0"/>
          <w:bCs/>
          <w:color w:val="auto"/>
          <w:sz w:val="24"/>
          <w:highlight w:val="none"/>
          <w:lang w:val="en-US" w:eastAsia="zh-CN"/>
        </w:rPr>
        <w:t>报价</w:t>
      </w:r>
      <w:r>
        <w:rPr>
          <w:rFonts w:hint="eastAsia" w:ascii="宋体" w:hAnsi="宋体" w:eastAsia="宋体" w:cs="宋体"/>
          <w:b w:val="0"/>
          <w:bCs/>
          <w:color w:val="auto"/>
          <w:sz w:val="24"/>
          <w:highlight w:val="none"/>
        </w:rPr>
        <w:t>者</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通过竞价方式产生的最高报价者，经相关程序确定后为项目</w:t>
      </w:r>
      <w:r>
        <w:rPr>
          <w:rFonts w:hint="eastAsia" w:ascii="宋体" w:hAnsi="宋体" w:cs="宋体"/>
          <w:b w:val="0"/>
          <w:bCs/>
          <w:color w:val="auto"/>
          <w:sz w:val="24"/>
          <w:highlight w:val="none"/>
          <w:lang w:val="en-US" w:eastAsia="zh-CN"/>
        </w:rPr>
        <w:t>承租方（成交人）</w:t>
      </w:r>
      <w:r>
        <w:rPr>
          <w:rFonts w:hint="eastAsia" w:ascii="宋体" w:hAnsi="宋体" w:eastAsia="宋体" w:cs="宋体"/>
          <w:b w:val="0"/>
          <w:bCs/>
          <w:color w:val="auto"/>
          <w:sz w:val="24"/>
          <w:szCs w:val="24"/>
          <w:highlight w:val="none"/>
        </w:rPr>
        <w:t>。</w:t>
      </w:r>
    </w:p>
    <w:p w14:paraId="4126A803">
      <w:pPr>
        <w:tabs>
          <w:tab w:val="left" w:pos="993"/>
        </w:tabs>
        <w:spacing w:line="500" w:lineRule="exact"/>
        <w:ind w:firstLine="482"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bCs w:val="0"/>
          <w:color w:val="auto"/>
          <w:sz w:val="24"/>
          <w:highlight w:val="none"/>
          <w:lang w:val="en-US" w:eastAsia="zh-CN"/>
        </w:rPr>
        <w:t>第六条</w:t>
      </w:r>
      <w:r>
        <w:rPr>
          <w:rFonts w:hint="eastAsia" w:ascii="宋体" w:hAnsi="宋体" w:eastAsia="宋体" w:cs="宋体"/>
          <w:b w:val="0"/>
          <w:bCs/>
          <w:color w:val="auto"/>
          <w:sz w:val="24"/>
          <w:highlight w:val="none"/>
          <w:lang w:val="en-US" w:eastAsia="zh-CN"/>
        </w:rPr>
        <w:t xml:space="preserve">   竞价注意事项</w:t>
      </w:r>
    </w:p>
    <w:p w14:paraId="2E002018">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务必妥善保管阳光租赁平台登录账号和密码。凡使用其阳光租赁平台登录账号所进行的一切报价行为，均视为</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的行为，报价与交易结果由</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承担全部责任；</w:t>
      </w:r>
    </w:p>
    <w:p w14:paraId="79A4FF5C">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.2</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应在竞价前浏览平台用户操作手册-关于网络竞价指引（登录平台网站https://rent.szexgrp.com/），学习竞价操作并可向项目经理咨询。竞价开始后，</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不得以与竞价系统操作掌握程度相关问题提起投诉；</w:t>
      </w:r>
    </w:p>
    <w:p w14:paraId="6E506FA3">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.3</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应在正式竞价会开始前，提前登录阳光租赁平台进行进入竞价会等操作，以保证可以在正式竞价会开始前进入竞价界面进行报价；</w:t>
      </w:r>
    </w:p>
    <w:p w14:paraId="48083773">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.4凡在正式竞价会过程中因各种原因误操作，导致报价错误、报价不能发送及系统无响应的，</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自行承担全部责任；</w:t>
      </w:r>
    </w:p>
    <w:p w14:paraId="788A2365">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.5</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应在正式竞价会开始前，保证自身终端设备和网络能够持续正常运行，凡因</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自身终端设备和网络异常等原因导致无法正常竞价的，</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自行承担全部责任。</w:t>
      </w:r>
    </w:p>
    <w:p w14:paraId="5BF1AF72">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.6网络竞价过程中，</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在同一时间，在同一台终端只能使用一个账户参与一场竞价会。凡因</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在同一个终端通过多个竞价账户进行竞价而造成系统响应变慢、死机、报价错误等情况的，</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自行承担全部责任；</w:t>
      </w:r>
    </w:p>
    <w:p w14:paraId="7F5259DF">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.7互联网环境可能存在时延等不可预见因素，</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应尽量在自由竞价期内充分出价，在延时竞价期内及时出价。凡因互联网环境存在的时延等不可抗力因素导致的一切不良竞价后果均由</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自行承担；</w:t>
      </w:r>
    </w:p>
    <w:p w14:paraId="1EDF5891">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8 </w:t>
      </w:r>
      <w:r>
        <w:rPr>
          <w:rFonts w:hint="eastAsia" w:ascii="宋体" w:hAnsi="宋体" w:eastAsia="宋体" w:cs="宋体"/>
          <w:b w:val="0"/>
          <w:bCs/>
          <w:color w:val="auto"/>
          <w:sz w:val="24"/>
          <w:highlight w:val="none"/>
        </w:rPr>
        <w:t>当出现以下几种情况时，平台有权中止竞价活动，另行择期组织竞价：</w:t>
      </w:r>
    </w:p>
    <w:p w14:paraId="2A866326">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① 在报价过程中出现不可抗力或网络竞价系统遇到网络攻击、服务器故障、系统瘫痪等其他因素，导致竞价活动无法正常进行的；</w:t>
      </w:r>
    </w:p>
    <w:p w14:paraId="3F8DAB77">
      <w:pPr>
        <w:tabs>
          <w:tab w:val="left" w:pos="993"/>
          <w:tab w:val="left" w:pos="120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②</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平台根据项目实际情况判断应当中止竞价活动的其他情形。</w:t>
      </w:r>
    </w:p>
    <w:p w14:paraId="2B52A36C">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报价中止的，当导致竞价活动无法正常进行的因素消除后，平台在调整时间后继续进行。若报价记录可以恢复的，在原基础上继续报价，若报价记录无法恢复的，重新报价。</w:t>
      </w:r>
    </w:p>
    <w:p w14:paraId="0ADA3B54">
      <w:pPr>
        <w:tabs>
          <w:tab w:val="left" w:pos="99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lang w:val="en-US" w:eastAsia="zh-CN"/>
        </w:rPr>
        <w:t>6.9</w:t>
      </w:r>
      <w:r>
        <w:rPr>
          <w:rFonts w:hint="eastAsia" w:ascii="宋体" w:hAnsi="宋体" w:eastAsia="宋体" w:cs="宋体"/>
          <w:color w:val="auto"/>
          <w:sz w:val="24"/>
          <w:highlight w:val="none"/>
        </w:rPr>
        <w:t>符合报名条件并</w:t>
      </w:r>
      <w:r>
        <w:rPr>
          <w:rFonts w:hint="eastAsia" w:ascii="宋体" w:hAnsi="宋体" w:cs="宋体"/>
          <w:color w:val="auto"/>
          <w:sz w:val="24"/>
          <w:highlight w:val="none"/>
          <w:lang w:val="en-US" w:eastAsia="zh-CN"/>
        </w:rPr>
        <w:t>通过</w:t>
      </w:r>
      <w:r>
        <w:rPr>
          <w:rFonts w:hint="eastAsia" w:ascii="宋体" w:hAnsi="宋体" w:eastAsia="宋体" w:cs="宋体"/>
          <w:color w:val="auto"/>
          <w:sz w:val="24"/>
          <w:highlight w:val="none"/>
          <w:lang w:val="en-US" w:eastAsia="zh-CN"/>
        </w:rPr>
        <w:t>资格审核的</w:t>
      </w:r>
      <w:r>
        <w:rPr>
          <w:rFonts w:hint="eastAsia" w:ascii="宋体" w:hAnsi="宋体" w:cs="宋体"/>
          <w:color w:val="auto"/>
          <w:sz w:val="24"/>
          <w:highlight w:val="none"/>
          <w:lang w:val="en-US" w:eastAsia="zh-CN"/>
        </w:rPr>
        <w:t>意向承租方</w:t>
      </w:r>
      <w:r>
        <w:rPr>
          <w:rFonts w:hint="eastAsia" w:ascii="宋体" w:hAnsi="宋体" w:eastAsia="宋体" w:cs="宋体"/>
          <w:color w:val="auto"/>
          <w:sz w:val="24"/>
          <w:highlight w:val="none"/>
        </w:rPr>
        <w:t>将进入公开竞价环节。未按时</w:t>
      </w:r>
      <w:r>
        <w:rPr>
          <w:rFonts w:hint="eastAsia" w:ascii="宋体" w:hAnsi="宋体" w:eastAsia="宋体" w:cs="宋体"/>
          <w:color w:val="auto"/>
          <w:sz w:val="24"/>
          <w:highlight w:val="none"/>
          <w:lang w:val="en-US" w:eastAsia="zh-CN"/>
        </w:rPr>
        <w:t>参与</w:t>
      </w:r>
      <w:r>
        <w:rPr>
          <w:rFonts w:hint="eastAsia" w:ascii="宋体" w:hAnsi="宋体" w:eastAsia="宋体" w:cs="宋体"/>
          <w:color w:val="auto"/>
          <w:sz w:val="24"/>
          <w:highlight w:val="none"/>
        </w:rPr>
        <w:t>公开竞价程序</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未按规定进行报价的，以招租底价作为其报价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优先承租权人应按规定行使优先权，不按规定行使优先权的，以招租底价作为其报价。</w:t>
      </w:r>
    </w:p>
    <w:p w14:paraId="49E8DC2C">
      <w:pPr>
        <w:tabs>
          <w:tab w:val="left" w:pos="993"/>
          <w:tab w:val="left" w:pos="1203"/>
        </w:tabs>
        <w:spacing w:line="500" w:lineRule="exact"/>
        <w:ind w:firstLine="482" w:firstLineChars="200"/>
        <w:jc w:val="both"/>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6</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10</w:t>
      </w:r>
      <w:r>
        <w:rPr>
          <w:rFonts w:hint="eastAsia" w:ascii="宋体" w:hAnsi="宋体" w:eastAsia="宋体" w:cs="宋体"/>
          <w:b/>
          <w:bCs w:val="0"/>
          <w:color w:val="auto"/>
          <w:sz w:val="24"/>
          <w:highlight w:val="none"/>
        </w:rPr>
        <w:t>各</w:t>
      </w:r>
      <w:r>
        <w:rPr>
          <w:rFonts w:hint="eastAsia" w:ascii="宋体" w:hAnsi="宋体" w:cs="宋体"/>
          <w:b/>
          <w:bCs w:val="0"/>
          <w:color w:val="auto"/>
          <w:sz w:val="24"/>
          <w:highlight w:val="none"/>
          <w:lang w:eastAsia="zh-CN"/>
        </w:rPr>
        <w:t>意向承租方</w:t>
      </w:r>
      <w:r>
        <w:rPr>
          <w:rFonts w:hint="eastAsia" w:ascii="宋体" w:hAnsi="宋体" w:eastAsia="宋体" w:cs="宋体"/>
          <w:b/>
          <w:bCs w:val="0"/>
          <w:color w:val="auto"/>
          <w:sz w:val="24"/>
          <w:highlight w:val="none"/>
        </w:rPr>
        <w:t>特别注意事项：</w:t>
      </w:r>
    </w:p>
    <w:p w14:paraId="42A0BC48">
      <w:pPr>
        <w:tabs>
          <w:tab w:val="left" w:pos="993"/>
          <w:tab w:val="left" w:pos="1203"/>
        </w:tabs>
        <w:spacing w:line="500" w:lineRule="exact"/>
        <w:ind w:firstLine="482" w:firstLineChars="200"/>
        <w:jc w:val="both"/>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竞价开始后，各意向承租方必须至少提交报价一次，但其他意向承租方已提交报价的除外。各意向承租方均未提交报价的，各意向承租方所缴纳的交易保证金均不予退还。</w:t>
      </w:r>
    </w:p>
    <w:p w14:paraId="7846C5CC">
      <w:pPr>
        <w:tabs>
          <w:tab w:val="left" w:pos="993"/>
          <w:tab w:val="left" w:pos="120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以底价价格作为初始报价参加竞价活动，竞价操作按本须知中规定的规则进行；</w:t>
      </w:r>
    </w:p>
    <w:p w14:paraId="130CA827">
      <w:pPr>
        <w:tabs>
          <w:tab w:val="left" w:pos="993"/>
          <w:tab w:val="left" w:pos="1203"/>
        </w:tabs>
        <w:spacing w:line="500" w:lineRule="exact"/>
        <w:ind w:firstLine="480" w:firstLineChars="200"/>
        <w:jc w:val="both"/>
        <w:rPr>
          <w:rFonts w:hint="eastAsia" w:ascii="宋体" w:hAnsi="宋体" w:cs="宋体"/>
          <w:b w:val="0"/>
          <w:bCs/>
          <w:color w:val="auto"/>
          <w:sz w:val="24"/>
          <w:highlight w:val="none"/>
          <w:lang w:eastAsia="zh-CN"/>
        </w:rPr>
      </w:pPr>
      <w:r>
        <w:rPr>
          <w:rFonts w:hint="eastAsia" w:ascii="宋体" w:hAnsi="宋体" w:eastAsia="宋体" w:cs="宋体"/>
          <w:b w:val="0"/>
          <w:bCs/>
          <w:color w:val="auto"/>
          <w:sz w:val="24"/>
          <w:highlight w:val="none"/>
        </w:rPr>
        <w:t>未参与竞价的，其报价有效期自报名截止之日开始计算</w:t>
      </w:r>
      <w:r>
        <w:rPr>
          <w:rFonts w:hint="eastAsia" w:ascii="宋体" w:hAnsi="宋体" w:cs="宋体"/>
          <w:b w:val="0"/>
          <w:bCs/>
          <w:color w:val="auto"/>
          <w:sz w:val="24"/>
          <w:highlight w:val="none"/>
          <w:lang w:eastAsia="zh-CN"/>
        </w:rPr>
        <w:t>；</w:t>
      </w:r>
    </w:p>
    <w:p w14:paraId="3C65087F">
      <w:pPr>
        <w:tabs>
          <w:tab w:val="left" w:pos="993"/>
          <w:tab w:val="left" w:pos="1203"/>
        </w:tabs>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参与竞价的，</w:t>
      </w:r>
      <w:r>
        <w:rPr>
          <w:rFonts w:hint="eastAsia" w:ascii="宋体" w:hAnsi="宋体" w:eastAsia="宋体" w:cs="宋体"/>
          <w:b w:val="0"/>
          <w:bCs/>
          <w:color w:val="auto"/>
          <w:sz w:val="24"/>
          <w:highlight w:val="none"/>
        </w:rPr>
        <w:t>竞价结束后，中选价格为</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在竞价中所报最高的有效价格。</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在本次竞价活动中的报价有效期从其在竞价过程中提交的最终有效报价之日开始计算，经相关程序确认为</w:t>
      </w:r>
      <w:r>
        <w:rPr>
          <w:rFonts w:hint="eastAsia" w:ascii="宋体" w:hAnsi="宋体" w:cs="宋体"/>
          <w:b w:val="0"/>
          <w:bCs/>
          <w:color w:val="auto"/>
          <w:sz w:val="24"/>
          <w:highlight w:val="none"/>
          <w:lang w:eastAsia="zh-CN"/>
        </w:rPr>
        <w:t>承租方</w:t>
      </w:r>
      <w:r>
        <w:rPr>
          <w:rFonts w:hint="eastAsia" w:ascii="宋体" w:hAnsi="宋体" w:eastAsia="宋体" w:cs="宋体"/>
          <w:b w:val="0"/>
          <w:bCs/>
          <w:color w:val="auto"/>
          <w:sz w:val="24"/>
          <w:highlight w:val="none"/>
        </w:rPr>
        <w:t>（成交人）的</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须按照自身最高有效报价与招租人签订合同，如有违反将面临罚没交易保证金等招租文件规定的相关处罚。</w:t>
      </w:r>
    </w:p>
    <w:p w14:paraId="639DF3FD">
      <w:pPr>
        <w:numPr>
          <w:ilvl w:val="-1"/>
          <w:numId w:val="0"/>
        </w:numPr>
        <w:spacing w:line="500" w:lineRule="exact"/>
        <w:ind w:left="0" w:leftChars="0" w:firstLine="482" w:firstLineChars="200"/>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lang w:val="en-US" w:eastAsia="zh-CN"/>
        </w:rPr>
        <w:t>第七条</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 xml:space="preserve">  竞价结束说明：</w:t>
      </w:r>
    </w:p>
    <w:p w14:paraId="0B5D1C4C">
      <w:pPr>
        <w:tabs>
          <w:tab w:val="left" w:pos="993"/>
        </w:tabs>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.1请</w:t>
      </w:r>
      <w:r>
        <w:rPr>
          <w:rFonts w:hint="eastAsia" w:ascii="宋体" w:hAnsi="宋体" w:cs="宋体"/>
          <w:b w:val="0"/>
          <w:bCs/>
          <w:color w:val="auto"/>
          <w:sz w:val="24"/>
          <w:highlight w:val="none"/>
          <w:lang w:eastAsia="zh-CN"/>
        </w:rPr>
        <w:t>承租方</w:t>
      </w:r>
      <w:r>
        <w:rPr>
          <w:rFonts w:hint="eastAsia" w:ascii="宋体" w:hAnsi="宋体" w:eastAsia="宋体" w:cs="宋体"/>
          <w:b w:val="0"/>
          <w:bCs/>
          <w:color w:val="auto"/>
          <w:sz w:val="24"/>
          <w:highlight w:val="none"/>
        </w:rPr>
        <w:t>（成交人）登录阳光租赁平台，点击我参与的项目，选择待缴纳服务费的项目，点击进入项目，选择缴纳服务费节点，点击缴纳，平台生成缴纳服务费的银行账户名称和账号，然后直接将交易服务费汇入该账号。</w:t>
      </w:r>
    </w:p>
    <w:p w14:paraId="63043D5A">
      <w:pPr>
        <w:tabs>
          <w:tab w:val="left" w:pos="993"/>
        </w:tabs>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.2通过竞价成交的，竞价结束后，</w:t>
      </w:r>
      <w:r>
        <w:rPr>
          <w:rFonts w:hint="eastAsia" w:ascii="宋体" w:hAnsi="宋体" w:cs="宋体"/>
          <w:b w:val="0"/>
          <w:bCs/>
          <w:color w:val="auto"/>
          <w:sz w:val="24"/>
          <w:highlight w:val="none"/>
          <w:lang w:val="en-US" w:eastAsia="zh-CN"/>
        </w:rPr>
        <w:t>经确认后，</w:t>
      </w:r>
      <w:r>
        <w:rPr>
          <w:rFonts w:hint="eastAsia" w:ascii="宋体" w:hAnsi="宋体" w:eastAsia="宋体" w:cs="宋体"/>
          <w:b w:val="0"/>
          <w:bCs/>
          <w:color w:val="auto"/>
          <w:sz w:val="24"/>
          <w:highlight w:val="none"/>
        </w:rPr>
        <w:t>平台根据网络竞价结果及招租信息公告的相关内容向承租方（成交人）出具《</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通知书》。其他的</w:t>
      </w:r>
      <w:r>
        <w:rPr>
          <w:rFonts w:hint="eastAsia" w:ascii="宋体" w:hAnsi="宋体" w:cs="宋体"/>
          <w:b w:val="0"/>
          <w:bCs/>
          <w:color w:val="auto"/>
          <w:sz w:val="24"/>
          <w:highlight w:val="none"/>
          <w:lang w:val="en-US" w:eastAsia="zh-CN"/>
        </w:rPr>
        <w:t>未成交</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由平台办理退款事宜。</w:t>
      </w:r>
    </w:p>
    <w:p w14:paraId="29372B5B">
      <w:pPr>
        <w:numPr>
          <w:ilvl w:val="-1"/>
          <w:numId w:val="0"/>
        </w:numPr>
        <w:spacing w:line="500" w:lineRule="exact"/>
        <w:ind w:left="0" w:leftChars="0" w:firstLine="482" w:firstLineChars="200"/>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lang w:val="en-US" w:eastAsia="zh-CN"/>
        </w:rPr>
        <w:t>第八条</w:t>
      </w:r>
      <w:r>
        <w:rPr>
          <w:rFonts w:hint="eastAsia" w:ascii="宋体" w:hAnsi="宋体" w:eastAsia="宋体" w:cs="宋体"/>
          <w:b w:val="0"/>
          <w:bCs/>
          <w:color w:val="auto"/>
          <w:sz w:val="24"/>
          <w:highlight w:val="none"/>
        </w:rPr>
        <w:t xml:space="preserve">  特别提醒：</w:t>
      </w:r>
    </w:p>
    <w:p w14:paraId="2F71B457">
      <w:pPr>
        <w:widowControl/>
        <w:snapToGrid w:val="0"/>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rPr>
        <w:t>.1</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应对其账户安全负责，任何使用</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用户名和密码登录阳光租赁平台的用户，在阳光租赁平台的一切行为均视为该</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本人（单位）的行为，由</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负责。</w:t>
      </w:r>
    </w:p>
    <w:p w14:paraId="57C1D4BA">
      <w:pPr>
        <w:snapToGrid w:val="0"/>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rPr>
        <w:t>.2</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所提供的证明文件资料必须是真实、准确和完整的，否则由此引起的一切法律责任由</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承担。</w:t>
      </w:r>
    </w:p>
    <w:p w14:paraId="5A5FF351">
      <w:pPr>
        <w:widowControl/>
        <w:snapToGrid w:val="0"/>
        <w:spacing w:line="500" w:lineRule="exact"/>
        <w:ind w:firstLine="480" w:firstLineChars="20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rPr>
        <w:t>.3竞价标的在招租信息公告期间所披露的相关内容作为本网络竞价须知不可分割的组成部分，</w:t>
      </w:r>
      <w:r>
        <w:rPr>
          <w:rFonts w:hint="eastAsia" w:ascii="宋体" w:hAnsi="宋体" w:cs="宋体"/>
          <w:b w:val="0"/>
          <w:bCs/>
          <w:color w:val="auto"/>
          <w:sz w:val="24"/>
          <w:highlight w:val="none"/>
          <w:lang w:eastAsia="zh-CN"/>
        </w:rPr>
        <w:t>意向承租方</w:t>
      </w:r>
      <w:r>
        <w:rPr>
          <w:rFonts w:hint="eastAsia" w:ascii="宋体" w:hAnsi="宋体" w:eastAsia="宋体" w:cs="宋体"/>
          <w:b w:val="0"/>
          <w:bCs/>
          <w:color w:val="auto"/>
          <w:sz w:val="24"/>
          <w:highlight w:val="none"/>
        </w:rPr>
        <w:t>均须遵守。</w:t>
      </w:r>
    </w:p>
    <w:p w14:paraId="15C3EDFE">
      <w:pPr>
        <w:spacing w:line="500" w:lineRule="exact"/>
        <w:ind w:firstLine="482" w:firstLineChars="2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本人（单位）已阅读并认可上述内容，同时本人（单位）也充分了解竞价标的的全部情况及交易条件，愿意接受并承担相关的法律责任及风险。</w:t>
      </w:r>
    </w:p>
    <w:p w14:paraId="3E1199B0">
      <w:pPr>
        <w:rPr>
          <w:rFonts w:hint="eastAsia" w:ascii="宋体" w:hAnsi="宋体" w:eastAsia="宋体" w:cs="宋体"/>
          <w:b w:val="0"/>
          <w:bCs/>
          <w:color w:val="auto"/>
          <w:sz w:val="24"/>
          <w:highlight w:val="none"/>
        </w:rPr>
      </w:pPr>
    </w:p>
    <w:p w14:paraId="3B979FE8">
      <w:pPr>
        <w:rPr>
          <w:rFonts w:hint="eastAsia" w:ascii="宋体" w:hAnsi="宋体" w:eastAsia="宋体" w:cs="宋体"/>
          <w:b w:val="0"/>
          <w:bCs/>
          <w:color w:val="auto"/>
          <w:sz w:val="24"/>
          <w:highlight w:val="none"/>
        </w:rPr>
      </w:pPr>
    </w:p>
    <w:sectPr>
      <w:footerReference r:id="rId5" w:type="default"/>
      <w:pgSz w:w="11906" w:h="16838"/>
      <w:pgMar w:top="2098" w:right="1474" w:bottom="1984" w:left="1587" w:header="850" w:footer="1587"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D767">
    <w:pPr>
      <w:pStyle w:val="5"/>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B8706">
                          <w:pPr>
                            <w:pStyle w:val="5"/>
                            <w:rPr>
                              <w:rFonts w:hint="eastAsia" w:ascii="宋体" w:hAnsi="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B8706">
                    <w:pPr>
                      <w:pStyle w:val="5"/>
                      <w:rPr>
                        <w:rFonts w:hint="eastAsia" w:ascii="宋体" w:hAnsi="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78DCE"/>
    <w:multiLevelType w:val="singleLevel"/>
    <w:tmpl w:val="0E078DCE"/>
    <w:lvl w:ilvl="0" w:tentative="0">
      <w:start w:val="5"/>
      <w:numFmt w:val="decimal"/>
      <w:suff w:val="nothing"/>
      <w:lvlText w:val="%1、"/>
      <w:lvlJc w:val="left"/>
    </w:lvl>
  </w:abstractNum>
  <w:abstractNum w:abstractNumId="1">
    <w:nsid w:val="7EF4288F"/>
    <w:multiLevelType w:val="multilevel"/>
    <w:tmpl w:val="7EF4288F"/>
    <w:lvl w:ilvl="0" w:tentative="0">
      <w:start w:val="1"/>
      <w:numFmt w:val="chineseCountingThousand"/>
      <w:lvlText w:val="第%1条"/>
      <w:lvlJc w:val="left"/>
      <w:pPr>
        <w:ind w:left="900" w:hanging="420"/>
      </w:pPr>
      <w:rPr>
        <w:rFonts w:hint="eastAsia"/>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OGI4YzJiZWJmMzA0YmYzZDdlNmY2NmMyNThjMjcifQ=="/>
  </w:docVars>
  <w:rsids>
    <w:rsidRoot w:val="00FC75EA"/>
    <w:rsid w:val="00075303"/>
    <w:rsid w:val="000B3565"/>
    <w:rsid w:val="000B65F8"/>
    <w:rsid w:val="000B6DB7"/>
    <w:rsid w:val="000C37EE"/>
    <w:rsid w:val="00145D7F"/>
    <w:rsid w:val="001A106F"/>
    <w:rsid w:val="001A3846"/>
    <w:rsid w:val="001E125B"/>
    <w:rsid w:val="001E433E"/>
    <w:rsid w:val="002304CB"/>
    <w:rsid w:val="002550FC"/>
    <w:rsid w:val="002955C0"/>
    <w:rsid w:val="002C5248"/>
    <w:rsid w:val="002D077B"/>
    <w:rsid w:val="002E5372"/>
    <w:rsid w:val="002F36D6"/>
    <w:rsid w:val="00377EDA"/>
    <w:rsid w:val="00404100"/>
    <w:rsid w:val="004653AC"/>
    <w:rsid w:val="004829BC"/>
    <w:rsid w:val="00485E11"/>
    <w:rsid w:val="00572CC1"/>
    <w:rsid w:val="005B15A7"/>
    <w:rsid w:val="005C6901"/>
    <w:rsid w:val="007C5027"/>
    <w:rsid w:val="007C7816"/>
    <w:rsid w:val="00855B5C"/>
    <w:rsid w:val="00876A3D"/>
    <w:rsid w:val="008914F9"/>
    <w:rsid w:val="00895008"/>
    <w:rsid w:val="008F40EE"/>
    <w:rsid w:val="0092120C"/>
    <w:rsid w:val="0095502A"/>
    <w:rsid w:val="00963D1E"/>
    <w:rsid w:val="009D7DF2"/>
    <w:rsid w:val="009E2687"/>
    <w:rsid w:val="00A37376"/>
    <w:rsid w:val="00A4042E"/>
    <w:rsid w:val="00A934EC"/>
    <w:rsid w:val="00AA22F5"/>
    <w:rsid w:val="00AA35DF"/>
    <w:rsid w:val="00B155ED"/>
    <w:rsid w:val="00B86751"/>
    <w:rsid w:val="00C1046D"/>
    <w:rsid w:val="00C14760"/>
    <w:rsid w:val="00C87FFB"/>
    <w:rsid w:val="00D24B87"/>
    <w:rsid w:val="00D60564"/>
    <w:rsid w:val="00D73229"/>
    <w:rsid w:val="00D81F82"/>
    <w:rsid w:val="00D87AA3"/>
    <w:rsid w:val="00DB3E41"/>
    <w:rsid w:val="00DB55D2"/>
    <w:rsid w:val="00DC6735"/>
    <w:rsid w:val="00DE608C"/>
    <w:rsid w:val="00E4569C"/>
    <w:rsid w:val="00EB3D2B"/>
    <w:rsid w:val="00EE5DB5"/>
    <w:rsid w:val="00F42582"/>
    <w:rsid w:val="00F85E95"/>
    <w:rsid w:val="00FC75EA"/>
    <w:rsid w:val="00FE6925"/>
    <w:rsid w:val="01021018"/>
    <w:rsid w:val="01521C8D"/>
    <w:rsid w:val="02BA0744"/>
    <w:rsid w:val="02E43C7B"/>
    <w:rsid w:val="03062D2F"/>
    <w:rsid w:val="030D27A6"/>
    <w:rsid w:val="0362050E"/>
    <w:rsid w:val="039734CE"/>
    <w:rsid w:val="03BE15EF"/>
    <w:rsid w:val="03EE33CD"/>
    <w:rsid w:val="03FA6D38"/>
    <w:rsid w:val="0439490B"/>
    <w:rsid w:val="045D1A8B"/>
    <w:rsid w:val="046248DD"/>
    <w:rsid w:val="04BB781C"/>
    <w:rsid w:val="04C03B5F"/>
    <w:rsid w:val="0599049D"/>
    <w:rsid w:val="05DC29A4"/>
    <w:rsid w:val="06397155"/>
    <w:rsid w:val="06524474"/>
    <w:rsid w:val="06B766C6"/>
    <w:rsid w:val="06BB0913"/>
    <w:rsid w:val="0748242D"/>
    <w:rsid w:val="07543FAF"/>
    <w:rsid w:val="0797489E"/>
    <w:rsid w:val="07B45450"/>
    <w:rsid w:val="07C050C7"/>
    <w:rsid w:val="07E94DC3"/>
    <w:rsid w:val="08194F71"/>
    <w:rsid w:val="0854278F"/>
    <w:rsid w:val="085B51B1"/>
    <w:rsid w:val="087D5842"/>
    <w:rsid w:val="08852E32"/>
    <w:rsid w:val="08AA2E33"/>
    <w:rsid w:val="08CB45F8"/>
    <w:rsid w:val="08E92ED7"/>
    <w:rsid w:val="092F0C6A"/>
    <w:rsid w:val="09930DBA"/>
    <w:rsid w:val="0A096DD5"/>
    <w:rsid w:val="0A994DEF"/>
    <w:rsid w:val="0B0D3155"/>
    <w:rsid w:val="0B290147"/>
    <w:rsid w:val="0B802968"/>
    <w:rsid w:val="0B95556D"/>
    <w:rsid w:val="0BF73B5D"/>
    <w:rsid w:val="0BF8631D"/>
    <w:rsid w:val="0C3512B2"/>
    <w:rsid w:val="0C45317A"/>
    <w:rsid w:val="0C4C4998"/>
    <w:rsid w:val="0C555716"/>
    <w:rsid w:val="0C6A432F"/>
    <w:rsid w:val="0CDF50F0"/>
    <w:rsid w:val="0D227DD4"/>
    <w:rsid w:val="0D3B4184"/>
    <w:rsid w:val="0D4265B5"/>
    <w:rsid w:val="0D645222"/>
    <w:rsid w:val="0D74395F"/>
    <w:rsid w:val="0D9D24E2"/>
    <w:rsid w:val="0DB00467"/>
    <w:rsid w:val="0DCB6C8B"/>
    <w:rsid w:val="0E6D389F"/>
    <w:rsid w:val="0E927B6D"/>
    <w:rsid w:val="0EFE4875"/>
    <w:rsid w:val="0F093255"/>
    <w:rsid w:val="0F322636"/>
    <w:rsid w:val="0F621C35"/>
    <w:rsid w:val="0F8B53FA"/>
    <w:rsid w:val="0F9D1891"/>
    <w:rsid w:val="10D66437"/>
    <w:rsid w:val="10D72B92"/>
    <w:rsid w:val="11867E5D"/>
    <w:rsid w:val="12386C7D"/>
    <w:rsid w:val="125E5597"/>
    <w:rsid w:val="12900868"/>
    <w:rsid w:val="13023513"/>
    <w:rsid w:val="136A2E67"/>
    <w:rsid w:val="13833F28"/>
    <w:rsid w:val="13EA475F"/>
    <w:rsid w:val="14752702"/>
    <w:rsid w:val="14E93FFC"/>
    <w:rsid w:val="15125849"/>
    <w:rsid w:val="159A546D"/>
    <w:rsid w:val="15AC7766"/>
    <w:rsid w:val="15DE4941"/>
    <w:rsid w:val="161A0B74"/>
    <w:rsid w:val="166167A3"/>
    <w:rsid w:val="166B1141"/>
    <w:rsid w:val="16832BBD"/>
    <w:rsid w:val="17976890"/>
    <w:rsid w:val="17FB2C27"/>
    <w:rsid w:val="188822F6"/>
    <w:rsid w:val="18CE0056"/>
    <w:rsid w:val="193E2760"/>
    <w:rsid w:val="19766A09"/>
    <w:rsid w:val="19B15F8C"/>
    <w:rsid w:val="19C57049"/>
    <w:rsid w:val="1A02029D"/>
    <w:rsid w:val="1A30178A"/>
    <w:rsid w:val="1A562397"/>
    <w:rsid w:val="1A665890"/>
    <w:rsid w:val="1A873341"/>
    <w:rsid w:val="1ACB071E"/>
    <w:rsid w:val="1AFA03EE"/>
    <w:rsid w:val="1B5D36B4"/>
    <w:rsid w:val="1BF0641C"/>
    <w:rsid w:val="1BF7582C"/>
    <w:rsid w:val="1C422AF2"/>
    <w:rsid w:val="1C8E406A"/>
    <w:rsid w:val="1CA4563B"/>
    <w:rsid w:val="1CBF19E5"/>
    <w:rsid w:val="1CBF1AEE"/>
    <w:rsid w:val="1D320E99"/>
    <w:rsid w:val="1D3F5364"/>
    <w:rsid w:val="1D457285"/>
    <w:rsid w:val="1DFB44EB"/>
    <w:rsid w:val="1E2F3219"/>
    <w:rsid w:val="1E685343"/>
    <w:rsid w:val="1E6D5185"/>
    <w:rsid w:val="1E8214D9"/>
    <w:rsid w:val="1ED36252"/>
    <w:rsid w:val="1F230B36"/>
    <w:rsid w:val="1F386298"/>
    <w:rsid w:val="1F457B25"/>
    <w:rsid w:val="1F612934"/>
    <w:rsid w:val="20833E6A"/>
    <w:rsid w:val="20E701EC"/>
    <w:rsid w:val="211C7E96"/>
    <w:rsid w:val="212D20A3"/>
    <w:rsid w:val="212E7BC9"/>
    <w:rsid w:val="21D124AD"/>
    <w:rsid w:val="2213412C"/>
    <w:rsid w:val="22943C26"/>
    <w:rsid w:val="22DF561F"/>
    <w:rsid w:val="22E277E9"/>
    <w:rsid w:val="2309444A"/>
    <w:rsid w:val="233653C5"/>
    <w:rsid w:val="23D36806"/>
    <w:rsid w:val="2436525A"/>
    <w:rsid w:val="24AC0FB0"/>
    <w:rsid w:val="24F320EA"/>
    <w:rsid w:val="24FA0891"/>
    <w:rsid w:val="25A91F14"/>
    <w:rsid w:val="25B508B9"/>
    <w:rsid w:val="25CC7C2C"/>
    <w:rsid w:val="2604539D"/>
    <w:rsid w:val="26344532"/>
    <w:rsid w:val="263712CE"/>
    <w:rsid w:val="26D61A38"/>
    <w:rsid w:val="26E23FF5"/>
    <w:rsid w:val="26F40F80"/>
    <w:rsid w:val="273121C1"/>
    <w:rsid w:val="280E42B1"/>
    <w:rsid w:val="2828560B"/>
    <w:rsid w:val="282D2989"/>
    <w:rsid w:val="287A3882"/>
    <w:rsid w:val="28C64B8B"/>
    <w:rsid w:val="28D41056"/>
    <w:rsid w:val="292F4663"/>
    <w:rsid w:val="29633E86"/>
    <w:rsid w:val="29642175"/>
    <w:rsid w:val="2A6B59EA"/>
    <w:rsid w:val="2AE7777A"/>
    <w:rsid w:val="2B02095C"/>
    <w:rsid w:val="2B18263D"/>
    <w:rsid w:val="2B311FB1"/>
    <w:rsid w:val="2B6A77BE"/>
    <w:rsid w:val="2B822FEC"/>
    <w:rsid w:val="2C5A1872"/>
    <w:rsid w:val="2CAB3FB4"/>
    <w:rsid w:val="2CE87885"/>
    <w:rsid w:val="2D164240"/>
    <w:rsid w:val="2D4A3C8A"/>
    <w:rsid w:val="2D8D147C"/>
    <w:rsid w:val="2DC56107"/>
    <w:rsid w:val="2E866566"/>
    <w:rsid w:val="2ED0406E"/>
    <w:rsid w:val="2FEA3851"/>
    <w:rsid w:val="300264A9"/>
    <w:rsid w:val="30140318"/>
    <w:rsid w:val="30204B81"/>
    <w:rsid w:val="305958D2"/>
    <w:rsid w:val="30F32296"/>
    <w:rsid w:val="31545B84"/>
    <w:rsid w:val="318178A1"/>
    <w:rsid w:val="319C1D0A"/>
    <w:rsid w:val="31AA329C"/>
    <w:rsid w:val="31C75679"/>
    <w:rsid w:val="31FB7654"/>
    <w:rsid w:val="320D5506"/>
    <w:rsid w:val="32382656"/>
    <w:rsid w:val="32870971"/>
    <w:rsid w:val="32894D65"/>
    <w:rsid w:val="32A23532"/>
    <w:rsid w:val="32F742BF"/>
    <w:rsid w:val="333D4138"/>
    <w:rsid w:val="333E1EEE"/>
    <w:rsid w:val="33681108"/>
    <w:rsid w:val="337024B3"/>
    <w:rsid w:val="337C77AC"/>
    <w:rsid w:val="33F20939"/>
    <w:rsid w:val="34126C48"/>
    <w:rsid w:val="34383DD1"/>
    <w:rsid w:val="346076B1"/>
    <w:rsid w:val="34662298"/>
    <w:rsid w:val="34903B27"/>
    <w:rsid w:val="354B26A0"/>
    <w:rsid w:val="356A1FBE"/>
    <w:rsid w:val="35956011"/>
    <w:rsid w:val="35D308DF"/>
    <w:rsid w:val="35F75434"/>
    <w:rsid w:val="36252EF1"/>
    <w:rsid w:val="363007F9"/>
    <w:rsid w:val="36DF3E80"/>
    <w:rsid w:val="36F154C9"/>
    <w:rsid w:val="377D0B0B"/>
    <w:rsid w:val="384B4AF1"/>
    <w:rsid w:val="38A37721"/>
    <w:rsid w:val="38B85950"/>
    <w:rsid w:val="393B0C7E"/>
    <w:rsid w:val="394E6C03"/>
    <w:rsid w:val="397B107A"/>
    <w:rsid w:val="3A2B484E"/>
    <w:rsid w:val="3A3F1477"/>
    <w:rsid w:val="3A446641"/>
    <w:rsid w:val="3A640E4B"/>
    <w:rsid w:val="3A780F78"/>
    <w:rsid w:val="3A951DA2"/>
    <w:rsid w:val="3A993EAE"/>
    <w:rsid w:val="3AF55712"/>
    <w:rsid w:val="3B5A188F"/>
    <w:rsid w:val="3B8B29BF"/>
    <w:rsid w:val="3B8B3833"/>
    <w:rsid w:val="3BD358F9"/>
    <w:rsid w:val="3C6B3320"/>
    <w:rsid w:val="3C885315"/>
    <w:rsid w:val="3C893634"/>
    <w:rsid w:val="3D773059"/>
    <w:rsid w:val="3DE23DBE"/>
    <w:rsid w:val="3DF35237"/>
    <w:rsid w:val="3E44716F"/>
    <w:rsid w:val="3E6C6EAB"/>
    <w:rsid w:val="3E9A01F4"/>
    <w:rsid w:val="3EBA4B1D"/>
    <w:rsid w:val="3F1D63BC"/>
    <w:rsid w:val="3F3521A2"/>
    <w:rsid w:val="3F4941ED"/>
    <w:rsid w:val="3F4950F4"/>
    <w:rsid w:val="3F8343AD"/>
    <w:rsid w:val="406855AA"/>
    <w:rsid w:val="409C0254"/>
    <w:rsid w:val="40F005A0"/>
    <w:rsid w:val="412D224A"/>
    <w:rsid w:val="413D1A37"/>
    <w:rsid w:val="41766CF7"/>
    <w:rsid w:val="41DE401F"/>
    <w:rsid w:val="420E0E87"/>
    <w:rsid w:val="4255690C"/>
    <w:rsid w:val="42884D8A"/>
    <w:rsid w:val="43285497"/>
    <w:rsid w:val="43617533"/>
    <w:rsid w:val="437C6A48"/>
    <w:rsid w:val="438C4C83"/>
    <w:rsid w:val="43CD0515"/>
    <w:rsid w:val="43EA649A"/>
    <w:rsid w:val="43F13EB7"/>
    <w:rsid w:val="4413677C"/>
    <w:rsid w:val="441C0F88"/>
    <w:rsid w:val="4447497A"/>
    <w:rsid w:val="44AF0466"/>
    <w:rsid w:val="45675CA0"/>
    <w:rsid w:val="45A47C79"/>
    <w:rsid w:val="461E7F4C"/>
    <w:rsid w:val="46ED0604"/>
    <w:rsid w:val="46FD404E"/>
    <w:rsid w:val="472822DD"/>
    <w:rsid w:val="47573126"/>
    <w:rsid w:val="47DE73A4"/>
    <w:rsid w:val="486024AF"/>
    <w:rsid w:val="48641319"/>
    <w:rsid w:val="48A8609B"/>
    <w:rsid w:val="48B620CF"/>
    <w:rsid w:val="4917671A"/>
    <w:rsid w:val="49183E66"/>
    <w:rsid w:val="492201AF"/>
    <w:rsid w:val="492F6EEB"/>
    <w:rsid w:val="4966627F"/>
    <w:rsid w:val="49DF3A06"/>
    <w:rsid w:val="4A387F45"/>
    <w:rsid w:val="4A7067B7"/>
    <w:rsid w:val="4A7144FF"/>
    <w:rsid w:val="4A7933B4"/>
    <w:rsid w:val="4ACA177E"/>
    <w:rsid w:val="4AFD2237"/>
    <w:rsid w:val="4B0B79A3"/>
    <w:rsid w:val="4B57577B"/>
    <w:rsid w:val="4B776E43"/>
    <w:rsid w:val="4B792520"/>
    <w:rsid w:val="4BB4664D"/>
    <w:rsid w:val="4BB70638"/>
    <w:rsid w:val="4BE13907"/>
    <w:rsid w:val="4BEB64CF"/>
    <w:rsid w:val="4C5C2F8D"/>
    <w:rsid w:val="4C693860"/>
    <w:rsid w:val="4C940979"/>
    <w:rsid w:val="4CF76F6B"/>
    <w:rsid w:val="4D12424A"/>
    <w:rsid w:val="4D1E1618"/>
    <w:rsid w:val="4D9B09F0"/>
    <w:rsid w:val="4DAC5724"/>
    <w:rsid w:val="4DF8180F"/>
    <w:rsid w:val="4E1F4C80"/>
    <w:rsid w:val="4E2A5C26"/>
    <w:rsid w:val="4E342FCC"/>
    <w:rsid w:val="4EB80AE8"/>
    <w:rsid w:val="4EB90223"/>
    <w:rsid w:val="4EBB21ED"/>
    <w:rsid w:val="4EE4401A"/>
    <w:rsid w:val="4F3C7942"/>
    <w:rsid w:val="4F4B6357"/>
    <w:rsid w:val="4F5F526E"/>
    <w:rsid w:val="4F9051E2"/>
    <w:rsid w:val="4FB76E58"/>
    <w:rsid w:val="4FDC241B"/>
    <w:rsid w:val="4FEA13C6"/>
    <w:rsid w:val="50225B0D"/>
    <w:rsid w:val="5071160D"/>
    <w:rsid w:val="509C4916"/>
    <w:rsid w:val="50BF6E65"/>
    <w:rsid w:val="511245BB"/>
    <w:rsid w:val="511A5322"/>
    <w:rsid w:val="511D0771"/>
    <w:rsid w:val="517D387C"/>
    <w:rsid w:val="51890380"/>
    <w:rsid w:val="51DE7F28"/>
    <w:rsid w:val="524A0F15"/>
    <w:rsid w:val="52864056"/>
    <w:rsid w:val="529C2335"/>
    <w:rsid w:val="52F90EA5"/>
    <w:rsid w:val="53360094"/>
    <w:rsid w:val="534053B7"/>
    <w:rsid w:val="540656A9"/>
    <w:rsid w:val="54C16083"/>
    <w:rsid w:val="54CB7F83"/>
    <w:rsid w:val="559E63C4"/>
    <w:rsid w:val="55CE3C8F"/>
    <w:rsid w:val="55CE6366"/>
    <w:rsid w:val="56140155"/>
    <w:rsid w:val="56405C78"/>
    <w:rsid w:val="56633316"/>
    <w:rsid w:val="56796EF9"/>
    <w:rsid w:val="5689497F"/>
    <w:rsid w:val="56A417B8"/>
    <w:rsid w:val="56DC71A4"/>
    <w:rsid w:val="56F00EA2"/>
    <w:rsid w:val="570606C5"/>
    <w:rsid w:val="572D17AE"/>
    <w:rsid w:val="57982C8C"/>
    <w:rsid w:val="582A269F"/>
    <w:rsid w:val="58940642"/>
    <w:rsid w:val="592E180D"/>
    <w:rsid w:val="59373A87"/>
    <w:rsid w:val="59C035F1"/>
    <w:rsid w:val="5A0013FC"/>
    <w:rsid w:val="5A045826"/>
    <w:rsid w:val="5A1A070F"/>
    <w:rsid w:val="5A635212"/>
    <w:rsid w:val="5AA12BDF"/>
    <w:rsid w:val="5AF85B05"/>
    <w:rsid w:val="5B1E0EE0"/>
    <w:rsid w:val="5B726329"/>
    <w:rsid w:val="5B9067AF"/>
    <w:rsid w:val="5C972C59"/>
    <w:rsid w:val="5CA96C01"/>
    <w:rsid w:val="5D07136C"/>
    <w:rsid w:val="5D137698"/>
    <w:rsid w:val="5D156F6C"/>
    <w:rsid w:val="5DA339B5"/>
    <w:rsid w:val="5DEC2B56"/>
    <w:rsid w:val="5E45699F"/>
    <w:rsid w:val="5EC257F9"/>
    <w:rsid w:val="5EC44EBC"/>
    <w:rsid w:val="5ECE7F48"/>
    <w:rsid w:val="5EE94B54"/>
    <w:rsid w:val="5EEE5C79"/>
    <w:rsid w:val="5F032B5D"/>
    <w:rsid w:val="5F3A715E"/>
    <w:rsid w:val="5F692862"/>
    <w:rsid w:val="5FCB6008"/>
    <w:rsid w:val="5FF90F4E"/>
    <w:rsid w:val="61113EEE"/>
    <w:rsid w:val="61273712"/>
    <w:rsid w:val="61363EFB"/>
    <w:rsid w:val="616C7D0F"/>
    <w:rsid w:val="61765A51"/>
    <w:rsid w:val="61AD2263"/>
    <w:rsid w:val="61E57855"/>
    <w:rsid w:val="61FA1AC6"/>
    <w:rsid w:val="621A1A72"/>
    <w:rsid w:val="6234248F"/>
    <w:rsid w:val="626559E9"/>
    <w:rsid w:val="62A25746"/>
    <w:rsid w:val="63B219B9"/>
    <w:rsid w:val="63C314EE"/>
    <w:rsid w:val="649E3CEB"/>
    <w:rsid w:val="64C25C2B"/>
    <w:rsid w:val="64E5123A"/>
    <w:rsid w:val="64E5191A"/>
    <w:rsid w:val="651E6040"/>
    <w:rsid w:val="65901116"/>
    <w:rsid w:val="65EF573F"/>
    <w:rsid w:val="65FA7647"/>
    <w:rsid w:val="661C7228"/>
    <w:rsid w:val="66310A87"/>
    <w:rsid w:val="667C62AE"/>
    <w:rsid w:val="6681781C"/>
    <w:rsid w:val="66B21CD0"/>
    <w:rsid w:val="672755B0"/>
    <w:rsid w:val="67762113"/>
    <w:rsid w:val="67A05FCC"/>
    <w:rsid w:val="67DF27CC"/>
    <w:rsid w:val="67E4235D"/>
    <w:rsid w:val="683707B5"/>
    <w:rsid w:val="68832558"/>
    <w:rsid w:val="689A2A1B"/>
    <w:rsid w:val="68D843DE"/>
    <w:rsid w:val="68E65511"/>
    <w:rsid w:val="68FC334A"/>
    <w:rsid w:val="697252DC"/>
    <w:rsid w:val="699B4676"/>
    <w:rsid w:val="69A476D9"/>
    <w:rsid w:val="69BF098B"/>
    <w:rsid w:val="69D32689"/>
    <w:rsid w:val="69FD3262"/>
    <w:rsid w:val="6A0678EA"/>
    <w:rsid w:val="6A5C266F"/>
    <w:rsid w:val="6AFD7E4E"/>
    <w:rsid w:val="6B0F160E"/>
    <w:rsid w:val="6B1940CB"/>
    <w:rsid w:val="6B5216AC"/>
    <w:rsid w:val="6B555497"/>
    <w:rsid w:val="6B7C465A"/>
    <w:rsid w:val="6BAE515B"/>
    <w:rsid w:val="6BB414A4"/>
    <w:rsid w:val="6CE40ECD"/>
    <w:rsid w:val="6D2C5A6A"/>
    <w:rsid w:val="6D57626C"/>
    <w:rsid w:val="6D7221B9"/>
    <w:rsid w:val="6D8B0547"/>
    <w:rsid w:val="6D976CDD"/>
    <w:rsid w:val="6DEF5031"/>
    <w:rsid w:val="6E8B56A0"/>
    <w:rsid w:val="6F5C4ECE"/>
    <w:rsid w:val="6FAB2FD8"/>
    <w:rsid w:val="6FD76303"/>
    <w:rsid w:val="6FF62C2D"/>
    <w:rsid w:val="700156B6"/>
    <w:rsid w:val="70243502"/>
    <w:rsid w:val="70402769"/>
    <w:rsid w:val="704B60EC"/>
    <w:rsid w:val="70BA0CB7"/>
    <w:rsid w:val="71105F71"/>
    <w:rsid w:val="717C7162"/>
    <w:rsid w:val="717F6C52"/>
    <w:rsid w:val="719A0C55"/>
    <w:rsid w:val="71AF7537"/>
    <w:rsid w:val="71B608C6"/>
    <w:rsid w:val="71B80A85"/>
    <w:rsid w:val="71E35968"/>
    <w:rsid w:val="7229385F"/>
    <w:rsid w:val="72676EF0"/>
    <w:rsid w:val="727F35DB"/>
    <w:rsid w:val="72EC6569"/>
    <w:rsid w:val="731E44E0"/>
    <w:rsid w:val="73913495"/>
    <w:rsid w:val="73C61AB2"/>
    <w:rsid w:val="73F43927"/>
    <w:rsid w:val="73F87288"/>
    <w:rsid w:val="749F3C1C"/>
    <w:rsid w:val="74AF51ED"/>
    <w:rsid w:val="74B11819"/>
    <w:rsid w:val="74B14E48"/>
    <w:rsid w:val="74D177C5"/>
    <w:rsid w:val="750466C8"/>
    <w:rsid w:val="75C437EB"/>
    <w:rsid w:val="76144DCF"/>
    <w:rsid w:val="769838DE"/>
    <w:rsid w:val="76A61A14"/>
    <w:rsid w:val="76B949B4"/>
    <w:rsid w:val="77674E68"/>
    <w:rsid w:val="776E0124"/>
    <w:rsid w:val="778C15CC"/>
    <w:rsid w:val="77B70EF4"/>
    <w:rsid w:val="785C7CED"/>
    <w:rsid w:val="787D038F"/>
    <w:rsid w:val="78AD0D21"/>
    <w:rsid w:val="79113FCF"/>
    <w:rsid w:val="79222CE5"/>
    <w:rsid w:val="793D5330"/>
    <w:rsid w:val="79867177"/>
    <w:rsid w:val="79B87ECB"/>
    <w:rsid w:val="79E67179"/>
    <w:rsid w:val="7A5C5D83"/>
    <w:rsid w:val="7A9A49AC"/>
    <w:rsid w:val="7AF1471D"/>
    <w:rsid w:val="7AF152BB"/>
    <w:rsid w:val="7B5B0730"/>
    <w:rsid w:val="7B6F5F04"/>
    <w:rsid w:val="7B70048C"/>
    <w:rsid w:val="7C5C02BC"/>
    <w:rsid w:val="7C7D590B"/>
    <w:rsid w:val="7CFA3D1C"/>
    <w:rsid w:val="7D0E34DE"/>
    <w:rsid w:val="7D3703A6"/>
    <w:rsid w:val="7D9F3AB2"/>
    <w:rsid w:val="7DA77C5D"/>
    <w:rsid w:val="7DF8130A"/>
    <w:rsid w:val="7E235535"/>
    <w:rsid w:val="7E3949A7"/>
    <w:rsid w:val="7E3D2B5D"/>
    <w:rsid w:val="7E4E1BEE"/>
    <w:rsid w:val="7E593C42"/>
    <w:rsid w:val="7E8104AE"/>
    <w:rsid w:val="7E842F5D"/>
    <w:rsid w:val="7F967F89"/>
    <w:rsid w:val="7F9F090D"/>
    <w:rsid w:val="7FB94CAB"/>
    <w:rsid w:val="7FD55FFF"/>
    <w:rsid w:val="7FFD3D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5"/>
    <w:basedOn w:val="1"/>
    <w:next w:val="1"/>
    <w:link w:val="14"/>
    <w:unhideWhenUsed/>
    <w:qFormat/>
    <w:uiPriority w:val="0"/>
    <w:pPr>
      <w:keepNext/>
      <w:keepLines/>
      <w:spacing w:before="280" w:after="290"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pPr>
      <w:spacing w:after="0" w:line="240" w:lineRule="auto"/>
    </w:pPr>
    <w:rPr>
      <w:sz w:val="18"/>
      <w:szCs w:val="18"/>
    </w:rPr>
  </w:style>
  <w:style w:type="paragraph" w:styleId="5">
    <w:name w:val="footer"/>
    <w:basedOn w:val="1"/>
    <w:link w:val="13"/>
    <w:unhideWhenUsed/>
    <w:qFormat/>
    <w:uiPriority w:val="99"/>
    <w:pPr>
      <w:tabs>
        <w:tab w:val="center" w:pos="4153"/>
        <w:tab w:val="right" w:pos="8306"/>
      </w:tabs>
      <w:spacing w:after="0" w:line="240" w:lineRule="auto"/>
    </w:pPr>
  </w:style>
  <w:style w:type="paragraph" w:styleId="6">
    <w:name w:val="header"/>
    <w:basedOn w:val="1"/>
    <w:link w:val="12"/>
    <w:unhideWhenUsed/>
    <w:qFormat/>
    <w:uiPriority w:val="99"/>
    <w:pPr>
      <w:tabs>
        <w:tab w:val="center" w:pos="4153"/>
        <w:tab w:val="right" w:pos="8306"/>
      </w:tabs>
      <w:spacing w:after="0" w:line="240" w:lineRule="auto"/>
    </w:pPr>
  </w:style>
  <w:style w:type="paragraph" w:styleId="7">
    <w:name w:val="Normal (Web)"/>
    <w:basedOn w:val="1"/>
    <w:qFormat/>
    <w:uiPriority w:val="0"/>
    <w:pPr>
      <w:spacing w:beforeAutospacing="1" w:after="0" w:afterAutospacing="1"/>
      <w:jc w:val="left"/>
    </w:pPr>
    <w:rPr>
      <w:kern w:val="0"/>
      <w:sz w:val="24"/>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style>
  <w:style w:type="character" w:customStyle="1" w:styleId="13">
    <w:name w:val="页脚 字符"/>
    <w:basedOn w:val="10"/>
    <w:link w:val="5"/>
    <w:qFormat/>
    <w:uiPriority w:val="99"/>
  </w:style>
  <w:style w:type="character" w:customStyle="1" w:styleId="14">
    <w:name w:val="标题 5 字符"/>
    <w:basedOn w:val="10"/>
    <w:link w:val="2"/>
    <w:qFormat/>
    <w:uiPriority w:val="0"/>
    <w:rPr>
      <w:rFonts w:ascii="Calibri" w:hAnsi="Calibri" w:eastAsia="宋体" w:cs="Times New Roman"/>
      <w:b/>
      <w:kern w:val="2"/>
      <w:sz w:val="28"/>
      <w:szCs w:val="24"/>
      <w:lang w:val="en-US"/>
    </w:rPr>
  </w:style>
  <w:style w:type="character" w:customStyle="1" w:styleId="15">
    <w:name w:val="批注文字 字符"/>
    <w:basedOn w:val="10"/>
    <w:link w:val="3"/>
    <w:semiHidden/>
    <w:qFormat/>
    <w:uiPriority w:val="99"/>
    <w:rPr>
      <w:rFonts w:ascii="Calibri" w:hAnsi="Calibri" w:eastAsia="宋体" w:cs="Times New Roman"/>
      <w:kern w:val="2"/>
      <w:sz w:val="21"/>
      <w:szCs w:val="24"/>
    </w:rPr>
  </w:style>
  <w:style w:type="character" w:customStyle="1" w:styleId="16">
    <w:name w:val="批注主题 字符"/>
    <w:basedOn w:val="15"/>
    <w:link w:val="8"/>
    <w:semiHidden/>
    <w:qFormat/>
    <w:uiPriority w:val="99"/>
    <w:rPr>
      <w:rFonts w:ascii="Calibri" w:hAnsi="Calibri" w:eastAsia="宋体" w:cs="Times New Roman"/>
      <w:b/>
      <w:bCs/>
      <w:kern w:val="2"/>
      <w:sz w:val="21"/>
      <w:szCs w:val="24"/>
    </w:rPr>
  </w:style>
  <w:style w:type="character" w:customStyle="1" w:styleId="17">
    <w:name w:val="批注框文本 字符"/>
    <w:basedOn w:val="10"/>
    <w:link w:val="4"/>
    <w:semiHidden/>
    <w:qFormat/>
    <w:uiPriority w:val="99"/>
    <w:rPr>
      <w:rFonts w:ascii="Calibri" w:hAnsi="Calibri" w:eastAsia="宋体" w:cs="Times New Roman"/>
      <w:kern w:val="2"/>
      <w:sz w:val="18"/>
      <w:szCs w:val="18"/>
    </w:rPr>
  </w:style>
  <w:style w:type="paragraph" w:customStyle="1" w:styleId="18">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5239</Words>
  <Characters>5375</Characters>
  <Lines>19</Lines>
  <Paragraphs>5</Paragraphs>
  <TotalTime>0</TotalTime>
  <ScaleCrop>false</ScaleCrop>
  <LinksUpToDate>false</LinksUpToDate>
  <CharactersWithSpaces>5607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2021-09-28T02:38:00Z</dcterms:created>
  <dc:creator>Chen, Ronald (GZ/MC)</dc:creator>
  <cp:lastModifiedBy>W</cp:lastModifiedBy>
  <dcterms:modified xsi:type="dcterms:W3CDTF">2025-01-17T11:20:42Z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7657C40DDD3A4F429081DF76D66E1DC1_13</vt:lpwstr>
  </property>
  <property fmtid="{D5CDD505-2E9C-101B-9397-08002B2CF9AE}" pid="4" name="KSOTemplateDocerSaveRecord">
    <vt:lpwstr>eyJoZGlkIjoiOGIyNWQ0ZDdhZTQwZGE2OGJhOWJhNzgyYjMwNzA4MzUifQ==</vt:lpwstr>
  </property>
</Properties>
</file>